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7153B441" w14:textId="77777777" w:rsidTr="009D5F1A">
        <w:trPr>
          <w:trHeight w:hRule="exact" w:val="851"/>
        </w:trPr>
        <w:tc>
          <w:tcPr>
            <w:tcW w:w="1276" w:type="dxa"/>
            <w:tcBorders>
              <w:bottom w:val="single" w:sz="4" w:space="0" w:color="auto"/>
            </w:tcBorders>
          </w:tcPr>
          <w:p w14:paraId="06AB364E" w14:textId="77777777" w:rsidR="00DC0149" w:rsidRPr="00DB58B5" w:rsidRDefault="00DC0149" w:rsidP="00244F51"/>
        </w:tc>
        <w:tc>
          <w:tcPr>
            <w:tcW w:w="2268" w:type="dxa"/>
            <w:tcBorders>
              <w:bottom w:val="single" w:sz="4" w:space="0" w:color="auto"/>
            </w:tcBorders>
            <w:vAlign w:val="bottom"/>
          </w:tcPr>
          <w:p w14:paraId="714F1451"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CB5A4C" w14:textId="4C59F40B" w:rsidR="00DC0149" w:rsidRPr="00F17B31" w:rsidRDefault="00F17B31" w:rsidP="00F17B31">
            <w:pPr>
              <w:jc w:val="right"/>
            </w:pPr>
            <w:r w:rsidRPr="00F17B31">
              <w:rPr>
                <w:sz w:val="40"/>
              </w:rPr>
              <w:t>CERD</w:t>
            </w:r>
            <w:r>
              <w:t>/C/105/D/65/2018</w:t>
            </w:r>
          </w:p>
        </w:tc>
      </w:tr>
      <w:tr w:rsidR="00DC0149" w:rsidRPr="00DB58B5" w14:paraId="1370D968" w14:textId="77777777" w:rsidTr="009D5F1A">
        <w:trPr>
          <w:trHeight w:hRule="exact" w:val="2835"/>
        </w:trPr>
        <w:tc>
          <w:tcPr>
            <w:tcW w:w="1276" w:type="dxa"/>
            <w:tcBorders>
              <w:top w:val="single" w:sz="4" w:space="0" w:color="auto"/>
              <w:bottom w:val="single" w:sz="12" w:space="0" w:color="auto"/>
            </w:tcBorders>
          </w:tcPr>
          <w:p w14:paraId="3337069F" w14:textId="77777777" w:rsidR="00DC0149" w:rsidRPr="00DB58B5" w:rsidRDefault="00DC0149" w:rsidP="009D5F1A">
            <w:pPr>
              <w:spacing w:before="120"/>
              <w:jc w:val="center"/>
            </w:pPr>
            <w:r>
              <w:rPr>
                <w:noProof/>
                <w:lang w:val="en-GB" w:eastAsia="en-GB"/>
              </w:rPr>
              <w:drawing>
                <wp:inline distT="0" distB="0" distL="0" distR="0" wp14:anchorId="29E02CD9" wp14:editId="18254E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05C69E"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14F356E1" w14:textId="77777777" w:rsidR="00DC0149" w:rsidRDefault="00244F51" w:rsidP="009D5F1A">
            <w:pPr>
              <w:spacing w:before="240"/>
            </w:pPr>
            <w:proofErr w:type="spellStart"/>
            <w:r>
              <w:t>Distr</w:t>
            </w:r>
            <w:proofErr w:type="spellEnd"/>
            <w:r>
              <w:t>. générale</w:t>
            </w:r>
          </w:p>
          <w:p w14:paraId="00C3A339" w14:textId="20A72D3B" w:rsidR="00244F51" w:rsidRDefault="00244F51" w:rsidP="00244F51">
            <w:pPr>
              <w:spacing w:line="240" w:lineRule="exact"/>
            </w:pPr>
            <w:r>
              <w:t>18 février 2022</w:t>
            </w:r>
          </w:p>
          <w:p w14:paraId="487EEC73" w14:textId="77777777" w:rsidR="00EC50F2" w:rsidRDefault="00EC50F2" w:rsidP="00244F51">
            <w:pPr>
              <w:spacing w:line="240" w:lineRule="exact"/>
            </w:pPr>
          </w:p>
          <w:p w14:paraId="35A198D4" w14:textId="285D24A9" w:rsidR="00244F51" w:rsidRPr="00DB58B5" w:rsidRDefault="00244F51" w:rsidP="00244F51">
            <w:pPr>
              <w:spacing w:line="240" w:lineRule="exact"/>
            </w:pPr>
            <w:r>
              <w:t xml:space="preserve">Original : </w:t>
            </w:r>
            <w:r w:rsidR="00AF7AFC">
              <w:t>français</w:t>
            </w:r>
          </w:p>
        </w:tc>
      </w:tr>
    </w:tbl>
    <w:p w14:paraId="6B511CD5" w14:textId="77777777" w:rsidR="00623CA8" w:rsidRDefault="00623CA8" w:rsidP="00623CA8">
      <w:pPr>
        <w:spacing w:before="120"/>
        <w:rPr>
          <w:b/>
          <w:sz w:val="24"/>
          <w:szCs w:val="24"/>
        </w:rPr>
      </w:pPr>
      <w:r w:rsidRPr="00C56102">
        <w:rPr>
          <w:b/>
          <w:sz w:val="24"/>
          <w:szCs w:val="24"/>
        </w:rPr>
        <w:t>Comité pour l’élimination de la discrimination raciale</w:t>
      </w:r>
    </w:p>
    <w:p w14:paraId="71DF15AD" w14:textId="71232DFA" w:rsidR="00DF04F7" w:rsidRPr="00AC7CB7" w:rsidRDefault="00DF04F7" w:rsidP="00F946D7">
      <w:pPr>
        <w:pStyle w:val="HChG"/>
        <w:rPr>
          <w:sz w:val="24"/>
          <w:szCs w:val="24"/>
          <w:lang w:val="fr-FR"/>
        </w:rPr>
      </w:pPr>
      <w:r>
        <w:rPr>
          <w:lang w:val="fr-FR"/>
        </w:rPr>
        <w:tab/>
      </w:r>
      <w:r>
        <w:rPr>
          <w:lang w:val="fr-FR"/>
        </w:rPr>
        <w:tab/>
        <w:t>Avis adopté par le Comité au titre de l’article 14 de la Convention,</w:t>
      </w:r>
      <w:r w:rsidRPr="00EC754D">
        <w:rPr>
          <w:lang w:val="fr-FR"/>
        </w:rPr>
        <w:t xml:space="preserve"> </w:t>
      </w:r>
      <w:r>
        <w:rPr>
          <w:lang w:val="fr-FR"/>
        </w:rPr>
        <w:t xml:space="preserve">concernant la communication </w:t>
      </w:r>
      <w:r w:rsidR="00BC1ADE" w:rsidRPr="00BC1ADE">
        <w:rPr>
          <w:rFonts w:eastAsia="MS Mincho"/>
          <w:lang w:val="fr-FR"/>
        </w:rPr>
        <w:t>n</w:t>
      </w:r>
      <w:r w:rsidR="00BC1ADE" w:rsidRPr="00BC1ADE">
        <w:rPr>
          <w:rFonts w:eastAsia="MS Mincho"/>
          <w:vertAlign w:val="superscript"/>
          <w:lang w:val="fr-FR"/>
        </w:rPr>
        <w:t>o</w:t>
      </w:r>
      <w:r w:rsidR="00BC1ADE">
        <w:rPr>
          <w:lang w:val="fr-FR"/>
        </w:rPr>
        <w:t> </w:t>
      </w:r>
      <w:r>
        <w:rPr>
          <w:lang w:val="fr-FR"/>
        </w:rPr>
        <w:t>65/2018</w:t>
      </w:r>
      <w:r w:rsidRPr="00A657D8">
        <w:rPr>
          <w:b w:val="0"/>
          <w:bCs/>
          <w:sz w:val="20"/>
          <w:lang w:val="fr-FR"/>
        </w:rPr>
        <w:footnoteReference w:customMarkFollows="1" w:id="2"/>
        <w:t>*</w:t>
      </w:r>
      <w:r w:rsidRPr="00A657D8">
        <w:rPr>
          <w:b w:val="0"/>
          <w:bCs/>
          <w:position w:val="6"/>
          <w:sz w:val="20"/>
          <w:lang w:val="fr-FR"/>
        </w:rPr>
        <w:t>,</w:t>
      </w:r>
      <w:r w:rsidRPr="00A657D8">
        <w:rPr>
          <w:b w:val="0"/>
          <w:bCs/>
          <w:sz w:val="20"/>
          <w:lang w:val="fr-FR"/>
        </w:rPr>
        <w:t xml:space="preserve"> </w:t>
      </w:r>
      <w:r w:rsidRPr="00A657D8">
        <w:rPr>
          <w:b w:val="0"/>
          <w:bCs/>
          <w:sz w:val="20"/>
          <w:lang w:val="fr-FR"/>
        </w:rPr>
        <w:footnoteReference w:customMarkFollows="1" w:id="3"/>
        <w:t>**</w:t>
      </w:r>
    </w:p>
    <w:tbl>
      <w:tblPr>
        <w:tblW w:w="6804" w:type="dxa"/>
        <w:tblInd w:w="1701" w:type="dxa"/>
        <w:tblLayout w:type="fixed"/>
        <w:tblCellMar>
          <w:left w:w="0" w:type="dxa"/>
          <w:right w:w="0" w:type="dxa"/>
        </w:tblCellMar>
        <w:tblLook w:val="0000" w:firstRow="0" w:lastRow="0" w:firstColumn="0" w:lastColumn="0" w:noHBand="0" w:noVBand="0"/>
      </w:tblPr>
      <w:tblGrid>
        <w:gridCol w:w="2835"/>
        <w:gridCol w:w="3969"/>
      </w:tblGrid>
      <w:tr w:rsidR="00DF04F7" w:rsidRPr="00422C87" w14:paraId="52E08DF3" w14:textId="77777777" w:rsidTr="00A657D8">
        <w:tc>
          <w:tcPr>
            <w:tcW w:w="2835" w:type="dxa"/>
            <w:shd w:val="clear" w:color="auto" w:fill="auto"/>
          </w:tcPr>
          <w:p w14:paraId="164F8E0E" w14:textId="77777777" w:rsidR="00DF04F7" w:rsidRPr="00737691" w:rsidRDefault="00DF04F7" w:rsidP="00F00226">
            <w:pPr>
              <w:spacing w:after="120"/>
              <w:rPr>
                <w:lang w:val="fr-FR"/>
              </w:rPr>
            </w:pPr>
            <w:r>
              <w:rPr>
                <w:i/>
                <w:lang w:val="fr-FR"/>
              </w:rPr>
              <w:t>Communication p</w:t>
            </w:r>
            <w:r w:rsidRPr="00737691">
              <w:rPr>
                <w:i/>
                <w:lang w:val="fr-FR"/>
              </w:rPr>
              <w:t>résentée par</w:t>
            </w:r>
            <w:r>
              <w:rPr>
                <w:i/>
                <w:lang w:val="fr-FR"/>
              </w:rPr>
              <w:t> </w:t>
            </w:r>
            <w:r w:rsidRPr="00737691">
              <w:rPr>
                <w:lang w:val="fr-FR"/>
              </w:rPr>
              <w:t>:</w:t>
            </w:r>
          </w:p>
        </w:tc>
        <w:tc>
          <w:tcPr>
            <w:tcW w:w="3969" w:type="dxa"/>
            <w:shd w:val="clear" w:color="auto" w:fill="auto"/>
          </w:tcPr>
          <w:p w14:paraId="05095A79" w14:textId="2B7601AC" w:rsidR="00DF04F7" w:rsidRPr="00004B64" w:rsidRDefault="00DF04F7" w:rsidP="00F00226">
            <w:pPr>
              <w:spacing w:after="120"/>
              <w:rPr>
                <w:i/>
              </w:rPr>
            </w:pPr>
            <w:r>
              <w:rPr>
                <w:lang w:val="fr-FR"/>
              </w:rPr>
              <w:t>Daniel Kotor</w:t>
            </w:r>
            <w:r w:rsidRPr="00CA1DAA">
              <w:rPr>
                <w:lang w:val="fr-FR"/>
              </w:rPr>
              <w:t xml:space="preserve"> </w:t>
            </w:r>
            <w:r>
              <w:rPr>
                <w:lang w:val="fr-FR"/>
              </w:rPr>
              <w:t xml:space="preserve">(représenté par un conseil, </w:t>
            </w:r>
            <w:r w:rsidR="00B31163">
              <w:rPr>
                <w:lang w:val="fr-FR"/>
              </w:rPr>
              <w:br/>
            </w:r>
            <w:r w:rsidRPr="00784F4F">
              <w:t>Jean-Claude Durimel</w:t>
            </w:r>
            <w:r>
              <w:t>)</w:t>
            </w:r>
          </w:p>
        </w:tc>
      </w:tr>
      <w:tr w:rsidR="00DF04F7" w:rsidRPr="004847E7" w14:paraId="51CADA68" w14:textId="77777777" w:rsidTr="00A657D8">
        <w:tc>
          <w:tcPr>
            <w:tcW w:w="2835" w:type="dxa"/>
            <w:shd w:val="clear" w:color="auto" w:fill="auto"/>
          </w:tcPr>
          <w:p w14:paraId="0BB293C0" w14:textId="77777777" w:rsidR="00DF04F7" w:rsidRPr="00737691" w:rsidRDefault="00DF04F7" w:rsidP="00F00226">
            <w:pPr>
              <w:spacing w:after="120"/>
              <w:rPr>
                <w:lang w:val="fr-FR"/>
              </w:rPr>
            </w:pPr>
            <w:r w:rsidRPr="0020604B">
              <w:rPr>
                <w:i/>
                <w:iCs/>
                <w:lang w:val="fr-FR"/>
              </w:rPr>
              <w:t>Victime(s) présumée(s)</w:t>
            </w:r>
            <w:r>
              <w:rPr>
                <w:i/>
                <w:lang w:val="fr-FR"/>
              </w:rPr>
              <w:t> </w:t>
            </w:r>
            <w:r w:rsidRPr="00737691">
              <w:rPr>
                <w:lang w:val="fr-FR"/>
              </w:rPr>
              <w:t>:</w:t>
            </w:r>
          </w:p>
        </w:tc>
        <w:tc>
          <w:tcPr>
            <w:tcW w:w="3969" w:type="dxa"/>
            <w:shd w:val="clear" w:color="auto" w:fill="auto"/>
          </w:tcPr>
          <w:p w14:paraId="5CDAD283" w14:textId="77777777" w:rsidR="00DF04F7" w:rsidRPr="00CA1DAA" w:rsidRDefault="00DF04F7" w:rsidP="00F00226">
            <w:pPr>
              <w:spacing w:after="120"/>
              <w:rPr>
                <w:lang w:val="fr-FR"/>
              </w:rPr>
            </w:pPr>
            <w:r w:rsidRPr="00CA1DAA">
              <w:rPr>
                <w:lang w:val="fr-FR"/>
              </w:rPr>
              <w:t>L</w:t>
            </w:r>
            <w:r>
              <w:rPr>
                <w:lang w:val="fr-FR"/>
              </w:rPr>
              <w:t>’</w:t>
            </w:r>
            <w:r w:rsidRPr="00CA1DAA">
              <w:rPr>
                <w:lang w:val="fr-FR"/>
              </w:rPr>
              <w:t>auteur</w:t>
            </w:r>
          </w:p>
        </w:tc>
      </w:tr>
      <w:tr w:rsidR="00DF04F7" w:rsidRPr="004847E7" w14:paraId="5682BF99" w14:textId="77777777" w:rsidTr="00A657D8">
        <w:tc>
          <w:tcPr>
            <w:tcW w:w="2835" w:type="dxa"/>
            <w:shd w:val="clear" w:color="auto" w:fill="auto"/>
          </w:tcPr>
          <w:p w14:paraId="6E29BA6B" w14:textId="77777777" w:rsidR="00DF04F7" w:rsidRPr="00737691" w:rsidRDefault="00DF04F7" w:rsidP="00F00226">
            <w:pPr>
              <w:spacing w:after="120"/>
              <w:rPr>
                <w:lang w:val="fr-FR"/>
              </w:rPr>
            </w:pPr>
            <w:r w:rsidRPr="00737691">
              <w:rPr>
                <w:i/>
                <w:lang w:val="fr-FR"/>
              </w:rPr>
              <w:t>État partie</w:t>
            </w:r>
            <w:r>
              <w:rPr>
                <w:i/>
                <w:lang w:val="fr-FR"/>
              </w:rPr>
              <w:t> </w:t>
            </w:r>
            <w:r w:rsidRPr="00737691">
              <w:rPr>
                <w:lang w:val="fr-FR"/>
              </w:rPr>
              <w:t>:</w:t>
            </w:r>
          </w:p>
        </w:tc>
        <w:tc>
          <w:tcPr>
            <w:tcW w:w="3969" w:type="dxa"/>
            <w:shd w:val="clear" w:color="auto" w:fill="auto"/>
          </w:tcPr>
          <w:p w14:paraId="51E197A0" w14:textId="77777777" w:rsidR="00DF04F7" w:rsidRPr="00737691" w:rsidRDefault="00DF04F7" w:rsidP="00F00226">
            <w:pPr>
              <w:spacing w:after="120"/>
              <w:rPr>
                <w:i/>
                <w:lang w:val="fr-FR"/>
              </w:rPr>
            </w:pPr>
            <w:r>
              <w:rPr>
                <w:lang w:val="fr-FR"/>
              </w:rPr>
              <w:t>France</w:t>
            </w:r>
          </w:p>
        </w:tc>
      </w:tr>
      <w:tr w:rsidR="00DF04F7" w:rsidRPr="00422C87" w14:paraId="452E2B83" w14:textId="77777777" w:rsidTr="00A657D8">
        <w:tc>
          <w:tcPr>
            <w:tcW w:w="2835" w:type="dxa"/>
            <w:shd w:val="clear" w:color="auto" w:fill="auto"/>
          </w:tcPr>
          <w:p w14:paraId="70FD2EB0" w14:textId="77777777" w:rsidR="00DF04F7" w:rsidRPr="00AC1D40" w:rsidRDefault="00DF04F7" w:rsidP="00F00226">
            <w:pPr>
              <w:spacing w:after="120"/>
              <w:rPr>
                <w:lang w:val="fr-FR"/>
              </w:rPr>
            </w:pPr>
            <w:r w:rsidRPr="00AC1D40">
              <w:rPr>
                <w:i/>
                <w:lang w:val="fr-FR"/>
              </w:rPr>
              <w:t>Date de la communication </w:t>
            </w:r>
            <w:r w:rsidRPr="00AC1D40">
              <w:rPr>
                <w:lang w:val="fr-FR"/>
              </w:rPr>
              <w:t>:</w:t>
            </w:r>
          </w:p>
        </w:tc>
        <w:tc>
          <w:tcPr>
            <w:tcW w:w="3969" w:type="dxa"/>
            <w:shd w:val="clear" w:color="auto" w:fill="auto"/>
          </w:tcPr>
          <w:p w14:paraId="3BF51B89" w14:textId="77777777" w:rsidR="00DF04F7" w:rsidRPr="00DE2ED9" w:rsidRDefault="00DF04F7" w:rsidP="00F00226">
            <w:pPr>
              <w:spacing w:after="120"/>
              <w:rPr>
                <w:i/>
                <w:lang w:val="fr-FR"/>
              </w:rPr>
            </w:pPr>
            <w:r w:rsidRPr="00DE2ED9">
              <w:rPr>
                <w:lang w:val="fr-FR"/>
              </w:rPr>
              <w:t>22 mai 2017 (date de la lettre initiale)</w:t>
            </w:r>
          </w:p>
        </w:tc>
      </w:tr>
      <w:tr w:rsidR="00DF04F7" w:rsidRPr="003374D8" w14:paraId="465CC0DC" w14:textId="77777777" w:rsidTr="00A657D8">
        <w:tc>
          <w:tcPr>
            <w:tcW w:w="2835" w:type="dxa"/>
            <w:shd w:val="clear" w:color="auto" w:fill="auto"/>
          </w:tcPr>
          <w:p w14:paraId="17482B24" w14:textId="77777777" w:rsidR="00DF04F7" w:rsidRPr="00737691" w:rsidRDefault="00DF04F7" w:rsidP="00F00226">
            <w:pPr>
              <w:spacing w:after="120"/>
              <w:rPr>
                <w:i/>
                <w:lang w:val="fr-FR"/>
              </w:rPr>
            </w:pPr>
            <w:r w:rsidRPr="00737691">
              <w:rPr>
                <w:i/>
                <w:lang w:val="fr-FR"/>
              </w:rPr>
              <w:t>Date</w:t>
            </w:r>
            <w:r>
              <w:rPr>
                <w:i/>
                <w:lang w:val="fr-FR"/>
              </w:rPr>
              <w:t xml:space="preserve"> de l’avis </w:t>
            </w:r>
            <w:r w:rsidRPr="00737691">
              <w:rPr>
                <w:lang w:val="fr-FR"/>
              </w:rPr>
              <w:t>:</w:t>
            </w:r>
          </w:p>
        </w:tc>
        <w:tc>
          <w:tcPr>
            <w:tcW w:w="3969" w:type="dxa"/>
            <w:shd w:val="clear" w:color="auto" w:fill="auto"/>
            <w:vAlign w:val="bottom"/>
          </w:tcPr>
          <w:p w14:paraId="46ABC2CB" w14:textId="77777777" w:rsidR="00DF04F7" w:rsidRDefault="00DF04F7" w:rsidP="00F00226">
            <w:pPr>
              <w:spacing w:after="120"/>
              <w:rPr>
                <w:lang w:val="fr-FR"/>
              </w:rPr>
            </w:pPr>
            <w:r>
              <w:rPr>
                <w:lang w:val="fr-FR"/>
              </w:rPr>
              <w:t xml:space="preserve">25 novembre 2021 </w:t>
            </w:r>
          </w:p>
        </w:tc>
      </w:tr>
      <w:tr w:rsidR="00DF04F7" w:rsidRPr="00422C87" w14:paraId="545D7D20" w14:textId="77777777" w:rsidTr="00A657D8">
        <w:tc>
          <w:tcPr>
            <w:tcW w:w="2835" w:type="dxa"/>
            <w:shd w:val="clear" w:color="auto" w:fill="auto"/>
          </w:tcPr>
          <w:p w14:paraId="6F5F8CF7" w14:textId="77777777" w:rsidR="00DF04F7" w:rsidRPr="00737691" w:rsidRDefault="00DF04F7" w:rsidP="00F00226">
            <w:pPr>
              <w:spacing w:after="120"/>
              <w:rPr>
                <w:lang w:val="fr-FR"/>
              </w:rPr>
            </w:pPr>
            <w:r w:rsidRPr="00541C2D">
              <w:rPr>
                <w:i/>
                <w:lang w:val="fr-FR"/>
              </w:rPr>
              <w:t>Référence</w:t>
            </w:r>
            <w:r>
              <w:rPr>
                <w:i/>
                <w:lang w:val="fr-FR"/>
              </w:rPr>
              <w:t>s</w:t>
            </w:r>
            <w:r w:rsidRPr="00541C2D">
              <w:rPr>
                <w:i/>
                <w:lang w:val="fr-FR"/>
              </w:rPr>
              <w:t> </w:t>
            </w:r>
            <w:r w:rsidRPr="00541C2D">
              <w:rPr>
                <w:iCs/>
                <w:lang w:val="fr-FR"/>
              </w:rPr>
              <w:t>:</w:t>
            </w:r>
          </w:p>
        </w:tc>
        <w:tc>
          <w:tcPr>
            <w:tcW w:w="3969" w:type="dxa"/>
            <w:shd w:val="clear" w:color="auto" w:fill="auto"/>
            <w:vAlign w:val="bottom"/>
          </w:tcPr>
          <w:p w14:paraId="3FAFBFCA" w14:textId="3F98E76E" w:rsidR="00DF04F7" w:rsidRPr="00AC1D40" w:rsidRDefault="00DF04F7" w:rsidP="00F00226">
            <w:pPr>
              <w:spacing w:after="120"/>
              <w:rPr>
                <w:lang w:val="fr-FR"/>
              </w:rPr>
            </w:pPr>
            <w:r>
              <w:rPr>
                <w:lang w:val="fr-FR"/>
              </w:rPr>
              <w:t>Décision prise en application</w:t>
            </w:r>
            <w:r w:rsidRPr="00AC1D40">
              <w:rPr>
                <w:lang w:val="fr-FR"/>
              </w:rPr>
              <w:t xml:space="preserve"> de </w:t>
            </w:r>
            <w:r>
              <w:rPr>
                <w:lang w:val="fr-FR"/>
              </w:rPr>
              <w:t>l’article 91</w:t>
            </w:r>
            <w:r w:rsidRPr="00AC1D40">
              <w:rPr>
                <w:lang w:val="fr-FR"/>
              </w:rPr>
              <w:t xml:space="preserve"> </w:t>
            </w:r>
            <w:r>
              <w:rPr>
                <w:lang w:val="fr-FR"/>
              </w:rPr>
              <w:t>du Règlement intérieur</w:t>
            </w:r>
            <w:r w:rsidRPr="00DE2ED9">
              <w:rPr>
                <w:lang w:val="fr-FR"/>
              </w:rPr>
              <w:t xml:space="preserve"> du Comité</w:t>
            </w:r>
            <w:r>
              <w:rPr>
                <w:lang w:val="fr-FR"/>
              </w:rPr>
              <w:t>, communiquée</w:t>
            </w:r>
            <w:r w:rsidRPr="00DE2ED9">
              <w:rPr>
                <w:lang w:val="fr-FR"/>
              </w:rPr>
              <w:t xml:space="preserve"> à l</w:t>
            </w:r>
            <w:r>
              <w:rPr>
                <w:lang w:val="fr-FR"/>
              </w:rPr>
              <w:t>’</w:t>
            </w:r>
            <w:r w:rsidRPr="00DE2ED9">
              <w:rPr>
                <w:lang w:val="fr-FR"/>
              </w:rPr>
              <w:t>État partie le 12</w:t>
            </w:r>
            <w:r w:rsidR="0071274E">
              <w:rPr>
                <w:lang w:val="fr-FR"/>
              </w:rPr>
              <w:t> </w:t>
            </w:r>
            <w:r w:rsidRPr="00DE2ED9">
              <w:rPr>
                <w:lang w:val="fr-FR"/>
              </w:rPr>
              <w:t>décembre 2018</w:t>
            </w:r>
            <w:r>
              <w:rPr>
                <w:lang w:val="fr-FR"/>
              </w:rPr>
              <w:t xml:space="preserve"> (</w:t>
            </w:r>
            <w:r w:rsidRPr="00600BCB">
              <w:rPr>
                <w:color w:val="333333"/>
                <w:shd w:val="clear" w:color="auto" w:fill="FFFFFF"/>
                <w:lang w:val="fr-FR"/>
              </w:rPr>
              <w:t>non publiée sous forme de document)</w:t>
            </w:r>
            <w:r w:rsidRPr="00AC1D40">
              <w:rPr>
                <w:lang w:val="fr-FR"/>
              </w:rPr>
              <w:t xml:space="preserve"> </w:t>
            </w:r>
          </w:p>
        </w:tc>
      </w:tr>
      <w:tr w:rsidR="00DF04F7" w:rsidRPr="00422C87" w14:paraId="2A7300ED" w14:textId="77777777" w:rsidTr="00A657D8">
        <w:tc>
          <w:tcPr>
            <w:tcW w:w="2835" w:type="dxa"/>
            <w:shd w:val="clear" w:color="auto" w:fill="auto"/>
          </w:tcPr>
          <w:p w14:paraId="21961F2D" w14:textId="77777777" w:rsidR="00DF04F7" w:rsidRPr="0091736F" w:rsidRDefault="00DF04F7" w:rsidP="00F00226">
            <w:pPr>
              <w:spacing w:after="120"/>
              <w:rPr>
                <w:i/>
                <w:lang w:val="fr-FR"/>
              </w:rPr>
            </w:pPr>
            <w:r>
              <w:rPr>
                <w:i/>
                <w:lang w:val="fr-FR"/>
              </w:rPr>
              <w:t>Objet </w:t>
            </w:r>
            <w:r w:rsidRPr="00541C2D">
              <w:rPr>
                <w:iCs/>
                <w:lang w:val="fr-FR"/>
              </w:rPr>
              <w:t>:</w:t>
            </w:r>
          </w:p>
        </w:tc>
        <w:tc>
          <w:tcPr>
            <w:tcW w:w="3969" w:type="dxa"/>
            <w:shd w:val="clear" w:color="auto" w:fill="auto"/>
            <w:vAlign w:val="bottom"/>
          </w:tcPr>
          <w:p w14:paraId="1736C011" w14:textId="77777777" w:rsidR="00DF04F7" w:rsidRPr="00AC1D40" w:rsidRDefault="00DF04F7" w:rsidP="00F00226">
            <w:pPr>
              <w:spacing w:after="120"/>
              <w:rPr>
                <w:lang w:val="fr-FR"/>
              </w:rPr>
            </w:pPr>
            <w:r w:rsidRPr="00DE2ED9">
              <w:rPr>
                <w:lang w:val="fr-FR"/>
              </w:rPr>
              <w:t>Discrimination dans l</w:t>
            </w:r>
            <w:r>
              <w:rPr>
                <w:lang w:val="fr-FR"/>
              </w:rPr>
              <w:t>’</w:t>
            </w:r>
            <w:r w:rsidRPr="00DE2ED9">
              <w:rPr>
                <w:lang w:val="fr-FR"/>
              </w:rPr>
              <w:t>accès à l</w:t>
            </w:r>
            <w:r>
              <w:rPr>
                <w:lang w:val="fr-FR"/>
              </w:rPr>
              <w:t>’</w:t>
            </w:r>
            <w:r w:rsidRPr="00DE2ED9">
              <w:rPr>
                <w:lang w:val="fr-FR"/>
              </w:rPr>
              <w:t>emploi</w:t>
            </w:r>
            <w:r>
              <w:rPr>
                <w:lang w:val="fr-FR"/>
              </w:rPr>
              <w:t> ;</w:t>
            </w:r>
            <w:r w:rsidRPr="00DE2ED9">
              <w:rPr>
                <w:lang w:val="fr-FR"/>
              </w:rPr>
              <w:t xml:space="preserve"> droit à l</w:t>
            </w:r>
            <w:r>
              <w:rPr>
                <w:lang w:val="fr-FR"/>
              </w:rPr>
              <w:t>’</w:t>
            </w:r>
            <w:r w:rsidRPr="00DE2ED9">
              <w:rPr>
                <w:lang w:val="fr-FR"/>
              </w:rPr>
              <w:t>égalité de traitement devant les tribunaux et autres autorités judiciaires</w:t>
            </w:r>
            <w:r>
              <w:rPr>
                <w:lang w:val="fr-FR"/>
              </w:rPr>
              <w:t> ;</w:t>
            </w:r>
            <w:r w:rsidRPr="00DE2ED9">
              <w:rPr>
                <w:lang w:val="fr-FR"/>
              </w:rPr>
              <w:t xml:space="preserve"> protection et voies de recours effectives contre un acte de discrimination raciale</w:t>
            </w:r>
          </w:p>
        </w:tc>
      </w:tr>
      <w:tr w:rsidR="00DF04F7" w:rsidRPr="00A24FAD" w14:paraId="44DD054F" w14:textId="77777777" w:rsidTr="00A657D8">
        <w:tc>
          <w:tcPr>
            <w:tcW w:w="2835" w:type="dxa"/>
            <w:shd w:val="clear" w:color="auto" w:fill="auto"/>
          </w:tcPr>
          <w:p w14:paraId="18F75925" w14:textId="77777777" w:rsidR="00DF04F7" w:rsidRDefault="00DF04F7" w:rsidP="00F00226">
            <w:pPr>
              <w:spacing w:after="120"/>
              <w:rPr>
                <w:i/>
                <w:lang w:val="fr-FR"/>
              </w:rPr>
            </w:pPr>
            <w:r>
              <w:rPr>
                <w:i/>
                <w:lang w:val="fr-FR"/>
              </w:rPr>
              <w:t>Question(s) de procédure </w:t>
            </w:r>
            <w:r w:rsidRPr="00541C2D">
              <w:rPr>
                <w:iCs/>
                <w:lang w:val="fr-FR"/>
              </w:rPr>
              <w:t>:</w:t>
            </w:r>
          </w:p>
        </w:tc>
        <w:tc>
          <w:tcPr>
            <w:tcW w:w="3969" w:type="dxa"/>
            <w:shd w:val="clear" w:color="auto" w:fill="auto"/>
            <w:vAlign w:val="bottom"/>
          </w:tcPr>
          <w:p w14:paraId="64239A22" w14:textId="77777777" w:rsidR="00DF04F7" w:rsidRPr="00DE2ED9" w:rsidRDefault="00DF04F7" w:rsidP="00F00226">
            <w:pPr>
              <w:spacing w:after="120"/>
              <w:rPr>
                <w:lang w:val="fr-FR"/>
              </w:rPr>
            </w:pPr>
            <w:r>
              <w:rPr>
                <w:lang w:val="fr-FR"/>
              </w:rPr>
              <w:t>Fondement des griefs</w:t>
            </w:r>
          </w:p>
        </w:tc>
      </w:tr>
      <w:tr w:rsidR="00DF04F7" w:rsidRPr="00422C87" w14:paraId="52E97241" w14:textId="77777777" w:rsidTr="00A657D8">
        <w:tc>
          <w:tcPr>
            <w:tcW w:w="2835" w:type="dxa"/>
            <w:shd w:val="clear" w:color="auto" w:fill="auto"/>
          </w:tcPr>
          <w:p w14:paraId="6E21844F" w14:textId="77777777" w:rsidR="00DF04F7" w:rsidRPr="00B441E4" w:rsidRDefault="00DF04F7" w:rsidP="00F00226">
            <w:pPr>
              <w:spacing w:after="120"/>
              <w:rPr>
                <w:i/>
                <w:lang w:val="fr-FR"/>
              </w:rPr>
            </w:pPr>
            <w:r>
              <w:rPr>
                <w:i/>
                <w:lang w:val="fr-FR"/>
              </w:rPr>
              <w:t>Question(s) de fond </w:t>
            </w:r>
            <w:r w:rsidRPr="00541C2D">
              <w:rPr>
                <w:iCs/>
                <w:lang w:val="fr-FR"/>
              </w:rPr>
              <w:t>:</w:t>
            </w:r>
          </w:p>
        </w:tc>
        <w:tc>
          <w:tcPr>
            <w:tcW w:w="3969" w:type="dxa"/>
            <w:shd w:val="clear" w:color="auto" w:fill="auto"/>
            <w:vAlign w:val="bottom"/>
          </w:tcPr>
          <w:p w14:paraId="16DDB806" w14:textId="77777777" w:rsidR="00DF04F7" w:rsidRPr="00DE2ED9" w:rsidRDefault="00DF04F7" w:rsidP="00F00226">
            <w:pPr>
              <w:spacing w:after="120"/>
              <w:rPr>
                <w:lang w:val="fr-FR"/>
              </w:rPr>
            </w:pPr>
            <w:r w:rsidRPr="00DE2ED9">
              <w:rPr>
                <w:lang w:val="fr-FR"/>
              </w:rPr>
              <w:t>Discrimination fondée sur l</w:t>
            </w:r>
            <w:r>
              <w:rPr>
                <w:lang w:val="fr-FR"/>
              </w:rPr>
              <w:t>’</w:t>
            </w:r>
            <w:r w:rsidRPr="00DE2ED9">
              <w:rPr>
                <w:lang w:val="fr-FR"/>
              </w:rPr>
              <w:t>origine nationale ou ethnique</w:t>
            </w:r>
            <w:r>
              <w:rPr>
                <w:lang w:val="fr-FR"/>
              </w:rPr>
              <w:t> ;</w:t>
            </w:r>
            <w:r w:rsidRPr="00DE2ED9">
              <w:rPr>
                <w:lang w:val="fr-FR"/>
              </w:rPr>
              <w:t xml:space="preserve"> droit à la réparation intégrale en cas de discrimination</w:t>
            </w:r>
          </w:p>
        </w:tc>
      </w:tr>
      <w:tr w:rsidR="00DF04F7" w:rsidRPr="00AD68A0" w14:paraId="7D623580" w14:textId="77777777" w:rsidTr="00A657D8">
        <w:tc>
          <w:tcPr>
            <w:tcW w:w="2835" w:type="dxa"/>
            <w:shd w:val="clear" w:color="auto" w:fill="auto"/>
          </w:tcPr>
          <w:p w14:paraId="60D10AAB" w14:textId="77777777" w:rsidR="00DF04F7" w:rsidRPr="00B441E4" w:rsidRDefault="00DF04F7" w:rsidP="00F00226">
            <w:pPr>
              <w:spacing w:after="120"/>
              <w:rPr>
                <w:i/>
                <w:lang w:val="fr-FR"/>
              </w:rPr>
            </w:pPr>
            <w:r>
              <w:rPr>
                <w:i/>
                <w:lang w:val="fr-FR"/>
              </w:rPr>
              <w:t>Article(s) de la Convention </w:t>
            </w:r>
            <w:r w:rsidRPr="00541C2D">
              <w:rPr>
                <w:iCs/>
                <w:lang w:val="fr-FR"/>
              </w:rPr>
              <w:t>:</w:t>
            </w:r>
          </w:p>
        </w:tc>
        <w:tc>
          <w:tcPr>
            <w:tcW w:w="3969" w:type="dxa"/>
            <w:shd w:val="clear" w:color="auto" w:fill="auto"/>
            <w:vAlign w:val="bottom"/>
          </w:tcPr>
          <w:p w14:paraId="4E9320E8" w14:textId="77777777" w:rsidR="00DF04F7" w:rsidRPr="00AD68A0" w:rsidRDefault="00DF04F7" w:rsidP="00F00226">
            <w:pPr>
              <w:spacing w:after="120"/>
              <w:rPr>
                <w:lang w:val="fr-FR"/>
              </w:rPr>
            </w:pPr>
            <w:r>
              <w:rPr>
                <w:lang w:val="fr-FR"/>
              </w:rPr>
              <w:t>2, 3, 4, 5 et 6</w:t>
            </w:r>
          </w:p>
        </w:tc>
      </w:tr>
    </w:tbl>
    <w:p w14:paraId="3BAB6BCE" w14:textId="0141EAB3" w:rsidR="00DF04F7" w:rsidRPr="00630336" w:rsidRDefault="00DF04F7" w:rsidP="00A657D8">
      <w:pPr>
        <w:pStyle w:val="SingleTxtG"/>
        <w:spacing w:before="120"/>
        <w:rPr>
          <w:lang w:val="fr-FR"/>
        </w:rPr>
      </w:pPr>
      <w:r w:rsidRPr="00BA6933">
        <w:rPr>
          <w:lang w:val="fr-FR"/>
        </w:rPr>
        <w:t>1.</w:t>
      </w:r>
      <w:r w:rsidRPr="00BA6933">
        <w:rPr>
          <w:lang w:val="fr-FR"/>
        </w:rPr>
        <w:tab/>
        <w:t>L</w:t>
      </w:r>
      <w:r>
        <w:rPr>
          <w:lang w:val="fr-FR"/>
        </w:rPr>
        <w:t>’</w:t>
      </w:r>
      <w:r w:rsidRPr="00BA6933">
        <w:rPr>
          <w:lang w:val="fr-FR"/>
        </w:rPr>
        <w:t>auteur de la communication datée du 22</w:t>
      </w:r>
      <w:bookmarkStart w:id="0" w:name="_Hlk96066331"/>
      <w:r w:rsidR="00E64E62">
        <w:rPr>
          <w:lang w:val="fr-FR"/>
        </w:rPr>
        <w:t> </w:t>
      </w:r>
      <w:bookmarkEnd w:id="0"/>
      <w:r w:rsidRPr="00BA6933">
        <w:rPr>
          <w:lang w:val="fr-FR"/>
        </w:rPr>
        <w:t>mai 2017</w:t>
      </w:r>
      <w:r w:rsidRPr="00F2181D">
        <w:rPr>
          <w:rStyle w:val="Appelnotedebasdep"/>
        </w:rPr>
        <w:footnoteReference w:id="4"/>
      </w:r>
      <w:r w:rsidRPr="00BA6933">
        <w:rPr>
          <w:lang w:val="fr-FR"/>
        </w:rPr>
        <w:t xml:space="preserve"> est Daniel Kotor, de nationalité </w:t>
      </w:r>
      <w:r>
        <w:rPr>
          <w:lang w:val="fr-FR"/>
        </w:rPr>
        <w:t>française</w:t>
      </w:r>
      <w:r w:rsidRPr="00BA6933">
        <w:rPr>
          <w:lang w:val="fr-FR"/>
        </w:rPr>
        <w:t>, né au Togo le 24</w:t>
      </w:r>
      <w:r w:rsidR="00E64E62">
        <w:rPr>
          <w:lang w:val="fr-FR"/>
        </w:rPr>
        <w:t> </w:t>
      </w:r>
      <w:r w:rsidRPr="00BA6933">
        <w:rPr>
          <w:lang w:val="fr-FR"/>
        </w:rPr>
        <w:t xml:space="preserve">février 1947. </w:t>
      </w:r>
      <w:r>
        <w:rPr>
          <w:lang w:val="fr-FR"/>
        </w:rPr>
        <w:t>Il</w:t>
      </w:r>
      <w:r w:rsidRPr="00BA6933">
        <w:rPr>
          <w:lang w:val="fr-FR"/>
        </w:rPr>
        <w:t xml:space="preserve"> soutient </w:t>
      </w:r>
      <w:r>
        <w:rPr>
          <w:lang w:val="fr-FR"/>
        </w:rPr>
        <w:t>être</w:t>
      </w:r>
      <w:r w:rsidRPr="00BA6933">
        <w:rPr>
          <w:lang w:val="fr-FR"/>
        </w:rPr>
        <w:t xml:space="preserve"> victime d</w:t>
      </w:r>
      <w:r>
        <w:rPr>
          <w:lang w:val="fr-FR"/>
        </w:rPr>
        <w:t>’</w:t>
      </w:r>
      <w:r w:rsidRPr="00BA6933">
        <w:rPr>
          <w:lang w:val="fr-FR"/>
        </w:rPr>
        <w:t xml:space="preserve">une violation par </w:t>
      </w:r>
      <w:r>
        <w:rPr>
          <w:lang w:val="fr-FR"/>
        </w:rPr>
        <w:t>l’État partie</w:t>
      </w:r>
      <w:r w:rsidRPr="00BA6933">
        <w:rPr>
          <w:lang w:val="fr-FR"/>
        </w:rPr>
        <w:t xml:space="preserve"> des articles</w:t>
      </w:r>
      <w:r w:rsidR="00E64E62">
        <w:rPr>
          <w:lang w:val="fr-FR"/>
        </w:rPr>
        <w:t> </w:t>
      </w:r>
      <w:r w:rsidRPr="00BA6933">
        <w:rPr>
          <w:lang w:val="fr-FR"/>
        </w:rPr>
        <w:t>2, 3, 4, 5 et 6 de la Convention.</w:t>
      </w:r>
      <w:r>
        <w:rPr>
          <w:lang w:val="fr-FR"/>
        </w:rPr>
        <w:t xml:space="preserve"> </w:t>
      </w:r>
      <w:r w:rsidRPr="00720310">
        <w:t xml:space="preserve">La France a </w:t>
      </w:r>
      <w:r>
        <w:t>adhéré à</w:t>
      </w:r>
      <w:r w:rsidRPr="00720310">
        <w:t xml:space="preserve"> la Convention le 28</w:t>
      </w:r>
      <w:r>
        <w:t> </w:t>
      </w:r>
      <w:r w:rsidRPr="00720310">
        <w:t>juillet</w:t>
      </w:r>
      <w:r w:rsidR="00552E8E">
        <w:t xml:space="preserve"> </w:t>
      </w:r>
      <w:r w:rsidRPr="00720310">
        <w:t xml:space="preserve">1971 et </w:t>
      </w:r>
      <w:r>
        <w:t>a fait la</w:t>
      </w:r>
      <w:r w:rsidRPr="00720310">
        <w:t xml:space="preserve"> déclaration prévue à l</w:t>
      </w:r>
      <w:r>
        <w:t>’</w:t>
      </w:r>
      <w:r w:rsidRPr="00720310">
        <w:t>article</w:t>
      </w:r>
      <w:r>
        <w:t> </w:t>
      </w:r>
      <w:r w:rsidRPr="00720310">
        <w:t>14 le</w:t>
      </w:r>
      <w:r>
        <w:t xml:space="preserve"> </w:t>
      </w:r>
      <w:r w:rsidRPr="00720310">
        <w:t>16</w:t>
      </w:r>
      <w:r>
        <w:t> </w:t>
      </w:r>
      <w:r w:rsidRPr="00720310">
        <w:t>août</w:t>
      </w:r>
      <w:r w:rsidR="00552E8E">
        <w:t xml:space="preserve"> </w:t>
      </w:r>
      <w:r w:rsidRPr="00720310">
        <w:t>1982</w:t>
      </w:r>
      <w:r>
        <w:t>. L’auteur</w:t>
      </w:r>
      <w:r w:rsidRPr="00BA6933">
        <w:rPr>
          <w:lang w:val="fr-FR"/>
        </w:rPr>
        <w:t xml:space="preserve"> est représenté par un conseil, Jean-Claude Durimel.</w:t>
      </w:r>
    </w:p>
    <w:p w14:paraId="3A53A4DD" w14:textId="77777777" w:rsidR="00DF04F7" w:rsidRPr="00DC05DC" w:rsidRDefault="00DF04F7" w:rsidP="00F2181D">
      <w:pPr>
        <w:pStyle w:val="H23G"/>
        <w:rPr>
          <w:lang w:val="fr-FR"/>
        </w:rPr>
      </w:pPr>
      <w:r w:rsidRPr="00DC05DC">
        <w:rPr>
          <w:lang w:val="fr-FR"/>
        </w:rPr>
        <w:lastRenderedPageBreak/>
        <w:tab/>
      </w:r>
      <w:r w:rsidRPr="00DC05DC">
        <w:rPr>
          <w:lang w:val="fr-FR"/>
        </w:rPr>
        <w:tab/>
        <w:t>Exposé des faits</w:t>
      </w:r>
    </w:p>
    <w:p w14:paraId="35E882C2" w14:textId="58D589DA" w:rsidR="00DF04F7" w:rsidRPr="0035343D" w:rsidRDefault="00DF04F7" w:rsidP="00987B66">
      <w:pPr>
        <w:pStyle w:val="SingleTxtG"/>
        <w:rPr>
          <w:lang w:eastAsia="en-GB"/>
        </w:rPr>
      </w:pPr>
      <w:r w:rsidRPr="0035343D">
        <w:rPr>
          <w:lang w:val="fr-FR" w:eastAsia="en-GB"/>
        </w:rPr>
        <w:t>2.1</w:t>
      </w:r>
      <w:r w:rsidRPr="0035343D">
        <w:rPr>
          <w:lang w:val="fr-FR" w:eastAsia="en-GB"/>
        </w:rPr>
        <w:tab/>
      </w:r>
      <w:r w:rsidRPr="0035343D">
        <w:rPr>
          <w:lang w:eastAsia="en-GB"/>
        </w:rPr>
        <w:t>L</w:t>
      </w:r>
      <w:r>
        <w:rPr>
          <w:lang w:eastAsia="en-GB"/>
        </w:rPr>
        <w:t>’</w:t>
      </w:r>
      <w:r w:rsidRPr="0035343D">
        <w:rPr>
          <w:lang w:eastAsia="en-GB"/>
        </w:rPr>
        <w:t>auteur a été engagé par la société Renault le 17</w:t>
      </w:r>
      <w:r w:rsidR="00552E8E">
        <w:rPr>
          <w:lang w:val="fr-FR"/>
        </w:rPr>
        <w:t> </w:t>
      </w:r>
      <w:r w:rsidRPr="0035343D">
        <w:rPr>
          <w:lang w:eastAsia="en-GB"/>
        </w:rPr>
        <w:t>mai 1971 en qualité d</w:t>
      </w:r>
      <w:r>
        <w:rPr>
          <w:lang w:eastAsia="en-GB"/>
        </w:rPr>
        <w:t>’</w:t>
      </w:r>
      <w:r w:rsidRPr="0035343D">
        <w:rPr>
          <w:lang w:eastAsia="en-GB"/>
        </w:rPr>
        <w:t>ouvrier spécialisé. En février 2004, l</w:t>
      </w:r>
      <w:r>
        <w:rPr>
          <w:lang w:eastAsia="en-GB"/>
        </w:rPr>
        <w:t>’</w:t>
      </w:r>
      <w:r w:rsidRPr="0035343D">
        <w:rPr>
          <w:lang w:eastAsia="en-GB"/>
        </w:rPr>
        <w:t>auteur a pris sa retraite</w:t>
      </w:r>
      <w:r w:rsidRPr="00987B66">
        <w:rPr>
          <w:rStyle w:val="Appelnotedebasdep"/>
        </w:rPr>
        <w:footnoteReference w:id="5"/>
      </w:r>
      <w:r w:rsidRPr="0035343D">
        <w:rPr>
          <w:lang w:eastAsia="en-GB"/>
        </w:rPr>
        <w:t>. Il avait la qualification d</w:t>
      </w:r>
      <w:r>
        <w:rPr>
          <w:lang w:eastAsia="en-GB"/>
        </w:rPr>
        <w:t>’</w:t>
      </w:r>
      <w:r w:rsidRPr="0035343D">
        <w:rPr>
          <w:lang w:eastAsia="en-GB"/>
        </w:rPr>
        <w:t>agent de maîtrise-chef magasinier</w:t>
      </w:r>
      <w:r>
        <w:rPr>
          <w:lang w:eastAsia="en-GB"/>
        </w:rPr>
        <w:t>,</w:t>
      </w:r>
      <w:r w:rsidRPr="0035343D">
        <w:rPr>
          <w:lang w:eastAsia="en-GB"/>
        </w:rPr>
        <w:t xml:space="preserve"> coefficient 220</w:t>
      </w:r>
      <w:r>
        <w:rPr>
          <w:lang w:eastAsia="en-GB"/>
        </w:rPr>
        <w:t>,</w:t>
      </w:r>
      <w:r w:rsidRPr="0035343D">
        <w:rPr>
          <w:lang w:eastAsia="en-GB"/>
        </w:rPr>
        <w:t xml:space="preserve"> depuis avril 1990. La société Renault a été nationalisée en 1945, devenant la Régie </w:t>
      </w:r>
      <w:r>
        <w:rPr>
          <w:lang w:eastAsia="en-GB"/>
        </w:rPr>
        <w:t xml:space="preserve">nationale des usines </w:t>
      </w:r>
      <w:r w:rsidRPr="0035343D">
        <w:rPr>
          <w:lang w:eastAsia="en-GB"/>
        </w:rPr>
        <w:t>Renault</w:t>
      </w:r>
      <w:r>
        <w:rPr>
          <w:lang w:eastAsia="en-GB"/>
        </w:rPr>
        <w:t>, avant de prendre la forme d’une</w:t>
      </w:r>
      <w:r w:rsidRPr="0035343D">
        <w:rPr>
          <w:lang w:eastAsia="en-GB"/>
        </w:rPr>
        <w:t xml:space="preserve"> société anonyme en 1990. L</w:t>
      </w:r>
      <w:r>
        <w:rPr>
          <w:lang w:eastAsia="en-GB"/>
        </w:rPr>
        <w:t>’</w:t>
      </w:r>
      <w:r w:rsidRPr="0035343D">
        <w:rPr>
          <w:lang w:eastAsia="en-GB"/>
        </w:rPr>
        <w:t>État partie était détenteur de 80</w:t>
      </w:r>
      <w:r>
        <w:rPr>
          <w:lang w:eastAsia="en-GB"/>
        </w:rPr>
        <w:t> </w:t>
      </w:r>
      <w:r w:rsidRPr="0035343D">
        <w:rPr>
          <w:lang w:eastAsia="en-GB"/>
        </w:rPr>
        <w:t>% du capital de la société jusqu</w:t>
      </w:r>
      <w:r>
        <w:rPr>
          <w:lang w:eastAsia="en-GB"/>
        </w:rPr>
        <w:t>’</w:t>
      </w:r>
      <w:r w:rsidRPr="0035343D">
        <w:rPr>
          <w:lang w:eastAsia="en-GB"/>
        </w:rPr>
        <w:t xml:space="preserve">en 1996. </w:t>
      </w:r>
    </w:p>
    <w:p w14:paraId="33ED2977" w14:textId="77777777" w:rsidR="00DF04F7" w:rsidRPr="0035343D" w:rsidRDefault="00DF04F7" w:rsidP="00987B66">
      <w:pPr>
        <w:pStyle w:val="SingleTxtG"/>
        <w:rPr>
          <w:lang w:eastAsia="en-GB"/>
        </w:rPr>
      </w:pPr>
      <w:r w:rsidRPr="0035343D">
        <w:rPr>
          <w:lang w:eastAsia="en-GB"/>
        </w:rPr>
        <w:t>2.2</w:t>
      </w:r>
      <w:r w:rsidRPr="0035343D">
        <w:rPr>
          <w:lang w:eastAsia="en-GB"/>
        </w:rPr>
        <w:tab/>
        <w:t>L</w:t>
      </w:r>
      <w:r>
        <w:rPr>
          <w:lang w:eastAsia="en-GB"/>
        </w:rPr>
        <w:t>’</w:t>
      </w:r>
      <w:r w:rsidRPr="0035343D">
        <w:rPr>
          <w:lang w:eastAsia="en-GB"/>
        </w:rPr>
        <w:t>auteur affirme que durant toute sa période d</w:t>
      </w:r>
      <w:r>
        <w:rPr>
          <w:lang w:eastAsia="en-GB"/>
        </w:rPr>
        <w:t>’</w:t>
      </w:r>
      <w:r w:rsidRPr="0035343D">
        <w:rPr>
          <w:lang w:eastAsia="en-GB"/>
        </w:rPr>
        <w:t xml:space="preserve">activité au sein de la société Renault, il a été discriminé </w:t>
      </w:r>
      <w:r>
        <w:rPr>
          <w:lang w:eastAsia="en-GB"/>
        </w:rPr>
        <w:t>dans</w:t>
      </w:r>
      <w:r w:rsidRPr="0035343D">
        <w:rPr>
          <w:lang w:eastAsia="en-GB"/>
        </w:rPr>
        <w:t xml:space="preserve"> l</w:t>
      </w:r>
      <w:r>
        <w:rPr>
          <w:lang w:eastAsia="en-GB"/>
        </w:rPr>
        <w:t>’</w:t>
      </w:r>
      <w:r w:rsidRPr="0035343D">
        <w:rPr>
          <w:lang w:eastAsia="en-GB"/>
        </w:rPr>
        <w:t>évolution de sa carrière professionnelle par rapport à d</w:t>
      </w:r>
      <w:r>
        <w:rPr>
          <w:lang w:eastAsia="en-GB"/>
        </w:rPr>
        <w:t>’</w:t>
      </w:r>
      <w:r w:rsidRPr="0035343D">
        <w:rPr>
          <w:lang w:eastAsia="en-GB"/>
        </w:rPr>
        <w:t>autres salariés ayant un profil professionnel comparable au sien. Il en est résulté une stagnation professionnelle</w:t>
      </w:r>
      <w:r>
        <w:rPr>
          <w:lang w:eastAsia="en-GB"/>
        </w:rPr>
        <w:t>,</w:t>
      </w:r>
      <w:r w:rsidRPr="0035343D">
        <w:rPr>
          <w:lang w:eastAsia="en-GB"/>
        </w:rPr>
        <w:t xml:space="preserve"> alors que </w:t>
      </w:r>
      <w:r>
        <w:rPr>
          <w:lang w:eastAsia="en-GB"/>
        </w:rPr>
        <w:t>ses</w:t>
      </w:r>
      <w:r w:rsidRPr="0035343D">
        <w:rPr>
          <w:lang w:eastAsia="en-GB"/>
        </w:rPr>
        <w:t xml:space="preserve"> collègues européens de naissance voyaient leur carrière évoluer progressivement</w:t>
      </w:r>
      <w:r>
        <w:rPr>
          <w:lang w:eastAsia="en-GB"/>
        </w:rPr>
        <w:t>,</w:t>
      </w:r>
      <w:r w:rsidRPr="0035343D">
        <w:rPr>
          <w:lang w:eastAsia="en-GB"/>
        </w:rPr>
        <w:t xml:space="preserve"> et ce, alors même que la qualité de son travail, de l</w:t>
      </w:r>
      <w:r>
        <w:rPr>
          <w:lang w:eastAsia="en-GB"/>
        </w:rPr>
        <w:t>’</w:t>
      </w:r>
      <w:r w:rsidRPr="0035343D">
        <w:rPr>
          <w:lang w:eastAsia="en-GB"/>
        </w:rPr>
        <w:t>avis même de sa hiérarchie, était irréprochable, et qu</w:t>
      </w:r>
      <w:r>
        <w:rPr>
          <w:lang w:eastAsia="en-GB"/>
        </w:rPr>
        <w:t>’</w:t>
      </w:r>
      <w:r w:rsidRPr="0035343D">
        <w:rPr>
          <w:lang w:eastAsia="en-GB"/>
        </w:rPr>
        <w:t xml:space="preserve">il a multiplié les efforts de formation pour évoluer professionnellement. </w:t>
      </w:r>
    </w:p>
    <w:p w14:paraId="2C5C7DAB" w14:textId="597674A7" w:rsidR="00DF04F7" w:rsidRPr="0035343D" w:rsidRDefault="00DF04F7" w:rsidP="00987B66">
      <w:pPr>
        <w:pStyle w:val="SingleTxtG"/>
        <w:rPr>
          <w:lang w:eastAsia="en-GB"/>
        </w:rPr>
      </w:pPr>
      <w:r w:rsidRPr="0035343D">
        <w:rPr>
          <w:lang w:eastAsia="en-GB"/>
        </w:rPr>
        <w:t>2.3</w:t>
      </w:r>
      <w:r w:rsidRPr="0035343D">
        <w:rPr>
          <w:lang w:eastAsia="en-GB"/>
        </w:rPr>
        <w:tab/>
        <w:t>Le 20</w:t>
      </w:r>
      <w:r w:rsidR="008B4CD3">
        <w:rPr>
          <w:lang w:eastAsia="en-GB"/>
        </w:rPr>
        <w:t> </w:t>
      </w:r>
      <w:r w:rsidRPr="0035343D">
        <w:rPr>
          <w:lang w:eastAsia="en-GB"/>
        </w:rPr>
        <w:t>mars 2003, l</w:t>
      </w:r>
      <w:r>
        <w:rPr>
          <w:lang w:eastAsia="en-GB"/>
        </w:rPr>
        <w:t>’</w:t>
      </w:r>
      <w:r w:rsidRPr="0035343D">
        <w:rPr>
          <w:lang w:eastAsia="en-GB"/>
        </w:rPr>
        <w:t xml:space="preserve">auteur a saisi le Conseil de </w:t>
      </w:r>
      <w:r>
        <w:rPr>
          <w:lang w:eastAsia="en-GB"/>
        </w:rPr>
        <w:t>p</w:t>
      </w:r>
      <w:r w:rsidRPr="0035343D">
        <w:rPr>
          <w:lang w:eastAsia="en-GB"/>
        </w:rPr>
        <w:t>rud</w:t>
      </w:r>
      <w:r>
        <w:rPr>
          <w:lang w:eastAsia="en-GB"/>
        </w:rPr>
        <w:t>’</w:t>
      </w:r>
      <w:r w:rsidRPr="0035343D">
        <w:rPr>
          <w:lang w:eastAsia="en-GB"/>
        </w:rPr>
        <w:t>hommes de Boulogne</w:t>
      </w:r>
      <w:r w:rsidR="008B4CD3">
        <w:rPr>
          <w:lang w:eastAsia="en-GB"/>
        </w:rPr>
        <w:noBreakHyphen/>
      </w:r>
      <w:r w:rsidRPr="0035343D">
        <w:rPr>
          <w:lang w:eastAsia="en-GB"/>
        </w:rPr>
        <w:t>Billancourt</w:t>
      </w:r>
      <w:r>
        <w:rPr>
          <w:lang w:eastAsia="en-GB"/>
        </w:rPr>
        <w:t>,</w:t>
      </w:r>
      <w:r w:rsidRPr="0035343D">
        <w:rPr>
          <w:lang w:eastAsia="en-GB"/>
        </w:rPr>
        <w:t xml:space="preserve"> </w:t>
      </w:r>
      <w:r>
        <w:rPr>
          <w:lang w:eastAsia="en-GB"/>
        </w:rPr>
        <w:t>afin</w:t>
      </w:r>
      <w:r w:rsidRPr="0035343D">
        <w:rPr>
          <w:lang w:eastAsia="en-GB"/>
        </w:rPr>
        <w:t xml:space="preserve"> de faire constater la discrimination professionnelle dont il a été victime tout au long de sa carrière au sein de la société en raison de ses origines</w:t>
      </w:r>
      <w:r>
        <w:rPr>
          <w:lang w:eastAsia="en-GB"/>
        </w:rPr>
        <w:t>,</w:t>
      </w:r>
      <w:r w:rsidRPr="0035343D">
        <w:rPr>
          <w:lang w:eastAsia="en-GB"/>
        </w:rPr>
        <w:t xml:space="preserve"> d</w:t>
      </w:r>
      <w:r>
        <w:rPr>
          <w:lang w:eastAsia="en-GB"/>
        </w:rPr>
        <w:t>’</w:t>
      </w:r>
      <w:r w:rsidRPr="0035343D">
        <w:rPr>
          <w:lang w:eastAsia="en-GB"/>
        </w:rPr>
        <w:t xml:space="preserve">obtenir des dommages-intérêts en réparation </w:t>
      </w:r>
      <w:r>
        <w:rPr>
          <w:lang w:eastAsia="en-GB"/>
        </w:rPr>
        <w:t>du</w:t>
      </w:r>
      <w:r w:rsidRPr="0035343D">
        <w:rPr>
          <w:lang w:eastAsia="en-GB"/>
        </w:rPr>
        <w:t xml:space="preserve"> préjudice</w:t>
      </w:r>
      <w:r>
        <w:rPr>
          <w:lang w:eastAsia="en-GB"/>
        </w:rPr>
        <w:t xml:space="preserve"> subi,</w:t>
      </w:r>
      <w:r w:rsidRPr="0035343D">
        <w:rPr>
          <w:lang w:eastAsia="en-GB"/>
        </w:rPr>
        <w:t xml:space="preserve"> et d</w:t>
      </w:r>
      <w:r>
        <w:rPr>
          <w:lang w:eastAsia="en-GB"/>
        </w:rPr>
        <w:t>’</w:t>
      </w:r>
      <w:r w:rsidRPr="0035343D">
        <w:rPr>
          <w:lang w:eastAsia="en-GB"/>
        </w:rPr>
        <w:t>être repositionné dans les coefficients qu</w:t>
      </w:r>
      <w:r>
        <w:rPr>
          <w:lang w:eastAsia="en-GB"/>
        </w:rPr>
        <w:t>’</w:t>
      </w:r>
      <w:r w:rsidRPr="0035343D">
        <w:rPr>
          <w:lang w:eastAsia="en-GB"/>
        </w:rPr>
        <w:t xml:space="preserve">il aurait dû atteindre. </w:t>
      </w:r>
    </w:p>
    <w:p w14:paraId="734DCEE0" w14:textId="2C316715" w:rsidR="00DF04F7" w:rsidRPr="0035343D" w:rsidRDefault="00DF04F7" w:rsidP="00987B66">
      <w:pPr>
        <w:pStyle w:val="SingleTxtG"/>
        <w:rPr>
          <w:lang w:eastAsia="en-GB"/>
        </w:rPr>
      </w:pPr>
      <w:r w:rsidRPr="0035343D">
        <w:rPr>
          <w:lang w:eastAsia="en-GB"/>
        </w:rPr>
        <w:t>2.4</w:t>
      </w:r>
      <w:r w:rsidRPr="0035343D">
        <w:rPr>
          <w:lang w:eastAsia="en-GB"/>
        </w:rPr>
        <w:tab/>
        <w:t>Le 12</w:t>
      </w:r>
      <w:r w:rsidR="00666A7C">
        <w:rPr>
          <w:lang w:eastAsia="en-GB"/>
        </w:rPr>
        <w:t> </w:t>
      </w:r>
      <w:r w:rsidRPr="0035343D">
        <w:rPr>
          <w:lang w:eastAsia="en-GB"/>
        </w:rPr>
        <w:t xml:space="preserve">décembre 2005, le Conseil de </w:t>
      </w:r>
      <w:r>
        <w:rPr>
          <w:lang w:eastAsia="en-GB"/>
        </w:rPr>
        <w:t>p</w:t>
      </w:r>
      <w:r w:rsidRPr="0035343D">
        <w:rPr>
          <w:lang w:eastAsia="en-GB"/>
        </w:rPr>
        <w:t>rud</w:t>
      </w:r>
      <w:r>
        <w:rPr>
          <w:lang w:eastAsia="en-GB"/>
        </w:rPr>
        <w:t>’</w:t>
      </w:r>
      <w:r w:rsidRPr="0035343D">
        <w:rPr>
          <w:lang w:eastAsia="en-GB"/>
        </w:rPr>
        <w:t>hommes a débouté l</w:t>
      </w:r>
      <w:r>
        <w:rPr>
          <w:lang w:eastAsia="en-GB"/>
        </w:rPr>
        <w:t>’</w:t>
      </w:r>
      <w:r w:rsidRPr="0035343D">
        <w:rPr>
          <w:lang w:eastAsia="en-GB"/>
        </w:rPr>
        <w:t>auteur de ses demandes, en justifiant sa décision par le fait que l</w:t>
      </w:r>
      <w:r>
        <w:rPr>
          <w:lang w:eastAsia="en-GB"/>
        </w:rPr>
        <w:t>’</w:t>
      </w:r>
      <w:r w:rsidRPr="0035343D">
        <w:rPr>
          <w:lang w:eastAsia="en-GB"/>
        </w:rPr>
        <w:t>auteur n</w:t>
      </w:r>
      <w:r>
        <w:rPr>
          <w:lang w:eastAsia="en-GB"/>
        </w:rPr>
        <w:t>’</w:t>
      </w:r>
      <w:r w:rsidRPr="0035343D">
        <w:rPr>
          <w:lang w:eastAsia="en-GB"/>
        </w:rPr>
        <w:t>a</w:t>
      </w:r>
      <w:r>
        <w:rPr>
          <w:lang w:eastAsia="en-GB"/>
        </w:rPr>
        <w:t>vait</w:t>
      </w:r>
      <w:r w:rsidRPr="0035343D">
        <w:rPr>
          <w:lang w:eastAsia="en-GB"/>
        </w:rPr>
        <w:t xml:space="preserve"> jamais évoqué la stagnation de sa carrière et les discriminations endurées au moment où il travaillait chez Renault. Le</w:t>
      </w:r>
      <w:r w:rsidR="00666A7C">
        <w:rPr>
          <w:lang w:eastAsia="en-GB"/>
        </w:rPr>
        <w:t> </w:t>
      </w:r>
      <w:r w:rsidRPr="0035343D">
        <w:rPr>
          <w:lang w:eastAsia="en-GB"/>
        </w:rPr>
        <w:t>Conseil a rappelé que les entretiens individuels de la période comprise entre 1996 et 2003 ne témoign</w:t>
      </w:r>
      <w:r>
        <w:rPr>
          <w:lang w:eastAsia="en-GB"/>
        </w:rPr>
        <w:t>ai</w:t>
      </w:r>
      <w:r w:rsidRPr="0035343D">
        <w:rPr>
          <w:lang w:eastAsia="en-GB"/>
        </w:rPr>
        <w:t>ent d</w:t>
      </w:r>
      <w:r>
        <w:rPr>
          <w:lang w:eastAsia="en-GB"/>
        </w:rPr>
        <w:t>’</w:t>
      </w:r>
      <w:r w:rsidRPr="0035343D">
        <w:rPr>
          <w:lang w:eastAsia="en-GB"/>
        </w:rPr>
        <w:t>aucune plainte concernant la stagnation professionnelle de l</w:t>
      </w:r>
      <w:r>
        <w:rPr>
          <w:lang w:eastAsia="en-GB"/>
        </w:rPr>
        <w:t>’</w:t>
      </w:r>
      <w:r w:rsidRPr="0035343D">
        <w:rPr>
          <w:lang w:eastAsia="en-GB"/>
        </w:rPr>
        <w:t>auteur. De</w:t>
      </w:r>
      <w:r w:rsidR="00666A7C">
        <w:rPr>
          <w:lang w:eastAsia="en-GB"/>
        </w:rPr>
        <w:t> </w:t>
      </w:r>
      <w:r w:rsidRPr="0035343D">
        <w:rPr>
          <w:lang w:eastAsia="en-GB"/>
        </w:rPr>
        <w:t xml:space="preserve">plus, le Conseil a indiqué que les faits </w:t>
      </w:r>
      <w:r>
        <w:rPr>
          <w:lang w:eastAsia="en-GB"/>
        </w:rPr>
        <w:t>devaient</w:t>
      </w:r>
      <w:r w:rsidRPr="0035343D">
        <w:rPr>
          <w:lang w:eastAsia="en-GB"/>
        </w:rPr>
        <w:t xml:space="preserve"> être appréciés dans le contexte de l</w:t>
      </w:r>
      <w:r>
        <w:rPr>
          <w:lang w:eastAsia="en-GB"/>
        </w:rPr>
        <w:t>’</w:t>
      </w:r>
      <w:r w:rsidRPr="0035343D">
        <w:rPr>
          <w:lang w:eastAsia="en-GB"/>
        </w:rPr>
        <w:t xml:space="preserve">époque où ils </w:t>
      </w:r>
      <w:r>
        <w:rPr>
          <w:lang w:eastAsia="en-GB"/>
        </w:rPr>
        <w:t>s’étaient</w:t>
      </w:r>
      <w:r w:rsidRPr="0035343D">
        <w:rPr>
          <w:lang w:eastAsia="en-GB"/>
        </w:rPr>
        <w:t xml:space="preserve"> déroulés, avec des contraintes résultant de réorganisations et </w:t>
      </w:r>
      <w:r>
        <w:rPr>
          <w:lang w:eastAsia="en-GB"/>
        </w:rPr>
        <w:t xml:space="preserve">de </w:t>
      </w:r>
      <w:r w:rsidRPr="0035343D">
        <w:rPr>
          <w:lang w:eastAsia="en-GB"/>
        </w:rPr>
        <w:t>fusions, et de leurs conséquences économiques. De même, le Conseil a constaté qu</w:t>
      </w:r>
      <w:r>
        <w:rPr>
          <w:lang w:eastAsia="en-GB"/>
        </w:rPr>
        <w:t>’</w:t>
      </w:r>
      <w:r w:rsidRPr="0035343D">
        <w:rPr>
          <w:lang w:eastAsia="en-GB"/>
        </w:rPr>
        <w:t xml:space="preserve">en </w:t>
      </w:r>
      <w:r>
        <w:rPr>
          <w:lang w:eastAsia="en-GB"/>
        </w:rPr>
        <w:t>tenant</w:t>
      </w:r>
      <w:r w:rsidRPr="0035343D">
        <w:rPr>
          <w:lang w:eastAsia="en-GB"/>
        </w:rPr>
        <w:t xml:space="preserve"> compte du rapport de l</w:t>
      </w:r>
      <w:r>
        <w:rPr>
          <w:lang w:eastAsia="en-GB"/>
        </w:rPr>
        <w:t>’</w:t>
      </w:r>
      <w:r w:rsidRPr="0035343D">
        <w:rPr>
          <w:lang w:eastAsia="en-GB"/>
        </w:rPr>
        <w:t>expert</w:t>
      </w:r>
      <w:r w:rsidRPr="00BE05EF">
        <w:rPr>
          <w:rStyle w:val="Appelnotedebasdep"/>
        </w:rPr>
        <w:footnoteReference w:id="6"/>
      </w:r>
      <w:r>
        <w:rPr>
          <w:lang w:eastAsia="en-GB"/>
        </w:rPr>
        <w:t>,</w:t>
      </w:r>
      <w:r w:rsidRPr="0035343D">
        <w:rPr>
          <w:lang w:eastAsia="en-GB"/>
        </w:rPr>
        <w:t xml:space="preserve"> et malgré l</w:t>
      </w:r>
      <w:r>
        <w:rPr>
          <w:lang w:eastAsia="en-GB"/>
        </w:rPr>
        <w:t>’</w:t>
      </w:r>
      <w:r w:rsidRPr="0035343D">
        <w:rPr>
          <w:lang w:eastAsia="en-GB"/>
        </w:rPr>
        <w:t xml:space="preserve">existence des différences de salaires, </w:t>
      </w:r>
      <w:r>
        <w:rPr>
          <w:lang w:eastAsia="en-GB"/>
        </w:rPr>
        <w:t xml:space="preserve">de </w:t>
      </w:r>
      <w:r w:rsidRPr="0035343D">
        <w:rPr>
          <w:lang w:eastAsia="en-GB"/>
        </w:rPr>
        <w:t xml:space="preserve">coefficients et </w:t>
      </w:r>
      <w:r>
        <w:rPr>
          <w:lang w:eastAsia="en-GB"/>
        </w:rPr>
        <w:t xml:space="preserve">de </w:t>
      </w:r>
      <w:r w:rsidRPr="0035343D">
        <w:rPr>
          <w:lang w:eastAsia="en-GB"/>
        </w:rPr>
        <w:t>déroulement des carrières, il n</w:t>
      </w:r>
      <w:r>
        <w:rPr>
          <w:lang w:eastAsia="en-GB"/>
        </w:rPr>
        <w:t>’était</w:t>
      </w:r>
      <w:r w:rsidRPr="0035343D">
        <w:rPr>
          <w:lang w:eastAsia="en-GB"/>
        </w:rPr>
        <w:t xml:space="preserve"> pas possible de constater « le moindre fait visant à écarter un salarié en raison de ses origines, de ses opinions ou croyances ». Le</w:t>
      </w:r>
      <w:r w:rsidR="003B547B">
        <w:rPr>
          <w:lang w:eastAsia="en-GB"/>
        </w:rPr>
        <w:t> </w:t>
      </w:r>
      <w:r w:rsidRPr="0035343D">
        <w:rPr>
          <w:lang w:eastAsia="en-GB"/>
        </w:rPr>
        <w:t>Conseil a rappelé également que l</w:t>
      </w:r>
      <w:r>
        <w:rPr>
          <w:lang w:eastAsia="en-GB"/>
        </w:rPr>
        <w:t>’</w:t>
      </w:r>
      <w:r w:rsidRPr="0035343D">
        <w:rPr>
          <w:lang w:eastAsia="en-GB"/>
        </w:rPr>
        <w:t>auteur avait déjà formulé une demande d</w:t>
      </w:r>
      <w:r>
        <w:rPr>
          <w:lang w:eastAsia="en-GB"/>
        </w:rPr>
        <w:t>’</w:t>
      </w:r>
      <w:r w:rsidRPr="0035343D">
        <w:rPr>
          <w:lang w:eastAsia="en-GB"/>
        </w:rPr>
        <w:t>examen de son dossier dans le cadre de la discrimination syndicale qui n</w:t>
      </w:r>
      <w:r>
        <w:rPr>
          <w:lang w:eastAsia="en-GB"/>
        </w:rPr>
        <w:t>’</w:t>
      </w:r>
      <w:r w:rsidRPr="0035343D">
        <w:rPr>
          <w:lang w:eastAsia="en-GB"/>
        </w:rPr>
        <w:t>a</w:t>
      </w:r>
      <w:r>
        <w:rPr>
          <w:lang w:eastAsia="en-GB"/>
        </w:rPr>
        <w:t>vait</w:t>
      </w:r>
      <w:r w:rsidRPr="0035343D">
        <w:rPr>
          <w:lang w:eastAsia="en-GB"/>
        </w:rPr>
        <w:t xml:space="preserve"> pas abouti, et que les actions de l</w:t>
      </w:r>
      <w:r>
        <w:rPr>
          <w:lang w:eastAsia="en-GB"/>
        </w:rPr>
        <w:t>’</w:t>
      </w:r>
      <w:r w:rsidRPr="0035343D">
        <w:rPr>
          <w:lang w:eastAsia="en-GB"/>
        </w:rPr>
        <w:t xml:space="preserve">auteur semblaient </w:t>
      </w:r>
      <w:r>
        <w:rPr>
          <w:lang w:eastAsia="en-GB"/>
        </w:rPr>
        <w:t>« </w:t>
      </w:r>
      <w:r w:rsidRPr="0035343D">
        <w:rPr>
          <w:lang w:eastAsia="en-GB"/>
        </w:rPr>
        <w:t>démontrer sa volonté d</w:t>
      </w:r>
      <w:r>
        <w:rPr>
          <w:lang w:eastAsia="en-GB"/>
        </w:rPr>
        <w:t>’</w:t>
      </w:r>
      <w:r w:rsidRPr="0035343D">
        <w:rPr>
          <w:lang w:eastAsia="en-GB"/>
        </w:rPr>
        <w:t>obtenir la réparation d</w:t>
      </w:r>
      <w:r>
        <w:rPr>
          <w:lang w:eastAsia="en-GB"/>
        </w:rPr>
        <w:t>’</w:t>
      </w:r>
      <w:r w:rsidRPr="0035343D">
        <w:rPr>
          <w:lang w:eastAsia="en-GB"/>
        </w:rPr>
        <w:t>un prétendu préjudice par le biais d</w:t>
      </w:r>
      <w:r>
        <w:rPr>
          <w:lang w:eastAsia="en-GB"/>
        </w:rPr>
        <w:t>’</w:t>
      </w:r>
      <w:r w:rsidRPr="0035343D">
        <w:rPr>
          <w:lang w:eastAsia="en-GB"/>
        </w:rPr>
        <w:t xml:space="preserve">une discrimination ». </w:t>
      </w:r>
    </w:p>
    <w:p w14:paraId="0B066BB4" w14:textId="118A13AB" w:rsidR="00DF04F7" w:rsidRPr="0035343D" w:rsidRDefault="00DF04F7" w:rsidP="00987B66">
      <w:pPr>
        <w:pStyle w:val="SingleTxtG"/>
        <w:rPr>
          <w:lang w:eastAsia="en-GB"/>
        </w:rPr>
      </w:pPr>
      <w:r w:rsidRPr="0035343D">
        <w:rPr>
          <w:lang w:eastAsia="en-GB"/>
        </w:rPr>
        <w:t>2.5</w:t>
      </w:r>
      <w:r w:rsidRPr="0035343D">
        <w:rPr>
          <w:lang w:eastAsia="en-GB"/>
        </w:rPr>
        <w:tab/>
        <w:t>L</w:t>
      </w:r>
      <w:r>
        <w:rPr>
          <w:lang w:eastAsia="en-GB"/>
        </w:rPr>
        <w:t>’</w:t>
      </w:r>
      <w:r w:rsidRPr="0035343D">
        <w:rPr>
          <w:lang w:eastAsia="en-GB"/>
        </w:rPr>
        <w:t>auteur a interjeté appel de cette décision et, par un arrêt partiellement infirmatif du 2</w:t>
      </w:r>
      <w:r w:rsidR="003B547B">
        <w:rPr>
          <w:lang w:eastAsia="en-GB"/>
        </w:rPr>
        <w:t> </w:t>
      </w:r>
      <w:r w:rsidRPr="0035343D">
        <w:rPr>
          <w:lang w:eastAsia="en-GB"/>
        </w:rPr>
        <w:t xml:space="preserve">avril 2008, la </w:t>
      </w:r>
      <w:r>
        <w:rPr>
          <w:lang w:eastAsia="en-GB"/>
        </w:rPr>
        <w:t>c</w:t>
      </w:r>
      <w:r w:rsidRPr="0035343D">
        <w:rPr>
          <w:lang w:eastAsia="en-GB"/>
        </w:rPr>
        <w:t>hambre sociale de la cour d</w:t>
      </w:r>
      <w:r>
        <w:rPr>
          <w:lang w:eastAsia="en-GB"/>
        </w:rPr>
        <w:t>’</w:t>
      </w:r>
      <w:r w:rsidRPr="0035343D">
        <w:rPr>
          <w:lang w:eastAsia="en-GB"/>
        </w:rPr>
        <w:t>appel de Versailles a condamné la société Renault à lui payer la somme de 60</w:t>
      </w:r>
      <w:r>
        <w:rPr>
          <w:lang w:eastAsia="en-GB"/>
        </w:rPr>
        <w:t> </w:t>
      </w:r>
      <w:r w:rsidRPr="0035343D">
        <w:rPr>
          <w:lang w:eastAsia="en-GB"/>
        </w:rPr>
        <w:t>000</w:t>
      </w:r>
      <w:r>
        <w:rPr>
          <w:lang w:eastAsia="en-GB"/>
        </w:rPr>
        <w:t> </w:t>
      </w:r>
      <w:r w:rsidRPr="0035343D">
        <w:rPr>
          <w:lang w:eastAsia="en-GB"/>
        </w:rPr>
        <w:t>euros en réparation de son préjudice matériel et de carrière, ainsi que la somme de 8</w:t>
      </w:r>
      <w:r>
        <w:rPr>
          <w:lang w:eastAsia="en-GB"/>
        </w:rPr>
        <w:t> </w:t>
      </w:r>
      <w:r w:rsidRPr="0035343D">
        <w:rPr>
          <w:lang w:eastAsia="en-GB"/>
        </w:rPr>
        <w:t>000</w:t>
      </w:r>
      <w:r>
        <w:rPr>
          <w:lang w:eastAsia="en-GB"/>
        </w:rPr>
        <w:t> </w:t>
      </w:r>
      <w:r w:rsidRPr="0035343D">
        <w:rPr>
          <w:lang w:eastAsia="en-GB"/>
        </w:rPr>
        <w:t xml:space="preserve">euros en réparation de son préjudice moral. La </w:t>
      </w:r>
      <w:r>
        <w:rPr>
          <w:lang w:eastAsia="en-GB"/>
        </w:rPr>
        <w:t>c</w:t>
      </w:r>
      <w:r w:rsidRPr="0035343D">
        <w:rPr>
          <w:lang w:eastAsia="en-GB"/>
        </w:rPr>
        <w:t>our a également ordonné le repositionnement de l</w:t>
      </w:r>
      <w:r>
        <w:rPr>
          <w:lang w:eastAsia="en-GB"/>
        </w:rPr>
        <w:t>’</w:t>
      </w:r>
      <w:r w:rsidRPr="0035343D">
        <w:rPr>
          <w:lang w:eastAsia="en-GB"/>
        </w:rPr>
        <w:t>auteur au coefficient</w:t>
      </w:r>
      <w:r w:rsidR="00891752">
        <w:rPr>
          <w:lang w:eastAsia="en-GB"/>
        </w:rPr>
        <w:t> </w:t>
      </w:r>
      <w:r w:rsidRPr="0035343D">
        <w:rPr>
          <w:lang w:eastAsia="en-GB"/>
        </w:rPr>
        <w:t>260</w:t>
      </w:r>
      <w:r>
        <w:rPr>
          <w:lang w:eastAsia="en-GB"/>
        </w:rPr>
        <w:t>,</w:t>
      </w:r>
      <w:r w:rsidRPr="0035343D">
        <w:rPr>
          <w:lang w:eastAsia="en-GB"/>
        </w:rPr>
        <w:t xml:space="preserve"> de 1985 à 1989</w:t>
      </w:r>
      <w:r>
        <w:rPr>
          <w:lang w:eastAsia="en-GB"/>
        </w:rPr>
        <w:t>,</w:t>
      </w:r>
      <w:r w:rsidRPr="0035343D">
        <w:rPr>
          <w:lang w:eastAsia="en-GB"/>
        </w:rPr>
        <w:t xml:space="preserve"> puis 285</w:t>
      </w:r>
      <w:r>
        <w:rPr>
          <w:lang w:eastAsia="en-GB"/>
        </w:rPr>
        <w:t>,</w:t>
      </w:r>
      <w:r w:rsidRPr="0035343D">
        <w:rPr>
          <w:lang w:eastAsia="en-GB"/>
        </w:rPr>
        <w:t xml:space="preserve"> de 1990 à 1999</w:t>
      </w:r>
      <w:r>
        <w:rPr>
          <w:lang w:eastAsia="en-GB"/>
        </w:rPr>
        <w:t>,</w:t>
      </w:r>
      <w:r w:rsidRPr="0035343D">
        <w:rPr>
          <w:lang w:eastAsia="en-GB"/>
        </w:rPr>
        <w:t xml:space="preserve"> et</w:t>
      </w:r>
      <w:r>
        <w:rPr>
          <w:lang w:eastAsia="en-GB"/>
        </w:rPr>
        <w:t>,</w:t>
      </w:r>
      <w:r w:rsidRPr="0035343D">
        <w:rPr>
          <w:lang w:eastAsia="en-GB"/>
        </w:rPr>
        <w:t xml:space="preserve"> enfin</w:t>
      </w:r>
      <w:r>
        <w:rPr>
          <w:lang w:eastAsia="en-GB"/>
        </w:rPr>
        <w:t>,</w:t>
      </w:r>
      <w:r w:rsidRPr="0035343D">
        <w:rPr>
          <w:lang w:eastAsia="en-GB"/>
        </w:rPr>
        <w:t xml:space="preserve"> au coefficient</w:t>
      </w:r>
      <w:r w:rsidR="00891752">
        <w:rPr>
          <w:lang w:eastAsia="en-GB"/>
        </w:rPr>
        <w:t> </w:t>
      </w:r>
      <w:r w:rsidRPr="0035343D">
        <w:rPr>
          <w:lang w:eastAsia="en-GB"/>
        </w:rPr>
        <w:t>305</w:t>
      </w:r>
      <w:r>
        <w:rPr>
          <w:lang w:eastAsia="en-GB"/>
        </w:rPr>
        <w:t>,</w:t>
      </w:r>
      <w:r w:rsidRPr="0035343D">
        <w:rPr>
          <w:lang w:eastAsia="en-GB"/>
        </w:rPr>
        <w:t xml:space="preserve"> de 2000 jusqu</w:t>
      </w:r>
      <w:r>
        <w:rPr>
          <w:lang w:eastAsia="en-GB"/>
        </w:rPr>
        <w:t>’</w:t>
      </w:r>
      <w:r w:rsidRPr="0035343D">
        <w:rPr>
          <w:lang w:eastAsia="en-GB"/>
        </w:rPr>
        <w:t xml:space="preserve">à son départ à la retraite. La cour relève dans son arrêt que la </w:t>
      </w:r>
      <w:r>
        <w:rPr>
          <w:lang w:eastAsia="en-GB"/>
        </w:rPr>
        <w:t>s</w:t>
      </w:r>
      <w:r w:rsidRPr="0035343D">
        <w:rPr>
          <w:lang w:eastAsia="en-GB"/>
        </w:rPr>
        <w:t xml:space="preserve">ociété Renault </w:t>
      </w:r>
      <w:r>
        <w:rPr>
          <w:lang w:eastAsia="en-GB"/>
        </w:rPr>
        <w:t>n’apporte</w:t>
      </w:r>
      <w:r w:rsidRPr="0035343D">
        <w:rPr>
          <w:lang w:eastAsia="en-GB"/>
        </w:rPr>
        <w:t xml:space="preserve"> pas la preuve qui lui incombait que la différence de traitement quant à l</w:t>
      </w:r>
      <w:r>
        <w:rPr>
          <w:lang w:eastAsia="en-GB"/>
        </w:rPr>
        <w:t>’</w:t>
      </w:r>
      <w:r w:rsidRPr="0035343D">
        <w:rPr>
          <w:lang w:eastAsia="en-GB"/>
        </w:rPr>
        <w:t>évolution de carrière entre l</w:t>
      </w:r>
      <w:r>
        <w:rPr>
          <w:lang w:eastAsia="en-GB"/>
        </w:rPr>
        <w:t>’</w:t>
      </w:r>
      <w:r w:rsidRPr="0035343D">
        <w:rPr>
          <w:lang w:eastAsia="en-GB"/>
        </w:rPr>
        <w:t>auteur et les salariés placés dans une situation comparable était « justifiée par des éléments objectifs étrangers à toute discrimination fondée sur l</w:t>
      </w:r>
      <w:r>
        <w:rPr>
          <w:lang w:eastAsia="en-GB"/>
        </w:rPr>
        <w:t>’</w:t>
      </w:r>
      <w:r w:rsidRPr="0035343D">
        <w:rPr>
          <w:lang w:eastAsia="en-GB"/>
        </w:rPr>
        <w:t>appartenance ou la non-appartenance, vraie ou supposée, à une ethnie, une nation ou une race</w:t>
      </w:r>
      <w:r>
        <w:rPr>
          <w:lang w:eastAsia="en-GB"/>
        </w:rPr>
        <w:t> »</w:t>
      </w:r>
      <w:r w:rsidRPr="0035343D">
        <w:rPr>
          <w:lang w:eastAsia="en-GB"/>
        </w:rPr>
        <w:t xml:space="preserve">, </w:t>
      </w:r>
      <w:r>
        <w:rPr>
          <w:lang w:eastAsia="en-GB"/>
        </w:rPr>
        <w:t>et qu’en conséquence, « </w:t>
      </w:r>
      <w:r w:rsidRPr="0035343D">
        <w:rPr>
          <w:lang w:eastAsia="en-GB"/>
        </w:rPr>
        <w:t>il y a lieu de considérer celle</w:t>
      </w:r>
      <w:r w:rsidR="00891752">
        <w:rPr>
          <w:lang w:eastAsia="en-GB"/>
        </w:rPr>
        <w:noBreakHyphen/>
      </w:r>
      <w:r w:rsidRPr="0035343D">
        <w:rPr>
          <w:lang w:eastAsia="en-GB"/>
        </w:rPr>
        <w:t>ci comme établie ».</w:t>
      </w:r>
    </w:p>
    <w:p w14:paraId="105E837A" w14:textId="77777777" w:rsidR="00DF04F7" w:rsidRPr="0035343D" w:rsidRDefault="00DF04F7" w:rsidP="00987B66">
      <w:pPr>
        <w:pStyle w:val="SingleTxtG"/>
        <w:rPr>
          <w:lang w:eastAsia="en-GB"/>
        </w:rPr>
      </w:pPr>
      <w:r w:rsidRPr="0035343D">
        <w:rPr>
          <w:lang w:eastAsia="en-GB"/>
        </w:rPr>
        <w:t>2.6</w:t>
      </w:r>
      <w:r w:rsidRPr="0035343D">
        <w:rPr>
          <w:lang w:eastAsia="en-GB"/>
        </w:rPr>
        <w:tab/>
        <w:t>La société Renault n</w:t>
      </w:r>
      <w:r>
        <w:rPr>
          <w:lang w:eastAsia="en-GB"/>
        </w:rPr>
        <w:t>’</w:t>
      </w:r>
      <w:r w:rsidRPr="0035343D">
        <w:rPr>
          <w:lang w:eastAsia="en-GB"/>
        </w:rPr>
        <w:t>a pas formé de pourvoi contre l</w:t>
      </w:r>
      <w:r>
        <w:rPr>
          <w:lang w:eastAsia="en-GB"/>
        </w:rPr>
        <w:t>’</w:t>
      </w:r>
      <w:r w:rsidRPr="0035343D">
        <w:rPr>
          <w:lang w:eastAsia="en-GB"/>
        </w:rPr>
        <w:t xml:space="preserve">arrêt et a exécuté partiellement la décision en procédant au règlement des sommes </w:t>
      </w:r>
      <w:r>
        <w:rPr>
          <w:lang w:eastAsia="en-GB"/>
        </w:rPr>
        <w:t>fixées dans celle-ci</w:t>
      </w:r>
      <w:r w:rsidRPr="0035343D">
        <w:rPr>
          <w:lang w:eastAsia="en-GB"/>
        </w:rPr>
        <w:t xml:space="preserve">, mais a refusé de procéder au repositionnement ordonné par la </w:t>
      </w:r>
      <w:r>
        <w:rPr>
          <w:lang w:eastAsia="en-GB"/>
        </w:rPr>
        <w:t>c</w:t>
      </w:r>
      <w:r w:rsidRPr="0035343D">
        <w:rPr>
          <w:lang w:eastAsia="en-GB"/>
        </w:rPr>
        <w:t>our</w:t>
      </w:r>
      <w:r>
        <w:rPr>
          <w:lang w:eastAsia="en-GB"/>
        </w:rPr>
        <w:t xml:space="preserve"> d’appel</w:t>
      </w:r>
      <w:r w:rsidRPr="0035343D">
        <w:rPr>
          <w:lang w:eastAsia="en-GB"/>
        </w:rPr>
        <w:t xml:space="preserve"> par la délivrance d</w:t>
      </w:r>
      <w:r>
        <w:rPr>
          <w:lang w:eastAsia="en-GB"/>
        </w:rPr>
        <w:t>’</w:t>
      </w:r>
      <w:r w:rsidRPr="0035343D">
        <w:rPr>
          <w:lang w:eastAsia="en-GB"/>
        </w:rPr>
        <w:t xml:space="preserve">un certificat de </w:t>
      </w:r>
      <w:r w:rsidRPr="0035343D">
        <w:rPr>
          <w:lang w:eastAsia="en-GB"/>
        </w:rPr>
        <w:lastRenderedPageBreak/>
        <w:t>travail mentionnant le repositionnement en question. L</w:t>
      </w:r>
      <w:r>
        <w:rPr>
          <w:lang w:eastAsia="en-GB"/>
        </w:rPr>
        <w:t>’</w:t>
      </w:r>
      <w:r w:rsidRPr="0035343D">
        <w:rPr>
          <w:lang w:eastAsia="en-GB"/>
        </w:rPr>
        <w:t xml:space="preserve">auteur affirme que ce refus a eu pour conséquence de le pénaliser dans le calcul de ses droits à la retraite. </w:t>
      </w:r>
    </w:p>
    <w:p w14:paraId="14E6A3CF" w14:textId="79215139" w:rsidR="00DF04F7" w:rsidRPr="0035343D" w:rsidRDefault="00DF04F7" w:rsidP="00987B66">
      <w:pPr>
        <w:pStyle w:val="SingleTxtG"/>
        <w:rPr>
          <w:lang w:eastAsia="en-GB"/>
        </w:rPr>
      </w:pPr>
      <w:r w:rsidRPr="0035343D">
        <w:rPr>
          <w:lang w:eastAsia="en-GB"/>
        </w:rPr>
        <w:t>2.7</w:t>
      </w:r>
      <w:r w:rsidRPr="0035343D">
        <w:rPr>
          <w:lang w:eastAsia="en-GB"/>
        </w:rPr>
        <w:tab/>
        <w:t>Le 28</w:t>
      </w:r>
      <w:r w:rsidR="00C55C9D">
        <w:rPr>
          <w:lang w:eastAsia="en-GB"/>
        </w:rPr>
        <w:t> </w:t>
      </w:r>
      <w:r w:rsidRPr="0035343D">
        <w:rPr>
          <w:lang w:eastAsia="en-GB"/>
        </w:rPr>
        <w:t>novembre 2008, l</w:t>
      </w:r>
      <w:r>
        <w:rPr>
          <w:lang w:eastAsia="en-GB"/>
        </w:rPr>
        <w:t>’</w:t>
      </w:r>
      <w:r w:rsidRPr="0035343D">
        <w:rPr>
          <w:lang w:eastAsia="en-GB"/>
        </w:rPr>
        <w:t>auteur a saisi le juge de l</w:t>
      </w:r>
      <w:r>
        <w:rPr>
          <w:lang w:eastAsia="en-GB"/>
        </w:rPr>
        <w:t>’</w:t>
      </w:r>
      <w:r w:rsidRPr="0035343D">
        <w:rPr>
          <w:lang w:eastAsia="en-GB"/>
        </w:rPr>
        <w:t xml:space="preserve">exécution du </w:t>
      </w:r>
      <w:r>
        <w:rPr>
          <w:lang w:eastAsia="en-GB"/>
        </w:rPr>
        <w:t>t</w:t>
      </w:r>
      <w:r w:rsidRPr="0035343D">
        <w:rPr>
          <w:lang w:eastAsia="en-GB"/>
        </w:rPr>
        <w:t xml:space="preserve">ribunal de </w:t>
      </w:r>
      <w:r>
        <w:rPr>
          <w:lang w:eastAsia="en-GB"/>
        </w:rPr>
        <w:t>g</w:t>
      </w:r>
      <w:r w:rsidRPr="0035343D">
        <w:rPr>
          <w:lang w:eastAsia="en-GB"/>
        </w:rPr>
        <w:t xml:space="preserve">rande </w:t>
      </w:r>
      <w:r>
        <w:rPr>
          <w:lang w:eastAsia="en-GB"/>
        </w:rPr>
        <w:t>i</w:t>
      </w:r>
      <w:r w:rsidRPr="0035343D">
        <w:rPr>
          <w:lang w:eastAsia="en-GB"/>
        </w:rPr>
        <w:t>nstance de Nanterre</w:t>
      </w:r>
      <w:r>
        <w:rPr>
          <w:lang w:eastAsia="en-GB"/>
        </w:rPr>
        <w:t>,</w:t>
      </w:r>
      <w:r w:rsidRPr="0035343D">
        <w:rPr>
          <w:lang w:eastAsia="en-GB"/>
        </w:rPr>
        <w:t xml:space="preserve"> afin qu</w:t>
      </w:r>
      <w:r>
        <w:rPr>
          <w:lang w:eastAsia="en-GB"/>
        </w:rPr>
        <w:t>’</w:t>
      </w:r>
      <w:r w:rsidRPr="0035343D">
        <w:rPr>
          <w:lang w:eastAsia="en-GB"/>
        </w:rPr>
        <w:t>il ordonne à la société Renault de lui délivrer un certificat de travail conforme au repositionnement prononcé par la cour d</w:t>
      </w:r>
      <w:r>
        <w:rPr>
          <w:lang w:eastAsia="en-GB"/>
        </w:rPr>
        <w:t>’</w:t>
      </w:r>
      <w:r w:rsidRPr="0035343D">
        <w:rPr>
          <w:lang w:eastAsia="en-GB"/>
        </w:rPr>
        <w:t>appel de Versailles.</w:t>
      </w:r>
    </w:p>
    <w:p w14:paraId="6F26F06C" w14:textId="0E35EA33" w:rsidR="00DF04F7" w:rsidRPr="0035343D" w:rsidRDefault="00DF04F7" w:rsidP="00987B66">
      <w:pPr>
        <w:pStyle w:val="SingleTxtG"/>
        <w:rPr>
          <w:lang w:eastAsia="en-GB"/>
        </w:rPr>
      </w:pPr>
      <w:r w:rsidRPr="0035343D">
        <w:rPr>
          <w:lang w:eastAsia="en-GB"/>
        </w:rPr>
        <w:t>2.8</w:t>
      </w:r>
      <w:r w:rsidRPr="0035343D">
        <w:rPr>
          <w:lang w:eastAsia="en-GB"/>
        </w:rPr>
        <w:tab/>
        <w:t>Le 17</w:t>
      </w:r>
      <w:r w:rsidR="003540FB">
        <w:rPr>
          <w:lang w:eastAsia="en-GB"/>
        </w:rPr>
        <w:t> </w:t>
      </w:r>
      <w:r w:rsidRPr="0035343D">
        <w:rPr>
          <w:lang w:eastAsia="en-GB"/>
        </w:rPr>
        <w:t>mars 2009, le juge de l</w:t>
      </w:r>
      <w:r>
        <w:rPr>
          <w:lang w:eastAsia="en-GB"/>
        </w:rPr>
        <w:t>’</w:t>
      </w:r>
      <w:r w:rsidRPr="0035343D">
        <w:rPr>
          <w:lang w:eastAsia="en-GB"/>
        </w:rPr>
        <w:t xml:space="preserve">exécution du </w:t>
      </w:r>
      <w:r>
        <w:rPr>
          <w:lang w:eastAsia="en-GB"/>
        </w:rPr>
        <w:t>t</w:t>
      </w:r>
      <w:r w:rsidRPr="0035343D">
        <w:rPr>
          <w:lang w:eastAsia="en-GB"/>
        </w:rPr>
        <w:t xml:space="preserve">ribunal de </w:t>
      </w:r>
      <w:r>
        <w:rPr>
          <w:lang w:eastAsia="en-GB"/>
        </w:rPr>
        <w:t>g</w:t>
      </w:r>
      <w:r w:rsidRPr="0035343D">
        <w:rPr>
          <w:lang w:eastAsia="en-GB"/>
        </w:rPr>
        <w:t xml:space="preserve">rande </w:t>
      </w:r>
      <w:r>
        <w:rPr>
          <w:lang w:eastAsia="en-GB"/>
        </w:rPr>
        <w:t>i</w:t>
      </w:r>
      <w:r w:rsidRPr="0035343D">
        <w:rPr>
          <w:lang w:eastAsia="en-GB"/>
        </w:rPr>
        <w:t>nstance de Nanterre s</w:t>
      </w:r>
      <w:r>
        <w:rPr>
          <w:lang w:eastAsia="en-GB"/>
        </w:rPr>
        <w:t>’</w:t>
      </w:r>
      <w:r w:rsidRPr="0035343D">
        <w:rPr>
          <w:lang w:eastAsia="en-GB"/>
        </w:rPr>
        <w:t>est déclaré incompétent</w:t>
      </w:r>
      <w:r>
        <w:rPr>
          <w:lang w:eastAsia="en-GB"/>
        </w:rPr>
        <w:t>,</w:t>
      </w:r>
      <w:r w:rsidRPr="0035343D">
        <w:rPr>
          <w:lang w:eastAsia="en-GB"/>
        </w:rPr>
        <w:t xml:space="preserve"> au motif que les obligations de délivrance de certificat et </w:t>
      </w:r>
      <w:r>
        <w:rPr>
          <w:lang w:eastAsia="en-GB"/>
        </w:rPr>
        <w:t xml:space="preserve">de </w:t>
      </w:r>
      <w:r w:rsidRPr="0035343D">
        <w:rPr>
          <w:lang w:eastAsia="en-GB"/>
        </w:rPr>
        <w:t xml:space="preserve">bulletins de paie </w:t>
      </w:r>
      <w:r>
        <w:rPr>
          <w:lang w:eastAsia="en-GB"/>
        </w:rPr>
        <w:t>étaient</w:t>
      </w:r>
      <w:r w:rsidRPr="0035343D">
        <w:rPr>
          <w:lang w:eastAsia="en-GB"/>
        </w:rPr>
        <w:t xml:space="preserve"> imposées à l</w:t>
      </w:r>
      <w:r>
        <w:rPr>
          <w:lang w:eastAsia="en-GB"/>
        </w:rPr>
        <w:t>’</w:t>
      </w:r>
      <w:r w:rsidRPr="0035343D">
        <w:rPr>
          <w:lang w:eastAsia="en-GB"/>
        </w:rPr>
        <w:t xml:space="preserve">employeur et </w:t>
      </w:r>
      <w:r>
        <w:rPr>
          <w:lang w:eastAsia="en-GB"/>
        </w:rPr>
        <w:t>relevaient</w:t>
      </w:r>
      <w:r w:rsidRPr="0035343D">
        <w:rPr>
          <w:lang w:eastAsia="en-GB"/>
        </w:rPr>
        <w:t xml:space="preserve"> de la compétence exclusive de la juridiction prud</w:t>
      </w:r>
      <w:r>
        <w:rPr>
          <w:lang w:eastAsia="en-GB"/>
        </w:rPr>
        <w:t>’</w:t>
      </w:r>
      <w:r w:rsidRPr="0035343D">
        <w:rPr>
          <w:lang w:eastAsia="en-GB"/>
        </w:rPr>
        <w:t>homale. Le juge a aussi considéré qu</w:t>
      </w:r>
      <w:r>
        <w:rPr>
          <w:lang w:eastAsia="en-GB"/>
        </w:rPr>
        <w:t>’</w:t>
      </w:r>
      <w:r w:rsidRPr="0035343D">
        <w:rPr>
          <w:lang w:eastAsia="en-GB"/>
        </w:rPr>
        <w:t>étant donné qu</w:t>
      </w:r>
      <w:r>
        <w:rPr>
          <w:lang w:eastAsia="en-GB"/>
        </w:rPr>
        <w:t>’</w:t>
      </w:r>
      <w:r w:rsidRPr="0035343D">
        <w:rPr>
          <w:lang w:eastAsia="en-GB"/>
        </w:rPr>
        <w:t>aucune demande n</w:t>
      </w:r>
      <w:r>
        <w:rPr>
          <w:lang w:eastAsia="en-GB"/>
        </w:rPr>
        <w:t>’</w:t>
      </w:r>
      <w:r w:rsidRPr="0035343D">
        <w:rPr>
          <w:lang w:eastAsia="en-GB"/>
        </w:rPr>
        <w:t xml:space="preserve">avait été formée devant la </w:t>
      </w:r>
      <w:r>
        <w:rPr>
          <w:lang w:eastAsia="en-GB"/>
        </w:rPr>
        <w:t>c</w:t>
      </w:r>
      <w:r w:rsidRPr="0035343D">
        <w:rPr>
          <w:lang w:eastAsia="en-GB"/>
        </w:rPr>
        <w:t>our, celle-ci ne pouvait d</w:t>
      </w:r>
      <w:r>
        <w:rPr>
          <w:lang w:eastAsia="en-GB"/>
        </w:rPr>
        <w:t>’</w:t>
      </w:r>
      <w:r w:rsidRPr="0035343D">
        <w:rPr>
          <w:lang w:eastAsia="en-GB"/>
        </w:rPr>
        <w:t xml:space="preserve">office ordonner à la société </w:t>
      </w:r>
      <w:r>
        <w:rPr>
          <w:lang w:eastAsia="en-GB"/>
        </w:rPr>
        <w:t xml:space="preserve">Renault </w:t>
      </w:r>
      <w:r w:rsidRPr="0035343D">
        <w:rPr>
          <w:lang w:eastAsia="en-GB"/>
        </w:rPr>
        <w:t>de remettre à ses anciens salariés un certificat de travail</w:t>
      </w:r>
      <w:r>
        <w:rPr>
          <w:lang w:eastAsia="en-GB"/>
        </w:rPr>
        <w:t>,</w:t>
      </w:r>
      <w:r w:rsidRPr="0035343D">
        <w:rPr>
          <w:lang w:eastAsia="en-GB"/>
        </w:rPr>
        <w:t xml:space="preserve"> sous peine de statuer </w:t>
      </w:r>
      <w:r w:rsidRPr="0035343D">
        <w:rPr>
          <w:i/>
          <w:lang w:eastAsia="en-GB"/>
        </w:rPr>
        <w:t>ultra petita</w:t>
      </w:r>
      <w:r w:rsidRPr="0035343D">
        <w:rPr>
          <w:lang w:eastAsia="en-GB"/>
        </w:rPr>
        <w:t>. L</w:t>
      </w:r>
      <w:r>
        <w:rPr>
          <w:lang w:eastAsia="en-GB"/>
        </w:rPr>
        <w:t>’</w:t>
      </w:r>
      <w:r w:rsidRPr="0035343D">
        <w:rPr>
          <w:lang w:eastAsia="en-GB"/>
        </w:rPr>
        <w:t xml:space="preserve">auteur a interjeté appel de </w:t>
      </w:r>
      <w:r>
        <w:rPr>
          <w:lang w:eastAsia="en-GB"/>
        </w:rPr>
        <w:t>cette</w:t>
      </w:r>
      <w:r w:rsidRPr="0035343D">
        <w:rPr>
          <w:lang w:eastAsia="en-GB"/>
        </w:rPr>
        <w:t xml:space="preserve"> décision. </w:t>
      </w:r>
    </w:p>
    <w:p w14:paraId="43E2503A" w14:textId="05BC85D4" w:rsidR="00DF04F7" w:rsidRPr="0035343D" w:rsidRDefault="00DF04F7" w:rsidP="00987B66">
      <w:pPr>
        <w:pStyle w:val="SingleTxtG"/>
        <w:rPr>
          <w:lang w:eastAsia="en-GB"/>
        </w:rPr>
      </w:pPr>
      <w:r w:rsidRPr="0035343D">
        <w:rPr>
          <w:lang w:eastAsia="en-GB"/>
        </w:rPr>
        <w:t>2.9</w:t>
      </w:r>
      <w:r w:rsidRPr="0035343D">
        <w:rPr>
          <w:lang w:eastAsia="en-GB"/>
        </w:rPr>
        <w:tab/>
        <w:t>Le 6</w:t>
      </w:r>
      <w:r w:rsidR="003540FB">
        <w:rPr>
          <w:lang w:eastAsia="en-GB"/>
        </w:rPr>
        <w:t> </w:t>
      </w:r>
      <w:r w:rsidRPr="0035343D">
        <w:rPr>
          <w:lang w:eastAsia="en-GB"/>
        </w:rPr>
        <w:t>mai 2010, la cour d</w:t>
      </w:r>
      <w:r>
        <w:rPr>
          <w:lang w:eastAsia="en-GB"/>
        </w:rPr>
        <w:t>’</w:t>
      </w:r>
      <w:r w:rsidRPr="0035343D">
        <w:rPr>
          <w:lang w:eastAsia="en-GB"/>
        </w:rPr>
        <w:t>appel de Versailles a confirmé le jugement du 17</w:t>
      </w:r>
      <w:r w:rsidR="003540FB">
        <w:rPr>
          <w:lang w:eastAsia="en-GB"/>
        </w:rPr>
        <w:t> </w:t>
      </w:r>
      <w:r w:rsidRPr="0035343D">
        <w:rPr>
          <w:lang w:eastAsia="en-GB"/>
        </w:rPr>
        <w:t>mars 2009 du juge de l</w:t>
      </w:r>
      <w:r>
        <w:rPr>
          <w:lang w:eastAsia="en-GB"/>
        </w:rPr>
        <w:t>’</w:t>
      </w:r>
      <w:r w:rsidRPr="0035343D">
        <w:rPr>
          <w:lang w:eastAsia="en-GB"/>
        </w:rPr>
        <w:t xml:space="preserve">exécution du tribunal de grande instance de Nanterre. </w:t>
      </w:r>
    </w:p>
    <w:p w14:paraId="5C2C979C" w14:textId="77777777" w:rsidR="00DF04F7" w:rsidRPr="0035343D" w:rsidRDefault="00DF04F7" w:rsidP="00987B66">
      <w:pPr>
        <w:pStyle w:val="SingleTxtG"/>
        <w:rPr>
          <w:lang w:eastAsia="en-GB"/>
        </w:rPr>
      </w:pPr>
      <w:r w:rsidRPr="0035343D">
        <w:rPr>
          <w:lang w:eastAsia="en-GB"/>
        </w:rPr>
        <w:t>2.10</w:t>
      </w:r>
      <w:r w:rsidRPr="0035343D">
        <w:rPr>
          <w:lang w:eastAsia="en-GB"/>
        </w:rPr>
        <w:tab/>
      </w:r>
      <w:r>
        <w:rPr>
          <w:lang w:eastAsia="en-GB"/>
        </w:rPr>
        <w:t>Devant le</w:t>
      </w:r>
      <w:r w:rsidRPr="0035343D">
        <w:rPr>
          <w:lang w:eastAsia="en-GB"/>
        </w:rPr>
        <w:t xml:space="preserve"> réel préjudice subi dans le calcul de ses droits à la retraite, du fait de l</w:t>
      </w:r>
      <w:r>
        <w:rPr>
          <w:lang w:eastAsia="en-GB"/>
        </w:rPr>
        <w:t>’</w:t>
      </w:r>
      <w:r w:rsidRPr="0035343D">
        <w:rPr>
          <w:lang w:eastAsia="en-GB"/>
        </w:rPr>
        <w:t>inexécution par la société Renault de son obligation de repositionnement, l</w:t>
      </w:r>
      <w:r>
        <w:rPr>
          <w:lang w:eastAsia="en-GB"/>
        </w:rPr>
        <w:t>’</w:t>
      </w:r>
      <w:r w:rsidRPr="0035343D">
        <w:rPr>
          <w:lang w:eastAsia="en-GB"/>
        </w:rPr>
        <w:t>auteur a de nouveau interjeté appel de la décision devant le juge de l</w:t>
      </w:r>
      <w:r>
        <w:rPr>
          <w:lang w:eastAsia="en-GB"/>
        </w:rPr>
        <w:t>’</w:t>
      </w:r>
      <w:r w:rsidRPr="0035343D">
        <w:rPr>
          <w:lang w:eastAsia="en-GB"/>
        </w:rPr>
        <w:t xml:space="preserve">exécution </w:t>
      </w:r>
      <w:r>
        <w:rPr>
          <w:lang w:eastAsia="en-GB"/>
        </w:rPr>
        <w:t>afin</w:t>
      </w:r>
      <w:r w:rsidRPr="0035343D">
        <w:rPr>
          <w:lang w:eastAsia="en-GB"/>
        </w:rPr>
        <w:t xml:space="preserve"> de voir ordonner que l</w:t>
      </w:r>
      <w:r>
        <w:rPr>
          <w:lang w:eastAsia="en-GB"/>
        </w:rPr>
        <w:t>’</w:t>
      </w:r>
      <w:r w:rsidRPr="0035343D">
        <w:rPr>
          <w:lang w:eastAsia="en-GB"/>
        </w:rPr>
        <w:t>obligation de le repositionner soit assortie d</w:t>
      </w:r>
      <w:r>
        <w:rPr>
          <w:lang w:eastAsia="en-GB"/>
        </w:rPr>
        <w:t>’</w:t>
      </w:r>
      <w:r w:rsidRPr="0035343D">
        <w:rPr>
          <w:lang w:eastAsia="en-GB"/>
        </w:rPr>
        <w:t>une astreinte de 1</w:t>
      </w:r>
      <w:r>
        <w:rPr>
          <w:lang w:eastAsia="en-GB"/>
        </w:rPr>
        <w:t> </w:t>
      </w:r>
      <w:r w:rsidRPr="0035343D">
        <w:rPr>
          <w:lang w:eastAsia="en-GB"/>
        </w:rPr>
        <w:t>000</w:t>
      </w:r>
      <w:r>
        <w:rPr>
          <w:lang w:eastAsia="en-GB"/>
        </w:rPr>
        <w:t> </w:t>
      </w:r>
      <w:r w:rsidRPr="0035343D">
        <w:rPr>
          <w:lang w:eastAsia="en-GB"/>
        </w:rPr>
        <w:t>euros par jour de retard.</w:t>
      </w:r>
    </w:p>
    <w:p w14:paraId="35C13402" w14:textId="7DC87E64" w:rsidR="00DF04F7" w:rsidRPr="0035343D" w:rsidRDefault="00DF04F7" w:rsidP="00987B66">
      <w:pPr>
        <w:pStyle w:val="SingleTxtG"/>
        <w:rPr>
          <w:lang w:eastAsia="en-GB"/>
        </w:rPr>
      </w:pPr>
      <w:r w:rsidRPr="0035343D">
        <w:rPr>
          <w:lang w:eastAsia="en-GB"/>
        </w:rPr>
        <w:t>2.11</w:t>
      </w:r>
      <w:r w:rsidRPr="0035343D">
        <w:rPr>
          <w:lang w:eastAsia="en-GB"/>
        </w:rPr>
        <w:tab/>
        <w:t>Le 3</w:t>
      </w:r>
      <w:r w:rsidR="008512C2">
        <w:rPr>
          <w:lang w:eastAsia="en-GB"/>
        </w:rPr>
        <w:t> </w:t>
      </w:r>
      <w:proofErr w:type="spellStart"/>
      <w:r w:rsidRPr="0035343D">
        <w:rPr>
          <w:lang w:eastAsia="en-GB"/>
        </w:rPr>
        <w:t>uillet</w:t>
      </w:r>
      <w:proofErr w:type="spellEnd"/>
      <w:r w:rsidRPr="0035343D">
        <w:rPr>
          <w:lang w:eastAsia="en-GB"/>
        </w:rPr>
        <w:t xml:space="preserve"> 2012, le juge de l</w:t>
      </w:r>
      <w:r>
        <w:rPr>
          <w:lang w:eastAsia="en-GB"/>
        </w:rPr>
        <w:t>’</w:t>
      </w:r>
      <w:r w:rsidRPr="0035343D">
        <w:rPr>
          <w:lang w:eastAsia="en-GB"/>
        </w:rPr>
        <w:t>exécution du tribunal de grande instance de Nanterre a débouté l</w:t>
      </w:r>
      <w:r>
        <w:rPr>
          <w:lang w:eastAsia="en-GB"/>
        </w:rPr>
        <w:t>’</w:t>
      </w:r>
      <w:r w:rsidRPr="0035343D">
        <w:rPr>
          <w:lang w:eastAsia="en-GB"/>
        </w:rPr>
        <w:t>auteur de ses demandes</w:t>
      </w:r>
      <w:r>
        <w:rPr>
          <w:lang w:eastAsia="en-GB"/>
        </w:rPr>
        <w:t>,</w:t>
      </w:r>
      <w:r w:rsidRPr="0035343D">
        <w:rPr>
          <w:lang w:eastAsia="en-GB"/>
        </w:rPr>
        <w:t xml:space="preserve"> au motif qu</w:t>
      </w:r>
      <w:r>
        <w:rPr>
          <w:lang w:eastAsia="en-GB"/>
        </w:rPr>
        <w:t>’</w:t>
      </w:r>
      <w:r w:rsidRPr="0035343D">
        <w:rPr>
          <w:lang w:eastAsia="en-GB"/>
        </w:rPr>
        <w:t>elles se seraient heurtées à l</w:t>
      </w:r>
      <w:r>
        <w:rPr>
          <w:lang w:eastAsia="en-GB"/>
        </w:rPr>
        <w:t>’</w:t>
      </w:r>
      <w:r w:rsidRPr="0035343D">
        <w:rPr>
          <w:lang w:eastAsia="en-GB"/>
        </w:rPr>
        <w:t>autorité de la chose jugée, par l</w:t>
      </w:r>
      <w:r>
        <w:rPr>
          <w:lang w:eastAsia="en-GB"/>
        </w:rPr>
        <w:t>’</w:t>
      </w:r>
      <w:r w:rsidRPr="0035343D">
        <w:rPr>
          <w:lang w:eastAsia="en-GB"/>
        </w:rPr>
        <w:t>arrêt rendu le 2</w:t>
      </w:r>
      <w:r w:rsidR="008512C2">
        <w:rPr>
          <w:lang w:eastAsia="en-GB"/>
        </w:rPr>
        <w:t> </w:t>
      </w:r>
      <w:r w:rsidRPr="0035343D">
        <w:rPr>
          <w:lang w:eastAsia="en-GB"/>
        </w:rPr>
        <w:t>avril 2008 par la cour d</w:t>
      </w:r>
      <w:r>
        <w:rPr>
          <w:lang w:eastAsia="en-GB"/>
        </w:rPr>
        <w:t>’</w:t>
      </w:r>
      <w:r w:rsidRPr="0035343D">
        <w:rPr>
          <w:lang w:eastAsia="en-GB"/>
        </w:rPr>
        <w:t>appel de Versailles. L</w:t>
      </w:r>
      <w:r>
        <w:rPr>
          <w:lang w:eastAsia="en-GB"/>
        </w:rPr>
        <w:t>’</w:t>
      </w:r>
      <w:r w:rsidRPr="0035343D">
        <w:rPr>
          <w:lang w:eastAsia="en-GB"/>
        </w:rPr>
        <w:t xml:space="preserve">auteur a ensuite fait appel de </w:t>
      </w:r>
      <w:r>
        <w:rPr>
          <w:lang w:eastAsia="en-GB"/>
        </w:rPr>
        <w:t>cette</w:t>
      </w:r>
      <w:r w:rsidRPr="0035343D">
        <w:rPr>
          <w:lang w:eastAsia="en-GB"/>
        </w:rPr>
        <w:t xml:space="preserve"> décision.</w:t>
      </w:r>
    </w:p>
    <w:p w14:paraId="4FF4FFA0" w14:textId="0FA5BFD6" w:rsidR="00DF04F7" w:rsidRPr="0035343D" w:rsidRDefault="00DF04F7" w:rsidP="00987B66">
      <w:pPr>
        <w:pStyle w:val="SingleTxtG"/>
        <w:rPr>
          <w:lang w:eastAsia="en-GB"/>
        </w:rPr>
      </w:pPr>
      <w:r w:rsidRPr="0035343D">
        <w:rPr>
          <w:lang w:eastAsia="en-GB"/>
        </w:rPr>
        <w:t>2.12</w:t>
      </w:r>
      <w:r w:rsidRPr="0035343D">
        <w:rPr>
          <w:lang w:eastAsia="en-GB"/>
        </w:rPr>
        <w:tab/>
        <w:t>Le 5</w:t>
      </w:r>
      <w:r w:rsidR="008512C2">
        <w:rPr>
          <w:lang w:eastAsia="en-GB"/>
        </w:rPr>
        <w:t> </w:t>
      </w:r>
      <w:r w:rsidRPr="0035343D">
        <w:rPr>
          <w:lang w:eastAsia="en-GB"/>
        </w:rPr>
        <w:t>septembre 2013, la cour d</w:t>
      </w:r>
      <w:r>
        <w:rPr>
          <w:lang w:eastAsia="en-GB"/>
        </w:rPr>
        <w:t>’</w:t>
      </w:r>
      <w:r w:rsidRPr="0035343D">
        <w:rPr>
          <w:lang w:eastAsia="en-GB"/>
        </w:rPr>
        <w:t xml:space="preserve">appel de Versailles a confirmé le jugement contesté </w:t>
      </w:r>
      <w:r>
        <w:rPr>
          <w:lang w:eastAsia="en-GB"/>
        </w:rPr>
        <w:t>au motif</w:t>
      </w:r>
      <w:r w:rsidRPr="0035343D">
        <w:rPr>
          <w:lang w:eastAsia="en-GB"/>
        </w:rPr>
        <w:t xml:space="preserve"> que l</w:t>
      </w:r>
      <w:r>
        <w:rPr>
          <w:lang w:eastAsia="en-GB"/>
        </w:rPr>
        <w:t>’</w:t>
      </w:r>
      <w:r w:rsidRPr="0035343D">
        <w:rPr>
          <w:lang w:eastAsia="en-GB"/>
        </w:rPr>
        <w:t>auteur n</w:t>
      </w:r>
      <w:r>
        <w:rPr>
          <w:lang w:eastAsia="en-GB"/>
        </w:rPr>
        <w:t>’</w:t>
      </w:r>
      <w:r w:rsidRPr="0035343D">
        <w:rPr>
          <w:lang w:eastAsia="en-GB"/>
        </w:rPr>
        <w:t xml:space="preserve">aurait pas sollicité de la </w:t>
      </w:r>
      <w:r>
        <w:rPr>
          <w:lang w:eastAsia="en-GB"/>
        </w:rPr>
        <w:t>c</w:t>
      </w:r>
      <w:r w:rsidRPr="0035343D">
        <w:rPr>
          <w:lang w:eastAsia="en-GB"/>
        </w:rPr>
        <w:t>our statuant sur l</w:t>
      </w:r>
      <w:r>
        <w:rPr>
          <w:lang w:eastAsia="en-GB"/>
        </w:rPr>
        <w:t>’</w:t>
      </w:r>
      <w:r w:rsidRPr="0035343D">
        <w:rPr>
          <w:lang w:eastAsia="en-GB"/>
        </w:rPr>
        <w:t xml:space="preserve">appel de la décision du Conseil des </w:t>
      </w:r>
      <w:r>
        <w:rPr>
          <w:lang w:eastAsia="en-GB"/>
        </w:rPr>
        <w:t>p</w:t>
      </w:r>
      <w:r w:rsidRPr="0035343D">
        <w:rPr>
          <w:lang w:eastAsia="en-GB"/>
        </w:rPr>
        <w:t>rud</w:t>
      </w:r>
      <w:r>
        <w:rPr>
          <w:lang w:eastAsia="en-GB"/>
        </w:rPr>
        <w:t>’</w:t>
      </w:r>
      <w:r w:rsidRPr="0035343D">
        <w:rPr>
          <w:lang w:eastAsia="en-GB"/>
        </w:rPr>
        <w:t>hommes qu</w:t>
      </w:r>
      <w:r>
        <w:rPr>
          <w:lang w:eastAsia="en-GB"/>
        </w:rPr>
        <w:t>’</w:t>
      </w:r>
      <w:r w:rsidRPr="0035343D">
        <w:rPr>
          <w:lang w:eastAsia="en-GB"/>
        </w:rPr>
        <w:t>elle condamne la société Renault à lui délivrer un certificat de travail rectifié, ni demandé que cette délivrance soit assortie d</w:t>
      </w:r>
      <w:r>
        <w:rPr>
          <w:lang w:eastAsia="en-GB"/>
        </w:rPr>
        <w:t>’</w:t>
      </w:r>
      <w:r w:rsidRPr="0035343D">
        <w:rPr>
          <w:lang w:eastAsia="en-GB"/>
        </w:rPr>
        <w:t xml:space="preserve">une astreinte. La </w:t>
      </w:r>
      <w:r>
        <w:rPr>
          <w:lang w:eastAsia="en-GB"/>
        </w:rPr>
        <w:t>c</w:t>
      </w:r>
      <w:r w:rsidRPr="0035343D">
        <w:rPr>
          <w:lang w:eastAsia="en-GB"/>
        </w:rPr>
        <w:t>our a également confirmé que le juge de l</w:t>
      </w:r>
      <w:r>
        <w:rPr>
          <w:lang w:eastAsia="en-GB"/>
        </w:rPr>
        <w:t>’</w:t>
      </w:r>
      <w:r w:rsidRPr="0035343D">
        <w:rPr>
          <w:lang w:eastAsia="en-GB"/>
        </w:rPr>
        <w:t>exécution n</w:t>
      </w:r>
      <w:r>
        <w:rPr>
          <w:lang w:eastAsia="en-GB"/>
        </w:rPr>
        <w:t>’</w:t>
      </w:r>
      <w:r w:rsidRPr="0035343D">
        <w:rPr>
          <w:lang w:eastAsia="en-GB"/>
        </w:rPr>
        <w:t>avait pas compétence pour ordonner la délivrance de certificat</w:t>
      </w:r>
      <w:r>
        <w:rPr>
          <w:lang w:eastAsia="en-GB"/>
        </w:rPr>
        <w:t>s</w:t>
      </w:r>
      <w:r w:rsidRPr="0035343D">
        <w:rPr>
          <w:lang w:eastAsia="en-GB"/>
        </w:rPr>
        <w:t xml:space="preserve"> de travail, et que l</w:t>
      </w:r>
      <w:r>
        <w:rPr>
          <w:lang w:eastAsia="en-GB"/>
        </w:rPr>
        <w:t>’</w:t>
      </w:r>
      <w:r w:rsidRPr="0035343D">
        <w:rPr>
          <w:lang w:eastAsia="en-GB"/>
        </w:rPr>
        <w:t>auteur se serait abstenu de préciser les modalités concrètes d</w:t>
      </w:r>
      <w:r>
        <w:rPr>
          <w:lang w:eastAsia="en-GB"/>
        </w:rPr>
        <w:t>’</w:t>
      </w:r>
      <w:r w:rsidRPr="0035343D">
        <w:rPr>
          <w:lang w:eastAsia="en-GB"/>
        </w:rPr>
        <w:t>exécution de l</w:t>
      </w:r>
      <w:r>
        <w:rPr>
          <w:lang w:eastAsia="en-GB"/>
        </w:rPr>
        <w:t>’</w:t>
      </w:r>
      <w:r w:rsidRPr="0035343D">
        <w:rPr>
          <w:lang w:eastAsia="en-GB"/>
        </w:rPr>
        <w:t>obligation de repositionnement, de sorte qu</w:t>
      </w:r>
      <w:r>
        <w:rPr>
          <w:lang w:eastAsia="en-GB"/>
        </w:rPr>
        <w:t>’</w:t>
      </w:r>
      <w:r w:rsidRPr="0035343D">
        <w:rPr>
          <w:lang w:eastAsia="en-GB"/>
        </w:rPr>
        <w:t>aucune astreinte n</w:t>
      </w:r>
      <w:r>
        <w:rPr>
          <w:lang w:eastAsia="en-GB"/>
        </w:rPr>
        <w:t>’</w:t>
      </w:r>
      <w:r w:rsidRPr="0035343D">
        <w:rPr>
          <w:lang w:eastAsia="en-GB"/>
        </w:rPr>
        <w:t>aurait pu assortir une obligation indéterminée.</w:t>
      </w:r>
    </w:p>
    <w:p w14:paraId="04FF813C" w14:textId="64BD31CF" w:rsidR="00DF04F7" w:rsidRPr="0035343D" w:rsidRDefault="00DF04F7" w:rsidP="00987B66">
      <w:pPr>
        <w:pStyle w:val="SingleTxtG"/>
        <w:rPr>
          <w:lang w:eastAsia="en-GB"/>
        </w:rPr>
      </w:pPr>
      <w:r w:rsidRPr="0035343D">
        <w:rPr>
          <w:lang w:eastAsia="en-GB"/>
        </w:rPr>
        <w:t>2.13</w:t>
      </w:r>
      <w:r w:rsidRPr="0035343D">
        <w:rPr>
          <w:lang w:eastAsia="en-GB"/>
        </w:rPr>
        <w:tab/>
        <w:t>L</w:t>
      </w:r>
      <w:r>
        <w:rPr>
          <w:lang w:eastAsia="en-GB"/>
        </w:rPr>
        <w:t>’</w:t>
      </w:r>
      <w:r w:rsidRPr="0035343D">
        <w:rPr>
          <w:lang w:eastAsia="en-GB"/>
        </w:rPr>
        <w:t>auteur s</w:t>
      </w:r>
      <w:r>
        <w:rPr>
          <w:lang w:eastAsia="en-GB"/>
        </w:rPr>
        <w:t>’</w:t>
      </w:r>
      <w:r w:rsidRPr="0035343D">
        <w:rPr>
          <w:lang w:eastAsia="en-GB"/>
        </w:rPr>
        <w:t>est pourvu en cassation au motif que l</w:t>
      </w:r>
      <w:r>
        <w:rPr>
          <w:lang w:eastAsia="en-GB"/>
        </w:rPr>
        <w:t>’</w:t>
      </w:r>
      <w:r w:rsidRPr="0035343D">
        <w:rPr>
          <w:lang w:eastAsia="en-GB"/>
        </w:rPr>
        <w:t xml:space="preserve">inexécution par </w:t>
      </w:r>
      <w:r>
        <w:rPr>
          <w:lang w:eastAsia="en-GB"/>
        </w:rPr>
        <w:t xml:space="preserve">la société </w:t>
      </w:r>
      <w:r w:rsidRPr="0035343D">
        <w:rPr>
          <w:lang w:eastAsia="en-GB"/>
        </w:rPr>
        <w:t xml:space="preserve">Renault de </w:t>
      </w:r>
      <w:r>
        <w:rPr>
          <w:lang w:eastAsia="en-GB"/>
        </w:rPr>
        <w:t>l’</w:t>
      </w:r>
      <w:r w:rsidRPr="0035343D">
        <w:rPr>
          <w:lang w:eastAsia="en-GB"/>
        </w:rPr>
        <w:t>obligation de repositionnement lui causait un préjudice réel dans le calcul de son droit à la retraite</w:t>
      </w:r>
      <w:r>
        <w:rPr>
          <w:lang w:eastAsia="en-GB"/>
        </w:rPr>
        <w:t>,</w:t>
      </w:r>
      <w:r w:rsidRPr="0035343D">
        <w:rPr>
          <w:lang w:eastAsia="en-GB"/>
        </w:rPr>
        <w:t xml:space="preserve"> et que les sommes versées par la société Renault à titre de dommages-intérêts n</w:t>
      </w:r>
      <w:r>
        <w:rPr>
          <w:lang w:eastAsia="en-GB"/>
        </w:rPr>
        <w:t>’</w:t>
      </w:r>
      <w:r w:rsidRPr="0035343D">
        <w:rPr>
          <w:lang w:eastAsia="en-GB"/>
        </w:rPr>
        <w:t>étaient pas prises en compte par les caisses de retraite pour calculer le montant de sa pension. Le 4</w:t>
      </w:r>
      <w:r w:rsidR="00773485">
        <w:rPr>
          <w:lang w:eastAsia="en-GB"/>
        </w:rPr>
        <w:t> </w:t>
      </w:r>
      <w:r w:rsidRPr="0035343D">
        <w:rPr>
          <w:lang w:eastAsia="en-GB"/>
        </w:rPr>
        <w:t>décembre 2014, la Cour de cassation a cassé l</w:t>
      </w:r>
      <w:r>
        <w:rPr>
          <w:lang w:eastAsia="en-GB"/>
        </w:rPr>
        <w:t>’</w:t>
      </w:r>
      <w:r w:rsidRPr="0035343D">
        <w:rPr>
          <w:lang w:eastAsia="en-GB"/>
        </w:rPr>
        <w:t>arrêt de la cour d</w:t>
      </w:r>
      <w:r>
        <w:rPr>
          <w:lang w:eastAsia="en-GB"/>
        </w:rPr>
        <w:t>’</w:t>
      </w:r>
      <w:r w:rsidRPr="0035343D">
        <w:rPr>
          <w:lang w:eastAsia="en-GB"/>
        </w:rPr>
        <w:t>appel</w:t>
      </w:r>
      <w:r>
        <w:rPr>
          <w:lang w:eastAsia="en-GB"/>
        </w:rPr>
        <w:t>,</w:t>
      </w:r>
      <w:r w:rsidRPr="0035343D">
        <w:rPr>
          <w:lang w:eastAsia="en-GB"/>
        </w:rPr>
        <w:t xml:space="preserve"> au motif que le juge de l</w:t>
      </w:r>
      <w:r>
        <w:rPr>
          <w:lang w:eastAsia="en-GB"/>
        </w:rPr>
        <w:t>’</w:t>
      </w:r>
      <w:r w:rsidRPr="0035343D">
        <w:rPr>
          <w:lang w:eastAsia="en-GB"/>
        </w:rPr>
        <w:t>exécution pouvait assortir d</w:t>
      </w:r>
      <w:r>
        <w:rPr>
          <w:lang w:eastAsia="en-GB"/>
        </w:rPr>
        <w:t xml:space="preserve">’une </w:t>
      </w:r>
      <w:r w:rsidRPr="0035343D">
        <w:rPr>
          <w:lang w:eastAsia="en-GB"/>
        </w:rPr>
        <w:t xml:space="preserve">astreinte </w:t>
      </w:r>
      <w:r>
        <w:rPr>
          <w:lang w:eastAsia="en-GB"/>
        </w:rPr>
        <w:t>la</w:t>
      </w:r>
      <w:r w:rsidRPr="0035343D">
        <w:rPr>
          <w:lang w:eastAsia="en-GB"/>
        </w:rPr>
        <w:t xml:space="preserve"> décision d</w:t>
      </w:r>
      <w:r>
        <w:rPr>
          <w:lang w:eastAsia="en-GB"/>
        </w:rPr>
        <w:t>’</w:t>
      </w:r>
      <w:r w:rsidRPr="0035343D">
        <w:rPr>
          <w:lang w:eastAsia="en-GB"/>
        </w:rPr>
        <w:t xml:space="preserve">un autre juge si les circonstances en </w:t>
      </w:r>
      <w:r>
        <w:rPr>
          <w:lang w:eastAsia="en-GB"/>
        </w:rPr>
        <w:t>faisaient</w:t>
      </w:r>
      <w:r w:rsidRPr="0035343D">
        <w:rPr>
          <w:lang w:eastAsia="en-GB"/>
        </w:rPr>
        <w:t xml:space="preserve"> appara</w:t>
      </w:r>
      <w:r>
        <w:rPr>
          <w:lang w:eastAsia="en-GB"/>
        </w:rPr>
        <w:t>î</w:t>
      </w:r>
      <w:r w:rsidRPr="0035343D">
        <w:rPr>
          <w:lang w:eastAsia="en-GB"/>
        </w:rPr>
        <w:t xml:space="preserve">tre la nécessité. La Cour </w:t>
      </w:r>
      <w:r>
        <w:rPr>
          <w:lang w:eastAsia="en-GB"/>
        </w:rPr>
        <w:t xml:space="preserve">de cassation </w:t>
      </w:r>
      <w:r w:rsidRPr="0035343D">
        <w:rPr>
          <w:lang w:eastAsia="en-GB"/>
        </w:rPr>
        <w:t>a aussi considéré qu</w:t>
      </w:r>
      <w:r>
        <w:rPr>
          <w:lang w:eastAsia="en-GB"/>
        </w:rPr>
        <w:t>’</w:t>
      </w:r>
      <w:r w:rsidRPr="0035343D">
        <w:rPr>
          <w:lang w:eastAsia="en-GB"/>
        </w:rPr>
        <w:t>il appartenait à la cour d</w:t>
      </w:r>
      <w:r>
        <w:rPr>
          <w:lang w:eastAsia="en-GB"/>
        </w:rPr>
        <w:t>’</w:t>
      </w:r>
      <w:r w:rsidRPr="0035343D">
        <w:rPr>
          <w:lang w:eastAsia="en-GB"/>
        </w:rPr>
        <w:t>appel de se prononcer sur la difficulté d</w:t>
      </w:r>
      <w:r>
        <w:rPr>
          <w:lang w:eastAsia="en-GB"/>
        </w:rPr>
        <w:t>’</w:t>
      </w:r>
      <w:r w:rsidRPr="0035343D">
        <w:rPr>
          <w:lang w:eastAsia="en-GB"/>
        </w:rPr>
        <w:t xml:space="preserve">exécution dont elle était saisie, en interprétant au besoin la décision. </w:t>
      </w:r>
    </w:p>
    <w:p w14:paraId="590D81AF" w14:textId="019ADEA7" w:rsidR="00DF04F7" w:rsidRPr="0035343D" w:rsidRDefault="00DF04F7" w:rsidP="00987B66">
      <w:pPr>
        <w:pStyle w:val="SingleTxtG"/>
        <w:rPr>
          <w:lang w:eastAsia="en-GB"/>
        </w:rPr>
      </w:pPr>
      <w:r w:rsidRPr="0035343D">
        <w:rPr>
          <w:lang w:eastAsia="en-GB"/>
        </w:rPr>
        <w:t>2.14</w:t>
      </w:r>
      <w:r w:rsidRPr="0035343D">
        <w:rPr>
          <w:lang w:eastAsia="en-GB"/>
        </w:rPr>
        <w:tab/>
        <w:t>Statuant après renvoi de cassation, la cour d</w:t>
      </w:r>
      <w:r>
        <w:rPr>
          <w:lang w:eastAsia="en-GB"/>
        </w:rPr>
        <w:t>’</w:t>
      </w:r>
      <w:r w:rsidRPr="0035343D">
        <w:rPr>
          <w:lang w:eastAsia="en-GB"/>
        </w:rPr>
        <w:t>appel de Versailles a, par arrêt du 24</w:t>
      </w:r>
      <w:r w:rsidR="00773485">
        <w:rPr>
          <w:lang w:eastAsia="en-GB"/>
        </w:rPr>
        <w:t> </w:t>
      </w:r>
      <w:r w:rsidRPr="0035343D">
        <w:rPr>
          <w:lang w:eastAsia="en-GB"/>
        </w:rPr>
        <w:t>septembre 2015, infirmé le jugement du juge de l</w:t>
      </w:r>
      <w:r>
        <w:rPr>
          <w:lang w:eastAsia="en-GB"/>
        </w:rPr>
        <w:t>’</w:t>
      </w:r>
      <w:r w:rsidRPr="0035343D">
        <w:rPr>
          <w:lang w:eastAsia="en-GB"/>
        </w:rPr>
        <w:t>exécution du 3</w:t>
      </w:r>
      <w:r w:rsidR="00773485">
        <w:rPr>
          <w:lang w:eastAsia="en-GB"/>
        </w:rPr>
        <w:t> </w:t>
      </w:r>
      <w:r w:rsidRPr="0035343D">
        <w:rPr>
          <w:lang w:eastAsia="en-GB"/>
        </w:rPr>
        <w:t xml:space="preserve">juillet 2012. Dans sa décision, la </w:t>
      </w:r>
      <w:r>
        <w:rPr>
          <w:lang w:eastAsia="en-GB"/>
        </w:rPr>
        <w:t>c</w:t>
      </w:r>
      <w:r w:rsidRPr="0035343D">
        <w:rPr>
          <w:lang w:eastAsia="en-GB"/>
        </w:rPr>
        <w:t>our a d</w:t>
      </w:r>
      <w:r>
        <w:rPr>
          <w:lang w:eastAsia="en-GB"/>
        </w:rPr>
        <w:t>’</w:t>
      </w:r>
      <w:r w:rsidRPr="0035343D">
        <w:rPr>
          <w:lang w:eastAsia="en-GB"/>
        </w:rPr>
        <w:t>abord déclaré recevable la demande présentée par l</w:t>
      </w:r>
      <w:r>
        <w:rPr>
          <w:lang w:eastAsia="en-GB"/>
        </w:rPr>
        <w:t>’</w:t>
      </w:r>
      <w:r w:rsidRPr="0035343D">
        <w:rPr>
          <w:lang w:eastAsia="en-GB"/>
        </w:rPr>
        <w:t>auteur tendant à voir assortir d</w:t>
      </w:r>
      <w:r>
        <w:rPr>
          <w:lang w:eastAsia="en-GB"/>
        </w:rPr>
        <w:t>’</w:t>
      </w:r>
      <w:r w:rsidRPr="0035343D">
        <w:rPr>
          <w:lang w:eastAsia="en-GB"/>
        </w:rPr>
        <w:t>une astreinte l</w:t>
      </w:r>
      <w:r>
        <w:rPr>
          <w:lang w:eastAsia="en-GB"/>
        </w:rPr>
        <w:t>’</w:t>
      </w:r>
      <w:r w:rsidRPr="0035343D">
        <w:rPr>
          <w:lang w:eastAsia="en-GB"/>
        </w:rPr>
        <w:t xml:space="preserve">obligation de repositionnement ordonnée par </w:t>
      </w:r>
      <w:r>
        <w:rPr>
          <w:lang w:eastAsia="en-GB"/>
        </w:rPr>
        <w:t>l’</w:t>
      </w:r>
      <w:r w:rsidRPr="0035343D">
        <w:rPr>
          <w:lang w:eastAsia="en-GB"/>
        </w:rPr>
        <w:t>arrêt du 2</w:t>
      </w:r>
      <w:r w:rsidR="00773485">
        <w:rPr>
          <w:lang w:eastAsia="en-GB"/>
        </w:rPr>
        <w:t> </w:t>
      </w:r>
      <w:r w:rsidRPr="0035343D">
        <w:rPr>
          <w:lang w:eastAsia="en-GB"/>
        </w:rPr>
        <w:t xml:space="preserve">avril 2008. Toutefois, la </w:t>
      </w:r>
      <w:r>
        <w:rPr>
          <w:lang w:eastAsia="en-GB"/>
        </w:rPr>
        <w:t>c</w:t>
      </w:r>
      <w:r w:rsidRPr="0035343D">
        <w:rPr>
          <w:lang w:eastAsia="en-GB"/>
        </w:rPr>
        <w:t>our a rejeté sa demande sur le fond</w:t>
      </w:r>
      <w:r>
        <w:rPr>
          <w:lang w:eastAsia="en-GB"/>
        </w:rPr>
        <w:t>,</w:t>
      </w:r>
      <w:r w:rsidRPr="0035343D">
        <w:rPr>
          <w:lang w:eastAsia="en-GB"/>
        </w:rPr>
        <w:t xml:space="preserve"> au motif notamment que la cour aurait réparé l</w:t>
      </w:r>
      <w:r>
        <w:rPr>
          <w:lang w:eastAsia="en-GB"/>
        </w:rPr>
        <w:t>’</w:t>
      </w:r>
      <w:r w:rsidRPr="0035343D">
        <w:rPr>
          <w:lang w:eastAsia="en-GB"/>
        </w:rPr>
        <w:t>entier préjudice du salarié par la seule allocation de dommages-intérêts, lesquels incluraient « les conséquences du repositionnement » de l</w:t>
      </w:r>
      <w:r>
        <w:rPr>
          <w:lang w:eastAsia="en-GB"/>
        </w:rPr>
        <w:t>’</w:t>
      </w:r>
      <w:r w:rsidRPr="0035343D">
        <w:rPr>
          <w:lang w:eastAsia="en-GB"/>
        </w:rPr>
        <w:t>auteur. Ce dernier s</w:t>
      </w:r>
      <w:r>
        <w:rPr>
          <w:lang w:eastAsia="en-GB"/>
        </w:rPr>
        <w:t>’</w:t>
      </w:r>
      <w:r w:rsidRPr="0035343D">
        <w:rPr>
          <w:lang w:eastAsia="en-GB"/>
        </w:rPr>
        <w:t>est pourvu en cassation contre cette décision.</w:t>
      </w:r>
    </w:p>
    <w:p w14:paraId="7634FAD3" w14:textId="4B34C4E0" w:rsidR="00DF04F7" w:rsidRPr="0035343D" w:rsidRDefault="00DF04F7" w:rsidP="00987B66">
      <w:pPr>
        <w:pStyle w:val="SingleTxtG"/>
        <w:rPr>
          <w:lang w:eastAsia="en-GB"/>
        </w:rPr>
      </w:pPr>
      <w:r w:rsidRPr="0035343D">
        <w:rPr>
          <w:lang w:eastAsia="en-GB"/>
        </w:rPr>
        <w:t>2.15</w:t>
      </w:r>
      <w:r w:rsidRPr="0035343D">
        <w:rPr>
          <w:lang w:eastAsia="en-GB"/>
        </w:rPr>
        <w:tab/>
        <w:t>Le 1</w:t>
      </w:r>
      <w:r w:rsidRPr="00422C87">
        <w:rPr>
          <w:vertAlign w:val="superscript"/>
          <w:lang w:eastAsia="en-GB"/>
        </w:rPr>
        <w:t>er</w:t>
      </w:r>
      <w:r w:rsidR="0075499C">
        <w:rPr>
          <w:lang w:eastAsia="en-GB"/>
        </w:rPr>
        <w:t> </w:t>
      </w:r>
      <w:r w:rsidRPr="0035343D">
        <w:rPr>
          <w:lang w:eastAsia="en-GB"/>
        </w:rPr>
        <w:t xml:space="preserve">décembre 2016, la </w:t>
      </w:r>
      <w:r>
        <w:rPr>
          <w:lang w:eastAsia="en-GB"/>
        </w:rPr>
        <w:t>deuxième</w:t>
      </w:r>
      <w:r w:rsidRPr="0035343D">
        <w:rPr>
          <w:lang w:eastAsia="en-GB"/>
        </w:rPr>
        <w:t xml:space="preserve"> chambre civile de la Cour de </w:t>
      </w:r>
      <w:r>
        <w:rPr>
          <w:lang w:eastAsia="en-GB"/>
        </w:rPr>
        <w:t>c</w:t>
      </w:r>
      <w:r w:rsidRPr="0035343D">
        <w:rPr>
          <w:lang w:eastAsia="en-GB"/>
        </w:rPr>
        <w:t>assation a rejeté le pourvoi sans motiver sa décision</w:t>
      </w:r>
      <w:r>
        <w:rPr>
          <w:lang w:eastAsia="en-GB"/>
        </w:rPr>
        <w:t>,</w:t>
      </w:r>
      <w:r w:rsidRPr="0035343D">
        <w:rPr>
          <w:lang w:eastAsia="en-GB"/>
        </w:rPr>
        <w:t xml:space="preserve"> sur la base de l</w:t>
      </w:r>
      <w:r>
        <w:rPr>
          <w:lang w:eastAsia="en-GB"/>
        </w:rPr>
        <w:t>’</w:t>
      </w:r>
      <w:r w:rsidRPr="0035343D">
        <w:rPr>
          <w:lang w:eastAsia="en-GB"/>
        </w:rPr>
        <w:t>article</w:t>
      </w:r>
      <w:r w:rsidR="0075499C">
        <w:rPr>
          <w:lang w:eastAsia="en-GB"/>
        </w:rPr>
        <w:t> </w:t>
      </w:r>
      <w:r w:rsidRPr="0035343D">
        <w:rPr>
          <w:lang w:eastAsia="en-GB"/>
        </w:rPr>
        <w:t xml:space="preserve">1014 du Code de procédure civile, estimant que les moyens de cassation évoqués </w:t>
      </w:r>
      <w:r>
        <w:rPr>
          <w:lang w:eastAsia="en-GB"/>
        </w:rPr>
        <w:t>en</w:t>
      </w:r>
      <w:r w:rsidRPr="0035343D">
        <w:rPr>
          <w:lang w:eastAsia="en-GB"/>
        </w:rPr>
        <w:t xml:space="preserve"> soutien du pourvoi n</w:t>
      </w:r>
      <w:r>
        <w:rPr>
          <w:lang w:eastAsia="en-GB"/>
        </w:rPr>
        <w:t>’</w:t>
      </w:r>
      <w:r w:rsidRPr="0035343D">
        <w:rPr>
          <w:lang w:eastAsia="en-GB"/>
        </w:rPr>
        <w:t>étaient manifestement pas de nature à entraîner la cassation.</w:t>
      </w:r>
    </w:p>
    <w:p w14:paraId="69877233" w14:textId="77777777" w:rsidR="00DF04F7" w:rsidRPr="0035343D" w:rsidRDefault="00DF04F7" w:rsidP="00987B66">
      <w:pPr>
        <w:pStyle w:val="H23G"/>
        <w:rPr>
          <w:lang w:eastAsia="en-GB"/>
        </w:rPr>
      </w:pPr>
      <w:r>
        <w:rPr>
          <w:lang w:eastAsia="en-GB"/>
        </w:rPr>
        <w:lastRenderedPageBreak/>
        <w:tab/>
      </w:r>
      <w:r>
        <w:rPr>
          <w:lang w:eastAsia="en-GB"/>
        </w:rPr>
        <w:tab/>
      </w:r>
      <w:r w:rsidRPr="0035343D">
        <w:rPr>
          <w:lang w:eastAsia="en-GB"/>
        </w:rPr>
        <w:t>Teneur de la plainte</w:t>
      </w:r>
    </w:p>
    <w:p w14:paraId="0C3510FB" w14:textId="1A6D7458" w:rsidR="00DF04F7" w:rsidRPr="0035343D" w:rsidRDefault="00DF04F7" w:rsidP="00987B66">
      <w:pPr>
        <w:pStyle w:val="SingleTxtG"/>
        <w:rPr>
          <w:lang w:eastAsia="en-GB"/>
        </w:rPr>
      </w:pPr>
      <w:r w:rsidRPr="0035343D">
        <w:rPr>
          <w:lang w:eastAsia="en-GB"/>
        </w:rPr>
        <w:t>3.1</w:t>
      </w:r>
      <w:r w:rsidRPr="0035343D">
        <w:rPr>
          <w:lang w:eastAsia="en-GB"/>
        </w:rPr>
        <w:tab/>
        <w:t>L</w:t>
      </w:r>
      <w:r>
        <w:rPr>
          <w:lang w:eastAsia="en-GB"/>
        </w:rPr>
        <w:t>’</w:t>
      </w:r>
      <w:r w:rsidRPr="0035343D">
        <w:rPr>
          <w:lang w:eastAsia="en-GB"/>
        </w:rPr>
        <w:t>auteur allègue la violation par l</w:t>
      </w:r>
      <w:r>
        <w:rPr>
          <w:lang w:eastAsia="en-GB"/>
        </w:rPr>
        <w:t>’</w:t>
      </w:r>
      <w:r w:rsidRPr="0035343D">
        <w:rPr>
          <w:lang w:eastAsia="en-GB"/>
        </w:rPr>
        <w:t>État partie des articles</w:t>
      </w:r>
      <w:r w:rsidR="00D346A5">
        <w:rPr>
          <w:lang w:eastAsia="en-GB"/>
        </w:rPr>
        <w:t> </w:t>
      </w:r>
      <w:r w:rsidRPr="0035343D">
        <w:rPr>
          <w:lang w:eastAsia="en-GB"/>
        </w:rPr>
        <w:t>2, 3, 4, 5 et 6 de la Convention. Il estime que la discrimination dont il a été victime est fondée sur son appartenance ethnique, au sens des articles précités. Il rappelle que la discrimination a été reconnue dans l</w:t>
      </w:r>
      <w:r>
        <w:rPr>
          <w:lang w:eastAsia="en-GB"/>
        </w:rPr>
        <w:t>’</w:t>
      </w:r>
      <w:r w:rsidRPr="0035343D">
        <w:rPr>
          <w:lang w:eastAsia="en-GB"/>
        </w:rPr>
        <w:t>arrêt de la cour d</w:t>
      </w:r>
      <w:r>
        <w:rPr>
          <w:lang w:eastAsia="en-GB"/>
        </w:rPr>
        <w:t>’</w:t>
      </w:r>
      <w:r w:rsidRPr="0035343D">
        <w:rPr>
          <w:lang w:eastAsia="en-GB"/>
        </w:rPr>
        <w:t>appel de Versailles du 2</w:t>
      </w:r>
      <w:r w:rsidR="00D346A5">
        <w:rPr>
          <w:lang w:eastAsia="en-GB"/>
        </w:rPr>
        <w:t> </w:t>
      </w:r>
      <w:r w:rsidRPr="0035343D">
        <w:rPr>
          <w:lang w:eastAsia="en-GB"/>
        </w:rPr>
        <w:t>avril 2008, considérant que l</w:t>
      </w:r>
      <w:r>
        <w:rPr>
          <w:lang w:eastAsia="en-GB"/>
        </w:rPr>
        <w:t>’</w:t>
      </w:r>
      <w:r w:rsidRPr="0035343D">
        <w:rPr>
          <w:lang w:eastAsia="en-GB"/>
        </w:rPr>
        <w:t>auteur a</w:t>
      </w:r>
      <w:r>
        <w:rPr>
          <w:lang w:eastAsia="en-GB"/>
        </w:rPr>
        <w:t>vait</w:t>
      </w:r>
      <w:r w:rsidRPr="0035343D">
        <w:rPr>
          <w:lang w:eastAsia="en-GB"/>
        </w:rPr>
        <w:t xml:space="preserve"> subi une discrimination raciale de 1976 </w:t>
      </w:r>
      <w:r>
        <w:rPr>
          <w:lang w:eastAsia="en-GB"/>
        </w:rPr>
        <w:t>jusqu’</w:t>
      </w:r>
      <w:r w:rsidRPr="0035343D">
        <w:rPr>
          <w:lang w:eastAsia="en-GB"/>
        </w:rPr>
        <w:t>à son départ à la retraite</w:t>
      </w:r>
      <w:r>
        <w:rPr>
          <w:lang w:eastAsia="en-GB"/>
        </w:rPr>
        <w:t>,</w:t>
      </w:r>
      <w:r w:rsidRPr="0035343D">
        <w:rPr>
          <w:lang w:eastAsia="en-GB"/>
        </w:rPr>
        <w:t xml:space="preserve"> en 2003.</w:t>
      </w:r>
    </w:p>
    <w:p w14:paraId="6AD929B9" w14:textId="741523EA" w:rsidR="00DF04F7" w:rsidRPr="0035343D" w:rsidRDefault="00DF04F7" w:rsidP="00987B66">
      <w:pPr>
        <w:pStyle w:val="SingleTxtG"/>
        <w:rPr>
          <w:lang w:eastAsia="en-GB"/>
        </w:rPr>
      </w:pPr>
      <w:r w:rsidRPr="0035343D">
        <w:rPr>
          <w:lang w:eastAsia="en-GB"/>
        </w:rPr>
        <w:t>3.2</w:t>
      </w:r>
      <w:r w:rsidRPr="0035343D">
        <w:rPr>
          <w:lang w:eastAsia="en-GB"/>
        </w:rPr>
        <w:tab/>
        <w:t>L</w:t>
      </w:r>
      <w:r>
        <w:rPr>
          <w:lang w:eastAsia="en-GB"/>
        </w:rPr>
        <w:t>’</w:t>
      </w:r>
      <w:r w:rsidRPr="0035343D">
        <w:rPr>
          <w:lang w:eastAsia="en-GB"/>
        </w:rPr>
        <w:t xml:space="preserve">auteur </w:t>
      </w:r>
      <w:r>
        <w:rPr>
          <w:lang w:eastAsia="en-GB"/>
        </w:rPr>
        <w:t>soutient</w:t>
      </w:r>
      <w:r w:rsidRPr="0035343D">
        <w:rPr>
          <w:lang w:eastAsia="en-GB"/>
        </w:rPr>
        <w:t xml:space="preserve"> que l</w:t>
      </w:r>
      <w:r>
        <w:rPr>
          <w:lang w:eastAsia="en-GB"/>
        </w:rPr>
        <w:t>’</w:t>
      </w:r>
      <w:r w:rsidRPr="0035343D">
        <w:rPr>
          <w:lang w:eastAsia="en-GB"/>
        </w:rPr>
        <w:t>État</w:t>
      </w:r>
      <w:r>
        <w:rPr>
          <w:lang w:eastAsia="en-GB"/>
        </w:rPr>
        <w:t xml:space="preserve"> partie</w:t>
      </w:r>
      <w:r w:rsidRPr="0035343D">
        <w:rPr>
          <w:lang w:eastAsia="en-GB"/>
        </w:rPr>
        <w:t xml:space="preserve"> doit donc répondre de la discrimination raciale dont il a été victime, dès lors </w:t>
      </w:r>
      <w:r>
        <w:rPr>
          <w:lang w:eastAsia="en-GB"/>
        </w:rPr>
        <w:t>que celui-ci</w:t>
      </w:r>
      <w:r w:rsidRPr="0035343D">
        <w:rPr>
          <w:lang w:eastAsia="en-GB"/>
        </w:rPr>
        <w:t xml:space="preserve"> n</w:t>
      </w:r>
      <w:r>
        <w:rPr>
          <w:lang w:eastAsia="en-GB"/>
        </w:rPr>
        <w:t>’</w:t>
      </w:r>
      <w:r w:rsidRPr="0035343D">
        <w:rPr>
          <w:lang w:eastAsia="en-GB"/>
        </w:rPr>
        <w:t>a pas fait respecter par la société Renault la Convention, alors même qu</w:t>
      </w:r>
      <w:r>
        <w:rPr>
          <w:lang w:eastAsia="en-GB"/>
        </w:rPr>
        <w:t>’</w:t>
      </w:r>
      <w:r w:rsidRPr="0035343D">
        <w:rPr>
          <w:lang w:eastAsia="en-GB"/>
        </w:rPr>
        <w:t>il était de notoriété publique que des pratiques discriminatoires existaient au sein de la société à l</w:t>
      </w:r>
      <w:r>
        <w:rPr>
          <w:lang w:eastAsia="en-GB"/>
        </w:rPr>
        <w:t>’</w:t>
      </w:r>
      <w:r w:rsidRPr="0035343D">
        <w:rPr>
          <w:lang w:eastAsia="en-GB"/>
        </w:rPr>
        <w:t>égard de certaines catégories de salariés. L</w:t>
      </w:r>
      <w:r>
        <w:rPr>
          <w:lang w:eastAsia="en-GB"/>
        </w:rPr>
        <w:t>’</w:t>
      </w:r>
      <w:r w:rsidRPr="0035343D">
        <w:rPr>
          <w:lang w:eastAsia="en-GB"/>
        </w:rPr>
        <w:t xml:space="preserve">auteur indique </w:t>
      </w:r>
      <w:r>
        <w:rPr>
          <w:lang w:eastAsia="en-GB"/>
        </w:rPr>
        <w:t>qu’ont été rendus publics</w:t>
      </w:r>
      <w:r w:rsidRPr="0035343D">
        <w:rPr>
          <w:lang w:eastAsia="en-GB"/>
        </w:rPr>
        <w:t xml:space="preserve"> des documents internes qui attestent de la systématisation de ces pratiques discriminatoires, notamment le système ESCADRE, mettant en œuvre une quasi</w:t>
      </w:r>
      <w:r w:rsidR="00BC45DF">
        <w:rPr>
          <w:lang w:eastAsia="en-GB"/>
        </w:rPr>
        <w:noBreakHyphen/>
      </w:r>
      <w:r w:rsidRPr="0035343D">
        <w:rPr>
          <w:lang w:eastAsia="en-GB"/>
        </w:rPr>
        <w:t>« codification ethnique » à usage interne structurée autour de la couleur de peau et des origines ethniques. L</w:t>
      </w:r>
      <w:r>
        <w:rPr>
          <w:lang w:eastAsia="en-GB"/>
        </w:rPr>
        <w:t>’</w:t>
      </w:r>
      <w:r w:rsidRPr="0035343D">
        <w:rPr>
          <w:lang w:eastAsia="en-GB"/>
        </w:rPr>
        <w:t>auteur précise que dans une note interne de la société Renault, il a été mentionné que « les moins bons, quant au module qualité de l</w:t>
      </w:r>
      <w:r>
        <w:rPr>
          <w:lang w:eastAsia="en-GB"/>
        </w:rPr>
        <w:t>’</w:t>
      </w:r>
      <w:r w:rsidRPr="0035343D">
        <w:rPr>
          <w:lang w:eastAsia="en-GB"/>
        </w:rPr>
        <w:t>adaptation au travail dans l</w:t>
      </w:r>
      <w:r>
        <w:rPr>
          <w:lang w:eastAsia="en-GB"/>
        </w:rPr>
        <w:t>’</w:t>
      </w:r>
      <w:r w:rsidRPr="0035343D">
        <w:rPr>
          <w:lang w:eastAsia="en-GB"/>
        </w:rPr>
        <w:t>entreprise</w:t>
      </w:r>
      <w:r>
        <w:rPr>
          <w:lang w:eastAsia="en-GB"/>
        </w:rPr>
        <w:t>,</w:t>
      </w:r>
      <w:r w:rsidRPr="0035343D">
        <w:rPr>
          <w:lang w:eastAsia="en-GB"/>
        </w:rPr>
        <w:t xml:space="preserve"> sont incontestablement les </w:t>
      </w:r>
      <w:r>
        <w:rPr>
          <w:lang w:eastAsia="en-GB"/>
        </w:rPr>
        <w:t>A</w:t>
      </w:r>
      <w:r w:rsidRPr="0035343D">
        <w:rPr>
          <w:lang w:eastAsia="en-GB"/>
        </w:rPr>
        <w:t xml:space="preserve">fricains noirs et les Algériens, Marocains, Tunisiens, suivis de près par les travailleurs des </w:t>
      </w:r>
      <w:r>
        <w:rPr>
          <w:lang w:eastAsia="en-GB"/>
        </w:rPr>
        <w:t>[départements d’outre-mer]</w:t>
      </w:r>
      <w:r w:rsidRPr="0035343D">
        <w:rPr>
          <w:lang w:eastAsia="en-GB"/>
        </w:rPr>
        <w:t xml:space="preserve"> » et que « les </w:t>
      </w:r>
      <w:r>
        <w:rPr>
          <w:lang w:eastAsia="en-GB"/>
        </w:rPr>
        <w:t>N</w:t>
      </w:r>
      <w:r w:rsidRPr="0035343D">
        <w:rPr>
          <w:lang w:eastAsia="en-GB"/>
        </w:rPr>
        <w:t>oirs sont les plus difficiles à assimiler à la société française</w:t>
      </w:r>
      <w:r>
        <w:rPr>
          <w:lang w:eastAsia="en-GB"/>
        </w:rPr>
        <w:t xml:space="preserve"> […]</w:t>
      </w:r>
      <w:r w:rsidRPr="0035343D">
        <w:rPr>
          <w:lang w:eastAsia="en-GB"/>
        </w:rPr>
        <w:t> ».</w:t>
      </w:r>
    </w:p>
    <w:p w14:paraId="2822956B" w14:textId="6A0FC0F1" w:rsidR="00DF04F7" w:rsidRPr="0035343D" w:rsidRDefault="00DF04F7" w:rsidP="00987B66">
      <w:pPr>
        <w:pStyle w:val="SingleTxtG"/>
        <w:rPr>
          <w:lang w:eastAsia="en-GB"/>
        </w:rPr>
      </w:pPr>
      <w:r w:rsidRPr="0035343D">
        <w:rPr>
          <w:lang w:eastAsia="en-GB"/>
        </w:rPr>
        <w:t>3.3</w:t>
      </w:r>
      <w:r w:rsidRPr="0035343D">
        <w:rPr>
          <w:lang w:eastAsia="en-GB"/>
        </w:rPr>
        <w:tab/>
        <w:t>L</w:t>
      </w:r>
      <w:r>
        <w:rPr>
          <w:lang w:eastAsia="en-GB"/>
        </w:rPr>
        <w:t>’</w:t>
      </w:r>
      <w:r w:rsidRPr="0035343D">
        <w:rPr>
          <w:lang w:eastAsia="en-GB"/>
        </w:rPr>
        <w:t>auteur allègue la violation de l</w:t>
      </w:r>
      <w:r>
        <w:rPr>
          <w:lang w:eastAsia="en-GB"/>
        </w:rPr>
        <w:t>’</w:t>
      </w:r>
      <w:r w:rsidRPr="0035343D">
        <w:rPr>
          <w:lang w:eastAsia="en-GB"/>
        </w:rPr>
        <w:t>article</w:t>
      </w:r>
      <w:r w:rsidR="00BC45DF">
        <w:rPr>
          <w:lang w:eastAsia="en-GB"/>
        </w:rPr>
        <w:t> </w:t>
      </w:r>
      <w:r w:rsidRPr="0035343D">
        <w:rPr>
          <w:lang w:eastAsia="en-GB"/>
        </w:rPr>
        <w:t>2 de la Convention</w:t>
      </w:r>
      <w:r>
        <w:rPr>
          <w:lang w:eastAsia="en-GB"/>
        </w:rPr>
        <w:t>,</w:t>
      </w:r>
      <w:r w:rsidRPr="0035343D">
        <w:rPr>
          <w:lang w:eastAsia="en-GB"/>
        </w:rPr>
        <w:t xml:space="preserve"> car il estime que </w:t>
      </w:r>
      <w:r>
        <w:rPr>
          <w:lang w:eastAsia="en-GB"/>
        </w:rPr>
        <w:t>l’État partie</w:t>
      </w:r>
      <w:r w:rsidRPr="0035343D">
        <w:rPr>
          <w:lang w:eastAsia="en-GB"/>
        </w:rPr>
        <w:t xml:space="preserve"> a laissé pratiquer des discriminations à l</w:t>
      </w:r>
      <w:r>
        <w:rPr>
          <w:lang w:eastAsia="en-GB"/>
        </w:rPr>
        <w:t>’</w:t>
      </w:r>
      <w:r w:rsidRPr="0035343D">
        <w:rPr>
          <w:lang w:eastAsia="en-GB"/>
        </w:rPr>
        <w:t xml:space="preserve">égard de personnes ou </w:t>
      </w:r>
      <w:r>
        <w:rPr>
          <w:lang w:eastAsia="en-GB"/>
        </w:rPr>
        <w:t xml:space="preserve">de </w:t>
      </w:r>
      <w:r w:rsidRPr="0035343D">
        <w:rPr>
          <w:lang w:eastAsia="en-GB"/>
        </w:rPr>
        <w:t xml:space="preserve">groupes de personnes en raison de leur origine ethnique ou géographique. </w:t>
      </w:r>
    </w:p>
    <w:p w14:paraId="51CB0369" w14:textId="7969BDFB" w:rsidR="00DF04F7" w:rsidRPr="0035343D" w:rsidRDefault="00DF04F7" w:rsidP="00987B66">
      <w:pPr>
        <w:pStyle w:val="SingleTxtG"/>
        <w:rPr>
          <w:lang w:eastAsia="en-GB"/>
        </w:rPr>
      </w:pPr>
      <w:r w:rsidRPr="0035343D">
        <w:rPr>
          <w:lang w:eastAsia="en-GB"/>
        </w:rPr>
        <w:t>3.4</w:t>
      </w:r>
      <w:r w:rsidRPr="0035343D">
        <w:rPr>
          <w:lang w:eastAsia="en-GB"/>
        </w:rPr>
        <w:tab/>
        <w:t>L</w:t>
      </w:r>
      <w:r>
        <w:rPr>
          <w:lang w:eastAsia="en-GB"/>
        </w:rPr>
        <w:t>’</w:t>
      </w:r>
      <w:r w:rsidRPr="0035343D">
        <w:rPr>
          <w:lang w:eastAsia="en-GB"/>
        </w:rPr>
        <w:t>auteur allègue également la violation de l</w:t>
      </w:r>
      <w:r>
        <w:rPr>
          <w:lang w:eastAsia="en-GB"/>
        </w:rPr>
        <w:t>’</w:t>
      </w:r>
      <w:r w:rsidRPr="0035343D">
        <w:rPr>
          <w:lang w:eastAsia="en-GB"/>
        </w:rPr>
        <w:t>article</w:t>
      </w:r>
      <w:r w:rsidR="006913A6">
        <w:rPr>
          <w:lang w:eastAsia="en-GB"/>
        </w:rPr>
        <w:t> </w:t>
      </w:r>
      <w:r w:rsidRPr="0035343D">
        <w:rPr>
          <w:lang w:eastAsia="en-GB"/>
        </w:rPr>
        <w:t>3 de la Convention</w:t>
      </w:r>
      <w:r>
        <w:rPr>
          <w:lang w:eastAsia="en-GB"/>
        </w:rPr>
        <w:t>,</w:t>
      </w:r>
      <w:r w:rsidRPr="0035343D">
        <w:rPr>
          <w:lang w:eastAsia="en-GB"/>
        </w:rPr>
        <w:t xml:space="preserve"> </w:t>
      </w:r>
      <w:r>
        <w:rPr>
          <w:lang w:eastAsia="en-GB"/>
        </w:rPr>
        <w:t>l’État partie n’ayant</w:t>
      </w:r>
      <w:r w:rsidRPr="0035343D">
        <w:rPr>
          <w:lang w:eastAsia="en-GB"/>
        </w:rPr>
        <w:t xml:space="preserve"> pas</w:t>
      </w:r>
      <w:r>
        <w:rPr>
          <w:lang w:eastAsia="en-GB"/>
        </w:rPr>
        <w:t xml:space="preserve"> mis</w:t>
      </w:r>
      <w:r w:rsidRPr="0035343D">
        <w:rPr>
          <w:lang w:eastAsia="en-GB"/>
        </w:rPr>
        <w:t xml:space="preserve"> en œuvre de mesures pour éliminer la ségrégation raciale au sein de </w:t>
      </w:r>
      <w:r>
        <w:rPr>
          <w:lang w:eastAsia="en-GB"/>
        </w:rPr>
        <w:t>la société</w:t>
      </w:r>
      <w:r w:rsidRPr="0035343D">
        <w:rPr>
          <w:lang w:eastAsia="en-GB"/>
        </w:rPr>
        <w:t xml:space="preserve"> Renault.</w:t>
      </w:r>
    </w:p>
    <w:p w14:paraId="744EAF4E" w14:textId="660AC4EA" w:rsidR="00DF04F7" w:rsidRPr="0035343D" w:rsidRDefault="00DF04F7" w:rsidP="00987B66">
      <w:pPr>
        <w:pStyle w:val="SingleTxtG"/>
        <w:rPr>
          <w:lang w:eastAsia="en-GB"/>
        </w:rPr>
      </w:pPr>
      <w:r w:rsidRPr="0035343D">
        <w:rPr>
          <w:lang w:eastAsia="en-GB"/>
        </w:rPr>
        <w:t>3.5</w:t>
      </w:r>
      <w:r w:rsidRPr="0035343D">
        <w:rPr>
          <w:lang w:eastAsia="en-GB"/>
        </w:rPr>
        <w:tab/>
        <w:t>Au titre de l</w:t>
      </w:r>
      <w:r>
        <w:rPr>
          <w:lang w:eastAsia="en-GB"/>
        </w:rPr>
        <w:t>’</w:t>
      </w:r>
      <w:r w:rsidRPr="0035343D">
        <w:rPr>
          <w:lang w:eastAsia="en-GB"/>
        </w:rPr>
        <w:t>article</w:t>
      </w:r>
      <w:r w:rsidR="006913A6">
        <w:rPr>
          <w:lang w:eastAsia="en-GB"/>
        </w:rPr>
        <w:t> </w:t>
      </w:r>
      <w:r w:rsidRPr="0035343D">
        <w:rPr>
          <w:lang w:eastAsia="en-GB"/>
        </w:rPr>
        <w:t>4 de la Convention, l</w:t>
      </w:r>
      <w:r>
        <w:rPr>
          <w:lang w:eastAsia="en-GB"/>
        </w:rPr>
        <w:t>’</w:t>
      </w:r>
      <w:r w:rsidRPr="0035343D">
        <w:rPr>
          <w:lang w:eastAsia="en-GB"/>
        </w:rPr>
        <w:t>auteur soutient que l</w:t>
      </w:r>
      <w:r>
        <w:rPr>
          <w:lang w:eastAsia="en-GB"/>
        </w:rPr>
        <w:t>’</w:t>
      </w:r>
      <w:r w:rsidRPr="0035343D">
        <w:rPr>
          <w:lang w:eastAsia="en-GB"/>
        </w:rPr>
        <w:t>État partie a encouragé, par son attitude passive, la haine et la discrimination, alors qu</w:t>
      </w:r>
      <w:r>
        <w:rPr>
          <w:lang w:eastAsia="en-GB"/>
        </w:rPr>
        <w:t>’</w:t>
      </w:r>
      <w:r w:rsidRPr="0035343D">
        <w:rPr>
          <w:lang w:eastAsia="en-GB"/>
        </w:rPr>
        <w:t xml:space="preserve">il était décisionnaire </w:t>
      </w:r>
      <w:r>
        <w:rPr>
          <w:lang w:eastAsia="en-GB"/>
        </w:rPr>
        <w:t>au sein de la société</w:t>
      </w:r>
      <w:r w:rsidRPr="0035343D">
        <w:rPr>
          <w:lang w:eastAsia="en-GB"/>
        </w:rPr>
        <w:t xml:space="preserve"> Renault. L</w:t>
      </w:r>
      <w:r>
        <w:rPr>
          <w:lang w:eastAsia="en-GB"/>
        </w:rPr>
        <w:t>’</w:t>
      </w:r>
      <w:r w:rsidRPr="0035343D">
        <w:rPr>
          <w:lang w:eastAsia="en-GB"/>
        </w:rPr>
        <w:t>auteur soutient également que l</w:t>
      </w:r>
      <w:r>
        <w:rPr>
          <w:lang w:eastAsia="en-GB"/>
        </w:rPr>
        <w:t>’</w:t>
      </w:r>
      <w:r w:rsidRPr="0035343D">
        <w:rPr>
          <w:lang w:eastAsia="en-GB"/>
        </w:rPr>
        <w:t>État partie a violé l</w:t>
      </w:r>
      <w:r>
        <w:rPr>
          <w:lang w:eastAsia="en-GB"/>
        </w:rPr>
        <w:t>’</w:t>
      </w:r>
      <w:r w:rsidRPr="0035343D">
        <w:rPr>
          <w:lang w:eastAsia="en-GB"/>
        </w:rPr>
        <w:t>article</w:t>
      </w:r>
      <w:r w:rsidR="006913A6">
        <w:rPr>
          <w:lang w:eastAsia="en-GB"/>
        </w:rPr>
        <w:t> </w:t>
      </w:r>
      <w:r w:rsidRPr="0035343D">
        <w:rPr>
          <w:lang w:eastAsia="en-GB"/>
        </w:rPr>
        <w:t xml:space="preserve">5 de la Convention </w:t>
      </w:r>
      <w:r>
        <w:rPr>
          <w:lang w:eastAsia="en-GB"/>
        </w:rPr>
        <w:t>en</w:t>
      </w:r>
      <w:r w:rsidRPr="0035343D">
        <w:rPr>
          <w:lang w:eastAsia="en-GB"/>
        </w:rPr>
        <w:t xml:space="preserve"> ne lui garanti</w:t>
      </w:r>
      <w:r>
        <w:rPr>
          <w:lang w:eastAsia="en-GB"/>
        </w:rPr>
        <w:t>ssant pas</w:t>
      </w:r>
      <w:r w:rsidRPr="0035343D">
        <w:rPr>
          <w:lang w:eastAsia="en-GB"/>
        </w:rPr>
        <w:t xml:space="preserve"> la protection de ses droits fondamentaux, notamment l</w:t>
      </w:r>
      <w:r>
        <w:rPr>
          <w:lang w:eastAsia="en-GB"/>
        </w:rPr>
        <w:t>’</w:t>
      </w:r>
      <w:r w:rsidRPr="0035343D">
        <w:rPr>
          <w:lang w:eastAsia="en-GB"/>
        </w:rPr>
        <w:t>égalité de traitement sans distinction de race, de couleur ou d</w:t>
      </w:r>
      <w:r>
        <w:rPr>
          <w:lang w:eastAsia="en-GB"/>
        </w:rPr>
        <w:t>’</w:t>
      </w:r>
      <w:r w:rsidRPr="0035343D">
        <w:rPr>
          <w:lang w:eastAsia="en-GB"/>
        </w:rPr>
        <w:t>origine nationale ou ethnique.</w:t>
      </w:r>
    </w:p>
    <w:p w14:paraId="09A82D37" w14:textId="5A9FCCC1" w:rsidR="00DF04F7" w:rsidRPr="0035343D" w:rsidRDefault="00DF04F7" w:rsidP="00987B66">
      <w:pPr>
        <w:pStyle w:val="SingleTxtG"/>
        <w:rPr>
          <w:lang w:eastAsia="en-GB"/>
        </w:rPr>
      </w:pPr>
      <w:r w:rsidRPr="0035343D">
        <w:rPr>
          <w:lang w:eastAsia="en-GB"/>
        </w:rPr>
        <w:t>3.6</w:t>
      </w:r>
      <w:r w:rsidRPr="0035343D">
        <w:rPr>
          <w:lang w:eastAsia="en-GB"/>
        </w:rPr>
        <w:tab/>
        <w:t>Au titre de l</w:t>
      </w:r>
      <w:r>
        <w:rPr>
          <w:lang w:eastAsia="en-GB"/>
        </w:rPr>
        <w:t>’</w:t>
      </w:r>
      <w:r w:rsidRPr="0035343D">
        <w:rPr>
          <w:lang w:eastAsia="en-GB"/>
        </w:rPr>
        <w:t>article</w:t>
      </w:r>
      <w:r w:rsidR="00A31D7D">
        <w:rPr>
          <w:lang w:eastAsia="en-GB"/>
        </w:rPr>
        <w:t> </w:t>
      </w:r>
      <w:r w:rsidRPr="0035343D">
        <w:rPr>
          <w:lang w:eastAsia="en-GB"/>
        </w:rPr>
        <w:t>6 de la Convention, l</w:t>
      </w:r>
      <w:r>
        <w:rPr>
          <w:lang w:eastAsia="en-GB"/>
        </w:rPr>
        <w:t>’</w:t>
      </w:r>
      <w:r w:rsidRPr="0035343D">
        <w:rPr>
          <w:lang w:eastAsia="en-GB"/>
        </w:rPr>
        <w:t xml:space="preserve">auteur </w:t>
      </w:r>
      <w:r>
        <w:rPr>
          <w:lang w:eastAsia="en-GB"/>
        </w:rPr>
        <w:t>soutient</w:t>
      </w:r>
      <w:r w:rsidRPr="0035343D">
        <w:rPr>
          <w:lang w:eastAsia="en-GB"/>
        </w:rPr>
        <w:t xml:space="preserve"> qu</w:t>
      </w:r>
      <w:r>
        <w:rPr>
          <w:lang w:eastAsia="en-GB"/>
        </w:rPr>
        <w:t>’</w:t>
      </w:r>
      <w:r w:rsidRPr="0035343D">
        <w:rPr>
          <w:lang w:eastAsia="en-GB"/>
        </w:rPr>
        <w:t>il n</w:t>
      </w:r>
      <w:r>
        <w:rPr>
          <w:lang w:eastAsia="en-GB"/>
        </w:rPr>
        <w:t>’</w:t>
      </w:r>
      <w:r w:rsidRPr="0035343D">
        <w:rPr>
          <w:lang w:eastAsia="en-GB"/>
        </w:rPr>
        <w:t>a pu obtenir que l</w:t>
      </w:r>
      <w:r>
        <w:rPr>
          <w:lang w:eastAsia="en-GB"/>
        </w:rPr>
        <w:t>’</w:t>
      </w:r>
      <w:r w:rsidRPr="0035343D">
        <w:rPr>
          <w:lang w:eastAsia="en-GB"/>
        </w:rPr>
        <w:t>exécution partielle de l</w:t>
      </w:r>
      <w:r>
        <w:rPr>
          <w:lang w:eastAsia="en-GB"/>
        </w:rPr>
        <w:t>’</w:t>
      </w:r>
      <w:r w:rsidRPr="0035343D">
        <w:rPr>
          <w:lang w:eastAsia="en-GB"/>
        </w:rPr>
        <w:t>arrêt de la cour d</w:t>
      </w:r>
      <w:r>
        <w:rPr>
          <w:lang w:eastAsia="en-GB"/>
        </w:rPr>
        <w:t>’</w:t>
      </w:r>
      <w:r w:rsidRPr="0035343D">
        <w:rPr>
          <w:lang w:eastAsia="en-GB"/>
        </w:rPr>
        <w:t xml:space="preserve">appel </w:t>
      </w:r>
      <w:r>
        <w:rPr>
          <w:lang w:eastAsia="en-GB"/>
        </w:rPr>
        <w:t xml:space="preserve">de Versailles </w:t>
      </w:r>
      <w:r w:rsidRPr="0035343D">
        <w:rPr>
          <w:lang w:eastAsia="en-GB"/>
        </w:rPr>
        <w:t>du 2</w:t>
      </w:r>
      <w:r w:rsidR="00A31D7D">
        <w:rPr>
          <w:lang w:eastAsia="en-GB"/>
        </w:rPr>
        <w:t> </w:t>
      </w:r>
      <w:r w:rsidRPr="0035343D">
        <w:rPr>
          <w:lang w:eastAsia="en-GB"/>
        </w:rPr>
        <w:t>avril 2008</w:t>
      </w:r>
      <w:r>
        <w:rPr>
          <w:lang w:eastAsia="en-GB"/>
        </w:rPr>
        <w:t>,</w:t>
      </w:r>
      <w:r w:rsidRPr="0035343D">
        <w:rPr>
          <w:lang w:eastAsia="en-GB"/>
        </w:rPr>
        <w:t xml:space="preserve"> qui </w:t>
      </w:r>
      <w:r>
        <w:rPr>
          <w:lang w:eastAsia="en-GB"/>
        </w:rPr>
        <w:t>reconnaissait</w:t>
      </w:r>
      <w:r w:rsidRPr="0035343D">
        <w:rPr>
          <w:lang w:eastAsia="en-GB"/>
        </w:rPr>
        <w:t xml:space="preserve"> la discrimination raciale dont il a</w:t>
      </w:r>
      <w:r>
        <w:rPr>
          <w:lang w:eastAsia="en-GB"/>
        </w:rPr>
        <w:t>vait</w:t>
      </w:r>
      <w:r w:rsidRPr="0035343D">
        <w:rPr>
          <w:lang w:eastAsia="en-GB"/>
        </w:rPr>
        <w:t xml:space="preserve"> été victime, lui allouait des dommages</w:t>
      </w:r>
      <w:r w:rsidR="00A31D7D">
        <w:rPr>
          <w:lang w:eastAsia="en-GB"/>
        </w:rPr>
        <w:noBreakHyphen/>
      </w:r>
      <w:r w:rsidRPr="0035343D">
        <w:rPr>
          <w:lang w:eastAsia="en-GB"/>
        </w:rPr>
        <w:t>intérêts et ordonnait son repositionnement dont la mise en œuvre nécessitait la délivrance d</w:t>
      </w:r>
      <w:r>
        <w:rPr>
          <w:lang w:eastAsia="en-GB"/>
        </w:rPr>
        <w:t>’</w:t>
      </w:r>
      <w:r w:rsidRPr="0035343D">
        <w:rPr>
          <w:lang w:eastAsia="en-GB"/>
        </w:rPr>
        <w:t xml:space="preserve">un certificat de travail. </w:t>
      </w:r>
      <w:r>
        <w:rPr>
          <w:lang w:eastAsia="en-GB"/>
        </w:rPr>
        <w:t>L’auteur explique qu’e</w:t>
      </w:r>
      <w:r w:rsidRPr="0035343D">
        <w:rPr>
          <w:lang w:eastAsia="en-GB"/>
        </w:rPr>
        <w:t>n raison du rejet de son pourvoi sans examen au fond, il a été privé d</w:t>
      </w:r>
      <w:r>
        <w:rPr>
          <w:lang w:eastAsia="en-GB"/>
        </w:rPr>
        <w:t>’</w:t>
      </w:r>
      <w:r w:rsidRPr="0035343D">
        <w:rPr>
          <w:lang w:eastAsia="en-GB"/>
        </w:rPr>
        <w:t>une voie de recours effective devant une juridiction nationale, en lien avec les pratiques constitutives de discrimination raciale dont il a été victime. L</w:t>
      </w:r>
      <w:r>
        <w:rPr>
          <w:lang w:eastAsia="en-GB"/>
        </w:rPr>
        <w:t>’</w:t>
      </w:r>
      <w:r w:rsidRPr="0035343D">
        <w:rPr>
          <w:lang w:eastAsia="en-GB"/>
        </w:rPr>
        <w:t xml:space="preserve">auteur </w:t>
      </w:r>
      <w:r>
        <w:rPr>
          <w:lang w:eastAsia="en-GB"/>
        </w:rPr>
        <w:t>soutient</w:t>
      </w:r>
      <w:r w:rsidRPr="0035343D">
        <w:rPr>
          <w:lang w:eastAsia="en-GB"/>
        </w:rPr>
        <w:t xml:space="preserve"> enfin qu</w:t>
      </w:r>
      <w:r>
        <w:rPr>
          <w:lang w:eastAsia="en-GB"/>
        </w:rPr>
        <w:t>’</w:t>
      </w:r>
      <w:r w:rsidRPr="0035343D">
        <w:rPr>
          <w:lang w:eastAsia="en-GB"/>
        </w:rPr>
        <w:t>il n</w:t>
      </w:r>
      <w:r>
        <w:rPr>
          <w:lang w:eastAsia="en-GB"/>
        </w:rPr>
        <w:t>’</w:t>
      </w:r>
      <w:r w:rsidRPr="0035343D">
        <w:rPr>
          <w:lang w:eastAsia="en-GB"/>
        </w:rPr>
        <w:t>a pas pu obtenir une réparation juste et adéquate de l</w:t>
      </w:r>
      <w:r>
        <w:rPr>
          <w:lang w:eastAsia="en-GB"/>
        </w:rPr>
        <w:t>’</w:t>
      </w:r>
      <w:r w:rsidRPr="0035343D">
        <w:rPr>
          <w:lang w:eastAsia="en-GB"/>
        </w:rPr>
        <w:t>intégralité des dommages dont il a été victime</w:t>
      </w:r>
      <w:r>
        <w:rPr>
          <w:lang w:eastAsia="en-GB"/>
        </w:rPr>
        <w:t>,</w:t>
      </w:r>
      <w:r w:rsidRPr="0035343D">
        <w:rPr>
          <w:lang w:eastAsia="en-GB"/>
        </w:rPr>
        <w:t xml:space="preserve"> en raison de la discrimination raciale pratiquée à son </w:t>
      </w:r>
      <w:r>
        <w:rPr>
          <w:lang w:eastAsia="en-GB"/>
        </w:rPr>
        <w:t>égard</w:t>
      </w:r>
      <w:r w:rsidRPr="0035343D">
        <w:rPr>
          <w:lang w:eastAsia="en-GB"/>
        </w:rPr>
        <w:t>.</w:t>
      </w:r>
    </w:p>
    <w:p w14:paraId="13DB3D6C" w14:textId="77777777" w:rsidR="00DF04F7" w:rsidRPr="0035343D" w:rsidRDefault="00DF04F7" w:rsidP="00987B66">
      <w:pPr>
        <w:pStyle w:val="H23G"/>
      </w:pPr>
      <w:r w:rsidRPr="0035343D">
        <w:tab/>
      </w:r>
      <w:r w:rsidRPr="0035343D">
        <w:tab/>
        <w:t>Observations de l</w:t>
      </w:r>
      <w:r>
        <w:t>’</w:t>
      </w:r>
      <w:r w:rsidRPr="0035343D">
        <w:t>État partie sur le fond</w:t>
      </w:r>
    </w:p>
    <w:p w14:paraId="5CD012AD" w14:textId="77777777" w:rsidR="00DF04F7" w:rsidRPr="0035343D" w:rsidRDefault="00DF04F7" w:rsidP="00987B66">
      <w:pPr>
        <w:pStyle w:val="SingleTxtG"/>
        <w:rPr>
          <w:lang w:val="fr-FR" w:eastAsia="en-GB"/>
        </w:rPr>
      </w:pPr>
      <w:r w:rsidRPr="0035343D">
        <w:rPr>
          <w:lang w:val="fr-FR" w:eastAsia="en-GB"/>
        </w:rPr>
        <w:t>4.1</w:t>
      </w:r>
      <w:r w:rsidRPr="0035343D">
        <w:rPr>
          <w:lang w:val="fr-FR" w:eastAsia="en-GB"/>
        </w:rPr>
        <w:tab/>
        <w:t>Le 13 mars 2019, l</w:t>
      </w:r>
      <w:r>
        <w:rPr>
          <w:lang w:val="fr-FR" w:eastAsia="en-GB"/>
        </w:rPr>
        <w:t>’</w:t>
      </w:r>
      <w:r w:rsidRPr="0035343D">
        <w:rPr>
          <w:lang w:val="fr-FR" w:eastAsia="en-GB"/>
        </w:rPr>
        <w:t>État partie a présenté ses observations sur le fond de la communication tout en indiquant qu</w:t>
      </w:r>
      <w:r>
        <w:rPr>
          <w:lang w:val="fr-FR" w:eastAsia="en-GB"/>
        </w:rPr>
        <w:t>’</w:t>
      </w:r>
      <w:r w:rsidRPr="0035343D">
        <w:rPr>
          <w:lang w:val="fr-FR" w:eastAsia="en-GB"/>
        </w:rPr>
        <w:t>il n</w:t>
      </w:r>
      <w:r>
        <w:rPr>
          <w:lang w:val="fr-FR" w:eastAsia="en-GB"/>
        </w:rPr>
        <w:t>’</w:t>
      </w:r>
      <w:r w:rsidRPr="0035343D">
        <w:rPr>
          <w:lang w:val="fr-FR" w:eastAsia="en-GB"/>
        </w:rPr>
        <w:t>entend</w:t>
      </w:r>
      <w:r>
        <w:rPr>
          <w:lang w:val="fr-FR" w:eastAsia="en-GB"/>
        </w:rPr>
        <w:t>ait</w:t>
      </w:r>
      <w:r w:rsidRPr="0035343D">
        <w:rPr>
          <w:lang w:val="fr-FR" w:eastAsia="en-GB"/>
        </w:rPr>
        <w:t xml:space="preserve"> formuler aucune observation sur</w:t>
      </w:r>
      <w:r>
        <w:rPr>
          <w:lang w:val="fr-FR" w:eastAsia="en-GB"/>
        </w:rPr>
        <w:t xml:space="preserve"> la recevabilité.</w:t>
      </w:r>
    </w:p>
    <w:p w14:paraId="35696AC3" w14:textId="3F7EED57" w:rsidR="00DF04F7" w:rsidRPr="0035343D" w:rsidRDefault="00DF04F7" w:rsidP="00564369">
      <w:pPr>
        <w:pStyle w:val="SingleTxtG"/>
        <w:rPr>
          <w:lang w:val="fr-FR" w:eastAsia="en-GB"/>
        </w:rPr>
      </w:pPr>
      <w:r w:rsidRPr="0035343D">
        <w:rPr>
          <w:lang w:val="fr-FR" w:eastAsia="en-GB"/>
        </w:rPr>
        <w:t>4.2</w:t>
      </w:r>
      <w:r w:rsidRPr="0035343D">
        <w:rPr>
          <w:lang w:val="fr-FR" w:eastAsia="en-GB"/>
        </w:rPr>
        <w:tab/>
        <w:t>L</w:t>
      </w:r>
      <w:r>
        <w:rPr>
          <w:lang w:val="fr-FR" w:eastAsia="en-GB"/>
        </w:rPr>
        <w:t>’</w:t>
      </w:r>
      <w:r w:rsidRPr="0035343D">
        <w:rPr>
          <w:lang w:val="fr-FR" w:eastAsia="en-GB"/>
        </w:rPr>
        <w:t>État partie considère que l</w:t>
      </w:r>
      <w:r>
        <w:rPr>
          <w:lang w:val="fr-FR" w:eastAsia="en-GB"/>
        </w:rPr>
        <w:t>’</w:t>
      </w:r>
      <w:r w:rsidRPr="0035343D">
        <w:rPr>
          <w:lang w:val="fr-FR" w:eastAsia="en-GB"/>
        </w:rPr>
        <w:t>auteur a été mis en mesure de faire valoir ses arguments tendant à la constatation de la discrimination dont il s</w:t>
      </w:r>
      <w:r>
        <w:rPr>
          <w:lang w:val="fr-FR" w:eastAsia="en-GB"/>
        </w:rPr>
        <w:t>’</w:t>
      </w:r>
      <w:r w:rsidRPr="0035343D">
        <w:rPr>
          <w:lang w:val="fr-FR" w:eastAsia="en-GB"/>
        </w:rPr>
        <w:t>estimait victime de la part de la société Renault</w:t>
      </w:r>
      <w:r>
        <w:rPr>
          <w:lang w:val="fr-FR" w:eastAsia="en-GB"/>
        </w:rPr>
        <w:t>,</w:t>
      </w:r>
      <w:r w:rsidRPr="0035343D">
        <w:rPr>
          <w:lang w:val="fr-FR" w:eastAsia="en-GB"/>
        </w:rPr>
        <w:t xml:space="preserve"> et qu</w:t>
      </w:r>
      <w:r>
        <w:rPr>
          <w:lang w:val="fr-FR" w:eastAsia="en-GB"/>
        </w:rPr>
        <w:t>’</w:t>
      </w:r>
      <w:r w:rsidRPr="0035343D">
        <w:rPr>
          <w:lang w:val="fr-FR" w:eastAsia="en-GB"/>
        </w:rPr>
        <w:t xml:space="preserve">il a pu bénéficier du droit à un tribunal impartial et de toutes les garanties </w:t>
      </w:r>
      <w:r>
        <w:rPr>
          <w:lang w:val="fr-FR" w:eastAsia="en-GB"/>
        </w:rPr>
        <w:t>associées</w:t>
      </w:r>
      <w:r w:rsidRPr="0035343D">
        <w:rPr>
          <w:lang w:val="fr-FR" w:eastAsia="en-GB"/>
        </w:rPr>
        <w:t xml:space="preserve"> à l</w:t>
      </w:r>
      <w:r>
        <w:rPr>
          <w:lang w:val="fr-FR" w:eastAsia="en-GB"/>
        </w:rPr>
        <w:t>’</w:t>
      </w:r>
      <w:r w:rsidRPr="0035343D">
        <w:rPr>
          <w:lang w:val="fr-FR" w:eastAsia="en-GB"/>
        </w:rPr>
        <w:t>exercice d</w:t>
      </w:r>
      <w:r>
        <w:rPr>
          <w:lang w:val="fr-FR" w:eastAsia="en-GB"/>
        </w:rPr>
        <w:t>’</w:t>
      </w:r>
      <w:r w:rsidRPr="0035343D">
        <w:rPr>
          <w:lang w:val="fr-FR" w:eastAsia="en-GB"/>
        </w:rPr>
        <w:t>un tel droit dans des conditions satisfaisantes. L</w:t>
      </w:r>
      <w:r>
        <w:rPr>
          <w:lang w:val="fr-FR" w:eastAsia="en-GB"/>
        </w:rPr>
        <w:t>’</w:t>
      </w:r>
      <w:r w:rsidRPr="0035343D">
        <w:rPr>
          <w:lang w:val="fr-FR" w:eastAsia="en-GB"/>
        </w:rPr>
        <w:t>État partie estime que le préjudice subi par l</w:t>
      </w:r>
      <w:r>
        <w:rPr>
          <w:lang w:val="fr-FR" w:eastAsia="en-GB"/>
        </w:rPr>
        <w:t>’</w:t>
      </w:r>
      <w:r w:rsidRPr="0035343D">
        <w:rPr>
          <w:lang w:val="fr-FR" w:eastAsia="en-GB"/>
        </w:rPr>
        <w:t>auteur a été constaté et intégralement réparé</w:t>
      </w:r>
      <w:r>
        <w:rPr>
          <w:lang w:val="fr-FR" w:eastAsia="en-GB"/>
        </w:rPr>
        <w:t>,</w:t>
      </w:r>
      <w:r w:rsidRPr="0035343D">
        <w:rPr>
          <w:lang w:val="fr-FR" w:eastAsia="en-GB"/>
        </w:rPr>
        <w:t xml:space="preserve"> après condamnation de la société Renault par la cour d</w:t>
      </w:r>
      <w:r>
        <w:rPr>
          <w:lang w:val="fr-FR" w:eastAsia="en-GB"/>
        </w:rPr>
        <w:t>’</w:t>
      </w:r>
      <w:r w:rsidRPr="0035343D">
        <w:rPr>
          <w:lang w:val="fr-FR" w:eastAsia="en-GB"/>
        </w:rPr>
        <w:t>appel de Versailles le 2</w:t>
      </w:r>
      <w:r w:rsidR="000017A6">
        <w:rPr>
          <w:lang w:val="fr-FR" w:eastAsia="en-GB"/>
        </w:rPr>
        <w:t> </w:t>
      </w:r>
      <w:r w:rsidRPr="0035343D">
        <w:rPr>
          <w:lang w:val="fr-FR" w:eastAsia="en-GB"/>
        </w:rPr>
        <w:t>avril 2008.</w:t>
      </w:r>
    </w:p>
    <w:p w14:paraId="2831949B" w14:textId="03640BA9" w:rsidR="00DF04F7" w:rsidRPr="0035343D" w:rsidRDefault="00DF04F7" w:rsidP="00564369">
      <w:pPr>
        <w:pStyle w:val="SingleTxtG"/>
        <w:rPr>
          <w:lang w:val="fr-FR" w:eastAsia="en-GB"/>
        </w:rPr>
      </w:pPr>
      <w:r w:rsidRPr="0035343D">
        <w:rPr>
          <w:lang w:val="fr-FR" w:eastAsia="en-GB"/>
        </w:rPr>
        <w:t>4.3</w:t>
      </w:r>
      <w:r w:rsidRPr="0035343D">
        <w:rPr>
          <w:lang w:val="fr-FR" w:eastAsia="en-GB"/>
        </w:rPr>
        <w:tab/>
        <w:t>L</w:t>
      </w:r>
      <w:r>
        <w:rPr>
          <w:lang w:val="fr-FR" w:eastAsia="en-GB"/>
        </w:rPr>
        <w:t>’</w:t>
      </w:r>
      <w:r w:rsidRPr="0035343D">
        <w:rPr>
          <w:lang w:val="fr-FR" w:eastAsia="en-GB"/>
        </w:rPr>
        <w:t xml:space="preserve">État partie réfute </w:t>
      </w:r>
      <w:r>
        <w:rPr>
          <w:lang w:val="fr-FR" w:eastAsia="en-GB"/>
        </w:rPr>
        <w:t xml:space="preserve">les </w:t>
      </w:r>
      <w:r w:rsidRPr="0035343D">
        <w:rPr>
          <w:lang w:val="fr-FR" w:eastAsia="en-GB"/>
        </w:rPr>
        <w:t>argument</w:t>
      </w:r>
      <w:r>
        <w:rPr>
          <w:lang w:val="fr-FR" w:eastAsia="en-GB"/>
        </w:rPr>
        <w:t>s</w:t>
      </w:r>
      <w:r w:rsidRPr="0035343D">
        <w:rPr>
          <w:lang w:val="fr-FR" w:eastAsia="en-GB"/>
        </w:rPr>
        <w:t xml:space="preserve"> de l</w:t>
      </w:r>
      <w:r>
        <w:rPr>
          <w:lang w:val="fr-FR" w:eastAsia="en-GB"/>
        </w:rPr>
        <w:t>’</w:t>
      </w:r>
      <w:r w:rsidRPr="0035343D">
        <w:rPr>
          <w:lang w:val="fr-FR" w:eastAsia="en-GB"/>
        </w:rPr>
        <w:t>auteur alléguant une violation des articles</w:t>
      </w:r>
      <w:r w:rsidR="000017A6">
        <w:rPr>
          <w:lang w:val="fr-FR" w:eastAsia="en-GB"/>
        </w:rPr>
        <w:t> </w:t>
      </w:r>
      <w:r w:rsidRPr="0035343D">
        <w:rPr>
          <w:lang w:val="fr-FR" w:eastAsia="en-GB"/>
        </w:rPr>
        <w:t xml:space="preserve">2, 3, 4 et 5 de la Convention. En premier lieu, </w:t>
      </w:r>
      <w:r>
        <w:rPr>
          <w:lang w:val="fr-FR" w:eastAsia="en-GB"/>
        </w:rPr>
        <w:t>il</w:t>
      </w:r>
      <w:r w:rsidRPr="0035343D">
        <w:rPr>
          <w:lang w:val="fr-FR" w:eastAsia="en-GB"/>
        </w:rPr>
        <w:t xml:space="preserve"> considère comme dépourvue de tout fondement l</w:t>
      </w:r>
      <w:r>
        <w:rPr>
          <w:lang w:val="fr-FR" w:eastAsia="en-GB"/>
        </w:rPr>
        <w:t>’</w:t>
      </w:r>
      <w:r w:rsidRPr="0035343D">
        <w:rPr>
          <w:lang w:val="fr-FR" w:eastAsia="en-GB"/>
        </w:rPr>
        <w:t>inertie qui lui est reprochée à l</w:t>
      </w:r>
      <w:r>
        <w:rPr>
          <w:lang w:val="fr-FR" w:eastAsia="en-GB"/>
        </w:rPr>
        <w:t>’</w:t>
      </w:r>
      <w:r w:rsidRPr="0035343D">
        <w:rPr>
          <w:lang w:val="fr-FR" w:eastAsia="en-GB"/>
        </w:rPr>
        <w:t>égard des politiques discriminantes qui auraient été pratiquées par la société Renault</w:t>
      </w:r>
      <w:r>
        <w:rPr>
          <w:lang w:val="fr-FR" w:eastAsia="en-GB"/>
        </w:rPr>
        <w:t>,</w:t>
      </w:r>
      <w:r w:rsidRPr="0035343D">
        <w:rPr>
          <w:lang w:val="fr-FR" w:eastAsia="en-GB"/>
        </w:rPr>
        <w:t xml:space="preserve"> d</w:t>
      </w:r>
      <w:r>
        <w:rPr>
          <w:lang w:val="fr-FR" w:eastAsia="en-GB"/>
        </w:rPr>
        <w:t>’</w:t>
      </w:r>
      <w:r w:rsidRPr="0035343D">
        <w:rPr>
          <w:lang w:val="fr-FR" w:eastAsia="en-GB"/>
        </w:rPr>
        <w:t xml:space="preserve">autant que les </w:t>
      </w:r>
      <w:r>
        <w:rPr>
          <w:lang w:val="fr-FR" w:eastAsia="en-GB"/>
        </w:rPr>
        <w:t>prétendus</w:t>
      </w:r>
      <w:r w:rsidRPr="0035343D">
        <w:rPr>
          <w:lang w:val="fr-FR" w:eastAsia="en-GB"/>
        </w:rPr>
        <w:t xml:space="preserve"> </w:t>
      </w:r>
      <w:r>
        <w:rPr>
          <w:lang w:val="fr-FR" w:eastAsia="en-GB"/>
        </w:rPr>
        <w:t>« </w:t>
      </w:r>
      <w:r w:rsidRPr="0035343D">
        <w:rPr>
          <w:lang w:val="fr-FR" w:eastAsia="en-GB"/>
        </w:rPr>
        <w:t>documents internes rendus publics</w:t>
      </w:r>
      <w:r>
        <w:rPr>
          <w:lang w:val="fr-FR" w:eastAsia="en-GB"/>
        </w:rPr>
        <w:t> </w:t>
      </w:r>
      <w:r w:rsidRPr="0035343D">
        <w:rPr>
          <w:lang w:val="fr-FR" w:eastAsia="en-GB"/>
        </w:rPr>
        <w:t>» à l</w:t>
      </w:r>
      <w:r>
        <w:rPr>
          <w:lang w:val="fr-FR" w:eastAsia="en-GB"/>
        </w:rPr>
        <w:t>’</w:t>
      </w:r>
      <w:r w:rsidRPr="0035343D">
        <w:rPr>
          <w:lang w:val="fr-FR" w:eastAsia="en-GB"/>
        </w:rPr>
        <w:t>appui de cette allégation n</w:t>
      </w:r>
      <w:r>
        <w:rPr>
          <w:lang w:val="fr-FR" w:eastAsia="en-GB"/>
        </w:rPr>
        <w:t>’</w:t>
      </w:r>
      <w:r w:rsidRPr="0035343D">
        <w:rPr>
          <w:lang w:val="fr-FR" w:eastAsia="en-GB"/>
        </w:rPr>
        <w:t>ont pas été produits par l</w:t>
      </w:r>
      <w:r>
        <w:rPr>
          <w:lang w:val="fr-FR" w:eastAsia="en-GB"/>
        </w:rPr>
        <w:t>’</w:t>
      </w:r>
      <w:r w:rsidRPr="0035343D">
        <w:rPr>
          <w:lang w:val="fr-FR" w:eastAsia="en-GB"/>
        </w:rPr>
        <w:t xml:space="preserve">auteur. </w:t>
      </w:r>
    </w:p>
    <w:p w14:paraId="111EC904" w14:textId="77777777" w:rsidR="00DF04F7" w:rsidRPr="0035343D" w:rsidRDefault="00DF04F7" w:rsidP="00564369">
      <w:pPr>
        <w:pStyle w:val="SingleTxtG"/>
        <w:rPr>
          <w:lang w:val="fr-FR" w:eastAsia="en-GB"/>
        </w:rPr>
      </w:pPr>
      <w:r w:rsidRPr="0035343D">
        <w:rPr>
          <w:lang w:val="fr-FR" w:eastAsia="en-GB"/>
        </w:rPr>
        <w:lastRenderedPageBreak/>
        <w:t>4.4</w:t>
      </w:r>
      <w:r w:rsidRPr="0035343D">
        <w:rPr>
          <w:lang w:val="fr-FR" w:eastAsia="en-GB"/>
        </w:rPr>
        <w:tab/>
        <w:t>En deuxième lieu, l</w:t>
      </w:r>
      <w:r>
        <w:rPr>
          <w:lang w:val="fr-FR" w:eastAsia="en-GB"/>
        </w:rPr>
        <w:t>’</w:t>
      </w:r>
      <w:r w:rsidRPr="0035343D">
        <w:rPr>
          <w:lang w:val="fr-FR" w:eastAsia="en-GB"/>
        </w:rPr>
        <w:t>État partie rappelle qu</w:t>
      </w:r>
      <w:r>
        <w:rPr>
          <w:lang w:val="fr-FR" w:eastAsia="en-GB"/>
        </w:rPr>
        <w:t>’</w:t>
      </w:r>
      <w:r w:rsidRPr="0035343D">
        <w:rPr>
          <w:lang w:val="fr-FR" w:eastAsia="en-GB"/>
        </w:rPr>
        <w:t>il est doté d</w:t>
      </w:r>
      <w:r>
        <w:rPr>
          <w:lang w:val="fr-FR" w:eastAsia="en-GB"/>
        </w:rPr>
        <w:t>’</w:t>
      </w:r>
      <w:r w:rsidRPr="0035343D">
        <w:rPr>
          <w:lang w:val="fr-FR" w:eastAsia="en-GB"/>
        </w:rPr>
        <w:t>un cadre juridique complet en matière de lutte contre les discriminations au travail, couvrant le champ des discriminations raciales. Il note que les principes d</w:t>
      </w:r>
      <w:r>
        <w:rPr>
          <w:lang w:val="fr-FR" w:eastAsia="en-GB"/>
        </w:rPr>
        <w:t>’</w:t>
      </w:r>
      <w:r w:rsidRPr="0035343D">
        <w:rPr>
          <w:lang w:val="fr-FR" w:eastAsia="en-GB"/>
        </w:rPr>
        <w:t>égalité et de non-discrimination sont consacrés au sommet du corpus juridique français par le bloc de constitution</w:t>
      </w:r>
      <w:r>
        <w:rPr>
          <w:lang w:val="fr-FR" w:eastAsia="en-GB"/>
        </w:rPr>
        <w:t>n</w:t>
      </w:r>
      <w:r w:rsidRPr="0035343D">
        <w:rPr>
          <w:lang w:val="fr-FR" w:eastAsia="en-GB"/>
        </w:rPr>
        <w:t>alité</w:t>
      </w:r>
      <w:r w:rsidRPr="00987B66">
        <w:rPr>
          <w:rStyle w:val="Appelnotedebasdep"/>
        </w:rPr>
        <w:footnoteReference w:id="7"/>
      </w:r>
      <w:r w:rsidRPr="0035343D">
        <w:rPr>
          <w:lang w:val="fr-FR" w:eastAsia="en-GB"/>
        </w:rPr>
        <w:t>. L</w:t>
      </w:r>
      <w:r>
        <w:rPr>
          <w:lang w:val="fr-FR" w:eastAsia="en-GB"/>
        </w:rPr>
        <w:t>’</w:t>
      </w:r>
      <w:r w:rsidRPr="0035343D">
        <w:rPr>
          <w:lang w:val="fr-FR" w:eastAsia="en-GB"/>
        </w:rPr>
        <w:t xml:space="preserve">État partie note également que </w:t>
      </w:r>
      <w:r>
        <w:rPr>
          <w:lang w:val="fr-FR" w:eastAsia="en-GB"/>
        </w:rPr>
        <w:t>le</w:t>
      </w:r>
      <w:r w:rsidRPr="0035343D">
        <w:rPr>
          <w:lang w:val="fr-FR" w:eastAsia="en-GB"/>
        </w:rPr>
        <w:t xml:space="preserve"> </w:t>
      </w:r>
      <w:r>
        <w:rPr>
          <w:lang w:val="fr-FR" w:eastAsia="en-GB"/>
        </w:rPr>
        <w:t>C</w:t>
      </w:r>
      <w:r w:rsidRPr="0035343D">
        <w:rPr>
          <w:lang w:val="fr-FR" w:eastAsia="en-GB"/>
        </w:rPr>
        <w:t>ode du travail précise ces principes dans le cadre des relations de travail</w:t>
      </w:r>
      <w:r w:rsidRPr="00987B66">
        <w:rPr>
          <w:rStyle w:val="Appelnotedebasdep"/>
        </w:rPr>
        <w:footnoteReference w:id="8"/>
      </w:r>
      <w:r w:rsidRPr="0035343D">
        <w:rPr>
          <w:lang w:val="fr-FR" w:eastAsia="en-GB"/>
        </w:rPr>
        <w:t xml:space="preserve"> et que la protection des salariés s</w:t>
      </w:r>
      <w:r>
        <w:rPr>
          <w:lang w:val="fr-FR" w:eastAsia="en-GB"/>
        </w:rPr>
        <w:t>’</w:t>
      </w:r>
      <w:r w:rsidRPr="0035343D">
        <w:rPr>
          <w:lang w:val="fr-FR" w:eastAsia="en-GB"/>
        </w:rPr>
        <w:t>étend également aux conséquences dommageables de la dénonciation de faits discriminatoires</w:t>
      </w:r>
      <w:r w:rsidRPr="00987B66">
        <w:rPr>
          <w:rStyle w:val="Appelnotedebasdep"/>
        </w:rPr>
        <w:footnoteReference w:id="9"/>
      </w:r>
      <w:r w:rsidRPr="0035343D">
        <w:rPr>
          <w:lang w:val="fr-FR" w:eastAsia="en-GB"/>
        </w:rPr>
        <w:t>. En cas de reconnaissance par le juge du caractère discriminatoire d</w:t>
      </w:r>
      <w:r>
        <w:rPr>
          <w:lang w:val="fr-FR" w:eastAsia="en-GB"/>
        </w:rPr>
        <w:t>’</w:t>
      </w:r>
      <w:r w:rsidRPr="0035343D">
        <w:rPr>
          <w:lang w:val="fr-FR" w:eastAsia="en-GB"/>
        </w:rPr>
        <w:t>une disposition ou d</w:t>
      </w:r>
      <w:r>
        <w:rPr>
          <w:lang w:val="fr-FR" w:eastAsia="en-GB"/>
        </w:rPr>
        <w:t>’</w:t>
      </w:r>
      <w:r w:rsidRPr="0035343D">
        <w:rPr>
          <w:lang w:val="fr-FR" w:eastAsia="en-GB"/>
        </w:rPr>
        <w:t>un acte pris par un employeur à l</w:t>
      </w:r>
      <w:r>
        <w:rPr>
          <w:lang w:val="fr-FR" w:eastAsia="en-GB"/>
        </w:rPr>
        <w:t>’</w:t>
      </w:r>
      <w:r w:rsidRPr="0035343D">
        <w:rPr>
          <w:lang w:val="fr-FR" w:eastAsia="en-GB"/>
        </w:rPr>
        <w:t>égard d</w:t>
      </w:r>
      <w:r>
        <w:rPr>
          <w:lang w:val="fr-FR" w:eastAsia="en-GB"/>
        </w:rPr>
        <w:t>’</w:t>
      </w:r>
      <w:r w:rsidRPr="0035343D">
        <w:rPr>
          <w:lang w:val="fr-FR" w:eastAsia="en-GB"/>
        </w:rPr>
        <w:t xml:space="preserve">un salarié, </w:t>
      </w:r>
      <w:r>
        <w:rPr>
          <w:lang w:val="fr-FR" w:eastAsia="en-GB"/>
        </w:rPr>
        <w:t>une telle disposition ou un tel acte</w:t>
      </w:r>
      <w:r w:rsidRPr="0035343D">
        <w:rPr>
          <w:lang w:val="fr-FR" w:eastAsia="en-GB"/>
        </w:rPr>
        <w:t xml:space="preserve"> encour</w:t>
      </w:r>
      <w:r>
        <w:rPr>
          <w:lang w:val="fr-FR" w:eastAsia="en-GB"/>
        </w:rPr>
        <w:t>en</w:t>
      </w:r>
      <w:r w:rsidRPr="0035343D">
        <w:rPr>
          <w:lang w:val="fr-FR" w:eastAsia="en-GB"/>
        </w:rPr>
        <w:t>t la nullité</w:t>
      </w:r>
      <w:r w:rsidRPr="00987B66">
        <w:rPr>
          <w:rStyle w:val="Appelnotedebasdep"/>
        </w:rPr>
        <w:footnoteReference w:id="10"/>
      </w:r>
      <w:r w:rsidRPr="0035343D">
        <w:rPr>
          <w:lang w:val="fr-FR" w:eastAsia="en-GB"/>
        </w:rPr>
        <w:t xml:space="preserve">. </w:t>
      </w:r>
    </w:p>
    <w:p w14:paraId="65125599" w14:textId="0BD3D2FE" w:rsidR="00DF04F7" w:rsidRPr="0035343D" w:rsidRDefault="00DF04F7" w:rsidP="00564369">
      <w:pPr>
        <w:pStyle w:val="SingleTxtG"/>
        <w:rPr>
          <w:lang w:val="fr-FR" w:eastAsia="en-GB"/>
        </w:rPr>
      </w:pPr>
      <w:r w:rsidRPr="0035343D">
        <w:rPr>
          <w:lang w:val="fr-FR" w:eastAsia="en-GB"/>
        </w:rPr>
        <w:t>4.5</w:t>
      </w:r>
      <w:r w:rsidRPr="0035343D">
        <w:rPr>
          <w:lang w:val="fr-FR" w:eastAsia="en-GB"/>
        </w:rPr>
        <w:tab/>
        <w:t>L</w:t>
      </w:r>
      <w:r>
        <w:rPr>
          <w:lang w:val="fr-FR" w:eastAsia="en-GB"/>
        </w:rPr>
        <w:t>’</w:t>
      </w:r>
      <w:r w:rsidRPr="0035343D">
        <w:rPr>
          <w:lang w:val="fr-FR" w:eastAsia="en-GB"/>
        </w:rPr>
        <w:t xml:space="preserve">État partie précise que son système juridique permet un accès facilité à la justice </w:t>
      </w:r>
      <w:r>
        <w:rPr>
          <w:lang w:val="fr-FR" w:eastAsia="en-GB"/>
        </w:rPr>
        <w:t>pour les</w:t>
      </w:r>
      <w:r w:rsidRPr="0035343D">
        <w:rPr>
          <w:lang w:val="fr-FR" w:eastAsia="en-GB"/>
        </w:rPr>
        <w:t xml:space="preserve"> salariés victimes de discrimination. Il note que les salariés victimes d</w:t>
      </w:r>
      <w:r>
        <w:rPr>
          <w:lang w:val="fr-FR" w:eastAsia="en-GB"/>
        </w:rPr>
        <w:t>’</w:t>
      </w:r>
      <w:r w:rsidRPr="0035343D">
        <w:rPr>
          <w:lang w:val="fr-FR" w:eastAsia="en-GB"/>
        </w:rPr>
        <w:t>actes de discrimination bénéficient d</w:t>
      </w:r>
      <w:r>
        <w:rPr>
          <w:lang w:val="fr-FR" w:eastAsia="en-GB"/>
        </w:rPr>
        <w:t>’</w:t>
      </w:r>
      <w:r w:rsidRPr="0035343D">
        <w:rPr>
          <w:lang w:val="fr-FR" w:eastAsia="en-GB"/>
        </w:rPr>
        <w:t>un aménagement de la charge de la preuve devant les juridictions civiles</w:t>
      </w:r>
      <w:r>
        <w:rPr>
          <w:lang w:val="fr-FR" w:eastAsia="en-GB"/>
        </w:rPr>
        <w:t>,</w:t>
      </w:r>
      <w:r w:rsidRPr="0035343D">
        <w:rPr>
          <w:lang w:val="fr-FR" w:eastAsia="en-GB"/>
        </w:rPr>
        <w:t xml:space="preserve"> garanti par l</w:t>
      </w:r>
      <w:r>
        <w:rPr>
          <w:lang w:val="fr-FR" w:eastAsia="en-GB"/>
        </w:rPr>
        <w:t>’</w:t>
      </w:r>
      <w:r w:rsidRPr="0035343D">
        <w:rPr>
          <w:lang w:val="fr-FR" w:eastAsia="en-GB"/>
        </w:rPr>
        <w:t>article</w:t>
      </w:r>
      <w:r w:rsidR="00531FE8">
        <w:rPr>
          <w:lang w:val="fr-FR" w:eastAsia="en-GB"/>
        </w:rPr>
        <w:t> </w:t>
      </w:r>
      <w:r w:rsidRPr="0035343D">
        <w:rPr>
          <w:lang w:val="fr-FR" w:eastAsia="en-GB"/>
        </w:rPr>
        <w:t xml:space="preserve">L1134-1 du </w:t>
      </w:r>
      <w:r>
        <w:rPr>
          <w:lang w:val="fr-FR" w:eastAsia="en-GB"/>
        </w:rPr>
        <w:t>C</w:t>
      </w:r>
      <w:r w:rsidRPr="0035343D">
        <w:rPr>
          <w:lang w:val="fr-FR" w:eastAsia="en-GB"/>
        </w:rPr>
        <w:t xml:space="preserve">ode du travail. En ce sens, les salariés sont dispensés de prouver la </w:t>
      </w:r>
      <w:r w:rsidRPr="0035343D">
        <w:rPr>
          <w:lang w:val="fr-FR"/>
        </w:rPr>
        <w:t>discrimination dont ils sont victimes. Le cas échéant, il incombe à l</w:t>
      </w:r>
      <w:r>
        <w:rPr>
          <w:lang w:val="fr-FR"/>
        </w:rPr>
        <w:t>’</w:t>
      </w:r>
      <w:r w:rsidRPr="0035343D">
        <w:rPr>
          <w:lang w:val="fr-FR"/>
        </w:rPr>
        <w:t>employeur de prouver que la différence de traitement est étrangère à tout motif discriminatoire</w:t>
      </w:r>
      <w:r w:rsidRPr="0035343D">
        <w:rPr>
          <w:lang w:val="fr-FR" w:eastAsia="en-GB"/>
        </w:rPr>
        <w:t xml:space="preserve">. </w:t>
      </w:r>
      <w:r>
        <w:rPr>
          <w:lang w:val="fr-FR" w:eastAsia="en-GB"/>
        </w:rPr>
        <w:t>À</w:t>
      </w:r>
      <w:r w:rsidRPr="0035343D">
        <w:rPr>
          <w:lang w:val="fr-FR" w:eastAsia="en-GB"/>
        </w:rPr>
        <w:t xml:space="preserve"> cet égard, </w:t>
      </w:r>
      <w:r>
        <w:rPr>
          <w:lang w:val="fr-FR" w:eastAsia="en-GB"/>
        </w:rPr>
        <w:t>l’État partie</w:t>
      </w:r>
      <w:r w:rsidRPr="0035343D">
        <w:rPr>
          <w:lang w:val="fr-FR" w:eastAsia="en-GB"/>
        </w:rPr>
        <w:t xml:space="preserve"> précise que </w:t>
      </w:r>
      <w:r>
        <w:rPr>
          <w:lang w:val="fr-FR" w:eastAsia="en-GB"/>
        </w:rPr>
        <w:t>l’avis</w:t>
      </w:r>
      <w:r w:rsidRPr="0035343D">
        <w:rPr>
          <w:lang w:val="fr-FR" w:eastAsia="en-GB"/>
        </w:rPr>
        <w:t xml:space="preserve"> du Comité </w:t>
      </w:r>
      <w:r>
        <w:rPr>
          <w:lang w:val="fr-FR" w:eastAsia="en-GB"/>
        </w:rPr>
        <w:t xml:space="preserve">en l’affaire </w:t>
      </w:r>
      <w:proofErr w:type="spellStart"/>
      <w:r w:rsidRPr="00422C87">
        <w:rPr>
          <w:i/>
          <w:iCs/>
          <w:lang w:val="fr-FR" w:eastAsia="en-GB"/>
        </w:rPr>
        <w:t>Gabaroum</w:t>
      </w:r>
      <w:proofErr w:type="spellEnd"/>
      <w:r w:rsidRPr="00422C87">
        <w:rPr>
          <w:i/>
          <w:iCs/>
          <w:lang w:val="fr-FR" w:eastAsia="en-GB"/>
        </w:rPr>
        <w:t xml:space="preserve"> c.</w:t>
      </w:r>
      <w:r w:rsidR="0090026A">
        <w:rPr>
          <w:i/>
          <w:iCs/>
          <w:lang w:val="fr-FR" w:eastAsia="en-GB"/>
        </w:rPr>
        <w:t> </w:t>
      </w:r>
      <w:r w:rsidRPr="00422C87">
        <w:rPr>
          <w:i/>
          <w:iCs/>
          <w:lang w:val="fr-FR" w:eastAsia="en-GB"/>
        </w:rPr>
        <w:t>France</w:t>
      </w:r>
      <w:r w:rsidRPr="00987B66">
        <w:rPr>
          <w:rStyle w:val="Appelnotedebasdep"/>
        </w:rPr>
        <w:footnoteReference w:id="11"/>
      </w:r>
      <w:r w:rsidRPr="0035343D">
        <w:rPr>
          <w:lang w:val="fr-FR" w:eastAsia="en-GB"/>
        </w:rPr>
        <w:t>, cité par l</w:t>
      </w:r>
      <w:r>
        <w:rPr>
          <w:lang w:val="fr-FR" w:eastAsia="en-GB"/>
        </w:rPr>
        <w:t>’</w:t>
      </w:r>
      <w:r w:rsidRPr="0035343D">
        <w:rPr>
          <w:lang w:val="fr-FR" w:eastAsia="en-GB"/>
        </w:rPr>
        <w:t>auteur dans ses observations, n</w:t>
      </w:r>
      <w:r>
        <w:rPr>
          <w:lang w:val="fr-FR" w:eastAsia="en-GB"/>
        </w:rPr>
        <w:t>’</w:t>
      </w:r>
      <w:r w:rsidRPr="0035343D">
        <w:rPr>
          <w:lang w:val="fr-FR" w:eastAsia="en-GB"/>
        </w:rPr>
        <w:t>est pas opérant en l</w:t>
      </w:r>
      <w:r>
        <w:rPr>
          <w:lang w:val="fr-FR" w:eastAsia="en-GB"/>
        </w:rPr>
        <w:t>’</w:t>
      </w:r>
      <w:r w:rsidRPr="0035343D">
        <w:rPr>
          <w:lang w:val="fr-FR" w:eastAsia="en-GB"/>
        </w:rPr>
        <w:t>espèce, la cour d</w:t>
      </w:r>
      <w:r>
        <w:rPr>
          <w:lang w:val="fr-FR" w:eastAsia="en-GB"/>
        </w:rPr>
        <w:t>’</w:t>
      </w:r>
      <w:r w:rsidRPr="0035343D">
        <w:rPr>
          <w:lang w:val="fr-FR" w:eastAsia="en-GB"/>
        </w:rPr>
        <w:t>appel de Versailles ayant utilement appliqué le principe de renversement de la charge de la preuve prévu à l</w:t>
      </w:r>
      <w:r>
        <w:rPr>
          <w:lang w:val="fr-FR" w:eastAsia="en-GB"/>
        </w:rPr>
        <w:t>’</w:t>
      </w:r>
      <w:r w:rsidRPr="0035343D">
        <w:rPr>
          <w:lang w:val="fr-FR" w:eastAsia="en-GB"/>
        </w:rPr>
        <w:t>article</w:t>
      </w:r>
      <w:r w:rsidR="0090026A">
        <w:rPr>
          <w:lang w:val="fr-FR" w:eastAsia="en-GB"/>
        </w:rPr>
        <w:t> </w:t>
      </w:r>
      <w:r w:rsidRPr="0035343D">
        <w:rPr>
          <w:lang w:val="fr-FR" w:eastAsia="en-GB"/>
        </w:rPr>
        <w:t>L</w:t>
      </w:r>
      <w:r>
        <w:rPr>
          <w:lang w:val="fr-FR" w:eastAsia="en-GB"/>
        </w:rPr>
        <w:t>1</w:t>
      </w:r>
      <w:r w:rsidRPr="0035343D">
        <w:rPr>
          <w:lang w:val="fr-FR" w:eastAsia="en-GB"/>
        </w:rPr>
        <w:t>22-45</w:t>
      </w:r>
      <w:r w:rsidRPr="00422C87">
        <w:footnoteReference w:id="12"/>
      </w:r>
      <w:r w:rsidRPr="0035343D">
        <w:rPr>
          <w:lang w:val="fr-FR" w:eastAsia="en-GB"/>
        </w:rPr>
        <w:t xml:space="preserve"> du </w:t>
      </w:r>
      <w:r>
        <w:rPr>
          <w:lang w:val="fr-FR" w:eastAsia="en-GB"/>
        </w:rPr>
        <w:t>C</w:t>
      </w:r>
      <w:r w:rsidRPr="0035343D">
        <w:rPr>
          <w:lang w:val="fr-FR" w:eastAsia="en-GB"/>
        </w:rPr>
        <w:t xml:space="preserve">ode du travail et prononcé la </w:t>
      </w:r>
      <w:r>
        <w:rPr>
          <w:lang w:val="fr-FR" w:eastAsia="en-GB"/>
        </w:rPr>
        <w:t>condamnation de la société Renault</w:t>
      </w:r>
      <w:r w:rsidRPr="00987B66">
        <w:rPr>
          <w:rStyle w:val="Appelnotedebasdep"/>
        </w:rPr>
        <w:footnoteReference w:id="13"/>
      </w:r>
      <w:r w:rsidRPr="0035343D">
        <w:rPr>
          <w:lang w:val="fr-FR" w:eastAsia="en-GB"/>
        </w:rPr>
        <w:t xml:space="preserve">. </w:t>
      </w:r>
    </w:p>
    <w:p w14:paraId="0B6AC2CD" w14:textId="77777777" w:rsidR="00DF04F7" w:rsidRPr="0035343D" w:rsidRDefault="00DF04F7" w:rsidP="00564369">
      <w:pPr>
        <w:pStyle w:val="SingleTxtG"/>
        <w:rPr>
          <w:lang w:val="fr-FR" w:eastAsia="en-GB"/>
        </w:rPr>
      </w:pPr>
      <w:r w:rsidRPr="0035343D">
        <w:rPr>
          <w:lang w:val="fr-FR" w:eastAsia="en-GB"/>
        </w:rPr>
        <w:t>4.6</w:t>
      </w:r>
      <w:r w:rsidRPr="0035343D">
        <w:rPr>
          <w:lang w:val="fr-FR" w:eastAsia="en-GB"/>
        </w:rPr>
        <w:tab/>
        <w:t>L</w:t>
      </w:r>
      <w:r>
        <w:rPr>
          <w:lang w:val="fr-FR" w:eastAsia="en-GB"/>
        </w:rPr>
        <w:t>’</w:t>
      </w:r>
      <w:r w:rsidRPr="0035343D">
        <w:rPr>
          <w:lang w:val="fr-FR" w:eastAsia="en-GB"/>
        </w:rPr>
        <w:t xml:space="preserve">État partie </w:t>
      </w:r>
      <w:r>
        <w:rPr>
          <w:lang w:val="fr-FR" w:eastAsia="en-GB"/>
        </w:rPr>
        <w:t>soutient</w:t>
      </w:r>
      <w:r w:rsidRPr="0035343D">
        <w:rPr>
          <w:lang w:val="fr-FR" w:eastAsia="en-GB"/>
        </w:rPr>
        <w:t xml:space="preserve"> que la lutte contre les discriminations raciales dans le champ du travail est consacrée dans son droit pénal. Ainsi, la discrimination raciale constitue une infraction pénale lorsqu</w:t>
      </w:r>
      <w:r>
        <w:rPr>
          <w:lang w:val="fr-FR" w:eastAsia="en-GB"/>
        </w:rPr>
        <w:t>’</w:t>
      </w:r>
      <w:r w:rsidRPr="0035343D">
        <w:rPr>
          <w:lang w:val="fr-FR" w:eastAsia="en-GB"/>
        </w:rPr>
        <w:t>elle consiste pour un employeur à refuser d</w:t>
      </w:r>
      <w:r>
        <w:rPr>
          <w:lang w:val="fr-FR" w:eastAsia="en-GB"/>
        </w:rPr>
        <w:t>’</w:t>
      </w:r>
      <w:r w:rsidRPr="0035343D">
        <w:rPr>
          <w:lang w:val="fr-FR" w:eastAsia="en-GB"/>
        </w:rPr>
        <w:t>embaucher, à sanctionner</w:t>
      </w:r>
      <w:r>
        <w:rPr>
          <w:lang w:val="fr-FR" w:eastAsia="en-GB"/>
        </w:rPr>
        <w:t xml:space="preserve"> ou</w:t>
      </w:r>
      <w:r w:rsidRPr="0035343D">
        <w:rPr>
          <w:lang w:val="fr-FR" w:eastAsia="en-GB"/>
        </w:rPr>
        <w:t xml:space="preserve"> à licencier une personne</w:t>
      </w:r>
      <w:r>
        <w:rPr>
          <w:lang w:val="fr-FR" w:eastAsia="en-GB"/>
        </w:rPr>
        <w:t>,</w:t>
      </w:r>
      <w:r w:rsidRPr="0035343D">
        <w:rPr>
          <w:lang w:val="fr-FR" w:eastAsia="en-GB"/>
        </w:rPr>
        <w:t xml:space="preserve"> ou encore à subordonner une offre d</w:t>
      </w:r>
      <w:r>
        <w:rPr>
          <w:lang w:val="fr-FR" w:eastAsia="en-GB"/>
        </w:rPr>
        <w:t>’</w:t>
      </w:r>
      <w:r w:rsidRPr="0035343D">
        <w:rPr>
          <w:lang w:val="fr-FR" w:eastAsia="en-GB"/>
        </w:rPr>
        <w:t>emploi, une demande de stage ou une période de formation en entreprise. Les employeurs se rendant coupable</w:t>
      </w:r>
      <w:r>
        <w:rPr>
          <w:lang w:val="fr-FR" w:eastAsia="en-GB"/>
        </w:rPr>
        <w:t>s</w:t>
      </w:r>
      <w:r w:rsidRPr="0035343D">
        <w:rPr>
          <w:lang w:val="fr-FR" w:eastAsia="en-GB"/>
        </w:rPr>
        <w:t xml:space="preserve"> d</w:t>
      </w:r>
      <w:r>
        <w:rPr>
          <w:lang w:val="fr-FR" w:eastAsia="en-GB"/>
        </w:rPr>
        <w:t>’</w:t>
      </w:r>
      <w:r w:rsidRPr="0035343D">
        <w:rPr>
          <w:lang w:val="fr-FR" w:eastAsia="en-GB"/>
        </w:rPr>
        <w:t>une telle discrimination encourent une peine de trois ans d</w:t>
      </w:r>
      <w:r>
        <w:rPr>
          <w:lang w:val="fr-FR" w:eastAsia="en-GB"/>
        </w:rPr>
        <w:t>’</w:t>
      </w:r>
      <w:r w:rsidRPr="0035343D">
        <w:rPr>
          <w:lang w:val="fr-FR" w:eastAsia="en-GB"/>
        </w:rPr>
        <w:t>emprisonnement et de 45</w:t>
      </w:r>
      <w:r>
        <w:rPr>
          <w:lang w:val="fr-FR" w:eastAsia="en-GB"/>
        </w:rPr>
        <w:t> </w:t>
      </w:r>
      <w:r w:rsidRPr="0035343D">
        <w:rPr>
          <w:lang w:val="fr-FR" w:eastAsia="en-GB"/>
        </w:rPr>
        <w:t>000</w:t>
      </w:r>
      <w:r>
        <w:rPr>
          <w:lang w:val="fr-FR" w:eastAsia="en-GB"/>
        </w:rPr>
        <w:t> </w:t>
      </w:r>
      <w:r w:rsidRPr="0035343D">
        <w:rPr>
          <w:lang w:val="fr-FR" w:eastAsia="en-GB"/>
        </w:rPr>
        <w:t>euros d</w:t>
      </w:r>
      <w:r>
        <w:rPr>
          <w:lang w:val="fr-FR" w:eastAsia="en-GB"/>
        </w:rPr>
        <w:t>’</w:t>
      </w:r>
      <w:r w:rsidRPr="0035343D">
        <w:rPr>
          <w:lang w:val="fr-FR" w:eastAsia="en-GB"/>
        </w:rPr>
        <w:t>amende</w:t>
      </w:r>
      <w:r w:rsidRPr="00987B66">
        <w:rPr>
          <w:rStyle w:val="Appelnotedebasdep"/>
        </w:rPr>
        <w:footnoteReference w:id="14"/>
      </w:r>
      <w:r w:rsidRPr="0035343D">
        <w:rPr>
          <w:lang w:val="fr-FR" w:eastAsia="en-GB"/>
        </w:rPr>
        <w:t>.</w:t>
      </w:r>
    </w:p>
    <w:p w14:paraId="19BFDB63" w14:textId="5661AEBB" w:rsidR="00DF04F7" w:rsidRPr="0035343D" w:rsidRDefault="00DF04F7" w:rsidP="00564369">
      <w:pPr>
        <w:pStyle w:val="SingleTxtG"/>
        <w:rPr>
          <w:lang w:val="fr-FR" w:eastAsia="en-GB"/>
        </w:rPr>
      </w:pPr>
      <w:r w:rsidRPr="0035343D">
        <w:rPr>
          <w:lang w:val="fr-FR" w:eastAsia="en-GB"/>
        </w:rPr>
        <w:t>4.7</w:t>
      </w:r>
      <w:r w:rsidRPr="0035343D">
        <w:rPr>
          <w:lang w:val="fr-FR" w:eastAsia="en-GB"/>
        </w:rPr>
        <w:tab/>
        <w:t>L</w:t>
      </w:r>
      <w:r>
        <w:rPr>
          <w:lang w:val="fr-FR" w:eastAsia="en-GB"/>
        </w:rPr>
        <w:t>’</w:t>
      </w:r>
      <w:r w:rsidRPr="0035343D">
        <w:rPr>
          <w:lang w:val="fr-FR" w:eastAsia="en-GB"/>
        </w:rPr>
        <w:t>État partie souligne que la discrimination alléguée par l</w:t>
      </w:r>
      <w:r>
        <w:rPr>
          <w:lang w:val="fr-FR" w:eastAsia="en-GB"/>
        </w:rPr>
        <w:t>’</w:t>
      </w:r>
      <w:r w:rsidRPr="0035343D">
        <w:rPr>
          <w:lang w:val="fr-FR" w:eastAsia="en-GB"/>
        </w:rPr>
        <w:t xml:space="preserve">auteur a été reconnue par les juridictions nationales, lesquelles ont condamné </w:t>
      </w:r>
      <w:r>
        <w:rPr>
          <w:lang w:val="fr-FR" w:eastAsia="en-GB"/>
        </w:rPr>
        <w:t>la société</w:t>
      </w:r>
      <w:r w:rsidRPr="0035343D">
        <w:rPr>
          <w:lang w:val="fr-FR" w:eastAsia="en-GB"/>
        </w:rPr>
        <w:t xml:space="preserve"> Renault à l</w:t>
      </w:r>
      <w:r>
        <w:rPr>
          <w:lang w:val="fr-FR" w:eastAsia="en-GB"/>
        </w:rPr>
        <w:t>’</w:t>
      </w:r>
      <w:r w:rsidRPr="0035343D">
        <w:rPr>
          <w:lang w:val="fr-FR" w:eastAsia="en-GB"/>
        </w:rPr>
        <w:t>indemniser pour les préjudices qu</w:t>
      </w:r>
      <w:r>
        <w:rPr>
          <w:lang w:val="fr-FR" w:eastAsia="en-GB"/>
        </w:rPr>
        <w:t>’</w:t>
      </w:r>
      <w:r w:rsidRPr="0035343D">
        <w:rPr>
          <w:lang w:val="fr-FR" w:eastAsia="en-GB"/>
        </w:rPr>
        <w:t xml:space="preserve">il avait subis à ce titre. </w:t>
      </w:r>
      <w:r>
        <w:rPr>
          <w:lang w:val="fr-FR" w:eastAsia="en-GB"/>
        </w:rPr>
        <w:t>Il</w:t>
      </w:r>
      <w:r w:rsidRPr="0035343D">
        <w:rPr>
          <w:lang w:val="fr-FR" w:eastAsia="en-GB"/>
        </w:rPr>
        <w:t xml:space="preserve"> rappelle en ce sens que la cour d</w:t>
      </w:r>
      <w:r>
        <w:rPr>
          <w:lang w:val="fr-FR" w:eastAsia="en-GB"/>
        </w:rPr>
        <w:t>’</w:t>
      </w:r>
      <w:r w:rsidRPr="0035343D">
        <w:rPr>
          <w:lang w:val="fr-FR" w:eastAsia="en-GB"/>
        </w:rPr>
        <w:t>appel de Versailles</w:t>
      </w:r>
      <w:r>
        <w:rPr>
          <w:lang w:val="fr-FR" w:eastAsia="en-GB"/>
        </w:rPr>
        <w:t>,</w:t>
      </w:r>
      <w:r w:rsidRPr="0035343D">
        <w:rPr>
          <w:lang w:val="fr-FR" w:eastAsia="en-GB"/>
        </w:rPr>
        <w:t xml:space="preserve"> dans son arrêt du 2</w:t>
      </w:r>
      <w:r w:rsidR="0090026A">
        <w:rPr>
          <w:lang w:val="fr-FR" w:eastAsia="en-GB"/>
        </w:rPr>
        <w:t> </w:t>
      </w:r>
      <w:r w:rsidRPr="0035343D">
        <w:rPr>
          <w:lang w:val="fr-FR" w:eastAsia="en-GB"/>
        </w:rPr>
        <w:t>avril 2008</w:t>
      </w:r>
      <w:r>
        <w:rPr>
          <w:lang w:val="fr-FR" w:eastAsia="en-GB"/>
        </w:rPr>
        <w:t>,</w:t>
      </w:r>
      <w:r w:rsidRPr="0035343D">
        <w:rPr>
          <w:lang w:val="fr-FR" w:eastAsia="en-GB"/>
        </w:rPr>
        <w:t xml:space="preserve"> a ainsi considéré que la société Renault n</w:t>
      </w:r>
      <w:r>
        <w:rPr>
          <w:lang w:val="fr-FR" w:eastAsia="en-GB"/>
        </w:rPr>
        <w:t>’</w:t>
      </w:r>
      <w:r w:rsidRPr="0035343D">
        <w:rPr>
          <w:lang w:val="fr-FR" w:eastAsia="en-GB"/>
        </w:rPr>
        <w:t>a</w:t>
      </w:r>
      <w:r>
        <w:rPr>
          <w:lang w:val="fr-FR" w:eastAsia="en-GB"/>
        </w:rPr>
        <w:t>vait</w:t>
      </w:r>
      <w:r w:rsidRPr="0035343D">
        <w:rPr>
          <w:lang w:val="fr-FR" w:eastAsia="en-GB"/>
        </w:rPr>
        <w:t xml:space="preserve"> pas apporté la preuve qui lui incomb</w:t>
      </w:r>
      <w:r>
        <w:rPr>
          <w:lang w:val="fr-FR" w:eastAsia="en-GB"/>
        </w:rPr>
        <w:t>ait</w:t>
      </w:r>
      <w:r w:rsidRPr="0035343D">
        <w:rPr>
          <w:lang w:val="fr-FR" w:eastAsia="en-GB"/>
        </w:rPr>
        <w:t xml:space="preserve"> que </w:t>
      </w:r>
      <w:r w:rsidRPr="0035343D">
        <w:rPr>
          <w:noProof/>
          <w:lang w:val="en-GB" w:eastAsia="en-GB"/>
        </w:rPr>
        <w:drawing>
          <wp:inline distT="0" distB="0" distL="0" distR="0" wp14:anchorId="641A53D3" wp14:editId="610EA808">
            <wp:extent cx="18288" cy="36576"/>
            <wp:effectExtent l="0" t="0" r="0" b="0"/>
            <wp:docPr id="36045" name="Picture 36045"/>
            <wp:cNvGraphicFramePr/>
            <a:graphic xmlns:a="http://schemas.openxmlformats.org/drawingml/2006/main">
              <a:graphicData uri="http://schemas.openxmlformats.org/drawingml/2006/picture">
                <pic:pic xmlns:pic="http://schemas.openxmlformats.org/drawingml/2006/picture">
                  <pic:nvPicPr>
                    <pic:cNvPr id="36045" name="Picture 36045"/>
                    <pic:cNvPicPr/>
                  </pic:nvPicPr>
                  <pic:blipFill>
                    <a:blip r:embed="rId8"/>
                    <a:stretch>
                      <a:fillRect/>
                    </a:stretch>
                  </pic:blipFill>
                  <pic:spPr>
                    <a:xfrm>
                      <a:off x="0" y="0"/>
                      <a:ext cx="18288" cy="36576"/>
                    </a:xfrm>
                    <a:prstGeom prst="rect">
                      <a:avLst/>
                    </a:prstGeom>
                  </pic:spPr>
                </pic:pic>
              </a:graphicData>
            </a:graphic>
          </wp:inline>
        </w:drawing>
      </w:r>
      <w:r w:rsidRPr="0035343D">
        <w:rPr>
          <w:lang w:val="fr-FR" w:eastAsia="en-GB"/>
        </w:rPr>
        <w:t>la différence de traitement entre l</w:t>
      </w:r>
      <w:r>
        <w:rPr>
          <w:lang w:val="fr-FR" w:eastAsia="en-GB"/>
        </w:rPr>
        <w:t>’</w:t>
      </w:r>
      <w:r w:rsidRPr="0035343D">
        <w:rPr>
          <w:lang w:val="fr-FR" w:eastAsia="en-GB"/>
        </w:rPr>
        <w:t xml:space="preserve">auteur et les salariés </w:t>
      </w:r>
      <w:r>
        <w:rPr>
          <w:lang w:val="fr-FR" w:eastAsia="en-GB"/>
        </w:rPr>
        <w:t>placés</w:t>
      </w:r>
      <w:r w:rsidRPr="0035343D">
        <w:rPr>
          <w:lang w:val="fr-FR" w:eastAsia="en-GB"/>
        </w:rPr>
        <w:t xml:space="preserve"> dans une situation comparable </w:t>
      </w:r>
      <w:r>
        <w:rPr>
          <w:lang w:val="fr-FR" w:eastAsia="en-GB"/>
        </w:rPr>
        <w:t>était</w:t>
      </w:r>
      <w:r w:rsidRPr="0035343D">
        <w:rPr>
          <w:lang w:val="fr-FR" w:eastAsia="en-GB"/>
        </w:rPr>
        <w:t xml:space="preserve"> </w:t>
      </w:r>
      <w:r>
        <w:rPr>
          <w:lang w:val="fr-FR" w:eastAsia="en-GB"/>
        </w:rPr>
        <w:t>« </w:t>
      </w:r>
      <w:r w:rsidRPr="0035343D">
        <w:rPr>
          <w:lang w:val="fr-FR" w:eastAsia="en-GB"/>
        </w:rPr>
        <w:t>justifiée par des éléments objectifs étrangers à toute discrimination fondée sur l</w:t>
      </w:r>
      <w:r>
        <w:rPr>
          <w:lang w:val="fr-FR" w:eastAsia="en-GB"/>
        </w:rPr>
        <w:t>’</w:t>
      </w:r>
      <w:r w:rsidRPr="0035343D">
        <w:rPr>
          <w:lang w:val="fr-FR" w:eastAsia="en-GB"/>
        </w:rPr>
        <w:t>appartenance ou la non-appartenance, vraie ou supposée, à une ethnie, une nation ou une race</w:t>
      </w:r>
      <w:r>
        <w:rPr>
          <w:lang w:val="fr-FR" w:eastAsia="en-GB"/>
        </w:rPr>
        <w:t>»</w:t>
      </w:r>
      <w:r w:rsidRPr="0035343D">
        <w:rPr>
          <w:lang w:val="fr-FR" w:eastAsia="en-GB"/>
        </w:rPr>
        <w:t>, et qu</w:t>
      </w:r>
      <w:r>
        <w:rPr>
          <w:lang w:val="fr-FR" w:eastAsia="en-GB"/>
        </w:rPr>
        <w:t>’</w:t>
      </w:r>
      <w:r w:rsidRPr="0035343D">
        <w:rPr>
          <w:lang w:val="fr-FR" w:eastAsia="en-GB"/>
        </w:rPr>
        <w:t>il y a</w:t>
      </w:r>
      <w:r>
        <w:rPr>
          <w:lang w:val="fr-FR" w:eastAsia="en-GB"/>
        </w:rPr>
        <w:t>vait</w:t>
      </w:r>
      <w:r w:rsidRPr="0035343D">
        <w:rPr>
          <w:lang w:val="fr-FR" w:eastAsia="en-GB"/>
        </w:rPr>
        <w:t xml:space="preserve"> </w:t>
      </w:r>
      <w:r>
        <w:rPr>
          <w:lang w:val="fr-FR" w:eastAsia="en-GB"/>
        </w:rPr>
        <w:t>« </w:t>
      </w:r>
      <w:r w:rsidRPr="0035343D">
        <w:rPr>
          <w:lang w:val="fr-FR" w:eastAsia="en-GB"/>
        </w:rPr>
        <w:t>lieu de considérer celle</w:t>
      </w:r>
      <w:r w:rsidR="00444D2B">
        <w:rPr>
          <w:lang w:val="fr-FR" w:eastAsia="en-GB"/>
        </w:rPr>
        <w:noBreakHyphen/>
      </w:r>
      <w:r w:rsidRPr="0035343D">
        <w:rPr>
          <w:lang w:val="fr-FR" w:eastAsia="en-GB"/>
        </w:rPr>
        <w:t>ci comme établie pour la période de 1984 à 2004 ». La cour d</w:t>
      </w:r>
      <w:r>
        <w:rPr>
          <w:lang w:val="fr-FR" w:eastAsia="en-GB"/>
        </w:rPr>
        <w:t>’</w:t>
      </w:r>
      <w:r w:rsidRPr="0035343D">
        <w:rPr>
          <w:lang w:val="fr-FR" w:eastAsia="en-GB"/>
        </w:rPr>
        <w:t>appel de Versailles a également considéré « que la société Renault doit réparer le préjudice subi par l</w:t>
      </w:r>
      <w:r>
        <w:rPr>
          <w:lang w:val="fr-FR" w:eastAsia="en-GB"/>
        </w:rPr>
        <w:t>’</w:t>
      </w:r>
      <w:r w:rsidRPr="0035343D">
        <w:rPr>
          <w:lang w:val="fr-FR" w:eastAsia="en-GB"/>
        </w:rPr>
        <w:t>auteur du fait du blocage de sa carrière et du maintien de sa rémunération à un niveau inférieur à ce qu</w:t>
      </w:r>
      <w:r>
        <w:rPr>
          <w:lang w:val="fr-FR" w:eastAsia="en-GB"/>
        </w:rPr>
        <w:t>’</w:t>
      </w:r>
      <w:r w:rsidRPr="0035343D">
        <w:rPr>
          <w:lang w:val="fr-FR" w:eastAsia="en-GB"/>
        </w:rPr>
        <w:t xml:space="preserve">elle aurait dû être » et a condamné la </w:t>
      </w:r>
      <w:r>
        <w:rPr>
          <w:lang w:val="fr-FR" w:eastAsia="en-GB"/>
        </w:rPr>
        <w:t>s</w:t>
      </w:r>
      <w:r w:rsidRPr="0035343D">
        <w:rPr>
          <w:lang w:val="fr-FR" w:eastAsia="en-GB"/>
        </w:rPr>
        <w:t>ociété Renault à des dommages-intérêts</w:t>
      </w:r>
      <w:r w:rsidRPr="00444D2B">
        <w:rPr>
          <w:rStyle w:val="Appelnotedebasdep"/>
        </w:rPr>
        <w:footnoteReference w:id="15"/>
      </w:r>
      <w:r w:rsidRPr="0035343D">
        <w:rPr>
          <w:lang w:val="fr-FR" w:eastAsia="en-GB"/>
        </w:rPr>
        <w:t xml:space="preserve"> ainsi qu</w:t>
      </w:r>
      <w:r>
        <w:rPr>
          <w:lang w:val="fr-FR" w:eastAsia="en-GB"/>
        </w:rPr>
        <w:t>’</w:t>
      </w:r>
      <w:r w:rsidRPr="0035343D">
        <w:rPr>
          <w:lang w:val="fr-FR" w:eastAsia="en-GB"/>
        </w:rPr>
        <w:t>aux dépens</w:t>
      </w:r>
      <w:r w:rsidRPr="00444D2B">
        <w:rPr>
          <w:rStyle w:val="Appelnotedebasdep"/>
        </w:rPr>
        <w:footnoteReference w:id="16"/>
      </w:r>
      <w:r w:rsidRPr="0035343D">
        <w:rPr>
          <w:lang w:val="fr-FR" w:eastAsia="en-GB"/>
        </w:rPr>
        <w:t xml:space="preserve">. </w:t>
      </w:r>
    </w:p>
    <w:p w14:paraId="70501F2E" w14:textId="1736BFE2" w:rsidR="00DF04F7" w:rsidRDefault="00DF04F7" w:rsidP="00564369">
      <w:pPr>
        <w:pStyle w:val="SingleTxtG"/>
        <w:rPr>
          <w:lang w:val="fr-FR" w:eastAsia="en-GB"/>
        </w:rPr>
      </w:pPr>
      <w:r w:rsidRPr="0035343D">
        <w:rPr>
          <w:lang w:val="fr-FR" w:eastAsia="en-GB"/>
        </w:rPr>
        <w:t>4.8</w:t>
      </w:r>
      <w:r w:rsidRPr="0035343D">
        <w:rPr>
          <w:lang w:val="fr-FR" w:eastAsia="en-GB"/>
        </w:rPr>
        <w:tab/>
        <w:t>L</w:t>
      </w:r>
      <w:r>
        <w:rPr>
          <w:lang w:val="fr-FR" w:eastAsia="en-GB"/>
        </w:rPr>
        <w:t>’</w:t>
      </w:r>
      <w:r w:rsidRPr="0035343D">
        <w:rPr>
          <w:lang w:val="fr-FR" w:eastAsia="en-GB"/>
        </w:rPr>
        <w:t>État partie rappelle que la cour d</w:t>
      </w:r>
      <w:r>
        <w:rPr>
          <w:lang w:val="fr-FR" w:eastAsia="en-GB"/>
        </w:rPr>
        <w:t>’</w:t>
      </w:r>
      <w:r w:rsidRPr="0035343D">
        <w:rPr>
          <w:lang w:val="fr-FR" w:eastAsia="en-GB"/>
        </w:rPr>
        <w:t>appel de Versailles a aussi ordonné le repositionnement de l</w:t>
      </w:r>
      <w:r>
        <w:rPr>
          <w:lang w:val="fr-FR" w:eastAsia="en-GB"/>
        </w:rPr>
        <w:t>’</w:t>
      </w:r>
      <w:r w:rsidRPr="0035343D">
        <w:rPr>
          <w:lang w:val="fr-FR" w:eastAsia="en-GB"/>
        </w:rPr>
        <w:t>auteur aux différents coefficients de classification qui auraient dû être les siens au cours de sa carrière. Le préjudice de l</w:t>
      </w:r>
      <w:r>
        <w:rPr>
          <w:lang w:val="fr-FR" w:eastAsia="en-GB"/>
        </w:rPr>
        <w:t>’</w:t>
      </w:r>
      <w:r w:rsidRPr="0035343D">
        <w:rPr>
          <w:lang w:val="fr-FR" w:eastAsia="en-GB"/>
        </w:rPr>
        <w:t xml:space="preserve">auteur, évalué à </w:t>
      </w:r>
      <w:r>
        <w:rPr>
          <w:lang w:val="fr-FR" w:eastAsia="en-GB"/>
        </w:rPr>
        <w:t>hauteur</w:t>
      </w:r>
      <w:r w:rsidRPr="0035343D">
        <w:rPr>
          <w:lang w:val="fr-FR" w:eastAsia="en-GB"/>
        </w:rPr>
        <w:t xml:space="preserve"> de 68</w:t>
      </w:r>
      <w:r>
        <w:rPr>
          <w:lang w:val="fr-FR" w:eastAsia="en-GB"/>
        </w:rPr>
        <w:t> </w:t>
      </w:r>
      <w:r w:rsidRPr="0035343D">
        <w:rPr>
          <w:lang w:val="fr-FR" w:eastAsia="en-GB"/>
        </w:rPr>
        <w:t>000</w:t>
      </w:r>
      <w:r>
        <w:rPr>
          <w:lang w:val="fr-FR" w:eastAsia="en-GB"/>
        </w:rPr>
        <w:t> </w:t>
      </w:r>
      <w:r w:rsidRPr="0035343D">
        <w:rPr>
          <w:lang w:val="fr-FR" w:eastAsia="en-GB"/>
        </w:rPr>
        <w:t xml:space="preserve">euros, </w:t>
      </w:r>
      <w:r w:rsidRPr="0035343D">
        <w:rPr>
          <w:lang w:val="fr-FR" w:eastAsia="en-GB"/>
        </w:rPr>
        <w:lastRenderedPageBreak/>
        <w:t>hors dépens, par la juridiction saisie, a été intégralement réparé à la suite du paiement par la société Renault</w:t>
      </w:r>
      <w:r>
        <w:rPr>
          <w:lang w:val="fr-FR" w:eastAsia="en-GB"/>
        </w:rPr>
        <w:t xml:space="preserve"> découlant de sa condamnation</w:t>
      </w:r>
      <w:r w:rsidRPr="0035343D">
        <w:rPr>
          <w:lang w:val="fr-FR" w:eastAsia="en-GB"/>
        </w:rPr>
        <w:t>. L</w:t>
      </w:r>
      <w:r>
        <w:rPr>
          <w:lang w:val="fr-FR" w:eastAsia="en-GB"/>
        </w:rPr>
        <w:t>’</w:t>
      </w:r>
      <w:r w:rsidRPr="0035343D">
        <w:rPr>
          <w:lang w:val="fr-FR" w:eastAsia="en-GB"/>
        </w:rPr>
        <w:t xml:space="preserve">État partie </w:t>
      </w:r>
      <w:r>
        <w:rPr>
          <w:lang w:val="fr-FR" w:eastAsia="en-GB"/>
        </w:rPr>
        <w:t>soutient</w:t>
      </w:r>
      <w:r w:rsidRPr="0035343D">
        <w:rPr>
          <w:lang w:val="fr-FR" w:eastAsia="en-GB"/>
        </w:rPr>
        <w:t xml:space="preserve"> en revanche que le repositionnement de l</w:t>
      </w:r>
      <w:r>
        <w:rPr>
          <w:lang w:val="fr-FR" w:eastAsia="en-GB"/>
        </w:rPr>
        <w:t>’</w:t>
      </w:r>
      <w:r w:rsidRPr="0035343D">
        <w:rPr>
          <w:lang w:val="fr-FR" w:eastAsia="en-GB"/>
        </w:rPr>
        <w:t>auteur s</w:t>
      </w:r>
      <w:r>
        <w:rPr>
          <w:lang w:val="fr-FR" w:eastAsia="en-GB"/>
        </w:rPr>
        <w:t>’</w:t>
      </w:r>
      <w:r w:rsidRPr="0035343D">
        <w:rPr>
          <w:lang w:val="fr-FR" w:eastAsia="en-GB"/>
        </w:rPr>
        <w:t>est révélé matériellement impossible</w:t>
      </w:r>
      <w:r>
        <w:rPr>
          <w:lang w:val="fr-FR" w:eastAsia="en-GB"/>
        </w:rPr>
        <w:t>,</w:t>
      </w:r>
      <w:r w:rsidRPr="0035343D">
        <w:rPr>
          <w:lang w:val="fr-FR" w:eastAsia="en-GB"/>
        </w:rPr>
        <w:t xml:space="preserve"> dans la mesure où </w:t>
      </w:r>
      <w:r>
        <w:rPr>
          <w:lang w:val="fr-FR" w:eastAsia="en-GB"/>
        </w:rPr>
        <w:t>celui-ci</w:t>
      </w:r>
      <w:r w:rsidRPr="0035343D">
        <w:rPr>
          <w:lang w:val="fr-FR" w:eastAsia="en-GB"/>
        </w:rPr>
        <w:t xml:space="preserve"> était parti à la retraite depuis plusieurs années au moment de la condamnation de son ancien employeur. </w:t>
      </w:r>
      <w:bookmarkStart w:id="1" w:name="OLE_LINK3"/>
      <w:r>
        <w:rPr>
          <w:lang w:val="fr-FR" w:eastAsia="en-GB"/>
        </w:rPr>
        <w:t>À</w:t>
      </w:r>
      <w:r w:rsidRPr="0035343D">
        <w:rPr>
          <w:lang w:val="fr-FR" w:eastAsia="en-GB"/>
        </w:rPr>
        <w:t xml:space="preserve"> cet égard, l</w:t>
      </w:r>
      <w:r>
        <w:rPr>
          <w:lang w:val="fr-FR" w:eastAsia="en-GB"/>
        </w:rPr>
        <w:t>’</w:t>
      </w:r>
      <w:r w:rsidRPr="0035343D">
        <w:rPr>
          <w:lang w:val="fr-FR" w:eastAsia="en-GB"/>
        </w:rPr>
        <w:t>État partie souligne que, dans son arrêt du 24</w:t>
      </w:r>
      <w:r w:rsidR="00670CF6">
        <w:rPr>
          <w:lang w:val="fr-FR" w:eastAsia="en-GB"/>
        </w:rPr>
        <w:t> </w:t>
      </w:r>
      <w:r w:rsidRPr="0035343D">
        <w:rPr>
          <w:lang w:val="fr-FR" w:eastAsia="en-GB"/>
        </w:rPr>
        <w:t>septembre 2015, la cour d</w:t>
      </w:r>
      <w:r>
        <w:rPr>
          <w:lang w:val="fr-FR" w:eastAsia="en-GB"/>
        </w:rPr>
        <w:t>’</w:t>
      </w:r>
      <w:r w:rsidRPr="0035343D">
        <w:rPr>
          <w:lang w:val="fr-FR" w:eastAsia="en-GB"/>
        </w:rPr>
        <w:t>appel de Versailles, statuant sur la requête en interprétation introduite par l</w:t>
      </w:r>
      <w:r>
        <w:rPr>
          <w:lang w:val="fr-FR" w:eastAsia="en-GB"/>
        </w:rPr>
        <w:t>’</w:t>
      </w:r>
      <w:r w:rsidRPr="0035343D">
        <w:rPr>
          <w:lang w:val="fr-FR" w:eastAsia="en-GB"/>
        </w:rPr>
        <w:t>auteur, a considéré qu</w:t>
      </w:r>
      <w:r>
        <w:rPr>
          <w:lang w:val="fr-FR" w:eastAsia="en-GB"/>
        </w:rPr>
        <w:t>’</w:t>
      </w:r>
      <w:r w:rsidRPr="0035343D">
        <w:rPr>
          <w:lang w:val="fr-FR" w:eastAsia="en-GB"/>
        </w:rPr>
        <w:t>il fallait interpréter l</w:t>
      </w:r>
      <w:r>
        <w:rPr>
          <w:lang w:val="fr-FR" w:eastAsia="en-GB"/>
        </w:rPr>
        <w:t>’</w:t>
      </w:r>
      <w:r w:rsidRPr="0035343D">
        <w:rPr>
          <w:lang w:val="fr-FR" w:eastAsia="en-GB"/>
        </w:rPr>
        <w:t>arrêt du 2</w:t>
      </w:r>
      <w:r w:rsidR="00670CF6">
        <w:rPr>
          <w:lang w:val="fr-FR" w:eastAsia="en-GB"/>
        </w:rPr>
        <w:t> </w:t>
      </w:r>
      <w:r w:rsidRPr="0035343D">
        <w:rPr>
          <w:lang w:val="fr-FR" w:eastAsia="en-GB"/>
        </w:rPr>
        <w:t>avril 2008 dans le sens du repositionnement de l</w:t>
      </w:r>
      <w:r>
        <w:rPr>
          <w:lang w:val="fr-FR" w:eastAsia="en-GB"/>
        </w:rPr>
        <w:t>’</w:t>
      </w:r>
      <w:r w:rsidRPr="0035343D">
        <w:rPr>
          <w:lang w:val="fr-FR" w:eastAsia="en-GB"/>
        </w:rPr>
        <w:t>auteur</w:t>
      </w:r>
      <w:r>
        <w:rPr>
          <w:lang w:val="fr-FR" w:eastAsia="en-GB"/>
        </w:rPr>
        <w:t>,</w:t>
      </w:r>
      <w:r w:rsidRPr="0035343D">
        <w:rPr>
          <w:lang w:val="fr-FR" w:eastAsia="en-GB"/>
        </w:rPr>
        <w:t xml:space="preserve"> ce qui justifie la condamnation de </w:t>
      </w:r>
      <w:r>
        <w:rPr>
          <w:lang w:val="fr-FR" w:eastAsia="en-GB"/>
        </w:rPr>
        <w:t>la société</w:t>
      </w:r>
      <w:r w:rsidRPr="0035343D">
        <w:rPr>
          <w:lang w:val="fr-FR" w:eastAsia="en-GB"/>
        </w:rPr>
        <w:t xml:space="preserve"> Renault à des dommages-intérêts pour le préjudice matériel et de carrière</w:t>
      </w:r>
      <w:r w:rsidR="00670CF6">
        <w:rPr>
          <w:lang w:val="fr-FR" w:eastAsia="en-GB"/>
        </w:rPr>
        <w:t xml:space="preserve"> </w:t>
      </w:r>
      <w:r w:rsidRPr="0035343D">
        <w:rPr>
          <w:lang w:val="fr-FR" w:eastAsia="en-GB"/>
        </w:rPr>
        <w:t xml:space="preserve">subi. </w:t>
      </w:r>
      <w:bookmarkEnd w:id="1"/>
      <w:r w:rsidRPr="0035343D">
        <w:rPr>
          <w:lang w:val="fr-FR" w:eastAsia="en-GB"/>
        </w:rPr>
        <w:t>L</w:t>
      </w:r>
      <w:r>
        <w:rPr>
          <w:lang w:val="fr-FR" w:eastAsia="en-GB"/>
        </w:rPr>
        <w:t>’</w:t>
      </w:r>
      <w:r w:rsidRPr="0035343D">
        <w:rPr>
          <w:lang w:val="fr-FR" w:eastAsia="en-GB"/>
        </w:rPr>
        <w:t>État partie souligne que l</w:t>
      </w:r>
      <w:r>
        <w:rPr>
          <w:lang w:val="fr-FR" w:eastAsia="en-GB"/>
        </w:rPr>
        <w:t>’</w:t>
      </w:r>
      <w:r w:rsidRPr="0035343D">
        <w:rPr>
          <w:lang w:val="fr-FR" w:eastAsia="en-GB"/>
        </w:rPr>
        <w:t>auteur n</w:t>
      </w:r>
      <w:r>
        <w:rPr>
          <w:lang w:val="fr-FR" w:eastAsia="en-GB"/>
        </w:rPr>
        <w:t>’</w:t>
      </w:r>
      <w:r w:rsidRPr="0035343D">
        <w:rPr>
          <w:lang w:val="fr-FR" w:eastAsia="en-GB"/>
        </w:rPr>
        <w:t xml:space="preserve">a pas contesté que les condamnations pécuniaires prononcées par la cour lui </w:t>
      </w:r>
      <w:r>
        <w:rPr>
          <w:lang w:val="fr-FR" w:eastAsia="en-GB"/>
        </w:rPr>
        <w:t>avaient</w:t>
      </w:r>
      <w:r w:rsidRPr="0035343D">
        <w:rPr>
          <w:lang w:val="fr-FR" w:eastAsia="en-GB"/>
        </w:rPr>
        <w:t xml:space="preserve"> été versées. </w:t>
      </w:r>
      <w:r>
        <w:rPr>
          <w:lang w:val="fr-FR" w:eastAsia="en-GB"/>
        </w:rPr>
        <w:t>Il</w:t>
      </w:r>
      <w:r w:rsidRPr="0035343D">
        <w:rPr>
          <w:lang w:val="fr-FR" w:eastAsia="en-GB"/>
        </w:rPr>
        <w:t xml:space="preserve"> </w:t>
      </w:r>
      <w:r>
        <w:rPr>
          <w:lang w:val="fr-FR" w:eastAsia="en-GB"/>
        </w:rPr>
        <w:t>indique</w:t>
      </w:r>
      <w:r w:rsidRPr="0035343D">
        <w:rPr>
          <w:lang w:val="fr-FR" w:eastAsia="en-GB"/>
        </w:rPr>
        <w:t xml:space="preserve"> que la cour a en outre précisé que «</w:t>
      </w:r>
      <w:r>
        <w:rPr>
          <w:lang w:val="fr-FR" w:eastAsia="en-GB"/>
        </w:rPr>
        <w:t> </w:t>
      </w:r>
      <w:r w:rsidRPr="0035343D">
        <w:rPr>
          <w:lang w:val="fr-FR" w:eastAsia="en-GB"/>
        </w:rPr>
        <w:t>l</w:t>
      </w:r>
      <w:r>
        <w:rPr>
          <w:lang w:val="fr-FR" w:eastAsia="en-GB"/>
        </w:rPr>
        <w:t>’</w:t>
      </w:r>
      <w:r w:rsidRPr="0035343D">
        <w:rPr>
          <w:lang w:val="fr-FR" w:eastAsia="en-GB"/>
        </w:rPr>
        <w:t>arrêt du 2</w:t>
      </w:r>
      <w:r w:rsidR="00670CF6">
        <w:rPr>
          <w:lang w:val="fr-FR" w:eastAsia="en-GB"/>
        </w:rPr>
        <w:t> </w:t>
      </w:r>
      <w:r w:rsidRPr="0035343D">
        <w:rPr>
          <w:lang w:val="fr-FR" w:eastAsia="en-GB"/>
        </w:rPr>
        <w:t>avril 2008 n</w:t>
      </w:r>
      <w:r>
        <w:rPr>
          <w:lang w:val="fr-FR" w:eastAsia="en-GB"/>
        </w:rPr>
        <w:t>’</w:t>
      </w:r>
      <w:r w:rsidRPr="0035343D">
        <w:rPr>
          <w:lang w:val="fr-FR" w:eastAsia="en-GB"/>
        </w:rPr>
        <w:t>ayant pas ordonné le paiement de salaires, il ne saurait résulter de cette décision que des bulletins de salaire ou un certificat de travail conformes doivent être délivrés par l</w:t>
      </w:r>
      <w:r>
        <w:rPr>
          <w:lang w:val="fr-FR" w:eastAsia="en-GB"/>
        </w:rPr>
        <w:t>’</w:t>
      </w:r>
      <w:r w:rsidRPr="0035343D">
        <w:rPr>
          <w:lang w:val="fr-FR" w:eastAsia="en-GB"/>
        </w:rPr>
        <w:t>employeur. Cette dernière demande a d</w:t>
      </w:r>
      <w:r>
        <w:rPr>
          <w:lang w:val="fr-FR" w:eastAsia="en-GB"/>
        </w:rPr>
        <w:t>’</w:t>
      </w:r>
      <w:r w:rsidRPr="0035343D">
        <w:rPr>
          <w:lang w:val="fr-FR" w:eastAsia="en-GB"/>
        </w:rPr>
        <w:t>ailleurs été rejetée par des décisions irrévocables ». L</w:t>
      </w:r>
      <w:r>
        <w:rPr>
          <w:lang w:val="fr-FR" w:eastAsia="en-GB"/>
        </w:rPr>
        <w:t>’</w:t>
      </w:r>
      <w:r w:rsidRPr="0035343D">
        <w:rPr>
          <w:lang w:val="fr-FR" w:eastAsia="en-GB"/>
        </w:rPr>
        <w:t>État partie considère enfin qu</w:t>
      </w:r>
      <w:r>
        <w:rPr>
          <w:lang w:val="fr-FR" w:eastAsia="en-GB"/>
        </w:rPr>
        <w:t>’</w:t>
      </w:r>
      <w:r w:rsidRPr="0035343D">
        <w:rPr>
          <w:lang w:val="fr-FR" w:eastAsia="en-GB"/>
        </w:rPr>
        <w:t>il résulte de ce qui précède que l</w:t>
      </w:r>
      <w:r>
        <w:rPr>
          <w:lang w:val="fr-FR" w:eastAsia="en-GB"/>
        </w:rPr>
        <w:t>’</w:t>
      </w:r>
      <w:r w:rsidRPr="0035343D">
        <w:rPr>
          <w:lang w:val="fr-FR" w:eastAsia="en-GB"/>
        </w:rPr>
        <w:t>auteur</w:t>
      </w:r>
      <w:r>
        <w:rPr>
          <w:lang w:val="fr-FR" w:eastAsia="en-GB"/>
        </w:rPr>
        <w:t xml:space="preserve"> </w:t>
      </w:r>
      <w:r w:rsidR="00670CF6">
        <w:rPr>
          <w:lang w:val="fr-FR" w:eastAsia="en-GB"/>
        </w:rPr>
        <w:t>− </w:t>
      </w:r>
      <w:r>
        <w:rPr>
          <w:lang w:val="fr-FR" w:eastAsia="en-GB"/>
        </w:rPr>
        <w:t>lequel</w:t>
      </w:r>
      <w:r w:rsidRPr="0035343D">
        <w:rPr>
          <w:lang w:val="fr-FR" w:eastAsia="en-GB"/>
        </w:rPr>
        <w:t xml:space="preserve"> a obtenu la condamnation de la société Renault</w:t>
      </w:r>
      <w:r>
        <w:rPr>
          <w:lang w:val="fr-FR" w:eastAsia="en-GB"/>
        </w:rPr>
        <w:t>,</w:t>
      </w:r>
      <w:r w:rsidRPr="0035343D">
        <w:rPr>
          <w:lang w:val="fr-FR" w:eastAsia="en-GB"/>
        </w:rPr>
        <w:t xml:space="preserve"> pour la discrimination dont il alléguait avoir été l</w:t>
      </w:r>
      <w:r>
        <w:rPr>
          <w:lang w:val="fr-FR" w:eastAsia="en-GB"/>
        </w:rPr>
        <w:t>’</w:t>
      </w:r>
      <w:r w:rsidRPr="0035343D">
        <w:rPr>
          <w:lang w:val="fr-FR" w:eastAsia="en-GB"/>
        </w:rPr>
        <w:t>objet</w:t>
      </w:r>
      <w:r>
        <w:rPr>
          <w:lang w:val="fr-FR" w:eastAsia="en-GB"/>
        </w:rPr>
        <w:t>,</w:t>
      </w:r>
      <w:r w:rsidRPr="0035343D">
        <w:rPr>
          <w:lang w:val="fr-FR" w:eastAsia="en-GB"/>
        </w:rPr>
        <w:t xml:space="preserve"> </w:t>
      </w:r>
      <w:r>
        <w:rPr>
          <w:lang w:val="fr-FR" w:eastAsia="en-GB"/>
        </w:rPr>
        <w:t>à la</w:t>
      </w:r>
      <w:r w:rsidRPr="0035343D">
        <w:rPr>
          <w:lang w:val="fr-FR" w:eastAsia="en-GB"/>
        </w:rPr>
        <w:t xml:space="preserve"> réparation de l</w:t>
      </w:r>
      <w:r>
        <w:rPr>
          <w:lang w:val="fr-FR" w:eastAsia="en-GB"/>
        </w:rPr>
        <w:t>’</w:t>
      </w:r>
      <w:r w:rsidRPr="0035343D">
        <w:rPr>
          <w:lang w:val="fr-FR" w:eastAsia="en-GB"/>
        </w:rPr>
        <w:t xml:space="preserve">intégralité </w:t>
      </w:r>
      <w:r>
        <w:rPr>
          <w:lang w:val="fr-FR" w:eastAsia="en-GB"/>
        </w:rPr>
        <w:t>du</w:t>
      </w:r>
      <w:r w:rsidRPr="0035343D">
        <w:rPr>
          <w:lang w:val="fr-FR" w:eastAsia="en-GB"/>
        </w:rPr>
        <w:t xml:space="preserve"> préjudice</w:t>
      </w:r>
      <w:r>
        <w:rPr>
          <w:lang w:val="fr-FR" w:eastAsia="en-GB"/>
        </w:rPr>
        <w:t xml:space="preserve"> subi</w:t>
      </w:r>
      <w:r w:rsidR="00881A7C">
        <w:rPr>
          <w:lang w:val="fr-FR" w:eastAsia="en-GB"/>
        </w:rPr>
        <w:t> −</w:t>
      </w:r>
      <w:r w:rsidRPr="0035343D">
        <w:rPr>
          <w:lang w:val="fr-FR" w:eastAsia="en-GB"/>
        </w:rPr>
        <w:t xml:space="preserve"> est mal fondé à prétendre devant le Comité que l</w:t>
      </w:r>
      <w:r>
        <w:rPr>
          <w:lang w:val="fr-FR" w:eastAsia="en-GB"/>
        </w:rPr>
        <w:t>’</w:t>
      </w:r>
      <w:r w:rsidRPr="0035343D">
        <w:rPr>
          <w:lang w:val="fr-FR" w:eastAsia="en-GB"/>
        </w:rPr>
        <w:t xml:space="preserve">État </w:t>
      </w:r>
      <w:r>
        <w:rPr>
          <w:lang w:val="fr-FR" w:eastAsia="en-GB"/>
        </w:rPr>
        <w:t>partie</w:t>
      </w:r>
      <w:r w:rsidRPr="0035343D">
        <w:rPr>
          <w:lang w:val="fr-FR" w:eastAsia="en-GB"/>
        </w:rPr>
        <w:t xml:space="preserve"> est resté inactif. Par conséquent, l</w:t>
      </w:r>
      <w:r>
        <w:rPr>
          <w:lang w:val="fr-FR" w:eastAsia="en-GB"/>
        </w:rPr>
        <w:t>’</w:t>
      </w:r>
      <w:r w:rsidRPr="0035343D">
        <w:rPr>
          <w:lang w:val="fr-FR" w:eastAsia="en-GB"/>
        </w:rPr>
        <w:t xml:space="preserve">État partie </w:t>
      </w:r>
      <w:r>
        <w:rPr>
          <w:lang w:val="fr-FR" w:eastAsia="en-GB"/>
        </w:rPr>
        <w:t>soutient</w:t>
      </w:r>
      <w:r w:rsidRPr="0035343D">
        <w:rPr>
          <w:lang w:val="fr-FR" w:eastAsia="en-GB"/>
        </w:rPr>
        <w:t xml:space="preserve"> qu</w:t>
      </w:r>
      <w:r>
        <w:rPr>
          <w:lang w:val="fr-FR" w:eastAsia="en-GB"/>
        </w:rPr>
        <w:t>’</w:t>
      </w:r>
      <w:r w:rsidRPr="0035343D">
        <w:rPr>
          <w:lang w:val="fr-FR" w:eastAsia="en-GB"/>
        </w:rPr>
        <w:t>en l</w:t>
      </w:r>
      <w:r>
        <w:rPr>
          <w:lang w:val="fr-FR" w:eastAsia="en-GB"/>
        </w:rPr>
        <w:t>’</w:t>
      </w:r>
      <w:r w:rsidRPr="0035343D">
        <w:rPr>
          <w:lang w:val="fr-FR" w:eastAsia="en-GB"/>
        </w:rPr>
        <w:t>espèce, aucun manquement ne peut lui être reproché quant au respect des articles</w:t>
      </w:r>
      <w:r w:rsidR="00881A7C">
        <w:rPr>
          <w:lang w:val="fr-FR" w:eastAsia="en-GB"/>
        </w:rPr>
        <w:t> </w:t>
      </w:r>
      <w:r w:rsidRPr="0035343D">
        <w:rPr>
          <w:lang w:val="fr-FR" w:eastAsia="en-GB"/>
        </w:rPr>
        <w:t>2, 3, 4 et 5 de la Convention.</w:t>
      </w:r>
    </w:p>
    <w:p w14:paraId="4CC92D15" w14:textId="1F840B11" w:rsidR="00DF04F7" w:rsidRPr="0007564A" w:rsidRDefault="00DF04F7" w:rsidP="00564369">
      <w:pPr>
        <w:pStyle w:val="SingleTxtG"/>
        <w:rPr>
          <w:lang w:val="fr-FR" w:eastAsia="en-GB"/>
        </w:rPr>
      </w:pPr>
      <w:r>
        <w:rPr>
          <w:lang w:val="fr-FR" w:eastAsia="en-GB"/>
        </w:rPr>
        <w:t>4.9</w:t>
      </w:r>
      <w:r>
        <w:rPr>
          <w:lang w:val="fr-FR" w:eastAsia="en-GB"/>
        </w:rPr>
        <w:tab/>
      </w:r>
      <w:r w:rsidRPr="00BA6933">
        <w:rPr>
          <w:lang w:val="fr-FR" w:eastAsia="en-GB"/>
        </w:rPr>
        <w:t>En ce qui concerne la violation de l</w:t>
      </w:r>
      <w:r>
        <w:rPr>
          <w:lang w:val="fr-FR" w:eastAsia="en-GB"/>
        </w:rPr>
        <w:t>’</w:t>
      </w:r>
      <w:r w:rsidRPr="00BA6933">
        <w:rPr>
          <w:lang w:val="fr-FR" w:eastAsia="en-GB"/>
        </w:rPr>
        <w:t>article</w:t>
      </w:r>
      <w:r w:rsidR="00881A7C">
        <w:rPr>
          <w:lang w:val="fr-FR" w:eastAsia="en-GB"/>
        </w:rPr>
        <w:t> </w:t>
      </w:r>
      <w:r w:rsidRPr="00BA6933">
        <w:rPr>
          <w:lang w:val="fr-FR" w:eastAsia="en-GB"/>
        </w:rPr>
        <w:t>6 de la Convention, l</w:t>
      </w:r>
      <w:r>
        <w:rPr>
          <w:lang w:val="fr-FR" w:eastAsia="en-GB"/>
        </w:rPr>
        <w:t>’État</w:t>
      </w:r>
      <w:r w:rsidRPr="00BA6933">
        <w:rPr>
          <w:lang w:val="fr-FR" w:eastAsia="en-GB"/>
        </w:rPr>
        <w:t xml:space="preserve"> partie souligne en premier lieu que</w:t>
      </w:r>
      <w:r w:rsidRPr="0007564A">
        <w:rPr>
          <w:lang w:val="fr-FR" w:eastAsia="en-GB"/>
        </w:rPr>
        <w:t xml:space="preserve"> l</w:t>
      </w:r>
      <w:r>
        <w:rPr>
          <w:lang w:val="fr-FR" w:eastAsia="en-GB"/>
        </w:rPr>
        <w:t>’</w:t>
      </w:r>
      <w:r w:rsidRPr="0007564A">
        <w:rPr>
          <w:lang w:val="fr-FR" w:eastAsia="en-GB"/>
        </w:rPr>
        <w:t>auteur ne peut valablement prétendre n</w:t>
      </w:r>
      <w:r>
        <w:rPr>
          <w:lang w:val="fr-FR" w:eastAsia="en-GB"/>
        </w:rPr>
        <w:t>’</w:t>
      </w:r>
      <w:r w:rsidRPr="0007564A">
        <w:rPr>
          <w:lang w:val="fr-FR" w:eastAsia="en-GB"/>
        </w:rPr>
        <w:t>avoir obtenu qu</w:t>
      </w:r>
      <w:r>
        <w:rPr>
          <w:lang w:val="fr-FR" w:eastAsia="en-GB"/>
        </w:rPr>
        <w:t>’</w:t>
      </w:r>
      <w:r w:rsidRPr="0007564A">
        <w:rPr>
          <w:lang w:val="fr-FR" w:eastAsia="en-GB"/>
        </w:rPr>
        <w:t>une exécution partielle de l</w:t>
      </w:r>
      <w:r>
        <w:rPr>
          <w:lang w:val="fr-FR" w:eastAsia="en-GB"/>
        </w:rPr>
        <w:t>’</w:t>
      </w:r>
      <w:r w:rsidRPr="0007564A">
        <w:rPr>
          <w:lang w:val="fr-FR" w:eastAsia="en-GB"/>
        </w:rPr>
        <w:t>arrêt de la cour d</w:t>
      </w:r>
      <w:r>
        <w:rPr>
          <w:lang w:val="fr-FR" w:eastAsia="en-GB"/>
        </w:rPr>
        <w:t>’</w:t>
      </w:r>
      <w:r w:rsidRPr="0007564A">
        <w:rPr>
          <w:lang w:val="fr-FR" w:eastAsia="en-GB"/>
        </w:rPr>
        <w:t>appel de Versailles du 2</w:t>
      </w:r>
      <w:r w:rsidR="00881A7C">
        <w:rPr>
          <w:lang w:val="fr-FR" w:eastAsia="en-GB"/>
        </w:rPr>
        <w:t> </w:t>
      </w:r>
      <w:r w:rsidRPr="0007564A">
        <w:rPr>
          <w:lang w:val="fr-FR" w:eastAsia="en-GB"/>
        </w:rPr>
        <w:t>avril 2008, dans la mesure où son recours en interprétation a au contraire permis de confirmer que la décision avait été pleinement exécutée.</w:t>
      </w:r>
      <w:r>
        <w:rPr>
          <w:lang w:val="fr-FR" w:eastAsia="en-GB"/>
        </w:rPr>
        <w:t xml:space="preserve"> L’État partie affirme que, </w:t>
      </w:r>
      <w:r w:rsidRPr="0007564A">
        <w:rPr>
          <w:lang w:val="fr-FR" w:eastAsia="en-GB"/>
        </w:rPr>
        <w:t>dans sa décision d</w:t>
      </w:r>
      <w:r>
        <w:rPr>
          <w:lang w:val="fr-FR" w:eastAsia="en-GB"/>
        </w:rPr>
        <w:t>’</w:t>
      </w:r>
      <w:r w:rsidRPr="0007564A">
        <w:rPr>
          <w:lang w:val="fr-FR" w:eastAsia="en-GB"/>
        </w:rPr>
        <w:t>interprétation de l</w:t>
      </w:r>
      <w:r>
        <w:rPr>
          <w:lang w:val="fr-FR" w:eastAsia="en-GB"/>
        </w:rPr>
        <w:t>’</w:t>
      </w:r>
      <w:r w:rsidRPr="0007564A">
        <w:rPr>
          <w:lang w:val="fr-FR" w:eastAsia="en-GB"/>
        </w:rPr>
        <w:t>arrêt du 2</w:t>
      </w:r>
      <w:r w:rsidR="00881A7C">
        <w:rPr>
          <w:lang w:val="fr-FR" w:eastAsia="en-GB"/>
        </w:rPr>
        <w:t> </w:t>
      </w:r>
      <w:r w:rsidRPr="0007564A">
        <w:rPr>
          <w:lang w:val="fr-FR" w:eastAsia="en-GB"/>
        </w:rPr>
        <w:t>avril 2008, la cour d</w:t>
      </w:r>
      <w:r>
        <w:rPr>
          <w:lang w:val="fr-FR" w:eastAsia="en-GB"/>
        </w:rPr>
        <w:t>’</w:t>
      </w:r>
      <w:r w:rsidRPr="0007564A">
        <w:rPr>
          <w:lang w:val="fr-FR" w:eastAsia="en-GB"/>
        </w:rPr>
        <w:t xml:space="preserve">appel de Versailles a considéré </w:t>
      </w:r>
      <w:r>
        <w:rPr>
          <w:lang w:val="fr-FR" w:eastAsia="en-GB"/>
        </w:rPr>
        <w:t>qu’elle</w:t>
      </w:r>
      <w:r w:rsidRPr="0007564A">
        <w:rPr>
          <w:lang w:val="fr-FR" w:eastAsia="en-GB"/>
        </w:rPr>
        <w:t xml:space="preserve"> avait choisi d</w:t>
      </w:r>
      <w:r>
        <w:rPr>
          <w:lang w:val="fr-FR" w:eastAsia="en-GB"/>
        </w:rPr>
        <w:t>’</w:t>
      </w:r>
      <w:r w:rsidRPr="0007564A">
        <w:rPr>
          <w:lang w:val="fr-FR" w:eastAsia="en-GB"/>
        </w:rPr>
        <w:t>indemniser le préjudice</w:t>
      </w:r>
      <w:r>
        <w:rPr>
          <w:lang w:val="fr-FR" w:eastAsia="en-GB"/>
        </w:rPr>
        <w:t xml:space="preserve"> </w:t>
      </w:r>
      <w:r w:rsidRPr="0007564A">
        <w:rPr>
          <w:lang w:val="fr-FR" w:eastAsia="en-GB"/>
        </w:rPr>
        <w:t>résultant de la discrimination par l</w:t>
      </w:r>
      <w:r>
        <w:rPr>
          <w:lang w:val="fr-FR" w:eastAsia="en-GB"/>
        </w:rPr>
        <w:t>’</w:t>
      </w:r>
      <w:r w:rsidRPr="0007564A">
        <w:rPr>
          <w:lang w:val="fr-FR" w:eastAsia="en-GB"/>
        </w:rPr>
        <w:t>octroi de dommages</w:t>
      </w:r>
      <w:r>
        <w:rPr>
          <w:lang w:val="fr-FR" w:eastAsia="en-GB"/>
        </w:rPr>
        <w:t>-</w:t>
      </w:r>
      <w:r w:rsidRPr="0007564A">
        <w:rPr>
          <w:lang w:val="fr-FR" w:eastAsia="en-GB"/>
        </w:rPr>
        <w:t>intérêts incluant les conséquences du repositionnement de l</w:t>
      </w:r>
      <w:r>
        <w:rPr>
          <w:lang w:val="fr-FR" w:eastAsia="en-GB"/>
        </w:rPr>
        <w:t>’</w:t>
      </w:r>
      <w:r w:rsidRPr="0007564A">
        <w:rPr>
          <w:lang w:val="fr-FR" w:eastAsia="en-GB"/>
        </w:rPr>
        <w:t>auteur.</w:t>
      </w:r>
      <w:r>
        <w:rPr>
          <w:lang w:val="fr-FR" w:eastAsia="en-GB"/>
        </w:rPr>
        <w:t xml:space="preserve"> À</w:t>
      </w:r>
      <w:r w:rsidRPr="0007564A">
        <w:rPr>
          <w:lang w:val="fr-FR" w:eastAsia="en-GB"/>
        </w:rPr>
        <w:t xml:space="preserve"> cet égard, </w:t>
      </w:r>
      <w:r>
        <w:rPr>
          <w:lang w:val="fr-FR" w:eastAsia="en-GB"/>
        </w:rPr>
        <w:t>l’État partie</w:t>
      </w:r>
      <w:r w:rsidRPr="0007564A">
        <w:rPr>
          <w:lang w:val="fr-FR" w:eastAsia="en-GB"/>
        </w:rPr>
        <w:t xml:space="preserve"> rappelle qu</w:t>
      </w:r>
      <w:r>
        <w:rPr>
          <w:lang w:val="fr-FR" w:eastAsia="en-GB"/>
        </w:rPr>
        <w:t>’</w:t>
      </w:r>
      <w:r w:rsidRPr="0007564A">
        <w:rPr>
          <w:lang w:val="fr-FR" w:eastAsia="en-GB"/>
        </w:rPr>
        <w:t xml:space="preserve">il </w:t>
      </w:r>
      <w:r>
        <w:rPr>
          <w:lang w:val="fr-FR" w:eastAsia="en-GB"/>
        </w:rPr>
        <w:t>n’appartient pas au</w:t>
      </w:r>
      <w:r w:rsidRPr="0007564A">
        <w:rPr>
          <w:lang w:val="fr-FR" w:eastAsia="en-GB"/>
        </w:rPr>
        <w:t xml:space="preserve"> Comité d</w:t>
      </w:r>
      <w:r>
        <w:rPr>
          <w:lang w:val="fr-FR" w:eastAsia="en-GB"/>
        </w:rPr>
        <w:t>’</w:t>
      </w:r>
      <w:r w:rsidRPr="0007564A">
        <w:rPr>
          <w:lang w:val="fr-FR" w:eastAsia="en-GB"/>
        </w:rPr>
        <w:t xml:space="preserve">examiner la manière dont les </w:t>
      </w:r>
      <w:r w:rsidRPr="00450B4D">
        <w:rPr>
          <w:lang w:val="fr-FR" w:eastAsia="en-GB"/>
        </w:rPr>
        <w:t>tribunaux nationaux ont interpr</w:t>
      </w:r>
      <w:r>
        <w:rPr>
          <w:lang w:val="fr-FR" w:eastAsia="en-GB"/>
        </w:rPr>
        <w:t>été</w:t>
      </w:r>
      <w:r w:rsidRPr="00450B4D">
        <w:rPr>
          <w:lang w:val="fr-FR" w:eastAsia="en-GB"/>
        </w:rPr>
        <w:t xml:space="preserve"> le droit national, sauf si les d</w:t>
      </w:r>
      <w:r>
        <w:rPr>
          <w:lang w:val="fr-FR" w:eastAsia="en-GB"/>
        </w:rPr>
        <w:t>é</w:t>
      </w:r>
      <w:r w:rsidRPr="00450B4D">
        <w:rPr>
          <w:lang w:val="fr-FR" w:eastAsia="en-GB"/>
        </w:rPr>
        <w:t xml:space="preserve">cisions </w:t>
      </w:r>
      <w:r>
        <w:rPr>
          <w:lang w:val="fr-FR" w:eastAsia="en-GB"/>
        </w:rPr>
        <w:t>é</w:t>
      </w:r>
      <w:r w:rsidRPr="00450B4D">
        <w:rPr>
          <w:lang w:val="fr-FR" w:eastAsia="en-GB"/>
        </w:rPr>
        <w:t>taient manifestement arbitraires ou repr</w:t>
      </w:r>
      <w:r>
        <w:rPr>
          <w:lang w:val="fr-FR" w:eastAsia="en-GB"/>
        </w:rPr>
        <w:t>é</w:t>
      </w:r>
      <w:r w:rsidRPr="00450B4D">
        <w:rPr>
          <w:lang w:val="fr-FR" w:eastAsia="en-GB"/>
        </w:rPr>
        <w:t>sentaient un d</w:t>
      </w:r>
      <w:r>
        <w:rPr>
          <w:lang w:val="fr-FR" w:eastAsia="en-GB"/>
        </w:rPr>
        <w:t>é</w:t>
      </w:r>
      <w:r w:rsidRPr="00450B4D">
        <w:rPr>
          <w:lang w:val="fr-FR" w:eastAsia="en-GB"/>
        </w:rPr>
        <w:t>ni de justice</w:t>
      </w:r>
      <w:r w:rsidRPr="00564369">
        <w:rPr>
          <w:rStyle w:val="Appelnotedebasdep"/>
        </w:rPr>
        <w:footnoteReference w:id="17"/>
      </w:r>
      <w:r w:rsidRPr="0007564A">
        <w:rPr>
          <w:lang w:val="fr-FR" w:eastAsia="en-GB"/>
        </w:rPr>
        <w:t>.</w:t>
      </w:r>
      <w:r>
        <w:rPr>
          <w:lang w:val="fr-FR" w:eastAsia="en-GB"/>
        </w:rPr>
        <w:t xml:space="preserve"> L’État partie estime que le Comité doit tout simplement constater en l’espèce que </w:t>
      </w:r>
      <w:r w:rsidRPr="0007564A">
        <w:rPr>
          <w:lang w:val="fr-FR" w:eastAsia="en-GB"/>
        </w:rPr>
        <w:t>l</w:t>
      </w:r>
      <w:r>
        <w:rPr>
          <w:lang w:val="fr-FR" w:eastAsia="en-GB"/>
        </w:rPr>
        <w:t>’</w:t>
      </w:r>
      <w:r w:rsidRPr="0007564A">
        <w:rPr>
          <w:lang w:val="fr-FR" w:eastAsia="en-GB"/>
        </w:rPr>
        <w:t>arrêt du 2</w:t>
      </w:r>
      <w:r w:rsidR="00881A7C">
        <w:rPr>
          <w:lang w:val="fr-FR" w:eastAsia="en-GB"/>
        </w:rPr>
        <w:t> </w:t>
      </w:r>
      <w:r w:rsidRPr="0007564A">
        <w:rPr>
          <w:lang w:val="fr-FR" w:eastAsia="en-GB"/>
        </w:rPr>
        <w:t>avril 2008 a bien été intégralement exécuté et le préjudice du requérant</w:t>
      </w:r>
      <w:r>
        <w:rPr>
          <w:lang w:val="fr-FR" w:eastAsia="en-GB"/>
        </w:rPr>
        <w:t>,</w:t>
      </w:r>
      <w:r w:rsidRPr="0007564A">
        <w:rPr>
          <w:lang w:val="fr-FR" w:eastAsia="en-GB"/>
        </w:rPr>
        <w:t xml:space="preserve"> entièrement réparé.</w:t>
      </w:r>
      <w:r>
        <w:rPr>
          <w:lang w:val="fr-FR" w:eastAsia="en-GB"/>
        </w:rPr>
        <w:t xml:space="preserve"> </w:t>
      </w:r>
      <w:r w:rsidRPr="0007564A">
        <w:rPr>
          <w:lang w:val="fr-FR" w:eastAsia="en-GB"/>
        </w:rPr>
        <w:t>Par conséquent, les actions en justice de l</w:t>
      </w:r>
      <w:r>
        <w:rPr>
          <w:lang w:val="fr-FR" w:eastAsia="en-GB"/>
        </w:rPr>
        <w:t>’</w:t>
      </w:r>
      <w:r w:rsidRPr="0007564A">
        <w:rPr>
          <w:lang w:val="fr-FR" w:eastAsia="en-GB"/>
        </w:rPr>
        <w:t>auteur lui ont permis, outre la reconnaissance de la discrimination qu</w:t>
      </w:r>
      <w:r>
        <w:rPr>
          <w:lang w:val="fr-FR" w:eastAsia="en-GB"/>
        </w:rPr>
        <w:t>’</w:t>
      </w:r>
      <w:r w:rsidRPr="0007564A">
        <w:rPr>
          <w:lang w:val="fr-FR" w:eastAsia="en-GB"/>
        </w:rPr>
        <w:t>il avait subie, l</w:t>
      </w:r>
      <w:r>
        <w:rPr>
          <w:lang w:val="fr-FR" w:eastAsia="en-GB"/>
        </w:rPr>
        <w:t>’</w:t>
      </w:r>
      <w:r w:rsidRPr="0007564A">
        <w:rPr>
          <w:lang w:val="fr-FR" w:eastAsia="en-GB"/>
        </w:rPr>
        <w:t>indemnisation intégrale du préjudice qui en résultait.</w:t>
      </w:r>
      <w:r>
        <w:rPr>
          <w:lang w:val="fr-FR" w:eastAsia="en-GB"/>
        </w:rPr>
        <w:t xml:space="preserve"> </w:t>
      </w:r>
      <w:r w:rsidRPr="0007564A">
        <w:rPr>
          <w:lang w:val="fr-FR" w:eastAsia="en-GB"/>
        </w:rPr>
        <w:t>Le droit d</w:t>
      </w:r>
      <w:r>
        <w:rPr>
          <w:lang w:val="fr-FR" w:eastAsia="en-GB"/>
        </w:rPr>
        <w:t>’</w:t>
      </w:r>
      <w:r w:rsidRPr="0007564A">
        <w:rPr>
          <w:lang w:val="fr-FR" w:eastAsia="en-GB"/>
        </w:rPr>
        <w:t>accès à un tribunal de l</w:t>
      </w:r>
      <w:r>
        <w:rPr>
          <w:lang w:val="fr-FR" w:eastAsia="en-GB"/>
        </w:rPr>
        <w:t>’</w:t>
      </w:r>
      <w:r w:rsidRPr="0007564A">
        <w:rPr>
          <w:lang w:val="fr-FR" w:eastAsia="en-GB"/>
        </w:rPr>
        <w:t>auteur a donc bien été garanti.</w:t>
      </w:r>
    </w:p>
    <w:p w14:paraId="5CD364C1" w14:textId="22F4FCEB" w:rsidR="00DF04F7" w:rsidRDefault="00DF04F7" w:rsidP="00564369">
      <w:pPr>
        <w:pStyle w:val="SingleTxtG"/>
        <w:rPr>
          <w:lang w:val="fr-FR" w:eastAsia="en-GB"/>
        </w:rPr>
      </w:pPr>
      <w:r>
        <w:rPr>
          <w:lang w:val="fr-FR" w:eastAsia="en-GB"/>
        </w:rPr>
        <w:t>4.10</w:t>
      </w:r>
      <w:r w:rsidRPr="00BA6933">
        <w:rPr>
          <w:lang w:val="fr-FR" w:eastAsia="en-GB"/>
        </w:rPr>
        <w:tab/>
        <w:t>En second lieu,</w:t>
      </w:r>
      <w:r w:rsidRPr="0007564A">
        <w:rPr>
          <w:lang w:val="fr-FR" w:eastAsia="en-GB"/>
        </w:rPr>
        <w:t xml:space="preserve"> </w:t>
      </w:r>
      <w:r>
        <w:rPr>
          <w:lang w:val="fr-FR" w:eastAsia="en-GB"/>
        </w:rPr>
        <w:t>en ce qui concerne le</w:t>
      </w:r>
      <w:r w:rsidRPr="0007564A">
        <w:rPr>
          <w:lang w:val="fr-FR" w:eastAsia="en-GB"/>
        </w:rPr>
        <w:t xml:space="preserve"> rejet du pourvoi en cassation formé par l</w:t>
      </w:r>
      <w:r>
        <w:rPr>
          <w:lang w:val="fr-FR" w:eastAsia="en-GB"/>
        </w:rPr>
        <w:t>’</w:t>
      </w:r>
      <w:r w:rsidRPr="0007564A">
        <w:rPr>
          <w:lang w:val="fr-FR" w:eastAsia="en-GB"/>
        </w:rPr>
        <w:t>auteur contre l</w:t>
      </w:r>
      <w:r>
        <w:rPr>
          <w:lang w:val="fr-FR" w:eastAsia="en-GB"/>
        </w:rPr>
        <w:t>’</w:t>
      </w:r>
      <w:r w:rsidRPr="0007564A">
        <w:rPr>
          <w:lang w:val="fr-FR" w:eastAsia="en-GB"/>
        </w:rPr>
        <w:t>arrêt de la cour d</w:t>
      </w:r>
      <w:r>
        <w:rPr>
          <w:lang w:val="fr-FR" w:eastAsia="en-GB"/>
        </w:rPr>
        <w:t>’</w:t>
      </w:r>
      <w:r w:rsidRPr="0007564A">
        <w:rPr>
          <w:lang w:val="fr-FR" w:eastAsia="en-GB"/>
        </w:rPr>
        <w:t>appel de Versailles du 24</w:t>
      </w:r>
      <w:r w:rsidR="00881A7C">
        <w:rPr>
          <w:lang w:val="fr-FR" w:eastAsia="en-GB"/>
        </w:rPr>
        <w:t> </w:t>
      </w:r>
      <w:r w:rsidRPr="0007564A">
        <w:rPr>
          <w:lang w:val="fr-FR" w:eastAsia="en-GB"/>
        </w:rPr>
        <w:t>septembre 2015</w:t>
      </w:r>
      <w:r>
        <w:rPr>
          <w:lang w:val="fr-FR" w:eastAsia="en-GB"/>
        </w:rPr>
        <w:t>, l’État partie souligne qu’</w:t>
      </w:r>
      <w:r w:rsidRPr="0007564A">
        <w:rPr>
          <w:lang w:val="fr-FR" w:eastAsia="en-GB"/>
        </w:rPr>
        <w:t>en application de l</w:t>
      </w:r>
      <w:r>
        <w:rPr>
          <w:lang w:val="fr-FR" w:eastAsia="en-GB"/>
        </w:rPr>
        <w:t>’</w:t>
      </w:r>
      <w:r w:rsidRPr="0007564A">
        <w:rPr>
          <w:lang w:val="fr-FR" w:eastAsia="en-GB"/>
        </w:rPr>
        <w:t>article</w:t>
      </w:r>
      <w:r w:rsidR="00881A7C">
        <w:rPr>
          <w:lang w:val="fr-FR" w:eastAsia="en-GB"/>
        </w:rPr>
        <w:t> </w:t>
      </w:r>
      <w:r w:rsidRPr="0007564A">
        <w:rPr>
          <w:lang w:val="fr-FR" w:eastAsia="en-GB"/>
        </w:rPr>
        <w:t xml:space="preserve">1014 du </w:t>
      </w:r>
      <w:r>
        <w:rPr>
          <w:lang w:val="fr-FR" w:eastAsia="en-GB"/>
        </w:rPr>
        <w:t>C</w:t>
      </w:r>
      <w:r w:rsidRPr="0007564A">
        <w:rPr>
          <w:lang w:val="fr-FR" w:eastAsia="en-GB"/>
        </w:rPr>
        <w:t>ode de procédure civile, après le dépôt des mémoires des parties au litige, la formation de la Cour de cassation, compétente pour statuer sur la demande, peut légalement décider de rejeter le pourvoi par une décision non spécialement motivée, lorsque celui-ci n</w:t>
      </w:r>
      <w:r>
        <w:rPr>
          <w:lang w:val="fr-FR" w:eastAsia="en-GB"/>
        </w:rPr>
        <w:t>’</w:t>
      </w:r>
      <w:r w:rsidRPr="0007564A">
        <w:rPr>
          <w:lang w:val="fr-FR" w:eastAsia="en-GB"/>
        </w:rPr>
        <w:t>est manifestement pas de nature à entraîner la cassation de l</w:t>
      </w:r>
      <w:r>
        <w:rPr>
          <w:lang w:val="fr-FR" w:eastAsia="en-GB"/>
        </w:rPr>
        <w:t>’</w:t>
      </w:r>
      <w:r w:rsidRPr="0007564A">
        <w:rPr>
          <w:lang w:val="fr-FR" w:eastAsia="en-GB"/>
        </w:rPr>
        <w:t>arrêt attaqué.</w:t>
      </w:r>
      <w:r>
        <w:rPr>
          <w:lang w:val="fr-FR" w:eastAsia="en-GB"/>
        </w:rPr>
        <w:t xml:space="preserve"> L’État partie soutient que</w:t>
      </w:r>
      <w:r w:rsidRPr="0007564A">
        <w:rPr>
          <w:lang w:val="fr-FR" w:eastAsia="en-GB"/>
        </w:rPr>
        <w:t xml:space="preserve"> l</w:t>
      </w:r>
      <w:r>
        <w:rPr>
          <w:lang w:val="fr-FR" w:eastAsia="en-GB"/>
        </w:rPr>
        <w:t>’</w:t>
      </w:r>
      <w:r w:rsidRPr="0007564A">
        <w:rPr>
          <w:lang w:val="fr-FR" w:eastAsia="en-GB"/>
        </w:rPr>
        <w:t>instauration d</w:t>
      </w:r>
      <w:r>
        <w:rPr>
          <w:lang w:val="fr-FR" w:eastAsia="en-GB"/>
        </w:rPr>
        <w:t>’</w:t>
      </w:r>
      <w:r w:rsidRPr="0007564A">
        <w:rPr>
          <w:lang w:val="fr-FR" w:eastAsia="en-GB"/>
        </w:rPr>
        <w:t>une procédure de sélection des pourvois en cassation poursuit le but légitime d</w:t>
      </w:r>
      <w:r>
        <w:rPr>
          <w:lang w:val="fr-FR" w:eastAsia="en-GB"/>
        </w:rPr>
        <w:t>’</w:t>
      </w:r>
      <w:r w:rsidRPr="0007564A">
        <w:rPr>
          <w:lang w:val="fr-FR" w:eastAsia="en-GB"/>
        </w:rPr>
        <w:t>une bonne administration de la justice</w:t>
      </w:r>
      <w:r>
        <w:rPr>
          <w:lang w:val="fr-FR" w:eastAsia="en-GB"/>
        </w:rPr>
        <w:t>, qui exige de trier les cas soumis pour ne pas engorger l’office de la Cour et empêcher un nombre élevé de pourvois</w:t>
      </w:r>
      <w:r w:rsidRPr="00564369">
        <w:rPr>
          <w:rStyle w:val="Appelnotedebasdep"/>
        </w:rPr>
        <w:footnoteReference w:id="18"/>
      </w:r>
      <w:r>
        <w:rPr>
          <w:lang w:val="fr-FR" w:eastAsia="en-GB"/>
        </w:rPr>
        <w:t xml:space="preserve">. </w:t>
      </w:r>
    </w:p>
    <w:p w14:paraId="34CD300F" w14:textId="715A5F17" w:rsidR="00DF04F7" w:rsidRPr="0007564A" w:rsidRDefault="00DF04F7" w:rsidP="00564369">
      <w:pPr>
        <w:pStyle w:val="SingleTxtG"/>
        <w:rPr>
          <w:lang w:val="fr-FR" w:eastAsia="en-GB"/>
        </w:rPr>
      </w:pPr>
      <w:r>
        <w:rPr>
          <w:lang w:val="fr-FR" w:eastAsia="en-GB"/>
        </w:rPr>
        <w:t>4.11</w:t>
      </w:r>
      <w:r>
        <w:rPr>
          <w:lang w:val="fr-FR" w:eastAsia="en-GB"/>
        </w:rPr>
        <w:tab/>
        <w:t xml:space="preserve">L’État partie, tout en soulignant que </w:t>
      </w:r>
      <w:r w:rsidRPr="0007564A">
        <w:rPr>
          <w:noProof/>
          <w:lang w:val="en-GB" w:eastAsia="en-GB"/>
        </w:rPr>
        <w:drawing>
          <wp:anchor distT="0" distB="0" distL="114300" distR="114300" simplePos="0" relativeHeight="251659264" behindDoc="0" locked="0" layoutInCell="1" allowOverlap="0" wp14:anchorId="0A5127B5" wp14:editId="666CF456">
            <wp:simplePos x="0" y="0"/>
            <wp:positionH relativeFrom="page">
              <wp:posOffset>6480049</wp:posOffset>
            </wp:positionH>
            <wp:positionV relativeFrom="page">
              <wp:posOffset>5279136</wp:posOffset>
            </wp:positionV>
            <wp:extent cx="6096" cy="6096"/>
            <wp:effectExtent l="0" t="0" r="0" b="0"/>
            <wp:wrapSquare wrapText="bothSides"/>
            <wp:docPr id="47980" name="Picture 47980"/>
            <wp:cNvGraphicFramePr/>
            <a:graphic xmlns:a="http://schemas.openxmlformats.org/drawingml/2006/main">
              <a:graphicData uri="http://schemas.openxmlformats.org/drawingml/2006/picture">
                <pic:pic xmlns:pic="http://schemas.openxmlformats.org/drawingml/2006/picture">
                  <pic:nvPicPr>
                    <pic:cNvPr id="47980" name="Picture 47980"/>
                    <pic:cNvPicPr/>
                  </pic:nvPicPr>
                  <pic:blipFill>
                    <a:blip r:embed="rId9"/>
                    <a:stretch>
                      <a:fillRect/>
                    </a:stretch>
                  </pic:blipFill>
                  <pic:spPr>
                    <a:xfrm>
                      <a:off x="0" y="0"/>
                      <a:ext cx="6096" cy="6096"/>
                    </a:xfrm>
                    <a:prstGeom prst="rect">
                      <a:avLst/>
                    </a:prstGeom>
                  </pic:spPr>
                </pic:pic>
              </a:graphicData>
            </a:graphic>
          </wp:anchor>
        </w:drawing>
      </w:r>
      <w:r w:rsidRPr="0007564A">
        <w:rPr>
          <w:noProof/>
          <w:lang w:val="en-GB" w:eastAsia="en-GB"/>
        </w:rPr>
        <w:drawing>
          <wp:anchor distT="0" distB="0" distL="114300" distR="114300" simplePos="0" relativeHeight="251660288" behindDoc="0" locked="0" layoutInCell="1" allowOverlap="0" wp14:anchorId="7CE6802C" wp14:editId="31D01EA2">
            <wp:simplePos x="0" y="0"/>
            <wp:positionH relativeFrom="page">
              <wp:posOffset>6553200</wp:posOffset>
            </wp:positionH>
            <wp:positionV relativeFrom="page">
              <wp:posOffset>8193024</wp:posOffset>
            </wp:positionV>
            <wp:extent cx="18289" cy="24384"/>
            <wp:effectExtent l="0" t="0" r="0" b="0"/>
            <wp:wrapSquare wrapText="bothSides"/>
            <wp:docPr id="47986" name="Picture 47986"/>
            <wp:cNvGraphicFramePr/>
            <a:graphic xmlns:a="http://schemas.openxmlformats.org/drawingml/2006/main">
              <a:graphicData uri="http://schemas.openxmlformats.org/drawingml/2006/picture">
                <pic:pic xmlns:pic="http://schemas.openxmlformats.org/drawingml/2006/picture">
                  <pic:nvPicPr>
                    <pic:cNvPr id="47986" name="Picture 47986"/>
                    <pic:cNvPicPr/>
                  </pic:nvPicPr>
                  <pic:blipFill>
                    <a:blip r:embed="rId10"/>
                    <a:stretch>
                      <a:fillRect/>
                    </a:stretch>
                  </pic:blipFill>
                  <pic:spPr>
                    <a:xfrm>
                      <a:off x="0" y="0"/>
                      <a:ext cx="18289" cy="24384"/>
                    </a:xfrm>
                    <a:prstGeom prst="rect">
                      <a:avLst/>
                    </a:prstGeom>
                  </pic:spPr>
                </pic:pic>
              </a:graphicData>
            </a:graphic>
          </wp:anchor>
        </w:drawing>
      </w:r>
      <w:r w:rsidRPr="0007564A">
        <w:rPr>
          <w:lang w:val="fr-FR" w:eastAsia="en-GB"/>
        </w:rPr>
        <w:t>l</w:t>
      </w:r>
      <w:r>
        <w:rPr>
          <w:lang w:val="fr-FR" w:eastAsia="en-GB"/>
        </w:rPr>
        <w:t>’</w:t>
      </w:r>
      <w:r w:rsidRPr="0007564A">
        <w:rPr>
          <w:lang w:val="fr-FR" w:eastAsia="en-GB"/>
        </w:rPr>
        <w:t>obligation de motiver les décisions de justice constitue un élément inhérent à la notion de procès équitable</w:t>
      </w:r>
      <w:r w:rsidRPr="00881A7C">
        <w:rPr>
          <w:rStyle w:val="Appelnotedebasdep"/>
        </w:rPr>
        <w:footnoteReference w:id="19"/>
      </w:r>
      <w:r>
        <w:rPr>
          <w:lang w:val="fr-FR" w:eastAsia="en-GB"/>
        </w:rPr>
        <w:t>, estime qu’il n’y a aucune obligation de motiver « </w:t>
      </w:r>
      <w:r w:rsidRPr="00FE4457">
        <w:rPr>
          <w:lang w:val="fr-FR" w:eastAsia="en-GB"/>
        </w:rPr>
        <w:t xml:space="preserve">en détail une décision par laquelle une juridiction de recours, se fondant sur une disposition légale spécifique, écarte un recours comme dépourvu de chance </w:t>
      </w:r>
      <w:r w:rsidRPr="00FE4457">
        <w:rPr>
          <w:lang w:val="fr-FR" w:eastAsia="en-GB"/>
        </w:rPr>
        <w:lastRenderedPageBreak/>
        <w:t>de succès</w:t>
      </w:r>
      <w:r w:rsidRPr="00564369">
        <w:rPr>
          <w:rStyle w:val="Appelnotedebasdep"/>
        </w:rPr>
        <w:footnoteReference w:id="20"/>
      </w:r>
      <w:r>
        <w:rPr>
          <w:lang w:val="fr-FR" w:eastAsia="en-GB"/>
        </w:rPr>
        <w:t xml:space="preserve"> ». L’État partie soutient que les parties ont </w:t>
      </w:r>
      <w:r w:rsidRPr="0007564A">
        <w:rPr>
          <w:lang w:val="fr-FR" w:eastAsia="en-GB"/>
        </w:rPr>
        <w:t>accès au rapport établi par le magistrat instruisant le dossier</w:t>
      </w:r>
      <w:r>
        <w:rPr>
          <w:lang w:val="fr-FR" w:eastAsia="en-GB"/>
        </w:rPr>
        <w:t>,</w:t>
      </w:r>
      <w:r w:rsidRPr="0007564A">
        <w:rPr>
          <w:lang w:val="fr-FR" w:eastAsia="en-GB"/>
        </w:rPr>
        <w:t xml:space="preserve"> qui </w:t>
      </w:r>
      <w:r>
        <w:rPr>
          <w:lang w:val="fr-FR" w:eastAsia="en-GB"/>
        </w:rPr>
        <w:t>a proposé à la Cour de cassation le rejet du pourvoi</w:t>
      </w:r>
      <w:r w:rsidRPr="00B968C6">
        <w:rPr>
          <w:lang w:val="fr-FR"/>
        </w:rPr>
        <w:t xml:space="preserve"> </w:t>
      </w:r>
      <w:r>
        <w:rPr>
          <w:lang w:val="fr-FR"/>
        </w:rPr>
        <w:t>dans les conditions prévues par l’article 1014 du Code de procédure civile</w:t>
      </w:r>
      <w:r>
        <w:rPr>
          <w:lang w:val="fr-FR" w:eastAsia="en-GB"/>
        </w:rPr>
        <w:t xml:space="preserve">. Ce rapport contient </w:t>
      </w:r>
      <w:r w:rsidRPr="0007564A">
        <w:rPr>
          <w:lang w:val="fr-FR" w:eastAsia="en-GB"/>
        </w:rPr>
        <w:t>les raisons objectives pour lesquelles le pourvoi, selon lui, ne présente pas de moyen sérieux de nature à entraîner la cassation de l</w:t>
      </w:r>
      <w:r>
        <w:rPr>
          <w:lang w:val="fr-FR" w:eastAsia="en-GB"/>
        </w:rPr>
        <w:t>’</w:t>
      </w:r>
      <w:r w:rsidRPr="0007564A">
        <w:rPr>
          <w:lang w:val="fr-FR" w:eastAsia="en-GB"/>
        </w:rPr>
        <w:t>arrêt attaqué</w:t>
      </w:r>
      <w:r>
        <w:rPr>
          <w:lang w:val="fr-FR" w:eastAsia="en-GB"/>
        </w:rPr>
        <w:t xml:space="preserve">. Ainsi, il est loisible aux </w:t>
      </w:r>
      <w:r w:rsidRPr="0007564A">
        <w:rPr>
          <w:lang w:val="fr-FR" w:eastAsia="en-GB"/>
        </w:rPr>
        <w:t>parties, par l</w:t>
      </w:r>
      <w:r>
        <w:rPr>
          <w:lang w:val="fr-FR" w:eastAsia="en-GB"/>
        </w:rPr>
        <w:t>’</w:t>
      </w:r>
      <w:r w:rsidRPr="0007564A">
        <w:rPr>
          <w:lang w:val="fr-FR" w:eastAsia="en-GB"/>
        </w:rPr>
        <w:t xml:space="preserve">intermédiaire de leur avocat, </w:t>
      </w:r>
      <w:r>
        <w:rPr>
          <w:lang w:val="fr-FR" w:eastAsia="en-GB"/>
        </w:rPr>
        <w:t xml:space="preserve">de </w:t>
      </w:r>
      <w:r w:rsidRPr="0007564A">
        <w:rPr>
          <w:lang w:val="fr-FR" w:eastAsia="en-GB"/>
        </w:rPr>
        <w:t>formuler toutes observations contraires avant l</w:t>
      </w:r>
      <w:r>
        <w:rPr>
          <w:lang w:val="fr-FR" w:eastAsia="en-GB"/>
        </w:rPr>
        <w:t>’</w:t>
      </w:r>
      <w:r w:rsidRPr="0007564A">
        <w:rPr>
          <w:lang w:val="fr-FR" w:eastAsia="en-GB"/>
        </w:rPr>
        <w:t>audience, afin que la formation de jugement puisse décider de statuer en la forme ordinaire.</w:t>
      </w:r>
      <w:r>
        <w:rPr>
          <w:lang w:val="fr-FR" w:eastAsia="en-GB"/>
        </w:rPr>
        <w:t xml:space="preserve"> L’État partie estime enfin que </w:t>
      </w:r>
      <w:r w:rsidRPr="00BA6933">
        <w:rPr>
          <w:lang w:val="fr-FR" w:eastAsia="en-GB"/>
        </w:rPr>
        <w:t>les</w:t>
      </w:r>
      <w:r>
        <w:rPr>
          <w:lang w:val="fr-FR" w:eastAsia="en-GB"/>
        </w:rPr>
        <w:t xml:space="preserve"> dispositions de </w:t>
      </w:r>
      <w:r w:rsidRPr="0007564A">
        <w:rPr>
          <w:lang w:val="fr-FR" w:eastAsia="en-GB"/>
        </w:rPr>
        <w:t>l</w:t>
      </w:r>
      <w:r>
        <w:rPr>
          <w:lang w:val="fr-FR" w:eastAsia="en-GB"/>
        </w:rPr>
        <w:t>’</w:t>
      </w:r>
      <w:r w:rsidRPr="0007564A">
        <w:rPr>
          <w:lang w:val="fr-FR" w:eastAsia="en-GB"/>
        </w:rPr>
        <w:t>article</w:t>
      </w:r>
      <w:r w:rsidR="000B25F4">
        <w:rPr>
          <w:lang w:val="fr-FR" w:eastAsia="en-GB"/>
        </w:rPr>
        <w:t> </w:t>
      </w:r>
      <w:r w:rsidRPr="0007564A">
        <w:rPr>
          <w:lang w:val="fr-FR" w:eastAsia="en-GB"/>
        </w:rPr>
        <w:t xml:space="preserve">1014 du </w:t>
      </w:r>
      <w:r>
        <w:rPr>
          <w:lang w:val="fr-FR" w:eastAsia="en-GB"/>
        </w:rPr>
        <w:t>C</w:t>
      </w:r>
      <w:r w:rsidRPr="0007564A">
        <w:rPr>
          <w:lang w:val="fr-FR" w:eastAsia="en-GB"/>
        </w:rPr>
        <w:t>ode de procédure civile n</w:t>
      </w:r>
      <w:r>
        <w:rPr>
          <w:lang w:val="fr-FR" w:eastAsia="en-GB"/>
        </w:rPr>
        <w:t>’</w:t>
      </w:r>
      <w:r w:rsidRPr="0007564A">
        <w:rPr>
          <w:lang w:val="fr-FR" w:eastAsia="en-GB"/>
        </w:rPr>
        <w:t>ont nullement pour effet de priver le justiciable d</w:t>
      </w:r>
      <w:r>
        <w:rPr>
          <w:lang w:val="fr-FR" w:eastAsia="en-GB"/>
        </w:rPr>
        <w:t>’</w:t>
      </w:r>
      <w:r w:rsidRPr="0007564A">
        <w:rPr>
          <w:lang w:val="fr-FR" w:eastAsia="en-GB"/>
        </w:rPr>
        <w:t>un accès au juge pour faire entendre sa cause.</w:t>
      </w:r>
      <w:r>
        <w:rPr>
          <w:lang w:val="fr-FR" w:eastAsia="en-GB"/>
        </w:rPr>
        <w:t xml:space="preserve"> </w:t>
      </w:r>
      <w:r w:rsidRPr="0007564A">
        <w:rPr>
          <w:lang w:val="fr-FR" w:eastAsia="en-GB"/>
        </w:rPr>
        <w:t xml:space="preserve">Par conséquent, </w:t>
      </w:r>
      <w:r>
        <w:rPr>
          <w:lang w:val="fr-FR" w:eastAsia="en-GB"/>
        </w:rPr>
        <w:t xml:space="preserve">l’État partie </w:t>
      </w:r>
      <w:r w:rsidRPr="0007564A">
        <w:rPr>
          <w:lang w:val="fr-FR" w:eastAsia="en-GB"/>
        </w:rPr>
        <w:t xml:space="preserve">considère </w:t>
      </w:r>
      <w:r>
        <w:rPr>
          <w:lang w:val="fr-FR" w:eastAsia="en-GB"/>
        </w:rPr>
        <w:t>qu’il n’a pas violé l’article</w:t>
      </w:r>
      <w:r w:rsidR="000B25F4">
        <w:rPr>
          <w:lang w:val="fr-FR" w:eastAsia="en-GB"/>
        </w:rPr>
        <w:t> </w:t>
      </w:r>
      <w:r w:rsidRPr="0007564A">
        <w:rPr>
          <w:lang w:val="fr-FR" w:eastAsia="en-GB"/>
        </w:rPr>
        <w:t>6 de la Convention.</w:t>
      </w:r>
    </w:p>
    <w:p w14:paraId="3EB97129" w14:textId="77777777" w:rsidR="00DF04F7" w:rsidRPr="0035343D" w:rsidRDefault="00DF04F7" w:rsidP="00564369">
      <w:pPr>
        <w:pStyle w:val="H23G"/>
        <w:rPr>
          <w:lang w:val="fr-FR"/>
        </w:rPr>
      </w:pPr>
      <w:r w:rsidRPr="00425CE2">
        <w:rPr>
          <w:lang w:val="fr-FR"/>
        </w:rPr>
        <w:tab/>
      </w:r>
      <w:r w:rsidRPr="00425CE2">
        <w:rPr>
          <w:lang w:val="fr-FR"/>
        </w:rPr>
        <w:tab/>
      </w:r>
      <w:r w:rsidRPr="0035343D">
        <w:rPr>
          <w:lang w:val="fr-FR"/>
        </w:rPr>
        <w:t>Commentaires de l</w:t>
      </w:r>
      <w:r>
        <w:rPr>
          <w:lang w:val="fr-FR"/>
        </w:rPr>
        <w:t>’</w:t>
      </w:r>
      <w:r w:rsidRPr="0035343D">
        <w:rPr>
          <w:lang w:val="fr-FR"/>
        </w:rPr>
        <w:t>auteur sur les observations de l</w:t>
      </w:r>
      <w:r>
        <w:rPr>
          <w:lang w:val="fr-FR"/>
        </w:rPr>
        <w:t>’</w:t>
      </w:r>
      <w:r w:rsidRPr="0035343D">
        <w:rPr>
          <w:lang w:val="fr-FR"/>
        </w:rPr>
        <w:t>État partie</w:t>
      </w:r>
    </w:p>
    <w:p w14:paraId="6B371732" w14:textId="77F479BA" w:rsidR="00DF04F7" w:rsidRPr="0035343D" w:rsidRDefault="00DF04F7" w:rsidP="00564369">
      <w:pPr>
        <w:pStyle w:val="SingleTxtG"/>
        <w:rPr>
          <w:lang w:val="fr-FR" w:eastAsia="en-GB"/>
        </w:rPr>
      </w:pPr>
      <w:r w:rsidRPr="0035343D">
        <w:rPr>
          <w:lang w:val="fr-FR" w:eastAsia="en-GB"/>
        </w:rPr>
        <w:t>5.1</w:t>
      </w:r>
      <w:r w:rsidRPr="0035343D">
        <w:rPr>
          <w:lang w:val="fr-FR" w:eastAsia="en-GB"/>
        </w:rPr>
        <w:tab/>
        <w:t>Le 17</w:t>
      </w:r>
      <w:r w:rsidR="000B25F4">
        <w:rPr>
          <w:lang w:val="fr-FR" w:eastAsia="en-GB"/>
        </w:rPr>
        <w:t> </w:t>
      </w:r>
      <w:r w:rsidRPr="0035343D">
        <w:rPr>
          <w:lang w:val="fr-FR" w:eastAsia="en-GB"/>
        </w:rPr>
        <w:t>juillet 2019, l</w:t>
      </w:r>
      <w:r>
        <w:rPr>
          <w:lang w:val="fr-FR" w:eastAsia="en-GB"/>
        </w:rPr>
        <w:t>’</w:t>
      </w:r>
      <w:r w:rsidRPr="0035343D">
        <w:rPr>
          <w:lang w:val="fr-FR" w:eastAsia="en-GB"/>
        </w:rPr>
        <w:t>auteur a présenté ses commentaires sur les observations de l</w:t>
      </w:r>
      <w:r>
        <w:rPr>
          <w:lang w:val="fr-FR" w:eastAsia="en-GB"/>
        </w:rPr>
        <w:t>’</w:t>
      </w:r>
      <w:r w:rsidRPr="0035343D">
        <w:rPr>
          <w:lang w:val="fr-FR" w:eastAsia="en-GB"/>
        </w:rPr>
        <w:t>État partie sur le fond de la communication. L</w:t>
      </w:r>
      <w:r>
        <w:rPr>
          <w:lang w:val="fr-FR" w:eastAsia="en-GB"/>
        </w:rPr>
        <w:t>’</w:t>
      </w:r>
      <w:r w:rsidRPr="0035343D">
        <w:rPr>
          <w:lang w:val="fr-FR" w:eastAsia="en-GB"/>
        </w:rPr>
        <w:t>auteur réitère que la discrimination raciale qu</w:t>
      </w:r>
      <w:r>
        <w:rPr>
          <w:lang w:val="fr-FR" w:eastAsia="en-GB"/>
        </w:rPr>
        <w:t>’</w:t>
      </w:r>
      <w:r w:rsidRPr="0035343D">
        <w:rPr>
          <w:lang w:val="fr-FR" w:eastAsia="en-GB"/>
        </w:rPr>
        <w:t>il allègue a été reconnue judiciairement par l</w:t>
      </w:r>
      <w:r>
        <w:rPr>
          <w:lang w:val="fr-FR" w:eastAsia="en-GB"/>
        </w:rPr>
        <w:t>’</w:t>
      </w:r>
      <w:r w:rsidRPr="0035343D">
        <w:rPr>
          <w:lang w:val="fr-FR" w:eastAsia="en-GB"/>
        </w:rPr>
        <w:t>arrêt du</w:t>
      </w:r>
      <w:r w:rsidR="00D2017B">
        <w:rPr>
          <w:lang w:val="fr-FR" w:eastAsia="en-GB"/>
        </w:rPr>
        <w:t> </w:t>
      </w:r>
      <w:r w:rsidRPr="0035343D">
        <w:rPr>
          <w:lang w:val="fr-FR" w:eastAsia="en-GB"/>
        </w:rPr>
        <w:t xml:space="preserve">2 avril 2008 de la </w:t>
      </w:r>
      <w:r>
        <w:rPr>
          <w:lang w:val="fr-FR" w:eastAsia="en-GB"/>
        </w:rPr>
        <w:t>c</w:t>
      </w:r>
      <w:r w:rsidRPr="0035343D">
        <w:rPr>
          <w:lang w:val="fr-FR" w:eastAsia="en-GB"/>
        </w:rPr>
        <w:t>hambre sociale de la cour d</w:t>
      </w:r>
      <w:r>
        <w:rPr>
          <w:lang w:val="fr-FR" w:eastAsia="en-GB"/>
        </w:rPr>
        <w:t>’</w:t>
      </w:r>
      <w:r w:rsidRPr="0035343D">
        <w:rPr>
          <w:lang w:val="fr-FR" w:eastAsia="en-GB"/>
        </w:rPr>
        <w:t>appel de Versailles</w:t>
      </w:r>
      <w:r>
        <w:rPr>
          <w:lang w:val="fr-FR" w:eastAsia="en-GB"/>
        </w:rPr>
        <w:t>,</w:t>
      </w:r>
      <w:r w:rsidRPr="0035343D">
        <w:rPr>
          <w:lang w:val="fr-FR" w:eastAsia="en-GB"/>
        </w:rPr>
        <w:t xml:space="preserve"> ce qui n</w:t>
      </w:r>
      <w:r>
        <w:rPr>
          <w:lang w:val="fr-FR" w:eastAsia="en-GB"/>
        </w:rPr>
        <w:t>’</w:t>
      </w:r>
      <w:r w:rsidRPr="0035343D">
        <w:rPr>
          <w:lang w:val="fr-FR" w:eastAsia="en-GB"/>
        </w:rPr>
        <w:t>est pas contesté par l</w:t>
      </w:r>
      <w:r>
        <w:rPr>
          <w:lang w:val="fr-FR" w:eastAsia="en-GB"/>
        </w:rPr>
        <w:t>’</w:t>
      </w:r>
      <w:r w:rsidRPr="0035343D">
        <w:rPr>
          <w:lang w:val="fr-FR" w:eastAsia="en-GB"/>
        </w:rPr>
        <w:t>État partie. Il souligne toutefois que le préjudice subi n</w:t>
      </w:r>
      <w:r>
        <w:rPr>
          <w:lang w:val="fr-FR" w:eastAsia="en-GB"/>
        </w:rPr>
        <w:t>’</w:t>
      </w:r>
      <w:r w:rsidRPr="0035343D">
        <w:rPr>
          <w:lang w:val="fr-FR" w:eastAsia="en-GB"/>
        </w:rPr>
        <w:t>a pas été intégralement réparé</w:t>
      </w:r>
      <w:r>
        <w:rPr>
          <w:lang w:val="fr-FR" w:eastAsia="en-GB"/>
        </w:rPr>
        <w:t>,</w:t>
      </w:r>
      <w:r w:rsidRPr="0035343D">
        <w:rPr>
          <w:lang w:val="fr-FR" w:eastAsia="en-GB"/>
        </w:rPr>
        <w:t xml:space="preserve"> car il n</w:t>
      </w:r>
      <w:r>
        <w:rPr>
          <w:lang w:val="fr-FR" w:eastAsia="en-GB"/>
        </w:rPr>
        <w:t>’</w:t>
      </w:r>
      <w:r w:rsidRPr="0035343D">
        <w:rPr>
          <w:lang w:val="fr-FR" w:eastAsia="en-GB"/>
        </w:rPr>
        <w:t>a pas pu obtenir l</w:t>
      </w:r>
      <w:r>
        <w:rPr>
          <w:lang w:val="fr-FR" w:eastAsia="en-GB"/>
        </w:rPr>
        <w:t>’</w:t>
      </w:r>
      <w:r w:rsidRPr="0035343D">
        <w:rPr>
          <w:lang w:val="fr-FR" w:eastAsia="en-GB"/>
        </w:rPr>
        <w:t>exécution en ce qui concerne le repositionnement ordonné par l</w:t>
      </w:r>
      <w:r>
        <w:rPr>
          <w:lang w:val="fr-FR" w:eastAsia="en-GB"/>
        </w:rPr>
        <w:t>’</w:t>
      </w:r>
      <w:r w:rsidRPr="0035343D">
        <w:rPr>
          <w:lang w:val="fr-FR" w:eastAsia="en-GB"/>
        </w:rPr>
        <w:t>arrêt de la cour d</w:t>
      </w:r>
      <w:r>
        <w:rPr>
          <w:lang w:val="fr-FR" w:eastAsia="en-GB"/>
        </w:rPr>
        <w:t>’</w:t>
      </w:r>
      <w:r w:rsidRPr="0035343D">
        <w:rPr>
          <w:lang w:val="fr-FR" w:eastAsia="en-GB"/>
        </w:rPr>
        <w:t xml:space="preserve">appel, notamment le paiement des salaires et </w:t>
      </w:r>
      <w:r>
        <w:rPr>
          <w:lang w:val="fr-FR" w:eastAsia="en-GB"/>
        </w:rPr>
        <w:t xml:space="preserve">des </w:t>
      </w:r>
      <w:r w:rsidRPr="0035343D">
        <w:rPr>
          <w:lang w:val="fr-FR" w:eastAsia="en-GB"/>
        </w:rPr>
        <w:t xml:space="preserve">primes </w:t>
      </w:r>
      <w:r>
        <w:rPr>
          <w:lang w:val="fr-FR" w:eastAsia="en-GB"/>
        </w:rPr>
        <w:t xml:space="preserve">y </w:t>
      </w:r>
      <w:r w:rsidRPr="0035343D">
        <w:rPr>
          <w:lang w:val="fr-FR" w:eastAsia="en-GB"/>
        </w:rPr>
        <w:t xml:space="preserve">afférents. </w:t>
      </w:r>
    </w:p>
    <w:p w14:paraId="3B81C92F" w14:textId="77777777" w:rsidR="00DF04F7" w:rsidRPr="0035343D" w:rsidRDefault="00DF04F7" w:rsidP="00513DBE">
      <w:pPr>
        <w:pStyle w:val="SingleTxtG"/>
        <w:rPr>
          <w:lang w:val="fr-FR" w:eastAsia="en-GB"/>
        </w:rPr>
      </w:pPr>
      <w:r w:rsidRPr="0035343D">
        <w:rPr>
          <w:lang w:val="fr-FR" w:eastAsia="en-GB"/>
        </w:rPr>
        <w:t>5.2</w:t>
      </w:r>
      <w:r w:rsidRPr="0035343D">
        <w:rPr>
          <w:lang w:val="fr-FR" w:eastAsia="en-GB"/>
        </w:rPr>
        <w:tab/>
        <w:t>L</w:t>
      </w:r>
      <w:r>
        <w:rPr>
          <w:lang w:val="fr-FR" w:eastAsia="en-GB"/>
        </w:rPr>
        <w:t>’</w:t>
      </w:r>
      <w:r w:rsidRPr="0035343D">
        <w:rPr>
          <w:lang w:val="fr-FR" w:eastAsia="en-GB"/>
        </w:rPr>
        <w:t>auteur réitère que le traitement différencié des travailleurs en fonction de leur origine ethnique</w:t>
      </w:r>
      <w:r w:rsidRPr="00564369">
        <w:rPr>
          <w:rStyle w:val="Appelnotedebasdep"/>
        </w:rPr>
        <w:footnoteReference w:id="21"/>
      </w:r>
      <w:r w:rsidRPr="0035343D">
        <w:rPr>
          <w:lang w:val="fr-FR" w:eastAsia="en-GB"/>
        </w:rPr>
        <w:t xml:space="preserve"> au sein de la société Renault a longtemps été une constante</w:t>
      </w:r>
      <w:r>
        <w:rPr>
          <w:lang w:val="fr-FR" w:eastAsia="en-GB"/>
        </w:rPr>
        <w:t>,</w:t>
      </w:r>
      <w:r w:rsidRPr="0035343D">
        <w:rPr>
          <w:lang w:val="fr-FR" w:eastAsia="en-GB"/>
        </w:rPr>
        <w:t xml:space="preserve"> alors même qu</w:t>
      </w:r>
      <w:r>
        <w:rPr>
          <w:lang w:val="fr-FR" w:eastAsia="en-GB"/>
        </w:rPr>
        <w:t>’</w:t>
      </w:r>
      <w:r w:rsidRPr="0035343D">
        <w:rPr>
          <w:lang w:val="fr-FR" w:eastAsia="en-GB"/>
        </w:rPr>
        <w:t>il s</w:t>
      </w:r>
      <w:r>
        <w:rPr>
          <w:lang w:val="fr-FR" w:eastAsia="en-GB"/>
        </w:rPr>
        <w:t>’</w:t>
      </w:r>
      <w:r w:rsidRPr="0035343D">
        <w:rPr>
          <w:lang w:val="fr-FR" w:eastAsia="en-GB"/>
        </w:rPr>
        <w:t>agissait encore d</w:t>
      </w:r>
      <w:r>
        <w:rPr>
          <w:lang w:val="fr-FR" w:eastAsia="en-GB"/>
        </w:rPr>
        <w:t>’</w:t>
      </w:r>
      <w:r w:rsidRPr="0035343D">
        <w:rPr>
          <w:lang w:val="fr-FR" w:eastAsia="en-GB"/>
        </w:rPr>
        <w:t>une régie nationale</w:t>
      </w:r>
      <w:r>
        <w:rPr>
          <w:lang w:val="fr-FR" w:eastAsia="en-GB"/>
        </w:rPr>
        <w:t>,</w:t>
      </w:r>
      <w:r w:rsidRPr="0035343D">
        <w:rPr>
          <w:lang w:val="fr-FR" w:eastAsia="en-GB"/>
        </w:rPr>
        <w:t xml:space="preserve"> et s</w:t>
      </w:r>
      <w:r>
        <w:rPr>
          <w:lang w:val="fr-FR" w:eastAsia="en-GB"/>
        </w:rPr>
        <w:t>’</w:t>
      </w:r>
      <w:r w:rsidRPr="0035343D">
        <w:rPr>
          <w:lang w:val="fr-FR" w:eastAsia="en-GB"/>
        </w:rPr>
        <w:t>est poursuivi après que</w:t>
      </w:r>
      <w:r w:rsidRPr="00D5396D">
        <w:rPr>
          <w:lang w:eastAsia="en-GB"/>
        </w:rPr>
        <w:t xml:space="preserve"> </w:t>
      </w:r>
      <w:r w:rsidRPr="0035343D">
        <w:rPr>
          <w:lang w:eastAsia="en-GB"/>
        </w:rPr>
        <w:t>la société</w:t>
      </w:r>
      <w:r w:rsidRPr="0035343D">
        <w:rPr>
          <w:lang w:val="fr-FR" w:eastAsia="en-GB"/>
        </w:rPr>
        <w:t xml:space="preserve"> Renault </w:t>
      </w:r>
      <w:r>
        <w:rPr>
          <w:lang w:val="fr-FR" w:eastAsia="en-GB"/>
        </w:rPr>
        <w:t>est</w:t>
      </w:r>
      <w:r w:rsidRPr="0035343D">
        <w:rPr>
          <w:lang w:val="fr-FR" w:eastAsia="en-GB"/>
        </w:rPr>
        <w:t xml:space="preserve"> devenue une société anonyme dont l</w:t>
      </w:r>
      <w:r>
        <w:rPr>
          <w:lang w:val="fr-FR" w:eastAsia="en-GB"/>
        </w:rPr>
        <w:t>’</w:t>
      </w:r>
      <w:r w:rsidRPr="0035343D">
        <w:rPr>
          <w:lang w:val="fr-FR" w:eastAsia="en-GB"/>
        </w:rPr>
        <w:t xml:space="preserve">État </w:t>
      </w:r>
      <w:r>
        <w:rPr>
          <w:lang w:val="fr-FR" w:eastAsia="en-GB"/>
        </w:rPr>
        <w:t>f</w:t>
      </w:r>
      <w:r w:rsidRPr="0035343D">
        <w:rPr>
          <w:lang w:val="fr-FR" w:eastAsia="en-GB"/>
        </w:rPr>
        <w:t>rançais était actionnaire majoritaire. L</w:t>
      </w:r>
      <w:r>
        <w:rPr>
          <w:lang w:val="fr-FR" w:eastAsia="en-GB"/>
        </w:rPr>
        <w:t>’</w:t>
      </w:r>
      <w:r w:rsidRPr="0035343D">
        <w:rPr>
          <w:lang w:val="fr-FR" w:eastAsia="en-GB"/>
        </w:rPr>
        <w:t xml:space="preserve">auteur </w:t>
      </w:r>
      <w:r>
        <w:rPr>
          <w:lang w:val="fr-FR" w:eastAsia="en-GB"/>
        </w:rPr>
        <w:t>soutient</w:t>
      </w:r>
      <w:r w:rsidRPr="0035343D">
        <w:rPr>
          <w:lang w:val="fr-FR" w:eastAsia="en-GB"/>
        </w:rPr>
        <w:t xml:space="preserve"> que les pratiques discriminatoires en fonction de la nationalité ou de l</w:t>
      </w:r>
      <w:r>
        <w:rPr>
          <w:lang w:val="fr-FR" w:eastAsia="en-GB"/>
        </w:rPr>
        <w:t>’</w:t>
      </w:r>
      <w:r w:rsidRPr="0035343D">
        <w:rPr>
          <w:lang w:val="fr-FR" w:eastAsia="en-GB"/>
        </w:rPr>
        <w:t xml:space="preserve">origine ethnique sont avérées et documentées au sein de </w:t>
      </w:r>
      <w:r>
        <w:rPr>
          <w:lang w:val="fr-FR" w:eastAsia="en-GB"/>
        </w:rPr>
        <w:t>la société</w:t>
      </w:r>
      <w:r w:rsidRPr="0035343D">
        <w:rPr>
          <w:lang w:val="fr-FR" w:eastAsia="en-GB"/>
        </w:rPr>
        <w:t xml:space="preserve"> Renault. </w:t>
      </w:r>
    </w:p>
    <w:p w14:paraId="7D0FD8D4" w14:textId="78EED7FE" w:rsidR="00DF04F7" w:rsidRPr="0035343D" w:rsidRDefault="00DF04F7" w:rsidP="00513DBE">
      <w:pPr>
        <w:pStyle w:val="SingleTxtG"/>
        <w:rPr>
          <w:lang w:val="fr-FR" w:eastAsia="en-GB"/>
        </w:rPr>
      </w:pPr>
      <w:r w:rsidRPr="0035343D">
        <w:rPr>
          <w:lang w:val="fr-FR" w:eastAsia="en-GB"/>
        </w:rPr>
        <w:t>5.3</w:t>
      </w:r>
      <w:r w:rsidRPr="0035343D">
        <w:rPr>
          <w:lang w:val="fr-FR" w:eastAsia="en-GB"/>
        </w:rPr>
        <w:tab/>
        <w:t>L</w:t>
      </w:r>
      <w:r>
        <w:rPr>
          <w:lang w:val="fr-FR" w:eastAsia="en-GB"/>
        </w:rPr>
        <w:t>’</w:t>
      </w:r>
      <w:r w:rsidRPr="0035343D">
        <w:rPr>
          <w:lang w:val="fr-FR" w:eastAsia="en-GB"/>
        </w:rPr>
        <w:t>auteur fait valoir que le dispositif de l</w:t>
      </w:r>
      <w:r>
        <w:rPr>
          <w:lang w:val="fr-FR" w:eastAsia="en-GB"/>
        </w:rPr>
        <w:t>’</w:t>
      </w:r>
      <w:r w:rsidRPr="0035343D">
        <w:rPr>
          <w:lang w:val="fr-FR" w:eastAsia="en-GB"/>
        </w:rPr>
        <w:t>arrêt du 2</w:t>
      </w:r>
      <w:r w:rsidR="00D2017B">
        <w:rPr>
          <w:lang w:val="fr-FR" w:eastAsia="en-GB"/>
        </w:rPr>
        <w:t> </w:t>
      </w:r>
      <w:r w:rsidRPr="0035343D">
        <w:rPr>
          <w:lang w:val="fr-FR" w:eastAsia="en-GB"/>
        </w:rPr>
        <w:t>avril 2008 comportait deux volets</w:t>
      </w:r>
      <w:r>
        <w:rPr>
          <w:lang w:val="fr-FR" w:eastAsia="en-GB"/>
        </w:rPr>
        <w:t> :</w:t>
      </w:r>
      <w:r w:rsidRPr="0035343D">
        <w:rPr>
          <w:lang w:val="fr-FR" w:eastAsia="en-GB"/>
        </w:rPr>
        <w:t xml:space="preserve"> d</w:t>
      </w:r>
      <w:r>
        <w:rPr>
          <w:lang w:val="fr-FR" w:eastAsia="en-GB"/>
        </w:rPr>
        <w:t>’</w:t>
      </w:r>
      <w:r w:rsidRPr="0035343D">
        <w:rPr>
          <w:lang w:val="fr-FR" w:eastAsia="en-GB"/>
        </w:rPr>
        <w:t>une part</w:t>
      </w:r>
      <w:r>
        <w:rPr>
          <w:lang w:val="fr-FR" w:eastAsia="en-GB"/>
        </w:rPr>
        <w:t>,</w:t>
      </w:r>
      <w:r w:rsidRPr="0035343D">
        <w:rPr>
          <w:lang w:val="fr-FR" w:eastAsia="en-GB"/>
        </w:rPr>
        <w:t xml:space="preserve"> un volet indemnitaire consistant en l</w:t>
      </w:r>
      <w:r>
        <w:rPr>
          <w:lang w:val="fr-FR" w:eastAsia="en-GB"/>
        </w:rPr>
        <w:t>’</w:t>
      </w:r>
      <w:r w:rsidRPr="0035343D">
        <w:rPr>
          <w:lang w:val="fr-FR" w:eastAsia="en-GB"/>
        </w:rPr>
        <w:t>allocation de dommages</w:t>
      </w:r>
      <w:r>
        <w:rPr>
          <w:lang w:val="fr-FR" w:eastAsia="en-GB"/>
        </w:rPr>
        <w:t>-</w:t>
      </w:r>
      <w:r w:rsidRPr="0035343D">
        <w:rPr>
          <w:lang w:val="fr-FR" w:eastAsia="en-GB"/>
        </w:rPr>
        <w:t xml:space="preserve">intérêts qui ont été versés par la </w:t>
      </w:r>
      <w:r>
        <w:rPr>
          <w:lang w:val="fr-FR" w:eastAsia="en-GB"/>
        </w:rPr>
        <w:t>s</w:t>
      </w:r>
      <w:r w:rsidRPr="0035343D">
        <w:rPr>
          <w:lang w:val="fr-FR" w:eastAsia="en-GB"/>
        </w:rPr>
        <w:t>ociété Renault et</w:t>
      </w:r>
      <w:r>
        <w:rPr>
          <w:lang w:val="fr-FR" w:eastAsia="en-GB"/>
        </w:rPr>
        <w:t>,</w:t>
      </w:r>
      <w:r w:rsidRPr="0035343D">
        <w:rPr>
          <w:lang w:val="fr-FR" w:eastAsia="en-GB"/>
        </w:rPr>
        <w:t xml:space="preserve"> d</w:t>
      </w:r>
      <w:r>
        <w:rPr>
          <w:lang w:val="fr-FR" w:eastAsia="en-GB"/>
        </w:rPr>
        <w:t>’</w:t>
      </w:r>
      <w:r w:rsidRPr="0035343D">
        <w:rPr>
          <w:lang w:val="fr-FR" w:eastAsia="en-GB"/>
        </w:rPr>
        <w:t>autre part</w:t>
      </w:r>
      <w:r>
        <w:rPr>
          <w:lang w:val="fr-FR" w:eastAsia="en-GB"/>
        </w:rPr>
        <w:t>,</w:t>
      </w:r>
      <w:r w:rsidRPr="0035343D">
        <w:rPr>
          <w:lang w:val="fr-FR" w:eastAsia="en-GB"/>
        </w:rPr>
        <w:t xml:space="preserve"> une obligation de repositionnement qui n</w:t>
      </w:r>
      <w:r>
        <w:rPr>
          <w:lang w:val="fr-FR" w:eastAsia="en-GB"/>
        </w:rPr>
        <w:t>’</w:t>
      </w:r>
      <w:r w:rsidRPr="0035343D">
        <w:rPr>
          <w:lang w:val="fr-FR" w:eastAsia="en-GB"/>
        </w:rPr>
        <w:t>a pas été respectée. La non-exécution de l</w:t>
      </w:r>
      <w:r>
        <w:rPr>
          <w:lang w:val="fr-FR" w:eastAsia="en-GB"/>
        </w:rPr>
        <w:t>’</w:t>
      </w:r>
      <w:r w:rsidRPr="0035343D">
        <w:rPr>
          <w:lang w:val="fr-FR" w:eastAsia="en-GB"/>
        </w:rPr>
        <w:t>obligation de repositionnement n</w:t>
      </w:r>
      <w:r>
        <w:rPr>
          <w:lang w:val="fr-FR" w:eastAsia="en-GB"/>
        </w:rPr>
        <w:t>’</w:t>
      </w:r>
      <w:r w:rsidRPr="0035343D">
        <w:rPr>
          <w:lang w:val="fr-FR" w:eastAsia="en-GB"/>
        </w:rPr>
        <w:t>est pas contestée par l</w:t>
      </w:r>
      <w:r>
        <w:rPr>
          <w:lang w:val="fr-FR" w:eastAsia="en-GB"/>
        </w:rPr>
        <w:t>’</w:t>
      </w:r>
      <w:r w:rsidRPr="0035343D">
        <w:rPr>
          <w:lang w:val="fr-FR" w:eastAsia="en-GB"/>
        </w:rPr>
        <w:t>État partie</w:t>
      </w:r>
      <w:r>
        <w:rPr>
          <w:lang w:val="fr-FR" w:eastAsia="en-GB"/>
        </w:rPr>
        <w:t>,</w:t>
      </w:r>
      <w:r w:rsidRPr="0035343D">
        <w:rPr>
          <w:lang w:val="fr-FR" w:eastAsia="en-GB"/>
        </w:rPr>
        <w:t xml:space="preserve"> qui la justifie par le fait qu</w:t>
      </w:r>
      <w:r>
        <w:rPr>
          <w:lang w:val="fr-FR" w:eastAsia="en-GB"/>
        </w:rPr>
        <w:t>’</w:t>
      </w:r>
      <w:r w:rsidRPr="0035343D">
        <w:rPr>
          <w:lang w:val="fr-FR" w:eastAsia="en-GB"/>
        </w:rPr>
        <w:t>elle aurait été selon lui matériellement impossible en raison du départ à la retraite de l</w:t>
      </w:r>
      <w:r>
        <w:rPr>
          <w:lang w:val="fr-FR" w:eastAsia="en-GB"/>
        </w:rPr>
        <w:t>’</w:t>
      </w:r>
      <w:r w:rsidRPr="0035343D">
        <w:rPr>
          <w:lang w:val="fr-FR" w:eastAsia="en-GB"/>
        </w:rPr>
        <w:t>intéressé depuis plusieurs années. L</w:t>
      </w:r>
      <w:r>
        <w:rPr>
          <w:lang w:val="fr-FR" w:eastAsia="en-GB"/>
        </w:rPr>
        <w:t>’</w:t>
      </w:r>
      <w:r w:rsidRPr="0035343D">
        <w:rPr>
          <w:lang w:val="fr-FR" w:eastAsia="en-GB"/>
        </w:rPr>
        <w:t xml:space="preserve">auteur </w:t>
      </w:r>
      <w:r>
        <w:rPr>
          <w:lang w:val="fr-FR" w:eastAsia="en-GB"/>
        </w:rPr>
        <w:t>soutient</w:t>
      </w:r>
      <w:r w:rsidRPr="0035343D">
        <w:rPr>
          <w:lang w:val="fr-FR" w:eastAsia="en-GB"/>
        </w:rPr>
        <w:t xml:space="preserve"> que cette argumentation n</w:t>
      </w:r>
      <w:r>
        <w:rPr>
          <w:lang w:val="fr-FR" w:eastAsia="en-GB"/>
        </w:rPr>
        <w:t>’</w:t>
      </w:r>
      <w:r w:rsidRPr="0035343D">
        <w:rPr>
          <w:lang w:val="fr-FR" w:eastAsia="en-GB"/>
        </w:rPr>
        <w:t xml:space="preserve">est pas opérante, dans la mesure où </w:t>
      </w:r>
      <w:r>
        <w:rPr>
          <w:lang w:val="fr-FR" w:eastAsia="en-GB"/>
        </w:rPr>
        <w:t>son</w:t>
      </w:r>
      <w:r w:rsidRPr="0035343D">
        <w:rPr>
          <w:lang w:val="fr-FR" w:eastAsia="en-GB"/>
        </w:rPr>
        <w:t xml:space="preserve"> départ à la retraite ne faisait pas obstacle à une reconstitution de sa carrière a posteriori. L</w:t>
      </w:r>
      <w:r>
        <w:rPr>
          <w:lang w:val="fr-FR" w:eastAsia="en-GB"/>
        </w:rPr>
        <w:t>’</w:t>
      </w:r>
      <w:r w:rsidRPr="0035343D">
        <w:rPr>
          <w:lang w:val="fr-FR" w:eastAsia="en-GB"/>
        </w:rPr>
        <w:t>auteur estime que cette argumentation est de surcroît contradictoire en ce sens que l</w:t>
      </w:r>
      <w:r>
        <w:rPr>
          <w:lang w:val="fr-FR" w:eastAsia="en-GB"/>
        </w:rPr>
        <w:t>’</w:t>
      </w:r>
      <w:r w:rsidRPr="0035343D">
        <w:rPr>
          <w:lang w:val="fr-FR" w:eastAsia="en-GB"/>
        </w:rPr>
        <w:t>État partie reconna</w:t>
      </w:r>
      <w:r>
        <w:rPr>
          <w:lang w:val="fr-FR" w:eastAsia="en-GB"/>
        </w:rPr>
        <w:t>î</w:t>
      </w:r>
      <w:r w:rsidRPr="0035343D">
        <w:rPr>
          <w:lang w:val="fr-FR" w:eastAsia="en-GB"/>
        </w:rPr>
        <w:t>t d</w:t>
      </w:r>
      <w:r>
        <w:rPr>
          <w:lang w:val="fr-FR" w:eastAsia="en-GB"/>
        </w:rPr>
        <w:t>’</w:t>
      </w:r>
      <w:r w:rsidRPr="0035343D">
        <w:rPr>
          <w:lang w:val="fr-FR" w:eastAsia="en-GB"/>
        </w:rPr>
        <w:t>un côté que le repositionnement ordonné n</w:t>
      </w:r>
      <w:r>
        <w:rPr>
          <w:lang w:val="fr-FR" w:eastAsia="en-GB"/>
        </w:rPr>
        <w:t>’</w:t>
      </w:r>
      <w:r w:rsidRPr="0035343D">
        <w:rPr>
          <w:lang w:val="fr-FR" w:eastAsia="en-GB"/>
        </w:rPr>
        <w:t>a pas été suivi d</w:t>
      </w:r>
      <w:r>
        <w:rPr>
          <w:lang w:val="fr-FR" w:eastAsia="en-GB"/>
        </w:rPr>
        <w:t>’</w:t>
      </w:r>
      <w:r w:rsidRPr="0035343D">
        <w:rPr>
          <w:lang w:val="fr-FR" w:eastAsia="en-GB"/>
        </w:rPr>
        <w:t>effet</w:t>
      </w:r>
      <w:r>
        <w:rPr>
          <w:lang w:val="fr-FR" w:eastAsia="en-GB"/>
        </w:rPr>
        <w:t>,</w:t>
      </w:r>
      <w:r w:rsidRPr="0035343D">
        <w:rPr>
          <w:lang w:val="fr-FR" w:eastAsia="en-GB"/>
        </w:rPr>
        <w:t xml:space="preserve"> et soutient dans le même temps que la réparation du préjudice a été intégral</w:t>
      </w:r>
      <w:r>
        <w:rPr>
          <w:lang w:val="fr-FR" w:eastAsia="en-GB"/>
        </w:rPr>
        <w:t>e</w:t>
      </w:r>
      <w:r w:rsidRPr="0035343D">
        <w:rPr>
          <w:lang w:val="fr-FR" w:eastAsia="en-GB"/>
        </w:rPr>
        <w:t>.</w:t>
      </w:r>
    </w:p>
    <w:p w14:paraId="63FE252A" w14:textId="77777777" w:rsidR="00DF04F7" w:rsidRPr="0035343D" w:rsidRDefault="00DF04F7" w:rsidP="00513DBE">
      <w:pPr>
        <w:pStyle w:val="SingleTxtG"/>
        <w:rPr>
          <w:lang w:val="fr-FR" w:eastAsia="en-GB"/>
        </w:rPr>
      </w:pPr>
      <w:r w:rsidRPr="0035343D">
        <w:rPr>
          <w:lang w:val="fr-FR" w:eastAsia="en-GB"/>
        </w:rPr>
        <w:t>5.4</w:t>
      </w:r>
      <w:r w:rsidRPr="0035343D">
        <w:rPr>
          <w:lang w:val="fr-FR" w:eastAsia="en-GB"/>
        </w:rPr>
        <w:tab/>
        <w:t>L</w:t>
      </w:r>
      <w:r>
        <w:rPr>
          <w:lang w:val="fr-FR" w:eastAsia="en-GB"/>
        </w:rPr>
        <w:t>’</w:t>
      </w:r>
      <w:r w:rsidRPr="0035343D">
        <w:rPr>
          <w:lang w:val="fr-FR" w:eastAsia="en-GB"/>
        </w:rPr>
        <w:t>auteur indique que la jurisprudence de la Cour de cassation est constante quant au caractère intégral de la réparation du préjudice</w:t>
      </w:r>
      <w:r>
        <w:rPr>
          <w:lang w:val="fr-FR" w:eastAsia="en-GB"/>
        </w:rPr>
        <w:t>,</w:t>
      </w:r>
      <w:r w:rsidRPr="0035343D">
        <w:rPr>
          <w:lang w:val="fr-FR" w:eastAsia="en-GB"/>
        </w:rPr>
        <w:t xml:space="preserve"> qui suppose </w:t>
      </w:r>
      <w:r>
        <w:rPr>
          <w:lang w:val="fr-FR" w:eastAsia="en-GB"/>
        </w:rPr>
        <w:t>de rétablir</w:t>
      </w:r>
      <w:r w:rsidRPr="0035343D">
        <w:rPr>
          <w:lang w:val="fr-FR" w:eastAsia="en-GB"/>
        </w:rPr>
        <w:t xml:space="preserve"> «</w:t>
      </w:r>
      <w:r>
        <w:rPr>
          <w:lang w:val="fr-FR" w:eastAsia="en-GB"/>
        </w:rPr>
        <w:t> </w:t>
      </w:r>
      <w:r w:rsidRPr="0035343D">
        <w:rPr>
          <w:lang w:val="fr-FR" w:eastAsia="en-GB"/>
        </w:rPr>
        <w:t>aussi exactement que possible l</w:t>
      </w:r>
      <w:r>
        <w:rPr>
          <w:lang w:val="fr-FR" w:eastAsia="en-GB"/>
        </w:rPr>
        <w:t>’</w:t>
      </w:r>
      <w:r w:rsidRPr="0035343D">
        <w:rPr>
          <w:lang w:val="fr-FR" w:eastAsia="en-GB"/>
        </w:rPr>
        <w:t xml:space="preserve">équilibre détruit par le dommage et de replacer la victime dans la situation </w:t>
      </w:r>
      <w:r>
        <w:rPr>
          <w:lang w:val="fr-FR" w:eastAsia="en-GB"/>
        </w:rPr>
        <w:t>où</w:t>
      </w:r>
      <w:r w:rsidRPr="0035343D">
        <w:rPr>
          <w:lang w:val="fr-FR" w:eastAsia="en-GB"/>
        </w:rPr>
        <w:t xml:space="preserve"> elle </w:t>
      </w:r>
      <w:r>
        <w:rPr>
          <w:lang w:val="fr-FR" w:eastAsia="en-GB"/>
        </w:rPr>
        <w:t xml:space="preserve">se </w:t>
      </w:r>
      <w:r w:rsidRPr="0035343D">
        <w:rPr>
          <w:lang w:val="fr-FR" w:eastAsia="en-GB"/>
        </w:rPr>
        <w:t>serait trouvé</w:t>
      </w:r>
      <w:r>
        <w:rPr>
          <w:lang w:val="fr-FR" w:eastAsia="en-GB"/>
        </w:rPr>
        <w:t>e</w:t>
      </w:r>
      <w:r w:rsidRPr="0035343D">
        <w:rPr>
          <w:lang w:val="fr-FR" w:eastAsia="en-GB"/>
        </w:rPr>
        <w:t xml:space="preserve"> si l</w:t>
      </w:r>
      <w:r>
        <w:rPr>
          <w:lang w:val="fr-FR" w:eastAsia="en-GB"/>
        </w:rPr>
        <w:t>’</w:t>
      </w:r>
      <w:r w:rsidRPr="0035343D">
        <w:rPr>
          <w:lang w:val="fr-FR" w:eastAsia="en-GB"/>
        </w:rPr>
        <w:t>acte dommageable ne s</w:t>
      </w:r>
      <w:r>
        <w:rPr>
          <w:lang w:val="fr-FR" w:eastAsia="en-GB"/>
        </w:rPr>
        <w:t>’</w:t>
      </w:r>
      <w:r w:rsidRPr="0035343D">
        <w:rPr>
          <w:lang w:val="fr-FR" w:eastAsia="en-GB"/>
        </w:rPr>
        <w:t>était pas produit</w:t>
      </w:r>
      <w:r w:rsidRPr="00513DBE">
        <w:rPr>
          <w:rStyle w:val="Appelnotedebasdep"/>
        </w:rPr>
        <w:footnoteReference w:id="22"/>
      </w:r>
      <w:r w:rsidRPr="00513DBE">
        <w:rPr>
          <w:rStyle w:val="Appelnotedebasdep"/>
        </w:rPr>
        <w:t> </w:t>
      </w:r>
      <w:r>
        <w:rPr>
          <w:lang w:val="fr-FR" w:eastAsia="en-GB"/>
        </w:rPr>
        <w:t>»</w:t>
      </w:r>
      <w:r w:rsidRPr="0035343D">
        <w:rPr>
          <w:lang w:eastAsia="en-GB"/>
        </w:rPr>
        <w:t>.</w:t>
      </w:r>
      <w:r w:rsidRPr="0035343D">
        <w:rPr>
          <w:lang w:val="fr-FR" w:eastAsia="en-GB"/>
        </w:rPr>
        <w:t xml:space="preserve"> S</w:t>
      </w:r>
      <w:r>
        <w:rPr>
          <w:lang w:val="fr-FR" w:eastAsia="en-GB"/>
        </w:rPr>
        <w:t>’</w:t>
      </w:r>
      <w:r w:rsidRPr="0035343D">
        <w:rPr>
          <w:lang w:val="fr-FR" w:eastAsia="en-GB"/>
        </w:rPr>
        <w:t>agissant du repositionnement d</w:t>
      </w:r>
      <w:r>
        <w:rPr>
          <w:lang w:val="fr-FR" w:eastAsia="en-GB"/>
        </w:rPr>
        <w:t>’</w:t>
      </w:r>
      <w:r w:rsidRPr="0035343D">
        <w:rPr>
          <w:lang w:val="fr-FR" w:eastAsia="en-GB"/>
        </w:rPr>
        <w:t>un salarié, l</w:t>
      </w:r>
      <w:r>
        <w:rPr>
          <w:lang w:val="fr-FR" w:eastAsia="en-GB"/>
        </w:rPr>
        <w:t>’</w:t>
      </w:r>
      <w:r w:rsidRPr="0035343D">
        <w:rPr>
          <w:lang w:val="fr-FR" w:eastAsia="en-GB"/>
        </w:rPr>
        <w:t xml:space="preserve">auteur souligne que la </w:t>
      </w:r>
      <w:r>
        <w:rPr>
          <w:lang w:val="fr-FR" w:eastAsia="en-GB"/>
        </w:rPr>
        <w:t>c</w:t>
      </w:r>
      <w:r w:rsidRPr="0035343D">
        <w:rPr>
          <w:lang w:val="fr-FR" w:eastAsia="en-GB"/>
        </w:rPr>
        <w:t xml:space="preserve">hambre sociale de la Cour de cassation a rappelé à plusieurs reprises </w:t>
      </w:r>
      <w:r>
        <w:rPr>
          <w:lang w:val="fr-FR" w:eastAsia="en-GB"/>
        </w:rPr>
        <w:t>qu’un tel</w:t>
      </w:r>
      <w:r w:rsidRPr="0035343D">
        <w:rPr>
          <w:lang w:val="fr-FR" w:eastAsia="en-GB"/>
        </w:rPr>
        <w:t xml:space="preserve"> repositionnement fai</w:t>
      </w:r>
      <w:r>
        <w:rPr>
          <w:lang w:val="fr-FR" w:eastAsia="en-GB"/>
        </w:rPr>
        <w:t>sai</w:t>
      </w:r>
      <w:r w:rsidRPr="0035343D">
        <w:rPr>
          <w:lang w:val="fr-FR" w:eastAsia="en-GB"/>
        </w:rPr>
        <w:t>t partie intégrante de la réparation intégrale</w:t>
      </w:r>
      <w:r>
        <w:rPr>
          <w:lang w:val="fr-FR" w:eastAsia="en-GB"/>
        </w:rPr>
        <w:t>,</w:t>
      </w:r>
      <w:r w:rsidRPr="0035343D">
        <w:rPr>
          <w:lang w:val="fr-FR" w:eastAsia="en-GB"/>
        </w:rPr>
        <w:t xml:space="preserve"> et que la mise à la retraite du salarié </w:t>
      </w:r>
      <w:r>
        <w:rPr>
          <w:lang w:val="fr-FR" w:eastAsia="en-GB"/>
        </w:rPr>
        <w:t>n’y</w:t>
      </w:r>
      <w:r w:rsidRPr="0035343D">
        <w:rPr>
          <w:lang w:val="fr-FR" w:eastAsia="en-GB"/>
        </w:rPr>
        <w:t xml:space="preserve"> fai</w:t>
      </w:r>
      <w:r>
        <w:rPr>
          <w:lang w:val="fr-FR" w:eastAsia="en-GB"/>
        </w:rPr>
        <w:t>sai</w:t>
      </w:r>
      <w:r w:rsidRPr="0035343D">
        <w:rPr>
          <w:lang w:val="fr-FR" w:eastAsia="en-GB"/>
        </w:rPr>
        <w:t>t p</w:t>
      </w:r>
      <w:r>
        <w:rPr>
          <w:lang w:val="fr-FR" w:eastAsia="en-GB"/>
        </w:rPr>
        <w:t>as obstacle</w:t>
      </w:r>
      <w:r w:rsidRPr="00513DBE">
        <w:rPr>
          <w:rStyle w:val="Appelnotedebasdep"/>
        </w:rPr>
        <w:footnoteReference w:id="23"/>
      </w:r>
      <w:r w:rsidRPr="00513DBE">
        <w:rPr>
          <w:rStyle w:val="Appelnotedebasdep"/>
        </w:rPr>
        <w:t>.</w:t>
      </w:r>
      <w:r w:rsidRPr="0035343D">
        <w:rPr>
          <w:lang w:val="fr-FR" w:eastAsia="en-GB"/>
        </w:rPr>
        <w:t xml:space="preserve"> </w:t>
      </w:r>
    </w:p>
    <w:p w14:paraId="27E4A8AE" w14:textId="7DE11C30" w:rsidR="00DF04F7" w:rsidRPr="0035343D" w:rsidRDefault="00DF04F7" w:rsidP="00513DBE">
      <w:pPr>
        <w:pStyle w:val="SingleTxtG"/>
        <w:rPr>
          <w:lang w:val="fr-FR" w:eastAsia="en-GB"/>
        </w:rPr>
      </w:pPr>
      <w:r w:rsidRPr="0035343D">
        <w:rPr>
          <w:lang w:val="fr-FR" w:eastAsia="en-GB"/>
        </w:rPr>
        <w:t>5.5</w:t>
      </w:r>
      <w:r w:rsidRPr="0035343D">
        <w:rPr>
          <w:lang w:val="fr-FR" w:eastAsia="en-GB"/>
        </w:rPr>
        <w:tab/>
        <w:t>L</w:t>
      </w:r>
      <w:r>
        <w:rPr>
          <w:lang w:val="fr-FR" w:eastAsia="en-GB"/>
        </w:rPr>
        <w:t>’</w:t>
      </w:r>
      <w:r w:rsidRPr="0035343D">
        <w:rPr>
          <w:lang w:val="fr-FR" w:eastAsia="en-GB"/>
        </w:rPr>
        <w:t xml:space="preserve">auteur </w:t>
      </w:r>
      <w:r>
        <w:rPr>
          <w:lang w:val="fr-FR" w:eastAsia="en-GB"/>
        </w:rPr>
        <w:t>soutient</w:t>
      </w:r>
      <w:r w:rsidRPr="0035343D">
        <w:rPr>
          <w:lang w:val="fr-FR" w:eastAsia="en-GB"/>
        </w:rPr>
        <w:t xml:space="preserve"> qu</w:t>
      </w:r>
      <w:r>
        <w:rPr>
          <w:lang w:val="fr-FR" w:eastAsia="en-GB"/>
        </w:rPr>
        <w:t>’</w:t>
      </w:r>
      <w:r w:rsidRPr="0035343D">
        <w:rPr>
          <w:lang w:val="fr-FR" w:eastAsia="en-GB"/>
        </w:rPr>
        <w:t>en l</w:t>
      </w:r>
      <w:r>
        <w:rPr>
          <w:lang w:val="fr-FR" w:eastAsia="en-GB"/>
        </w:rPr>
        <w:t>’</w:t>
      </w:r>
      <w:r w:rsidRPr="0035343D">
        <w:rPr>
          <w:lang w:val="fr-FR" w:eastAsia="en-GB"/>
        </w:rPr>
        <w:t>espèce, son non-repositionnement a eu pour conséquence de minorer le montant de sa pension de retraite</w:t>
      </w:r>
      <w:r>
        <w:rPr>
          <w:lang w:val="fr-FR" w:eastAsia="en-GB"/>
        </w:rPr>
        <w:t>,</w:t>
      </w:r>
      <w:r w:rsidRPr="0035343D">
        <w:rPr>
          <w:lang w:val="fr-FR" w:eastAsia="en-GB"/>
        </w:rPr>
        <w:t xml:space="preserve"> dès lors que le calcul avait pour base des salaires minorés en raison de la discrimination reconnue ne lui ayant pas permis d</w:t>
      </w:r>
      <w:r>
        <w:rPr>
          <w:lang w:val="fr-FR" w:eastAsia="en-GB"/>
        </w:rPr>
        <w:t>’</w:t>
      </w:r>
      <w:r w:rsidRPr="0035343D">
        <w:rPr>
          <w:lang w:val="fr-FR" w:eastAsia="en-GB"/>
        </w:rPr>
        <w:t>atteindre les coefficients auxquels il pouvait légiti</w:t>
      </w:r>
      <w:r>
        <w:rPr>
          <w:lang w:val="fr-FR" w:eastAsia="en-GB"/>
        </w:rPr>
        <w:t>me</w:t>
      </w:r>
      <w:r w:rsidRPr="0035343D">
        <w:rPr>
          <w:lang w:val="fr-FR" w:eastAsia="en-GB"/>
        </w:rPr>
        <w:t>ment prétendre</w:t>
      </w:r>
      <w:r>
        <w:rPr>
          <w:lang w:val="fr-FR" w:eastAsia="en-GB"/>
        </w:rPr>
        <w:t>,</w:t>
      </w:r>
      <w:r w:rsidRPr="0035343D">
        <w:rPr>
          <w:lang w:val="fr-FR" w:eastAsia="en-GB"/>
        </w:rPr>
        <w:t xml:space="preserve"> ainsi que l</w:t>
      </w:r>
      <w:r>
        <w:rPr>
          <w:lang w:val="fr-FR" w:eastAsia="en-GB"/>
        </w:rPr>
        <w:t>’</w:t>
      </w:r>
      <w:r w:rsidRPr="0035343D">
        <w:rPr>
          <w:lang w:val="fr-FR" w:eastAsia="en-GB"/>
        </w:rPr>
        <w:t>a jugé la cour d</w:t>
      </w:r>
      <w:r>
        <w:rPr>
          <w:lang w:val="fr-FR" w:eastAsia="en-GB"/>
        </w:rPr>
        <w:t>’</w:t>
      </w:r>
      <w:r w:rsidRPr="0035343D">
        <w:rPr>
          <w:lang w:val="fr-FR" w:eastAsia="en-GB"/>
        </w:rPr>
        <w:t xml:space="preserve">appel de Versailles. Cette discrimination a également </w:t>
      </w:r>
      <w:r>
        <w:rPr>
          <w:lang w:val="fr-FR" w:eastAsia="en-GB"/>
        </w:rPr>
        <w:t>eu un effet sur</w:t>
      </w:r>
      <w:r w:rsidRPr="0035343D">
        <w:rPr>
          <w:lang w:val="fr-FR" w:eastAsia="en-GB"/>
        </w:rPr>
        <w:t xml:space="preserve"> les primes de performance et l</w:t>
      </w:r>
      <w:r>
        <w:rPr>
          <w:lang w:val="fr-FR" w:eastAsia="en-GB"/>
        </w:rPr>
        <w:t>’</w:t>
      </w:r>
      <w:r w:rsidRPr="0035343D">
        <w:rPr>
          <w:lang w:val="fr-FR" w:eastAsia="en-GB"/>
        </w:rPr>
        <w:t>intéressement</w:t>
      </w:r>
      <w:r>
        <w:rPr>
          <w:lang w:val="fr-FR" w:eastAsia="en-GB"/>
        </w:rPr>
        <w:t>,</w:t>
      </w:r>
      <w:r w:rsidRPr="0035343D">
        <w:rPr>
          <w:lang w:val="fr-FR" w:eastAsia="en-GB"/>
        </w:rPr>
        <w:t xml:space="preserve"> dans la mesure où </w:t>
      </w:r>
      <w:r>
        <w:rPr>
          <w:lang w:val="fr-FR" w:eastAsia="en-GB"/>
        </w:rPr>
        <w:t>ces derniers</w:t>
      </w:r>
      <w:r w:rsidRPr="0035343D">
        <w:rPr>
          <w:lang w:val="fr-FR" w:eastAsia="en-GB"/>
        </w:rPr>
        <w:t xml:space="preserve"> avai</w:t>
      </w:r>
      <w:r>
        <w:rPr>
          <w:lang w:val="fr-FR" w:eastAsia="en-GB"/>
        </w:rPr>
        <w:t>en</w:t>
      </w:r>
      <w:r w:rsidRPr="0035343D">
        <w:rPr>
          <w:lang w:val="fr-FR" w:eastAsia="en-GB"/>
        </w:rPr>
        <w:t xml:space="preserve">t pour base un salaire injustement </w:t>
      </w:r>
      <w:r w:rsidRPr="0035343D">
        <w:rPr>
          <w:lang w:val="fr-FR" w:eastAsia="en-GB"/>
        </w:rPr>
        <w:lastRenderedPageBreak/>
        <w:t>minoré. En conséquence</w:t>
      </w:r>
      <w:r>
        <w:rPr>
          <w:lang w:val="fr-FR" w:eastAsia="en-GB"/>
        </w:rPr>
        <w:t>,</w:t>
      </w:r>
      <w:r w:rsidRPr="0035343D">
        <w:rPr>
          <w:lang w:val="fr-FR" w:eastAsia="en-GB"/>
        </w:rPr>
        <w:t xml:space="preserve"> l</w:t>
      </w:r>
      <w:r>
        <w:rPr>
          <w:lang w:val="fr-FR" w:eastAsia="en-GB"/>
        </w:rPr>
        <w:t>’</w:t>
      </w:r>
      <w:r w:rsidRPr="0035343D">
        <w:rPr>
          <w:lang w:val="fr-FR" w:eastAsia="en-GB"/>
        </w:rPr>
        <w:t>auteur réitère que l</w:t>
      </w:r>
      <w:r>
        <w:rPr>
          <w:lang w:val="fr-FR" w:eastAsia="en-GB"/>
        </w:rPr>
        <w:t>’</w:t>
      </w:r>
      <w:r w:rsidRPr="0035343D">
        <w:rPr>
          <w:lang w:val="fr-FR" w:eastAsia="en-GB"/>
        </w:rPr>
        <w:t>État partie a violé les droits qu</w:t>
      </w:r>
      <w:r>
        <w:rPr>
          <w:lang w:val="fr-FR" w:eastAsia="en-GB"/>
        </w:rPr>
        <w:t>’</w:t>
      </w:r>
      <w:r w:rsidRPr="0035343D">
        <w:rPr>
          <w:lang w:val="fr-FR" w:eastAsia="en-GB"/>
        </w:rPr>
        <w:t>il tient des articles</w:t>
      </w:r>
      <w:r w:rsidR="00831396">
        <w:rPr>
          <w:lang w:val="fr-FR" w:eastAsia="en-GB"/>
        </w:rPr>
        <w:t> </w:t>
      </w:r>
      <w:r w:rsidRPr="0035343D">
        <w:rPr>
          <w:lang w:val="fr-FR" w:eastAsia="en-GB"/>
        </w:rPr>
        <w:t xml:space="preserve">2, 3, 4 et 5 de la Convention. </w:t>
      </w:r>
    </w:p>
    <w:p w14:paraId="0A27EEAF" w14:textId="5AA53FE9" w:rsidR="00DF04F7" w:rsidRPr="00EA4589" w:rsidRDefault="00DF04F7" w:rsidP="00513DBE">
      <w:pPr>
        <w:pStyle w:val="SingleTxtG"/>
        <w:rPr>
          <w:lang w:eastAsia="en-GB"/>
        </w:rPr>
      </w:pPr>
      <w:r w:rsidRPr="0035343D">
        <w:rPr>
          <w:lang w:val="fr-FR" w:eastAsia="en-GB"/>
        </w:rPr>
        <w:t>5.6</w:t>
      </w:r>
      <w:r w:rsidRPr="0035343D">
        <w:rPr>
          <w:lang w:val="fr-FR" w:eastAsia="en-GB"/>
        </w:rPr>
        <w:tab/>
        <w:t>En ce qui concerne la violation de l</w:t>
      </w:r>
      <w:r>
        <w:rPr>
          <w:lang w:val="fr-FR" w:eastAsia="en-GB"/>
        </w:rPr>
        <w:t>’</w:t>
      </w:r>
      <w:r w:rsidRPr="0035343D">
        <w:rPr>
          <w:lang w:val="fr-FR" w:eastAsia="en-GB"/>
        </w:rPr>
        <w:t>article</w:t>
      </w:r>
      <w:r w:rsidR="00B25962">
        <w:rPr>
          <w:lang w:val="fr-FR" w:eastAsia="en-GB"/>
        </w:rPr>
        <w:t> </w:t>
      </w:r>
      <w:r w:rsidRPr="0035343D">
        <w:rPr>
          <w:lang w:val="fr-FR" w:eastAsia="en-GB"/>
        </w:rPr>
        <w:t xml:space="preserve">6 </w:t>
      </w:r>
      <w:r>
        <w:rPr>
          <w:lang w:val="fr-FR" w:eastAsia="en-GB"/>
        </w:rPr>
        <w:t>de la Convention</w:t>
      </w:r>
      <w:r w:rsidRPr="0035343D">
        <w:rPr>
          <w:lang w:val="fr-FR" w:eastAsia="en-GB"/>
        </w:rPr>
        <w:t>, l</w:t>
      </w:r>
      <w:r>
        <w:rPr>
          <w:lang w:val="fr-FR" w:eastAsia="en-GB"/>
        </w:rPr>
        <w:t>’</w:t>
      </w:r>
      <w:r w:rsidRPr="0035343D">
        <w:rPr>
          <w:lang w:val="fr-FR" w:eastAsia="en-GB"/>
        </w:rPr>
        <w:t xml:space="preserve">auteur </w:t>
      </w:r>
      <w:r>
        <w:rPr>
          <w:lang w:val="fr-FR" w:eastAsia="en-GB"/>
        </w:rPr>
        <w:t>soutient</w:t>
      </w:r>
      <w:r w:rsidRPr="0035343D">
        <w:rPr>
          <w:lang w:val="fr-FR" w:eastAsia="en-GB"/>
        </w:rPr>
        <w:t xml:space="preserve"> qu</w:t>
      </w:r>
      <w:r>
        <w:rPr>
          <w:lang w:val="fr-FR" w:eastAsia="en-GB"/>
        </w:rPr>
        <w:t>’</w:t>
      </w:r>
      <w:r w:rsidRPr="0035343D">
        <w:rPr>
          <w:lang w:val="fr-FR" w:eastAsia="en-GB"/>
        </w:rPr>
        <w:t>en dépit du fait qu</w:t>
      </w:r>
      <w:r>
        <w:rPr>
          <w:lang w:val="fr-FR" w:eastAsia="en-GB"/>
        </w:rPr>
        <w:t>’</w:t>
      </w:r>
      <w:r w:rsidRPr="0035343D">
        <w:rPr>
          <w:lang w:val="fr-FR" w:eastAsia="en-GB"/>
        </w:rPr>
        <w:t xml:space="preserve">il a régulièrement soumis un pourvoi parfaitement motivé à la Cour de </w:t>
      </w:r>
      <w:r>
        <w:rPr>
          <w:lang w:val="fr-FR" w:eastAsia="en-GB"/>
        </w:rPr>
        <w:t>c</w:t>
      </w:r>
      <w:r w:rsidRPr="0035343D">
        <w:rPr>
          <w:lang w:val="fr-FR" w:eastAsia="en-GB"/>
        </w:rPr>
        <w:t xml:space="preserve">assation pour dénoncer </w:t>
      </w:r>
      <w:r>
        <w:rPr>
          <w:lang w:val="fr-FR" w:eastAsia="en-GB"/>
        </w:rPr>
        <w:t>le</w:t>
      </w:r>
      <w:r w:rsidRPr="0035343D">
        <w:rPr>
          <w:lang w:val="fr-FR" w:eastAsia="en-GB"/>
        </w:rPr>
        <w:t xml:space="preserve"> préjudice subi, son action a été rejetée sans examen au fond, le privant ainsi d</w:t>
      </w:r>
      <w:r>
        <w:rPr>
          <w:lang w:val="fr-FR" w:eastAsia="en-GB"/>
        </w:rPr>
        <w:t>’</w:t>
      </w:r>
      <w:r w:rsidRPr="0035343D">
        <w:rPr>
          <w:lang w:val="fr-FR" w:eastAsia="en-GB"/>
        </w:rPr>
        <w:t xml:space="preserve">une voie de recours effective. Ce </w:t>
      </w:r>
      <w:r>
        <w:rPr>
          <w:lang w:val="fr-FR" w:eastAsia="en-GB"/>
        </w:rPr>
        <w:t>manquement</w:t>
      </w:r>
      <w:r w:rsidRPr="0035343D">
        <w:rPr>
          <w:lang w:val="fr-FR" w:eastAsia="en-GB"/>
        </w:rPr>
        <w:t xml:space="preserve"> constitue selon lui un déni de justice et</w:t>
      </w:r>
      <w:r>
        <w:rPr>
          <w:lang w:val="fr-FR" w:eastAsia="en-GB"/>
        </w:rPr>
        <w:t>,</w:t>
      </w:r>
      <w:r w:rsidRPr="0035343D">
        <w:rPr>
          <w:lang w:val="fr-FR" w:eastAsia="en-GB"/>
        </w:rPr>
        <w:t xml:space="preserve"> partant</w:t>
      </w:r>
      <w:r>
        <w:rPr>
          <w:lang w:val="fr-FR" w:eastAsia="en-GB"/>
        </w:rPr>
        <w:t>,</w:t>
      </w:r>
      <w:r w:rsidRPr="0035343D">
        <w:rPr>
          <w:lang w:val="fr-FR" w:eastAsia="en-GB"/>
        </w:rPr>
        <w:t xml:space="preserve"> une violation de l</w:t>
      </w:r>
      <w:r>
        <w:rPr>
          <w:lang w:val="fr-FR" w:eastAsia="en-GB"/>
        </w:rPr>
        <w:t>’article</w:t>
      </w:r>
      <w:r w:rsidR="00B25962">
        <w:rPr>
          <w:lang w:val="fr-FR" w:eastAsia="en-GB"/>
        </w:rPr>
        <w:t> </w:t>
      </w:r>
      <w:r>
        <w:rPr>
          <w:lang w:val="fr-FR" w:eastAsia="en-GB"/>
        </w:rPr>
        <w:t>6 de la Convention</w:t>
      </w:r>
      <w:r w:rsidRPr="00513DBE">
        <w:rPr>
          <w:rStyle w:val="Appelnotedebasdep"/>
        </w:rPr>
        <w:footnoteReference w:id="24"/>
      </w:r>
      <w:r w:rsidRPr="00EA4589">
        <w:rPr>
          <w:lang w:eastAsia="en-GB"/>
        </w:rPr>
        <w:t>.</w:t>
      </w:r>
    </w:p>
    <w:p w14:paraId="38FC7063" w14:textId="77777777" w:rsidR="00DF04F7" w:rsidRPr="00D4432A" w:rsidRDefault="00DF04F7" w:rsidP="00513DBE">
      <w:pPr>
        <w:pStyle w:val="H23G"/>
        <w:rPr>
          <w:highlight w:val="cyan"/>
          <w:lang w:val="fr-FR"/>
        </w:rPr>
      </w:pPr>
      <w:r w:rsidRPr="00737691">
        <w:rPr>
          <w:lang w:val="fr-FR"/>
        </w:rPr>
        <w:tab/>
      </w:r>
      <w:r w:rsidRPr="00737691">
        <w:rPr>
          <w:lang w:val="fr-FR"/>
        </w:rPr>
        <w:tab/>
      </w:r>
      <w:r w:rsidRPr="00BA6933">
        <w:rPr>
          <w:lang w:val="fr-FR"/>
        </w:rPr>
        <w:t>Délibérations du Comité</w:t>
      </w:r>
    </w:p>
    <w:p w14:paraId="47706460" w14:textId="77777777" w:rsidR="00DF04F7" w:rsidRPr="00CA31D2" w:rsidRDefault="00DF04F7" w:rsidP="00DF04F7">
      <w:pPr>
        <w:keepNext/>
        <w:keepLines/>
        <w:tabs>
          <w:tab w:val="right" w:pos="851"/>
        </w:tabs>
        <w:spacing w:before="240" w:after="120" w:line="240" w:lineRule="exact"/>
        <w:ind w:left="1134" w:right="1134" w:hanging="1134"/>
        <w:rPr>
          <w:i/>
          <w:lang w:val="fr-FR"/>
        </w:rPr>
      </w:pPr>
      <w:r w:rsidRPr="00CA31D2">
        <w:rPr>
          <w:i/>
          <w:lang w:val="fr-FR"/>
        </w:rPr>
        <w:tab/>
      </w:r>
      <w:r w:rsidRPr="00CA31D2">
        <w:rPr>
          <w:i/>
          <w:lang w:val="fr-FR"/>
        </w:rPr>
        <w:tab/>
        <w:t>Examen de la recevabilité</w:t>
      </w:r>
    </w:p>
    <w:p w14:paraId="3DC78B9F" w14:textId="1091C562" w:rsidR="00DF04F7" w:rsidRPr="00CA31D2" w:rsidRDefault="00DF04F7" w:rsidP="00DF04F7">
      <w:pPr>
        <w:spacing w:after="120"/>
        <w:ind w:left="1134" w:right="1134"/>
        <w:jc w:val="both"/>
        <w:rPr>
          <w:lang w:val="fr-FR"/>
        </w:rPr>
      </w:pPr>
      <w:r w:rsidRPr="00CA31D2">
        <w:rPr>
          <w:lang w:val="fr-FR"/>
        </w:rPr>
        <w:t>6.1</w:t>
      </w:r>
      <w:r w:rsidRPr="00CA31D2">
        <w:rPr>
          <w:lang w:val="fr-FR"/>
        </w:rPr>
        <w:tab/>
        <w:t>Avant d</w:t>
      </w:r>
      <w:r>
        <w:rPr>
          <w:lang w:val="fr-FR"/>
        </w:rPr>
        <w:t>’</w:t>
      </w:r>
      <w:r w:rsidRPr="00CA31D2">
        <w:rPr>
          <w:lang w:val="fr-FR"/>
        </w:rPr>
        <w:t xml:space="preserve">examiner toute plainte soumise dans une communication, le Comité </w:t>
      </w:r>
      <w:r>
        <w:rPr>
          <w:lang w:val="fr-FR"/>
        </w:rPr>
        <w:t xml:space="preserve">doit </w:t>
      </w:r>
      <w:r w:rsidRPr="00CA31D2">
        <w:rPr>
          <w:lang w:val="fr-FR"/>
        </w:rPr>
        <w:t>détermine</w:t>
      </w:r>
      <w:r>
        <w:rPr>
          <w:lang w:val="fr-FR"/>
        </w:rPr>
        <w:t>r si celle-ci est recevable</w:t>
      </w:r>
      <w:r w:rsidRPr="00CA31D2">
        <w:rPr>
          <w:lang w:val="fr-FR"/>
        </w:rPr>
        <w:t xml:space="preserve"> </w:t>
      </w:r>
      <w:r w:rsidRPr="00422C87">
        <w:rPr>
          <w:lang w:val="fr-FR"/>
        </w:rPr>
        <w:t>au regard</w:t>
      </w:r>
      <w:r w:rsidRPr="00CA31D2">
        <w:rPr>
          <w:lang w:val="fr-FR"/>
        </w:rPr>
        <w:t xml:space="preserve"> de l</w:t>
      </w:r>
      <w:r>
        <w:rPr>
          <w:lang w:val="fr-FR"/>
        </w:rPr>
        <w:t>’</w:t>
      </w:r>
      <w:r w:rsidRPr="00CA31D2">
        <w:rPr>
          <w:lang w:val="fr-FR"/>
        </w:rPr>
        <w:t xml:space="preserve">article 14 </w:t>
      </w:r>
      <w:r>
        <w:rPr>
          <w:lang w:val="fr-FR"/>
        </w:rPr>
        <w:t xml:space="preserve">(par. 7 a)) </w:t>
      </w:r>
      <w:r w:rsidRPr="00CA31D2">
        <w:rPr>
          <w:lang w:val="fr-FR"/>
        </w:rPr>
        <w:t>de la Convention.</w:t>
      </w:r>
      <w:r>
        <w:rPr>
          <w:lang w:val="fr-FR"/>
        </w:rPr>
        <w:t xml:space="preserve"> </w:t>
      </w:r>
      <w:r w:rsidRPr="00E027E9">
        <w:rPr>
          <w:lang w:val="fr-FR"/>
        </w:rPr>
        <w:t>Le</w:t>
      </w:r>
      <w:r w:rsidR="0058105D">
        <w:rPr>
          <w:lang w:val="fr-FR"/>
        </w:rPr>
        <w:t> </w:t>
      </w:r>
      <w:r w:rsidRPr="00E027E9">
        <w:rPr>
          <w:lang w:val="fr-FR"/>
        </w:rPr>
        <w:t>Comité note que l</w:t>
      </w:r>
      <w:r>
        <w:rPr>
          <w:lang w:val="fr-FR"/>
        </w:rPr>
        <w:t>’</w:t>
      </w:r>
      <w:r w:rsidRPr="00E027E9">
        <w:rPr>
          <w:lang w:val="fr-FR"/>
        </w:rPr>
        <w:t>État partie n</w:t>
      </w:r>
      <w:r>
        <w:rPr>
          <w:lang w:val="fr-FR"/>
        </w:rPr>
        <w:t>’</w:t>
      </w:r>
      <w:r w:rsidRPr="00E027E9">
        <w:rPr>
          <w:lang w:val="fr-FR"/>
        </w:rPr>
        <w:t>a pas contesté la recevabilité de la communication.</w:t>
      </w:r>
    </w:p>
    <w:p w14:paraId="2B4416F3" w14:textId="7C748325" w:rsidR="00DF04F7" w:rsidRDefault="00DF04F7" w:rsidP="00513DBE">
      <w:pPr>
        <w:pStyle w:val="SingleTxtG"/>
      </w:pPr>
      <w:r>
        <w:t>6.2</w:t>
      </w:r>
      <w:r w:rsidRPr="00CA31D2">
        <w:tab/>
        <w:t>Le Comité prend note des allégations de l</w:t>
      </w:r>
      <w:r>
        <w:t>’</w:t>
      </w:r>
      <w:r w:rsidRPr="00CA31D2">
        <w:t>auteur selon lesquelles</w:t>
      </w:r>
      <w:r>
        <w:t> </w:t>
      </w:r>
      <w:r>
        <w:rPr>
          <w:lang w:val="fr-CA"/>
        </w:rPr>
        <w:t>: a)</w:t>
      </w:r>
      <w:r w:rsidR="0058105D">
        <w:t> </w:t>
      </w:r>
      <w:r w:rsidRPr="00CA31D2">
        <w:t>il a été victime de discrimination en raison de son appartenance ethnique alors qu</w:t>
      </w:r>
      <w:r>
        <w:t>’</w:t>
      </w:r>
      <w:r w:rsidRPr="00CA31D2">
        <w:t xml:space="preserve">il était employé à la société Renault, de 1976 </w:t>
      </w:r>
      <w:r>
        <w:rPr>
          <w:lang w:val="fr-CA"/>
        </w:rPr>
        <w:t>jusqu’</w:t>
      </w:r>
      <w:r w:rsidRPr="00CA31D2">
        <w:t>à son départ à la retraite</w:t>
      </w:r>
      <w:r>
        <w:rPr>
          <w:lang w:val="fr-CA"/>
        </w:rPr>
        <w:t>,</w:t>
      </w:r>
      <w:r w:rsidRPr="00CA31D2">
        <w:t xml:space="preserve"> en 2003 ; </w:t>
      </w:r>
      <w:r>
        <w:rPr>
          <w:lang w:val="fr-CA"/>
        </w:rPr>
        <w:t>b)</w:t>
      </w:r>
      <w:r w:rsidR="0058105D">
        <w:t> </w:t>
      </w:r>
      <w:r w:rsidRPr="00CA31D2">
        <w:t>ladite société a entretenu des pratiques discriminatoires à l</w:t>
      </w:r>
      <w:r>
        <w:t>’</w:t>
      </w:r>
      <w:r w:rsidRPr="00CA31D2">
        <w:t>égard de certaines catégories de salariés</w:t>
      </w:r>
      <w:r>
        <w:t xml:space="preserve"> qui n’ont pas eu de progression de carrière équitable</w:t>
      </w:r>
      <w:r w:rsidRPr="00CA31D2">
        <w:t xml:space="preserve">, en raison de leur origine </w:t>
      </w:r>
      <w:r>
        <w:rPr>
          <w:lang w:val="fr-CA"/>
        </w:rPr>
        <w:t>ethnique ;</w:t>
      </w:r>
      <w:r>
        <w:t xml:space="preserve"> et </w:t>
      </w:r>
      <w:r>
        <w:rPr>
          <w:lang w:val="fr-CA"/>
        </w:rPr>
        <w:t>c)</w:t>
      </w:r>
      <w:r w:rsidR="0058105D">
        <w:t> </w:t>
      </w:r>
      <w:r>
        <w:t>cette discrimination a été reconnue par les juridictions nationales</w:t>
      </w:r>
      <w:r>
        <w:rPr>
          <w:lang w:val="fr-CA"/>
        </w:rPr>
        <w:t>, notamment dans l’arrêt du 2 avril</w:t>
      </w:r>
      <w:r w:rsidR="0058105D">
        <w:rPr>
          <w:lang w:val="fr-CA"/>
        </w:rPr>
        <w:t xml:space="preserve"> </w:t>
      </w:r>
      <w:r>
        <w:rPr>
          <w:lang w:val="fr-CA"/>
        </w:rPr>
        <w:t>2008 de la cour d’appel de Versailles</w:t>
      </w:r>
      <w:r w:rsidRPr="00CA31D2">
        <w:t>. Le Comité note également l</w:t>
      </w:r>
      <w:r>
        <w:t xml:space="preserve">es allégations </w:t>
      </w:r>
      <w:r w:rsidRPr="00CA31D2">
        <w:t>de l</w:t>
      </w:r>
      <w:r>
        <w:t>’</w:t>
      </w:r>
      <w:r w:rsidRPr="00CA31D2">
        <w:t>auteur selon l</w:t>
      </w:r>
      <w:r>
        <w:t>esquelles</w:t>
      </w:r>
      <w:r w:rsidRPr="00CA31D2">
        <w:t xml:space="preserve"> l</w:t>
      </w:r>
      <w:r>
        <w:t>’État</w:t>
      </w:r>
      <w:r w:rsidRPr="00CA31D2">
        <w:t xml:space="preserve"> partie a laissé pratiqu</w:t>
      </w:r>
      <w:r>
        <w:t>er</w:t>
      </w:r>
      <w:r w:rsidRPr="00CA31D2">
        <w:t xml:space="preserve"> de telles discriminations (article</w:t>
      </w:r>
      <w:r w:rsidR="0058105D">
        <w:t> </w:t>
      </w:r>
      <w:r w:rsidRPr="00CA31D2">
        <w:t>2</w:t>
      </w:r>
      <w:r>
        <w:rPr>
          <w:lang w:val="fr-CA"/>
        </w:rPr>
        <w:t xml:space="preserve"> de la Convention</w:t>
      </w:r>
      <w:r w:rsidRPr="00CA31D2">
        <w:t>)</w:t>
      </w:r>
      <w:r>
        <w:rPr>
          <w:lang w:val="fr-CA"/>
        </w:rPr>
        <w:t>,</w:t>
      </w:r>
      <w:r w:rsidRPr="00CA31D2">
        <w:t xml:space="preserve"> n</w:t>
      </w:r>
      <w:r>
        <w:t>’</w:t>
      </w:r>
      <w:r w:rsidRPr="00CA31D2">
        <w:t>a pas pris de mesures pour les freiner au sein de l</w:t>
      </w:r>
      <w:r>
        <w:t>’</w:t>
      </w:r>
      <w:r w:rsidRPr="00CA31D2">
        <w:t>entreprise (article</w:t>
      </w:r>
      <w:r w:rsidR="0058105D">
        <w:t> </w:t>
      </w:r>
      <w:r w:rsidRPr="00CA31D2">
        <w:t>3)</w:t>
      </w:r>
      <w:r>
        <w:rPr>
          <w:lang w:val="fr-CA"/>
        </w:rPr>
        <w:t>,</w:t>
      </w:r>
      <w:r w:rsidRPr="00CA31D2">
        <w:t xml:space="preserve"> a encouragé </w:t>
      </w:r>
      <w:r>
        <w:t>ces</w:t>
      </w:r>
      <w:r w:rsidRPr="00CA31D2">
        <w:t xml:space="preserve"> pratiques par son inaction (article</w:t>
      </w:r>
      <w:r w:rsidR="0058105D">
        <w:t> </w:t>
      </w:r>
      <w:r w:rsidRPr="00CA31D2">
        <w:t>4)</w:t>
      </w:r>
      <w:r>
        <w:rPr>
          <w:lang w:val="fr-CA"/>
        </w:rPr>
        <w:t>,</w:t>
      </w:r>
      <w:r w:rsidRPr="00CA31D2">
        <w:t xml:space="preserve"> et n</w:t>
      </w:r>
      <w:r>
        <w:t xml:space="preserve">e lui a </w:t>
      </w:r>
      <w:r w:rsidRPr="00CA31D2">
        <w:t>pas garanti l</w:t>
      </w:r>
      <w:r>
        <w:t>’</w:t>
      </w:r>
      <w:r w:rsidRPr="00CA31D2">
        <w:t xml:space="preserve">égalité de traitement nécessaire sans </w:t>
      </w:r>
      <w:r>
        <w:t xml:space="preserve">considération </w:t>
      </w:r>
      <w:r w:rsidRPr="00CA31D2">
        <w:t>de race, de couleur ou d</w:t>
      </w:r>
      <w:r>
        <w:t>’</w:t>
      </w:r>
      <w:r w:rsidRPr="00CA31D2">
        <w:t>origine nationale ou ethnique (article</w:t>
      </w:r>
      <w:r w:rsidR="0058105D">
        <w:t> </w:t>
      </w:r>
      <w:r w:rsidRPr="00CA31D2">
        <w:t xml:space="preserve">5). </w:t>
      </w:r>
    </w:p>
    <w:p w14:paraId="6E3126FD" w14:textId="32E1FD17" w:rsidR="00DF04F7" w:rsidRPr="00422C87" w:rsidRDefault="00DF04F7" w:rsidP="00513DBE">
      <w:pPr>
        <w:pStyle w:val="SingleTxtG"/>
        <w:rPr>
          <w:lang w:val="fr-CA" w:eastAsia="en-GB"/>
        </w:rPr>
      </w:pPr>
      <w:r>
        <w:t>6.3</w:t>
      </w:r>
      <w:r>
        <w:tab/>
      </w:r>
      <w:r>
        <w:rPr>
          <w:lang w:eastAsia="en-GB"/>
        </w:rPr>
        <w:t xml:space="preserve">Le Comité note </w:t>
      </w:r>
      <w:r>
        <w:rPr>
          <w:lang w:val="fr-CA" w:eastAsia="en-GB"/>
        </w:rPr>
        <w:t>que</w:t>
      </w:r>
      <w:r>
        <w:rPr>
          <w:lang w:eastAsia="en-GB"/>
        </w:rPr>
        <w:t xml:space="preserve"> l’État partie fait valoir que </w:t>
      </w:r>
      <w:r w:rsidRPr="0035343D">
        <w:t xml:space="preserve">son système juridique permet de protéger les salariés victimes de discrimination raciale par un aménagement des principes de non-discrimination dans son corpus juridique, notamment dans </w:t>
      </w:r>
      <w:r>
        <w:rPr>
          <w:lang w:val="fr-CA"/>
        </w:rPr>
        <w:t>le</w:t>
      </w:r>
      <w:r w:rsidRPr="0035343D">
        <w:t xml:space="preserve"> bloc de constitutionnalité, </w:t>
      </w:r>
      <w:r>
        <w:rPr>
          <w:lang w:val="fr-CA"/>
        </w:rPr>
        <w:t>le</w:t>
      </w:r>
      <w:r w:rsidRPr="0035343D">
        <w:t xml:space="preserve"> </w:t>
      </w:r>
      <w:r>
        <w:rPr>
          <w:lang w:val="fr-CA"/>
        </w:rPr>
        <w:t>C</w:t>
      </w:r>
      <w:r w:rsidRPr="0035343D">
        <w:t xml:space="preserve">ode du travail et </w:t>
      </w:r>
      <w:r>
        <w:rPr>
          <w:lang w:val="fr-CA"/>
        </w:rPr>
        <w:t>le</w:t>
      </w:r>
      <w:r w:rsidRPr="0035343D">
        <w:t xml:space="preserve"> </w:t>
      </w:r>
      <w:r>
        <w:rPr>
          <w:lang w:val="fr-CA"/>
        </w:rPr>
        <w:t>C</w:t>
      </w:r>
      <w:r w:rsidRPr="0035343D">
        <w:t>ode pénal.</w:t>
      </w:r>
      <w:r>
        <w:t xml:space="preserve"> Le Comité note également </w:t>
      </w:r>
      <w:r>
        <w:rPr>
          <w:lang w:val="fr-CA"/>
        </w:rPr>
        <w:t>que dans ses</w:t>
      </w:r>
      <w:r>
        <w:t xml:space="preserve"> observations</w:t>
      </w:r>
      <w:r>
        <w:rPr>
          <w:lang w:val="fr-CA"/>
        </w:rPr>
        <w:t>,</w:t>
      </w:r>
      <w:r>
        <w:t xml:space="preserve"> l’État partie admet que la discrimination raciale alléguée par l’auteur a été reconnue par les juridictions nationales. </w:t>
      </w:r>
      <w:r>
        <w:rPr>
          <w:lang w:val="fr-CA"/>
        </w:rPr>
        <w:t>Il</w:t>
      </w:r>
      <w:r>
        <w:t xml:space="preserve"> observe que </w:t>
      </w:r>
      <w:r w:rsidRPr="00CA31D2">
        <w:t>l</w:t>
      </w:r>
      <w:r>
        <w:t>’</w:t>
      </w:r>
      <w:r w:rsidRPr="00CA31D2">
        <w:t>auteur a eu la possibilité d</w:t>
      </w:r>
      <w:r>
        <w:t>’</w:t>
      </w:r>
      <w:r w:rsidRPr="00CA31D2">
        <w:t>introduire une action en justice pour faire valoir son droit à l</w:t>
      </w:r>
      <w:r>
        <w:t>’</w:t>
      </w:r>
      <w:r w:rsidRPr="00CA31D2">
        <w:t>égalité devant les tribunaux de l</w:t>
      </w:r>
      <w:r>
        <w:t>’État partie</w:t>
      </w:r>
      <w:r>
        <w:rPr>
          <w:lang w:val="fr-CA"/>
        </w:rPr>
        <w:t>,</w:t>
      </w:r>
      <w:r w:rsidRPr="00CA31D2">
        <w:t xml:space="preserve"> et qu</w:t>
      </w:r>
      <w:r>
        <w:t>’</w:t>
      </w:r>
      <w:r w:rsidRPr="00CA31D2">
        <w:t xml:space="preserve">en ce sens, la </w:t>
      </w:r>
      <w:r>
        <w:t>c</w:t>
      </w:r>
      <w:r w:rsidRPr="00CA31D2">
        <w:t>our d</w:t>
      </w:r>
      <w:r>
        <w:t>’</w:t>
      </w:r>
      <w:r w:rsidRPr="00CA31D2">
        <w:t>appel de Versailles a reconnu la discrimination à l</w:t>
      </w:r>
      <w:r>
        <w:t>’</w:t>
      </w:r>
      <w:r w:rsidRPr="00CA31D2">
        <w:t>égard de l</w:t>
      </w:r>
      <w:r>
        <w:t>’</w:t>
      </w:r>
      <w:r w:rsidRPr="00CA31D2">
        <w:t>auteur</w:t>
      </w:r>
      <w:r>
        <w:t>,</w:t>
      </w:r>
      <w:r w:rsidRPr="00CA31D2">
        <w:t xml:space="preserve"> </w:t>
      </w:r>
      <w:r>
        <w:rPr>
          <w:lang w:val="fr-CA"/>
        </w:rPr>
        <w:t xml:space="preserve">et </w:t>
      </w:r>
      <w:r w:rsidRPr="00CA31D2">
        <w:t>a condamné l</w:t>
      </w:r>
      <w:r>
        <w:t>a s</w:t>
      </w:r>
      <w:r w:rsidRPr="00CA31D2">
        <w:t xml:space="preserve">ociété Renault à </w:t>
      </w:r>
      <w:r>
        <w:t>des dommages-</w:t>
      </w:r>
      <w:r w:rsidRPr="00CA31D2">
        <w:t xml:space="preserve">intérêts </w:t>
      </w:r>
      <w:r>
        <w:t xml:space="preserve">et </w:t>
      </w:r>
      <w:r w:rsidRPr="00CA31D2">
        <w:t>aux dépens</w:t>
      </w:r>
      <w:r>
        <w:rPr>
          <w:lang w:val="fr-CA"/>
        </w:rPr>
        <w:t>,</w:t>
      </w:r>
      <w:r w:rsidRPr="00CA31D2">
        <w:t xml:space="preserve"> </w:t>
      </w:r>
      <w:r>
        <w:t xml:space="preserve">ainsi qu’au </w:t>
      </w:r>
      <w:r w:rsidRPr="00CA31D2">
        <w:t xml:space="preserve">repositionnement </w:t>
      </w:r>
      <w:r>
        <w:t xml:space="preserve">de l’auteur pour la période allant de </w:t>
      </w:r>
      <w:r w:rsidRPr="008F0061">
        <w:t>1984 à 2004</w:t>
      </w:r>
      <w:r w:rsidRPr="00CA31D2">
        <w:t>.</w:t>
      </w:r>
      <w:r w:rsidRPr="005E5DA0">
        <w:t xml:space="preserve"> </w:t>
      </w:r>
      <w:r>
        <w:t xml:space="preserve">Le Comité observe </w:t>
      </w:r>
      <w:r>
        <w:rPr>
          <w:lang w:val="fr-CA"/>
        </w:rPr>
        <w:t xml:space="preserve">également </w:t>
      </w:r>
      <w:r>
        <w:t xml:space="preserve">que, dans le cadre de la condamnation de la société Renault, les juridictions de l’État partie ont tenu compte dans leurs décisions du principe du renversement </w:t>
      </w:r>
      <w:r>
        <w:rPr>
          <w:lang w:val="fr-CA"/>
        </w:rPr>
        <w:t>de la charge</w:t>
      </w:r>
      <w:r>
        <w:t xml:space="preserve"> de la preuve en matière de discrimination raciale</w:t>
      </w:r>
      <w:r>
        <w:rPr>
          <w:lang w:val="fr-CA"/>
        </w:rPr>
        <w:t>,</w:t>
      </w:r>
      <w:r>
        <w:t xml:space="preserve"> conformément à l</w:t>
      </w:r>
      <w:r>
        <w:rPr>
          <w:lang w:eastAsia="en-GB"/>
        </w:rPr>
        <w:t>’</w:t>
      </w:r>
      <w:r w:rsidRPr="007D72D8">
        <w:rPr>
          <w:lang w:eastAsia="en-GB"/>
        </w:rPr>
        <w:t>article</w:t>
      </w:r>
      <w:r w:rsidR="000D32F3">
        <w:rPr>
          <w:lang w:eastAsia="en-GB"/>
        </w:rPr>
        <w:t> </w:t>
      </w:r>
      <w:r w:rsidRPr="000E5DEE">
        <w:t xml:space="preserve">L1134-1 </w:t>
      </w:r>
      <w:r>
        <w:t>(ancien article</w:t>
      </w:r>
      <w:r w:rsidR="000D32F3">
        <w:t> </w:t>
      </w:r>
      <w:r w:rsidRPr="007D72D8">
        <w:rPr>
          <w:lang w:eastAsia="en-GB"/>
        </w:rPr>
        <w:t>L</w:t>
      </w:r>
      <w:r>
        <w:rPr>
          <w:lang w:val="fr-CA" w:eastAsia="en-GB"/>
        </w:rPr>
        <w:t>1</w:t>
      </w:r>
      <w:r w:rsidRPr="007D72D8">
        <w:rPr>
          <w:lang w:eastAsia="en-GB"/>
        </w:rPr>
        <w:t>22-45</w:t>
      </w:r>
      <w:r>
        <w:rPr>
          <w:lang w:val="fr-CA" w:eastAsia="en-GB"/>
        </w:rPr>
        <w:t>)</w:t>
      </w:r>
      <w:r w:rsidRPr="007D72D8">
        <w:rPr>
          <w:lang w:eastAsia="en-GB"/>
        </w:rPr>
        <w:t xml:space="preserve"> du </w:t>
      </w:r>
      <w:r>
        <w:rPr>
          <w:lang w:val="fr-CA" w:eastAsia="en-GB"/>
        </w:rPr>
        <w:t>C</w:t>
      </w:r>
      <w:r w:rsidRPr="007D72D8">
        <w:rPr>
          <w:lang w:eastAsia="en-GB"/>
        </w:rPr>
        <w:t xml:space="preserve">ode du travail </w:t>
      </w:r>
      <w:r>
        <w:rPr>
          <w:lang w:eastAsia="en-GB"/>
        </w:rPr>
        <w:t xml:space="preserve">et à son </w:t>
      </w:r>
      <w:r>
        <w:rPr>
          <w:lang w:val="fr-CA" w:eastAsia="en-GB"/>
        </w:rPr>
        <w:t>avis</w:t>
      </w:r>
      <w:r>
        <w:rPr>
          <w:lang w:eastAsia="en-GB"/>
        </w:rPr>
        <w:t xml:space="preserve"> </w:t>
      </w:r>
      <w:r>
        <w:t xml:space="preserve">dans l’affaire </w:t>
      </w:r>
      <w:proofErr w:type="spellStart"/>
      <w:r w:rsidRPr="00422C87">
        <w:rPr>
          <w:i/>
          <w:iCs/>
          <w:lang w:val="x-none" w:eastAsia="en-GB"/>
        </w:rPr>
        <w:t>Gabaroum</w:t>
      </w:r>
      <w:proofErr w:type="spellEnd"/>
      <w:r w:rsidRPr="00422C87">
        <w:rPr>
          <w:i/>
          <w:iCs/>
          <w:lang w:val="x-none" w:eastAsia="en-GB"/>
        </w:rPr>
        <w:t xml:space="preserve"> c.</w:t>
      </w:r>
      <w:r w:rsidR="000D32F3">
        <w:rPr>
          <w:i/>
          <w:iCs/>
          <w:lang w:eastAsia="en-GB"/>
        </w:rPr>
        <w:t> </w:t>
      </w:r>
      <w:r w:rsidRPr="00422C87">
        <w:rPr>
          <w:i/>
          <w:iCs/>
          <w:lang w:val="x-none" w:eastAsia="en-GB"/>
        </w:rPr>
        <w:t>France</w:t>
      </w:r>
      <w:r>
        <w:rPr>
          <w:lang w:eastAsia="en-GB"/>
        </w:rPr>
        <w:t>. Le</w:t>
      </w:r>
      <w:r w:rsidR="000D32F3">
        <w:rPr>
          <w:lang w:eastAsia="en-GB"/>
        </w:rPr>
        <w:t> </w:t>
      </w:r>
      <w:r>
        <w:rPr>
          <w:lang w:eastAsia="en-GB"/>
        </w:rPr>
        <w:t xml:space="preserve">Comité observe </w:t>
      </w:r>
      <w:r>
        <w:rPr>
          <w:lang w:val="fr-CA" w:eastAsia="en-GB"/>
        </w:rPr>
        <w:t xml:space="preserve">en outre </w:t>
      </w:r>
      <w:r>
        <w:rPr>
          <w:lang w:eastAsia="en-GB"/>
        </w:rPr>
        <w:t xml:space="preserve">que dans son arrêt du 2avril 2008, la cour d’appel de Versailles a considéré que </w:t>
      </w:r>
      <w:r w:rsidRPr="008F0061">
        <w:rPr>
          <w:lang w:eastAsia="en-GB"/>
        </w:rPr>
        <w:t xml:space="preserve">la société Renault </w:t>
      </w:r>
      <w:r>
        <w:rPr>
          <w:lang w:eastAsia="en-GB"/>
        </w:rPr>
        <w:t>n’a</w:t>
      </w:r>
      <w:proofErr w:type="spellStart"/>
      <w:r>
        <w:rPr>
          <w:lang w:val="fr-CA" w:eastAsia="en-GB"/>
        </w:rPr>
        <w:t>vait</w:t>
      </w:r>
      <w:proofErr w:type="spellEnd"/>
      <w:r>
        <w:rPr>
          <w:lang w:eastAsia="en-GB"/>
        </w:rPr>
        <w:t xml:space="preserve"> pas apporté</w:t>
      </w:r>
      <w:r w:rsidRPr="008F0061">
        <w:rPr>
          <w:lang w:eastAsia="en-GB"/>
        </w:rPr>
        <w:t xml:space="preserve"> la preuve qui lui </w:t>
      </w:r>
      <w:proofErr w:type="spellStart"/>
      <w:r w:rsidRPr="008F0061">
        <w:rPr>
          <w:lang w:eastAsia="en-GB"/>
        </w:rPr>
        <w:t>incomb</w:t>
      </w:r>
      <w:proofErr w:type="spellEnd"/>
      <w:r>
        <w:rPr>
          <w:lang w:val="fr-CA" w:eastAsia="en-GB"/>
        </w:rPr>
        <w:t>ait</w:t>
      </w:r>
      <w:r w:rsidRPr="008F0061">
        <w:rPr>
          <w:lang w:eastAsia="en-GB"/>
        </w:rPr>
        <w:t xml:space="preserve"> que la différence de traitement entre </w:t>
      </w:r>
      <w:r>
        <w:rPr>
          <w:lang w:eastAsia="en-GB"/>
        </w:rPr>
        <w:t xml:space="preserve">l’auteur </w:t>
      </w:r>
      <w:r w:rsidRPr="008F0061">
        <w:rPr>
          <w:lang w:eastAsia="en-GB"/>
        </w:rPr>
        <w:t xml:space="preserve">et les salariés </w:t>
      </w:r>
      <w:r>
        <w:rPr>
          <w:lang w:val="fr-CA" w:eastAsia="en-GB"/>
        </w:rPr>
        <w:t>placés</w:t>
      </w:r>
      <w:r w:rsidRPr="008F0061">
        <w:rPr>
          <w:lang w:eastAsia="en-GB"/>
        </w:rPr>
        <w:t xml:space="preserve"> dans une situation comparable </w:t>
      </w:r>
      <w:r>
        <w:rPr>
          <w:lang w:val="fr-CA" w:eastAsia="en-GB"/>
        </w:rPr>
        <w:t>était</w:t>
      </w:r>
      <w:r w:rsidRPr="008F0061">
        <w:rPr>
          <w:lang w:eastAsia="en-GB"/>
        </w:rPr>
        <w:t xml:space="preserve"> </w:t>
      </w:r>
      <w:r>
        <w:rPr>
          <w:lang w:val="fr-CA" w:eastAsia="en-GB"/>
        </w:rPr>
        <w:t>« </w:t>
      </w:r>
      <w:r w:rsidRPr="008F0061">
        <w:rPr>
          <w:lang w:eastAsia="en-GB"/>
        </w:rPr>
        <w:t>justifiée par des éléments objectifs étrangers à toute</w:t>
      </w:r>
      <w:r>
        <w:rPr>
          <w:lang w:eastAsia="en-GB"/>
        </w:rPr>
        <w:t xml:space="preserve"> </w:t>
      </w:r>
      <w:r w:rsidRPr="008F0061">
        <w:rPr>
          <w:lang w:eastAsia="en-GB"/>
        </w:rPr>
        <w:t>discrimination fondée sur l</w:t>
      </w:r>
      <w:r>
        <w:rPr>
          <w:lang w:eastAsia="en-GB"/>
        </w:rPr>
        <w:t>’</w:t>
      </w:r>
      <w:r w:rsidRPr="008F0061">
        <w:rPr>
          <w:lang w:eastAsia="en-GB"/>
        </w:rPr>
        <w:t>appartenance ou la non-appartenance, vraie ou supposée, à une ethnie, u</w:t>
      </w:r>
      <w:r>
        <w:rPr>
          <w:lang w:eastAsia="en-GB"/>
        </w:rPr>
        <w:t>ne nation ou une race</w:t>
      </w:r>
      <w:r>
        <w:rPr>
          <w:lang w:val="fr-CA" w:eastAsia="en-GB"/>
        </w:rPr>
        <w:t> »</w:t>
      </w:r>
      <w:r>
        <w:rPr>
          <w:lang w:eastAsia="en-GB"/>
        </w:rPr>
        <w:t>, et qu’il</w:t>
      </w:r>
      <w:r w:rsidRPr="008F0061">
        <w:rPr>
          <w:lang w:eastAsia="en-GB"/>
        </w:rPr>
        <w:t xml:space="preserve"> y a</w:t>
      </w:r>
      <w:proofErr w:type="spellStart"/>
      <w:r>
        <w:rPr>
          <w:lang w:val="fr-CA" w:eastAsia="en-GB"/>
        </w:rPr>
        <w:t>vait</w:t>
      </w:r>
      <w:proofErr w:type="spellEnd"/>
      <w:r w:rsidRPr="008F0061">
        <w:rPr>
          <w:lang w:eastAsia="en-GB"/>
        </w:rPr>
        <w:t xml:space="preserve"> </w:t>
      </w:r>
      <w:r>
        <w:rPr>
          <w:lang w:val="fr-CA" w:eastAsia="en-GB"/>
        </w:rPr>
        <w:t>« </w:t>
      </w:r>
      <w:r w:rsidRPr="008F0061">
        <w:rPr>
          <w:lang w:eastAsia="en-GB"/>
        </w:rPr>
        <w:t>lieu de considérer celle-ci comme établie pour la période de 1984 à 2004</w:t>
      </w:r>
      <w:r>
        <w:rPr>
          <w:lang w:eastAsia="en-GB"/>
        </w:rPr>
        <w:t> »</w:t>
      </w:r>
      <w:r>
        <w:rPr>
          <w:lang w:val="fr-CA" w:eastAsia="en-GB"/>
        </w:rPr>
        <w:t>.</w:t>
      </w:r>
    </w:p>
    <w:p w14:paraId="6EB1B962" w14:textId="31BD3702" w:rsidR="00DF04F7" w:rsidRDefault="00DF04F7" w:rsidP="00513DBE">
      <w:pPr>
        <w:pStyle w:val="SingleTxtG"/>
        <w:rPr>
          <w:lang w:val="fr-FR"/>
        </w:rPr>
      </w:pPr>
      <w:r>
        <w:rPr>
          <w:lang w:val="fr-FR" w:eastAsia="en-GB"/>
        </w:rPr>
        <w:t>6.4</w:t>
      </w:r>
      <w:r>
        <w:rPr>
          <w:lang w:val="fr-FR" w:eastAsia="en-GB"/>
        </w:rPr>
        <w:tab/>
        <w:t xml:space="preserve">En l’espèce, le Comité estime qu’il ne ressort pas des soumissions de l’auteur d’éléments démontrant que l’État partie a laissé pratiquer la discrimination alléguée </w:t>
      </w:r>
      <w:r w:rsidRPr="007D72D8">
        <w:rPr>
          <w:lang w:val="fr-FR" w:eastAsia="en-GB"/>
        </w:rPr>
        <w:t>(article</w:t>
      </w:r>
      <w:r w:rsidR="000014DD">
        <w:t> </w:t>
      </w:r>
      <w:r w:rsidRPr="007D72D8">
        <w:rPr>
          <w:lang w:val="fr-FR" w:eastAsia="en-GB"/>
        </w:rPr>
        <w:t>2</w:t>
      </w:r>
      <w:r>
        <w:rPr>
          <w:lang w:val="fr-FR" w:eastAsia="en-GB"/>
        </w:rPr>
        <w:t xml:space="preserve"> de la Convention),</w:t>
      </w:r>
      <w:r w:rsidRPr="007D72D8">
        <w:rPr>
          <w:lang w:val="fr-FR" w:eastAsia="en-GB"/>
        </w:rPr>
        <w:t xml:space="preserve"> n</w:t>
      </w:r>
      <w:r>
        <w:rPr>
          <w:lang w:val="fr-FR" w:eastAsia="en-GB"/>
        </w:rPr>
        <w:t>’</w:t>
      </w:r>
      <w:r w:rsidRPr="007D72D8">
        <w:rPr>
          <w:lang w:val="fr-FR" w:eastAsia="en-GB"/>
        </w:rPr>
        <w:t xml:space="preserve">a pas </w:t>
      </w:r>
      <w:r>
        <w:rPr>
          <w:lang w:val="fr-FR" w:eastAsia="en-GB"/>
        </w:rPr>
        <w:t>agi pour y mettre fin (</w:t>
      </w:r>
      <w:r w:rsidRPr="007D72D8">
        <w:rPr>
          <w:lang w:val="fr-FR" w:eastAsia="en-GB"/>
        </w:rPr>
        <w:t>article</w:t>
      </w:r>
      <w:r w:rsidR="000014DD">
        <w:t> </w:t>
      </w:r>
      <w:r w:rsidRPr="007D72D8">
        <w:rPr>
          <w:lang w:val="fr-FR" w:eastAsia="en-GB"/>
        </w:rPr>
        <w:t>3)</w:t>
      </w:r>
      <w:r>
        <w:rPr>
          <w:lang w:val="fr-FR" w:eastAsia="en-GB"/>
        </w:rPr>
        <w:t xml:space="preserve">, l’a encouragée par son inaction </w:t>
      </w:r>
      <w:r w:rsidRPr="007D72D8">
        <w:rPr>
          <w:lang w:val="fr-FR" w:eastAsia="en-GB"/>
        </w:rPr>
        <w:t>(article</w:t>
      </w:r>
      <w:r w:rsidR="000014DD">
        <w:t> </w:t>
      </w:r>
      <w:r w:rsidRPr="007D72D8">
        <w:rPr>
          <w:lang w:val="fr-FR" w:eastAsia="en-GB"/>
        </w:rPr>
        <w:t xml:space="preserve">4) </w:t>
      </w:r>
      <w:r>
        <w:rPr>
          <w:lang w:val="fr-FR" w:eastAsia="en-GB"/>
        </w:rPr>
        <w:t>ou n’a pas garanti</w:t>
      </w:r>
      <w:r w:rsidRPr="007D72D8">
        <w:rPr>
          <w:lang w:val="fr-FR" w:eastAsia="en-GB"/>
        </w:rPr>
        <w:t xml:space="preserve"> </w:t>
      </w:r>
      <w:r>
        <w:rPr>
          <w:lang w:val="fr-FR" w:eastAsia="en-GB"/>
        </w:rPr>
        <w:t>à l’auteur l’égalité de traitement (</w:t>
      </w:r>
      <w:r w:rsidRPr="007D72D8">
        <w:rPr>
          <w:lang w:val="fr-FR" w:eastAsia="en-GB"/>
        </w:rPr>
        <w:t>article</w:t>
      </w:r>
      <w:r w:rsidR="000014DD">
        <w:t> </w:t>
      </w:r>
      <w:r w:rsidRPr="007D72D8">
        <w:rPr>
          <w:lang w:val="fr-FR" w:eastAsia="en-GB"/>
        </w:rPr>
        <w:t>5</w:t>
      </w:r>
      <w:r>
        <w:rPr>
          <w:lang w:val="fr-FR" w:eastAsia="en-GB"/>
        </w:rPr>
        <w:t>)</w:t>
      </w:r>
      <w:r w:rsidRPr="007D72D8">
        <w:rPr>
          <w:lang w:val="fr-FR" w:eastAsia="en-GB"/>
        </w:rPr>
        <w:t>.</w:t>
      </w:r>
      <w:r>
        <w:rPr>
          <w:lang w:val="fr-FR" w:eastAsia="en-GB"/>
        </w:rPr>
        <w:t xml:space="preserve"> Le Comité estime que les éléments soumis à l’appui des allégations de l’auteur ne lui permettent pas de conclure à la recevabilité de la communication quant aux articles</w:t>
      </w:r>
      <w:r w:rsidR="000014DD">
        <w:t> </w:t>
      </w:r>
      <w:r>
        <w:rPr>
          <w:lang w:val="fr-FR" w:eastAsia="en-GB"/>
        </w:rPr>
        <w:t xml:space="preserve">2, 3, 4 et 5 de la Convention. </w:t>
      </w:r>
    </w:p>
    <w:p w14:paraId="3321E002" w14:textId="42F41B7F" w:rsidR="00DF04F7" w:rsidRDefault="00DF04F7" w:rsidP="00513DBE">
      <w:pPr>
        <w:pStyle w:val="SingleTxtG"/>
        <w:rPr>
          <w:lang w:val="fr-FR"/>
        </w:rPr>
      </w:pPr>
      <w:r w:rsidRPr="00CA31D2">
        <w:rPr>
          <w:lang w:val="fr-FR"/>
        </w:rPr>
        <w:lastRenderedPageBreak/>
        <w:t>6.</w:t>
      </w:r>
      <w:r>
        <w:rPr>
          <w:lang w:val="fr-FR"/>
        </w:rPr>
        <w:t>5</w:t>
      </w:r>
      <w:r w:rsidRPr="00CA31D2">
        <w:rPr>
          <w:lang w:val="fr-FR"/>
        </w:rPr>
        <w:tab/>
      </w:r>
      <w:r>
        <w:rPr>
          <w:lang w:val="fr-FR"/>
        </w:rPr>
        <w:t>Le Comité</w:t>
      </w:r>
      <w:r w:rsidRPr="00E027E9">
        <w:rPr>
          <w:lang w:val="fr-FR"/>
        </w:rPr>
        <w:t>, après avoir vérifié que toutes les conditions de recevabilité contenues à l</w:t>
      </w:r>
      <w:r>
        <w:rPr>
          <w:lang w:val="fr-FR"/>
        </w:rPr>
        <w:t>’</w:t>
      </w:r>
      <w:r w:rsidRPr="00E027E9">
        <w:rPr>
          <w:lang w:val="fr-FR"/>
        </w:rPr>
        <w:t>article</w:t>
      </w:r>
      <w:r w:rsidR="000014DD">
        <w:rPr>
          <w:lang w:val="fr-FR"/>
        </w:rPr>
        <w:t> </w:t>
      </w:r>
      <w:r w:rsidRPr="00E027E9">
        <w:rPr>
          <w:lang w:val="fr-FR"/>
        </w:rPr>
        <w:t xml:space="preserve">14 de la Convention </w:t>
      </w:r>
      <w:r>
        <w:rPr>
          <w:lang w:val="fr-FR"/>
        </w:rPr>
        <w:t>étaient</w:t>
      </w:r>
      <w:r w:rsidRPr="00E027E9">
        <w:rPr>
          <w:lang w:val="fr-FR"/>
        </w:rPr>
        <w:t xml:space="preserve"> remplies</w:t>
      </w:r>
      <w:r>
        <w:rPr>
          <w:lang w:val="fr-FR"/>
        </w:rPr>
        <w:t xml:space="preserve">, </w:t>
      </w:r>
      <w:r w:rsidRPr="00E027E9">
        <w:rPr>
          <w:lang w:val="fr-FR"/>
        </w:rPr>
        <w:t>décide que la</w:t>
      </w:r>
      <w:r>
        <w:rPr>
          <w:lang w:val="fr-FR"/>
        </w:rPr>
        <w:t xml:space="preserve"> communication est recevable quant aux griefs énoncés au titre de l’article 6 de la Convention, et</w:t>
      </w:r>
      <w:r w:rsidRPr="00E027E9">
        <w:rPr>
          <w:lang w:val="fr-FR"/>
        </w:rPr>
        <w:t xml:space="preserve"> procède à son examen au fond.</w:t>
      </w:r>
    </w:p>
    <w:p w14:paraId="359B8CDC" w14:textId="77777777" w:rsidR="00DF04F7" w:rsidRPr="00422C87" w:rsidRDefault="00DF04F7" w:rsidP="00DF04F7">
      <w:pPr>
        <w:keepNext/>
        <w:keepLines/>
        <w:tabs>
          <w:tab w:val="right" w:pos="851"/>
        </w:tabs>
        <w:spacing w:before="240" w:after="120" w:line="240" w:lineRule="exact"/>
        <w:ind w:left="1134" w:right="1134" w:hanging="1134"/>
        <w:rPr>
          <w:lang w:val="fr-FR"/>
        </w:rPr>
      </w:pPr>
      <w:r w:rsidRPr="00422C87">
        <w:rPr>
          <w:i/>
          <w:lang w:val="fr-FR"/>
        </w:rPr>
        <w:tab/>
      </w:r>
      <w:r w:rsidRPr="00422C87">
        <w:rPr>
          <w:i/>
          <w:lang w:val="fr-FR"/>
        </w:rPr>
        <w:tab/>
        <w:t>Examen au fond</w:t>
      </w:r>
    </w:p>
    <w:p w14:paraId="2B77AF7C" w14:textId="77777777" w:rsidR="00DF04F7" w:rsidRDefault="00DF04F7" w:rsidP="00A657D8">
      <w:pPr>
        <w:pStyle w:val="SingleTxtG"/>
        <w:rPr>
          <w:lang w:val="fr-FR"/>
        </w:rPr>
      </w:pPr>
      <w:r w:rsidRPr="00CA31D2">
        <w:rPr>
          <w:lang w:val="fr-FR"/>
        </w:rPr>
        <w:t>7.1</w:t>
      </w:r>
      <w:r w:rsidRPr="00CA31D2">
        <w:rPr>
          <w:lang w:val="fr-FR"/>
        </w:rPr>
        <w:tab/>
        <w:t xml:space="preserve">Conformément </w:t>
      </w:r>
      <w:r>
        <w:rPr>
          <w:lang w:val="fr-FR"/>
        </w:rPr>
        <w:t>à</w:t>
      </w:r>
      <w:r w:rsidRPr="00CA31D2">
        <w:rPr>
          <w:lang w:val="fr-FR"/>
        </w:rPr>
        <w:t xml:space="preserve"> l</w:t>
      </w:r>
      <w:r>
        <w:rPr>
          <w:lang w:val="fr-FR"/>
        </w:rPr>
        <w:t>’</w:t>
      </w:r>
      <w:r w:rsidRPr="00CA31D2">
        <w:rPr>
          <w:lang w:val="fr-FR"/>
        </w:rPr>
        <w:t>article 14</w:t>
      </w:r>
      <w:r>
        <w:rPr>
          <w:lang w:val="fr-FR"/>
        </w:rPr>
        <w:t xml:space="preserve"> (par. 7 a))</w:t>
      </w:r>
      <w:r w:rsidRPr="00CA31D2">
        <w:rPr>
          <w:lang w:val="fr-FR"/>
        </w:rPr>
        <w:t xml:space="preserve"> de la Convention, le Comité a examiné la communication en tenant compte de toutes les informations qui lui ont été soumises par </w:t>
      </w:r>
      <w:r>
        <w:rPr>
          <w:lang w:val="fr-FR"/>
        </w:rPr>
        <w:t>les parties</w:t>
      </w:r>
      <w:r w:rsidRPr="00CA31D2">
        <w:rPr>
          <w:lang w:val="fr-FR"/>
        </w:rPr>
        <w:t>.</w:t>
      </w:r>
    </w:p>
    <w:p w14:paraId="2994008A" w14:textId="7CE0E82F" w:rsidR="00DF04F7" w:rsidRPr="00F741F0" w:rsidRDefault="00DF04F7" w:rsidP="00A657D8">
      <w:pPr>
        <w:pStyle w:val="SingleTxtG"/>
        <w:rPr>
          <w:lang w:val="fr-FR"/>
        </w:rPr>
      </w:pPr>
      <w:r>
        <w:rPr>
          <w:lang w:val="fr-FR"/>
        </w:rPr>
        <w:t>7.2</w:t>
      </w:r>
      <w:r>
        <w:rPr>
          <w:lang w:val="fr-FR"/>
        </w:rPr>
        <w:tab/>
      </w:r>
      <w:r w:rsidRPr="00CA31D2">
        <w:rPr>
          <w:lang w:val="fr-FR"/>
        </w:rPr>
        <w:t>En ce qui concerne le grief fondé sur la violation de l</w:t>
      </w:r>
      <w:r>
        <w:rPr>
          <w:lang w:val="fr-FR"/>
        </w:rPr>
        <w:t>’</w:t>
      </w:r>
      <w:r w:rsidRPr="00CA31D2">
        <w:rPr>
          <w:lang w:val="fr-FR"/>
        </w:rPr>
        <w:t>article</w:t>
      </w:r>
      <w:r w:rsidR="000014DD">
        <w:rPr>
          <w:lang w:val="fr-FR"/>
        </w:rPr>
        <w:t> </w:t>
      </w:r>
      <w:r w:rsidRPr="00CA31D2">
        <w:rPr>
          <w:lang w:val="fr-FR"/>
        </w:rPr>
        <w:t xml:space="preserve">6 de la Convention, </w:t>
      </w:r>
      <w:r>
        <w:rPr>
          <w:lang w:val="fr-FR"/>
        </w:rPr>
        <w:t>l</w:t>
      </w:r>
      <w:r w:rsidRPr="00CA31D2">
        <w:rPr>
          <w:lang w:val="fr-FR"/>
        </w:rPr>
        <w:t>e Comité note l</w:t>
      </w:r>
      <w:r>
        <w:rPr>
          <w:lang w:val="fr-FR"/>
        </w:rPr>
        <w:t>’</w:t>
      </w:r>
      <w:r w:rsidRPr="00CA31D2">
        <w:rPr>
          <w:lang w:val="fr-FR"/>
        </w:rPr>
        <w:t>allégation de l</w:t>
      </w:r>
      <w:r>
        <w:rPr>
          <w:lang w:val="fr-FR"/>
        </w:rPr>
        <w:t>’</w:t>
      </w:r>
      <w:r w:rsidRPr="00CA31D2">
        <w:rPr>
          <w:lang w:val="fr-FR"/>
        </w:rPr>
        <w:t>auteur selon laquelle l</w:t>
      </w:r>
      <w:r>
        <w:rPr>
          <w:lang w:val="fr-FR"/>
        </w:rPr>
        <w:t>’</w:t>
      </w:r>
      <w:r w:rsidRPr="00CA31D2">
        <w:rPr>
          <w:lang w:val="fr-FR"/>
        </w:rPr>
        <w:t xml:space="preserve">arrêt de la </w:t>
      </w:r>
      <w:r>
        <w:rPr>
          <w:lang w:val="fr-FR"/>
        </w:rPr>
        <w:t>c</w:t>
      </w:r>
      <w:r w:rsidRPr="00CA31D2">
        <w:rPr>
          <w:lang w:val="fr-FR"/>
        </w:rPr>
        <w:t>our d</w:t>
      </w:r>
      <w:r>
        <w:rPr>
          <w:lang w:val="fr-FR"/>
        </w:rPr>
        <w:t>’</w:t>
      </w:r>
      <w:r w:rsidRPr="00CA31D2">
        <w:rPr>
          <w:lang w:val="fr-FR"/>
        </w:rPr>
        <w:t xml:space="preserve">appel de Versailles </w:t>
      </w:r>
      <w:r>
        <w:rPr>
          <w:lang w:val="fr-FR"/>
        </w:rPr>
        <w:t>du 2 avril</w:t>
      </w:r>
      <w:r w:rsidR="000014DD">
        <w:rPr>
          <w:lang w:val="fr-FR"/>
        </w:rPr>
        <w:t xml:space="preserve"> </w:t>
      </w:r>
      <w:r>
        <w:rPr>
          <w:lang w:val="fr-FR"/>
        </w:rPr>
        <w:t xml:space="preserve">2008 </w:t>
      </w:r>
      <w:r w:rsidRPr="00CA31D2">
        <w:rPr>
          <w:lang w:val="fr-FR"/>
        </w:rPr>
        <w:t>n</w:t>
      </w:r>
      <w:r>
        <w:rPr>
          <w:lang w:val="fr-FR"/>
        </w:rPr>
        <w:t>’</w:t>
      </w:r>
      <w:r w:rsidRPr="00CA31D2">
        <w:rPr>
          <w:lang w:val="fr-FR"/>
        </w:rPr>
        <w:t>a été exécuté que partiellement, vu que son repositionnement n</w:t>
      </w:r>
      <w:r>
        <w:rPr>
          <w:lang w:val="fr-FR"/>
        </w:rPr>
        <w:t>’</w:t>
      </w:r>
      <w:r w:rsidRPr="00CA31D2">
        <w:rPr>
          <w:lang w:val="fr-FR"/>
        </w:rPr>
        <w:t xml:space="preserve">a pas été effectué. </w:t>
      </w:r>
      <w:r>
        <w:rPr>
          <w:lang w:val="fr-FR"/>
        </w:rPr>
        <w:t>Il</w:t>
      </w:r>
      <w:r w:rsidRPr="00CA31D2">
        <w:rPr>
          <w:lang w:val="fr-FR"/>
        </w:rPr>
        <w:t xml:space="preserve"> observe que l</w:t>
      </w:r>
      <w:r>
        <w:rPr>
          <w:lang w:val="fr-FR"/>
        </w:rPr>
        <w:t>’État</w:t>
      </w:r>
      <w:r w:rsidRPr="00CA31D2">
        <w:rPr>
          <w:lang w:val="fr-FR"/>
        </w:rPr>
        <w:t xml:space="preserve"> partie n</w:t>
      </w:r>
      <w:r>
        <w:rPr>
          <w:lang w:val="fr-FR"/>
        </w:rPr>
        <w:t>’</w:t>
      </w:r>
      <w:r w:rsidRPr="00CA31D2">
        <w:rPr>
          <w:lang w:val="fr-FR"/>
        </w:rPr>
        <w:t xml:space="preserve">a pas contesté la non-exécution de la décision de repositionnement </w:t>
      </w:r>
      <w:r>
        <w:rPr>
          <w:lang w:val="fr-FR"/>
        </w:rPr>
        <w:t>en</w:t>
      </w:r>
      <w:r w:rsidRPr="00CA31D2">
        <w:rPr>
          <w:lang w:val="fr-FR"/>
        </w:rPr>
        <w:t xml:space="preserve"> faveur</w:t>
      </w:r>
      <w:r>
        <w:rPr>
          <w:lang w:val="fr-FR"/>
        </w:rPr>
        <w:t xml:space="preserve"> de l’auteur.</w:t>
      </w:r>
      <w:r w:rsidRPr="00CA31D2">
        <w:rPr>
          <w:lang w:val="fr-FR"/>
        </w:rPr>
        <w:t xml:space="preserve"> Le Comité note </w:t>
      </w:r>
      <w:r>
        <w:rPr>
          <w:lang w:val="fr-FR"/>
        </w:rPr>
        <w:t xml:space="preserve">les arguments </w:t>
      </w:r>
      <w:r w:rsidRPr="00CA31D2">
        <w:rPr>
          <w:lang w:val="fr-FR"/>
        </w:rPr>
        <w:t>de l</w:t>
      </w:r>
      <w:r>
        <w:rPr>
          <w:lang w:val="fr-FR"/>
        </w:rPr>
        <w:t>’État</w:t>
      </w:r>
      <w:r w:rsidRPr="00CA31D2">
        <w:rPr>
          <w:lang w:val="fr-FR"/>
        </w:rPr>
        <w:t xml:space="preserve"> partie selon le</w:t>
      </w:r>
      <w:r>
        <w:rPr>
          <w:lang w:val="fr-FR"/>
        </w:rPr>
        <w:t>s</w:t>
      </w:r>
      <w:r w:rsidRPr="00CA31D2">
        <w:rPr>
          <w:lang w:val="fr-FR"/>
        </w:rPr>
        <w:t>quel</w:t>
      </w:r>
      <w:r>
        <w:rPr>
          <w:lang w:val="fr-FR"/>
        </w:rPr>
        <w:t>s</w:t>
      </w:r>
      <w:r w:rsidRPr="00CA31D2">
        <w:rPr>
          <w:lang w:val="fr-FR"/>
        </w:rPr>
        <w:t xml:space="preserve"> le</w:t>
      </w:r>
      <w:r>
        <w:rPr>
          <w:lang w:val="fr-FR"/>
        </w:rPr>
        <w:t>dit</w:t>
      </w:r>
      <w:r w:rsidRPr="00CA31D2">
        <w:rPr>
          <w:lang w:val="fr-FR"/>
        </w:rPr>
        <w:t xml:space="preserve"> repositionnement s</w:t>
      </w:r>
      <w:r>
        <w:rPr>
          <w:lang w:val="fr-FR"/>
        </w:rPr>
        <w:t>’était</w:t>
      </w:r>
      <w:r w:rsidRPr="00CA31D2">
        <w:rPr>
          <w:lang w:val="fr-FR"/>
        </w:rPr>
        <w:t xml:space="preserve"> révélé matériellement impossible</w:t>
      </w:r>
      <w:r>
        <w:rPr>
          <w:lang w:val="fr-FR"/>
        </w:rPr>
        <w:t>,</w:t>
      </w:r>
      <w:r w:rsidRPr="00CA31D2">
        <w:rPr>
          <w:lang w:val="fr-FR"/>
        </w:rPr>
        <w:t xml:space="preserve"> vu </w:t>
      </w:r>
      <w:r>
        <w:rPr>
          <w:lang w:val="fr-FR"/>
        </w:rPr>
        <w:t>que l’auteur</w:t>
      </w:r>
      <w:r w:rsidRPr="00CA31D2">
        <w:rPr>
          <w:lang w:val="fr-FR"/>
        </w:rPr>
        <w:t xml:space="preserve"> était parti à la retraite depuis plusieurs années au moment de la condamnation de </w:t>
      </w:r>
      <w:r>
        <w:rPr>
          <w:lang w:val="fr-FR"/>
        </w:rPr>
        <w:t>la société Renault. Le</w:t>
      </w:r>
      <w:r w:rsidRPr="0035343D">
        <w:rPr>
          <w:lang w:val="fr-FR"/>
        </w:rPr>
        <w:t xml:space="preserve"> Comité note aussi la jurisprudence de </w:t>
      </w:r>
      <w:r w:rsidRPr="0035343D">
        <w:rPr>
          <w:lang w:val="fr-FR" w:eastAsia="en-GB"/>
        </w:rPr>
        <w:t xml:space="preserve">la </w:t>
      </w:r>
      <w:r>
        <w:rPr>
          <w:lang w:val="fr-FR" w:eastAsia="en-GB"/>
        </w:rPr>
        <w:t>c</w:t>
      </w:r>
      <w:r w:rsidRPr="0035343D">
        <w:rPr>
          <w:lang w:val="fr-FR" w:eastAsia="en-GB"/>
        </w:rPr>
        <w:t>hambre sociale de la Cour de cassation</w:t>
      </w:r>
      <w:r>
        <w:rPr>
          <w:lang w:val="fr-FR" w:eastAsia="en-GB"/>
        </w:rPr>
        <w:t>,</w:t>
      </w:r>
      <w:r w:rsidRPr="0035343D">
        <w:rPr>
          <w:lang w:val="fr-FR" w:eastAsia="en-GB"/>
        </w:rPr>
        <w:t xml:space="preserve"> selon </w:t>
      </w:r>
      <w:r>
        <w:rPr>
          <w:lang w:val="fr-FR" w:eastAsia="en-GB"/>
        </w:rPr>
        <w:t>laquelle</w:t>
      </w:r>
      <w:r w:rsidRPr="0035343D">
        <w:rPr>
          <w:lang w:val="fr-FR" w:eastAsia="en-GB"/>
        </w:rPr>
        <w:t xml:space="preserve"> le repositionnement fait partie intégrante de la réparation intégrale et la mise à la retraite du salarié </w:t>
      </w:r>
      <w:r>
        <w:rPr>
          <w:lang w:val="fr-FR" w:eastAsia="en-GB"/>
        </w:rPr>
        <w:t>n’y</w:t>
      </w:r>
      <w:r w:rsidRPr="0035343D">
        <w:rPr>
          <w:lang w:val="fr-FR" w:eastAsia="en-GB"/>
        </w:rPr>
        <w:t xml:space="preserve"> fait pas obstacle</w:t>
      </w:r>
      <w:r>
        <w:rPr>
          <w:lang w:val="fr-FR" w:eastAsia="en-GB"/>
        </w:rPr>
        <w:t>.</w:t>
      </w:r>
      <w:r w:rsidRPr="0035343D" w:rsidDel="00AE322F">
        <w:rPr>
          <w:lang w:val="fr-FR"/>
        </w:rPr>
        <w:t xml:space="preserve"> </w:t>
      </w:r>
      <w:r w:rsidRPr="0035343D">
        <w:rPr>
          <w:lang w:val="fr-FR"/>
        </w:rPr>
        <w:t>Le Comité observe</w:t>
      </w:r>
      <w:r>
        <w:rPr>
          <w:lang w:val="fr-FR"/>
        </w:rPr>
        <w:t xml:space="preserve"> </w:t>
      </w:r>
      <w:r w:rsidRPr="00CA31D2">
        <w:rPr>
          <w:lang w:val="fr-FR"/>
        </w:rPr>
        <w:t>que dans sa décision d</w:t>
      </w:r>
      <w:r>
        <w:rPr>
          <w:lang w:val="fr-FR"/>
        </w:rPr>
        <w:t>’</w:t>
      </w:r>
      <w:r w:rsidRPr="00CA31D2">
        <w:rPr>
          <w:lang w:val="fr-FR"/>
        </w:rPr>
        <w:t>interprétation de l</w:t>
      </w:r>
      <w:r>
        <w:rPr>
          <w:lang w:val="fr-FR"/>
        </w:rPr>
        <w:t>’</w:t>
      </w:r>
      <w:r w:rsidRPr="00CA31D2">
        <w:rPr>
          <w:lang w:val="fr-FR"/>
        </w:rPr>
        <w:t>arrêt du 2</w:t>
      </w:r>
      <w:r w:rsidR="000014DD">
        <w:rPr>
          <w:lang w:val="fr-FR"/>
        </w:rPr>
        <w:t> </w:t>
      </w:r>
      <w:r w:rsidRPr="00CA31D2">
        <w:rPr>
          <w:lang w:val="fr-FR"/>
        </w:rPr>
        <w:t>avril 2008, la cour d</w:t>
      </w:r>
      <w:r>
        <w:rPr>
          <w:lang w:val="fr-FR"/>
        </w:rPr>
        <w:t>’</w:t>
      </w:r>
      <w:r w:rsidRPr="00CA31D2">
        <w:rPr>
          <w:lang w:val="fr-FR"/>
        </w:rPr>
        <w:t xml:space="preserve">appel de Versailles a considéré </w:t>
      </w:r>
      <w:r>
        <w:rPr>
          <w:lang w:val="fr-FR"/>
        </w:rPr>
        <w:t xml:space="preserve">qu’elle </w:t>
      </w:r>
      <w:r w:rsidRPr="00CA31D2">
        <w:rPr>
          <w:lang w:val="fr-FR"/>
        </w:rPr>
        <w:t>avait choisi d</w:t>
      </w:r>
      <w:r>
        <w:rPr>
          <w:lang w:val="fr-FR"/>
        </w:rPr>
        <w:t>’</w:t>
      </w:r>
      <w:r w:rsidRPr="00CA31D2">
        <w:rPr>
          <w:lang w:val="fr-FR"/>
        </w:rPr>
        <w:t>indemniser le préjudice résultant de la discrimination par l</w:t>
      </w:r>
      <w:r>
        <w:rPr>
          <w:lang w:val="fr-FR"/>
        </w:rPr>
        <w:t>’</w:t>
      </w:r>
      <w:r w:rsidRPr="00CA31D2">
        <w:rPr>
          <w:lang w:val="fr-FR"/>
        </w:rPr>
        <w:t>octroi de dommages</w:t>
      </w:r>
      <w:r w:rsidR="000014DD">
        <w:rPr>
          <w:lang w:val="fr-FR"/>
        </w:rPr>
        <w:noBreakHyphen/>
      </w:r>
      <w:r w:rsidRPr="00CA31D2">
        <w:rPr>
          <w:lang w:val="fr-FR"/>
        </w:rPr>
        <w:t>intérêts incluant les conséquences du repositionnement de l</w:t>
      </w:r>
      <w:r>
        <w:rPr>
          <w:lang w:val="fr-FR"/>
        </w:rPr>
        <w:t>’</w:t>
      </w:r>
      <w:r w:rsidRPr="00CA31D2">
        <w:rPr>
          <w:lang w:val="fr-FR"/>
        </w:rPr>
        <w:t>auteur</w:t>
      </w:r>
      <w:r>
        <w:rPr>
          <w:lang w:val="fr-FR"/>
        </w:rPr>
        <w:t>, et</w:t>
      </w:r>
      <w:r w:rsidRPr="00CA31D2">
        <w:rPr>
          <w:lang w:val="fr-FR"/>
        </w:rPr>
        <w:t xml:space="preserve"> qu</w:t>
      </w:r>
      <w:r>
        <w:rPr>
          <w:lang w:val="fr-FR"/>
        </w:rPr>
        <w:t>’</w:t>
      </w:r>
      <w:r w:rsidRPr="00CA31D2">
        <w:rPr>
          <w:lang w:val="fr-FR"/>
        </w:rPr>
        <w:t>en conséquence, la réparation de l</w:t>
      </w:r>
      <w:r>
        <w:rPr>
          <w:lang w:val="fr-FR"/>
        </w:rPr>
        <w:t>’</w:t>
      </w:r>
      <w:r w:rsidRPr="00CA31D2">
        <w:rPr>
          <w:lang w:val="fr-FR"/>
        </w:rPr>
        <w:t>auteur a</w:t>
      </w:r>
      <w:r>
        <w:rPr>
          <w:lang w:val="fr-FR"/>
        </w:rPr>
        <w:t>vait</w:t>
      </w:r>
      <w:r w:rsidRPr="00CA31D2">
        <w:rPr>
          <w:lang w:val="fr-FR"/>
        </w:rPr>
        <w:t xml:space="preserve"> été intégral</w:t>
      </w:r>
      <w:r>
        <w:rPr>
          <w:lang w:val="fr-FR"/>
        </w:rPr>
        <w:t>e</w:t>
      </w:r>
      <w:r w:rsidRPr="00CA31D2">
        <w:rPr>
          <w:lang w:val="fr-FR"/>
        </w:rPr>
        <w:t xml:space="preserve"> et le préjudice</w:t>
      </w:r>
      <w:r>
        <w:rPr>
          <w:lang w:val="fr-FR"/>
        </w:rPr>
        <w:t>,</w:t>
      </w:r>
      <w:r w:rsidRPr="00CA31D2">
        <w:rPr>
          <w:lang w:val="fr-FR"/>
        </w:rPr>
        <w:t xml:space="preserve"> entièrement réparé. Le Comité observe </w:t>
      </w:r>
      <w:r>
        <w:rPr>
          <w:lang w:val="fr-FR"/>
        </w:rPr>
        <w:t xml:space="preserve">également </w:t>
      </w:r>
      <w:r w:rsidRPr="00CA31D2">
        <w:rPr>
          <w:lang w:val="fr-FR"/>
        </w:rPr>
        <w:t>que le défaut de repositionnement de l</w:t>
      </w:r>
      <w:r>
        <w:rPr>
          <w:lang w:val="fr-FR"/>
        </w:rPr>
        <w:t>’</w:t>
      </w:r>
      <w:r w:rsidRPr="00CA31D2">
        <w:rPr>
          <w:lang w:val="fr-FR"/>
        </w:rPr>
        <w:t xml:space="preserve">auteur peut avoir une conséquence directe dans la détermination </w:t>
      </w:r>
      <w:r>
        <w:rPr>
          <w:lang w:val="fr-FR"/>
        </w:rPr>
        <w:t xml:space="preserve">du calcul de ses salaires </w:t>
      </w:r>
      <w:r w:rsidRPr="00CA31D2">
        <w:rPr>
          <w:lang w:val="fr-FR"/>
        </w:rPr>
        <w:t>pour les périodes durant lesquelles il a subi la discrimination en raison de s</w:t>
      </w:r>
      <w:r>
        <w:rPr>
          <w:lang w:val="fr-FR"/>
        </w:rPr>
        <w:t>es origines ethniques. Il</w:t>
      </w:r>
      <w:r w:rsidRPr="00612BD8">
        <w:rPr>
          <w:lang w:val="fr-FR"/>
        </w:rPr>
        <w:t xml:space="preserve"> observe </w:t>
      </w:r>
      <w:r>
        <w:rPr>
          <w:lang w:val="fr-FR"/>
        </w:rPr>
        <w:t>en outre</w:t>
      </w:r>
      <w:r w:rsidRPr="00612BD8">
        <w:rPr>
          <w:lang w:val="fr-FR"/>
        </w:rPr>
        <w:t xml:space="preserve"> que l</w:t>
      </w:r>
      <w:r>
        <w:rPr>
          <w:lang w:val="fr-FR"/>
        </w:rPr>
        <w:t>’</w:t>
      </w:r>
      <w:r w:rsidRPr="00612BD8">
        <w:rPr>
          <w:lang w:val="fr-FR"/>
        </w:rPr>
        <w:t>argument de l</w:t>
      </w:r>
      <w:r>
        <w:rPr>
          <w:lang w:val="fr-FR"/>
        </w:rPr>
        <w:t>’</w:t>
      </w:r>
      <w:r w:rsidRPr="00612BD8">
        <w:rPr>
          <w:lang w:val="fr-FR"/>
        </w:rPr>
        <w:t>auteur selon lequel son non</w:t>
      </w:r>
      <w:r>
        <w:rPr>
          <w:lang w:val="fr-FR"/>
        </w:rPr>
        <w:t>-</w:t>
      </w:r>
      <w:r w:rsidRPr="00612BD8">
        <w:rPr>
          <w:lang w:val="fr-FR"/>
        </w:rPr>
        <w:t xml:space="preserve">repositionnement a eu pour conséquence de minorer sa pension de retraite, établie sur des salaires minorés, </w:t>
      </w:r>
      <w:r w:rsidRPr="0035343D">
        <w:rPr>
          <w:lang w:val="fr-FR"/>
        </w:rPr>
        <w:t>n</w:t>
      </w:r>
      <w:r>
        <w:rPr>
          <w:lang w:val="fr-FR"/>
        </w:rPr>
        <w:t>’</w:t>
      </w:r>
      <w:r w:rsidRPr="0035343D">
        <w:rPr>
          <w:lang w:val="fr-FR"/>
        </w:rPr>
        <w:t>a pas été contredit par l</w:t>
      </w:r>
      <w:r>
        <w:rPr>
          <w:lang w:val="fr-FR"/>
        </w:rPr>
        <w:t>’</w:t>
      </w:r>
      <w:r w:rsidRPr="0035343D">
        <w:rPr>
          <w:lang w:val="fr-FR"/>
        </w:rPr>
        <w:t>État</w:t>
      </w:r>
      <w:r>
        <w:rPr>
          <w:lang w:val="fr-FR"/>
        </w:rPr>
        <w:t xml:space="preserve"> partie. Le Comité note néanmoins que les informations dont il dispose ne lui permettent pas d’indiquer si l’effet du repositionnement de l’auteur sur sa retraite a été pris en compte dans le cadre des dommages-intérêts prononcés en sa faveur, et que l’examen de la juridiction supérieure aurait permis de dissiper ce malentendu.</w:t>
      </w:r>
    </w:p>
    <w:p w14:paraId="2DE57577" w14:textId="77777777" w:rsidR="00DF04F7" w:rsidRDefault="00DF04F7" w:rsidP="00A657D8">
      <w:pPr>
        <w:pStyle w:val="SingleTxtG"/>
        <w:rPr>
          <w:lang w:val="fr-FR"/>
        </w:rPr>
      </w:pPr>
      <w:r>
        <w:rPr>
          <w:lang w:val="fr-FR"/>
        </w:rPr>
        <w:t>7.3</w:t>
      </w:r>
      <w:r>
        <w:rPr>
          <w:lang w:val="fr-FR"/>
        </w:rPr>
        <w:tab/>
        <w:t>L</w:t>
      </w:r>
      <w:r w:rsidRPr="00CA31D2">
        <w:rPr>
          <w:lang w:val="fr-FR"/>
        </w:rPr>
        <w:t>e Comité prend note de l</w:t>
      </w:r>
      <w:r>
        <w:rPr>
          <w:lang w:val="fr-FR"/>
        </w:rPr>
        <w:t>’</w:t>
      </w:r>
      <w:r w:rsidRPr="00CA31D2">
        <w:rPr>
          <w:lang w:val="fr-FR"/>
        </w:rPr>
        <w:t>argument de l</w:t>
      </w:r>
      <w:r>
        <w:rPr>
          <w:lang w:val="fr-FR"/>
        </w:rPr>
        <w:t>’</w:t>
      </w:r>
      <w:r w:rsidRPr="00CA31D2">
        <w:rPr>
          <w:lang w:val="fr-FR"/>
        </w:rPr>
        <w:t>auteur selon lequel</w:t>
      </w:r>
      <w:r>
        <w:rPr>
          <w:lang w:val="fr-FR"/>
        </w:rPr>
        <w:t>,</w:t>
      </w:r>
      <w:r w:rsidRPr="00CA31D2">
        <w:rPr>
          <w:lang w:val="fr-FR"/>
        </w:rPr>
        <w:t xml:space="preserve"> en raison du rejet de son pourvoi en cassation sans examen au fond, il a été privé d</w:t>
      </w:r>
      <w:r>
        <w:rPr>
          <w:lang w:val="fr-FR"/>
        </w:rPr>
        <w:t>’</w:t>
      </w:r>
      <w:r w:rsidRPr="00CA31D2">
        <w:rPr>
          <w:lang w:val="fr-FR"/>
        </w:rPr>
        <w:t xml:space="preserve">une voie de recours effective en lien avec </w:t>
      </w:r>
      <w:r>
        <w:rPr>
          <w:lang w:val="fr-FR"/>
        </w:rPr>
        <w:t>les</w:t>
      </w:r>
      <w:r w:rsidRPr="00CA31D2">
        <w:rPr>
          <w:lang w:val="fr-FR"/>
        </w:rPr>
        <w:t xml:space="preserve"> pratiques constitutives de discrimination raciale dont il a été victime</w:t>
      </w:r>
      <w:r>
        <w:rPr>
          <w:lang w:val="fr-FR"/>
        </w:rPr>
        <w:t>, et</w:t>
      </w:r>
      <w:r w:rsidRPr="00CA31D2">
        <w:rPr>
          <w:lang w:val="fr-FR"/>
        </w:rPr>
        <w:t xml:space="preserve"> que</w:t>
      </w:r>
      <w:r>
        <w:rPr>
          <w:lang w:val="fr-FR"/>
        </w:rPr>
        <w:t>,</w:t>
      </w:r>
      <w:r w:rsidRPr="00CA31D2">
        <w:rPr>
          <w:lang w:val="fr-FR"/>
        </w:rPr>
        <w:t xml:space="preserve"> </w:t>
      </w:r>
      <w:r>
        <w:rPr>
          <w:lang w:val="fr-FR"/>
        </w:rPr>
        <w:t>de ce fait</w:t>
      </w:r>
      <w:r w:rsidRPr="00CA31D2">
        <w:rPr>
          <w:lang w:val="fr-FR"/>
        </w:rPr>
        <w:t>, la réparation ordonnée en sa faveur n</w:t>
      </w:r>
      <w:r>
        <w:rPr>
          <w:lang w:val="fr-FR"/>
        </w:rPr>
        <w:t>’</w:t>
      </w:r>
      <w:r w:rsidRPr="00CA31D2">
        <w:rPr>
          <w:lang w:val="fr-FR"/>
        </w:rPr>
        <w:t xml:space="preserve">a pas été intégrale. Le Comité </w:t>
      </w:r>
      <w:r>
        <w:rPr>
          <w:lang w:val="fr-FR"/>
        </w:rPr>
        <w:t xml:space="preserve">prend </w:t>
      </w:r>
      <w:r w:rsidRPr="00CA31D2">
        <w:rPr>
          <w:lang w:val="fr-FR"/>
        </w:rPr>
        <w:t xml:space="preserve">note également </w:t>
      </w:r>
      <w:r>
        <w:rPr>
          <w:lang w:val="fr-FR"/>
        </w:rPr>
        <w:t xml:space="preserve">de </w:t>
      </w:r>
      <w:r w:rsidRPr="00CA31D2">
        <w:rPr>
          <w:lang w:val="fr-FR"/>
        </w:rPr>
        <w:t>l</w:t>
      </w:r>
      <w:r>
        <w:rPr>
          <w:lang w:val="fr-FR"/>
        </w:rPr>
        <w:t>’</w:t>
      </w:r>
      <w:r w:rsidRPr="00CA31D2">
        <w:rPr>
          <w:lang w:val="fr-FR"/>
        </w:rPr>
        <w:t>argument de l</w:t>
      </w:r>
      <w:r>
        <w:rPr>
          <w:lang w:val="fr-FR"/>
        </w:rPr>
        <w:t>’État</w:t>
      </w:r>
      <w:r w:rsidRPr="00CA31D2">
        <w:rPr>
          <w:lang w:val="fr-FR"/>
        </w:rPr>
        <w:t xml:space="preserve"> partie selon lequel le rejet du pourvoi de l</w:t>
      </w:r>
      <w:r>
        <w:rPr>
          <w:lang w:val="fr-FR"/>
        </w:rPr>
        <w:t>’</w:t>
      </w:r>
      <w:r w:rsidRPr="00CA31D2">
        <w:rPr>
          <w:lang w:val="fr-FR"/>
        </w:rPr>
        <w:t>auteur répond à la nécessité d</w:t>
      </w:r>
      <w:r>
        <w:rPr>
          <w:lang w:val="fr-FR"/>
        </w:rPr>
        <w:t>’</w:t>
      </w:r>
      <w:r w:rsidRPr="00CA31D2">
        <w:rPr>
          <w:lang w:val="fr-FR"/>
        </w:rPr>
        <w:t>une bonne administration de la justice</w:t>
      </w:r>
      <w:r>
        <w:rPr>
          <w:lang w:val="fr-FR"/>
        </w:rPr>
        <w:t>,</w:t>
      </w:r>
      <w:r w:rsidRPr="00CA31D2">
        <w:rPr>
          <w:lang w:val="fr-FR"/>
        </w:rPr>
        <w:t xml:space="preserve"> qui exige de sélectionner les cas soumis pour ne pas engorger l</w:t>
      </w:r>
      <w:r>
        <w:rPr>
          <w:lang w:val="fr-FR"/>
        </w:rPr>
        <w:t>’</w:t>
      </w:r>
      <w:r w:rsidRPr="00CA31D2">
        <w:rPr>
          <w:lang w:val="fr-FR"/>
        </w:rPr>
        <w:t xml:space="preserve">office de la Cour </w:t>
      </w:r>
      <w:r>
        <w:rPr>
          <w:lang w:val="fr-FR"/>
        </w:rPr>
        <w:t xml:space="preserve">de cassation </w:t>
      </w:r>
      <w:r w:rsidRPr="00CA31D2">
        <w:rPr>
          <w:lang w:val="fr-FR"/>
        </w:rPr>
        <w:t>avec un nombre élevé de recours, notamment dans les cas où les pourvois ont très peu de chance</w:t>
      </w:r>
      <w:r>
        <w:rPr>
          <w:lang w:val="fr-FR"/>
        </w:rPr>
        <w:t>s</w:t>
      </w:r>
      <w:r w:rsidRPr="00CA31D2">
        <w:rPr>
          <w:lang w:val="fr-FR"/>
        </w:rPr>
        <w:t xml:space="preserve"> de succès. </w:t>
      </w:r>
    </w:p>
    <w:p w14:paraId="56D82D12" w14:textId="71802C9A" w:rsidR="00DF04F7" w:rsidRDefault="00DF04F7" w:rsidP="00A657D8">
      <w:pPr>
        <w:pStyle w:val="SingleTxtG"/>
        <w:rPr>
          <w:lang w:val="fr-FR"/>
        </w:rPr>
      </w:pPr>
      <w:r>
        <w:rPr>
          <w:lang w:val="fr-FR"/>
        </w:rPr>
        <w:t>7.4</w:t>
      </w:r>
      <w:r w:rsidRPr="00993340">
        <w:rPr>
          <w:lang w:val="fr-FR"/>
        </w:rPr>
        <w:tab/>
        <w:t>Le Comité rappelle que, conformément à sa jurisprudence, toutes les demandes de réparation doivent être examinées, y compris lorsque l</w:t>
      </w:r>
      <w:r>
        <w:rPr>
          <w:lang w:val="fr-FR"/>
        </w:rPr>
        <w:t>’</w:t>
      </w:r>
      <w:r w:rsidRPr="00993340">
        <w:rPr>
          <w:lang w:val="fr-FR"/>
        </w:rPr>
        <w:t>intéressé n</w:t>
      </w:r>
      <w:r>
        <w:rPr>
          <w:lang w:val="fr-FR"/>
        </w:rPr>
        <w:t>’</w:t>
      </w:r>
      <w:r w:rsidRPr="00993340">
        <w:rPr>
          <w:lang w:val="fr-FR"/>
        </w:rPr>
        <w:t>a souffert d</w:t>
      </w:r>
      <w:r>
        <w:rPr>
          <w:lang w:val="fr-FR"/>
        </w:rPr>
        <w:t>’</w:t>
      </w:r>
      <w:r w:rsidRPr="00993340">
        <w:rPr>
          <w:lang w:val="fr-FR"/>
        </w:rPr>
        <w:t>aucun dommage corporel mais a subi des actes humiliants, diffamants ou nuisibles à sa réputation et à son amour-propre</w:t>
      </w:r>
      <w:r w:rsidRPr="00513DBE">
        <w:rPr>
          <w:rStyle w:val="Appelnotedebasdep"/>
        </w:rPr>
        <w:footnoteReference w:id="25"/>
      </w:r>
      <w:r w:rsidRPr="00993340">
        <w:rPr>
          <w:lang w:val="fr-FR"/>
        </w:rPr>
        <w:t>. Il rappelle également que, aux termes de l</w:t>
      </w:r>
      <w:r>
        <w:rPr>
          <w:lang w:val="fr-FR"/>
        </w:rPr>
        <w:t>’</w:t>
      </w:r>
      <w:r w:rsidRPr="00993340">
        <w:rPr>
          <w:lang w:val="fr-FR"/>
        </w:rPr>
        <w:t>article 6 de la Convention, les États parties doivent assurer à toute personne soumise à leur juridiction une protection et une voie de recours effectives, devant les tribunaux nationaux et autres organismes d</w:t>
      </w:r>
      <w:r>
        <w:rPr>
          <w:lang w:val="fr-FR"/>
        </w:rPr>
        <w:t>’</w:t>
      </w:r>
      <w:r w:rsidRPr="00993340">
        <w:rPr>
          <w:lang w:val="fr-FR"/>
        </w:rPr>
        <w:t>État compétents, contre tous actes de discrimination raciale qui, contrairement à la Convention, violeraient ses droits individuels et ses libertés fondamentales, ainsi que le droit de demander à ces tribunaux satisfaction ou réparation juste et adéquate pour tout dommage dont elle pourrait être victime par suite d</w:t>
      </w:r>
      <w:r>
        <w:rPr>
          <w:lang w:val="fr-FR"/>
        </w:rPr>
        <w:t>’</w:t>
      </w:r>
      <w:r w:rsidRPr="00993340">
        <w:rPr>
          <w:lang w:val="fr-FR"/>
        </w:rPr>
        <w:t xml:space="preserve">une telle discrimination. </w:t>
      </w:r>
      <w:r w:rsidRPr="00C555AE">
        <w:rPr>
          <w:lang w:val="fr-FR"/>
        </w:rPr>
        <w:t>Il rappelle en outre que l</w:t>
      </w:r>
      <w:r>
        <w:rPr>
          <w:lang w:val="fr-FR"/>
        </w:rPr>
        <w:t>’</w:t>
      </w:r>
      <w:r w:rsidRPr="00C555AE">
        <w:rPr>
          <w:lang w:val="fr-FR"/>
        </w:rPr>
        <w:t>article 6 de la Convention</w:t>
      </w:r>
      <w:r w:rsidRPr="00422C87">
        <w:rPr>
          <w:lang w:val="fr-FR"/>
        </w:rPr>
        <w:t xml:space="preserve"> garantit</w:t>
      </w:r>
      <w:r w:rsidRPr="00C555AE">
        <w:rPr>
          <w:lang w:val="fr-FR"/>
        </w:rPr>
        <w:t xml:space="preserve"> une réparation pleine et effective. Le Comité rappelle également que la restitution vise à rétablir la victime dans la situation qui était la sienne avant que la violation soit commise ; l</w:t>
      </w:r>
      <w:r>
        <w:rPr>
          <w:lang w:val="fr-FR"/>
        </w:rPr>
        <w:t>’</w:t>
      </w:r>
      <w:r w:rsidRPr="00C555AE">
        <w:rPr>
          <w:lang w:val="fr-FR"/>
        </w:rPr>
        <w:t xml:space="preserve">indemnisation doit être accordée notamment pour tout dommage </w:t>
      </w:r>
      <w:r w:rsidRPr="00C555AE">
        <w:rPr>
          <w:lang w:val="fr-FR"/>
        </w:rPr>
        <w:lastRenderedPageBreak/>
        <w:t xml:space="preserve">résultant de violations flagrantes du droit international des droits </w:t>
      </w:r>
      <w:r>
        <w:rPr>
          <w:lang w:val="fr-FR"/>
        </w:rPr>
        <w:t>humains</w:t>
      </w:r>
      <w:r w:rsidRPr="00C555AE">
        <w:rPr>
          <w:lang w:val="fr-FR"/>
        </w:rPr>
        <w:t xml:space="preserve"> qui se prête à une évaluation économique</w:t>
      </w:r>
      <w:r w:rsidRPr="00513DBE">
        <w:rPr>
          <w:rStyle w:val="Appelnotedebasdep"/>
        </w:rPr>
        <w:footnoteReference w:id="26"/>
      </w:r>
      <w:r w:rsidRPr="00C555AE">
        <w:rPr>
          <w:lang w:val="fr-FR"/>
        </w:rPr>
        <w:t>.</w:t>
      </w:r>
    </w:p>
    <w:p w14:paraId="3E45F962" w14:textId="5B3858D2" w:rsidR="00DF04F7" w:rsidRPr="009B7C1B" w:rsidRDefault="00DF04F7" w:rsidP="00A657D8">
      <w:pPr>
        <w:pStyle w:val="SingleTxtG"/>
        <w:rPr>
          <w:lang w:val="fr-FR"/>
        </w:rPr>
      </w:pPr>
      <w:r>
        <w:rPr>
          <w:lang w:val="fr-FR"/>
        </w:rPr>
        <w:t>7.5</w:t>
      </w:r>
      <w:r>
        <w:rPr>
          <w:lang w:val="fr-FR"/>
        </w:rPr>
        <w:tab/>
      </w:r>
      <w:r w:rsidRPr="00C46C95">
        <w:rPr>
          <w:lang w:val="fr-FR"/>
        </w:rPr>
        <w:t>Le Comité rappelle qu</w:t>
      </w:r>
      <w:r>
        <w:rPr>
          <w:lang w:val="fr-FR"/>
        </w:rPr>
        <w:t>’</w:t>
      </w:r>
      <w:r w:rsidRPr="00C46C95">
        <w:rPr>
          <w:lang w:val="fr-FR"/>
        </w:rPr>
        <w:t>il n</w:t>
      </w:r>
      <w:r>
        <w:rPr>
          <w:lang w:val="fr-FR"/>
        </w:rPr>
        <w:t>’</w:t>
      </w:r>
      <w:r w:rsidRPr="00C46C95">
        <w:rPr>
          <w:lang w:val="fr-FR"/>
        </w:rPr>
        <w:t>a pas pour rôle d</w:t>
      </w:r>
      <w:r>
        <w:rPr>
          <w:lang w:val="fr-FR"/>
        </w:rPr>
        <w:t>’</w:t>
      </w:r>
      <w:r w:rsidRPr="00C46C95">
        <w:rPr>
          <w:lang w:val="fr-FR"/>
        </w:rPr>
        <w:t>examiner comment les autorités nationales interprètent les faits et la législation nationale, à moins que les décisions aient été manifestement arbitraires ou aient constitué un déni de justice</w:t>
      </w:r>
      <w:r w:rsidRPr="00513DBE">
        <w:rPr>
          <w:rStyle w:val="Appelnotedebasdep"/>
        </w:rPr>
        <w:footnoteReference w:id="27"/>
      </w:r>
      <w:r>
        <w:rPr>
          <w:lang w:val="fr-FR"/>
        </w:rPr>
        <w:t xml:space="preserve">. </w:t>
      </w:r>
      <w:r w:rsidRPr="00C46C95">
        <w:rPr>
          <w:lang w:val="fr-FR"/>
        </w:rPr>
        <w:t xml:space="preserve">Toutefois, </w:t>
      </w:r>
      <w:r>
        <w:rPr>
          <w:lang w:val="fr-FR"/>
        </w:rPr>
        <w:t>il</w:t>
      </w:r>
      <w:r w:rsidRPr="00C46C95">
        <w:rPr>
          <w:lang w:val="fr-FR"/>
        </w:rPr>
        <w:t xml:space="preserve"> doit examiner si les décisions des tribunaux nationa</w:t>
      </w:r>
      <w:r>
        <w:rPr>
          <w:lang w:val="fr-FR"/>
        </w:rPr>
        <w:t>ux ont privé l’auteur</w:t>
      </w:r>
      <w:r w:rsidRPr="00C46C95">
        <w:rPr>
          <w:lang w:val="fr-FR"/>
        </w:rPr>
        <w:t xml:space="preserve"> de son droit à une protection effective et à un recours utile contre la discrimination raciale</w:t>
      </w:r>
      <w:r w:rsidRPr="00513DBE">
        <w:rPr>
          <w:rStyle w:val="Appelnotedebasdep"/>
        </w:rPr>
        <w:footnoteReference w:id="28"/>
      </w:r>
      <w:r w:rsidRPr="00C46C95">
        <w:rPr>
          <w:lang w:val="fr-FR"/>
        </w:rPr>
        <w:t>.</w:t>
      </w:r>
      <w:r>
        <w:rPr>
          <w:lang w:val="fr-FR"/>
        </w:rPr>
        <w:t xml:space="preserve"> Le Comité observe que la cour d’appel de Versailles a ordonné le repositionnement de l’auteur dans son arrêt du 2</w:t>
      </w:r>
      <w:r w:rsidR="00DE1431">
        <w:rPr>
          <w:lang w:val="fr-FR"/>
        </w:rPr>
        <w:t> </w:t>
      </w:r>
      <w:r>
        <w:rPr>
          <w:lang w:val="fr-FR"/>
        </w:rPr>
        <w:t xml:space="preserve">avril 2008 alors que l’auteur était déjà parti à la retraite depuis 2003. </w:t>
      </w:r>
    </w:p>
    <w:p w14:paraId="1D7D0962" w14:textId="6FDFD666" w:rsidR="00DF04F7" w:rsidRPr="00CA31D2" w:rsidRDefault="00DF04F7" w:rsidP="00A657D8">
      <w:pPr>
        <w:pStyle w:val="SingleTxtG"/>
        <w:rPr>
          <w:lang w:val="fr-FR"/>
        </w:rPr>
      </w:pPr>
      <w:r>
        <w:rPr>
          <w:lang w:val="fr-FR"/>
        </w:rPr>
        <w:t>7.6</w:t>
      </w:r>
      <w:r>
        <w:rPr>
          <w:lang w:val="fr-FR"/>
        </w:rPr>
        <w:tab/>
      </w:r>
      <w:r w:rsidRPr="00CA31D2">
        <w:rPr>
          <w:lang w:val="fr-FR"/>
        </w:rPr>
        <w:t>Le Comité</w:t>
      </w:r>
      <w:r>
        <w:rPr>
          <w:lang w:val="fr-FR"/>
        </w:rPr>
        <w:t xml:space="preserve"> </w:t>
      </w:r>
      <w:r w:rsidRPr="00CA31D2">
        <w:rPr>
          <w:lang w:val="fr-FR"/>
        </w:rPr>
        <w:t>estime qu</w:t>
      </w:r>
      <w:r>
        <w:rPr>
          <w:lang w:val="fr-FR"/>
        </w:rPr>
        <w:t>’</w:t>
      </w:r>
      <w:r w:rsidRPr="00CA31D2">
        <w:rPr>
          <w:lang w:val="fr-FR"/>
        </w:rPr>
        <w:t>en l</w:t>
      </w:r>
      <w:r>
        <w:rPr>
          <w:lang w:val="fr-FR"/>
        </w:rPr>
        <w:t>’</w:t>
      </w:r>
      <w:r w:rsidRPr="00CA31D2">
        <w:rPr>
          <w:lang w:val="fr-FR"/>
        </w:rPr>
        <w:t>espèce, le préjudice allégué par l</w:t>
      </w:r>
      <w:r>
        <w:rPr>
          <w:lang w:val="fr-FR"/>
        </w:rPr>
        <w:t>’</w:t>
      </w:r>
      <w:r w:rsidRPr="00CA31D2">
        <w:rPr>
          <w:lang w:val="fr-FR"/>
        </w:rPr>
        <w:t>auteur en lien avec la non</w:t>
      </w:r>
      <w:r w:rsidR="009F70AD">
        <w:rPr>
          <w:lang w:val="fr-FR"/>
        </w:rPr>
        <w:noBreakHyphen/>
      </w:r>
      <w:r w:rsidRPr="00CA31D2">
        <w:rPr>
          <w:lang w:val="fr-FR"/>
        </w:rPr>
        <w:t xml:space="preserve">exécution </w:t>
      </w:r>
      <w:r>
        <w:rPr>
          <w:lang w:val="fr-FR"/>
        </w:rPr>
        <w:t xml:space="preserve">de l’arrêt de la cour d’appel de Versailles concernant </w:t>
      </w:r>
      <w:r w:rsidRPr="00CA31D2">
        <w:rPr>
          <w:lang w:val="fr-FR"/>
        </w:rPr>
        <w:t>son repositionnement est de nature à entraver la réparation intégrale de la discrimination raciale dont il a été victime</w:t>
      </w:r>
      <w:r>
        <w:rPr>
          <w:lang w:val="fr-FR"/>
        </w:rPr>
        <w:t>, étant donné que l’auteur n’a pas été rétabli dans la situation</w:t>
      </w:r>
      <w:r w:rsidRPr="0061451C">
        <w:rPr>
          <w:lang w:eastAsia="en-GB"/>
        </w:rPr>
        <w:t xml:space="preserve"> </w:t>
      </w:r>
      <w:r>
        <w:rPr>
          <w:lang w:eastAsia="en-GB"/>
        </w:rPr>
        <w:t>qui aurait été la sienne avant que la violation soit commise et qui aurait permis de recalculer sa retraite</w:t>
      </w:r>
      <w:r w:rsidRPr="00CA31D2">
        <w:rPr>
          <w:lang w:val="fr-FR"/>
        </w:rPr>
        <w:t>. Le Comité considère que le fait par la haute juridiction de l</w:t>
      </w:r>
      <w:r>
        <w:rPr>
          <w:lang w:val="fr-FR"/>
        </w:rPr>
        <w:t>’État</w:t>
      </w:r>
      <w:r w:rsidRPr="00CA31D2">
        <w:rPr>
          <w:lang w:val="fr-FR"/>
        </w:rPr>
        <w:t xml:space="preserve"> partie de refuser un recours à l</w:t>
      </w:r>
      <w:r>
        <w:rPr>
          <w:lang w:val="fr-FR"/>
        </w:rPr>
        <w:t>’</w:t>
      </w:r>
      <w:r w:rsidRPr="00CA31D2">
        <w:rPr>
          <w:lang w:val="fr-FR"/>
        </w:rPr>
        <w:t xml:space="preserve">auteur pour </w:t>
      </w:r>
      <w:r w:rsidRPr="003D351C">
        <w:rPr>
          <w:lang w:val="fr-FR"/>
        </w:rPr>
        <w:t xml:space="preserve">demander </w:t>
      </w:r>
      <w:r>
        <w:rPr>
          <w:lang w:val="fr-FR"/>
        </w:rPr>
        <w:t xml:space="preserve">la juste </w:t>
      </w:r>
      <w:r w:rsidRPr="003D351C">
        <w:rPr>
          <w:lang w:val="fr-FR"/>
        </w:rPr>
        <w:t xml:space="preserve">satisfaction </w:t>
      </w:r>
      <w:r>
        <w:rPr>
          <w:lang w:val="fr-FR"/>
        </w:rPr>
        <w:t>et la</w:t>
      </w:r>
      <w:r w:rsidRPr="003D351C">
        <w:rPr>
          <w:lang w:val="fr-FR"/>
        </w:rPr>
        <w:t xml:space="preserve"> réparation </w:t>
      </w:r>
      <w:r>
        <w:rPr>
          <w:lang w:val="fr-FR"/>
        </w:rPr>
        <w:t xml:space="preserve">intégrale par suite de la </w:t>
      </w:r>
      <w:r w:rsidRPr="003D351C">
        <w:rPr>
          <w:lang w:val="fr-FR"/>
        </w:rPr>
        <w:t>discrimination</w:t>
      </w:r>
      <w:r>
        <w:rPr>
          <w:lang w:val="fr-FR"/>
        </w:rPr>
        <w:t xml:space="preserve"> </w:t>
      </w:r>
      <w:r w:rsidRPr="003D351C">
        <w:rPr>
          <w:lang w:val="fr-FR"/>
        </w:rPr>
        <w:t xml:space="preserve">dont </w:t>
      </w:r>
      <w:r>
        <w:rPr>
          <w:lang w:val="fr-FR"/>
        </w:rPr>
        <w:t>il a été victime</w:t>
      </w:r>
      <w:r w:rsidRPr="003D351C">
        <w:rPr>
          <w:lang w:val="fr-FR"/>
        </w:rPr>
        <w:t xml:space="preserve"> </w:t>
      </w:r>
      <w:r w:rsidRPr="00CA31D2">
        <w:rPr>
          <w:lang w:val="fr-FR"/>
        </w:rPr>
        <w:t>constitue une violation de l</w:t>
      </w:r>
      <w:r>
        <w:rPr>
          <w:lang w:val="fr-FR"/>
        </w:rPr>
        <w:t>’</w:t>
      </w:r>
      <w:r w:rsidRPr="00CA31D2">
        <w:rPr>
          <w:lang w:val="fr-FR"/>
        </w:rPr>
        <w:t>article</w:t>
      </w:r>
      <w:r w:rsidR="009F70AD">
        <w:rPr>
          <w:lang w:val="fr-FR"/>
        </w:rPr>
        <w:t> </w:t>
      </w:r>
      <w:r w:rsidRPr="00CA31D2">
        <w:rPr>
          <w:lang w:val="fr-FR"/>
        </w:rPr>
        <w:t xml:space="preserve">6 de la Convention.  </w:t>
      </w:r>
    </w:p>
    <w:p w14:paraId="60DDB3D7" w14:textId="7930ECE1" w:rsidR="00DF04F7" w:rsidRPr="00CA31D2" w:rsidRDefault="00DF04F7" w:rsidP="00A657D8">
      <w:pPr>
        <w:pStyle w:val="SingleTxtG"/>
        <w:rPr>
          <w:lang w:val="fr-FR"/>
        </w:rPr>
      </w:pPr>
      <w:r w:rsidRPr="00CA31D2">
        <w:rPr>
          <w:lang w:val="fr-FR"/>
        </w:rPr>
        <w:t>8.</w:t>
      </w:r>
      <w:r w:rsidRPr="00CA31D2">
        <w:rPr>
          <w:lang w:val="fr-FR"/>
        </w:rPr>
        <w:tab/>
        <w:t>Dans les circonstances de l</w:t>
      </w:r>
      <w:r>
        <w:rPr>
          <w:lang w:val="fr-FR"/>
        </w:rPr>
        <w:t>’</w:t>
      </w:r>
      <w:r w:rsidRPr="00CA31D2">
        <w:rPr>
          <w:lang w:val="fr-FR"/>
        </w:rPr>
        <w:t>espèce, le Comité, agissant en vertu de l</w:t>
      </w:r>
      <w:r>
        <w:rPr>
          <w:lang w:val="fr-FR"/>
        </w:rPr>
        <w:t>’</w:t>
      </w:r>
      <w:r w:rsidRPr="00CA31D2">
        <w:rPr>
          <w:lang w:val="fr-FR"/>
        </w:rPr>
        <w:t>article 14</w:t>
      </w:r>
      <w:r>
        <w:rPr>
          <w:lang w:val="fr-FR"/>
        </w:rPr>
        <w:t xml:space="preserve"> (par. 7 a))</w:t>
      </w:r>
      <w:r w:rsidRPr="00CA31D2">
        <w:rPr>
          <w:lang w:val="fr-FR"/>
        </w:rPr>
        <w:t xml:space="preserve"> de la Convention, considère que les faits dont il est saisi font apparaître une violation par l</w:t>
      </w:r>
      <w:r>
        <w:rPr>
          <w:lang w:val="fr-FR"/>
        </w:rPr>
        <w:t>’</w:t>
      </w:r>
      <w:r w:rsidRPr="00CA31D2">
        <w:rPr>
          <w:lang w:val="fr-FR"/>
        </w:rPr>
        <w:t xml:space="preserve">État partie </w:t>
      </w:r>
      <w:r>
        <w:rPr>
          <w:lang w:val="fr-FR"/>
        </w:rPr>
        <w:t>de l’article</w:t>
      </w:r>
      <w:r w:rsidR="009F70AD">
        <w:rPr>
          <w:lang w:val="fr-FR"/>
        </w:rPr>
        <w:t> </w:t>
      </w:r>
      <w:r w:rsidRPr="00CA31D2">
        <w:rPr>
          <w:lang w:val="fr-FR"/>
        </w:rPr>
        <w:t>6 de la Convention.</w:t>
      </w:r>
    </w:p>
    <w:p w14:paraId="344924A2" w14:textId="431E4020" w:rsidR="00DF04F7" w:rsidRPr="00CA31D2" w:rsidRDefault="00DF04F7" w:rsidP="00A657D8">
      <w:pPr>
        <w:pStyle w:val="SingleTxtG"/>
        <w:rPr>
          <w:lang w:val="fr-FR"/>
        </w:rPr>
      </w:pPr>
      <w:r w:rsidRPr="00CA31D2">
        <w:rPr>
          <w:lang w:val="fr-FR"/>
        </w:rPr>
        <w:t>9.</w:t>
      </w:r>
      <w:r w:rsidRPr="00CA31D2">
        <w:rPr>
          <w:lang w:val="fr-FR"/>
        </w:rPr>
        <w:tab/>
        <w:t>Le Comité recommande à l</w:t>
      </w:r>
      <w:r>
        <w:rPr>
          <w:lang w:val="fr-FR"/>
        </w:rPr>
        <w:t>’</w:t>
      </w:r>
      <w:r w:rsidRPr="00CA31D2">
        <w:rPr>
          <w:lang w:val="fr-FR"/>
        </w:rPr>
        <w:t>État</w:t>
      </w:r>
      <w:r>
        <w:rPr>
          <w:lang w:val="fr-FR"/>
        </w:rPr>
        <w:t xml:space="preserve"> partie</w:t>
      </w:r>
      <w:r w:rsidRPr="00CA31D2">
        <w:rPr>
          <w:lang w:val="fr-FR"/>
        </w:rPr>
        <w:t xml:space="preserve"> de faire en s</w:t>
      </w:r>
      <w:r w:rsidRPr="00DE2ED9">
        <w:rPr>
          <w:lang w:val="fr-FR"/>
        </w:rPr>
        <w:t xml:space="preserve">orte que les personnes victimes de discrimination raciale puissent </w:t>
      </w:r>
      <w:r>
        <w:rPr>
          <w:lang w:val="fr-FR"/>
        </w:rPr>
        <w:t>bénéficier d’une réparation intégrale</w:t>
      </w:r>
      <w:r w:rsidRPr="00DE2ED9">
        <w:rPr>
          <w:lang w:val="fr-FR"/>
        </w:rPr>
        <w:t>, notamment : a)</w:t>
      </w:r>
      <w:r w:rsidR="009F70AD">
        <w:t> </w:t>
      </w:r>
      <w:r w:rsidRPr="00DE2ED9">
        <w:rPr>
          <w:lang w:val="fr-FR"/>
        </w:rPr>
        <w:t>par l</w:t>
      </w:r>
      <w:r>
        <w:rPr>
          <w:lang w:val="fr-FR"/>
        </w:rPr>
        <w:t>’</w:t>
      </w:r>
      <w:r w:rsidRPr="00DE2ED9">
        <w:rPr>
          <w:lang w:val="fr-FR"/>
        </w:rPr>
        <w:t>accès aux voies de recours internes disponibles</w:t>
      </w:r>
      <w:r>
        <w:rPr>
          <w:lang w:val="fr-FR"/>
        </w:rPr>
        <w:t xml:space="preserve"> ; </w:t>
      </w:r>
      <w:r w:rsidRPr="00DE2ED9">
        <w:rPr>
          <w:lang w:val="fr-FR"/>
        </w:rPr>
        <w:t>et b)</w:t>
      </w:r>
      <w:r w:rsidR="009F70AD">
        <w:t> </w:t>
      </w:r>
      <w:r w:rsidRPr="00DE2ED9">
        <w:rPr>
          <w:lang w:val="fr-FR"/>
        </w:rPr>
        <w:t>par l</w:t>
      </w:r>
      <w:r>
        <w:rPr>
          <w:lang w:val="fr-FR"/>
        </w:rPr>
        <w:t>’</w:t>
      </w:r>
      <w:r w:rsidRPr="00DE2ED9">
        <w:rPr>
          <w:lang w:val="fr-FR"/>
        </w:rPr>
        <w:t>examen de tous les griefs ayant rapport à la fixation des réparations auxquelles elles ont droit. Le</w:t>
      </w:r>
      <w:r>
        <w:rPr>
          <w:lang w:val="fr-FR"/>
        </w:rPr>
        <w:t xml:space="preserve"> Comité</w:t>
      </w:r>
      <w:r w:rsidRPr="00993340">
        <w:rPr>
          <w:lang w:val="fr-FR"/>
        </w:rPr>
        <w:t xml:space="preserve"> recommande également que </w:t>
      </w:r>
      <w:r>
        <w:rPr>
          <w:lang w:val="fr-FR"/>
        </w:rPr>
        <w:t xml:space="preserve">le repositionnement de salariés victimes de discrimination raciale soit explicitement pris en compte dans la détermination des dommages-intérêts qui leur sont alloués. </w:t>
      </w:r>
      <w:r w:rsidRPr="00CA31D2">
        <w:rPr>
          <w:lang w:val="fr-FR"/>
        </w:rPr>
        <w:t>L</w:t>
      </w:r>
      <w:r>
        <w:rPr>
          <w:lang w:val="fr-FR"/>
        </w:rPr>
        <w:t>’</w:t>
      </w:r>
      <w:r w:rsidRPr="00CA31D2">
        <w:rPr>
          <w:lang w:val="fr-FR"/>
        </w:rPr>
        <w:t xml:space="preserve">État partie est </w:t>
      </w:r>
      <w:r>
        <w:rPr>
          <w:lang w:val="fr-FR"/>
        </w:rPr>
        <w:t>en outre</w:t>
      </w:r>
      <w:r w:rsidRPr="00CA31D2">
        <w:rPr>
          <w:lang w:val="fr-FR"/>
        </w:rPr>
        <w:t xml:space="preserve"> prié de diffuser largement </w:t>
      </w:r>
      <w:r>
        <w:rPr>
          <w:lang w:val="fr-FR"/>
        </w:rPr>
        <w:t>le présent avis</w:t>
      </w:r>
      <w:r w:rsidRPr="00CA31D2">
        <w:rPr>
          <w:lang w:val="fr-FR"/>
        </w:rPr>
        <w:t xml:space="preserve"> du Comité, notamment auprès des instances judiciaires. </w:t>
      </w:r>
    </w:p>
    <w:p w14:paraId="152C657C" w14:textId="6FB491A1" w:rsidR="00984B29" w:rsidRDefault="00DF04F7" w:rsidP="00F7134D">
      <w:pPr>
        <w:pStyle w:val="SingleTxtG"/>
        <w:rPr>
          <w:lang w:val="fr-FR"/>
        </w:rPr>
      </w:pPr>
      <w:r w:rsidRPr="00CA31D2">
        <w:rPr>
          <w:lang w:val="fr-FR"/>
        </w:rPr>
        <w:t>10.</w:t>
      </w:r>
      <w:r w:rsidRPr="00CA31D2">
        <w:rPr>
          <w:lang w:val="fr-FR"/>
        </w:rPr>
        <w:tab/>
        <w:t>Le Comité souhaite recevoir de l</w:t>
      </w:r>
      <w:r>
        <w:rPr>
          <w:lang w:val="fr-FR"/>
        </w:rPr>
        <w:t>’</w:t>
      </w:r>
      <w:r w:rsidRPr="00CA31D2">
        <w:rPr>
          <w:lang w:val="fr-FR"/>
        </w:rPr>
        <w:t xml:space="preserve">État partie, dans un délai de quatre-vingt-dix jours, des renseignements sur les mesures </w:t>
      </w:r>
      <w:r>
        <w:rPr>
          <w:lang w:val="fr-FR"/>
        </w:rPr>
        <w:t xml:space="preserve">qu’il aura </w:t>
      </w:r>
      <w:r w:rsidRPr="00CA31D2">
        <w:rPr>
          <w:lang w:val="fr-FR"/>
        </w:rPr>
        <w:t xml:space="preserve">prises pour donner effet </w:t>
      </w:r>
      <w:r>
        <w:rPr>
          <w:lang w:val="fr-FR"/>
        </w:rPr>
        <w:t>au présent avis</w:t>
      </w:r>
      <w:r w:rsidRPr="00CA31D2">
        <w:rPr>
          <w:lang w:val="fr-FR"/>
        </w:rPr>
        <w:t>.</w:t>
      </w:r>
    </w:p>
    <w:p w14:paraId="7D43BCC1" w14:textId="3D21D796" w:rsidR="00F7134D" w:rsidRPr="00F7134D" w:rsidRDefault="00F7134D" w:rsidP="00F7134D">
      <w:pPr>
        <w:pStyle w:val="SingleTxtG"/>
        <w:spacing w:before="240" w:after="0"/>
        <w:jc w:val="center"/>
        <w:rPr>
          <w:u w:val="single"/>
        </w:rPr>
      </w:pPr>
      <w:r>
        <w:rPr>
          <w:u w:val="single"/>
        </w:rPr>
        <w:tab/>
      </w:r>
      <w:r>
        <w:rPr>
          <w:u w:val="single"/>
        </w:rPr>
        <w:tab/>
      </w:r>
      <w:r>
        <w:rPr>
          <w:u w:val="single"/>
        </w:rPr>
        <w:tab/>
      </w:r>
    </w:p>
    <w:sectPr w:rsidR="00F7134D" w:rsidRPr="00F7134D" w:rsidSect="00244F5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A497" w14:textId="77777777" w:rsidR="001861CF" w:rsidRDefault="001861CF" w:rsidP="00F95C08">
      <w:pPr>
        <w:spacing w:line="240" w:lineRule="auto"/>
      </w:pPr>
    </w:p>
  </w:endnote>
  <w:endnote w:type="continuationSeparator" w:id="0">
    <w:p w14:paraId="5AC95405" w14:textId="77777777" w:rsidR="001861CF" w:rsidRPr="00AC3823" w:rsidRDefault="001861CF" w:rsidP="00AC3823"/>
  </w:endnote>
  <w:endnote w:type="continuationNotice" w:id="1">
    <w:p w14:paraId="0CA6D367" w14:textId="77777777" w:rsidR="001861CF" w:rsidRDefault="001861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2832" w14:textId="76F44E16" w:rsidR="00DC5883" w:rsidRPr="00DC5883" w:rsidRDefault="00244F51" w:rsidP="00244F51">
    <w:pPr>
      <w:tabs>
        <w:tab w:val="right" w:pos="9638"/>
      </w:tabs>
    </w:pPr>
    <w:r w:rsidRPr="00244F51">
      <w:rPr>
        <w:b/>
        <w:sz w:val="18"/>
      </w:rPr>
      <w:fldChar w:fldCharType="begin"/>
    </w:r>
    <w:r w:rsidRPr="00244F51">
      <w:rPr>
        <w:b/>
        <w:sz w:val="18"/>
      </w:rPr>
      <w:instrText xml:space="preserve"> PAGE  \* MERGEFORMAT </w:instrText>
    </w:r>
    <w:r w:rsidRPr="00244F51">
      <w:rPr>
        <w:b/>
        <w:sz w:val="18"/>
      </w:rPr>
      <w:fldChar w:fldCharType="separate"/>
    </w:r>
    <w:r w:rsidR="006E2552">
      <w:rPr>
        <w:b/>
        <w:noProof/>
        <w:sz w:val="18"/>
      </w:rPr>
      <w:t>2</w:t>
    </w:r>
    <w:r w:rsidRPr="00244F5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4E61" w14:textId="50C628E0" w:rsidR="00244F51" w:rsidRPr="00244F51" w:rsidRDefault="00244F51" w:rsidP="00244F51">
    <w:pPr>
      <w:tabs>
        <w:tab w:val="right" w:pos="9638"/>
      </w:tabs>
      <w:rPr>
        <w:b/>
        <w:sz w:val="18"/>
      </w:rPr>
    </w:pPr>
    <w:r>
      <w:tab/>
    </w:r>
    <w:r w:rsidRPr="00244F51">
      <w:rPr>
        <w:b/>
        <w:sz w:val="18"/>
      </w:rPr>
      <w:fldChar w:fldCharType="begin"/>
    </w:r>
    <w:r w:rsidRPr="00244F51">
      <w:rPr>
        <w:b/>
        <w:sz w:val="18"/>
      </w:rPr>
      <w:instrText xml:space="preserve"> PAGE  \* MERGEFORMAT </w:instrText>
    </w:r>
    <w:r w:rsidRPr="00244F51">
      <w:rPr>
        <w:b/>
        <w:sz w:val="18"/>
      </w:rPr>
      <w:fldChar w:fldCharType="separate"/>
    </w:r>
    <w:r w:rsidR="006E2552">
      <w:rPr>
        <w:b/>
        <w:noProof/>
        <w:sz w:val="18"/>
      </w:rPr>
      <w:t>3</w:t>
    </w:r>
    <w:r w:rsidRPr="00244F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26B6" w14:textId="120F3A7F" w:rsidR="00F17B31" w:rsidRPr="00F17B31" w:rsidRDefault="00F17B31" w:rsidP="00F17B31">
    <w:pPr>
      <w:pStyle w:val="Pieddepage"/>
      <w:tabs>
        <w:tab w:val="left" w:pos="6520"/>
        <w:tab w:val="right" w:pos="9638"/>
      </w:tabs>
      <w:spacing w:before="120"/>
      <w:rPr>
        <w:sz w:val="20"/>
      </w:rPr>
    </w:pPr>
    <w:r>
      <w:rPr>
        <w:sz w:val="20"/>
      </w:rPr>
      <w:t>GE.22-02339  (F)</w:t>
    </w:r>
    <w:bookmarkStart w:id="2" w:name="_GoBack"/>
    <w:bookmarkEnd w:id="2"/>
    <w:r>
      <w:rPr>
        <w:sz w:val="20"/>
      </w:rPr>
      <w:tab/>
    </w:r>
    <w:r w:rsidRPr="00F17B31">
      <w:rPr>
        <w:noProof/>
        <w:sz w:val="20"/>
        <w:lang w:eastAsia="fr-CH"/>
      </w:rPr>
      <w:drawing>
        <wp:inline distT="0" distB="0" distL="0" distR="0" wp14:anchorId="6C13A6C6" wp14:editId="48F1E274">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C6B1815" wp14:editId="3B8014CA">
          <wp:extent cx="562610" cy="5626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FE75" w14:textId="77777777" w:rsidR="001861CF" w:rsidRPr="00AC3823" w:rsidRDefault="001861CF" w:rsidP="00AC3823">
      <w:pPr>
        <w:tabs>
          <w:tab w:val="right" w:pos="2155"/>
        </w:tabs>
        <w:spacing w:after="80"/>
        <w:ind w:left="680"/>
        <w:rPr>
          <w:u w:val="single"/>
        </w:rPr>
      </w:pPr>
      <w:r>
        <w:rPr>
          <w:u w:val="single"/>
        </w:rPr>
        <w:tab/>
      </w:r>
    </w:p>
  </w:footnote>
  <w:footnote w:type="continuationSeparator" w:id="0">
    <w:p w14:paraId="43B53120" w14:textId="77777777" w:rsidR="001861CF" w:rsidRPr="00AC3823" w:rsidRDefault="001861CF" w:rsidP="00AC3823">
      <w:pPr>
        <w:tabs>
          <w:tab w:val="right" w:pos="2155"/>
        </w:tabs>
        <w:spacing w:after="80"/>
        <w:ind w:left="680"/>
        <w:rPr>
          <w:u w:val="single"/>
        </w:rPr>
      </w:pPr>
      <w:r>
        <w:rPr>
          <w:u w:val="single"/>
        </w:rPr>
        <w:tab/>
      </w:r>
    </w:p>
  </w:footnote>
  <w:footnote w:type="continuationNotice" w:id="1">
    <w:p w14:paraId="0CB82DEE" w14:textId="77777777" w:rsidR="001861CF" w:rsidRPr="00AC3823" w:rsidRDefault="001861CF">
      <w:pPr>
        <w:spacing w:line="240" w:lineRule="auto"/>
        <w:rPr>
          <w:sz w:val="2"/>
          <w:szCs w:val="2"/>
        </w:rPr>
      </w:pPr>
    </w:p>
  </w:footnote>
  <w:footnote w:id="2">
    <w:p w14:paraId="1833F011" w14:textId="77777777" w:rsidR="00DF04F7" w:rsidRPr="00422C87" w:rsidRDefault="00DF04F7" w:rsidP="00A657D8">
      <w:pPr>
        <w:pStyle w:val="Notedebasdepage"/>
      </w:pPr>
      <w:r w:rsidRPr="00422C87">
        <w:tab/>
      </w:r>
      <w:r w:rsidRPr="00A657D8">
        <w:rPr>
          <w:sz w:val="20"/>
        </w:rPr>
        <w:t>*</w:t>
      </w:r>
      <w:r w:rsidRPr="00422C87">
        <w:tab/>
      </w:r>
      <w:r w:rsidRPr="006005BE">
        <w:rPr>
          <w:lang w:val="fr-FR"/>
        </w:rPr>
        <w:t>Adopté par le Comité à sa</w:t>
      </w:r>
      <w:r>
        <w:rPr>
          <w:lang w:val="fr-FR"/>
        </w:rPr>
        <w:t xml:space="preserve"> 105</w:t>
      </w:r>
      <w:r w:rsidRPr="00422C87">
        <w:rPr>
          <w:vertAlign w:val="superscript"/>
          <w:lang w:val="fr-FR"/>
        </w:rPr>
        <w:t>e</w:t>
      </w:r>
      <w:r>
        <w:rPr>
          <w:lang w:val="fr-FR"/>
        </w:rPr>
        <w:t> session (15 novembre-3 décembre 2021).</w:t>
      </w:r>
    </w:p>
  </w:footnote>
  <w:footnote w:id="3">
    <w:p w14:paraId="1B8D6D08" w14:textId="7A8EF246" w:rsidR="00DF04F7" w:rsidRPr="00422C87" w:rsidRDefault="00DF04F7" w:rsidP="00A657D8">
      <w:pPr>
        <w:pStyle w:val="Notedebasdepage"/>
        <w:rPr>
          <w:sz w:val="16"/>
        </w:rPr>
      </w:pPr>
      <w:r w:rsidRPr="00422C87">
        <w:tab/>
      </w:r>
      <w:r w:rsidRPr="00A657D8">
        <w:rPr>
          <w:sz w:val="20"/>
        </w:rPr>
        <w:t>**</w:t>
      </w:r>
      <w:r w:rsidRPr="00422C87">
        <w:tab/>
        <w:t xml:space="preserve">Les membres du Comité dont le nom suit ont participé </w:t>
      </w:r>
      <w:r>
        <w:t>à</w:t>
      </w:r>
      <w:r w:rsidRPr="00422C87">
        <w:t xml:space="preserve"> l</w:t>
      </w:r>
      <w:r w:rsidR="00870042">
        <w:t>’</w:t>
      </w:r>
      <w:r w:rsidRPr="00422C87">
        <w:t>examen de la communication</w:t>
      </w:r>
      <w:r>
        <w:t> </w:t>
      </w:r>
      <w:r w:rsidRPr="00422C87">
        <w:t xml:space="preserve">: Silvio José Albuquerque </w:t>
      </w:r>
      <w:r>
        <w:t>e</w:t>
      </w:r>
      <w:r w:rsidRPr="00422C87">
        <w:t xml:space="preserve"> Silva, </w:t>
      </w:r>
      <w:proofErr w:type="spellStart"/>
      <w:r w:rsidRPr="00422C87">
        <w:t>Sheikha</w:t>
      </w:r>
      <w:proofErr w:type="spellEnd"/>
      <w:r w:rsidRPr="00422C87">
        <w:t xml:space="preserve"> </w:t>
      </w:r>
      <w:proofErr w:type="spellStart"/>
      <w:r w:rsidRPr="00422C87">
        <w:t>Abdulla</w:t>
      </w:r>
      <w:proofErr w:type="spellEnd"/>
      <w:r w:rsidRPr="00422C87">
        <w:t xml:space="preserve"> Ali Al-</w:t>
      </w:r>
      <w:proofErr w:type="spellStart"/>
      <w:r w:rsidRPr="00422C87">
        <w:t>Misnad</w:t>
      </w:r>
      <w:proofErr w:type="spellEnd"/>
      <w:r w:rsidRPr="00422C87">
        <w:t>, Nour</w:t>
      </w:r>
      <w:r>
        <w:t>r</w:t>
      </w:r>
      <w:r w:rsidRPr="00422C87">
        <w:t xml:space="preserve">edine Amir, Marc </w:t>
      </w:r>
      <w:proofErr w:type="spellStart"/>
      <w:r w:rsidRPr="00422C87">
        <w:t>Bossuyt</w:t>
      </w:r>
      <w:proofErr w:type="spellEnd"/>
      <w:r w:rsidRPr="00422C87">
        <w:t xml:space="preserve">, </w:t>
      </w:r>
      <w:proofErr w:type="spellStart"/>
      <w:r w:rsidRPr="00422C87">
        <w:t>Chinsung</w:t>
      </w:r>
      <w:proofErr w:type="spellEnd"/>
      <w:r w:rsidRPr="00422C87">
        <w:t xml:space="preserve"> Chung, </w:t>
      </w:r>
      <w:proofErr w:type="spellStart"/>
      <w:r w:rsidRPr="00422C87">
        <w:t>Bakari</w:t>
      </w:r>
      <w:proofErr w:type="spellEnd"/>
      <w:r w:rsidRPr="00422C87">
        <w:t xml:space="preserve"> Sidiki Diaby, Ibrahima </w:t>
      </w:r>
      <w:proofErr w:type="spellStart"/>
      <w:r w:rsidRPr="00422C87">
        <w:t>Guissé</w:t>
      </w:r>
      <w:proofErr w:type="spellEnd"/>
      <w:r w:rsidRPr="00422C87">
        <w:t xml:space="preserve">, Rita </w:t>
      </w:r>
      <w:proofErr w:type="spellStart"/>
      <w:r w:rsidRPr="00422C87">
        <w:t>Iz</w:t>
      </w:r>
      <w:r>
        <w:t>s</w:t>
      </w:r>
      <w:r w:rsidRPr="00422C87">
        <w:t>ák</w:t>
      </w:r>
      <w:proofErr w:type="spellEnd"/>
      <w:r w:rsidRPr="00422C87">
        <w:t xml:space="preserve">-Ndiaye, </w:t>
      </w:r>
      <w:proofErr w:type="spellStart"/>
      <w:r w:rsidRPr="00422C87">
        <w:t>Keiko</w:t>
      </w:r>
      <w:proofErr w:type="spellEnd"/>
      <w:r w:rsidRPr="00422C87">
        <w:t xml:space="preserve"> Ko, Gun </w:t>
      </w:r>
      <w:proofErr w:type="spellStart"/>
      <w:r w:rsidRPr="00422C87">
        <w:t>Kut</w:t>
      </w:r>
      <w:proofErr w:type="spellEnd"/>
      <w:r w:rsidRPr="00422C87">
        <w:t xml:space="preserve">, </w:t>
      </w:r>
      <w:proofErr w:type="spellStart"/>
      <w:r w:rsidRPr="00422C87">
        <w:t>Yanduan</w:t>
      </w:r>
      <w:proofErr w:type="spellEnd"/>
      <w:r>
        <w:t xml:space="preserve"> Li</w:t>
      </w:r>
      <w:r w:rsidRPr="00422C87">
        <w:t xml:space="preserve">, </w:t>
      </w:r>
      <w:proofErr w:type="spellStart"/>
      <w:r w:rsidRPr="00422C87">
        <w:t>Mehrdad</w:t>
      </w:r>
      <w:proofErr w:type="spellEnd"/>
      <w:r w:rsidRPr="00422C87">
        <w:t xml:space="preserve"> </w:t>
      </w:r>
      <w:proofErr w:type="spellStart"/>
      <w:r w:rsidRPr="00422C87">
        <w:t>Payandeh</w:t>
      </w:r>
      <w:proofErr w:type="spellEnd"/>
      <w:r w:rsidRPr="00422C87">
        <w:t xml:space="preserve">, </w:t>
      </w:r>
      <w:proofErr w:type="spellStart"/>
      <w:r w:rsidRPr="00AD5AEF">
        <w:t>Vadili</w:t>
      </w:r>
      <w:proofErr w:type="spellEnd"/>
      <w:r w:rsidRPr="00AD5AEF">
        <w:t xml:space="preserve"> </w:t>
      </w:r>
      <w:r>
        <w:t xml:space="preserve">Mohamed </w:t>
      </w:r>
      <w:proofErr w:type="spellStart"/>
      <w:r w:rsidRPr="00AD5AEF">
        <w:t>Rayess</w:t>
      </w:r>
      <w:proofErr w:type="spellEnd"/>
      <w:r w:rsidRPr="00AD5AEF">
        <w:t xml:space="preserve">, </w:t>
      </w:r>
      <w:proofErr w:type="spellStart"/>
      <w:r w:rsidRPr="00422C87">
        <w:t>Verene</w:t>
      </w:r>
      <w:proofErr w:type="spellEnd"/>
      <w:r w:rsidRPr="00422C87">
        <w:t xml:space="preserve"> </w:t>
      </w:r>
      <w:proofErr w:type="spellStart"/>
      <w:r w:rsidRPr="00422C87">
        <w:t>Albertha</w:t>
      </w:r>
      <w:proofErr w:type="spellEnd"/>
      <w:r w:rsidRPr="00422C87">
        <w:t xml:space="preserve"> Shepherd, </w:t>
      </w:r>
      <w:proofErr w:type="spellStart"/>
      <w:r w:rsidRPr="00422C87">
        <w:t>Stamatia</w:t>
      </w:r>
      <w:proofErr w:type="spellEnd"/>
      <w:r w:rsidRPr="00422C87">
        <w:t xml:space="preserve"> </w:t>
      </w:r>
      <w:proofErr w:type="spellStart"/>
      <w:r w:rsidRPr="00422C87">
        <w:t>Stavrinaki</w:t>
      </w:r>
      <w:proofErr w:type="spellEnd"/>
      <w:r w:rsidRPr="00422C87">
        <w:t xml:space="preserve">, Faith </w:t>
      </w:r>
      <w:proofErr w:type="spellStart"/>
      <w:r w:rsidRPr="00422C87">
        <w:t>Dikeledi</w:t>
      </w:r>
      <w:proofErr w:type="spellEnd"/>
      <w:r w:rsidRPr="00422C87">
        <w:t xml:space="preserve"> Pansy </w:t>
      </w:r>
      <w:proofErr w:type="spellStart"/>
      <w:r w:rsidRPr="00422C87">
        <w:t>Tlakula</w:t>
      </w:r>
      <w:proofErr w:type="spellEnd"/>
      <w:r w:rsidRPr="00422C87">
        <w:t xml:space="preserve">, Eduardo Ernesto Vega Luna </w:t>
      </w:r>
      <w:r>
        <w:t>et</w:t>
      </w:r>
      <w:r w:rsidRPr="00422C87">
        <w:t xml:space="preserve"> Yeung Kam John Yeung </w:t>
      </w:r>
      <w:proofErr w:type="spellStart"/>
      <w:r w:rsidRPr="00422C87">
        <w:t>Sik</w:t>
      </w:r>
      <w:proofErr w:type="spellEnd"/>
      <w:r w:rsidRPr="00422C87">
        <w:t xml:space="preserve"> </w:t>
      </w:r>
      <w:proofErr w:type="spellStart"/>
      <w:r w:rsidRPr="00422C87">
        <w:t>Yuen</w:t>
      </w:r>
      <w:proofErr w:type="spellEnd"/>
      <w:r w:rsidRPr="00422C87">
        <w:t>.</w:t>
      </w:r>
    </w:p>
  </w:footnote>
  <w:footnote w:id="4">
    <w:p w14:paraId="1B9C8FDE" w14:textId="58F161C9" w:rsidR="00DF04F7" w:rsidRPr="00630336" w:rsidRDefault="00DF04F7" w:rsidP="00DC5883">
      <w:pPr>
        <w:pStyle w:val="Notedebasdepage"/>
        <w:rPr>
          <w:lang w:val="fr-FR"/>
        </w:rPr>
      </w:pPr>
      <w:r>
        <w:rPr>
          <w:lang w:val="fr-FR"/>
        </w:rPr>
        <w:tab/>
      </w:r>
      <w:r w:rsidRPr="00F2181D">
        <w:rPr>
          <w:rStyle w:val="Appelnotedebasdep"/>
        </w:rPr>
        <w:footnoteRef/>
      </w:r>
      <w:r>
        <w:rPr>
          <w:lang w:val="fr-FR"/>
        </w:rPr>
        <w:tab/>
      </w:r>
      <w:r w:rsidRPr="00630336">
        <w:rPr>
          <w:lang w:val="fr-FR"/>
        </w:rPr>
        <w:t>La présente communication a été complétée par l</w:t>
      </w:r>
      <w:r w:rsidR="00870042">
        <w:rPr>
          <w:lang w:val="fr-FR"/>
        </w:rPr>
        <w:t>’</w:t>
      </w:r>
      <w:r w:rsidRPr="00784F4F">
        <w:rPr>
          <w:lang w:val="fr-FR"/>
        </w:rPr>
        <w:t xml:space="preserve">auteur </w:t>
      </w:r>
      <w:r w:rsidRPr="00BA6933">
        <w:rPr>
          <w:lang w:val="fr-FR"/>
        </w:rPr>
        <w:t>les 8 mars et 5 octobre 2018.</w:t>
      </w:r>
    </w:p>
  </w:footnote>
  <w:footnote w:id="5">
    <w:p w14:paraId="604807D2" w14:textId="068852A7" w:rsidR="00DF04F7" w:rsidRPr="00630336" w:rsidRDefault="00DF04F7" w:rsidP="00A907D7">
      <w:pPr>
        <w:pStyle w:val="Notedebasdepage"/>
        <w:rPr>
          <w:lang w:val="fr-FR"/>
        </w:rPr>
      </w:pPr>
      <w:r>
        <w:rPr>
          <w:lang w:val="fr-FR"/>
        </w:rPr>
        <w:tab/>
      </w:r>
      <w:r w:rsidRPr="00987B66">
        <w:rPr>
          <w:rStyle w:val="Appelnotedebasdep"/>
        </w:rPr>
        <w:footnoteRef/>
      </w:r>
      <w:r>
        <w:rPr>
          <w:lang w:val="fr-FR"/>
        </w:rPr>
        <w:tab/>
        <w:t>Dans ses observations du 13</w:t>
      </w:r>
      <w:r w:rsidR="00870042">
        <w:rPr>
          <w:lang w:val="fr-FR"/>
        </w:rPr>
        <w:t> </w:t>
      </w:r>
      <w:r>
        <w:rPr>
          <w:lang w:val="fr-FR"/>
        </w:rPr>
        <w:t>mars 2019, l</w:t>
      </w:r>
      <w:r w:rsidR="00870042">
        <w:rPr>
          <w:lang w:val="fr-FR"/>
        </w:rPr>
        <w:t>’</w:t>
      </w:r>
      <w:r>
        <w:rPr>
          <w:lang w:val="fr-FR"/>
        </w:rPr>
        <w:t>État partie souligne que l</w:t>
      </w:r>
      <w:r w:rsidR="00870042">
        <w:rPr>
          <w:lang w:val="fr-FR"/>
        </w:rPr>
        <w:t>’</w:t>
      </w:r>
      <w:r w:rsidRPr="00DC05DC">
        <w:rPr>
          <w:lang w:val="fr-FR"/>
        </w:rPr>
        <w:t xml:space="preserve">auteur était salarié de </w:t>
      </w:r>
      <w:r>
        <w:rPr>
          <w:lang w:val="fr-FR"/>
        </w:rPr>
        <w:t>la société</w:t>
      </w:r>
      <w:r w:rsidRPr="00DC05DC">
        <w:rPr>
          <w:lang w:val="fr-FR"/>
        </w:rPr>
        <w:t xml:space="preserve"> Renault du 31</w:t>
      </w:r>
      <w:r w:rsidR="00870042">
        <w:rPr>
          <w:lang w:val="fr-FR"/>
        </w:rPr>
        <w:t> </w:t>
      </w:r>
      <w:r w:rsidRPr="00DC05DC">
        <w:rPr>
          <w:lang w:val="fr-FR"/>
        </w:rPr>
        <w:t>ao</w:t>
      </w:r>
      <w:r>
        <w:rPr>
          <w:lang w:val="fr-FR"/>
        </w:rPr>
        <w:t>ût 1971 au 1</w:t>
      </w:r>
      <w:r w:rsidRPr="00630336">
        <w:rPr>
          <w:vertAlign w:val="superscript"/>
          <w:lang w:val="fr-FR"/>
        </w:rPr>
        <w:t>er</w:t>
      </w:r>
      <w:r w:rsidR="00870042">
        <w:rPr>
          <w:lang w:val="fr-FR"/>
        </w:rPr>
        <w:t> </w:t>
      </w:r>
      <w:r w:rsidRPr="00DC05DC">
        <w:rPr>
          <w:lang w:val="fr-FR"/>
        </w:rPr>
        <w:t>décembre 2003.</w:t>
      </w:r>
    </w:p>
  </w:footnote>
  <w:footnote w:id="6">
    <w:p w14:paraId="4660EAC4" w14:textId="056C4048" w:rsidR="00DF04F7" w:rsidRPr="0016671D" w:rsidRDefault="00DF04F7" w:rsidP="00A907D7">
      <w:pPr>
        <w:pStyle w:val="Notedebasdepage"/>
        <w:rPr>
          <w:lang w:val="fr-FR"/>
        </w:rPr>
      </w:pPr>
      <w:r>
        <w:rPr>
          <w:lang w:val="fr-FR"/>
        </w:rPr>
        <w:tab/>
      </w:r>
      <w:r w:rsidRPr="00987B66">
        <w:rPr>
          <w:rStyle w:val="Appelnotedebasdep"/>
        </w:rPr>
        <w:footnoteRef/>
      </w:r>
      <w:r>
        <w:rPr>
          <w:lang w:val="fr-FR"/>
        </w:rPr>
        <w:tab/>
        <w:t>Le Conseil de prud</w:t>
      </w:r>
      <w:r w:rsidR="00870042">
        <w:rPr>
          <w:lang w:val="fr-FR"/>
        </w:rPr>
        <w:t>’</w:t>
      </w:r>
      <w:r>
        <w:rPr>
          <w:lang w:val="fr-FR"/>
        </w:rPr>
        <w:t>hommes de Boulogne-Billancourt, par jugement du 1</w:t>
      </w:r>
      <w:r w:rsidRPr="00C81783">
        <w:rPr>
          <w:vertAlign w:val="superscript"/>
          <w:lang w:val="fr-FR"/>
        </w:rPr>
        <w:t>er</w:t>
      </w:r>
      <w:r w:rsidR="00870042">
        <w:rPr>
          <w:lang w:val="fr-FR"/>
        </w:rPr>
        <w:t> </w:t>
      </w:r>
      <w:r>
        <w:rPr>
          <w:lang w:val="fr-FR"/>
        </w:rPr>
        <w:t>mars 2004, a nommé un expert qui avait pour mission, entre autres, de recréer les plans de carrière des demandeurs, dont l</w:t>
      </w:r>
      <w:r w:rsidR="00870042">
        <w:rPr>
          <w:lang w:val="fr-FR"/>
        </w:rPr>
        <w:t>’</w:t>
      </w:r>
      <w:r>
        <w:rPr>
          <w:lang w:val="fr-FR"/>
        </w:rPr>
        <w:t>auteur, au sein de la société Renault (salaire, formation, qualification). Le rapport de l</w:t>
      </w:r>
      <w:r w:rsidR="00870042">
        <w:rPr>
          <w:lang w:val="fr-FR"/>
        </w:rPr>
        <w:t>’</w:t>
      </w:r>
      <w:r>
        <w:rPr>
          <w:lang w:val="fr-FR"/>
        </w:rPr>
        <w:t>expert a été rendu au Conseil et aux parties le 9</w:t>
      </w:r>
      <w:r w:rsidR="00870042">
        <w:rPr>
          <w:lang w:val="fr-FR"/>
        </w:rPr>
        <w:t> </w:t>
      </w:r>
      <w:r>
        <w:rPr>
          <w:lang w:val="fr-FR"/>
        </w:rPr>
        <w:t xml:space="preserve">mai 2005. </w:t>
      </w:r>
    </w:p>
  </w:footnote>
  <w:footnote w:id="7">
    <w:p w14:paraId="0F1B3520" w14:textId="04D05ED4" w:rsidR="00DF04F7" w:rsidRPr="00CC691E" w:rsidRDefault="00DF04F7" w:rsidP="00A907D7">
      <w:pPr>
        <w:pStyle w:val="Notedebasdepage"/>
        <w:rPr>
          <w:lang w:val="fr-FR"/>
        </w:rPr>
      </w:pPr>
      <w:r>
        <w:rPr>
          <w:lang w:val="fr-FR"/>
        </w:rPr>
        <w:tab/>
      </w:r>
      <w:r w:rsidRPr="00564369">
        <w:rPr>
          <w:rStyle w:val="Appelnotedebasdep"/>
        </w:rPr>
        <w:footnoteRef/>
      </w:r>
      <w:r>
        <w:rPr>
          <w:lang w:val="fr-FR"/>
        </w:rPr>
        <w:tab/>
        <w:t>Voir l</w:t>
      </w:r>
      <w:r w:rsidR="00870042">
        <w:rPr>
          <w:lang w:val="fr-FR"/>
        </w:rPr>
        <w:t>’</w:t>
      </w:r>
      <w:r w:rsidRPr="0024316B">
        <w:rPr>
          <w:lang w:val="fr-FR"/>
        </w:rPr>
        <w:t xml:space="preserve">article </w:t>
      </w:r>
      <w:r>
        <w:rPr>
          <w:lang w:val="fr-FR"/>
        </w:rPr>
        <w:t xml:space="preserve">premier </w:t>
      </w:r>
      <w:r w:rsidRPr="00CC691E">
        <w:rPr>
          <w:lang w:val="fr-FR"/>
        </w:rPr>
        <w:t>de la Déclaration des droits de l</w:t>
      </w:r>
      <w:r w:rsidR="00870042">
        <w:rPr>
          <w:lang w:val="fr-FR"/>
        </w:rPr>
        <w:t>’</w:t>
      </w:r>
      <w:r>
        <w:rPr>
          <w:lang w:val="fr-FR"/>
        </w:rPr>
        <w:t>h</w:t>
      </w:r>
      <w:r w:rsidRPr="00CC691E">
        <w:rPr>
          <w:lang w:val="fr-FR"/>
        </w:rPr>
        <w:t>omme et du citoyen</w:t>
      </w:r>
      <w:r>
        <w:rPr>
          <w:lang w:val="fr-FR"/>
        </w:rPr>
        <w:t>,</w:t>
      </w:r>
      <w:r w:rsidRPr="00CC691E">
        <w:rPr>
          <w:lang w:val="fr-FR"/>
        </w:rPr>
        <w:t xml:space="preserve"> du 26</w:t>
      </w:r>
      <w:r w:rsidR="00444D2B">
        <w:rPr>
          <w:lang w:val="fr-FR"/>
        </w:rPr>
        <w:t> </w:t>
      </w:r>
      <w:r w:rsidRPr="00CC691E">
        <w:rPr>
          <w:lang w:val="fr-FR"/>
        </w:rPr>
        <w:t>août 1789</w:t>
      </w:r>
      <w:r>
        <w:rPr>
          <w:lang w:val="fr-FR"/>
        </w:rPr>
        <w:t> ; et l</w:t>
      </w:r>
      <w:r w:rsidR="00870042">
        <w:rPr>
          <w:lang w:val="fr-FR"/>
        </w:rPr>
        <w:t>’</w:t>
      </w:r>
      <w:r>
        <w:rPr>
          <w:lang w:val="fr-FR"/>
        </w:rPr>
        <w:t>article premier de la Constitution française.</w:t>
      </w:r>
    </w:p>
  </w:footnote>
  <w:footnote w:id="8">
    <w:p w14:paraId="21D1D0E3" w14:textId="77113E5D" w:rsidR="00DF04F7" w:rsidRPr="00CC691E" w:rsidRDefault="00DF04F7" w:rsidP="00A907D7">
      <w:pPr>
        <w:pStyle w:val="Notedebasdepage"/>
        <w:rPr>
          <w:lang w:val="fr-FR"/>
        </w:rPr>
      </w:pPr>
      <w:r>
        <w:rPr>
          <w:lang w:val="fr-FR"/>
        </w:rPr>
        <w:tab/>
      </w:r>
      <w:r w:rsidRPr="00564369">
        <w:rPr>
          <w:rStyle w:val="Appelnotedebasdep"/>
        </w:rPr>
        <w:footnoteRef/>
      </w:r>
      <w:r>
        <w:rPr>
          <w:lang w:val="fr-FR"/>
        </w:rPr>
        <w:tab/>
        <w:t xml:space="preserve">France, Code du travail, </w:t>
      </w:r>
      <w:r w:rsidRPr="002B4B0A">
        <w:rPr>
          <w:lang w:val="fr-FR"/>
        </w:rPr>
        <w:t>art</w:t>
      </w:r>
      <w:r>
        <w:rPr>
          <w:lang w:val="fr-FR"/>
        </w:rPr>
        <w:t>.</w:t>
      </w:r>
      <w:r w:rsidR="00444D2B">
        <w:rPr>
          <w:lang w:val="fr-FR"/>
        </w:rPr>
        <w:t> </w:t>
      </w:r>
      <w:r w:rsidRPr="002B4B0A">
        <w:rPr>
          <w:lang w:val="fr-FR"/>
        </w:rPr>
        <w:t>L1132-1</w:t>
      </w:r>
      <w:r>
        <w:rPr>
          <w:lang w:val="fr-FR"/>
        </w:rPr>
        <w:t xml:space="preserve">, </w:t>
      </w:r>
      <w:r w:rsidRPr="002B4B0A">
        <w:rPr>
          <w:lang w:val="fr-FR"/>
        </w:rPr>
        <w:t>L</w:t>
      </w:r>
      <w:r w:rsidRPr="00AF4F4A">
        <w:rPr>
          <w:lang w:val="fr-FR"/>
        </w:rPr>
        <w:t>1132-4</w:t>
      </w:r>
      <w:r>
        <w:rPr>
          <w:lang w:val="fr-FR"/>
        </w:rPr>
        <w:t xml:space="preserve">, L1134-1 et </w:t>
      </w:r>
      <w:r w:rsidRPr="00AF3336">
        <w:rPr>
          <w:lang w:val="fr-FR"/>
        </w:rPr>
        <w:t>L3221-1</w:t>
      </w:r>
      <w:r>
        <w:rPr>
          <w:lang w:val="fr-FR"/>
        </w:rPr>
        <w:t xml:space="preserve">. Voir également </w:t>
      </w:r>
      <w:r w:rsidRPr="00AF4F4A">
        <w:rPr>
          <w:lang w:val="fr-FR"/>
        </w:rPr>
        <w:t xml:space="preserve">la loi </w:t>
      </w:r>
      <w:r w:rsidR="0073427C" w:rsidRPr="0073427C">
        <w:rPr>
          <w:rFonts w:eastAsia="MS Mincho"/>
          <w:lang w:val="fr-FR"/>
        </w:rPr>
        <w:t>n</w:t>
      </w:r>
      <w:r w:rsidR="0073427C" w:rsidRPr="0073427C">
        <w:rPr>
          <w:rFonts w:eastAsia="MS Mincho"/>
          <w:vertAlign w:val="superscript"/>
          <w:lang w:val="fr-FR"/>
        </w:rPr>
        <w:t>o</w:t>
      </w:r>
      <w:r w:rsidR="0073427C">
        <w:rPr>
          <w:lang w:val="fr-FR"/>
        </w:rPr>
        <w:t> </w:t>
      </w:r>
      <w:r w:rsidRPr="00AF4F4A">
        <w:rPr>
          <w:lang w:val="fr-FR"/>
        </w:rPr>
        <w:t>2008-496 du 27</w:t>
      </w:r>
      <w:r w:rsidR="0073427C">
        <w:rPr>
          <w:lang w:val="fr-FR"/>
        </w:rPr>
        <w:t> </w:t>
      </w:r>
      <w:r w:rsidRPr="00AF4F4A">
        <w:rPr>
          <w:lang w:val="fr-FR"/>
        </w:rPr>
        <w:t>mai 2008 portant diverses dispositions d</w:t>
      </w:r>
      <w:r w:rsidR="00870042">
        <w:rPr>
          <w:lang w:val="fr-FR"/>
        </w:rPr>
        <w:t>’</w:t>
      </w:r>
      <w:r w:rsidRPr="00AF4F4A">
        <w:rPr>
          <w:lang w:val="fr-FR"/>
        </w:rPr>
        <w:t xml:space="preserve">adaptation </w:t>
      </w:r>
      <w:r>
        <w:rPr>
          <w:lang w:val="fr-FR"/>
        </w:rPr>
        <w:t>au</w:t>
      </w:r>
      <w:r w:rsidRPr="00AF4F4A">
        <w:rPr>
          <w:lang w:val="fr-FR"/>
        </w:rPr>
        <w:t xml:space="preserve"> droit communautaire dans le domaine de la lu</w:t>
      </w:r>
      <w:r>
        <w:rPr>
          <w:lang w:val="fr-FR"/>
        </w:rPr>
        <w:t xml:space="preserve">tte contre les discriminations. </w:t>
      </w:r>
    </w:p>
  </w:footnote>
  <w:footnote w:id="9">
    <w:p w14:paraId="09475A27" w14:textId="6B926115" w:rsidR="00DF04F7" w:rsidRPr="00422C87" w:rsidRDefault="00DF04F7" w:rsidP="00A907D7">
      <w:pPr>
        <w:pStyle w:val="Notedebasdepage"/>
        <w:rPr>
          <w:lang w:val="en-US"/>
        </w:rPr>
      </w:pPr>
      <w:r>
        <w:rPr>
          <w:lang w:val="fr-FR"/>
        </w:rPr>
        <w:tab/>
      </w:r>
      <w:r w:rsidRPr="00564369">
        <w:rPr>
          <w:rStyle w:val="Appelnotedebasdep"/>
        </w:rPr>
        <w:footnoteRef/>
      </w:r>
      <w:r>
        <w:rPr>
          <w:lang w:val="fr-FR"/>
        </w:rPr>
        <w:tab/>
        <w:t xml:space="preserve">France, Code du travail, </w:t>
      </w:r>
      <w:r w:rsidRPr="00CC691E">
        <w:rPr>
          <w:lang w:val="fr-FR"/>
        </w:rPr>
        <w:t>art</w:t>
      </w:r>
      <w:r>
        <w:rPr>
          <w:lang w:val="fr-FR"/>
        </w:rPr>
        <w:t>.</w:t>
      </w:r>
      <w:r w:rsidR="0073427C">
        <w:rPr>
          <w:lang w:val="fr-FR"/>
        </w:rPr>
        <w:t> </w:t>
      </w:r>
      <w:r w:rsidRPr="00422C87">
        <w:rPr>
          <w:lang w:val="en-US"/>
        </w:rPr>
        <w:t>L1132-3.</w:t>
      </w:r>
    </w:p>
  </w:footnote>
  <w:footnote w:id="10">
    <w:p w14:paraId="115A3ACD" w14:textId="69A340A9" w:rsidR="00DF04F7" w:rsidRPr="00F17B31" w:rsidRDefault="00DF04F7" w:rsidP="00A907D7">
      <w:pPr>
        <w:pStyle w:val="Notedebasdepage"/>
        <w:rPr>
          <w:lang w:val="en-US"/>
        </w:rPr>
      </w:pPr>
      <w:r w:rsidRPr="00422C87">
        <w:rPr>
          <w:lang w:val="en-US"/>
        </w:rPr>
        <w:tab/>
      </w:r>
      <w:r w:rsidRPr="00564369">
        <w:rPr>
          <w:rStyle w:val="Appelnotedebasdep"/>
        </w:rPr>
        <w:footnoteRef/>
      </w:r>
      <w:r w:rsidRPr="00422C87">
        <w:rPr>
          <w:lang w:val="en-US"/>
        </w:rPr>
        <w:tab/>
        <w:t>Ibid., art.</w:t>
      </w:r>
      <w:r w:rsidR="0073427C">
        <w:rPr>
          <w:lang w:val="en-US"/>
        </w:rPr>
        <w:t> </w:t>
      </w:r>
      <w:r w:rsidRPr="00F17B31">
        <w:rPr>
          <w:lang w:val="en-US"/>
        </w:rPr>
        <w:t>L1132-4.</w:t>
      </w:r>
    </w:p>
  </w:footnote>
  <w:footnote w:id="11">
    <w:p w14:paraId="4D8E7987" w14:textId="1341C5BF" w:rsidR="00DF04F7" w:rsidRPr="00F17B31" w:rsidRDefault="00DF04F7" w:rsidP="00A907D7">
      <w:pPr>
        <w:pStyle w:val="Notedebasdepage"/>
        <w:rPr>
          <w:lang w:val="en-US"/>
        </w:rPr>
      </w:pPr>
      <w:r w:rsidRPr="00F17B31">
        <w:rPr>
          <w:lang w:val="en-US"/>
        </w:rPr>
        <w:tab/>
      </w:r>
      <w:r w:rsidRPr="00564369">
        <w:rPr>
          <w:rStyle w:val="Appelnotedebasdep"/>
        </w:rPr>
        <w:footnoteRef/>
      </w:r>
      <w:r w:rsidRPr="00F17B31">
        <w:rPr>
          <w:lang w:val="en-US"/>
        </w:rPr>
        <w:tab/>
      </w:r>
      <w:hyperlink r:id="rId1" w:history="1">
        <w:r w:rsidRPr="00F17B31">
          <w:rPr>
            <w:rStyle w:val="Lienhypertexte"/>
            <w:lang w:val="en-US"/>
          </w:rPr>
          <w:t>CERD/C/89/D/52/2012</w:t>
        </w:r>
      </w:hyperlink>
      <w:r w:rsidRPr="00F17B31">
        <w:rPr>
          <w:lang w:val="en-US"/>
        </w:rPr>
        <w:t>.</w:t>
      </w:r>
    </w:p>
  </w:footnote>
  <w:footnote w:id="12">
    <w:p w14:paraId="6DD90C94" w14:textId="0D686189" w:rsidR="00DF04F7" w:rsidRPr="000E5DEE" w:rsidRDefault="00DF04F7" w:rsidP="00A907D7">
      <w:pPr>
        <w:pStyle w:val="Notedebasdepage"/>
      </w:pPr>
      <w:r w:rsidRPr="00F17B31">
        <w:rPr>
          <w:lang w:val="en-US"/>
        </w:rPr>
        <w:tab/>
      </w:r>
      <w:r w:rsidRPr="00564369">
        <w:rPr>
          <w:rStyle w:val="Appelnotedebasdep"/>
        </w:rPr>
        <w:footnoteRef/>
      </w:r>
      <w:r w:rsidRPr="000E5DEE">
        <w:tab/>
        <w:t>Cet article a été abrogé en</w:t>
      </w:r>
      <w:r w:rsidR="00CD6517">
        <w:t xml:space="preserve"> </w:t>
      </w:r>
      <w:r w:rsidRPr="000E5DEE">
        <w:t>2007. L</w:t>
      </w:r>
      <w:r w:rsidR="00870042">
        <w:t>’</w:t>
      </w:r>
      <w:r w:rsidRPr="000E5DEE">
        <w:t>article L1134-1 du Code du travail, modifié par la loi n</w:t>
      </w:r>
      <w:r w:rsidRPr="000E5DEE">
        <w:rPr>
          <w:vertAlign w:val="superscript"/>
        </w:rPr>
        <w:t>o</w:t>
      </w:r>
      <w:r w:rsidRPr="000E5DEE">
        <w:t> 2008</w:t>
      </w:r>
      <w:r w:rsidR="00CD6517">
        <w:noBreakHyphen/>
      </w:r>
      <w:r w:rsidRPr="000E5DEE">
        <w:t>496 du 27 mai</w:t>
      </w:r>
      <w:r w:rsidR="00CD6517">
        <w:t xml:space="preserve"> </w:t>
      </w:r>
      <w:r w:rsidRPr="000E5DEE">
        <w:t>2008, en reprend le contenu en ce qui concerne le renversement de la charge de la preuve.</w:t>
      </w:r>
    </w:p>
  </w:footnote>
  <w:footnote w:id="13">
    <w:p w14:paraId="3AC4701E" w14:textId="78728A3A" w:rsidR="00DF04F7" w:rsidRPr="00CC691E" w:rsidRDefault="00DF04F7" w:rsidP="00A907D7">
      <w:pPr>
        <w:pStyle w:val="Notedebasdepage"/>
        <w:rPr>
          <w:lang w:val="fr-FR"/>
        </w:rPr>
      </w:pPr>
      <w:r>
        <w:rPr>
          <w:lang w:val="fr-FR"/>
        </w:rPr>
        <w:tab/>
      </w:r>
      <w:r w:rsidRPr="00564369">
        <w:rPr>
          <w:rStyle w:val="Appelnotedebasdep"/>
        </w:rPr>
        <w:footnoteRef/>
      </w:r>
      <w:r>
        <w:rPr>
          <w:lang w:val="fr-FR"/>
        </w:rPr>
        <w:tab/>
        <w:t xml:space="preserve">Voir </w:t>
      </w:r>
      <w:proofErr w:type="spellStart"/>
      <w:r w:rsidRPr="00C81783">
        <w:rPr>
          <w:i/>
          <w:lang w:val="fr-FR"/>
        </w:rPr>
        <w:t>Gabaroum</w:t>
      </w:r>
      <w:proofErr w:type="spellEnd"/>
      <w:r w:rsidRPr="00C81783">
        <w:rPr>
          <w:i/>
          <w:lang w:val="fr-FR"/>
        </w:rPr>
        <w:t xml:space="preserve"> c</w:t>
      </w:r>
      <w:r w:rsidR="00CD6517" w:rsidRPr="00C81783">
        <w:rPr>
          <w:i/>
          <w:lang w:val="fr-FR"/>
        </w:rPr>
        <w:t>.</w:t>
      </w:r>
      <w:r w:rsidR="00CD6517">
        <w:rPr>
          <w:i/>
          <w:lang w:val="fr-FR"/>
        </w:rPr>
        <w:t> </w:t>
      </w:r>
      <w:r w:rsidRPr="00C81783">
        <w:rPr>
          <w:i/>
          <w:lang w:val="fr-FR"/>
        </w:rPr>
        <w:t>France</w:t>
      </w:r>
      <w:r>
        <w:rPr>
          <w:lang w:val="fr-FR"/>
        </w:rPr>
        <w:t>.</w:t>
      </w:r>
    </w:p>
  </w:footnote>
  <w:footnote w:id="14">
    <w:p w14:paraId="1D0E0D89" w14:textId="5D2DBB85" w:rsidR="00DF04F7" w:rsidRPr="00630336" w:rsidRDefault="00DF04F7" w:rsidP="00A907D7">
      <w:pPr>
        <w:pStyle w:val="Notedebasdepage"/>
        <w:rPr>
          <w:lang w:val="fr-FR"/>
        </w:rPr>
      </w:pPr>
      <w:r>
        <w:rPr>
          <w:lang w:val="fr-FR"/>
        </w:rPr>
        <w:tab/>
      </w:r>
      <w:r w:rsidRPr="00564369">
        <w:rPr>
          <w:rStyle w:val="Appelnotedebasdep"/>
        </w:rPr>
        <w:footnoteRef/>
      </w:r>
      <w:r>
        <w:rPr>
          <w:lang w:val="fr-FR"/>
        </w:rPr>
        <w:tab/>
        <w:t>France, Code pénal, a</w:t>
      </w:r>
      <w:r w:rsidRPr="00DB39D5">
        <w:rPr>
          <w:lang w:val="fr-FR"/>
        </w:rPr>
        <w:t>rt</w:t>
      </w:r>
      <w:r>
        <w:rPr>
          <w:lang w:val="fr-FR"/>
        </w:rPr>
        <w:t>.</w:t>
      </w:r>
      <w:r w:rsidR="00CD6517">
        <w:rPr>
          <w:lang w:val="fr-FR"/>
        </w:rPr>
        <w:t> </w:t>
      </w:r>
      <w:r w:rsidRPr="00DB39D5">
        <w:rPr>
          <w:lang w:val="fr-FR"/>
        </w:rPr>
        <w:t>225-2.</w:t>
      </w:r>
    </w:p>
  </w:footnote>
  <w:footnote w:id="15">
    <w:p w14:paraId="3F2A040E" w14:textId="77777777" w:rsidR="00DF04F7" w:rsidRPr="00630336" w:rsidRDefault="00DF04F7" w:rsidP="00A907D7">
      <w:pPr>
        <w:pStyle w:val="Notedebasdepage"/>
        <w:rPr>
          <w:lang w:val="fr-FR"/>
        </w:rPr>
      </w:pPr>
      <w:r>
        <w:rPr>
          <w:lang w:val="fr-FR"/>
        </w:rPr>
        <w:tab/>
      </w:r>
      <w:r w:rsidRPr="00564369">
        <w:rPr>
          <w:rStyle w:val="Appelnotedebasdep"/>
        </w:rPr>
        <w:footnoteRef/>
      </w:r>
      <w:r>
        <w:rPr>
          <w:lang w:val="fr-FR"/>
        </w:rPr>
        <w:tab/>
        <w:t xml:space="preserve">Montant de </w:t>
      </w:r>
      <w:r w:rsidRPr="00630336">
        <w:rPr>
          <w:lang w:val="fr-FR"/>
        </w:rPr>
        <w:t>60</w:t>
      </w:r>
      <w:r>
        <w:rPr>
          <w:lang w:val="fr-FR"/>
        </w:rPr>
        <w:t> </w:t>
      </w:r>
      <w:r w:rsidRPr="00630336">
        <w:rPr>
          <w:lang w:val="fr-FR"/>
        </w:rPr>
        <w:t>000</w:t>
      </w:r>
      <w:r>
        <w:rPr>
          <w:lang w:val="fr-FR"/>
        </w:rPr>
        <w:t> </w:t>
      </w:r>
      <w:r w:rsidRPr="00630336">
        <w:rPr>
          <w:lang w:val="fr-FR"/>
        </w:rPr>
        <w:t>euros à titre de dommages</w:t>
      </w:r>
      <w:r>
        <w:rPr>
          <w:lang w:val="fr-FR"/>
        </w:rPr>
        <w:t>-</w:t>
      </w:r>
      <w:r w:rsidRPr="00630336">
        <w:rPr>
          <w:lang w:val="fr-FR"/>
        </w:rPr>
        <w:t xml:space="preserve">intérêts en réparation </w:t>
      </w:r>
      <w:r>
        <w:rPr>
          <w:lang w:val="fr-FR"/>
        </w:rPr>
        <w:t>du</w:t>
      </w:r>
      <w:r w:rsidRPr="00630336">
        <w:rPr>
          <w:lang w:val="fr-FR"/>
        </w:rPr>
        <w:t xml:space="preserve"> pré</w:t>
      </w:r>
      <w:r>
        <w:rPr>
          <w:lang w:val="fr-FR"/>
        </w:rPr>
        <w:t xml:space="preserve">judice matériel et de carrière, et </w:t>
      </w:r>
      <w:r w:rsidRPr="00630336">
        <w:rPr>
          <w:lang w:val="fr-FR"/>
        </w:rPr>
        <w:t>8</w:t>
      </w:r>
      <w:r>
        <w:rPr>
          <w:lang w:val="fr-FR"/>
        </w:rPr>
        <w:t> </w:t>
      </w:r>
      <w:r w:rsidRPr="00630336">
        <w:rPr>
          <w:lang w:val="fr-FR"/>
        </w:rPr>
        <w:t>000</w:t>
      </w:r>
      <w:r>
        <w:rPr>
          <w:lang w:val="fr-FR"/>
        </w:rPr>
        <w:t> </w:t>
      </w:r>
      <w:r w:rsidRPr="00630336">
        <w:rPr>
          <w:lang w:val="fr-FR"/>
        </w:rPr>
        <w:t>euros à titre de dommages</w:t>
      </w:r>
      <w:r>
        <w:rPr>
          <w:lang w:val="fr-FR"/>
        </w:rPr>
        <w:t>-</w:t>
      </w:r>
      <w:r w:rsidRPr="00630336">
        <w:rPr>
          <w:lang w:val="fr-FR"/>
        </w:rPr>
        <w:t xml:space="preserve">intérêts en réparation </w:t>
      </w:r>
      <w:r>
        <w:rPr>
          <w:lang w:val="fr-FR"/>
        </w:rPr>
        <w:t>du</w:t>
      </w:r>
      <w:r w:rsidRPr="00630336">
        <w:rPr>
          <w:lang w:val="fr-FR"/>
        </w:rPr>
        <w:t xml:space="preserve"> préjudice moral</w:t>
      </w:r>
      <w:r>
        <w:rPr>
          <w:lang w:val="fr-FR"/>
        </w:rPr>
        <w:t>.</w:t>
      </w:r>
      <w:r w:rsidRPr="00630336">
        <w:rPr>
          <w:lang w:val="fr-FR"/>
        </w:rPr>
        <w:t xml:space="preserve">  </w:t>
      </w:r>
    </w:p>
  </w:footnote>
  <w:footnote w:id="16">
    <w:p w14:paraId="49EA6B45" w14:textId="45D8BD3C" w:rsidR="00DF04F7" w:rsidRPr="00630336" w:rsidRDefault="00DF04F7" w:rsidP="00A907D7">
      <w:pPr>
        <w:pStyle w:val="Notedebasdepage"/>
        <w:rPr>
          <w:lang w:val="fr-FR"/>
        </w:rPr>
      </w:pPr>
      <w:r>
        <w:rPr>
          <w:lang w:val="fr-FR"/>
        </w:rPr>
        <w:tab/>
      </w:r>
      <w:r w:rsidRPr="00564369">
        <w:rPr>
          <w:rStyle w:val="Appelnotedebasdep"/>
        </w:rPr>
        <w:footnoteRef/>
      </w:r>
      <w:r>
        <w:rPr>
          <w:lang w:val="fr-FR"/>
        </w:rPr>
        <w:tab/>
        <w:t xml:space="preserve">Montant de </w:t>
      </w:r>
      <w:r w:rsidRPr="00630336">
        <w:rPr>
          <w:lang w:val="fr-FR"/>
        </w:rPr>
        <w:t>2</w:t>
      </w:r>
      <w:r>
        <w:rPr>
          <w:lang w:val="fr-FR"/>
        </w:rPr>
        <w:t> </w:t>
      </w:r>
      <w:r w:rsidRPr="00630336">
        <w:rPr>
          <w:lang w:val="fr-FR"/>
        </w:rPr>
        <w:t>000</w:t>
      </w:r>
      <w:r>
        <w:rPr>
          <w:lang w:val="fr-FR"/>
        </w:rPr>
        <w:t> </w:t>
      </w:r>
      <w:r w:rsidRPr="00630336">
        <w:rPr>
          <w:lang w:val="fr-FR"/>
        </w:rPr>
        <w:t>euros</w:t>
      </w:r>
      <w:r>
        <w:rPr>
          <w:lang w:val="fr-FR"/>
        </w:rPr>
        <w:t>,</w:t>
      </w:r>
      <w:r w:rsidRPr="00630336">
        <w:rPr>
          <w:lang w:val="fr-FR"/>
        </w:rPr>
        <w:t xml:space="preserve"> en application de l</w:t>
      </w:r>
      <w:r w:rsidR="00870042">
        <w:rPr>
          <w:lang w:val="fr-FR"/>
        </w:rPr>
        <w:t>’</w:t>
      </w:r>
      <w:r w:rsidRPr="00630336">
        <w:rPr>
          <w:lang w:val="fr-FR"/>
        </w:rPr>
        <w:t>article</w:t>
      </w:r>
      <w:r w:rsidR="00CD6517">
        <w:rPr>
          <w:lang w:val="fr-FR"/>
        </w:rPr>
        <w:t> </w:t>
      </w:r>
      <w:r w:rsidRPr="00630336">
        <w:rPr>
          <w:lang w:val="fr-FR"/>
        </w:rPr>
        <w:t xml:space="preserve">700 du </w:t>
      </w:r>
      <w:r>
        <w:rPr>
          <w:lang w:val="fr-FR"/>
        </w:rPr>
        <w:t>C</w:t>
      </w:r>
      <w:r w:rsidRPr="00630336">
        <w:rPr>
          <w:lang w:val="fr-FR"/>
        </w:rPr>
        <w:t>ode de procédure civile</w:t>
      </w:r>
      <w:r>
        <w:rPr>
          <w:lang w:val="fr-FR"/>
        </w:rPr>
        <w:t>.</w:t>
      </w:r>
    </w:p>
  </w:footnote>
  <w:footnote w:id="17">
    <w:p w14:paraId="41221C45" w14:textId="5D4BF6BE" w:rsidR="00DF04F7" w:rsidRPr="00630336" w:rsidRDefault="00DF04F7" w:rsidP="00A907D7">
      <w:pPr>
        <w:pStyle w:val="Notedebasdepage"/>
        <w:rPr>
          <w:lang w:val="fr-FR"/>
        </w:rPr>
      </w:pPr>
      <w:r>
        <w:rPr>
          <w:lang w:val="fr-FR"/>
        </w:rPr>
        <w:tab/>
      </w:r>
      <w:r w:rsidRPr="00564369">
        <w:rPr>
          <w:rStyle w:val="Appelnotedebasdep"/>
        </w:rPr>
        <w:footnoteRef/>
      </w:r>
      <w:r>
        <w:rPr>
          <w:lang w:val="fr-FR"/>
        </w:rPr>
        <w:tab/>
      </w:r>
      <w:r w:rsidRPr="00422C87">
        <w:rPr>
          <w:i/>
          <w:iCs/>
          <w:lang w:val="fr-FR"/>
        </w:rPr>
        <w:t>Er c. Danemark</w:t>
      </w:r>
      <w:r>
        <w:rPr>
          <w:lang w:val="fr-FR"/>
        </w:rPr>
        <w:t xml:space="preserve"> (</w:t>
      </w:r>
      <w:hyperlink r:id="rId2" w:history="1">
        <w:r w:rsidRPr="00881A7C">
          <w:rPr>
            <w:rStyle w:val="Lienhypertexte"/>
            <w:lang w:val="fr-FR"/>
          </w:rPr>
          <w:t>CERD/C/71/D/40/2007</w:t>
        </w:r>
      </w:hyperlink>
      <w:r>
        <w:rPr>
          <w:lang w:val="fr-FR"/>
        </w:rPr>
        <w:t>)</w:t>
      </w:r>
      <w:r w:rsidRPr="00630336">
        <w:rPr>
          <w:lang w:val="fr-FR"/>
        </w:rPr>
        <w:t xml:space="preserve">, </w:t>
      </w:r>
      <w:r>
        <w:rPr>
          <w:lang w:val="fr-FR"/>
        </w:rPr>
        <w:t>par. </w:t>
      </w:r>
      <w:r w:rsidRPr="00630336">
        <w:rPr>
          <w:lang w:val="fr-FR"/>
        </w:rPr>
        <w:t>7.2</w:t>
      </w:r>
      <w:r>
        <w:rPr>
          <w:lang w:val="fr-FR"/>
        </w:rPr>
        <w:t>.</w:t>
      </w:r>
    </w:p>
  </w:footnote>
  <w:footnote w:id="18">
    <w:p w14:paraId="54A3539D" w14:textId="1B49EEE9" w:rsidR="00DF04F7" w:rsidRPr="00630336" w:rsidRDefault="00DF04F7" w:rsidP="00A907D7">
      <w:pPr>
        <w:pStyle w:val="Notedebasdepage"/>
        <w:rPr>
          <w:lang w:val="fr-FR"/>
        </w:rPr>
      </w:pPr>
      <w:r>
        <w:rPr>
          <w:lang w:val="fr-FR"/>
        </w:rPr>
        <w:tab/>
      </w:r>
      <w:r w:rsidRPr="00564369">
        <w:rPr>
          <w:rStyle w:val="Appelnotedebasdep"/>
        </w:rPr>
        <w:footnoteRef/>
      </w:r>
      <w:r>
        <w:rPr>
          <w:lang w:val="fr-FR"/>
        </w:rPr>
        <w:tab/>
        <w:t>Voir Guy Canivet,</w:t>
      </w:r>
      <w:r w:rsidRPr="00630336">
        <w:rPr>
          <w:lang w:val="fr-FR"/>
        </w:rPr>
        <w:t xml:space="preserve"> «</w:t>
      </w:r>
      <w:r>
        <w:rPr>
          <w:lang w:val="fr-FR"/>
        </w:rPr>
        <w:t> La procédure d</w:t>
      </w:r>
      <w:r w:rsidR="00870042">
        <w:rPr>
          <w:lang w:val="fr-FR"/>
        </w:rPr>
        <w:t>’</w:t>
      </w:r>
      <w:r>
        <w:rPr>
          <w:lang w:val="fr-FR"/>
        </w:rPr>
        <w:t>admission des pourvois en cassation.</w:t>
      </w:r>
      <w:r w:rsidRPr="00630336">
        <w:rPr>
          <w:lang w:val="fr-FR"/>
        </w:rPr>
        <w:t xml:space="preserve"> Bilan d</w:t>
      </w:r>
      <w:r w:rsidR="00870042">
        <w:rPr>
          <w:lang w:val="fr-FR"/>
        </w:rPr>
        <w:t>’</w:t>
      </w:r>
      <w:r w:rsidRPr="00630336">
        <w:rPr>
          <w:lang w:val="fr-FR"/>
        </w:rPr>
        <w:t>un semestre d</w:t>
      </w:r>
      <w:r w:rsidR="00870042">
        <w:rPr>
          <w:lang w:val="fr-FR"/>
        </w:rPr>
        <w:t>’</w:t>
      </w:r>
      <w:r w:rsidRPr="00630336">
        <w:rPr>
          <w:lang w:val="fr-FR"/>
        </w:rPr>
        <w:t>application de l</w:t>
      </w:r>
      <w:r w:rsidR="00870042">
        <w:rPr>
          <w:lang w:val="fr-FR"/>
        </w:rPr>
        <w:t>’</w:t>
      </w:r>
      <w:r w:rsidRPr="00630336">
        <w:rPr>
          <w:lang w:val="fr-FR"/>
        </w:rPr>
        <w:t>article</w:t>
      </w:r>
      <w:r w:rsidR="000B25F4">
        <w:rPr>
          <w:lang w:val="fr-FR"/>
        </w:rPr>
        <w:t> </w:t>
      </w:r>
      <w:r w:rsidRPr="00630336">
        <w:rPr>
          <w:lang w:val="fr-FR"/>
        </w:rPr>
        <w:t>131-6 du C</w:t>
      </w:r>
      <w:r>
        <w:rPr>
          <w:lang w:val="fr-FR"/>
        </w:rPr>
        <w:t>ode de l</w:t>
      </w:r>
      <w:r w:rsidR="00870042">
        <w:rPr>
          <w:lang w:val="fr-FR"/>
        </w:rPr>
        <w:t>’</w:t>
      </w:r>
      <w:r>
        <w:rPr>
          <w:lang w:val="fr-FR"/>
        </w:rPr>
        <w:t xml:space="preserve">organisation judiciaire », </w:t>
      </w:r>
      <w:r w:rsidRPr="00422C87">
        <w:rPr>
          <w:i/>
          <w:iCs/>
          <w:lang w:val="fr-FR"/>
        </w:rPr>
        <w:t>Recueil Dalloz</w:t>
      </w:r>
      <w:r w:rsidRPr="00630336">
        <w:rPr>
          <w:lang w:val="fr-FR"/>
        </w:rPr>
        <w:t xml:space="preserve">, </w:t>
      </w:r>
      <w:r w:rsidR="000B25F4" w:rsidRPr="000B25F4">
        <w:rPr>
          <w:rFonts w:eastAsia="MS Mincho"/>
          <w:lang w:val="fr-FR"/>
        </w:rPr>
        <w:t>n</w:t>
      </w:r>
      <w:r w:rsidR="000B25F4" w:rsidRPr="000B25F4">
        <w:rPr>
          <w:rFonts w:eastAsia="MS Mincho"/>
          <w:vertAlign w:val="superscript"/>
          <w:lang w:val="fr-FR"/>
        </w:rPr>
        <w:t>o</w:t>
      </w:r>
      <w:r w:rsidR="000B25F4">
        <w:rPr>
          <w:lang w:val="fr-FR"/>
        </w:rPr>
        <w:t> </w:t>
      </w:r>
      <w:r w:rsidRPr="00630336">
        <w:rPr>
          <w:lang w:val="fr-FR"/>
        </w:rPr>
        <w:t>28</w:t>
      </w:r>
      <w:r>
        <w:rPr>
          <w:lang w:val="fr-FR"/>
        </w:rPr>
        <w:t xml:space="preserve"> (2002)</w:t>
      </w:r>
      <w:r w:rsidRPr="00630336">
        <w:rPr>
          <w:lang w:val="fr-FR"/>
        </w:rPr>
        <w:t>, p.</w:t>
      </w:r>
      <w:r w:rsidR="000B25F4">
        <w:rPr>
          <w:lang w:val="fr-FR"/>
        </w:rPr>
        <w:t> </w:t>
      </w:r>
      <w:r w:rsidRPr="00630336">
        <w:rPr>
          <w:lang w:val="fr-FR"/>
        </w:rPr>
        <w:t>2195.</w:t>
      </w:r>
    </w:p>
  </w:footnote>
  <w:footnote w:id="19">
    <w:p w14:paraId="18CB91FE" w14:textId="53758369" w:rsidR="00DF04F7" w:rsidRPr="00CC691E" w:rsidRDefault="00DF04F7" w:rsidP="00A907D7">
      <w:pPr>
        <w:pStyle w:val="Notedebasdepage"/>
        <w:rPr>
          <w:lang w:val="fr-FR"/>
        </w:rPr>
      </w:pPr>
      <w:r w:rsidRPr="00BA7177">
        <w:tab/>
      </w:r>
      <w:r w:rsidRPr="00564369">
        <w:rPr>
          <w:rStyle w:val="Appelnotedebasdep"/>
        </w:rPr>
        <w:footnoteRef/>
      </w:r>
      <w:r w:rsidRPr="00BA7177">
        <w:tab/>
        <w:t xml:space="preserve">Voir </w:t>
      </w:r>
      <w:r>
        <w:t>l</w:t>
      </w:r>
      <w:r w:rsidR="00870042">
        <w:t>’</w:t>
      </w:r>
      <w:r w:rsidRPr="00BA7177">
        <w:t>article</w:t>
      </w:r>
      <w:r w:rsidR="000B25F4">
        <w:t> </w:t>
      </w:r>
      <w:r w:rsidRPr="00BA7177">
        <w:t xml:space="preserve">6 </w:t>
      </w:r>
      <w:r>
        <w:t>(par. </w:t>
      </w:r>
      <w:r w:rsidRPr="00422C87">
        <w:t>1</w:t>
      </w:r>
      <w:r>
        <w:t>)</w:t>
      </w:r>
      <w:r w:rsidRPr="00BA7177">
        <w:t xml:space="preserve"> de la Convention de sauvegarde des droits de l</w:t>
      </w:r>
      <w:r w:rsidR="00870042">
        <w:t>’</w:t>
      </w:r>
      <w:r w:rsidRPr="00BA7177">
        <w:t>homme et des libertés fondamentales</w:t>
      </w:r>
      <w:r>
        <w:rPr>
          <w:lang w:val="fr-FR"/>
        </w:rPr>
        <w:t xml:space="preserve"> (Convention européenne des droits de l</w:t>
      </w:r>
      <w:r w:rsidR="00870042">
        <w:rPr>
          <w:lang w:val="fr-FR"/>
        </w:rPr>
        <w:t>’</w:t>
      </w:r>
      <w:r>
        <w:rPr>
          <w:lang w:val="fr-FR"/>
        </w:rPr>
        <w:t xml:space="preserve">homme). </w:t>
      </w:r>
    </w:p>
  </w:footnote>
  <w:footnote w:id="20">
    <w:p w14:paraId="54AC7C96" w14:textId="3FE096DF" w:rsidR="00DF04F7" w:rsidRPr="00CC691E" w:rsidRDefault="00DF04F7" w:rsidP="00A907D7">
      <w:pPr>
        <w:pStyle w:val="Notedebasdepage"/>
        <w:rPr>
          <w:lang w:val="fr-FR"/>
        </w:rPr>
      </w:pPr>
      <w:r>
        <w:rPr>
          <w:lang w:val="fr-FR"/>
        </w:rPr>
        <w:tab/>
      </w:r>
      <w:r w:rsidRPr="00564369">
        <w:rPr>
          <w:rStyle w:val="Appelnotedebasdep"/>
        </w:rPr>
        <w:footnoteRef/>
      </w:r>
      <w:r>
        <w:rPr>
          <w:lang w:val="fr-FR"/>
        </w:rPr>
        <w:tab/>
        <w:t>Voir Cour européenne des droits de l</w:t>
      </w:r>
      <w:r w:rsidR="00870042">
        <w:rPr>
          <w:lang w:val="fr-FR"/>
        </w:rPr>
        <w:t>’</w:t>
      </w:r>
      <w:r>
        <w:rPr>
          <w:lang w:val="fr-FR"/>
        </w:rPr>
        <w:t xml:space="preserve">homme, </w:t>
      </w:r>
      <w:r w:rsidRPr="00422C87">
        <w:rPr>
          <w:i/>
          <w:iCs/>
          <w:lang w:val="fr-FR"/>
        </w:rPr>
        <w:t>Burg et autres c.</w:t>
      </w:r>
      <w:r w:rsidR="00831396">
        <w:rPr>
          <w:i/>
          <w:iCs/>
          <w:lang w:val="fr-FR"/>
        </w:rPr>
        <w:t> </w:t>
      </w:r>
      <w:r w:rsidRPr="00422C87">
        <w:rPr>
          <w:i/>
          <w:iCs/>
          <w:lang w:val="fr-FR"/>
        </w:rPr>
        <w:t>France</w:t>
      </w:r>
      <w:r>
        <w:rPr>
          <w:lang w:val="fr-FR"/>
        </w:rPr>
        <w:t>, requête n</w:t>
      </w:r>
      <w:r w:rsidRPr="00422C87">
        <w:rPr>
          <w:vertAlign w:val="superscript"/>
          <w:lang w:val="fr-FR"/>
        </w:rPr>
        <w:t>o</w:t>
      </w:r>
      <w:r>
        <w:rPr>
          <w:lang w:val="fr-FR"/>
        </w:rPr>
        <w:t> 34763/02,</w:t>
      </w:r>
      <w:r w:rsidRPr="00801782">
        <w:rPr>
          <w:lang w:val="fr-FR"/>
        </w:rPr>
        <w:t xml:space="preserve"> </w:t>
      </w:r>
      <w:r>
        <w:rPr>
          <w:lang w:val="fr-FR"/>
        </w:rPr>
        <w:t xml:space="preserve">décision, </w:t>
      </w:r>
      <w:r w:rsidRPr="00801782">
        <w:rPr>
          <w:lang w:val="fr-FR"/>
        </w:rPr>
        <w:t>28</w:t>
      </w:r>
      <w:r w:rsidR="00831396">
        <w:rPr>
          <w:lang w:val="fr-FR"/>
        </w:rPr>
        <w:t> </w:t>
      </w:r>
      <w:r w:rsidRPr="00801782">
        <w:rPr>
          <w:lang w:val="fr-FR"/>
        </w:rPr>
        <w:t>janvier 2003</w:t>
      </w:r>
      <w:r>
        <w:rPr>
          <w:lang w:val="fr-FR"/>
        </w:rPr>
        <w:t>.</w:t>
      </w:r>
    </w:p>
  </w:footnote>
  <w:footnote w:id="21">
    <w:p w14:paraId="783472FC" w14:textId="160D5F85" w:rsidR="00DF04F7" w:rsidRPr="00C16DF1" w:rsidRDefault="00DF04F7" w:rsidP="00A907D7">
      <w:pPr>
        <w:pStyle w:val="Notedebasdepage"/>
        <w:rPr>
          <w:lang w:val="fr-FR"/>
        </w:rPr>
      </w:pPr>
      <w:r>
        <w:rPr>
          <w:lang w:val="fr-FR"/>
        </w:rPr>
        <w:tab/>
      </w:r>
      <w:r w:rsidRPr="00513DBE">
        <w:rPr>
          <w:rStyle w:val="Appelnotedebasdep"/>
        </w:rPr>
        <w:footnoteRef/>
      </w:r>
      <w:r>
        <w:rPr>
          <w:lang w:val="fr-FR"/>
        </w:rPr>
        <w:tab/>
      </w:r>
      <w:r w:rsidRPr="00C16DF1">
        <w:rPr>
          <w:lang w:val="fr-FR"/>
        </w:rPr>
        <w:t>L</w:t>
      </w:r>
      <w:r w:rsidR="00870042">
        <w:rPr>
          <w:lang w:val="fr-FR"/>
        </w:rPr>
        <w:t>’</w:t>
      </w:r>
      <w:r w:rsidRPr="00C16DF1">
        <w:rPr>
          <w:lang w:val="fr-FR"/>
        </w:rPr>
        <w:t>auteur cite à l</w:t>
      </w:r>
      <w:r w:rsidR="00870042">
        <w:rPr>
          <w:lang w:val="fr-FR"/>
        </w:rPr>
        <w:t>’</w:t>
      </w:r>
      <w:r w:rsidRPr="00C16DF1">
        <w:rPr>
          <w:lang w:val="fr-FR"/>
        </w:rPr>
        <w:t xml:space="preserve">appui de son allégation </w:t>
      </w:r>
      <w:r w:rsidRPr="00630336">
        <w:rPr>
          <w:lang w:val="fr-FR"/>
        </w:rPr>
        <w:t>une note de service en date du 31</w:t>
      </w:r>
      <w:r w:rsidR="00831396">
        <w:rPr>
          <w:lang w:val="fr-FR"/>
        </w:rPr>
        <w:t> </w:t>
      </w:r>
      <w:r w:rsidRPr="00630336">
        <w:rPr>
          <w:lang w:val="fr-FR"/>
        </w:rPr>
        <w:t>mars 1972</w:t>
      </w:r>
      <w:r>
        <w:rPr>
          <w:lang w:val="fr-FR"/>
        </w:rPr>
        <w:t>,</w:t>
      </w:r>
      <w:r w:rsidRPr="00630336">
        <w:rPr>
          <w:lang w:val="fr-FR"/>
        </w:rPr>
        <w:t xml:space="preserve"> qui classait les salariés par nationalité et ethnie en présentant les avantages et inconvénients de chacune d</w:t>
      </w:r>
      <w:r w:rsidR="00870042">
        <w:rPr>
          <w:lang w:val="fr-FR"/>
        </w:rPr>
        <w:t>’</w:t>
      </w:r>
      <w:r w:rsidRPr="00630336">
        <w:rPr>
          <w:lang w:val="fr-FR"/>
        </w:rPr>
        <w:t>entre elles.</w:t>
      </w:r>
    </w:p>
  </w:footnote>
  <w:footnote w:id="22">
    <w:p w14:paraId="0F2C2E5A" w14:textId="1A1630DC" w:rsidR="00DF04F7" w:rsidRPr="00B5308D" w:rsidRDefault="00DF04F7" w:rsidP="00A907D7">
      <w:pPr>
        <w:pStyle w:val="Notedebasdepage"/>
        <w:rPr>
          <w:lang w:val="fr-FR"/>
        </w:rPr>
      </w:pPr>
      <w:r>
        <w:rPr>
          <w:lang w:val="fr-FR"/>
        </w:rPr>
        <w:tab/>
      </w:r>
      <w:r w:rsidRPr="00513DBE">
        <w:rPr>
          <w:rStyle w:val="Appelnotedebasdep"/>
        </w:rPr>
        <w:footnoteRef/>
      </w:r>
      <w:r>
        <w:rPr>
          <w:lang w:val="fr-FR"/>
        </w:rPr>
        <w:tab/>
      </w:r>
      <w:r w:rsidRPr="00B5308D">
        <w:rPr>
          <w:lang w:val="fr-FR"/>
        </w:rPr>
        <w:t>Voir</w:t>
      </w:r>
      <w:r>
        <w:rPr>
          <w:lang w:val="fr-FR"/>
        </w:rPr>
        <w:t>,</w:t>
      </w:r>
      <w:r w:rsidRPr="00B5308D">
        <w:rPr>
          <w:lang w:val="fr-FR"/>
        </w:rPr>
        <w:t xml:space="preserve"> </w:t>
      </w:r>
      <w:r>
        <w:rPr>
          <w:lang w:val="fr-FR"/>
        </w:rPr>
        <w:t>n</w:t>
      </w:r>
      <w:r w:rsidRPr="00B5308D">
        <w:rPr>
          <w:lang w:val="fr-FR"/>
        </w:rPr>
        <w:t>otamment</w:t>
      </w:r>
      <w:r>
        <w:rPr>
          <w:lang w:val="fr-FR"/>
        </w:rPr>
        <w:t>, France,</w:t>
      </w:r>
      <w:r w:rsidRPr="00B5308D">
        <w:rPr>
          <w:lang w:val="fr-FR"/>
        </w:rPr>
        <w:t xml:space="preserve"> </w:t>
      </w:r>
      <w:r w:rsidRPr="00630336">
        <w:rPr>
          <w:lang w:val="fr-FR"/>
        </w:rPr>
        <w:t>C</w:t>
      </w:r>
      <w:r>
        <w:rPr>
          <w:lang w:val="fr-FR"/>
        </w:rPr>
        <w:t>our de c</w:t>
      </w:r>
      <w:r w:rsidRPr="00630336">
        <w:rPr>
          <w:lang w:val="fr-FR"/>
        </w:rPr>
        <w:t>ass</w:t>
      </w:r>
      <w:r>
        <w:rPr>
          <w:lang w:val="fr-FR"/>
        </w:rPr>
        <w:t>ation,</w:t>
      </w:r>
      <w:r w:rsidRPr="00630336">
        <w:rPr>
          <w:lang w:val="fr-FR"/>
        </w:rPr>
        <w:t xml:space="preserve"> </w:t>
      </w:r>
      <w:r>
        <w:rPr>
          <w:lang w:val="fr-FR"/>
        </w:rPr>
        <w:t>deuxième chambre civile, arrêt,</w:t>
      </w:r>
      <w:r w:rsidRPr="00B5308D">
        <w:rPr>
          <w:lang w:val="fr-FR"/>
        </w:rPr>
        <w:t xml:space="preserve"> 28</w:t>
      </w:r>
      <w:r w:rsidR="00831396">
        <w:rPr>
          <w:lang w:val="fr-FR"/>
        </w:rPr>
        <w:t> </w:t>
      </w:r>
      <w:r w:rsidRPr="00B5308D">
        <w:rPr>
          <w:lang w:val="fr-FR"/>
        </w:rPr>
        <w:t>octobre 1954</w:t>
      </w:r>
      <w:r w:rsidRPr="00630336">
        <w:rPr>
          <w:lang w:val="fr-FR"/>
        </w:rPr>
        <w:t>.</w:t>
      </w:r>
    </w:p>
  </w:footnote>
  <w:footnote w:id="23">
    <w:p w14:paraId="2CFAEF77" w14:textId="6F1EE7A8" w:rsidR="00DF04F7" w:rsidRPr="0035343D" w:rsidRDefault="00DF04F7" w:rsidP="00A907D7">
      <w:pPr>
        <w:pStyle w:val="Notedebasdepage"/>
        <w:rPr>
          <w:lang w:val="fr-FR"/>
        </w:rPr>
      </w:pPr>
      <w:r>
        <w:rPr>
          <w:lang w:val="fr-FR"/>
        </w:rPr>
        <w:tab/>
      </w:r>
      <w:r w:rsidRPr="00513DBE">
        <w:rPr>
          <w:rStyle w:val="Appelnotedebasdep"/>
        </w:rPr>
        <w:footnoteRef/>
      </w:r>
      <w:r>
        <w:rPr>
          <w:lang w:val="fr-FR"/>
        </w:rPr>
        <w:tab/>
        <w:t>Voir</w:t>
      </w:r>
      <w:r w:rsidRPr="0035343D">
        <w:rPr>
          <w:lang w:val="fr-FR"/>
        </w:rPr>
        <w:t xml:space="preserve"> </w:t>
      </w:r>
      <w:r>
        <w:rPr>
          <w:lang w:val="fr-FR"/>
        </w:rPr>
        <w:t xml:space="preserve">France, </w:t>
      </w:r>
      <w:r w:rsidRPr="0035343D">
        <w:rPr>
          <w:lang w:val="fr-FR"/>
        </w:rPr>
        <w:t>C</w:t>
      </w:r>
      <w:r>
        <w:rPr>
          <w:lang w:val="fr-FR"/>
        </w:rPr>
        <w:t>our de c</w:t>
      </w:r>
      <w:r w:rsidRPr="0035343D">
        <w:rPr>
          <w:lang w:val="fr-FR"/>
        </w:rPr>
        <w:t>ass</w:t>
      </w:r>
      <w:r>
        <w:rPr>
          <w:lang w:val="fr-FR"/>
        </w:rPr>
        <w:t>ation,</w:t>
      </w:r>
      <w:r w:rsidRPr="0035343D">
        <w:rPr>
          <w:lang w:val="fr-FR"/>
        </w:rPr>
        <w:t xml:space="preserve"> </w:t>
      </w:r>
      <w:r>
        <w:rPr>
          <w:lang w:val="fr-FR"/>
        </w:rPr>
        <w:t>chambre sociale, arrêt,</w:t>
      </w:r>
      <w:r w:rsidRPr="0035343D">
        <w:rPr>
          <w:lang w:val="fr-FR"/>
        </w:rPr>
        <w:t xml:space="preserve"> 30</w:t>
      </w:r>
      <w:r w:rsidR="00831396">
        <w:rPr>
          <w:lang w:val="fr-FR"/>
        </w:rPr>
        <w:t> </w:t>
      </w:r>
      <w:r w:rsidRPr="0035343D">
        <w:rPr>
          <w:lang w:val="fr-FR"/>
        </w:rPr>
        <w:t xml:space="preserve">juin 2011, </w:t>
      </w:r>
      <w:r>
        <w:rPr>
          <w:lang w:val="fr-FR"/>
        </w:rPr>
        <w:t xml:space="preserve">pourvoi </w:t>
      </w:r>
      <w:r w:rsidR="00831396" w:rsidRPr="00831396">
        <w:rPr>
          <w:rFonts w:eastAsia="MS Mincho"/>
          <w:lang w:val="fr-FR"/>
        </w:rPr>
        <w:t>n</w:t>
      </w:r>
      <w:r w:rsidR="00831396" w:rsidRPr="00831396">
        <w:rPr>
          <w:rFonts w:eastAsia="MS Mincho"/>
          <w:vertAlign w:val="superscript"/>
          <w:lang w:val="fr-FR"/>
        </w:rPr>
        <w:t>o</w:t>
      </w:r>
      <w:r w:rsidR="00831396">
        <w:rPr>
          <w:lang w:val="fr-FR"/>
        </w:rPr>
        <w:t> </w:t>
      </w:r>
      <w:r w:rsidRPr="0035343D">
        <w:rPr>
          <w:lang w:val="fr-FR"/>
        </w:rPr>
        <w:t>09-71</w:t>
      </w:r>
      <w:r>
        <w:rPr>
          <w:lang w:val="fr-FR"/>
        </w:rPr>
        <w:t>.</w:t>
      </w:r>
      <w:r w:rsidRPr="0035343D">
        <w:rPr>
          <w:lang w:val="fr-FR"/>
        </w:rPr>
        <w:t>538.</w:t>
      </w:r>
    </w:p>
  </w:footnote>
  <w:footnote w:id="24">
    <w:p w14:paraId="31C1679F" w14:textId="0FA9FC37" w:rsidR="00DF04F7" w:rsidRPr="0035343D" w:rsidRDefault="00DF04F7" w:rsidP="00A907D7">
      <w:pPr>
        <w:pStyle w:val="Notedebasdepage"/>
        <w:rPr>
          <w:lang w:val="fr-FR"/>
        </w:rPr>
      </w:pPr>
      <w:r>
        <w:rPr>
          <w:lang w:val="fr-FR"/>
        </w:rPr>
        <w:tab/>
      </w:r>
      <w:r w:rsidRPr="00513DBE">
        <w:rPr>
          <w:rStyle w:val="Appelnotedebasdep"/>
        </w:rPr>
        <w:footnoteRef/>
      </w:r>
      <w:r>
        <w:rPr>
          <w:lang w:val="fr-FR"/>
        </w:rPr>
        <w:tab/>
        <w:t>Voir</w:t>
      </w:r>
      <w:r w:rsidRPr="0035343D">
        <w:rPr>
          <w:lang w:val="fr-FR"/>
        </w:rPr>
        <w:t xml:space="preserve"> </w:t>
      </w:r>
      <w:proofErr w:type="spellStart"/>
      <w:r w:rsidRPr="00422C87">
        <w:rPr>
          <w:i/>
          <w:iCs/>
          <w:lang w:val="fr-FR"/>
        </w:rPr>
        <w:t>Gabaroum</w:t>
      </w:r>
      <w:proofErr w:type="spellEnd"/>
      <w:r w:rsidRPr="00422C87">
        <w:rPr>
          <w:i/>
          <w:iCs/>
          <w:lang w:val="fr-FR"/>
        </w:rPr>
        <w:t xml:space="preserve"> c.</w:t>
      </w:r>
      <w:r w:rsidR="000014DD">
        <w:rPr>
          <w:i/>
          <w:iCs/>
          <w:lang w:val="fr-FR"/>
        </w:rPr>
        <w:t> </w:t>
      </w:r>
      <w:r w:rsidRPr="00422C87">
        <w:rPr>
          <w:i/>
          <w:iCs/>
          <w:lang w:val="fr-FR"/>
        </w:rPr>
        <w:t>France</w:t>
      </w:r>
      <w:r w:rsidRPr="0035343D">
        <w:rPr>
          <w:lang w:val="fr-FR"/>
        </w:rPr>
        <w:t xml:space="preserve">. </w:t>
      </w:r>
    </w:p>
  </w:footnote>
  <w:footnote w:id="25">
    <w:p w14:paraId="63B10BDC" w14:textId="4645C65E" w:rsidR="00DF04F7" w:rsidRPr="00DE2ED9" w:rsidRDefault="00DF04F7" w:rsidP="00A907D7">
      <w:pPr>
        <w:pStyle w:val="Notedebasdepage"/>
        <w:rPr>
          <w:lang w:val="fr-FR"/>
        </w:rPr>
      </w:pPr>
      <w:r>
        <w:rPr>
          <w:lang w:val="fr-FR"/>
        </w:rPr>
        <w:tab/>
      </w:r>
      <w:r w:rsidRPr="00A907D7">
        <w:rPr>
          <w:rStyle w:val="Appelnotedebasdep"/>
        </w:rPr>
        <w:footnoteRef/>
      </w:r>
      <w:r>
        <w:rPr>
          <w:lang w:val="fr-FR"/>
        </w:rPr>
        <w:tab/>
      </w:r>
      <w:r w:rsidRPr="00422C87">
        <w:rPr>
          <w:i/>
          <w:iCs/>
          <w:lang w:val="fr-FR"/>
        </w:rPr>
        <w:t>S. A. c.</w:t>
      </w:r>
      <w:r w:rsidR="00DE1431">
        <w:rPr>
          <w:i/>
          <w:iCs/>
          <w:lang w:val="fr-FR"/>
        </w:rPr>
        <w:t> </w:t>
      </w:r>
      <w:r w:rsidRPr="00422C87">
        <w:rPr>
          <w:i/>
          <w:iCs/>
          <w:lang w:val="fr-FR"/>
        </w:rPr>
        <w:t>Danemark</w:t>
      </w:r>
      <w:r>
        <w:rPr>
          <w:lang w:val="fr-FR"/>
        </w:rPr>
        <w:t xml:space="preserve"> (</w:t>
      </w:r>
      <w:hyperlink r:id="rId3" w:history="1">
        <w:r w:rsidRPr="00DE1431">
          <w:rPr>
            <w:rStyle w:val="Lienhypertexte"/>
            <w:lang w:val="fr-FR"/>
          </w:rPr>
          <w:t>CERD/C/97/D/58/2016</w:t>
        </w:r>
      </w:hyperlink>
      <w:r>
        <w:rPr>
          <w:lang w:val="fr-FR"/>
        </w:rPr>
        <w:t>), par. 7.8.</w:t>
      </w:r>
    </w:p>
  </w:footnote>
  <w:footnote w:id="26">
    <w:p w14:paraId="1A20F39B" w14:textId="77777777" w:rsidR="00DF04F7" w:rsidRPr="00DE2ED9" w:rsidRDefault="00DF04F7" w:rsidP="00A907D7">
      <w:pPr>
        <w:pStyle w:val="Notedebasdepage"/>
        <w:rPr>
          <w:lang w:val="fr-FR"/>
        </w:rPr>
      </w:pPr>
      <w:r>
        <w:rPr>
          <w:lang w:val="fr-FR"/>
        </w:rPr>
        <w:tab/>
      </w:r>
      <w:r w:rsidRPr="00A907D7">
        <w:rPr>
          <w:rStyle w:val="Appelnotedebasdep"/>
        </w:rPr>
        <w:footnoteRef/>
      </w:r>
      <w:r>
        <w:rPr>
          <w:lang w:val="fr-FR"/>
        </w:rPr>
        <w:tab/>
        <w:t>Ibid.</w:t>
      </w:r>
    </w:p>
  </w:footnote>
  <w:footnote w:id="27">
    <w:p w14:paraId="7D2E3E5F" w14:textId="7DD7DAD6" w:rsidR="00DF04F7" w:rsidRDefault="00DF04F7" w:rsidP="00A907D7">
      <w:pPr>
        <w:pStyle w:val="Notedebasdepage"/>
      </w:pPr>
      <w:r w:rsidRPr="00461167">
        <w:rPr>
          <w:lang w:val="fr-FR"/>
        </w:rPr>
        <w:tab/>
      </w:r>
      <w:r w:rsidRPr="00A907D7">
        <w:rPr>
          <w:rStyle w:val="Appelnotedebasdep"/>
        </w:rPr>
        <w:footnoteRef/>
      </w:r>
      <w:r w:rsidRPr="00DE2ED9">
        <w:rPr>
          <w:lang w:val="fr-FR"/>
        </w:rPr>
        <w:tab/>
      </w:r>
      <w:r w:rsidRPr="00DE2ED9">
        <w:rPr>
          <w:i/>
          <w:lang w:val="fr-FR"/>
        </w:rPr>
        <w:t>Er</w:t>
      </w:r>
      <w:r w:rsidR="000965C0">
        <w:rPr>
          <w:i/>
          <w:lang w:val="fr-FR"/>
        </w:rPr>
        <w:t xml:space="preserve"> </w:t>
      </w:r>
      <w:r w:rsidRPr="00422C87">
        <w:rPr>
          <w:i/>
          <w:lang w:val="fr-FR"/>
        </w:rPr>
        <w:t>c.</w:t>
      </w:r>
      <w:r w:rsidRPr="00DE2ED9">
        <w:rPr>
          <w:i/>
          <w:lang w:val="fr-FR"/>
        </w:rPr>
        <w:t> Danemark</w:t>
      </w:r>
      <w:r w:rsidRPr="00DE2ED9">
        <w:rPr>
          <w:lang w:val="fr-FR"/>
        </w:rPr>
        <w:t>, par. 7.2.</w:t>
      </w:r>
      <w:r>
        <w:rPr>
          <w:lang w:val="fr-FR"/>
        </w:rPr>
        <w:t xml:space="preserve"> Voir aussi </w:t>
      </w:r>
      <w:proofErr w:type="spellStart"/>
      <w:r w:rsidRPr="00DE2ED9">
        <w:rPr>
          <w:i/>
          <w:lang w:val="fr-FR"/>
        </w:rPr>
        <w:t>Pjetri</w:t>
      </w:r>
      <w:proofErr w:type="spellEnd"/>
      <w:r w:rsidRPr="00DE2ED9">
        <w:rPr>
          <w:i/>
          <w:lang w:val="fr-FR"/>
        </w:rPr>
        <w:t xml:space="preserve"> c.</w:t>
      </w:r>
      <w:r w:rsidR="000965C0">
        <w:rPr>
          <w:i/>
          <w:lang w:val="fr-FR"/>
        </w:rPr>
        <w:t> </w:t>
      </w:r>
      <w:r w:rsidRPr="00DE2ED9">
        <w:rPr>
          <w:i/>
          <w:lang w:val="fr-FR"/>
        </w:rPr>
        <w:t>Suisse</w:t>
      </w:r>
      <w:r>
        <w:rPr>
          <w:i/>
          <w:lang w:val="fr-FR"/>
        </w:rPr>
        <w:t xml:space="preserve"> </w:t>
      </w:r>
      <w:r w:rsidRPr="001D2361">
        <w:rPr>
          <w:iCs/>
          <w:lang w:val="fr-FR"/>
        </w:rPr>
        <w:t>(</w:t>
      </w:r>
      <w:hyperlink r:id="rId4" w:history="1">
        <w:r w:rsidRPr="000965C0">
          <w:rPr>
            <w:rStyle w:val="Lienhypertexte"/>
            <w:iCs/>
            <w:lang w:val="fr-FR"/>
          </w:rPr>
          <w:t>CERD/C/91/D/53/2013</w:t>
        </w:r>
      </w:hyperlink>
      <w:r w:rsidRPr="001D2361">
        <w:rPr>
          <w:iCs/>
          <w:lang w:val="fr-FR"/>
        </w:rPr>
        <w:t>)</w:t>
      </w:r>
      <w:r w:rsidRPr="00C46C95">
        <w:rPr>
          <w:lang w:val="fr-FR"/>
        </w:rPr>
        <w:t>, par.</w:t>
      </w:r>
      <w:r w:rsidR="000965C0">
        <w:rPr>
          <w:lang w:val="fr-FR"/>
        </w:rPr>
        <w:t> </w:t>
      </w:r>
      <w:r w:rsidRPr="00C46C95">
        <w:rPr>
          <w:lang w:val="fr-FR"/>
        </w:rPr>
        <w:t>7.5</w:t>
      </w:r>
      <w:r>
        <w:rPr>
          <w:lang w:val="fr-FR"/>
        </w:rPr>
        <w:t>.</w:t>
      </w:r>
    </w:p>
  </w:footnote>
  <w:footnote w:id="28">
    <w:p w14:paraId="721BC423" w14:textId="5CF34A03" w:rsidR="00DF04F7" w:rsidRPr="00DE2ED9" w:rsidRDefault="00DF04F7" w:rsidP="00A907D7">
      <w:pPr>
        <w:pStyle w:val="Notedebasdepage"/>
        <w:rPr>
          <w:lang w:val="fr-FR"/>
        </w:rPr>
      </w:pPr>
      <w:r>
        <w:rPr>
          <w:lang w:val="fr-FR"/>
        </w:rPr>
        <w:tab/>
      </w:r>
      <w:r w:rsidRPr="00A907D7">
        <w:rPr>
          <w:rStyle w:val="Appelnotedebasdep"/>
        </w:rPr>
        <w:footnoteRef/>
      </w:r>
      <w:r>
        <w:rPr>
          <w:lang w:val="fr-FR"/>
        </w:rPr>
        <w:tab/>
      </w:r>
      <w:r w:rsidRPr="00DE2ED9">
        <w:rPr>
          <w:i/>
          <w:lang w:val="fr-FR"/>
        </w:rPr>
        <w:t>V. S. c.</w:t>
      </w:r>
      <w:r w:rsidR="000965C0">
        <w:rPr>
          <w:i/>
          <w:lang w:val="fr-FR"/>
        </w:rPr>
        <w:t> </w:t>
      </w:r>
      <w:r w:rsidRPr="00DE2ED9">
        <w:rPr>
          <w:i/>
          <w:lang w:val="fr-FR"/>
        </w:rPr>
        <w:t>Slovaquie</w:t>
      </w:r>
      <w:r>
        <w:rPr>
          <w:i/>
          <w:lang w:val="fr-FR"/>
        </w:rPr>
        <w:t xml:space="preserve"> </w:t>
      </w:r>
      <w:r>
        <w:rPr>
          <w:lang w:val="fr-FR"/>
        </w:rPr>
        <w:t>(</w:t>
      </w:r>
      <w:hyperlink r:id="rId5" w:history="1">
        <w:r w:rsidRPr="000965C0">
          <w:rPr>
            <w:rStyle w:val="Lienhypertexte"/>
            <w:lang w:val="fr-FR"/>
          </w:rPr>
          <w:t>CERD/C/88/D/56/2014</w:t>
        </w:r>
      </w:hyperlink>
      <w:r>
        <w:rPr>
          <w:lang w:val="fr-FR"/>
        </w:rPr>
        <w:t>)</w:t>
      </w:r>
      <w:r w:rsidRPr="00DE2ED9">
        <w:rPr>
          <w:lang w:val="fr-FR"/>
        </w:rPr>
        <w:t>, par.</w:t>
      </w:r>
      <w:r w:rsidR="000965C0">
        <w:rPr>
          <w:lang w:val="fr-FR"/>
        </w:rPr>
        <w:t> </w:t>
      </w:r>
      <w:r w:rsidRPr="00DE2ED9">
        <w:rPr>
          <w:lang w:val="fr-FR"/>
        </w:rPr>
        <w:t>7.4</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4F9C" w14:textId="17A2B3F5" w:rsidR="00244F51" w:rsidRPr="00244F51" w:rsidRDefault="006E2552" w:rsidP="00DC5883">
    <w:pPr>
      <w:pStyle w:val="En-tte"/>
    </w:pPr>
    <w:fldSimple w:instr=" TITLE  \* MERGEFORMAT ">
      <w:r w:rsidR="00666E9A">
        <w:t>CERD/C/105/D/65/2018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60B3" w14:textId="0B77F013" w:rsidR="00244F51" w:rsidRPr="00DC5883" w:rsidRDefault="006E2552" w:rsidP="00DC5883">
    <w:pPr>
      <w:pStyle w:val="En-tte"/>
      <w:jc w:val="right"/>
      <w:rPr>
        <w:rStyle w:val="En-tteCar"/>
      </w:rPr>
    </w:pPr>
    <w:fldSimple w:instr=" TITLE  \* MERGEFORMAT ">
      <w:r w:rsidR="00666E9A">
        <w:t>CERD/C/105/D/65/2018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4.45pt;height:2.75pt" coordsize="" o:spt="100" o:bullet="t" adj="0,,0" path="" stroked="f">
        <v:stroke joinstyle="miter"/>
        <v:imagedata r:id="rId1" o:title="image125"/>
        <v:formulas/>
        <v:path o:connecttype="segments"/>
      </v:shape>
    </w:pict>
  </w:numPicBullet>
  <w:abstractNum w:abstractNumId="0" w15:restartNumberingAfterBreak="0">
    <w:nsid w:val="FFFFFF1D"/>
    <w:multiLevelType w:val="multilevel"/>
    <w:tmpl w:val="25186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B34CE6D4"/>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877BBF"/>
    <w:multiLevelType w:val="hybridMultilevel"/>
    <w:tmpl w:val="33E8C3E0"/>
    <w:lvl w:ilvl="0" w:tplc="0868C9A6">
      <w:start w:val="67"/>
      <w:numFmt w:val="decimal"/>
      <w:lvlText w:val="%1."/>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682AA4">
      <w:start w:val="1"/>
      <w:numFmt w:val="lowerLetter"/>
      <w:lvlText w:val="%2"/>
      <w:lvlJc w:val="left"/>
      <w:pPr>
        <w:ind w:left="1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F2AD76">
      <w:start w:val="1"/>
      <w:numFmt w:val="lowerRoman"/>
      <w:lvlText w:val="%3"/>
      <w:lvlJc w:val="left"/>
      <w:pPr>
        <w:ind w:left="1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B8EB26">
      <w:start w:val="1"/>
      <w:numFmt w:val="decimal"/>
      <w:lvlText w:val="%4"/>
      <w:lvlJc w:val="left"/>
      <w:pPr>
        <w:ind w:left="2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A2B9A6">
      <w:start w:val="1"/>
      <w:numFmt w:val="lowerLetter"/>
      <w:lvlText w:val="%5"/>
      <w:lvlJc w:val="left"/>
      <w:pPr>
        <w:ind w:left="3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E0A0AE">
      <w:start w:val="1"/>
      <w:numFmt w:val="lowerRoman"/>
      <w:lvlText w:val="%6"/>
      <w:lvlJc w:val="left"/>
      <w:pPr>
        <w:ind w:left="4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BCE5B0">
      <w:start w:val="1"/>
      <w:numFmt w:val="decimal"/>
      <w:lvlText w:val="%7"/>
      <w:lvlJc w:val="left"/>
      <w:pPr>
        <w:ind w:left="4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DCD10C">
      <w:start w:val="1"/>
      <w:numFmt w:val="lowerLetter"/>
      <w:lvlText w:val="%8"/>
      <w:lvlJc w:val="left"/>
      <w:pPr>
        <w:ind w:left="5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BCE4C2">
      <w:start w:val="1"/>
      <w:numFmt w:val="lowerRoman"/>
      <w:lvlText w:val="%9"/>
      <w:lvlJc w:val="left"/>
      <w:pPr>
        <w:ind w:left="6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92CED"/>
    <w:multiLevelType w:val="hybridMultilevel"/>
    <w:tmpl w:val="76EEF958"/>
    <w:lvl w:ilvl="0" w:tplc="4508B0E4">
      <w:start w:val="57"/>
      <w:numFmt w:val="decimal"/>
      <w:lvlText w:val="%1."/>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F01730">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6483D6">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F0AE0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AE74F4">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7E1FB6">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0D5CC">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52221C">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84D6E4">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4339AD"/>
    <w:multiLevelType w:val="hybridMultilevel"/>
    <w:tmpl w:val="258A80F6"/>
    <w:lvl w:ilvl="0" w:tplc="08169B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B9B5DE0"/>
    <w:multiLevelType w:val="hybridMultilevel"/>
    <w:tmpl w:val="351E1BA6"/>
    <w:lvl w:ilvl="0" w:tplc="25082F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56EDA4">
      <w:start w:val="1"/>
      <w:numFmt w:val="bullet"/>
      <w:lvlRestart w:val="0"/>
      <w:lvlText w:val="•"/>
      <w:lvlPicBulletId w:val="0"/>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F4AE1C">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1A4996">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30DE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0E724C">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BCD39A">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00BDA4">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FC90F8">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25135AB"/>
    <w:multiLevelType w:val="hybridMultilevel"/>
    <w:tmpl w:val="5004173C"/>
    <w:lvl w:ilvl="0" w:tplc="B48C05E8">
      <w:start w:val="52"/>
      <w:numFmt w:val="decimal"/>
      <w:lvlText w:val="%1."/>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C83B16">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DC0738">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FC35F6">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4194C">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285BE4">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14FD34">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98CAB4">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8A5592">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3E5A48"/>
    <w:multiLevelType w:val="hybridMultilevel"/>
    <w:tmpl w:val="B21EC6EE"/>
    <w:lvl w:ilvl="0" w:tplc="6BFAB2D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7F13D0E"/>
    <w:multiLevelType w:val="hybridMultilevel"/>
    <w:tmpl w:val="007C07F2"/>
    <w:lvl w:ilvl="0" w:tplc="164CC9D8">
      <w:start w:val="40"/>
      <w:numFmt w:val="decimal"/>
      <w:lvlText w:val="%1."/>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CEE07C">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C829F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9E8ED4">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A863D0">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641312">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4C4C16">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D0BE16">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AAD324">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2"/>
  </w:num>
  <w:num w:numId="3">
    <w:abstractNumId w:val="1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7"/>
  </w:num>
  <w:num w:numId="15">
    <w:abstractNumId w:val="22"/>
  </w:num>
  <w:num w:numId="16">
    <w:abstractNumId w:val="13"/>
  </w:num>
  <w:num w:numId="17">
    <w:abstractNumId w:val="19"/>
  </w:num>
  <w:num w:numId="18">
    <w:abstractNumId w:val="17"/>
  </w:num>
  <w:num w:numId="19">
    <w:abstractNumId w:val="11"/>
  </w:num>
  <w:num w:numId="20">
    <w:abstractNumId w:val="15"/>
  </w:num>
  <w:num w:numId="21">
    <w:abstractNumId w:val="20"/>
  </w:num>
  <w:num w:numId="22">
    <w:abstractNumId w:val="16"/>
  </w:num>
  <w:num w:numId="23">
    <w:abstractNumId w:val="12"/>
  </w:num>
  <w:num w:numId="24">
    <w:abstractNumId w:val="26"/>
  </w:num>
  <w:num w:numId="25">
    <w:abstractNumId w:val="0"/>
  </w:num>
  <w:num w:numId="26">
    <w:abstractNumId w:val="25"/>
  </w:num>
  <w:num w:numId="27">
    <w:abstractNumId w:val="28"/>
  </w:num>
  <w:num w:numId="28">
    <w:abstractNumId w:val="24"/>
  </w:num>
  <w:num w:numId="29">
    <w:abstractNumId w:val="18"/>
  </w:num>
  <w:num w:numId="30">
    <w:abstractNumId w:val="23"/>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CF"/>
    <w:rsid w:val="000014DD"/>
    <w:rsid w:val="000017A6"/>
    <w:rsid w:val="00017F94"/>
    <w:rsid w:val="00023842"/>
    <w:rsid w:val="000334F9"/>
    <w:rsid w:val="0007796D"/>
    <w:rsid w:val="000965C0"/>
    <w:rsid w:val="000B25F4"/>
    <w:rsid w:val="000B7790"/>
    <w:rsid w:val="000D32F3"/>
    <w:rsid w:val="00111F2F"/>
    <w:rsid w:val="0014365E"/>
    <w:rsid w:val="00176178"/>
    <w:rsid w:val="001861CF"/>
    <w:rsid w:val="001F525A"/>
    <w:rsid w:val="00215BEC"/>
    <w:rsid w:val="00223272"/>
    <w:rsid w:val="00244F51"/>
    <w:rsid w:val="0024779E"/>
    <w:rsid w:val="00262657"/>
    <w:rsid w:val="00326D11"/>
    <w:rsid w:val="003540FB"/>
    <w:rsid w:val="003B547B"/>
    <w:rsid w:val="003E18C1"/>
    <w:rsid w:val="00444D2B"/>
    <w:rsid w:val="00446FE5"/>
    <w:rsid w:val="00452396"/>
    <w:rsid w:val="004F094E"/>
    <w:rsid w:val="00513DBE"/>
    <w:rsid w:val="00531FE8"/>
    <w:rsid w:val="005505B7"/>
    <w:rsid w:val="00552E8E"/>
    <w:rsid w:val="00556455"/>
    <w:rsid w:val="00564369"/>
    <w:rsid w:val="00573BE5"/>
    <w:rsid w:val="0058105D"/>
    <w:rsid w:val="00586ED3"/>
    <w:rsid w:val="00596AA9"/>
    <w:rsid w:val="00623CA8"/>
    <w:rsid w:val="00666A7C"/>
    <w:rsid w:val="00666E9A"/>
    <w:rsid w:val="00670CF6"/>
    <w:rsid w:val="006913A6"/>
    <w:rsid w:val="006C16BF"/>
    <w:rsid w:val="006E0451"/>
    <w:rsid w:val="006E2552"/>
    <w:rsid w:val="0071274E"/>
    <w:rsid w:val="00712E6E"/>
    <w:rsid w:val="0071601D"/>
    <w:rsid w:val="0073427C"/>
    <w:rsid w:val="0075499C"/>
    <w:rsid w:val="00773485"/>
    <w:rsid w:val="00780585"/>
    <w:rsid w:val="00783E9F"/>
    <w:rsid w:val="007A62E6"/>
    <w:rsid w:val="0080684C"/>
    <w:rsid w:val="00831396"/>
    <w:rsid w:val="008512C2"/>
    <w:rsid w:val="00870042"/>
    <w:rsid w:val="00871C75"/>
    <w:rsid w:val="008776DC"/>
    <w:rsid w:val="00881A7C"/>
    <w:rsid w:val="00891752"/>
    <w:rsid w:val="008B4CD3"/>
    <w:rsid w:val="008C7515"/>
    <w:rsid w:val="0090026A"/>
    <w:rsid w:val="009705C8"/>
    <w:rsid w:val="00984B29"/>
    <w:rsid w:val="00987B66"/>
    <w:rsid w:val="009D5F1A"/>
    <w:rsid w:val="009F70AD"/>
    <w:rsid w:val="00A30353"/>
    <w:rsid w:val="00A31D7D"/>
    <w:rsid w:val="00A5762A"/>
    <w:rsid w:val="00A657D8"/>
    <w:rsid w:val="00A907D7"/>
    <w:rsid w:val="00AC3823"/>
    <w:rsid w:val="00AE323C"/>
    <w:rsid w:val="00AF7AFC"/>
    <w:rsid w:val="00B00181"/>
    <w:rsid w:val="00B25962"/>
    <w:rsid w:val="00B31163"/>
    <w:rsid w:val="00B765F7"/>
    <w:rsid w:val="00BA0CA9"/>
    <w:rsid w:val="00BB0B66"/>
    <w:rsid w:val="00BB19C3"/>
    <w:rsid w:val="00BC1ADE"/>
    <w:rsid w:val="00BC45DF"/>
    <w:rsid w:val="00BE05EF"/>
    <w:rsid w:val="00C02897"/>
    <w:rsid w:val="00C55C9D"/>
    <w:rsid w:val="00C7188F"/>
    <w:rsid w:val="00CD6517"/>
    <w:rsid w:val="00D2017B"/>
    <w:rsid w:val="00D3439C"/>
    <w:rsid w:val="00D346A5"/>
    <w:rsid w:val="00DB1831"/>
    <w:rsid w:val="00DC0149"/>
    <w:rsid w:val="00DC5883"/>
    <w:rsid w:val="00DD3BFD"/>
    <w:rsid w:val="00DE1431"/>
    <w:rsid w:val="00DF04F7"/>
    <w:rsid w:val="00DF6678"/>
    <w:rsid w:val="00E64E62"/>
    <w:rsid w:val="00EC50F2"/>
    <w:rsid w:val="00F104A7"/>
    <w:rsid w:val="00F114F5"/>
    <w:rsid w:val="00F17B31"/>
    <w:rsid w:val="00F2181D"/>
    <w:rsid w:val="00F660DF"/>
    <w:rsid w:val="00F7134D"/>
    <w:rsid w:val="00F946D7"/>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D3361"/>
  <w15:docId w15:val="{67399215-66D3-4F4C-9616-1A5A3320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character" w:customStyle="1" w:styleId="Mentionnonrsolue1">
    <w:name w:val="Mention non résolue1"/>
    <w:basedOn w:val="Policepardfaut"/>
    <w:uiPriority w:val="99"/>
    <w:semiHidden/>
    <w:unhideWhenUsed/>
    <w:rsid w:val="00CD6517"/>
    <w:rPr>
      <w:color w:val="605E5C"/>
      <w:shd w:val="clear" w:color="auto" w:fill="E1DFDD"/>
    </w:r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ERD/C/97/D/58/2016" TargetMode="External"/><Relationship Id="rId2" Type="http://schemas.openxmlformats.org/officeDocument/2006/relationships/hyperlink" Target="https://undocs.org/fr/CERD/C/71/D/40/2007" TargetMode="External"/><Relationship Id="rId1" Type="http://schemas.openxmlformats.org/officeDocument/2006/relationships/hyperlink" Target="https://undocs.org/fr/CERD/C/89/D/52/2012" TargetMode="External"/><Relationship Id="rId5" Type="http://schemas.openxmlformats.org/officeDocument/2006/relationships/hyperlink" Target="https://undocs.org/fr/CERD/C/88/D/56/2014" TargetMode="External"/><Relationship Id="rId4" Type="http://schemas.openxmlformats.org/officeDocument/2006/relationships/hyperlink" Target="https://undocs.org/fr/CERD/C/91/D/53/20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10</Pages>
  <Words>6142</Words>
  <Characters>32062</Characters>
  <Application>Microsoft Office Word</Application>
  <DocSecurity>0</DocSecurity>
  <Lines>478</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CERD/C/105/D/65/2018</vt:lpstr>
      <vt:lpstr>CERD/C/105/D/65/2018</vt:lpstr>
    </vt:vector>
  </TitlesOfParts>
  <Company>DCM</Company>
  <LinksUpToDate>false</LinksUpToDate>
  <CharactersWithSpaces>38100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CERD/C/105/D/65/2018</dc:title>
  <dc:subject/>
  <dc:creator>Nathalie VITTOZ</dc:creator>
  <cp:keywords/>
  <cp:lastModifiedBy>Julien Okrzesik</cp:lastModifiedBy>
  <cp:revision>3</cp:revision>
  <cp:lastPrinted>2022-02-18T16:10:00Z</cp:lastPrinted>
  <dcterms:created xsi:type="dcterms:W3CDTF">2022-02-18T16:10:00Z</dcterms:created>
  <dcterms:modified xsi:type="dcterms:W3CDTF">2022-02-18T16:11:00Z</dcterms:modified>
</cp:coreProperties>
</file>