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40347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(R)   270207   010307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4710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CAT/C/HUN/CO/4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February</w:t>
            </w:r>
            <w:proofErr w:type="spellEnd"/>
            <w:r>
              <w:rPr>
                <w:sz w:val="22"/>
              </w:rPr>
              <w:t xml:space="preserve"> 2007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Original</w:t>
            </w:r>
            <w:proofErr w:type="spellEnd"/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Тридцать седьмая сессия</w:t>
      </w:r>
    </w:p>
    <w:p w:rsidR="00000000" w:rsidRDefault="00000000">
      <w:r>
        <w:t>6-24 ноября 2006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УЧАСТНИКАМИ В СООТВЕТСТВИИ СО СТАТЬЕЙ 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и рекомендации Комитета против пыток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ВЕНГРИЯ</w:t>
      </w:r>
    </w:p>
    <w:p w:rsidR="00000000" w:rsidRDefault="00000000"/>
    <w:p w:rsidR="00000000" w:rsidRDefault="00000000">
      <w:r>
        <w:t>1.</w:t>
      </w:r>
      <w:r>
        <w:tab/>
        <w:t>Комитет рассмотрел четвертый периодический доклад Венгрии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/55/</w:t>
      </w:r>
      <w:r>
        <w:rPr>
          <w:lang w:val="en-US"/>
        </w:rPr>
        <w:t>Add</w:t>
      </w:r>
      <w:r>
        <w:t>.10) на своих 738-м и 741-м заседаниях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.738 и 741), состоявшихся 15 и 16 ноября 2006 года, и на своих 748-м и 749-м заседаниях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.748 и 749) принял следующие заключительные замечания и рекомендации.</w:t>
      </w:r>
    </w:p>
    <w:p w:rsidR="00000000" w:rsidRDefault="00000000"/>
    <w:p w:rsidR="00000000" w:rsidRDefault="00000000">
      <w:pPr>
        <w:jc w:val="center"/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/>
    <w:p w:rsidR="00000000" w:rsidRDefault="00000000">
      <w:r>
        <w:t>2.</w:t>
      </w:r>
      <w:r>
        <w:tab/>
        <w:t>Комитет выражает удовлетворение в связи с представлением Венгрией четвертого периодического доклада и содержащейся в нем информацией.  Комитет высоко оценивает диалог с делегацией государства-участника и представление в письменном виде подробных ответов на перечень вопросов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HUN</w:t>
      </w:r>
      <w:r>
        <w:t>/</w:t>
      </w:r>
      <w:r>
        <w:rPr>
          <w:lang w:val="en-US"/>
        </w:rPr>
        <w:t>Q</w:t>
      </w:r>
      <w:r>
        <w:t>/4/</w:t>
      </w:r>
      <w:r>
        <w:rPr>
          <w:lang w:val="en-US"/>
        </w:rPr>
        <w:t>Add</w:t>
      </w:r>
      <w:r>
        <w:t>.1), что способствовало проведению обсуждения между членами делегации и Комитетом.  К тому же, Комитет выражает удовлетворение устными ответами делегации в связи с затронутыми в ходе рассмотрения доклада вопросами и проблемами, вызвавшими озабоченность членов Комитета.</w:t>
      </w:r>
    </w:p>
    <w:p w:rsidR="00000000" w:rsidRDefault="00000000"/>
    <w:p w:rsidR="00000000" w:rsidRDefault="00000000">
      <w:pPr>
        <w:jc w:val="center"/>
      </w:pPr>
      <w:r>
        <w:rPr>
          <w:b/>
          <w:bCs/>
        </w:rPr>
        <w:br w:type="page"/>
        <w:t>В.</w:t>
      </w:r>
      <w:r>
        <w:rPr>
          <w:b/>
          <w:bCs/>
        </w:rPr>
        <w:tab/>
        <w:t>Позитивные аспекты</w:t>
      </w:r>
    </w:p>
    <w:p w:rsidR="00000000" w:rsidRDefault="00000000"/>
    <w:p w:rsidR="00000000" w:rsidRDefault="00000000">
      <w:r>
        <w:t>3.</w:t>
      </w:r>
      <w:r>
        <w:tab/>
        <w:t xml:space="preserve">Комитет с удовлетворением отмечает, что за период, прошедший с момента рассмотрения последнего периодического доклада, государство-участник присоединилось к Факультативному протоколу к Конвенции о ликвидации всех форм дискриминации в отношении женщин и ратифицировало Римский статут Международного уголовного суда. </w:t>
      </w:r>
    </w:p>
    <w:p w:rsidR="00000000" w:rsidRDefault="00000000"/>
    <w:p w:rsidR="00000000" w:rsidRDefault="00000000">
      <w:r>
        <w:t>4.</w:t>
      </w:r>
      <w:r>
        <w:tab/>
        <w:t>Комитет высоко оценивает предпринимаемые на государственном уровне усилия по реформированию законодательства, политики и процедур в целях обеспечения большей защищенности прав человека, включая право не подвергаться пыткам и другим жестоким, бесчеловечным или унижающим достоинство видам обращения и наказания, в частности:</w:t>
      </w:r>
    </w:p>
    <w:p w:rsidR="00000000" w:rsidRDefault="00000000"/>
    <w:p w:rsidR="00000000" w:rsidRDefault="00000000">
      <w:pPr>
        <w:tabs>
          <w:tab w:val="clear" w:pos="567"/>
          <w:tab w:val="clear" w:pos="1134"/>
          <w:tab w:val="left" w:pos="187"/>
          <w:tab w:val="left" w:pos="1122"/>
        </w:tabs>
        <w:ind w:firstLine="561"/>
      </w:pPr>
      <w:r>
        <w:t>а)</w:t>
      </w:r>
      <w:r>
        <w:tab/>
        <w:t>Закон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С</w:t>
      </w:r>
      <w:r>
        <w:rPr>
          <w:lang w:val="en-US"/>
        </w:rPr>
        <w:t>X</w:t>
      </w:r>
      <w:r>
        <w:t>ХХ</w:t>
      </w:r>
      <w:r>
        <w:rPr>
          <w:lang w:val="en-US"/>
        </w:rPr>
        <w:t>V</w:t>
      </w:r>
      <w:r>
        <w:t xml:space="preserve"> 2005 года о предоставлении помощи жертвам преступлений и о смягчении ущерба государством;</w:t>
      </w:r>
    </w:p>
    <w:p w:rsidR="00000000" w:rsidRDefault="00000000">
      <w:pPr>
        <w:tabs>
          <w:tab w:val="clear" w:pos="567"/>
          <w:tab w:val="clear" w:pos="1134"/>
          <w:tab w:val="left" w:pos="187"/>
          <w:tab w:val="left" w:pos="1122"/>
        </w:tabs>
        <w:ind w:firstLine="561"/>
      </w:pPr>
    </w:p>
    <w:p w:rsidR="00000000" w:rsidRDefault="00000000">
      <w:pPr>
        <w:ind w:firstLine="561"/>
      </w:pPr>
      <w:r>
        <w:rPr>
          <w:lang w:val="en-US"/>
        </w:rPr>
        <w:t>b</w:t>
      </w:r>
      <w:r>
        <w:t>)</w:t>
      </w:r>
      <w:r>
        <w:tab/>
        <w:t>Закон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СХХ</w:t>
      </w:r>
      <w:r>
        <w:rPr>
          <w:lang w:val="en-US"/>
        </w:rPr>
        <w:t>V</w:t>
      </w:r>
      <w:r>
        <w:t xml:space="preserve"> 2003 года о равном обращении и поощрении равных возможностей;</w:t>
      </w:r>
    </w:p>
    <w:p w:rsidR="00000000" w:rsidRDefault="00000000">
      <w:pPr>
        <w:ind w:left="561"/>
      </w:pPr>
    </w:p>
    <w:p w:rsidR="00000000" w:rsidRDefault="00000000">
      <w:pPr>
        <w:tabs>
          <w:tab w:val="clear" w:pos="567"/>
          <w:tab w:val="clear" w:pos="1134"/>
          <w:tab w:val="left" w:pos="1122"/>
          <w:tab w:val="left" w:pos="1309"/>
        </w:tabs>
        <w:ind w:firstLine="561"/>
      </w:pPr>
      <w:r>
        <w:rPr>
          <w:lang w:val="en-US"/>
        </w:rPr>
        <w:t>c</w:t>
      </w:r>
      <w:r>
        <w:t>)</w:t>
      </w:r>
      <w:r>
        <w:tab/>
        <w:t>Закон</w:t>
      </w:r>
      <w:r>
        <w:rPr>
          <w:lang w:val="en-US"/>
        </w:rPr>
        <w:t> </w:t>
      </w:r>
      <w:r>
        <w:t>№</w:t>
      </w:r>
      <w:r>
        <w:rPr>
          <w:lang w:val="en-US"/>
        </w:rPr>
        <w:t> X</w:t>
      </w:r>
      <w:r>
        <w:t>ХХ</w:t>
      </w:r>
      <w:r>
        <w:rPr>
          <w:lang w:val="en-US"/>
        </w:rPr>
        <w:t>I</w:t>
      </w:r>
      <w:r>
        <w:t xml:space="preserve">Х 2001 года о въезде и пребывании на территории иностранных граждан ["Закон об иностранцах"] и постановление правительства № 170/2001 об </w:t>
      </w:r>
      <w:proofErr w:type="spellStart"/>
      <w:r>
        <w:t>имплементации</w:t>
      </w:r>
      <w:proofErr w:type="spellEnd"/>
      <w:r>
        <w:t xml:space="preserve"> Закона об иностранцах;</w:t>
      </w:r>
    </w:p>
    <w:p w:rsidR="00000000" w:rsidRDefault="00000000">
      <w:pPr>
        <w:tabs>
          <w:tab w:val="clear" w:pos="567"/>
          <w:tab w:val="clear" w:pos="1134"/>
          <w:tab w:val="left" w:pos="1122"/>
          <w:tab w:val="left" w:pos="1309"/>
        </w:tabs>
        <w:ind w:firstLine="561"/>
      </w:pPr>
    </w:p>
    <w:p w:rsidR="00000000" w:rsidRDefault="00000000">
      <w:pPr>
        <w:ind w:firstLine="561"/>
      </w:pPr>
      <w:r>
        <w:rPr>
          <w:lang w:val="en-US"/>
        </w:rPr>
        <w:t>d</w:t>
      </w:r>
      <w:r>
        <w:t>)</w:t>
      </w:r>
      <w:r>
        <w:tab/>
        <w:t>Закон №</w:t>
      </w:r>
      <w:r>
        <w:rPr>
          <w:lang w:val="en-US"/>
        </w:rPr>
        <w:t> XIX</w:t>
      </w:r>
      <w:r>
        <w:t xml:space="preserve"> 1998 года о введении в действие  Уголовно-процессуального кодекса;</w:t>
      </w:r>
    </w:p>
    <w:p w:rsidR="00000000" w:rsidRDefault="00000000">
      <w:pPr>
        <w:ind w:left="561"/>
      </w:pPr>
    </w:p>
    <w:p w:rsidR="00000000" w:rsidRDefault="00000000">
      <w:pPr>
        <w:ind w:firstLine="561"/>
      </w:pPr>
      <w:r>
        <w:rPr>
          <w:lang w:val="en-US"/>
        </w:rPr>
        <w:t>e</w:t>
      </w:r>
      <w:r>
        <w:t>)</w:t>
      </w:r>
      <w:r>
        <w:tab/>
        <w:t>принятие в 2003 году Кодекса поведения сотрудников полиции при допросах;</w:t>
      </w:r>
    </w:p>
    <w:p w:rsidR="00000000" w:rsidRDefault="00000000"/>
    <w:p w:rsidR="00000000" w:rsidRDefault="00000000">
      <w:pPr>
        <w:tabs>
          <w:tab w:val="clear" w:pos="567"/>
          <w:tab w:val="clear" w:pos="1134"/>
          <w:tab w:val="left" w:pos="561"/>
          <w:tab w:val="left" w:pos="1122"/>
        </w:tabs>
        <w:ind w:firstLine="561"/>
      </w:pPr>
      <w:r>
        <w:rPr>
          <w:lang w:val="en-US"/>
        </w:rPr>
        <w:t>f</w:t>
      </w:r>
      <w:r>
        <w:t>)</w:t>
      </w:r>
      <w:r>
        <w:tab/>
        <w:t>создание в 2003 году центра для несопровождаемых н</w:t>
      </w:r>
      <w:r>
        <w:t>е</w:t>
      </w:r>
      <w:r>
        <w:t>совершеннолетних при содействии Верховного комиссара Организации Объединенных Наций  по делам беженцев;</w:t>
      </w:r>
    </w:p>
    <w:p w:rsidR="00000000" w:rsidRDefault="00000000">
      <w:pPr>
        <w:tabs>
          <w:tab w:val="clear" w:pos="567"/>
          <w:tab w:val="clear" w:pos="1134"/>
          <w:tab w:val="left" w:pos="561"/>
          <w:tab w:val="left" w:pos="1122"/>
        </w:tabs>
        <w:ind w:firstLine="561"/>
      </w:pPr>
    </w:p>
    <w:p w:rsidR="00000000" w:rsidRDefault="00000000">
      <w:pPr>
        <w:tabs>
          <w:tab w:val="clear" w:pos="1134"/>
          <w:tab w:val="left" w:pos="1122"/>
        </w:tabs>
        <w:ind w:firstLine="561"/>
      </w:pPr>
      <w:r>
        <w:rPr>
          <w:lang w:val="en-US"/>
        </w:rPr>
        <w:t>g</w:t>
      </w:r>
      <w:r>
        <w:t>)</w:t>
      </w:r>
      <w:r>
        <w:tab/>
        <w:t xml:space="preserve">осуществление программы по предоставлению </w:t>
      </w:r>
      <w:proofErr w:type="spellStart"/>
      <w:r>
        <w:t>грантов</w:t>
      </w:r>
      <w:proofErr w:type="spellEnd"/>
      <w:r>
        <w:t xml:space="preserve"> учащимся средней школы из числа рома, находящимся в неблагоприятном положении, для оказания поддержки лицам, желающим стать сотрудниками полиции;  и</w:t>
      </w:r>
    </w:p>
    <w:p w:rsidR="00000000" w:rsidRDefault="00000000">
      <w:pPr>
        <w:tabs>
          <w:tab w:val="clear" w:pos="1134"/>
          <w:tab w:val="left" w:pos="1122"/>
        </w:tabs>
        <w:ind w:firstLine="561"/>
      </w:pPr>
    </w:p>
    <w:p w:rsidR="00000000" w:rsidRDefault="00000000">
      <w:pPr>
        <w:tabs>
          <w:tab w:val="clear" w:pos="567"/>
          <w:tab w:val="clear" w:pos="1134"/>
          <w:tab w:val="left" w:pos="1122"/>
          <w:tab w:val="left" w:pos="1309"/>
        </w:tabs>
        <w:ind w:firstLine="561"/>
      </w:pPr>
      <w:r>
        <w:rPr>
          <w:lang w:val="en-US"/>
        </w:rPr>
        <w:t>h</w:t>
      </w:r>
      <w:r>
        <w:t>)</w:t>
      </w:r>
      <w:r>
        <w:tab/>
        <w:t>Опубликование в июне 2006 года последнего доклада Европейского комитета по предупреждению пыток и бесчеловечных или унижающих достоинство видов обращения и наказания (</w:t>
      </w:r>
      <w:r>
        <w:rPr>
          <w:lang w:val="en-US"/>
        </w:rPr>
        <w:t>CPT</w:t>
      </w:r>
      <w:r>
        <w:t>/</w:t>
      </w:r>
      <w:proofErr w:type="spellStart"/>
      <w:r>
        <w:rPr>
          <w:lang w:val="en-US"/>
        </w:rPr>
        <w:t>Inf</w:t>
      </w:r>
      <w:proofErr w:type="spellEnd"/>
      <w:r>
        <w:t> (2006) 20) и комментарии к нему государства-участника (</w:t>
      </w:r>
      <w:r>
        <w:rPr>
          <w:lang w:val="en-US"/>
        </w:rPr>
        <w:t>CPT</w:t>
      </w:r>
      <w:r>
        <w:t>/</w:t>
      </w:r>
      <w:proofErr w:type="spellStart"/>
      <w:r>
        <w:rPr>
          <w:lang w:val="en-US"/>
        </w:rPr>
        <w:t>Inf</w:t>
      </w:r>
      <w:proofErr w:type="spellEnd"/>
      <w:r>
        <w:t> (2006) 21).</w:t>
      </w:r>
    </w:p>
    <w:p w:rsidR="00000000" w:rsidRDefault="00000000">
      <w:r>
        <w:t>5.</w:t>
      </w:r>
      <w:r>
        <w:tab/>
        <w:t>Комитет также выразил удовлетворение в связи с заверениями, представленными в устной форме представителями государства-участника, в том, что ратификация Факультативного протокола к Конвенции против пыток и других жестоких, бесчеловечных или унижающих достоинство видов обращения и наказания будет осуществлена в ближайшее время.</w:t>
      </w:r>
    </w:p>
    <w:p w:rsidR="00000000" w:rsidRDefault="00000000"/>
    <w:p w:rsidR="00000000" w:rsidRDefault="00000000">
      <w:pPr>
        <w:jc w:val="center"/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Вопросы, вызывающие озабоченность, и рекомендации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Определение понятия "пытка"</w:t>
      </w:r>
    </w:p>
    <w:p w:rsidR="00000000" w:rsidRDefault="00000000">
      <w:pPr>
        <w:rPr>
          <w:lang w:val="en-US"/>
        </w:rPr>
      </w:pPr>
    </w:p>
    <w:p w:rsidR="00000000" w:rsidRDefault="00000000">
      <w:r>
        <w:t>6.</w:t>
      </w:r>
      <w:r>
        <w:tab/>
        <w:t>Несмотря на заверения государства-участника в том, что по Уголовному кодексу Венгрии (статья 226 о жестоком обращении в ходе официальных следственных действий, статья 227 о допросе с применением методов принуждения и статья 228 о незаконном лишении свободы) все деяния, которые подпадают под определение понятия "пытка", содержащееся в статье 1 Конвенции, уголовно наказуемы, Комитет отмечает, что не все элементы определения понятия "пытка" в том виде, в котором оно приводится в статье 1 Конвенции, включены в Уголовный кодекс государства-участника.</w:t>
      </w:r>
    </w:p>
    <w:p w:rsidR="00000000" w:rsidRDefault="00000000"/>
    <w:p w:rsidR="00000000" w:rsidRDefault="00000000">
      <w:pPr>
        <w:ind w:left="567" w:hanging="6"/>
        <w:rPr>
          <w:b/>
          <w:bCs/>
        </w:rPr>
      </w:pPr>
      <w:r>
        <w:rPr>
          <w:b/>
          <w:bCs/>
        </w:rPr>
        <w:t>Государству-участнику следует включить в законодательство определение понятия "пытка", охватывающее все элементы, содержащиеся в статье 1 Конвенции.</w:t>
      </w:r>
    </w:p>
    <w:p w:rsidR="00000000" w:rsidRDefault="00000000">
      <w:pPr>
        <w:ind w:left="567" w:hanging="6"/>
        <w:jc w:val="both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Содержание под стражей до суда</w:t>
      </w:r>
    </w:p>
    <w:p w:rsidR="00000000" w:rsidRDefault="00000000"/>
    <w:p w:rsidR="00000000" w:rsidRDefault="00000000">
      <w:r>
        <w:t>7.</w:t>
      </w:r>
      <w:r>
        <w:tab/>
        <w:t>Комитет выражает озабоченность в связи с продолжительностью срока задержания на начальной стадии предварительного заключения (до 72 часов), существующей практикой досудебного содержания под стражей в полицейских участках и, как следствие, высокой степенью вероятности жестокого обращения и глубоко сожалеет о том, что Уголовно-процессуальный закон предусматривает содержание под стражей до суда сроком до трех лет.  Кроме того, Комитет выражает обеспокоенность в связи с тем, что в период досудебного разбирательства лица моложе 18 лет и взрослые содержатся в одной камере, и отмечает, что о необходимости раздельного содержания несовершеннолетних и взрослых говорится в проекте нового уголовно-исполнительного кодекса (статьи 2, 11</w:t>
      </w:r>
    </w:p>
    <w:p w:rsidR="00000000" w:rsidRDefault="00000000">
      <w:r>
        <w:t>и 16)</w:t>
      </w:r>
    </w:p>
    <w:p w:rsidR="00000000" w:rsidRDefault="00000000">
      <w:pPr>
        <w:jc w:val="both"/>
      </w:pPr>
    </w:p>
    <w:p w:rsidR="00000000" w:rsidRDefault="00000000">
      <w:pPr>
        <w:ind w:left="561"/>
        <w:rPr>
          <w:b/>
          <w:bCs/>
        </w:rPr>
      </w:pPr>
      <w:r>
        <w:rPr>
          <w:b/>
          <w:bCs/>
        </w:rPr>
        <w:tab/>
        <w:t>Государству-участнику следует принять надлежащие меры для обеспечения соответствия своей политики в области содержания под стражей до суда международным стандартам, в том числе за счет сокращения срока содержания под стражей в полицейских участках, дальнейшего сокращения периода досудебного содержания под стражей и применения альтернативных мер, изложенных в главе "Принудительные меры" Уголовно-процессуального кодекса, в тех случаях, если обвиняемый не представляет опасности для общества.  Более того, государство-участник должно принять необходимые меры для обеспечения того, чтобы в период предварительного заключения несовершеннолетние и взрослые содержались в отдельных камерах, а также должно принять новый Уголовно-исполнительный кодекс.</w:t>
      </w:r>
    </w:p>
    <w:p w:rsidR="00000000" w:rsidRDefault="00000000">
      <w:pPr>
        <w:jc w:val="both"/>
      </w:pPr>
    </w:p>
    <w:p w:rsidR="00000000" w:rsidRDefault="00000000">
      <w:pPr>
        <w:ind w:left="567" w:hanging="567"/>
      </w:pPr>
      <w:r>
        <w:rPr>
          <w:b/>
          <w:bCs/>
        </w:rPr>
        <w:t>Основополагающие гарантии</w:t>
      </w:r>
    </w:p>
    <w:p w:rsidR="00000000" w:rsidRDefault="00000000">
      <w:pPr>
        <w:jc w:val="both"/>
      </w:pPr>
    </w:p>
    <w:p w:rsidR="00000000" w:rsidRDefault="00000000">
      <w:r>
        <w:t>8.</w:t>
      </w:r>
      <w:r>
        <w:tab/>
        <w:t xml:space="preserve">Комитет обеспокоен заявлениями о том, что не во всех случаях соблюдаются основополагающие правовые гарантии лиц, содержащихся под стражей полицией или пограничными службами, включая право на доступ к адвокату и медицинскому освидетельствованию.  В этой связи Комитет выражает обеспокоенность тем, что большое число людей, которым был назначен адвокат </w:t>
      </w:r>
      <w:r>
        <w:rPr>
          <w:lang w:val="en-US"/>
        </w:rPr>
        <w:t>ex</w:t>
      </w:r>
      <w:r>
        <w:t xml:space="preserve"> </w:t>
      </w:r>
      <w:r>
        <w:rPr>
          <w:lang w:val="en-US"/>
        </w:rPr>
        <w:t>officio</w:t>
      </w:r>
      <w:r>
        <w:t>, не получает от него реальной помощи на стадии расследования.  Более того, Комитет обеспокоен информацией о том, что обязательный медицинский осмотр после доставки в полицейский участок часто проводится врачами, которые не являются независимыми от полиции, в присутствии сотрудников полиции и что такая же практика применяется к незаконно находящимся на территории иностранцам в присутствии сотрудников пограничной службы (статьи 2, 13</w:t>
      </w:r>
    </w:p>
    <w:p w:rsidR="00000000" w:rsidRDefault="00000000">
      <w:r>
        <w:t>и 16)</w:t>
      </w:r>
    </w:p>
    <w:p w:rsidR="00000000" w:rsidRDefault="00000000">
      <w:pPr>
        <w:jc w:val="both"/>
      </w:pPr>
    </w:p>
    <w:p w:rsidR="00000000" w:rsidRDefault="00000000">
      <w:pPr>
        <w:ind w:left="567" w:hanging="6"/>
        <w:rPr>
          <w:b/>
          <w:bCs/>
        </w:rPr>
      </w:pPr>
      <w:r>
        <w:rPr>
          <w:b/>
          <w:bCs/>
        </w:rPr>
        <w:t>Государству-участнику следует принять эффективные меры по обеспечению соблюдения основополагающих правовых гарантий лиц, содержащихся под стражей органами полиции или пограничной службы, включая право на информирование родственников, на доступ к адвокату, а также право на независимое медицинское</w:t>
      </w:r>
      <w:r>
        <w:t xml:space="preserve"> </w:t>
      </w:r>
      <w:r>
        <w:rPr>
          <w:b/>
          <w:bCs/>
        </w:rPr>
        <w:t xml:space="preserve">освидетельствование и доступ к врачу по выбору задержанных лиц и на получение ими информации о своих правах. </w:t>
      </w:r>
    </w:p>
    <w:p w:rsidR="00000000" w:rsidRDefault="00000000"/>
    <w:p w:rsidR="00000000" w:rsidRDefault="00000000">
      <w:pPr>
        <w:ind w:left="561"/>
        <w:rPr>
          <w:b/>
          <w:bCs/>
        </w:rPr>
      </w:pPr>
      <w:r>
        <w:rPr>
          <w:b/>
          <w:bCs/>
        </w:rPr>
        <w:t>Кроме всего прочего, государству-участнику надлежит обеспечить, чтобы:</w:t>
      </w:r>
    </w:p>
    <w:p w:rsidR="00000000" w:rsidRDefault="00000000">
      <w:pPr>
        <w:ind w:left="561"/>
      </w:pPr>
    </w:p>
    <w:p w:rsidR="00000000" w:rsidRDefault="00000000">
      <w:pPr>
        <w:ind w:left="1122" w:hanging="561"/>
        <w:rPr>
          <w:b/>
          <w:bCs/>
        </w:rPr>
      </w:pPr>
      <w:r>
        <w:rPr>
          <w:b/>
          <w:bCs/>
        </w:rPr>
        <w:tab/>
        <w:t>а)</w:t>
      </w:r>
      <w:r>
        <w:rPr>
          <w:b/>
          <w:bCs/>
        </w:rPr>
        <w:tab/>
        <w:t>лица, содержащиеся под стражей органами полиции или пограничной службы, имели реальное право на доступ к адвокату с момента лишения свободы;</w:t>
      </w:r>
    </w:p>
    <w:p w:rsidR="00000000" w:rsidRDefault="00000000">
      <w:pPr>
        <w:ind w:left="1122" w:hanging="561"/>
        <w:rPr>
          <w:b/>
          <w:bCs/>
        </w:rPr>
      </w:pPr>
    </w:p>
    <w:p w:rsidR="00000000" w:rsidRDefault="00000000">
      <w:pPr>
        <w:ind w:left="1122" w:hanging="561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сотрудники полиции и пограничной службы не присутствовали при проведении медицинского осмотра содержащихся под стражей лиц для обеспечения конфиденциальности результатов медицинского осмотра во всех случаях, за исключением особых случаев и при наличии оправдывающих обстоятельств (например, в случае опасности физической агрессии).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Содержание под стражей просителей убежища и неграждан</w:t>
      </w:r>
    </w:p>
    <w:p w:rsidR="00000000" w:rsidRDefault="00000000"/>
    <w:p w:rsidR="00000000" w:rsidRDefault="00000000">
      <w:r>
        <w:t>9.</w:t>
      </w:r>
      <w:r>
        <w:tab/>
        <w:t>Комитет выражает озабоченность в связи с практикой содержания под стражей, применяемой в отношении просителей убежища и других неграждан, в том числе в связи с сообщениями о том, что они часто подвергаются продолжительному сроку содержания под стражей, в том числе в рамках так называемой "процедуры надзора за иностранцами", предусматривающей содержание сроком до 12 месяцев в центрах содержания для иностранцев, находящихся в ведении пограничной службы (статьи 2, 11 и 16).</w:t>
      </w:r>
    </w:p>
    <w:p w:rsidR="00000000" w:rsidRDefault="00000000"/>
    <w:p w:rsidR="00000000" w:rsidRDefault="00000000">
      <w:pPr>
        <w:tabs>
          <w:tab w:val="clear" w:pos="567"/>
          <w:tab w:val="clear" w:pos="1134"/>
          <w:tab w:val="left" w:pos="561"/>
          <w:tab w:val="left" w:pos="748"/>
        </w:tabs>
        <w:ind w:left="561"/>
        <w:rPr>
          <w:b/>
          <w:bCs/>
        </w:rPr>
      </w:pPr>
      <w:r>
        <w:rPr>
          <w:b/>
          <w:bCs/>
        </w:rPr>
        <w:t>Государству-участнику следует принять меры по обеспечению того, чтобы просители убежища и другие неграждане содержались под стражей только в исключительных обстоятельствах или только в случае крайней необходимости, причем даже в этом случае срок содержания должен быть максимально коротким, и чтобы правила пенитенциарных учреждений особого режима не применялись к данным центрам содержания под стражей.  Государство-участник также должно обеспечить более эффективный судебный надзор за условиями содержания под стражей этих групп лиц.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rPr>
          <w:b/>
          <w:bCs/>
        </w:rPr>
        <w:t>Недопустимость принудительного возвращения</w:t>
      </w:r>
    </w:p>
    <w:p w:rsidR="00000000" w:rsidRDefault="00000000">
      <w:pPr>
        <w:keepNext/>
      </w:pPr>
    </w:p>
    <w:p w:rsidR="00000000" w:rsidRDefault="00000000">
      <w:r>
        <w:t>10.</w:t>
      </w:r>
      <w:r>
        <w:tab/>
        <w:t>Комитет выражает обеспокоенность в связи с тем, что, возможно, не во всех случаях отдельные лица могли получить полную защиту в соответствии с конкретными статьями Конвенции, касающимися выдворения, возвращения или выдачи лица другой стране.  У Комитета также вызывает озабоченность информация о том, что на границе нет полной гарантии соблюдения прав неграждан, просящих защиты, на доступ к процедуре предоставления убежища, а также сообщения о случаях незаконного выдворения просителей убежища и других неграждан в третьи страны, осуществляемого пограничной службой (статьи 3 и 16).</w:t>
      </w:r>
    </w:p>
    <w:p w:rsidR="00000000" w:rsidRDefault="00000000"/>
    <w:p w:rsidR="00000000" w:rsidRDefault="00000000">
      <w:pPr>
        <w:tabs>
          <w:tab w:val="clear" w:pos="567"/>
          <w:tab w:val="clear" w:pos="1134"/>
          <w:tab w:val="left" w:pos="561"/>
          <w:tab w:val="left" w:pos="1122"/>
        </w:tabs>
        <w:ind w:left="561"/>
        <w:rPr>
          <w:b/>
          <w:bCs/>
        </w:rPr>
      </w:pPr>
      <w:r>
        <w:rPr>
          <w:b/>
          <w:bCs/>
        </w:rPr>
        <w:t>Государству-участнику следует обеспечить полное соблюдение положений статьи 3 Конвенции и надлежащее отношение со стороны компетентных органов к отдельным лицам, находящимся под юрисдикцией государства-участника, а также гарантировать справедливое отношение к ним на всех стадиях судопроизводства, включая обеспечение возможности эффективного, независимого и беспристрастного рассмотрения решений, касающихся выдворения, возвращения или выдачи.</w:t>
      </w:r>
    </w:p>
    <w:p w:rsidR="00000000" w:rsidRDefault="00000000"/>
    <w:p w:rsidR="00000000" w:rsidRDefault="00000000">
      <w:pPr>
        <w:ind w:left="561"/>
      </w:pPr>
      <w:r>
        <w:rPr>
          <w:b/>
          <w:bCs/>
        </w:rPr>
        <w:t>В этой связи государство-участник должно обеспечить подробное рассмотрение дела в соответствии с разделом 43 (1) Закона об иностранцах соответствующими полицейскими органами, занимающимися иностранцами, до принятия решения о выдворении во всех случаях незаконного въезда в Венгрию или пребывания на ее территории иностранных граждан для обеспечения того, чтобы данное лицо не подвергалось пыткам, другим жестоким, бесчеловечным или унижающим достоинство видам обращения и наказания в стране, которой оно будет возвращено.  Государству-участнику следует пополнять и обновлять базу данных, содержащую информацию о странах происхождения (ИСП), и принимать эффективные меры для обеспечения соблюдения внутренних норм, предписывающих обязательное использование системы ИСП.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Специальная подготовка</w:t>
      </w:r>
    </w:p>
    <w:p w:rsidR="00000000" w:rsidRDefault="00000000"/>
    <w:p w:rsidR="00000000" w:rsidRDefault="00000000">
      <w:r>
        <w:t>11.</w:t>
      </w:r>
      <w:r>
        <w:tab/>
        <w:t>Комитет обеспокоен отсутствием специальной подготовки по вопросам запрещения пыток и бесчеловечных и унижающих достоинство видов обращения и наказания для сотрудников правоохранительных органов всех уровней, включая полицейских, сотрудников пенитенциарных учреждений, пограничной службы и Управления по вопросам иммиграции и гражданства.  К тому же Комитет выражает сожаление в связи с отсутствием информации о результатах такой подготовки сотрудников правоохранительных органов и пограничников, а также об эффективности программ подготовки для сокращения количества случаев пыток, насилия или жестокого обращения (статья 10).</w:t>
      </w:r>
    </w:p>
    <w:p w:rsidR="00000000" w:rsidRDefault="00000000"/>
    <w:p w:rsidR="00000000" w:rsidRDefault="00000000">
      <w:pPr>
        <w:ind w:left="561"/>
        <w:rPr>
          <w:b/>
        </w:rPr>
      </w:pPr>
      <w:r>
        <w:rPr>
          <w:b/>
        </w:rPr>
        <w:t xml:space="preserve">Государству-участнику надлежит продолжать разработку учебных программ для того, чтобы сотрудники правоохранительных органов, пенитенциарных учреждений и пограничной службы имели полное представление о положениях Конвенции, в которых говорится о том, что нарушения не будут оставаться безнаказанными, что будет проводиться тщательное расследование, а нарушители будут подвергаться судебному преследованию.  Все сотрудники должны пройти специальную подготовку для изучения признаков применения пыток и жестокого обращения, Комитет также рекомендует в обязательном порядке включать </w:t>
      </w:r>
      <w:r>
        <w:rPr>
          <w:b/>
          <w:bCs/>
        </w:rPr>
        <w:t>Стамбульский протокол </w:t>
      </w:r>
      <w:r>
        <w:rPr>
          <w:b/>
        </w:rPr>
        <w:t>1999 года</w:t>
      </w:r>
      <w:r>
        <w:rPr>
          <w:b/>
          <w:bCs/>
        </w:rPr>
        <w:t xml:space="preserve"> ("Руководство по эффективному расследованию и документированию пыток и других жестоких, бесчеловечных или унижающих достоинство видов обращения и наказания") </w:t>
      </w:r>
      <w:r>
        <w:rPr>
          <w:b/>
        </w:rPr>
        <w:t>в программу подготовки медицинских работников.  Кроме того, государство-участник должно разработать и начать применять методологию оценки эффективности и влияния подобной подготовки/учебных программ на уменьшение количества случаев пыток, насилия или жестокого обращения.</w:t>
      </w:r>
    </w:p>
    <w:p w:rsidR="00000000" w:rsidRDefault="00000000">
      <w:pPr>
        <w:rPr>
          <w:bCs/>
        </w:rPr>
      </w:pPr>
    </w:p>
    <w:p w:rsidR="00000000" w:rsidRDefault="00000000">
      <w:pPr>
        <w:rPr>
          <w:b/>
        </w:rPr>
      </w:pPr>
      <w:r>
        <w:rPr>
          <w:b/>
        </w:rPr>
        <w:t>Сбор данных</w:t>
      </w:r>
    </w:p>
    <w:p w:rsidR="00000000" w:rsidRDefault="00000000"/>
    <w:p w:rsidR="00000000" w:rsidRDefault="00000000">
      <w:r>
        <w:t>12.</w:t>
      </w:r>
      <w:r>
        <w:tab/>
        <w:t>Комитет выражает сожаление в связи с тем, что по некоторым областям, охватываемым Конвенцией, государство-участник не смогло представить статистические данные либо должным образом дезагрегировать представленные данные (например, по возрасту, полу и/или по этническим группам).  В ходе текущего диалога такое наблюдалось, например, в случае с этнической принадлежностью заключенных и содержащихся под стражей лиц, в частности представителей народа рома (статья 11).</w:t>
      </w:r>
    </w:p>
    <w:p w:rsidR="00000000" w:rsidRDefault="00000000"/>
    <w:p w:rsidR="00000000" w:rsidRDefault="00000000">
      <w:pPr>
        <w:ind w:left="561"/>
        <w:rPr>
          <w:b/>
        </w:rPr>
      </w:pPr>
      <w:r>
        <w:rPr>
          <w:b/>
          <w:bCs/>
        </w:rPr>
        <w:t>Государству-участнику следует принять такие меры, которые могут оказаться необходимыми для обеспечения того, чтобы его компетентные органы, а также Комитет имели полную и подробную информацию для оценки соблюдения государством-участником его обязательств по Конвенции.</w:t>
      </w:r>
    </w:p>
    <w:p w:rsidR="00000000" w:rsidRDefault="00000000">
      <w:pPr>
        <w:rPr>
          <w:bCs/>
        </w:rPr>
      </w:pPr>
    </w:p>
    <w:p w:rsidR="00000000" w:rsidRDefault="00000000">
      <w:pPr>
        <w:rPr>
          <w:b/>
        </w:rPr>
      </w:pPr>
      <w:r>
        <w:rPr>
          <w:b/>
        </w:rPr>
        <w:t>Условия содержания под стражей</w:t>
      </w:r>
    </w:p>
    <w:p w:rsidR="00000000" w:rsidRDefault="00000000"/>
    <w:p w:rsidR="00000000" w:rsidRDefault="00000000">
      <w:pPr>
        <w:rPr>
          <w:bCs/>
        </w:rPr>
      </w:pPr>
      <w:r>
        <w:t>13.</w:t>
      </w:r>
      <w:r>
        <w:tab/>
        <w:t xml:space="preserve">Комитет обеспокоен тем, что, несмотря на принятые государством-участником меры в целях улучшения условий содержания, тюрьмы остаются переполненными.  У Комитета также вызывают озабоченность заявления о нескольких случаях жестокого обращения со стороны </w:t>
      </w:r>
      <w:r>
        <w:rPr>
          <w:bCs/>
        </w:rPr>
        <w:t>сотрудников пенитенциарных учреждений, в том числе в виде избиений и словесных оскорблений (статьи 11 и 16).</w:t>
      </w:r>
    </w:p>
    <w:p w:rsidR="00000000" w:rsidRDefault="00000000">
      <w:pPr>
        <w:rPr>
          <w:bCs/>
        </w:rPr>
      </w:pPr>
    </w:p>
    <w:p w:rsidR="00000000" w:rsidRDefault="00000000">
      <w:pPr>
        <w:ind w:left="561"/>
        <w:rPr>
          <w:b/>
          <w:bCs/>
        </w:rPr>
      </w:pPr>
      <w:r>
        <w:rPr>
          <w:b/>
          <w:bCs/>
        </w:rPr>
        <w:t>Государство-участник продолжает предпринимать усилия, направленные на разгрузку переполненных пенитенциарных учреждений, в том числе за счет более широкого применения и использования альтернативных приговоров, предусмотренных новым Законом об уголовном судопроизводстве</w:t>
      </w:r>
      <w:r>
        <w:rPr>
          <w:b/>
        </w:rPr>
        <w:t xml:space="preserve">, и созданием по мере необходимости дополнительных пенитенциарных учреждений.  Управление пенитенциарных учреждений должно довести до сведения своих сотрудников, что </w:t>
      </w:r>
      <w:r>
        <w:rPr>
          <w:b/>
          <w:bCs/>
        </w:rPr>
        <w:t>жестокое обращение неприемлемо.</w:t>
      </w:r>
    </w:p>
    <w:p w:rsidR="00000000" w:rsidRDefault="00000000">
      <w:pPr>
        <w:tabs>
          <w:tab w:val="clear" w:pos="567"/>
          <w:tab w:val="left" w:pos="187"/>
        </w:tabs>
      </w:pPr>
    </w:p>
    <w:p w:rsidR="00000000" w:rsidRDefault="00000000">
      <w:pPr>
        <w:rPr>
          <w:b/>
          <w:bCs/>
        </w:rPr>
      </w:pPr>
      <w:r>
        <w:rPr>
          <w:b/>
          <w:bCs/>
        </w:rPr>
        <w:t>Жестокое обращение и чрезмерное применение силы</w:t>
      </w:r>
    </w:p>
    <w:p w:rsidR="00000000" w:rsidRDefault="00000000"/>
    <w:p w:rsidR="00000000" w:rsidRDefault="00000000">
      <w:r>
        <w:t>14.</w:t>
      </w:r>
      <w:r>
        <w:tab/>
        <w:t>Комитет выражает обеспокоенность в связи с некоторыми заявлениями о чрезмерном применении силы и жестоком обращении со стороны сотрудников правоохранительных органов, особенно в ходе задержания или в связи с ним.  Особую обеспокоенность Комитета вызывают поступающие сообщения, в которых содержатся обвинения в адрес полиции в чрезмерном применении силы и жестоком обращении в ходе демонстраций в Будапеште в сентябре-октябре 2006 года (статьи 12 и 16).</w:t>
      </w:r>
    </w:p>
    <w:p w:rsidR="00000000" w:rsidRDefault="00000000"/>
    <w:p w:rsidR="00000000" w:rsidRDefault="00000000">
      <w:pPr>
        <w:ind w:left="561"/>
        <w:rPr>
          <w:b/>
          <w:bCs/>
        </w:rPr>
      </w:pPr>
      <w:r>
        <w:rPr>
          <w:b/>
          <w:bCs/>
        </w:rPr>
        <w:t>Государству-участнику следует уделять более пристальное внимание усилиям по формированию культуры прав человека путем разработки и осуществления политики полной недопустимости злоупотреблений на всех уровнях органов полиции, а также со стороны всех сотрудников пенитенциарных учреждений.  В рамках такой политики следует выявить проблемы и принять меры к их решению, в нее также следует включить новый Кодекс поведения</w:t>
      </w:r>
      <w:r>
        <w:t xml:space="preserve"> </w:t>
      </w:r>
      <w:r>
        <w:rPr>
          <w:b/>
          <w:bCs/>
        </w:rPr>
        <w:t>сотрудников полиции при проведении допросов и ввести кодекс поведения для всех должностных лиц, а также проводить регулярный мониторинг со стороны независимого надзорного органа.  Государство-участник должно принять меры по обеспечению того, чтобы сотрудники правоохранительных органов применяли силу только в случае острой необходимости и только в той мере, какая необходима для исполнения их служебных обязанностей.</w:t>
      </w:r>
    </w:p>
    <w:p w:rsidR="00000000" w:rsidRDefault="00000000"/>
    <w:p w:rsidR="00000000" w:rsidRDefault="00000000">
      <w:r>
        <w:t>15.</w:t>
      </w:r>
      <w:r>
        <w:tab/>
        <w:t>Обеспокоенность Комитета вызывают сообщения о том, что сотрудники правоохранительных органов не носили идентификационные жетоны во время демонстраций в Будапеште, из-за чего было невозможно установить личность тех, на кого поступили жалобы в применении насилия и жестоком обращении (статья 13).</w:t>
      </w:r>
    </w:p>
    <w:p w:rsidR="00000000" w:rsidRDefault="00000000"/>
    <w:p w:rsidR="00000000" w:rsidRDefault="00000000">
      <w:pPr>
        <w:ind w:left="561"/>
        <w:rPr>
          <w:b/>
          <w:bCs/>
        </w:rPr>
      </w:pPr>
      <w:r>
        <w:rPr>
          <w:b/>
          <w:bCs/>
        </w:rPr>
        <w:t>Государство-участник должно обеспечить, чтобы сотрудники правоохранительных органов носили четко различимые идентификационные жетоны для гарантии защиты от пыток, бесчеловечных и унижающих достоинство видов обращения и наказания.</w:t>
      </w:r>
    </w:p>
    <w:p w:rsidR="00000000" w:rsidRDefault="00000000">
      <w:pPr>
        <w:tabs>
          <w:tab w:val="clear" w:pos="567"/>
        </w:tabs>
      </w:pPr>
    </w:p>
    <w:p w:rsidR="00000000" w:rsidRDefault="00000000">
      <w:pPr>
        <w:rPr>
          <w:b/>
          <w:bCs/>
        </w:rPr>
      </w:pPr>
      <w:r>
        <w:rPr>
          <w:b/>
          <w:bCs/>
        </w:rPr>
        <w:t>Быстрое и беспристрастное расследование</w:t>
      </w:r>
    </w:p>
    <w:p w:rsidR="00000000" w:rsidRDefault="00000000"/>
    <w:p w:rsidR="00000000" w:rsidRDefault="00000000">
      <w:r>
        <w:t>16.</w:t>
      </w:r>
      <w:r>
        <w:tab/>
        <w:t>Обеспокоенность Комитета вызывает количество докладов о жестоком обращении со стороны сотрудников правоохранительных органов, небольшого числа расследований подобных дел государством-участником, а также крайне незначительного количества обвинительных приговоров, выносимых по итогам расследования некоторых дел (статьи 12 и 16).</w:t>
      </w:r>
    </w:p>
    <w:p w:rsidR="00000000" w:rsidRDefault="00000000"/>
    <w:p w:rsidR="00000000" w:rsidRDefault="00000000">
      <w:pPr>
        <w:ind w:left="561"/>
        <w:rPr>
          <w:b/>
          <w:bCs/>
        </w:rPr>
      </w:pPr>
      <w:r>
        <w:rPr>
          <w:b/>
          <w:bCs/>
        </w:rPr>
        <w:t>Государству-участнику следует:</w:t>
      </w:r>
    </w:p>
    <w:p w:rsidR="00000000" w:rsidRDefault="00000000">
      <w:pPr>
        <w:ind w:left="561"/>
        <w:rPr>
          <w:b/>
          <w:bCs/>
        </w:rPr>
      </w:pPr>
    </w:p>
    <w:p w:rsidR="00000000" w:rsidRDefault="00000000">
      <w:pPr>
        <w:tabs>
          <w:tab w:val="clear" w:pos="567"/>
          <w:tab w:val="left" w:pos="0"/>
        </w:tabs>
        <w:ind w:firstLine="561"/>
        <w:rPr>
          <w:b/>
          <w:bCs/>
        </w:rPr>
      </w:pPr>
      <w:r>
        <w:rPr>
          <w:b/>
          <w:bCs/>
        </w:rPr>
        <w:t>а)</w:t>
      </w:r>
      <w:r>
        <w:rPr>
          <w:b/>
          <w:bCs/>
        </w:rPr>
        <w:tab/>
        <w:t>усилить принимаемые им меры, направленные на обеспечение быстрого, беспристрастного и эффективного расследования всех жалоб на насилие и жестокое обращение, применяемое сотрудниками правоохранительных органов.  В частности, подобное расследование должно проводиться не органами полиции и не под их контролем, а независимым органом.  При наличии достаточно серьезных доказательств применения насилия и жестокого обращения подозреваемого следует временно отстранить от исполнения должностных обязанностей, либо осуществить его перевод по службе на период производства по делу, особенно в случае, если существует опасность того, что он или она может помешать следствию;</w:t>
      </w:r>
    </w:p>
    <w:p w:rsidR="00000000" w:rsidRDefault="00000000">
      <w:pPr>
        <w:tabs>
          <w:tab w:val="clear" w:pos="567"/>
          <w:tab w:val="left" w:pos="0"/>
        </w:tabs>
        <w:ind w:firstLine="561"/>
        <w:rPr>
          <w:b/>
          <w:bCs/>
          <w:lang w:val="en-US"/>
        </w:rPr>
      </w:pPr>
    </w:p>
    <w:p w:rsidR="00000000" w:rsidRDefault="00000000">
      <w:pPr>
        <w:tabs>
          <w:tab w:val="clear" w:pos="567"/>
          <w:tab w:val="left" w:pos="0"/>
        </w:tabs>
        <w:ind w:firstLine="561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привлекать к судебной ответственности нарушителей и выносить им адекватные обвинительные приговоры, для того чтобы искоренить безнаказанность де-факто сотрудников правоохранительных органов, виновных в совершении запрещенных Конвенцией деяний.</w:t>
      </w:r>
    </w:p>
    <w:p w:rsidR="00000000" w:rsidRDefault="00000000">
      <w:pPr>
        <w:tabs>
          <w:tab w:val="clear" w:pos="567"/>
          <w:tab w:val="left" w:pos="0"/>
        </w:tabs>
      </w:pPr>
    </w:p>
    <w:p w:rsidR="00000000" w:rsidRDefault="00000000">
      <w:pPr>
        <w:tabs>
          <w:tab w:val="clear" w:pos="567"/>
          <w:tab w:val="left" w:pos="0"/>
        </w:tabs>
        <w:rPr>
          <w:b/>
          <w:bCs/>
        </w:rPr>
      </w:pPr>
      <w:r>
        <w:rPr>
          <w:b/>
          <w:bCs/>
        </w:rPr>
        <w:t>Компенсация и реабилитация</w:t>
      </w:r>
    </w:p>
    <w:p w:rsidR="00000000" w:rsidRDefault="00000000">
      <w:pPr>
        <w:tabs>
          <w:tab w:val="clear" w:pos="567"/>
          <w:tab w:val="left" w:pos="0"/>
        </w:tabs>
      </w:pPr>
    </w:p>
    <w:p w:rsidR="00000000" w:rsidRDefault="00000000">
      <w:r>
        <w:t>17.</w:t>
      </w:r>
      <w:r>
        <w:tab/>
        <w:t>Отмечая то, что Закон о помощи жертвам содержит положения о праве жертв преступлений на компенсацию и помощь, доступную для таких жертв, Комитет, тем не менее, выражает сожаление в связи с отсутствием специальной программы, гарантирующей соблюдение прав жертв насилия и жестокого обращения.  Комитет также выражает сожаление в связи с отсутствием доступной информации о числе жертв насилия и жестокого обращения, которые, возможно, получили компенсацию, и о размере выплат, полагающихся в таких случаях, а также в связи с отсутствием информации о других видах предоставляемой жертвам помощи, в том числе восстановительном лечении и психологической реабилитации (статья 14).</w:t>
      </w:r>
    </w:p>
    <w:p w:rsidR="00000000" w:rsidRDefault="00000000"/>
    <w:p w:rsidR="00000000" w:rsidRDefault="00000000">
      <w:pPr>
        <w:tabs>
          <w:tab w:val="clear" w:pos="567"/>
          <w:tab w:val="left" w:pos="0"/>
        </w:tabs>
        <w:ind w:left="561"/>
        <w:rPr>
          <w:b/>
          <w:bCs/>
        </w:rPr>
      </w:pPr>
      <w:r>
        <w:rPr>
          <w:b/>
          <w:bCs/>
        </w:rPr>
        <w:t>Государству-участнику следует прилагать больше усилий для решения вопросов, касающихся компенсации, возмещения и реабилитации, чтобы жертвы получали возмещение и справедливую и соразмерную компенсацию, в том числе средства на максимально полную реабилитацию.  Государство-участник должно разработать специальную программу по оказанию помощи жертвам пыток и жестокого обращения.  Более того, государство-участник должно предоставить в своем следующем периодическом докладе информацию о каких-либо программах возмещения ущерба, включая лечение психологических и физических травм и другие виды реабилитации, предлагаемые жертвам пыток и жестокого обращения, а также о выделении достаточных средств для обеспечения эффективного осуществления подобных программ.</w:t>
      </w:r>
    </w:p>
    <w:p w:rsidR="00000000" w:rsidRDefault="00000000">
      <w:pPr>
        <w:tabs>
          <w:tab w:val="clear" w:pos="567"/>
          <w:tab w:val="left" w:pos="187"/>
        </w:tabs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br w:type="page"/>
        <w:t>Заключенные, содержащиеся в камерах с особым режимом безопасности</w:t>
      </w:r>
    </w:p>
    <w:p w:rsidR="00000000" w:rsidRDefault="00000000">
      <w:pPr>
        <w:rPr>
          <w:lang w:val="en-US"/>
        </w:rPr>
      </w:pPr>
    </w:p>
    <w:p w:rsidR="00000000" w:rsidRDefault="00000000">
      <w:r>
        <w:t>18.</w:t>
      </w:r>
      <w:r>
        <w:tab/>
        <w:t xml:space="preserve">Комитет обеспокоен положением так называемых "заключенных четвертой категории" (особо опасных преступников), которые могут содержаться в помещениях камерного типа и одиночных камерах с особым режимом безопасности, где жестко ограничиваются их права, следствием чего является максимальная изоляция и лишение общения.  Более того, Комитет выражает озабоченность в связи с тем, что по имеющейся у него информации ни комиссия по приему заключенных в пенитенциарное учреждение, ни специальная комиссия, назначенная </w:t>
      </w:r>
      <w:r>
        <w:rPr>
          <w:szCs w:val="24"/>
          <w:lang w:eastAsia="ru-RU"/>
        </w:rPr>
        <w:t xml:space="preserve">начальником Национального управления тюрем, </w:t>
      </w:r>
      <w:r>
        <w:t>не издают официальных распоряжений, а заключенные четвертой категории не могут подавать апелляционную жалобу ни в вышестоящие инстанции, ни в какой-либо суд (статьи 2, 13 и 16).</w:t>
      </w:r>
    </w:p>
    <w:p w:rsidR="00000000" w:rsidRDefault="00000000"/>
    <w:p w:rsidR="00000000" w:rsidRDefault="00000000">
      <w:pPr>
        <w:ind w:left="567"/>
      </w:pPr>
      <w:r>
        <w:rPr>
          <w:b/>
          <w:bCs/>
        </w:rPr>
        <w:t>Государству-участнику надлежит пересмотреть и доработать порядок отнесения заключенных к четвертой категории для обеспечения того, чтобы данная категория присваивалась и закреплялась только за теми заключенными, к которым эта категория действительно применима, а также в срочном порядке пересмотреть существующую практику применения жестких ограничительных мер в отношении заключенных, отнесенных к четвертой категории.  Более того, государство-участник должно внедрить надлежащую процедуру подачи апелляции для заключенных, содержащихся в камерах с особым режимом безопасности, а также адекватные механизмы пересмотра для определения необходимости его назначения и продолжительности.</w:t>
      </w:r>
    </w:p>
    <w:p w:rsidR="00000000" w:rsidRDefault="00000000"/>
    <w:p w:rsidR="00000000" w:rsidRDefault="00000000">
      <w:r>
        <w:rPr>
          <w:b/>
          <w:bCs/>
        </w:rPr>
        <w:t>Народ рома</w:t>
      </w:r>
    </w:p>
    <w:p w:rsidR="00000000" w:rsidRDefault="00000000"/>
    <w:p w:rsidR="00000000" w:rsidRDefault="00000000">
      <w:r>
        <w:t>19.</w:t>
      </w:r>
      <w:r>
        <w:tab/>
        <w:t xml:space="preserve">Глубокую озабоченность Комитета вызывают сообщения о несоразмерно большом числе </w:t>
      </w:r>
      <w:proofErr w:type="spellStart"/>
      <w:r>
        <w:t>заключенных-рома</w:t>
      </w:r>
      <w:proofErr w:type="spellEnd"/>
      <w:r>
        <w:t xml:space="preserve"> в тюрьмах, а также жестоком обращении и дискриминации по отношению к представителям рома со стороны сотрудников правоохранительных органов, особенно полиции (статьи 11 и 16).</w:t>
      </w:r>
    </w:p>
    <w:p w:rsidR="00000000" w:rsidRDefault="00000000"/>
    <w:p w:rsidR="00000000" w:rsidRDefault="00000000">
      <w:pPr>
        <w:tabs>
          <w:tab w:val="left" w:pos="187"/>
        </w:tabs>
        <w:ind w:left="561"/>
        <w:rPr>
          <w:b/>
          <w:bCs/>
        </w:rPr>
      </w:pPr>
      <w:r>
        <w:rPr>
          <w:b/>
          <w:bCs/>
        </w:rPr>
        <w:t xml:space="preserve">Государство-участник должно направить дополнительные усилия на борьбу с дискриминацией и жестоким обращением в отношении рома со стороны сотрудников правоохранительных органов, особенно полиции, включая обеспечение строго применения соответствующего законодательства и нормативно-правовых актов, предусматривающих санкции, надлежащую профессиональную подготовку и инструктаж для сотрудников правоохранительных органов, а также проведение соответствующей разъяснительной работы в судебных органах.  Кроме того, государство-участник должно оказывать более активное содействие осуществлению программы по предоставлению </w:t>
      </w:r>
      <w:proofErr w:type="spellStart"/>
      <w:r>
        <w:rPr>
          <w:b/>
          <w:bCs/>
        </w:rPr>
        <w:t>грантов</w:t>
      </w:r>
      <w:proofErr w:type="spellEnd"/>
      <w:r>
        <w:rPr>
          <w:b/>
          <w:bCs/>
        </w:rPr>
        <w:t xml:space="preserve"> для оказания поддержки </w:t>
      </w:r>
      <w:proofErr w:type="spellStart"/>
      <w:r>
        <w:rPr>
          <w:b/>
          <w:bCs/>
        </w:rPr>
        <w:t>полицейским-рома</w:t>
      </w:r>
      <w:proofErr w:type="spellEnd"/>
      <w:r>
        <w:rPr>
          <w:b/>
          <w:bCs/>
        </w:rPr>
        <w:t xml:space="preserve"> и ассоциации </w:t>
      </w:r>
      <w:proofErr w:type="spellStart"/>
      <w:r>
        <w:rPr>
          <w:b/>
          <w:bCs/>
        </w:rPr>
        <w:t>полицейских-рома</w:t>
      </w:r>
      <w:proofErr w:type="spellEnd"/>
      <w:r>
        <w:rPr>
          <w:b/>
          <w:bCs/>
        </w:rPr>
        <w:t>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 xml:space="preserve">Национальные меньшинства и </w:t>
      </w:r>
      <w:proofErr w:type="spellStart"/>
      <w:r>
        <w:rPr>
          <w:b/>
          <w:bCs/>
        </w:rPr>
        <w:t>неграждане</w:t>
      </w:r>
      <w:proofErr w:type="spellEnd"/>
    </w:p>
    <w:p w:rsidR="00000000" w:rsidRDefault="00000000"/>
    <w:p w:rsidR="00000000" w:rsidRDefault="00000000">
      <w:r>
        <w:t>20.</w:t>
      </w:r>
      <w:r>
        <w:tab/>
        <w:t xml:space="preserve">Комитет с озабоченностью отмечает поступающие сообщения о жестоком обращении и дискриминации в отношении представителей национальных меньшинств и </w:t>
      </w:r>
      <w:proofErr w:type="spellStart"/>
      <w:r>
        <w:t>неграждан</w:t>
      </w:r>
      <w:proofErr w:type="spellEnd"/>
      <w:r>
        <w:t xml:space="preserve"> со стороны сотрудников правоохранительных органов, особенно полиции (статьи 11 и 16).</w:t>
      </w:r>
    </w:p>
    <w:p w:rsidR="00000000" w:rsidRDefault="00000000"/>
    <w:p w:rsidR="00000000" w:rsidRDefault="00000000">
      <w:pPr>
        <w:ind w:left="561"/>
      </w:pPr>
      <w:r>
        <w:rPr>
          <w:b/>
          <w:bCs/>
        </w:rPr>
        <w:t xml:space="preserve">Государство-участник должно направить дополнительные усилия на борьбу с жестоким обращением и дискриминацией в отношении представителей национальных меньшинств и </w:t>
      </w:r>
      <w:proofErr w:type="spellStart"/>
      <w:r>
        <w:rPr>
          <w:b/>
          <w:bCs/>
        </w:rPr>
        <w:t>неграждан</w:t>
      </w:r>
      <w:proofErr w:type="spellEnd"/>
      <w:r>
        <w:rPr>
          <w:b/>
          <w:bCs/>
        </w:rPr>
        <w:t xml:space="preserve"> со стороны сотрудников правоохранительных органов.</w:t>
      </w:r>
    </w:p>
    <w:p w:rsidR="00000000" w:rsidRDefault="00000000"/>
    <w:p w:rsidR="00000000" w:rsidRDefault="00000000">
      <w:r>
        <w:rPr>
          <w:b/>
          <w:bCs/>
        </w:rPr>
        <w:t>Торговля</w:t>
      </w:r>
    </w:p>
    <w:p w:rsidR="00000000" w:rsidRDefault="00000000"/>
    <w:p w:rsidR="00000000" w:rsidRDefault="00000000">
      <w:r>
        <w:t>21.</w:t>
      </w:r>
      <w:r>
        <w:tab/>
        <w:t>Комитет выражает обеспокоенность в связи с продолжающими поступать сообщениями о торговле женщинами и детьми в целях сексуальной и других форм эксплуатации.  Комитет выражает сожаление в связи с отсутствием информации о помощи, предоставляемой жертвам торговли, а также специальной подготовке сотрудников правоохранительных органов и других соответствующих структур (статьи 2, 10 и 16).</w:t>
      </w:r>
    </w:p>
    <w:p w:rsidR="00000000" w:rsidRDefault="00000000"/>
    <w:p w:rsidR="00000000" w:rsidRDefault="00000000">
      <w:pPr>
        <w:ind w:left="561"/>
      </w:pPr>
      <w:r>
        <w:rPr>
          <w:b/>
          <w:bCs/>
        </w:rPr>
        <w:t>Государству-участнику следует продолжать принимать эффективные меры, касающиеся уголовного преследования и наказания виновных в торговле людьми, в том числе обеспечить строгое применение соответствующего законодательства, повышение информированности о данной проблеме, а также специальную подготовку сотрудников правоохранительных органов и других соответствующих структур.</w:t>
      </w:r>
    </w:p>
    <w:p w:rsidR="00000000" w:rsidRDefault="00000000"/>
    <w:p w:rsidR="00000000" w:rsidRDefault="00000000">
      <w:r>
        <w:t>22.</w:t>
      </w:r>
      <w:r>
        <w:tab/>
        <w:t>Комитет просит государство-участник представить в его следующем периодическом докладе подробные статистические данные в разбивке по типу преступлений, этнической принадлежности, возрасту и полу жертв относительно жалоб, касающихся актов пыток и жестокого обращения, предположительно совершенных сотрудниками правоохранительных структур, а также о соответствующих расследованиях, судебных преследованиях, уголовных и дисциплинарных наказаниях.  Также запрашивается информация о любой компенсации и реабилитации, предоставленной жертвам.</w:t>
      </w:r>
    </w:p>
    <w:p w:rsidR="00000000" w:rsidRDefault="00000000"/>
    <w:p w:rsidR="00000000" w:rsidRDefault="00000000">
      <w:r>
        <w:t>23.</w:t>
      </w:r>
      <w:r>
        <w:tab/>
        <w:t xml:space="preserve">Комитет призывает государство-участник обеспечить широкое распространение докладов, представляемых Венгрией Комитету, а также заключительных замечаний и рекомендаций на всех соответствующих языках через официальные </w:t>
      </w:r>
      <w:proofErr w:type="spellStart"/>
      <w:r>
        <w:t>вебсайты</w:t>
      </w:r>
      <w:proofErr w:type="spellEnd"/>
      <w:r>
        <w:t>, средства массовой информации и неправительственные организации.</w:t>
      </w:r>
    </w:p>
    <w:p w:rsidR="00000000" w:rsidRDefault="00000000"/>
    <w:p w:rsidR="00000000" w:rsidRDefault="00000000">
      <w:r>
        <w:t>24.</w:t>
      </w:r>
      <w:r>
        <w:tab/>
        <w:t>Комитет просит государство-участник представить в течении одного года информацию о мерах, принятых им в ответ на рекомендации Комитета, содержащиеся в пунктах 7, 9, 12 и 17 выше.</w:t>
      </w:r>
    </w:p>
    <w:p w:rsidR="00000000" w:rsidRDefault="00000000"/>
    <w:p w:rsidR="00000000" w:rsidRDefault="00000000">
      <w:pPr>
        <w:rPr>
          <w:rFonts w:ascii="Arial" w:hAnsi="Arial"/>
        </w:rPr>
      </w:pPr>
      <w:r>
        <w:t>25.</w:t>
      </w:r>
      <w:r>
        <w:tab/>
        <w:t>Государству-участнику предлагается представить свой пятый и шестой периодические доклады, которые будут рассмотрены в качестве шестого периодического доклада к 31 декабря 2010 года.</w:t>
      </w:r>
    </w:p>
    <w:p w:rsidR="00000000" w:rsidRDefault="00000000"/>
    <w:p w:rsidR="00000000" w:rsidRDefault="00000000"/>
    <w:p w:rsidR="00000000" w:rsidRDefault="00000000">
      <w:pPr>
        <w:jc w:val="center"/>
        <w:rPr>
          <w:lang w:val="en-US"/>
        </w:rPr>
      </w:pPr>
      <w:r>
        <w:rPr>
          <w:lang w:val="en-US"/>
        </w:rPr>
        <w:t>-----</w:t>
      </w:r>
    </w:p>
    <w:p w:rsidR="00000000" w:rsidRDefault="00000000">
      <w:pPr>
        <w:jc w:val="center"/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CAT/C/HUN/CO/4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CAT/C/HUN/CO/4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3423</Words>
  <Characters>19514</Characters>
  <Application>Microsoft Office Word</Application>
  <DocSecurity>4</DocSecurity>
  <Lines>162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Носкова</dc:creator>
  <cp:keywords/>
  <dc:description/>
  <cp:lastModifiedBy>Любовь Катаева</cp:lastModifiedBy>
  <cp:revision>3</cp:revision>
  <cp:lastPrinted>2007-03-01T12:32:00Z</cp:lastPrinted>
  <dcterms:created xsi:type="dcterms:W3CDTF">2007-03-01T12:32:00Z</dcterms:created>
  <dcterms:modified xsi:type="dcterms:W3CDTF">2007-03-01T12:32:00Z</dcterms:modified>
</cp:coreProperties>
</file>