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0E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0E36" w:rsidP="00FB0E36">
            <w:pPr>
              <w:jc w:val="right"/>
            </w:pPr>
            <w:r w:rsidRPr="00FB0E36">
              <w:rPr>
                <w:sz w:val="40"/>
              </w:rPr>
              <w:t>CERD</w:t>
            </w:r>
            <w:r>
              <w:t>/C/BLR/CO/20-23</w:t>
            </w:r>
          </w:p>
        </w:tc>
      </w:tr>
      <w:tr w:rsidR="002D5AA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0E36" w:rsidP="008D2AAD">
            <w:pPr>
              <w:spacing w:before="240"/>
            </w:pPr>
            <w:r>
              <w:t>Distr.: General</w:t>
            </w:r>
          </w:p>
          <w:p w:rsidR="00FB0E36" w:rsidRDefault="00FB0E36" w:rsidP="00FB0E36">
            <w:pPr>
              <w:spacing w:line="240" w:lineRule="exact"/>
            </w:pPr>
            <w:r>
              <w:t>21 December 2017</w:t>
            </w:r>
          </w:p>
          <w:p w:rsidR="00FB0E36" w:rsidRDefault="00FB0E36" w:rsidP="00FB0E36">
            <w:pPr>
              <w:spacing w:line="240" w:lineRule="exact"/>
            </w:pPr>
            <w:r>
              <w:t>Russian</w:t>
            </w:r>
          </w:p>
          <w:p w:rsidR="00FB0E36" w:rsidRPr="007C46C9" w:rsidRDefault="00FB0E36" w:rsidP="00FB0E36">
            <w:pPr>
              <w:spacing w:line="240" w:lineRule="exact"/>
            </w:pPr>
            <w:r>
              <w:t>Original: English</w:t>
            </w:r>
          </w:p>
        </w:tc>
      </w:tr>
    </w:tbl>
    <w:p w:rsidR="00FB0E36" w:rsidRPr="00FB0E36" w:rsidRDefault="00FB0E36" w:rsidP="00FB0E36">
      <w:pPr>
        <w:spacing w:before="120"/>
        <w:rPr>
          <w:sz w:val="24"/>
          <w:szCs w:val="24"/>
        </w:rPr>
      </w:pPr>
      <w:bookmarkStart w:id="1" w:name="bookmark_9"/>
      <w:r w:rsidRPr="00FB0E36">
        <w:rPr>
          <w:b/>
          <w:sz w:val="24"/>
          <w:szCs w:val="24"/>
        </w:rPr>
        <w:t>Комитет по ликвидации расовой дискриминации</w:t>
      </w:r>
      <w:bookmarkEnd w:id="1"/>
    </w:p>
    <w:p w:rsidR="00FB0E36" w:rsidRPr="00FB0E36" w:rsidRDefault="00FB0E36" w:rsidP="00FB0E36">
      <w:pPr>
        <w:pStyle w:val="HChGR"/>
        <w:rPr>
          <w:spacing w:val="0"/>
          <w:w w:val="100"/>
          <w:kern w:val="0"/>
        </w:rPr>
      </w:pPr>
      <w:bookmarkStart w:id="2" w:name="bookmark_10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Заключительные замечания по объединенным двадцатому</w:t>
      </w:r>
      <w:r w:rsidRPr="00FB0E36">
        <w:rPr>
          <w:spacing w:val="0"/>
          <w:w w:val="100"/>
          <w:kern w:val="0"/>
          <w:lang w:val="en-US"/>
        </w:rPr>
        <w:t>–</w:t>
      </w:r>
      <w:r w:rsidRPr="00FB0E36">
        <w:rPr>
          <w:spacing w:val="0"/>
          <w:w w:val="100"/>
          <w:kern w:val="0"/>
        </w:rPr>
        <w:t>двадцать третьему периодическим докладам Беларуси</w:t>
      </w:r>
      <w:r w:rsidRPr="00FB0E36">
        <w:rPr>
          <w:b w:val="0"/>
          <w:spacing w:val="0"/>
          <w:w w:val="100"/>
          <w:kern w:val="0"/>
          <w:sz w:val="18"/>
        </w:rPr>
        <w:footnoteReference w:customMarkFollows="1" w:id="1"/>
        <w:t>*</w:t>
      </w:r>
      <w:bookmarkEnd w:id="2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4" w:name="bookmark_12"/>
      <w:r w:rsidRPr="00FB0E36">
        <w:rPr>
          <w:spacing w:val="0"/>
          <w:w w:val="100"/>
          <w:kern w:val="0"/>
        </w:rPr>
        <w:t>1.</w:t>
      </w:r>
      <w:r w:rsidRPr="00FB0E36">
        <w:rPr>
          <w:spacing w:val="0"/>
          <w:w w:val="100"/>
          <w:kern w:val="0"/>
        </w:rPr>
        <w:tab/>
        <w:t>Комитет рассмотрел объединенные двадцатый–двадцать третий периодические доклады Беларуси (CERD/C/BLR/20-23), представленные в одном документе, на своих 2602-м и 2603-м заседаниях (CERD/C/SR.2602 и 2603), состоявшихся 30 ноября и 1</w:t>
      </w:r>
      <w:r>
        <w:rPr>
          <w:spacing w:val="0"/>
          <w:w w:val="100"/>
          <w:kern w:val="0"/>
          <w:lang w:val="en-US"/>
        </w:rPr>
        <w:t> </w:t>
      </w:r>
      <w:r w:rsidRPr="00FB0E36">
        <w:rPr>
          <w:spacing w:val="0"/>
          <w:w w:val="100"/>
          <w:kern w:val="0"/>
        </w:rPr>
        <w:t>декабря 2017 года. На своем 2608-м заседании (CERD/C/SR.2608), состоявшемся 5</w:t>
      </w:r>
      <w:r>
        <w:rPr>
          <w:spacing w:val="0"/>
          <w:w w:val="100"/>
          <w:kern w:val="0"/>
          <w:lang w:val="en-US"/>
        </w:rPr>
        <w:t> </w:t>
      </w:r>
      <w:r w:rsidRPr="00FB0E36">
        <w:rPr>
          <w:spacing w:val="0"/>
          <w:w w:val="100"/>
          <w:kern w:val="0"/>
        </w:rPr>
        <w:t>декабря 2017 года, он принял настоящие заключительные замечания.</w:t>
      </w:r>
      <w:bookmarkEnd w:id="4"/>
    </w:p>
    <w:p w:rsidR="00FB0E36" w:rsidRPr="00FB0E36" w:rsidRDefault="00FB0E36" w:rsidP="00FB0E36">
      <w:pPr>
        <w:pStyle w:val="H1GR"/>
        <w:rPr>
          <w:spacing w:val="0"/>
          <w:w w:val="100"/>
          <w:kern w:val="0"/>
        </w:rPr>
      </w:pPr>
      <w:bookmarkStart w:id="5" w:name="bookmark_13"/>
      <w:r w:rsidRPr="00FB0E36">
        <w:rPr>
          <w:spacing w:val="0"/>
          <w:w w:val="100"/>
          <w:kern w:val="0"/>
        </w:rPr>
        <w:tab/>
        <w:t>A.</w:t>
      </w:r>
      <w:r w:rsidRPr="00FB0E36">
        <w:rPr>
          <w:spacing w:val="0"/>
          <w:w w:val="100"/>
          <w:kern w:val="0"/>
        </w:rPr>
        <w:tab/>
        <w:t>Введение</w:t>
      </w:r>
      <w:bookmarkEnd w:id="5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6" w:name="bookmark_14"/>
      <w:r w:rsidRPr="00FB0E36">
        <w:rPr>
          <w:spacing w:val="0"/>
          <w:w w:val="100"/>
          <w:kern w:val="0"/>
        </w:rPr>
        <w:t>2.</w:t>
      </w:r>
      <w:r w:rsidRPr="00FB0E36">
        <w:rPr>
          <w:spacing w:val="0"/>
          <w:w w:val="100"/>
          <w:kern w:val="0"/>
        </w:rPr>
        <w:tab/>
        <w:t xml:space="preserve">Комитет приветствует представление объединенных двадцатого–двадцать третьего периодических докладов государства-участника. </w:t>
      </w:r>
      <w:bookmarkEnd w:id="6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7" w:name="bookmark_15"/>
      <w:r w:rsidRPr="00FB0E36">
        <w:rPr>
          <w:spacing w:val="0"/>
          <w:w w:val="100"/>
          <w:kern w:val="0"/>
        </w:rPr>
        <w:t>3.</w:t>
      </w:r>
      <w:r w:rsidRPr="00FB0E36">
        <w:rPr>
          <w:spacing w:val="0"/>
          <w:w w:val="100"/>
          <w:kern w:val="0"/>
        </w:rPr>
        <w:tab/>
        <w:t>Комитет с удовлетворением отмечает открытый и конструктивный диалог, проведенный с делегацией государства-участника. Комитет выражает признательность делегации за подробную информацию, представленную в ходе рассмотрения доклада.</w:t>
      </w:r>
      <w:bookmarkEnd w:id="7"/>
    </w:p>
    <w:p w:rsidR="00FB0E36" w:rsidRPr="00FB0E36" w:rsidRDefault="00FB0E36" w:rsidP="00FB0E36">
      <w:pPr>
        <w:pStyle w:val="H1GR"/>
        <w:rPr>
          <w:spacing w:val="0"/>
          <w:w w:val="100"/>
          <w:kern w:val="0"/>
        </w:rPr>
      </w:pPr>
      <w:bookmarkStart w:id="8" w:name="bookmark_16"/>
      <w:r w:rsidRPr="00FB0E36">
        <w:rPr>
          <w:spacing w:val="0"/>
          <w:w w:val="100"/>
          <w:kern w:val="0"/>
        </w:rPr>
        <w:tab/>
        <w:t>B.</w:t>
      </w:r>
      <w:r w:rsidRPr="00FB0E36">
        <w:rPr>
          <w:spacing w:val="0"/>
          <w:w w:val="100"/>
          <w:kern w:val="0"/>
        </w:rPr>
        <w:tab/>
        <w:t>Позитивные аспекты</w:t>
      </w:r>
      <w:bookmarkEnd w:id="8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9" w:name="bookmark_17"/>
      <w:r w:rsidRPr="00FB0E36">
        <w:rPr>
          <w:spacing w:val="0"/>
          <w:w w:val="100"/>
          <w:kern w:val="0"/>
        </w:rPr>
        <w:t>4.</w:t>
      </w:r>
      <w:r w:rsidRPr="00FB0E36">
        <w:rPr>
          <w:spacing w:val="0"/>
          <w:w w:val="100"/>
          <w:kern w:val="0"/>
        </w:rPr>
        <w:tab/>
        <w:t>Комитет приветствует усилия государства-участника по пересмотру своих стратегий, программ и административных мер в целях обеспечения более полной защиты прав человека и осуществления Конвенции, в том числе:</w:t>
      </w:r>
      <w:bookmarkEnd w:id="9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0" w:name="bookmark_18"/>
      <w:r w:rsidRPr="00FB0E36">
        <w:rPr>
          <w:spacing w:val="0"/>
          <w:w w:val="100"/>
          <w:kern w:val="0"/>
        </w:rPr>
        <w:tab/>
        <w:t>a)</w:t>
      </w:r>
      <w:r w:rsidRPr="00FB0E36">
        <w:rPr>
          <w:spacing w:val="0"/>
          <w:w w:val="100"/>
          <w:kern w:val="0"/>
        </w:rPr>
        <w:tab/>
        <w:t xml:space="preserve">внесение поправок в Закон </w:t>
      </w:r>
      <w:r>
        <w:rPr>
          <w:spacing w:val="0"/>
          <w:w w:val="100"/>
          <w:kern w:val="0"/>
        </w:rPr>
        <w:t>«</w:t>
      </w:r>
      <w:r w:rsidRPr="00FB0E36">
        <w:rPr>
          <w:spacing w:val="0"/>
          <w:w w:val="100"/>
          <w:kern w:val="0"/>
        </w:rPr>
        <w:t>О противодействии торговле людьми</w:t>
      </w:r>
      <w:r>
        <w:rPr>
          <w:spacing w:val="0"/>
          <w:w w:val="100"/>
          <w:kern w:val="0"/>
        </w:rPr>
        <w:t>»</w:t>
      </w:r>
      <w:r w:rsidRPr="00FB0E36">
        <w:rPr>
          <w:spacing w:val="0"/>
          <w:w w:val="100"/>
          <w:kern w:val="0"/>
        </w:rPr>
        <w:t xml:space="preserve"> в</w:t>
      </w:r>
      <w:r>
        <w:rPr>
          <w:spacing w:val="0"/>
          <w:w w:val="100"/>
          <w:kern w:val="0"/>
        </w:rPr>
        <w:t> </w:t>
      </w:r>
      <w:r w:rsidRPr="00FB0E36">
        <w:rPr>
          <w:spacing w:val="0"/>
          <w:w w:val="100"/>
          <w:kern w:val="0"/>
        </w:rPr>
        <w:t xml:space="preserve">декабре 2014 года с целью расширения определения торговли людьми; </w:t>
      </w:r>
      <w:bookmarkEnd w:id="10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1" w:name="bookmark_19"/>
      <w:r w:rsidRPr="00FB0E36">
        <w:rPr>
          <w:spacing w:val="0"/>
          <w:w w:val="100"/>
          <w:kern w:val="0"/>
        </w:rPr>
        <w:tab/>
        <w:t>b)</w:t>
      </w:r>
      <w:r w:rsidRPr="00FB0E36">
        <w:rPr>
          <w:spacing w:val="0"/>
          <w:w w:val="100"/>
          <w:kern w:val="0"/>
        </w:rPr>
        <w:tab/>
        <w:t xml:space="preserve">внесение поправок в Закон </w:t>
      </w:r>
      <w:r>
        <w:rPr>
          <w:spacing w:val="0"/>
          <w:w w:val="100"/>
          <w:kern w:val="0"/>
        </w:rPr>
        <w:t>«</w:t>
      </w:r>
      <w:r w:rsidRPr="00FB0E36">
        <w:rPr>
          <w:spacing w:val="0"/>
          <w:w w:val="100"/>
          <w:kern w:val="0"/>
        </w:rPr>
        <w:t>О внешней трудовой миграции</w:t>
      </w:r>
      <w:r>
        <w:rPr>
          <w:spacing w:val="0"/>
          <w:w w:val="100"/>
          <w:kern w:val="0"/>
        </w:rPr>
        <w:t>»</w:t>
      </w:r>
      <w:r w:rsidRPr="00FB0E36">
        <w:rPr>
          <w:spacing w:val="0"/>
          <w:w w:val="100"/>
          <w:kern w:val="0"/>
        </w:rPr>
        <w:t xml:space="preserve"> в январе 2016 года, предусматривающих предоставление защиты иммигрантам, работающим в качестве домашней прислуги; </w:t>
      </w:r>
      <w:bookmarkEnd w:id="11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2" w:name="bookmark_20"/>
      <w:r w:rsidRPr="00FB0E36">
        <w:rPr>
          <w:spacing w:val="0"/>
          <w:w w:val="100"/>
          <w:kern w:val="0"/>
        </w:rPr>
        <w:tab/>
        <w:t>c)</w:t>
      </w:r>
      <w:r w:rsidRPr="00FB0E36">
        <w:rPr>
          <w:spacing w:val="0"/>
          <w:w w:val="100"/>
          <w:kern w:val="0"/>
        </w:rPr>
        <w:tab/>
        <w:t xml:space="preserve">Закон </w:t>
      </w:r>
      <w:r>
        <w:rPr>
          <w:spacing w:val="0"/>
          <w:w w:val="100"/>
          <w:kern w:val="0"/>
        </w:rPr>
        <w:t>«</w:t>
      </w:r>
      <w:r w:rsidRPr="00FB0E36">
        <w:rPr>
          <w:spacing w:val="0"/>
          <w:w w:val="100"/>
          <w:kern w:val="0"/>
        </w:rPr>
        <w:t>О предоставлении иностранным гражданам и лицам без гражданства статуса беженца, дополнительной защиты, убежища и временной защиты в Республика Беларусь</w:t>
      </w:r>
      <w:r>
        <w:rPr>
          <w:spacing w:val="0"/>
          <w:w w:val="100"/>
          <w:kern w:val="0"/>
        </w:rPr>
        <w:t>»</w:t>
      </w:r>
      <w:r w:rsidRPr="00FB0E36">
        <w:rPr>
          <w:spacing w:val="0"/>
          <w:w w:val="100"/>
          <w:kern w:val="0"/>
        </w:rPr>
        <w:t xml:space="preserve"> (Закон о беженцах 2016 года), который вступил в силу в июле 2017 года и направлен на предоставление более широких социально-экономических прав беженцам и создание более благоприятных условий для их защиты. </w:t>
      </w:r>
      <w:bookmarkEnd w:id="12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3" w:name="bookmark_21"/>
      <w:r w:rsidRPr="00FB0E36">
        <w:rPr>
          <w:spacing w:val="0"/>
          <w:w w:val="100"/>
          <w:kern w:val="0"/>
        </w:rPr>
        <w:lastRenderedPageBreak/>
        <w:t>5.</w:t>
      </w:r>
      <w:r w:rsidRPr="00FB0E36">
        <w:rPr>
          <w:spacing w:val="0"/>
          <w:w w:val="100"/>
          <w:kern w:val="0"/>
        </w:rPr>
        <w:tab/>
        <w:t>Комитет приветствует также ратификацию государством-участником нижеследующих международных договоров или его присоединение к этим договорам. К ним относятся:</w:t>
      </w:r>
      <w:bookmarkEnd w:id="13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4" w:name="bookmark_22"/>
      <w:r w:rsidRPr="00FB0E36">
        <w:rPr>
          <w:spacing w:val="0"/>
          <w:w w:val="100"/>
          <w:kern w:val="0"/>
        </w:rPr>
        <w:tab/>
        <w:t>a)</w:t>
      </w:r>
      <w:r w:rsidRPr="00FB0E36">
        <w:rPr>
          <w:spacing w:val="0"/>
          <w:w w:val="100"/>
          <w:kern w:val="0"/>
        </w:rPr>
        <w:tab/>
        <w:t>Конвенция о правах инвалидов и Факультативный протокол к ней, в</w:t>
      </w:r>
      <w:r>
        <w:rPr>
          <w:spacing w:val="0"/>
          <w:w w:val="100"/>
          <w:kern w:val="0"/>
        </w:rPr>
        <w:t> </w:t>
      </w:r>
      <w:r w:rsidRPr="00FB0E36">
        <w:rPr>
          <w:spacing w:val="0"/>
          <w:w w:val="100"/>
          <w:kern w:val="0"/>
        </w:rPr>
        <w:t>ноябре 2016 года;</w:t>
      </w:r>
      <w:bookmarkEnd w:id="14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5" w:name="bookmark_23"/>
      <w:r w:rsidRPr="00FB0E36">
        <w:rPr>
          <w:spacing w:val="0"/>
          <w:w w:val="100"/>
          <w:kern w:val="0"/>
        </w:rPr>
        <w:tab/>
        <w:t>b)</w:t>
      </w:r>
      <w:r w:rsidRPr="00FB0E36">
        <w:rPr>
          <w:spacing w:val="0"/>
          <w:w w:val="100"/>
          <w:kern w:val="0"/>
        </w:rPr>
        <w:tab/>
        <w:t xml:space="preserve">Конвенция Совета Европы о противодействии торговле людьми, в ноябре 2013 года. </w:t>
      </w:r>
      <w:bookmarkEnd w:id="15"/>
    </w:p>
    <w:p w:rsidR="00FB0E36" w:rsidRPr="00FB0E36" w:rsidRDefault="00FB0E36" w:rsidP="00FB0E36">
      <w:pPr>
        <w:pStyle w:val="H1GR"/>
        <w:rPr>
          <w:spacing w:val="0"/>
          <w:w w:val="100"/>
          <w:kern w:val="0"/>
        </w:rPr>
      </w:pPr>
      <w:bookmarkStart w:id="16" w:name="bookmark_24"/>
      <w:r w:rsidRPr="00FB0E36">
        <w:rPr>
          <w:spacing w:val="0"/>
          <w:w w:val="100"/>
          <w:kern w:val="0"/>
        </w:rPr>
        <w:tab/>
        <w:t>C.</w:t>
      </w:r>
      <w:r w:rsidRPr="00FB0E36">
        <w:rPr>
          <w:spacing w:val="0"/>
          <w:w w:val="100"/>
          <w:kern w:val="0"/>
        </w:rPr>
        <w:tab/>
        <w:t>Вопросы, вызывающие обеспокоенность, и рекомендации</w:t>
      </w:r>
      <w:bookmarkEnd w:id="16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17" w:name="bookmark_25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Статистические данные</w:t>
      </w:r>
      <w:bookmarkEnd w:id="17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18" w:name="bookmark_26"/>
      <w:r w:rsidRPr="00FB0E36">
        <w:rPr>
          <w:spacing w:val="0"/>
          <w:w w:val="100"/>
          <w:kern w:val="0"/>
        </w:rPr>
        <w:t>6.</w:t>
      </w:r>
      <w:r w:rsidRPr="00FB0E36">
        <w:rPr>
          <w:spacing w:val="0"/>
          <w:w w:val="100"/>
          <w:kern w:val="0"/>
        </w:rPr>
        <w:tab/>
        <w:t xml:space="preserve">С удовлетворением отмечая представление государством-участником некоторых статистических данных о национальном составе населения, Комитет выражает сожаление по поводу того, что они не позволяют получить всеобъемлющую информацию об осуществлении экономических и социальных прав национальными меньшинствами, так как государство-участник не обеспечивает сбор комплексных данных о населении в разбивке по национальной принадлежности (статьи 1 и 5). </w:t>
      </w:r>
      <w:bookmarkEnd w:id="18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19" w:name="bookmark_27"/>
      <w:r w:rsidRPr="00FB0E36">
        <w:rPr>
          <w:spacing w:val="0"/>
          <w:w w:val="100"/>
          <w:kern w:val="0"/>
        </w:rPr>
        <w:t>7.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Ссылаясь на пересмотренные руководящие принципы подготовки докладов (см. CERD/C/2007/1, пункты 10 и 12), Комитет рекомендует государству-участнику активизировать свою деятельность по сбору данных посредством использования различных показателей национального разнообразия на основе принципа анонимности и самоидентификации лиц и групп с целью формирования надлежащей эмпирической базы для выработки политики, направленной на содействие равному осуществлению каждым человеком прав, закрепленных в Конвенции, и на упрощение мониторинга ее соблюдения.</w:t>
      </w:r>
      <w:bookmarkEnd w:id="19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20" w:name="bookmark_28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Применение Конвенции во внутреннем праве</w:t>
      </w:r>
      <w:bookmarkEnd w:id="20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21" w:name="bookmark_29"/>
      <w:r w:rsidRPr="00FB0E36">
        <w:rPr>
          <w:spacing w:val="0"/>
          <w:w w:val="100"/>
          <w:kern w:val="0"/>
        </w:rPr>
        <w:t>8.</w:t>
      </w:r>
      <w:r w:rsidRPr="00FB0E36">
        <w:rPr>
          <w:spacing w:val="0"/>
          <w:w w:val="100"/>
          <w:kern w:val="0"/>
        </w:rPr>
        <w:tab/>
        <w:t xml:space="preserve">Комитет принимает к сведению заявления делегации о том, что, несмотря на практику судов воздерживаться от прямых ссылок на положения международных договоров, в рамках внутренней правовой системы обеспечивается непосредственное применение Конвенции. Вместе с тем, отмечая, что ссылки на Конвенции в судебных решениях могут указывать на то, что судьи, прокуроры и адвокаты знакомы с ее положениями, Комитет выражает сохраняющуюся обеспокоенность по поводу отсутствия информации о судебных делах, в рамках которых Конвенция прямо упоминалась и применялась (статьи 1 и 2). </w:t>
      </w:r>
      <w:bookmarkEnd w:id="21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22" w:name="bookmark_30"/>
      <w:r w:rsidRPr="00FB0E36">
        <w:rPr>
          <w:spacing w:val="0"/>
          <w:w w:val="100"/>
          <w:kern w:val="0"/>
        </w:rPr>
        <w:t>9.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вновь повторяет свою просьбу (см. CERD/C/BLR/CO/18-19, пункт</w:t>
      </w:r>
      <w:r>
        <w:rPr>
          <w:b/>
          <w:spacing w:val="0"/>
          <w:w w:val="100"/>
          <w:kern w:val="0"/>
        </w:rPr>
        <w:t> </w:t>
      </w:r>
      <w:r w:rsidRPr="00FB0E36">
        <w:rPr>
          <w:b/>
          <w:spacing w:val="0"/>
          <w:w w:val="100"/>
          <w:kern w:val="0"/>
        </w:rPr>
        <w:t>12 c)</w:t>
      </w:r>
      <w:r w:rsidR="00D24AC1">
        <w:rPr>
          <w:b/>
          <w:spacing w:val="0"/>
          <w:w w:val="100"/>
          <w:kern w:val="0"/>
        </w:rPr>
        <w:t>)</w:t>
      </w:r>
      <w:r w:rsidRPr="00FB0E36">
        <w:rPr>
          <w:b/>
          <w:spacing w:val="0"/>
          <w:w w:val="100"/>
          <w:kern w:val="0"/>
        </w:rPr>
        <w:t xml:space="preserve"> к государству-участнику представить информацию о количестве и характере дел, при рассмотрении которых судьи непосредственно ссылались на положения Конвенции.</w:t>
      </w:r>
      <w:bookmarkEnd w:id="22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23" w:name="bookmark_31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Определение и криминализация расовой дискриминации</w:t>
      </w:r>
      <w:bookmarkEnd w:id="23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24" w:name="bookmark_32"/>
      <w:r w:rsidRPr="00FB0E36">
        <w:rPr>
          <w:spacing w:val="0"/>
          <w:w w:val="100"/>
          <w:kern w:val="0"/>
        </w:rPr>
        <w:t>10.</w:t>
      </w:r>
      <w:r w:rsidRPr="00FB0E36">
        <w:rPr>
          <w:spacing w:val="0"/>
          <w:w w:val="100"/>
          <w:kern w:val="0"/>
        </w:rPr>
        <w:tab/>
        <w:t>Несмотря на предусмотренное статьей 14 Трудового кодекса запрещение расовой дискриминации в сфере трудовых отношений, Комитет по-прежнему обеспокоен отсутствием всеобъемлющих правовых положений, определяющих и запрещающих расовую дискриминацию в соответствии со статьей 1 Конвенции (см.</w:t>
      </w:r>
      <w:r>
        <w:rPr>
          <w:spacing w:val="0"/>
          <w:w w:val="100"/>
          <w:kern w:val="0"/>
        </w:rPr>
        <w:t> </w:t>
      </w:r>
      <w:r w:rsidRPr="00FB0E36">
        <w:rPr>
          <w:spacing w:val="0"/>
          <w:w w:val="100"/>
          <w:kern w:val="0"/>
        </w:rPr>
        <w:t>CERD/C/BLR/CO/18-19, пункт 8). Принимая к сведению заявления делегации о том, что государство-участник изучает необходимость введения таких норм, Комитет напоминает о том, что они имеют решающее значение для обеспечения судебного преследования актов расовой дискриминации и возмещения вреда в случае нарушений (статьи 1, 2 и 5).</w:t>
      </w:r>
      <w:bookmarkEnd w:id="24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25" w:name="bookmark_33"/>
      <w:r w:rsidRPr="00FB0E36">
        <w:rPr>
          <w:spacing w:val="0"/>
          <w:w w:val="100"/>
          <w:kern w:val="0"/>
        </w:rPr>
        <w:t>11.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настоятельно призывает государство-участник принять конкретное законодательство, содержащее определение расовой дискриминации в соответствии со статьей 1 Конвенции и предусматривающее уголовную ответственность за расовую дискриминацию. Кроме того, он рекомендует государству-участнику включить в нормы своего административного и гражданского права запрещение прямой и косвенной дискриминации во всех сферах общественной жизни, включая те, которые упомянуты в статье 5 Конвенции.</w:t>
      </w:r>
      <w:bookmarkEnd w:id="25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26" w:name="bookmark_34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Национальное правозащитное учреждение</w:t>
      </w:r>
      <w:bookmarkEnd w:id="26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27" w:name="bookmark_35"/>
      <w:r w:rsidRPr="00FB0E36">
        <w:rPr>
          <w:spacing w:val="0"/>
          <w:w w:val="100"/>
          <w:kern w:val="0"/>
        </w:rPr>
        <w:t>12.</w:t>
      </w:r>
      <w:r w:rsidRPr="00FB0E36">
        <w:rPr>
          <w:spacing w:val="0"/>
          <w:w w:val="100"/>
          <w:kern w:val="0"/>
        </w:rPr>
        <w:tab/>
        <w:t xml:space="preserve">Принимая к сведению заявления делегации о том, что с учетом уже существующих в государстве-участнике органов в настоящее время отсутствует необходимость в национальном правозащитном учреждении, Комитет обращает внимание на то, что такие учреждения играют ключевую роль в оказании государствам-участникам поддержки в их усилиях по осуществлению Конвенции (статья 2). </w:t>
      </w:r>
      <w:bookmarkEnd w:id="27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28" w:name="bookmark_36"/>
      <w:r w:rsidRPr="00FB0E36">
        <w:rPr>
          <w:spacing w:val="0"/>
          <w:w w:val="100"/>
          <w:kern w:val="0"/>
        </w:rPr>
        <w:t>13.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Ссылаясь на свою общую рекомендацию № 17 (1993) о создании национальных институтов по содействию осуществлению Конвенции, Комитет вновь рекомендует (см. CERD/C/BLR/CO/18-19, пункт 15) государству-участнику активизировать усилия по созданию единого полностью независимого правозащитного учреждения с широким мандатом по поощрению и защите прав человека, включая получение и рассмотрение жалоб отдельных лиц, в соответствии с Принципами, касающимися статуса национальных учреждений, занимающихся поощрением и защитой прав человека (Парижские принципы). </w:t>
      </w:r>
      <w:bookmarkEnd w:id="28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29" w:name="bookmark_37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Акты расовой дискриминации</w:t>
      </w:r>
      <w:bookmarkEnd w:id="29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30" w:name="bookmark_38"/>
      <w:r w:rsidRPr="00FB0E36">
        <w:rPr>
          <w:spacing w:val="0"/>
          <w:w w:val="100"/>
          <w:kern w:val="0"/>
        </w:rPr>
        <w:t>14.</w:t>
      </w:r>
      <w:r w:rsidRPr="00FB0E36">
        <w:rPr>
          <w:spacing w:val="0"/>
          <w:w w:val="100"/>
          <w:kern w:val="0"/>
        </w:rPr>
        <w:tab/>
        <w:t>В свете сообщений, указывающих на то, что население не осведомлено о наличии механизмов возмещения ущерба, нанесенного в результате расовой дискриминации, Комитет выражает обеспокоенность по поводу отсутствия комплексных статистических данных о количестве жалоб на расовую дискриминацию и результатах их рассмотрения (статьи 2, 5 и 6).</w:t>
      </w:r>
      <w:bookmarkEnd w:id="30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31" w:name="bookmark_39"/>
      <w:r w:rsidRPr="00FB0E36">
        <w:rPr>
          <w:spacing w:val="0"/>
          <w:w w:val="100"/>
          <w:kern w:val="0"/>
        </w:rPr>
        <w:t>15.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Комитет рекомендует государству-участнику принять меры для обеспечения расследования актов расовой дискриминации, преследования и наказания в судебном порядке виновных и предоставления жертвам надлежащих средств правовой защиты. Комитет рекомендует также предоставлять населению информацию о существующих механизмах подачи и рассмотрения жалоб. Комитет просит государство-участник представить в своем следующем периодическом докладе информацию и статистические данные по этим показателям в разбивке по национальной принадлежности. </w:t>
      </w:r>
      <w:bookmarkEnd w:id="31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32" w:name="bookmark_40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Ненавистнические высказывания расистского толка и преступления на почве ненависти</w:t>
      </w:r>
      <w:bookmarkEnd w:id="32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33" w:name="bookmark_41"/>
      <w:r w:rsidRPr="00FB0E36">
        <w:rPr>
          <w:spacing w:val="0"/>
          <w:w w:val="100"/>
          <w:kern w:val="0"/>
        </w:rPr>
        <w:t>16.</w:t>
      </w:r>
      <w:r w:rsidRPr="00FB0E36">
        <w:rPr>
          <w:spacing w:val="0"/>
          <w:w w:val="100"/>
          <w:kern w:val="0"/>
        </w:rPr>
        <w:tab/>
        <w:t>Комитет с интересом отмечает, что национальное законодательство государства-участника предусматривает уголовную ответственность за многочисленные деяния, совершенные по мотивам расовой или национальной принадлежности, что расовая или национальная ненависть рассматривается как отягчающее обстоятельство при совершении как административных правонарушений, так и уголовных преступлений и что пункт 1 статьи 130 Уголовного кодекса предусматривает</w:t>
      </w:r>
      <w:r>
        <w:rPr>
          <w:spacing w:val="0"/>
          <w:w w:val="100"/>
          <w:kern w:val="0"/>
        </w:rPr>
        <w:t xml:space="preserve"> </w:t>
      </w:r>
      <w:r w:rsidRPr="00FB0E36">
        <w:rPr>
          <w:spacing w:val="0"/>
          <w:w w:val="100"/>
          <w:kern w:val="0"/>
        </w:rPr>
        <w:t>уголовную ответственность за умышленные действия, направленные на разжигание расовой или национальной ненависти. Вместе с тем Комитет отмечает также представленную государством-участником информацию о том, что в период 2010</w:t>
      </w:r>
      <w:r>
        <w:rPr>
          <w:spacing w:val="0"/>
          <w:w w:val="100"/>
          <w:kern w:val="0"/>
        </w:rPr>
        <w:t>–</w:t>
      </w:r>
      <w:r w:rsidRPr="00FB0E36">
        <w:rPr>
          <w:spacing w:val="0"/>
          <w:w w:val="100"/>
          <w:kern w:val="0"/>
        </w:rPr>
        <w:t>2015 годов никто не был осужден за акты насилия, пытки, причинение тяжкого телесного повреждения, убийство или ущемление прав или свобод по мотивам расовой или национальной принадлежности, а также за создание расистских организаций или управление ими. Выражая обеспокоенность по поводу сообщений о распространении</w:t>
      </w:r>
      <w:r>
        <w:rPr>
          <w:spacing w:val="0"/>
          <w:w w:val="100"/>
          <w:kern w:val="0"/>
        </w:rPr>
        <w:t xml:space="preserve"> </w:t>
      </w:r>
      <w:r w:rsidRPr="00FB0E36">
        <w:rPr>
          <w:spacing w:val="0"/>
          <w:w w:val="100"/>
          <w:kern w:val="0"/>
        </w:rPr>
        <w:t xml:space="preserve">ненавистнических высказываний в средствах массовой информации, Комитет с сожалением отмечает отсутствие прогресса в принятии </w:t>
      </w:r>
      <w:r w:rsidRPr="00FB0E36">
        <w:rPr>
          <w:bCs/>
          <w:spacing w:val="0"/>
          <w:w w:val="100"/>
          <w:kern w:val="0"/>
        </w:rPr>
        <w:t>всеобъемлюще</w:t>
      </w:r>
      <w:r w:rsidRPr="00FB0E36">
        <w:rPr>
          <w:spacing w:val="0"/>
          <w:w w:val="100"/>
          <w:kern w:val="0"/>
        </w:rPr>
        <w:t>го законодательства, предусматривающего уголовную ответственность за ненавистнические высказывания, в соответствии со своей общей рекомендацией №</w:t>
      </w:r>
      <w:r>
        <w:rPr>
          <w:spacing w:val="0"/>
          <w:w w:val="100"/>
          <w:kern w:val="0"/>
        </w:rPr>
        <w:t> </w:t>
      </w:r>
      <w:r w:rsidRPr="00FB0E36">
        <w:rPr>
          <w:spacing w:val="0"/>
          <w:w w:val="100"/>
          <w:kern w:val="0"/>
        </w:rPr>
        <w:t>35 (2013) о борьбе с ненавистническими высказываниями расистского толка. Несмотря на заявления делегации об обратном, Комитет обеспокоен сообщениями о том, что из</w:t>
      </w:r>
      <w:r w:rsidR="00CC034F">
        <w:rPr>
          <w:spacing w:val="0"/>
          <w:w w:val="100"/>
          <w:kern w:val="0"/>
        </w:rPr>
        <w:noBreakHyphen/>
      </w:r>
      <w:r w:rsidRPr="00FB0E36">
        <w:rPr>
          <w:spacing w:val="0"/>
          <w:w w:val="100"/>
          <w:kern w:val="0"/>
        </w:rPr>
        <w:t xml:space="preserve">за отсутствие у сотрудников милиции, прокуроров и судей соответствующей профессиональной подготовки они часто не оценивают преступления с точки зрения такого мотива, как расовая ненависть. В этой связи Комитет обеспокоен отсутствием ясности в отношении того, в какой степени применяются положения уголовного законодательства, касающиеся расовой дискриминации (статья 4). </w:t>
      </w:r>
      <w:bookmarkEnd w:id="33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34" w:name="bookmark_42"/>
      <w:r w:rsidRPr="00FB0E36">
        <w:rPr>
          <w:spacing w:val="0"/>
          <w:w w:val="100"/>
          <w:kern w:val="0"/>
        </w:rPr>
        <w:t>17.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Ссылаясь на свою общую рекомендацию № 7 (1985) относительно осуществления статьи 4 и общую рекомендацию № 35, Комитет вновь рекомендует государству-участнику принять всеобъемлющее законодательство, предусматривающее конкретную уголовную ответственность за ненавистнические высказывания расистского толка в соответствии со статьей 4 Конвенции, и обеспечить, чтобы расовая и национальная ненависть систематически расценивалась как отягчающее обстоятельство в тех случаях, когда она служит мотивом совершения правонарушения (см.</w:t>
      </w:r>
      <w:r>
        <w:rPr>
          <w:b/>
          <w:spacing w:val="0"/>
          <w:w w:val="100"/>
          <w:kern w:val="0"/>
        </w:rPr>
        <w:t> </w:t>
      </w:r>
      <w:r w:rsidRPr="00FB0E36">
        <w:rPr>
          <w:b/>
          <w:spacing w:val="0"/>
          <w:w w:val="100"/>
          <w:kern w:val="0"/>
        </w:rPr>
        <w:t>CERD/C/BLR/CO/18-19, пункт 9). Кроме того, Комитет рекомендует государству-участнику разработать для сотрудников правоприменительных органов, включая милиционеров, прокуроров и судебных работников, программы подготовки по вопросам надлежащих методов выявления и регистрации</w:t>
      </w:r>
      <w:r>
        <w:rPr>
          <w:b/>
          <w:spacing w:val="0"/>
          <w:w w:val="100"/>
          <w:kern w:val="0"/>
        </w:rPr>
        <w:t xml:space="preserve"> </w:t>
      </w:r>
      <w:r w:rsidRPr="00FB0E36">
        <w:rPr>
          <w:b/>
          <w:spacing w:val="0"/>
          <w:w w:val="100"/>
          <w:kern w:val="0"/>
        </w:rPr>
        <w:t xml:space="preserve">инцидентов расистского характера, преступлений на почве ненависти и случаев ненавистнических высказываний, проведения по ним расследований и преследования виновных. </w:t>
      </w:r>
      <w:bookmarkEnd w:id="34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35" w:name="bookmark_43"/>
      <w:r w:rsidRPr="00FB0E36">
        <w:rPr>
          <w:spacing w:val="0"/>
          <w:w w:val="100"/>
          <w:kern w:val="0"/>
        </w:rPr>
        <w:t>18.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просит государство-участник обеспечить сбор статистических данных в разбивке по национальной принадлежности жертв о проведенных расследованиях и судебных преследованиях, вынесенных обвинительных приговорах, назначенных мерах наказания и предоставленных средствах правовой защиты в связи с ненавистническими высказываниями расистского толка, подстрекательством к расовой ненависти и другими преступлениями на почве расистской ненависти, а также включить эти данные в свой следующий периодический доклад</w:t>
      </w:r>
      <w:r w:rsidRPr="00FB0E36">
        <w:rPr>
          <w:spacing w:val="0"/>
          <w:w w:val="100"/>
          <w:kern w:val="0"/>
        </w:rPr>
        <w:t>.</w:t>
      </w:r>
      <w:bookmarkEnd w:id="35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36" w:name="bookmark_44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Торговля людьми</w:t>
      </w:r>
      <w:bookmarkEnd w:id="36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37" w:name="bookmark_45"/>
      <w:r w:rsidRPr="00FB0E36">
        <w:rPr>
          <w:spacing w:val="0"/>
          <w:w w:val="100"/>
          <w:kern w:val="0"/>
        </w:rPr>
        <w:t>19.</w:t>
      </w:r>
      <w:r w:rsidRPr="00FB0E36">
        <w:rPr>
          <w:spacing w:val="0"/>
          <w:w w:val="100"/>
          <w:kern w:val="0"/>
        </w:rPr>
        <w:tab/>
        <w:t>Комитет приветствует предпринятые государством-участником на национальном и международном уровнях инициативы по борьбе с торговлей людьми, включая недавние усилия по расширению сферы действия внутреннего законодательства по борьбе с торговлей людьми. Он принимает также к сведению представленные делегацией статистические данные об установлении в 2016 году многочисленных виновных в торговле людьми и жертв этого явления. Вместе с тем с учетом сообщений о многочисленных случаях торговли людьми в государстве-участнике Комитет выражает серьезную обеспокоенность по поводу информации о том, что в период 2013</w:t>
      </w:r>
      <w:r w:rsidR="00DF31E3">
        <w:rPr>
          <w:spacing w:val="0"/>
          <w:w w:val="100"/>
          <w:kern w:val="0"/>
        </w:rPr>
        <w:t>–</w:t>
      </w:r>
      <w:r w:rsidRPr="00FB0E36">
        <w:rPr>
          <w:spacing w:val="0"/>
          <w:w w:val="100"/>
          <w:kern w:val="0"/>
        </w:rPr>
        <w:t xml:space="preserve">2016 годов никто не был осужден за торговлю людьми по статье 181 Уголовного кодекса (статьи 2 и 6). </w:t>
      </w:r>
      <w:bookmarkEnd w:id="37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38" w:name="bookmark_46"/>
      <w:r w:rsidRPr="00FB0E36">
        <w:rPr>
          <w:spacing w:val="0"/>
          <w:w w:val="100"/>
          <w:kern w:val="0"/>
        </w:rPr>
        <w:t>20.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рекомендует государству-участнику активизировать усилия по наказанию виновных в торговле людьми и включить в свой следующий периодический доклад данные в разбивке по гражданству или национальной принадлежности о количестве случаев торговли людьми, в связи с которыми были проведены расследования, виновные подверглись судебному преследованию и наказанию, а жертвам были предоставлены средства правовой защиты.</w:t>
      </w:r>
      <w:bookmarkEnd w:id="38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39" w:name="bookmark_47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Независимость судей</w:t>
      </w:r>
      <w:bookmarkEnd w:id="39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40" w:name="bookmark_48"/>
      <w:r w:rsidRPr="00FB0E36">
        <w:rPr>
          <w:spacing w:val="0"/>
          <w:w w:val="100"/>
          <w:kern w:val="0"/>
        </w:rPr>
        <w:t>21.</w:t>
      </w:r>
      <w:r w:rsidRPr="00FB0E36">
        <w:rPr>
          <w:spacing w:val="0"/>
          <w:w w:val="100"/>
          <w:kern w:val="0"/>
        </w:rPr>
        <w:tab/>
        <w:t xml:space="preserve">Комитет принимает к сведению заявления делегации о недавно внесенных в законодательство поправках, направленных на улучшение функционирования судебной системы. Вместе с тем, напоминая о том, что независимость судебной системы имеет ключевое значение для обеспечения эффективной защиты и предоставления средств правовой защитой от любых актов расовой дискриминации, Комитет выражает обеспокоенность по поводу того, что Президент уполномочен назначать, отстранять от выполнения служебных обязанностей и определять размер заработной платы судей и что судьи назначаются на должность на срок в несколько лет, который может быть продлен Президентом (статьи 2, 5 и 6). </w:t>
      </w:r>
      <w:bookmarkEnd w:id="40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1" w:name="bookmark_49"/>
      <w:r w:rsidRPr="00FB0E36">
        <w:rPr>
          <w:spacing w:val="0"/>
          <w:w w:val="100"/>
          <w:kern w:val="0"/>
        </w:rPr>
        <w:t>22.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Ссылаясь на свою общую рекомендацию № 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 продолжать принимать меры по гарантированию независимости судебной власти путем защиты от государственного контроля и вмешательства в целях обеспечения надлежащего отправления правосудия, в частности по делам, связанным с расовой дискриминацией.</w:t>
      </w:r>
      <w:bookmarkEnd w:id="41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42" w:name="bookmark_50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 xml:space="preserve">Положение рома </w:t>
      </w:r>
      <w:bookmarkEnd w:id="42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43" w:name="bookmark_51"/>
      <w:r w:rsidRPr="00FB0E36">
        <w:rPr>
          <w:spacing w:val="0"/>
          <w:w w:val="100"/>
          <w:kern w:val="0"/>
        </w:rPr>
        <w:t>23.</w:t>
      </w:r>
      <w:r w:rsidRPr="00FB0E36">
        <w:rPr>
          <w:spacing w:val="0"/>
          <w:w w:val="100"/>
          <w:kern w:val="0"/>
        </w:rPr>
        <w:tab/>
        <w:t>Приветствуя сделанные делегацией заявления об особых мерах по</w:t>
      </w:r>
      <w:r>
        <w:rPr>
          <w:spacing w:val="0"/>
          <w:w w:val="100"/>
          <w:kern w:val="0"/>
        </w:rPr>
        <w:t xml:space="preserve"> </w:t>
      </w:r>
      <w:r w:rsidRPr="00FB0E36">
        <w:rPr>
          <w:spacing w:val="0"/>
          <w:w w:val="100"/>
          <w:kern w:val="0"/>
        </w:rPr>
        <w:t xml:space="preserve">оказанию помощи рома, Комитет выражает обеспокоенность по поводу сообщений о том, что рома подвергаются расовой дискриминации и профилированию со стороны сотрудников правоохранительных органов и органов уголовной юстиции, а также ограничению их свободы передвижения в пределах территории государства-участника посредством различных мер, в том числе принудительного снятия отпечатков пальцев и произвольного заключения под стражу. Комитет обеспокоен также сообщениями о том, что так называемый налог на </w:t>
      </w:r>
      <w:r>
        <w:rPr>
          <w:spacing w:val="0"/>
          <w:w w:val="100"/>
          <w:kern w:val="0"/>
        </w:rPr>
        <w:t>«</w:t>
      </w:r>
      <w:r w:rsidRPr="00FB0E36">
        <w:rPr>
          <w:spacing w:val="0"/>
          <w:w w:val="100"/>
          <w:kern w:val="0"/>
        </w:rPr>
        <w:t>социальное иждивенчество</w:t>
      </w:r>
      <w:r>
        <w:rPr>
          <w:spacing w:val="0"/>
          <w:w w:val="100"/>
          <w:kern w:val="0"/>
        </w:rPr>
        <w:t>»</w:t>
      </w:r>
      <w:r w:rsidRPr="00FB0E36">
        <w:rPr>
          <w:spacing w:val="0"/>
          <w:w w:val="100"/>
          <w:kern w:val="0"/>
        </w:rPr>
        <w:t>, установленный в соответствии с Декретом Президента № 3 от 2015 года, который требует от лиц, работающих меньше 183 дней в году, выплачивать компенсацию в размере примерно 250 долл. США в год за неполученные налоговые поступления, больше всего отражается на рома. Комитет отмечает, что действие этого Декрета было приостановлено в 2017 году и что в настоящее время рассматривается его новая версия. Комитет обеспокоен также сообщениями о том, что, несмотря на наличие правовых гарантий защиты от дискриминации, рома сталкиваются с широко распространенной дискриминацией в сфере занятости как в государственном, так и в частном секторах и что, несмотря на достойный одобрения высокий уровень грамотности в государстве-участнике, значительная доля детей рома не посещает школу. Отмечая, что государство-участник не обеспечивает сбор данных о национальном составе заключенных, Комитет выражает также обеспокоенность по поводу сообщений о том, что среди заключенных отмечается непропорционально высокая доля рома (статьи 2, 5, 6, 7).</w:t>
      </w:r>
      <w:bookmarkEnd w:id="43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4" w:name="bookmark_52"/>
      <w:r w:rsidRPr="00FB0E36">
        <w:rPr>
          <w:spacing w:val="0"/>
          <w:w w:val="100"/>
          <w:kern w:val="0"/>
        </w:rPr>
        <w:t>24.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С учетом своих общих рекомендаций № 32 (2009) о значении и сфере применения особых мер в Международной конвенции о ликвидации всех форм расовой дискриминации и № 27 (2000) о дискриминации в отношении рома Комитет рекомендует государству-участнику:</w:t>
      </w:r>
      <w:bookmarkEnd w:id="44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5" w:name="bookmark_53"/>
      <w:r w:rsidRPr="00FB0E36">
        <w:rPr>
          <w:b/>
          <w:spacing w:val="0"/>
          <w:w w:val="100"/>
          <w:kern w:val="0"/>
        </w:rPr>
        <w:tab/>
        <w:t>a)</w:t>
      </w:r>
      <w:r w:rsidRPr="00FB0E36">
        <w:rPr>
          <w:b/>
          <w:spacing w:val="0"/>
          <w:w w:val="100"/>
          <w:kern w:val="0"/>
        </w:rPr>
        <w:tab/>
        <w:t>принять меры по искоренению расового профилирования со стороны сотрудников правоохранительных органов, в том числе путем проведения адресных программ подготовки, а также обеспечить проведение оперативных, тщательных и беспристрастных расследований по всем утверждениям о расовом профилировании, привлечение виновных к ответственности и предоставление эффективных средств правовой защиты, включая компенсацию;</w:t>
      </w:r>
      <w:bookmarkEnd w:id="45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6" w:name="bookmark_54"/>
      <w:r w:rsidRPr="00FB0E36">
        <w:rPr>
          <w:b/>
          <w:spacing w:val="0"/>
          <w:w w:val="100"/>
          <w:kern w:val="0"/>
        </w:rPr>
        <w:tab/>
        <w:t>b)</w:t>
      </w:r>
      <w:r w:rsidRPr="00FB0E36">
        <w:rPr>
          <w:b/>
          <w:spacing w:val="0"/>
          <w:w w:val="100"/>
          <w:kern w:val="0"/>
        </w:rPr>
        <w:tab/>
        <w:t>воздерживаться от введения налогов, которые чрезмерно отражаются на национальных меньшинствах, находящихся в неблагоприятном положении, в том числе от налогообложения отдельных лиц по причине их безработицы или неполной занятости, как это предусмотрено, например, в Декрете Президента № 3 от 2015 года;</w:t>
      </w:r>
      <w:bookmarkEnd w:id="46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7" w:name="bookmark_55"/>
      <w:r w:rsidRPr="00FB0E36">
        <w:rPr>
          <w:b/>
          <w:spacing w:val="0"/>
          <w:w w:val="100"/>
          <w:kern w:val="0"/>
        </w:rPr>
        <w:tab/>
        <w:t>c)</w:t>
      </w:r>
      <w:r w:rsidRPr="00FB0E36">
        <w:rPr>
          <w:b/>
          <w:spacing w:val="0"/>
          <w:w w:val="100"/>
          <w:kern w:val="0"/>
        </w:rPr>
        <w:tab/>
        <w:t>принять все необходимые меры по отслеживанию, предупреждению и расследованию актов дискриминации в отношении рома в сфере занятости и наказанию виновных;</w:t>
      </w:r>
      <w:bookmarkEnd w:id="47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8" w:name="bookmark_56"/>
      <w:r w:rsidRPr="00FB0E36">
        <w:rPr>
          <w:b/>
          <w:spacing w:val="0"/>
          <w:w w:val="100"/>
          <w:kern w:val="0"/>
        </w:rPr>
        <w:tab/>
        <w:t>d)</w:t>
      </w:r>
      <w:r w:rsidRPr="00FB0E36">
        <w:rPr>
          <w:b/>
          <w:spacing w:val="0"/>
          <w:w w:val="100"/>
          <w:kern w:val="0"/>
        </w:rPr>
        <w:tab/>
        <w:t>обеспечить, чтобы все дети, в том числе дети рома, могли осуществлять свое право на инклюзивное и качественное образование;</w:t>
      </w:r>
      <w:bookmarkEnd w:id="48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49" w:name="bookmark_57"/>
      <w:r w:rsidRPr="00FB0E36">
        <w:rPr>
          <w:b/>
          <w:spacing w:val="0"/>
          <w:w w:val="100"/>
          <w:kern w:val="0"/>
        </w:rPr>
        <w:tab/>
        <w:t>e)</w:t>
      </w:r>
      <w:r w:rsidRPr="00FB0E36">
        <w:rPr>
          <w:b/>
          <w:spacing w:val="0"/>
          <w:w w:val="100"/>
          <w:kern w:val="0"/>
        </w:rPr>
        <w:tab/>
        <w:t xml:space="preserve">обеспечить сбор данных о заключенных в разбивке по национальной принадлежности и характеру преступления; </w:t>
      </w:r>
      <w:bookmarkEnd w:id="49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50" w:name="bookmark_58"/>
      <w:r w:rsidRPr="00FB0E36">
        <w:rPr>
          <w:b/>
          <w:spacing w:val="0"/>
          <w:w w:val="100"/>
          <w:kern w:val="0"/>
        </w:rPr>
        <w:tab/>
        <w:t>f)</w:t>
      </w:r>
      <w:r w:rsidRPr="00FB0E36">
        <w:rPr>
          <w:b/>
          <w:spacing w:val="0"/>
          <w:w w:val="100"/>
          <w:kern w:val="0"/>
        </w:rPr>
        <w:tab/>
        <w:t>включить в свой следующий периодический доклад, представляемый Комитету, информацию о принятии вышеупомянутых мер и их результатах.</w:t>
      </w:r>
      <w:r w:rsidRPr="00FB0E36">
        <w:rPr>
          <w:spacing w:val="0"/>
          <w:w w:val="100"/>
          <w:kern w:val="0"/>
        </w:rPr>
        <w:t xml:space="preserve"> </w:t>
      </w:r>
      <w:bookmarkEnd w:id="50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51" w:name="bookmark_59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Меры по противодействию терроризму</w:t>
      </w:r>
      <w:bookmarkEnd w:id="51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52" w:name="bookmark_60"/>
      <w:r w:rsidRPr="00FB0E36">
        <w:rPr>
          <w:spacing w:val="0"/>
          <w:w w:val="100"/>
          <w:kern w:val="0"/>
        </w:rPr>
        <w:t>25.</w:t>
      </w:r>
      <w:r w:rsidRPr="00FB0E36">
        <w:rPr>
          <w:spacing w:val="0"/>
          <w:w w:val="100"/>
          <w:kern w:val="0"/>
        </w:rPr>
        <w:tab/>
        <w:t>Комитет обеспокоен отсутствием ясности в отношении того, отражена ли в законодательстве государства-участника о борьбе с терроризмом и экстремизмом взаимосвязь между терроризмом и расизмом (статьи 5 и 6).</w:t>
      </w:r>
      <w:bookmarkEnd w:id="52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53" w:name="bookmark_61"/>
      <w:r w:rsidRPr="00FB0E36">
        <w:rPr>
          <w:spacing w:val="0"/>
          <w:w w:val="100"/>
          <w:kern w:val="0"/>
        </w:rPr>
        <w:t>26.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рекомендует государству-участнику не допускать того, чтобы его законы о борьбе с терроризмом и экстремизмом применялись неизбирательным образом, который может приводить к нарушению</w:t>
      </w:r>
      <w:r>
        <w:rPr>
          <w:b/>
          <w:spacing w:val="0"/>
          <w:w w:val="100"/>
          <w:kern w:val="0"/>
        </w:rPr>
        <w:t xml:space="preserve"> </w:t>
      </w:r>
      <w:r w:rsidRPr="00FB0E36">
        <w:rPr>
          <w:b/>
          <w:spacing w:val="0"/>
          <w:w w:val="100"/>
          <w:kern w:val="0"/>
        </w:rPr>
        <w:t>Конвенции. Комитет просит далее государство-участник представить в своем следующем периодическом докладе дополнительную информацию о вышеуказанных законах для определения того, отражена ли в Уголовном кодексе взаимосвязь между терроризмом и расизмом.</w:t>
      </w:r>
      <w:bookmarkEnd w:id="53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54" w:name="bookmark_62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Мигранты, беженцы и просители убежища</w:t>
      </w:r>
      <w:bookmarkEnd w:id="54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55" w:name="bookmark_63"/>
      <w:r w:rsidRPr="00FB0E36">
        <w:rPr>
          <w:spacing w:val="0"/>
          <w:w w:val="100"/>
          <w:kern w:val="0"/>
        </w:rPr>
        <w:t>27.</w:t>
      </w:r>
      <w:r w:rsidRPr="00FB0E36">
        <w:rPr>
          <w:spacing w:val="0"/>
          <w:w w:val="100"/>
          <w:kern w:val="0"/>
        </w:rPr>
        <w:tab/>
        <w:t>Комитет принимает к сведению представленную государством-участником информацию о том, что по состоянию на 1 января 2016 года оно предоставило статус беженца 926 иностранцам из 19 государств и дополнительную защиту 1</w:t>
      </w:r>
      <w:r w:rsidR="00DF31E3">
        <w:rPr>
          <w:spacing w:val="0"/>
          <w:w w:val="100"/>
          <w:kern w:val="0"/>
        </w:rPr>
        <w:t> </w:t>
      </w:r>
      <w:r w:rsidRPr="00FB0E36">
        <w:rPr>
          <w:spacing w:val="0"/>
          <w:w w:val="100"/>
          <w:kern w:val="0"/>
        </w:rPr>
        <w:t>231</w:t>
      </w:r>
      <w:r w:rsidR="00DF31E3">
        <w:rPr>
          <w:spacing w:val="0"/>
          <w:w w:val="100"/>
          <w:kern w:val="0"/>
        </w:rPr>
        <w:t> </w:t>
      </w:r>
      <w:r w:rsidRPr="00FB0E36">
        <w:rPr>
          <w:spacing w:val="0"/>
          <w:w w:val="100"/>
          <w:kern w:val="0"/>
        </w:rPr>
        <w:t>иностранному гражданину. Вместе с тем Комитет обеспокоен отсутствием конкретных данных в разбивке по годам и гражданству или национальности о количестве поданных и удовлетворенных ходатайств о предоставлении убежища (статьи 2, 5 и 6).</w:t>
      </w:r>
      <w:bookmarkEnd w:id="55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56" w:name="bookmark_64"/>
      <w:r w:rsidRPr="00FB0E36">
        <w:rPr>
          <w:spacing w:val="0"/>
          <w:w w:val="100"/>
          <w:kern w:val="0"/>
        </w:rPr>
        <w:t>28.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рекомендует государству-участнику обеспечить сбор на постоянной основе статистических данных в разбивке по гражданству о</w:t>
      </w:r>
      <w:r>
        <w:rPr>
          <w:b/>
          <w:spacing w:val="0"/>
          <w:w w:val="100"/>
          <w:kern w:val="0"/>
        </w:rPr>
        <w:t xml:space="preserve"> </w:t>
      </w:r>
      <w:r w:rsidRPr="00FB0E36">
        <w:rPr>
          <w:b/>
          <w:spacing w:val="0"/>
          <w:w w:val="100"/>
          <w:kern w:val="0"/>
        </w:rPr>
        <w:t>количестве поданных и удовлетворенных ходатайств о предоставлении убежища и соответствующих апелляционных жалоб. Комитет просит государство-участник включить эти статистические данные в свой следующий периодический доклад. Кроме того, государству-участнику рекомендуется также присоединиться к Конвенции о статусе апатридов и Конвенции о сокращении безгражданства.</w:t>
      </w:r>
      <w:bookmarkEnd w:id="56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57" w:name="bookmark_65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Подготовка по вопросам прав человека</w:t>
      </w:r>
      <w:bookmarkEnd w:id="57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58" w:name="bookmark_66"/>
      <w:r w:rsidRPr="00FB0E36">
        <w:rPr>
          <w:spacing w:val="0"/>
          <w:w w:val="100"/>
          <w:kern w:val="0"/>
        </w:rPr>
        <w:t>29.</w:t>
      </w:r>
      <w:r w:rsidRPr="00FB0E36">
        <w:rPr>
          <w:spacing w:val="0"/>
          <w:w w:val="100"/>
          <w:kern w:val="0"/>
        </w:rPr>
        <w:tab/>
        <w:t>Приветствуя осуществление государством-участником программы подготовки по вопросам предупреждения торговли людьми, Комитет выражает обеспокоенность по поводу отсутствия информации о наличии программ подготовки и обучения, направленных на борьбу с предрассудками и расовой дискриминацией и поощрение терпимости и взаимопонимания (статья 7).</w:t>
      </w:r>
      <w:bookmarkEnd w:id="58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59" w:name="bookmark_67"/>
      <w:r w:rsidRPr="00FB0E36">
        <w:rPr>
          <w:spacing w:val="0"/>
          <w:w w:val="100"/>
          <w:kern w:val="0"/>
        </w:rPr>
        <w:t>30.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В соответствии со своей общей рекомендацией № 30 (2004) о</w:t>
      </w:r>
      <w:r w:rsidR="00DF31E3">
        <w:rPr>
          <w:b/>
          <w:spacing w:val="0"/>
          <w:w w:val="100"/>
          <w:kern w:val="0"/>
        </w:rPr>
        <w:t> </w:t>
      </w:r>
      <w:r w:rsidRPr="00FB0E36">
        <w:rPr>
          <w:b/>
          <w:spacing w:val="0"/>
          <w:w w:val="100"/>
          <w:kern w:val="0"/>
        </w:rPr>
        <w:t>дискриминации неграждан Комитет рекомендует государству-участнику проводить для сотрудников правоохранительных органов, судей, адвокатов и государственных должностных лиц специальные программы подготовки по вопросам предупреждения расовой дискриминации и осуществления прав, закрепленных в Конвенции. Он просит государство-участник представить в своем следующем периодическом докладе подробную информацию о таких программах подготовки и их влиянии на положение национальных меньшинств.</w:t>
      </w:r>
      <w:bookmarkEnd w:id="59"/>
    </w:p>
    <w:p w:rsidR="00FB0E36" w:rsidRPr="00FB0E36" w:rsidRDefault="00FB0E36" w:rsidP="00FB0E36">
      <w:pPr>
        <w:pStyle w:val="H1GR"/>
        <w:rPr>
          <w:spacing w:val="0"/>
          <w:w w:val="100"/>
          <w:kern w:val="0"/>
        </w:rPr>
      </w:pPr>
      <w:bookmarkStart w:id="60" w:name="bookmark_68"/>
      <w:r w:rsidRPr="00FB0E36">
        <w:rPr>
          <w:spacing w:val="0"/>
          <w:w w:val="100"/>
          <w:kern w:val="0"/>
        </w:rPr>
        <w:tab/>
        <w:t>D.</w:t>
      </w:r>
      <w:r w:rsidRPr="00FB0E36">
        <w:rPr>
          <w:spacing w:val="0"/>
          <w:w w:val="100"/>
          <w:kern w:val="0"/>
        </w:rPr>
        <w:tab/>
        <w:t>Другие рекомендации</w:t>
      </w:r>
      <w:bookmarkEnd w:id="60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61" w:name="bookmark_69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Ратификация других договоров</w:t>
      </w:r>
      <w:bookmarkEnd w:id="61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62" w:name="bookmark_70"/>
      <w:r w:rsidRPr="00FB0E36">
        <w:rPr>
          <w:spacing w:val="0"/>
          <w:w w:val="100"/>
          <w:kern w:val="0"/>
        </w:rPr>
        <w:t>31.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всех лиц от насильственных исчезновений и Международной конвенции о защите прав всех трудящихся-мигрантов и членов их семей. Кроме того, Комитет рекомендует государству-участнику ратифицировать Конвенцию № 189 от 2011 года Международной организации труда о достойном труде домашних работников</w:t>
      </w:r>
      <w:r w:rsidRPr="00FB0E36">
        <w:rPr>
          <w:spacing w:val="0"/>
          <w:w w:val="100"/>
          <w:kern w:val="0"/>
        </w:rPr>
        <w:t xml:space="preserve">. </w:t>
      </w:r>
      <w:bookmarkEnd w:id="62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63" w:name="bookmark_71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Последующие меры в связи с Дурбанской декларацией и Программой действий</w:t>
      </w:r>
      <w:bookmarkEnd w:id="63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64" w:name="bookmark_72"/>
      <w:r w:rsidRPr="00FB0E36">
        <w:rPr>
          <w:spacing w:val="0"/>
          <w:w w:val="100"/>
          <w:kern w:val="0"/>
        </w:rPr>
        <w:t>32.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предпринять шаги по выполнению Дурбанской декларации и Программы действий, принятых в 2001 году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Женеве в апреле 2009 года. 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осуществлению Дурбанской декларации и Программы действий на национальном уровне. </w:t>
      </w:r>
      <w:bookmarkEnd w:id="64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65" w:name="bookmark_73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 xml:space="preserve">Международное десятилетие лиц африканского происхождения </w:t>
      </w:r>
      <w:bookmarkEnd w:id="65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66" w:name="bookmark_74"/>
      <w:r w:rsidRPr="00FB0E36">
        <w:rPr>
          <w:spacing w:val="0"/>
          <w:w w:val="100"/>
          <w:kern w:val="0"/>
        </w:rPr>
        <w:t>33.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В свете резолюции 68/237 Генеральной Ассамблеи, в которой Ассамблея провозгласила период 2015</w:t>
      </w:r>
      <w:r w:rsidR="00DF31E3">
        <w:rPr>
          <w:b/>
          <w:spacing w:val="0"/>
          <w:w w:val="100"/>
          <w:kern w:val="0"/>
        </w:rPr>
        <w:t>–</w:t>
      </w:r>
      <w:r w:rsidRPr="00FB0E36">
        <w:rPr>
          <w:b/>
          <w:spacing w:val="0"/>
          <w:w w:val="100"/>
          <w:kern w:val="0"/>
        </w:rPr>
        <w:t xml:space="preserve">2024 годов Международным десятилетием лиц африканского происхождения, а также резолюции 69/16 Ассамблеи, касающейся программы мероприятий по проведению этого Десятилетия, Комитет просит государство-участник включить в свой следующий периодический доклад точную информацию о конкретных мерах, принятых в контексте вышесказанного, с учетом его общей рекомендации № 34 (2011) о расовой дискриминации в отношении лиц африканского происхождения. </w:t>
      </w:r>
      <w:bookmarkEnd w:id="66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67" w:name="bookmark_75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Консультации с гражданским обществом</w:t>
      </w:r>
      <w:bookmarkEnd w:id="67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68" w:name="bookmark_76"/>
      <w:r w:rsidRPr="00FB0E36">
        <w:rPr>
          <w:spacing w:val="0"/>
          <w:w w:val="100"/>
          <w:kern w:val="0"/>
        </w:rPr>
        <w:t>34.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рекомендует государству-участнику при подготовке следующего периодического доклада и осуществлении последующих действий в связи с настоящими заключительными замечаниями проводить консультации и поддерживать диалог с организациями гражданского общества, занимающимися защитой прав человека, в частности борьбой с расовой дискриминацией</w:t>
      </w:r>
      <w:r w:rsidRPr="00FB0E36">
        <w:rPr>
          <w:spacing w:val="0"/>
          <w:w w:val="100"/>
          <w:kern w:val="0"/>
        </w:rPr>
        <w:t>.</w:t>
      </w:r>
      <w:bookmarkEnd w:id="68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69" w:name="bookmark_77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Заявление в соответствии со статьей 14 Конвенции</w:t>
      </w:r>
      <w:bookmarkEnd w:id="69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70" w:name="bookmark_78"/>
      <w:r w:rsidRPr="00FB0E36">
        <w:rPr>
          <w:spacing w:val="0"/>
          <w:w w:val="100"/>
          <w:kern w:val="0"/>
        </w:rPr>
        <w:t>35.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жалобы. </w:t>
      </w:r>
      <w:bookmarkEnd w:id="70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71" w:name="bookmark_79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Поправка к статье 8 Конвенции</w:t>
      </w:r>
      <w:bookmarkEnd w:id="71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72" w:name="bookmark_80"/>
      <w:r w:rsidRPr="00FB0E36">
        <w:rPr>
          <w:spacing w:val="0"/>
          <w:w w:val="100"/>
          <w:kern w:val="0"/>
        </w:rPr>
        <w:t>36.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 </w:t>
      </w:r>
      <w:bookmarkEnd w:id="72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73" w:name="bookmark_81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Последующие меры в связи с настоящими заключительными замечаниями</w:t>
      </w:r>
      <w:bookmarkEnd w:id="73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74" w:name="bookmark_82"/>
      <w:r w:rsidRPr="00FB0E36">
        <w:rPr>
          <w:spacing w:val="0"/>
          <w:w w:val="100"/>
          <w:kern w:val="0"/>
        </w:rPr>
        <w:t>37.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9 и 24 b)</w:t>
      </w:r>
      <w:r>
        <w:rPr>
          <w:b/>
          <w:spacing w:val="0"/>
          <w:w w:val="100"/>
          <w:kern w:val="0"/>
        </w:rPr>
        <w:t xml:space="preserve"> </w:t>
      </w:r>
      <w:r w:rsidRPr="00FB0E36">
        <w:rPr>
          <w:b/>
          <w:spacing w:val="0"/>
          <w:w w:val="100"/>
          <w:kern w:val="0"/>
        </w:rPr>
        <w:t xml:space="preserve">выше. </w:t>
      </w:r>
      <w:bookmarkEnd w:id="74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75" w:name="bookmark_83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Пункты, имеющие особое значение</w:t>
      </w:r>
      <w:bookmarkEnd w:id="75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76" w:name="bookmark_84"/>
      <w:r w:rsidRPr="00FB0E36">
        <w:rPr>
          <w:spacing w:val="0"/>
          <w:w w:val="100"/>
          <w:kern w:val="0"/>
        </w:rPr>
        <w:t>38.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Комитет хотел бы обратить внимание государства-участника на особое значение рекомендаций, содержащихся в пунктах 11, 17, 22, 28 и 30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 </w:t>
      </w:r>
      <w:bookmarkEnd w:id="76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77" w:name="bookmark_85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Распространение информации</w:t>
      </w:r>
      <w:bookmarkEnd w:id="77"/>
    </w:p>
    <w:p w:rsidR="00FB0E36" w:rsidRPr="00FB0E36" w:rsidRDefault="00FB0E36" w:rsidP="00FB0E36">
      <w:pPr>
        <w:pStyle w:val="SingleTxtGR"/>
        <w:suppressAutoHyphens/>
        <w:rPr>
          <w:b/>
          <w:bCs/>
          <w:spacing w:val="0"/>
          <w:w w:val="100"/>
          <w:kern w:val="0"/>
        </w:rPr>
      </w:pPr>
      <w:bookmarkStart w:id="78" w:name="bookmark_86"/>
      <w:r w:rsidRPr="00FB0E36">
        <w:rPr>
          <w:spacing w:val="0"/>
          <w:w w:val="100"/>
          <w:kern w:val="0"/>
        </w:rPr>
        <w:t>39.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 xml:space="preserve">Комитет рекомендует обеспечить, чтобы доклады государства-участника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публиковались на официальных языках, а при необходимости – и на других широко используемых языках. </w:t>
      </w:r>
      <w:bookmarkEnd w:id="78"/>
    </w:p>
    <w:p w:rsidR="00FB0E36" w:rsidRPr="00FB0E36" w:rsidRDefault="00FB0E36" w:rsidP="00FB0E36">
      <w:pPr>
        <w:pStyle w:val="H23GR"/>
        <w:rPr>
          <w:spacing w:val="0"/>
          <w:w w:val="100"/>
          <w:kern w:val="0"/>
        </w:rPr>
      </w:pPr>
      <w:bookmarkStart w:id="79" w:name="bookmark_87"/>
      <w:r w:rsidRPr="00FB0E36">
        <w:rPr>
          <w:spacing w:val="0"/>
          <w:w w:val="100"/>
          <w:kern w:val="0"/>
        </w:rPr>
        <w:tab/>
      </w:r>
      <w:r w:rsidRPr="00FB0E36">
        <w:rPr>
          <w:spacing w:val="0"/>
          <w:w w:val="100"/>
          <w:kern w:val="0"/>
        </w:rPr>
        <w:tab/>
        <w:t>Подготовка следующего периодического доклада</w:t>
      </w:r>
      <w:bookmarkEnd w:id="79"/>
    </w:p>
    <w:p w:rsidR="00FB0E36" w:rsidRPr="00FB0E36" w:rsidRDefault="00FB0E36" w:rsidP="00FB0E36">
      <w:pPr>
        <w:pStyle w:val="SingleTxtGR"/>
        <w:suppressAutoHyphens/>
        <w:rPr>
          <w:spacing w:val="0"/>
          <w:w w:val="100"/>
          <w:kern w:val="0"/>
        </w:rPr>
      </w:pPr>
      <w:bookmarkStart w:id="80" w:name="bookmark_88"/>
      <w:r w:rsidRPr="00FB0E36">
        <w:rPr>
          <w:spacing w:val="0"/>
          <w:w w:val="100"/>
          <w:kern w:val="0"/>
        </w:rPr>
        <w:t>40.</w:t>
      </w:r>
      <w:r w:rsidRPr="00FB0E36">
        <w:rPr>
          <w:spacing w:val="0"/>
          <w:w w:val="100"/>
          <w:kern w:val="0"/>
        </w:rPr>
        <w:tab/>
      </w:r>
      <w:r w:rsidRPr="00FB0E36">
        <w:rPr>
          <w:b/>
          <w:spacing w:val="0"/>
          <w:w w:val="100"/>
          <w:kern w:val="0"/>
        </w:rPr>
        <w:t>Комитет рекомендует государству-участнику представить свои объединенные двадцать четвертый и двадцать пятый периодические доклады в одном документе к 8 мая 2020 года с учетом руководящих принципов подготовки докладов, принятых Комитетом на его семьдесят первой сессии (CERD/C/2007/1), и рассмотреть в них все вопросы, затронутые в настоящих заключительных замечаниях. В соответствии с резолюцией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</w:t>
      </w:r>
      <w:r w:rsidRPr="00FB0E36">
        <w:rPr>
          <w:spacing w:val="0"/>
          <w:w w:val="100"/>
          <w:kern w:val="0"/>
        </w:rPr>
        <w:t>.</w:t>
      </w:r>
      <w:bookmarkEnd w:id="80"/>
    </w:p>
    <w:p w:rsidR="00FB0E36" w:rsidRPr="00FB0E36" w:rsidRDefault="00FB0E36" w:rsidP="00FB0E3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0E36" w:rsidRPr="00FB0E36" w:rsidSect="00FB0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F5" w:rsidRPr="00A312BC" w:rsidRDefault="00EC1BF5" w:rsidP="00A312BC"/>
  </w:endnote>
  <w:endnote w:type="continuationSeparator" w:id="0">
    <w:p w:rsidR="00EC1BF5" w:rsidRPr="00A312BC" w:rsidRDefault="00EC1B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36" w:rsidRPr="00FB0E36" w:rsidRDefault="00FB0E36">
    <w:pPr>
      <w:pStyle w:val="a8"/>
    </w:pPr>
    <w:r w:rsidRPr="00FB0E36">
      <w:rPr>
        <w:b/>
        <w:sz w:val="18"/>
      </w:rPr>
      <w:fldChar w:fldCharType="begin"/>
    </w:r>
    <w:r w:rsidRPr="00FB0E36">
      <w:rPr>
        <w:b/>
        <w:sz w:val="18"/>
      </w:rPr>
      <w:instrText xml:space="preserve"> PAGE  \* MERGEFORMAT </w:instrText>
    </w:r>
    <w:r w:rsidRPr="00FB0E36">
      <w:rPr>
        <w:b/>
        <w:sz w:val="18"/>
      </w:rPr>
      <w:fldChar w:fldCharType="separate"/>
    </w:r>
    <w:r w:rsidR="00284AB8">
      <w:rPr>
        <w:b/>
        <w:noProof/>
        <w:sz w:val="18"/>
      </w:rPr>
      <w:t>8</w:t>
    </w:r>
    <w:r w:rsidRPr="00FB0E36">
      <w:rPr>
        <w:b/>
        <w:sz w:val="18"/>
      </w:rPr>
      <w:fldChar w:fldCharType="end"/>
    </w:r>
    <w:r>
      <w:rPr>
        <w:b/>
        <w:sz w:val="18"/>
      </w:rPr>
      <w:tab/>
    </w:r>
    <w:r>
      <w:t>GE.17-23036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36" w:rsidRPr="00FB0E36" w:rsidRDefault="00FB0E36" w:rsidP="00FB0E36">
    <w:pPr>
      <w:pStyle w:val="a8"/>
      <w:tabs>
        <w:tab w:val="clear" w:pos="9639"/>
        <w:tab w:val="right" w:pos="9638"/>
      </w:tabs>
      <w:rPr>
        <w:b/>
        <w:sz w:val="18"/>
      </w:rPr>
    </w:pPr>
    <w:r>
      <w:t>GE.17-23036</w:t>
    </w:r>
    <w:r>
      <w:tab/>
    </w:r>
    <w:r w:rsidRPr="00FB0E36">
      <w:rPr>
        <w:b/>
        <w:sz w:val="18"/>
      </w:rPr>
      <w:fldChar w:fldCharType="begin"/>
    </w:r>
    <w:r w:rsidRPr="00FB0E36">
      <w:rPr>
        <w:b/>
        <w:sz w:val="18"/>
      </w:rPr>
      <w:instrText xml:space="preserve"> PAGE  \* MERGEFORMAT </w:instrText>
    </w:r>
    <w:r w:rsidRPr="00FB0E36">
      <w:rPr>
        <w:b/>
        <w:sz w:val="18"/>
      </w:rPr>
      <w:fldChar w:fldCharType="separate"/>
    </w:r>
    <w:r w:rsidR="00284AB8">
      <w:rPr>
        <w:b/>
        <w:noProof/>
        <w:sz w:val="18"/>
      </w:rPr>
      <w:t>7</w:t>
    </w:r>
    <w:r w:rsidRPr="00FB0E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B0E36" w:rsidRDefault="00FB0E36" w:rsidP="00FB0E3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17-23036  (R)</w:t>
    </w:r>
    <w:r>
      <w:rPr>
        <w:lang w:val="en-US"/>
      </w:rPr>
      <w:t xml:space="preserve">  230118  230118</w:t>
    </w:r>
    <w:r>
      <w:br/>
    </w:r>
    <w:r w:rsidRPr="00FB0E36">
      <w:rPr>
        <w:rFonts w:ascii="C39T30Lfz" w:hAnsi="C39T30Lfz"/>
        <w:spacing w:val="0"/>
        <w:w w:val="100"/>
        <w:sz w:val="56"/>
      </w:rPr>
      <w:t></w:t>
    </w:r>
    <w:r w:rsidRPr="00FB0E36">
      <w:rPr>
        <w:rFonts w:ascii="C39T30Lfz" w:hAnsi="C39T30Lfz"/>
        <w:spacing w:val="0"/>
        <w:w w:val="100"/>
        <w:sz w:val="56"/>
      </w:rPr>
      <w:t></w:t>
    </w:r>
    <w:r w:rsidRPr="00FB0E36">
      <w:rPr>
        <w:rFonts w:ascii="C39T30Lfz" w:hAnsi="C39T30Lfz"/>
        <w:spacing w:val="0"/>
        <w:w w:val="100"/>
        <w:sz w:val="56"/>
      </w:rPr>
      <w:t></w:t>
    </w:r>
    <w:r w:rsidRPr="00FB0E36">
      <w:rPr>
        <w:rFonts w:ascii="C39T30Lfz" w:hAnsi="C39T30Lfz"/>
        <w:spacing w:val="0"/>
        <w:w w:val="100"/>
        <w:sz w:val="56"/>
      </w:rPr>
      <w:t></w:t>
    </w:r>
    <w:r w:rsidRPr="00FB0E36">
      <w:rPr>
        <w:rFonts w:ascii="C39T30Lfz" w:hAnsi="C39T30Lfz"/>
        <w:spacing w:val="0"/>
        <w:w w:val="100"/>
        <w:sz w:val="56"/>
      </w:rPr>
      <w:t></w:t>
    </w:r>
    <w:r w:rsidRPr="00FB0E36">
      <w:rPr>
        <w:rFonts w:ascii="C39T30Lfz" w:hAnsi="C39T30Lfz"/>
        <w:spacing w:val="0"/>
        <w:w w:val="100"/>
        <w:sz w:val="56"/>
      </w:rPr>
      <w:t></w:t>
    </w:r>
    <w:r w:rsidRPr="00FB0E36">
      <w:rPr>
        <w:rFonts w:ascii="C39T30Lfz" w:hAnsi="C39T30Lfz"/>
        <w:spacing w:val="0"/>
        <w:w w:val="100"/>
        <w:sz w:val="56"/>
      </w:rPr>
      <w:t></w:t>
    </w:r>
    <w:r w:rsidRPr="00FB0E36">
      <w:rPr>
        <w:rFonts w:ascii="C39T30Lfz" w:hAnsi="C39T30Lfz"/>
        <w:spacing w:val="0"/>
        <w:w w:val="100"/>
        <w:sz w:val="56"/>
      </w:rPr>
      <w:t></w:t>
    </w:r>
    <w:r w:rsidRPr="00FB0E3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BLR/CO/20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BLR/CO/20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F5" w:rsidRPr="001075E9" w:rsidRDefault="00EC1B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1BF5" w:rsidRDefault="00EC1B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0E36" w:rsidRPr="0043577E" w:rsidRDefault="00FB0E36" w:rsidP="00FB0E36">
      <w:pPr>
        <w:pStyle w:val="ad"/>
        <w:rPr>
          <w:szCs w:val="18"/>
          <w:lang w:val="ru-RU"/>
        </w:rPr>
      </w:pPr>
      <w:bookmarkStart w:id="3" w:name="footnoteBookmark_11"/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девяносто четвертой сессии (20 ноября – 8 декабря 2017 года).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36" w:rsidRPr="00FB0E36" w:rsidRDefault="00FB0E3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84AB8">
      <w:t>CERD</w:t>
    </w:r>
    <w:proofErr w:type="spellEnd"/>
    <w:r w:rsidR="00284AB8">
      <w:t>/C/</w:t>
    </w:r>
    <w:proofErr w:type="spellStart"/>
    <w:r w:rsidR="00284AB8">
      <w:t>BLR</w:t>
    </w:r>
    <w:proofErr w:type="spellEnd"/>
    <w:r w:rsidR="00284AB8">
      <w:t>/CO/20-23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36" w:rsidRPr="00FB0E36" w:rsidRDefault="00FB0E36" w:rsidP="00FB0E3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84AB8">
      <w:t>CERD</w:t>
    </w:r>
    <w:proofErr w:type="spellEnd"/>
    <w:r w:rsidR="00284AB8">
      <w:t>/C/</w:t>
    </w:r>
    <w:proofErr w:type="spellStart"/>
    <w:r w:rsidR="00284AB8">
      <w:t>BLR</w:t>
    </w:r>
    <w:proofErr w:type="spellEnd"/>
    <w:r w:rsidR="00284AB8">
      <w:t>/CO/20-23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36" w:rsidRDefault="00FB0E36" w:rsidP="00FB0E3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5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969EC"/>
    <w:rsid w:val="001B3EF6"/>
    <w:rsid w:val="001C7A89"/>
    <w:rsid w:val="00284AB8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4D8E"/>
    <w:rsid w:val="009D5FCE"/>
    <w:rsid w:val="00A14DA8"/>
    <w:rsid w:val="00A312BC"/>
    <w:rsid w:val="00A84021"/>
    <w:rsid w:val="00A84D35"/>
    <w:rsid w:val="00A917B3"/>
    <w:rsid w:val="00AB4B51"/>
    <w:rsid w:val="00B10CC7"/>
    <w:rsid w:val="00B263D3"/>
    <w:rsid w:val="00B27969"/>
    <w:rsid w:val="00B32719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C034F"/>
    <w:rsid w:val="00CE5A1A"/>
    <w:rsid w:val="00CF55F6"/>
    <w:rsid w:val="00D069D3"/>
    <w:rsid w:val="00D24AC1"/>
    <w:rsid w:val="00D33D63"/>
    <w:rsid w:val="00D90028"/>
    <w:rsid w:val="00D90138"/>
    <w:rsid w:val="00DD78D1"/>
    <w:rsid w:val="00DE32CD"/>
    <w:rsid w:val="00DF31E3"/>
    <w:rsid w:val="00DF71B9"/>
    <w:rsid w:val="00E73F76"/>
    <w:rsid w:val="00EA2C9F"/>
    <w:rsid w:val="00EA420E"/>
    <w:rsid w:val="00EC1BF5"/>
    <w:rsid w:val="00ED0BDA"/>
    <w:rsid w:val="00EF1360"/>
    <w:rsid w:val="00EF3220"/>
    <w:rsid w:val="00F0540A"/>
    <w:rsid w:val="00F43903"/>
    <w:rsid w:val="00F94155"/>
    <w:rsid w:val="00F9783F"/>
    <w:rsid w:val="00FB0E3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0538B"/>
  <w15:docId w15:val="{DB94AC0C-3793-469D-93D4-C97DB26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8</Pages>
  <Words>2894</Words>
  <Characters>20549</Characters>
  <Application>Microsoft Office Word</Application>
  <DocSecurity>0</DocSecurity>
  <Lines>380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CERD/C/BLR/CO/20-23</vt:lpstr>
      <vt:lpstr>A/</vt:lpstr>
    </vt:vector>
  </TitlesOfParts>
  <Company>DCM</Company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CERD/C/BLR/CO/20-23</dc:title>
  <dc:subject/>
  <dc:creator>SHUVALOVA Natalia</dc:creator>
  <cp:keywords/>
  <cp:lastModifiedBy>SHUVALOVA Natalia</cp:lastModifiedBy>
  <cp:revision>3</cp:revision>
  <cp:lastPrinted>2018-01-23T12:58:00Z</cp:lastPrinted>
  <dcterms:created xsi:type="dcterms:W3CDTF">2018-01-23T12:58:00Z</dcterms:created>
  <dcterms:modified xsi:type="dcterms:W3CDTF">2018-01-23T13:00:00Z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