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453A82" w14:paraId="171C93D9" w14:textId="77777777" w:rsidTr="009867A8">
        <w:trPr>
          <w:trHeight w:hRule="exact" w:val="851"/>
        </w:trPr>
        <w:tc>
          <w:tcPr>
            <w:tcW w:w="1274" w:type="dxa"/>
            <w:tcBorders>
              <w:bottom w:val="single" w:sz="4" w:space="0" w:color="auto"/>
            </w:tcBorders>
          </w:tcPr>
          <w:p w14:paraId="2E91D5AD" w14:textId="77777777" w:rsidR="006B3E27" w:rsidRPr="005160D9" w:rsidRDefault="006B3E27" w:rsidP="009867A8">
            <w:pPr>
              <w:jc w:val="center"/>
              <w:rPr>
                <w:rFonts w:hint="cs"/>
                <w:sz w:val="56"/>
                <w:szCs w:val="56"/>
                <w:rtl/>
              </w:rPr>
            </w:pPr>
          </w:p>
        </w:tc>
        <w:tc>
          <w:tcPr>
            <w:tcW w:w="4537" w:type="dxa"/>
            <w:tcBorders>
              <w:bottom w:val="single" w:sz="4" w:space="0" w:color="auto"/>
            </w:tcBorders>
            <w:vAlign w:val="bottom"/>
          </w:tcPr>
          <w:p w14:paraId="2BBF2271" w14:textId="77777777"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14:paraId="5E9925A9" w14:textId="77777777" w:rsidR="006B3E27" w:rsidRPr="00CF236E" w:rsidRDefault="005160D9" w:rsidP="00862580">
            <w:pPr>
              <w:bidi w:val="0"/>
              <w:spacing w:after="60"/>
              <w:jc w:val="left"/>
              <w:rPr>
                <w:szCs w:val="20"/>
                <w:lang w:val="fr-CH"/>
              </w:rPr>
            </w:pPr>
            <w:r w:rsidRPr="00CF236E">
              <w:rPr>
                <w:sz w:val="40"/>
                <w:szCs w:val="20"/>
                <w:lang w:val="fr-CH"/>
              </w:rPr>
              <w:t>CCPR</w:t>
            </w:r>
            <w:r w:rsidRPr="00CF236E">
              <w:rPr>
                <w:szCs w:val="20"/>
                <w:lang w:val="fr-CH"/>
              </w:rPr>
              <w:t>/C/126/D/2542/2015</w:t>
            </w:r>
          </w:p>
          <w:p w14:paraId="3446B1B7" w14:textId="77777777" w:rsidR="002A3CD4" w:rsidRPr="00CF236E" w:rsidRDefault="002A3CD4" w:rsidP="002A3CD4">
            <w:pPr>
              <w:bidi w:val="0"/>
              <w:spacing w:after="20" w:line="340" w:lineRule="exact"/>
              <w:jc w:val="left"/>
              <w:rPr>
                <w:szCs w:val="20"/>
                <w:lang w:val="fr-CH"/>
              </w:rPr>
            </w:pPr>
            <w:r w:rsidRPr="00683804">
              <w:rPr>
                <w:sz w:val="40"/>
                <w:szCs w:val="40"/>
                <w:lang w:val="fr-CH"/>
              </w:rPr>
              <w:t>CCPR</w:t>
            </w:r>
            <w:r w:rsidRPr="00683804">
              <w:rPr>
                <w:lang w:val="fr-CH"/>
              </w:rPr>
              <w:t>/C/126/D/2543/2015</w:t>
            </w:r>
          </w:p>
        </w:tc>
      </w:tr>
      <w:tr w:rsidR="006B3E27" w:rsidRPr="00ED7442" w14:paraId="45BBFF3F" w14:textId="77777777" w:rsidTr="009867A8">
        <w:trPr>
          <w:trHeight w:hRule="exact" w:val="2835"/>
        </w:trPr>
        <w:tc>
          <w:tcPr>
            <w:tcW w:w="1274" w:type="dxa"/>
            <w:tcBorders>
              <w:top w:val="single" w:sz="4" w:space="0" w:color="auto"/>
              <w:bottom w:val="single" w:sz="12" w:space="0" w:color="auto"/>
            </w:tcBorders>
          </w:tcPr>
          <w:p w14:paraId="3E60A18E" w14:textId="77777777" w:rsidR="006B3E27" w:rsidRPr="00ED7442" w:rsidRDefault="0059622A" w:rsidP="009867A8">
            <w:pPr>
              <w:jc w:val="center"/>
              <w:rPr>
                <w:sz w:val="56"/>
                <w:szCs w:val="56"/>
                <w:rtl/>
              </w:rPr>
            </w:pPr>
            <w:r w:rsidRPr="00ED7442">
              <w:rPr>
                <w:noProof/>
                <w:sz w:val="56"/>
                <w:szCs w:val="56"/>
              </w:rPr>
              <w:drawing>
                <wp:inline distT="0" distB="0" distL="0" distR="0" wp14:anchorId="046E8AB2" wp14:editId="1FCB794D">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14:paraId="1C22A77E" w14:textId="77777777"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14:paraId="78805D9E" w14:textId="77777777" w:rsidR="006B3E27" w:rsidRDefault="002A3CD4" w:rsidP="002A3CD4">
            <w:pPr>
              <w:bidi w:val="0"/>
              <w:spacing w:before="240"/>
              <w:jc w:val="left"/>
              <w:rPr>
                <w:szCs w:val="20"/>
              </w:rPr>
            </w:pPr>
            <w:r>
              <w:rPr>
                <w:szCs w:val="20"/>
              </w:rPr>
              <w:t>Distr.: General</w:t>
            </w:r>
          </w:p>
          <w:p w14:paraId="6F947639" w14:textId="77777777" w:rsidR="002A3CD4" w:rsidRDefault="002A3CD4" w:rsidP="002A3CD4">
            <w:pPr>
              <w:bidi w:val="0"/>
              <w:jc w:val="left"/>
              <w:rPr>
                <w:szCs w:val="20"/>
              </w:rPr>
            </w:pPr>
            <w:r>
              <w:rPr>
                <w:szCs w:val="20"/>
              </w:rPr>
              <w:t>26 August 2019</w:t>
            </w:r>
          </w:p>
          <w:p w14:paraId="2D88646A" w14:textId="77777777" w:rsidR="002A3CD4" w:rsidRDefault="002A3CD4" w:rsidP="002A3CD4">
            <w:pPr>
              <w:bidi w:val="0"/>
              <w:jc w:val="left"/>
              <w:rPr>
                <w:szCs w:val="20"/>
              </w:rPr>
            </w:pPr>
            <w:r>
              <w:rPr>
                <w:szCs w:val="20"/>
              </w:rPr>
              <w:t>Arabic</w:t>
            </w:r>
          </w:p>
          <w:p w14:paraId="64810C26" w14:textId="77777777" w:rsidR="002A3CD4" w:rsidRPr="00CB6622" w:rsidRDefault="002A3CD4" w:rsidP="002A3CD4">
            <w:pPr>
              <w:bidi w:val="0"/>
              <w:jc w:val="left"/>
              <w:rPr>
                <w:szCs w:val="20"/>
              </w:rPr>
            </w:pPr>
            <w:r>
              <w:rPr>
                <w:szCs w:val="20"/>
              </w:rPr>
              <w:t>Original:</w:t>
            </w:r>
            <w:r>
              <w:rPr>
                <w:szCs w:val="20"/>
                <w:rtl/>
              </w:rPr>
              <w:t xml:space="preserve"> </w:t>
            </w:r>
            <w:r>
              <w:rPr>
                <w:szCs w:val="20"/>
              </w:rPr>
              <w:t>English</w:t>
            </w:r>
          </w:p>
        </w:tc>
      </w:tr>
    </w:tbl>
    <w:p w14:paraId="583BEDE0" w14:textId="77777777" w:rsidR="00B54045" w:rsidRPr="002A3CD4" w:rsidRDefault="002A3CD4" w:rsidP="002A3CD4">
      <w:pPr>
        <w:spacing w:before="120" w:line="380" w:lineRule="exact"/>
        <w:jc w:val="left"/>
        <w:rPr>
          <w:b/>
          <w:bCs/>
          <w:sz w:val="42"/>
          <w:szCs w:val="42"/>
          <w:rtl/>
          <w:lang w:bidi="ar-DZ"/>
        </w:rPr>
      </w:pPr>
      <w:r w:rsidRPr="002A3CD4">
        <w:rPr>
          <w:rFonts w:hint="cs"/>
          <w:b/>
          <w:bCs/>
          <w:sz w:val="26"/>
          <w:szCs w:val="36"/>
          <w:rtl/>
        </w:rPr>
        <w:t>اللجنة المعنية بحقوق الإنسان</w:t>
      </w:r>
    </w:p>
    <w:p w14:paraId="0E2189FD" w14:textId="77777777" w:rsidR="002A3CD4" w:rsidRPr="00B7554F" w:rsidRDefault="002A3CD4" w:rsidP="002A3CD4">
      <w:pPr>
        <w:pStyle w:val="HChGA"/>
        <w:rPr>
          <w:rtl/>
        </w:rPr>
      </w:pPr>
      <w:r>
        <w:rPr>
          <w:rtl/>
        </w:rPr>
        <w:tab/>
      </w:r>
      <w:r>
        <w:rPr>
          <w:rtl/>
        </w:rPr>
        <w:tab/>
      </w:r>
      <w:r>
        <w:rPr>
          <w:rFonts w:hint="cs"/>
          <w:rtl/>
        </w:rPr>
        <w:t>آراء اعتمدتها اللجنة بموجب المادة 5(4) من البروتوكول الاختياري، بشأن البلاغين رقمي 2542/2015 و2543/2015</w:t>
      </w:r>
      <w:r w:rsidRPr="002A3CD4">
        <w:rPr>
          <w:rStyle w:val="FootnoteReference"/>
          <w:sz w:val="20"/>
          <w:vertAlign w:val="baseline"/>
          <w:rtl/>
        </w:rPr>
        <w:footnoteReference w:customMarkFollows="1" w:id="1"/>
        <w:t>*</w:t>
      </w:r>
      <w:r>
        <w:rPr>
          <w:rFonts w:hint="cs"/>
          <w:rtl/>
        </w:rPr>
        <w:t xml:space="preserve"> </w:t>
      </w:r>
      <w:r w:rsidRPr="002A3CD4">
        <w:rPr>
          <w:rStyle w:val="FootnoteReference"/>
          <w:sz w:val="20"/>
          <w:vertAlign w:val="baseline"/>
          <w:rtl/>
        </w:rPr>
        <w:footnoteReference w:customMarkFollows="1" w:id="2"/>
        <w:t>**</w:t>
      </w:r>
    </w:p>
    <w:p w14:paraId="37B759B2" w14:textId="77777777" w:rsidR="002A3CD4" w:rsidRPr="002A3CD4" w:rsidRDefault="002A3CD4" w:rsidP="002A3CD4">
      <w:pPr>
        <w:pStyle w:val="SingleTxtGA"/>
        <w:ind w:left="4649" w:hanging="2721"/>
        <w:rPr>
          <w:spacing w:val="-4"/>
          <w:rtl/>
        </w:rPr>
      </w:pPr>
      <w:r w:rsidRPr="002A3CD4">
        <w:rPr>
          <w:i/>
          <w:iCs/>
          <w:spacing w:val="-4"/>
          <w:rtl/>
        </w:rPr>
        <w:t>بلاغ مقدم من:</w:t>
      </w:r>
      <w:r w:rsidRPr="002A3CD4">
        <w:rPr>
          <w:i/>
          <w:iCs/>
          <w:spacing w:val="-4"/>
          <w:rtl/>
        </w:rPr>
        <w:tab/>
      </w:r>
      <w:r w:rsidRPr="002A3CD4">
        <w:rPr>
          <w:i/>
          <w:iCs/>
          <w:spacing w:val="-4"/>
          <w:rtl/>
        </w:rPr>
        <w:tab/>
      </w:r>
      <w:r w:rsidRPr="002A3CD4">
        <w:rPr>
          <w:i/>
          <w:iCs/>
          <w:spacing w:val="-4"/>
          <w:rtl/>
        </w:rPr>
        <w:tab/>
      </w:r>
      <w:proofErr w:type="spellStart"/>
      <w:r w:rsidRPr="002A3CD4">
        <w:rPr>
          <w:rFonts w:hint="cs"/>
          <w:spacing w:val="-4"/>
          <w:rtl/>
        </w:rPr>
        <w:t>ديلنار</w:t>
      </w:r>
      <w:proofErr w:type="spellEnd"/>
      <w:r w:rsidRPr="002A3CD4">
        <w:rPr>
          <w:rFonts w:hint="cs"/>
          <w:spacing w:val="-4"/>
          <w:rtl/>
        </w:rPr>
        <w:t xml:space="preserve"> </w:t>
      </w:r>
      <w:proofErr w:type="spellStart"/>
      <w:r w:rsidRPr="002A3CD4">
        <w:rPr>
          <w:rFonts w:hint="cs"/>
          <w:spacing w:val="-4"/>
          <w:rtl/>
        </w:rPr>
        <w:t>إنسينوفا</w:t>
      </w:r>
      <w:proofErr w:type="spellEnd"/>
      <w:r w:rsidRPr="002A3CD4">
        <w:rPr>
          <w:rFonts w:hint="cs"/>
          <w:spacing w:val="-4"/>
          <w:rtl/>
        </w:rPr>
        <w:t xml:space="preserve"> (ويمثلها المحامي </w:t>
      </w:r>
      <w:proofErr w:type="spellStart"/>
      <w:r w:rsidRPr="002A3CD4">
        <w:rPr>
          <w:rFonts w:hint="cs"/>
          <w:spacing w:val="-4"/>
          <w:rtl/>
        </w:rPr>
        <w:t>باخيتزان</w:t>
      </w:r>
      <w:proofErr w:type="spellEnd"/>
      <w:r w:rsidRPr="002A3CD4">
        <w:rPr>
          <w:rFonts w:hint="cs"/>
          <w:spacing w:val="-4"/>
          <w:rtl/>
        </w:rPr>
        <w:t xml:space="preserve"> </w:t>
      </w:r>
      <w:proofErr w:type="spellStart"/>
      <w:r w:rsidRPr="002A3CD4">
        <w:rPr>
          <w:rFonts w:hint="cs"/>
          <w:spacing w:val="-4"/>
          <w:rtl/>
        </w:rPr>
        <w:t>توريغوزينا</w:t>
      </w:r>
      <w:proofErr w:type="spellEnd"/>
      <w:r w:rsidRPr="002A3CD4">
        <w:rPr>
          <w:rFonts w:hint="cs"/>
          <w:spacing w:val="-4"/>
          <w:rtl/>
        </w:rPr>
        <w:t>)</w:t>
      </w:r>
    </w:p>
    <w:p w14:paraId="0FF8D0A4" w14:textId="77777777" w:rsidR="002A3CD4" w:rsidRPr="008F3DF8" w:rsidRDefault="002A3CD4" w:rsidP="002A3CD4">
      <w:pPr>
        <w:pStyle w:val="SingleTxtGA"/>
        <w:ind w:left="1928"/>
        <w:rPr>
          <w:rtl/>
        </w:rPr>
      </w:pPr>
      <w:r w:rsidRPr="008F3DF8">
        <w:rPr>
          <w:i/>
          <w:iCs/>
          <w:rtl/>
        </w:rPr>
        <w:t>الشخص المدعى أنه ضحية:</w:t>
      </w:r>
      <w:r w:rsidRPr="008F3DF8">
        <w:rPr>
          <w:i/>
          <w:iCs/>
          <w:rtl/>
        </w:rPr>
        <w:tab/>
      </w:r>
      <w:r w:rsidRPr="008F3DF8">
        <w:rPr>
          <w:rFonts w:hint="cs"/>
          <w:rtl/>
        </w:rPr>
        <w:t>صاحبة البلاغ</w:t>
      </w:r>
    </w:p>
    <w:p w14:paraId="5768E849" w14:textId="77777777" w:rsidR="002A3CD4" w:rsidRPr="008F3DF8" w:rsidRDefault="002A3CD4" w:rsidP="002A3CD4">
      <w:pPr>
        <w:pStyle w:val="SingleTxtGA"/>
        <w:ind w:left="1928"/>
        <w:rPr>
          <w:rtl/>
        </w:rPr>
      </w:pPr>
      <w:r w:rsidRPr="008F3DF8">
        <w:rPr>
          <w:rFonts w:hint="cs"/>
          <w:i/>
          <w:iCs/>
          <w:rtl/>
        </w:rPr>
        <w:t>الدولة الطرف:</w:t>
      </w:r>
      <w:r>
        <w:rPr>
          <w:i/>
          <w:iCs/>
          <w:rtl/>
        </w:rPr>
        <w:tab/>
      </w:r>
      <w:r>
        <w:rPr>
          <w:i/>
          <w:iCs/>
          <w:rtl/>
        </w:rPr>
        <w:tab/>
      </w:r>
      <w:r w:rsidRPr="008F3DF8">
        <w:rPr>
          <w:i/>
          <w:iCs/>
          <w:rtl/>
        </w:rPr>
        <w:tab/>
      </w:r>
      <w:r w:rsidRPr="008F3DF8">
        <w:rPr>
          <w:rFonts w:hint="cs"/>
          <w:rtl/>
        </w:rPr>
        <w:t>كازاخستان</w:t>
      </w:r>
    </w:p>
    <w:p w14:paraId="6EA42803" w14:textId="77777777" w:rsidR="002A3CD4" w:rsidRPr="008F3DF8" w:rsidRDefault="002A3CD4" w:rsidP="002A3CD4">
      <w:pPr>
        <w:pStyle w:val="SingleTxtGA"/>
        <w:ind w:left="1928"/>
        <w:rPr>
          <w:rtl/>
        </w:rPr>
      </w:pPr>
      <w:r w:rsidRPr="008F3DF8">
        <w:rPr>
          <w:rFonts w:hint="cs"/>
          <w:i/>
          <w:iCs/>
          <w:rtl/>
        </w:rPr>
        <w:t>تاريخ تقديم البلاغ:</w:t>
      </w:r>
      <w:r w:rsidRPr="008F3DF8">
        <w:rPr>
          <w:i/>
          <w:iCs/>
          <w:rtl/>
        </w:rPr>
        <w:tab/>
      </w:r>
      <w:r>
        <w:rPr>
          <w:i/>
          <w:iCs/>
          <w:rtl/>
        </w:rPr>
        <w:tab/>
      </w:r>
      <w:r w:rsidRPr="008F3DF8">
        <w:rPr>
          <w:rFonts w:hint="cs"/>
          <w:rtl/>
        </w:rPr>
        <w:t xml:space="preserve">2 </w:t>
      </w:r>
      <w:r w:rsidRPr="008F3DF8">
        <w:rPr>
          <w:rtl/>
        </w:rPr>
        <w:t xml:space="preserve">أيلول/سبتمبر </w:t>
      </w:r>
      <w:r w:rsidRPr="008F3DF8">
        <w:rPr>
          <w:rFonts w:hint="cs"/>
          <w:rtl/>
        </w:rPr>
        <w:t>2014 (تاريخ الرسالة الأولى)</w:t>
      </w:r>
    </w:p>
    <w:p w14:paraId="2A9FDFB8" w14:textId="77777777" w:rsidR="002A3CD4" w:rsidRPr="008F3DF8" w:rsidRDefault="002A3CD4" w:rsidP="002A3CD4">
      <w:pPr>
        <w:pStyle w:val="SingleTxtGA"/>
        <w:ind w:left="4649" w:hanging="2721"/>
        <w:rPr>
          <w:rtl/>
        </w:rPr>
      </w:pPr>
      <w:r w:rsidRPr="008F3DF8">
        <w:rPr>
          <w:rFonts w:hint="cs"/>
          <w:i/>
          <w:iCs/>
          <w:rtl/>
        </w:rPr>
        <w:t>الوثائق المرجعية:</w:t>
      </w:r>
      <w:r>
        <w:rPr>
          <w:i/>
          <w:iCs/>
          <w:rtl/>
        </w:rPr>
        <w:tab/>
      </w:r>
      <w:r>
        <w:rPr>
          <w:i/>
          <w:iCs/>
          <w:rtl/>
        </w:rPr>
        <w:tab/>
      </w:r>
      <w:r w:rsidRPr="008F3DF8">
        <w:rPr>
          <w:i/>
          <w:iCs/>
          <w:rtl/>
        </w:rPr>
        <w:tab/>
      </w:r>
      <w:r w:rsidRPr="008F3DF8">
        <w:rPr>
          <w:rtl/>
        </w:rPr>
        <w:t>القرار المتخذ بموجب المادة 97 من النظام الداخلي للجنة</w:t>
      </w:r>
      <w:r w:rsidRPr="008F3DF8">
        <w:rPr>
          <w:rFonts w:hint="cs"/>
          <w:rtl/>
        </w:rPr>
        <w:t xml:space="preserve"> (المادة 92 حاليا</w:t>
      </w:r>
      <w:r w:rsidR="000C21DB">
        <w:rPr>
          <w:rFonts w:hint="cs"/>
          <w:rtl/>
        </w:rPr>
        <w:t>ً</w:t>
      </w:r>
      <w:r w:rsidRPr="008F3DF8">
        <w:rPr>
          <w:rFonts w:hint="cs"/>
          <w:rtl/>
        </w:rPr>
        <w:t xml:space="preserve">) </w:t>
      </w:r>
      <w:r w:rsidRPr="008F3DF8">
        <w:rPr>
          <w:rtl/>
        </w:rPr>
        <w:t xml:space="preserve">والمحال إلى الدولة الطرف في </w:t>
      </w:r>
      <w:r w:rsidRPr="008F3DF8">
        <w:rPr>
          <w:rFonts w:hint="cs"/>
          <w:rtl/>
        </w:rPr>
        <w:t xml:space="preserve">22 </w:t>
      </w:r>
      <w:r w:rsidRPr="008F3DF8">
        <w:rPr>
          <w:rtl/>
        </w:rPr>
        <w:t xml:space="preserve">كانون الثاني/يناير </w:t>
      </w:r>
      <w:r w:rsidRPr="008F3DF8">
        <w:rPr>
          <w:rFonts w:hint="cs"/>
          <w:rtl/>
        </w:rPr>
        <w:t>2015</w:t>
      </w:r>
      <w:r w:rsidRPr="008F3DF8">
        <w:rPr>
          <w:rtl/>
        </w:rPr>
        <w:t xml:space="preserve"> (لم</w:t>
      </w:r>
      <w:r>
        <w:rPr>
          <w:rFonts w:hint="cs"/>
          <w:rtl/>
        </w:rPr>
        <w:t> </w:t>
      </w:r>
      <w:r w:rsidRPr="008F3DF8">
        <w:rPr>
          <w:rtl/>
        </w:rPr>
        <w:t>يصدر في شكل وثيقة)</w:t>
      </w:r>
      <w:r w:rsidR="00CF236E">
        <w:rPr>
          <w:rFonts w:hint="cs"/>
          <w:rtl/>
        </w:rPr>
        <w:t>.</w:t>
      </w:r>
    </w:p>
    <w:p w14:paraId="52566D96" w14:textId="77777777" w:rsidR="002A3CD4" w:rsidRPr="008F3DF8" w:rsidRDefault="002A3CD4" w:rsidP="002A3CD4">
      <w:pPr>
        <w:pStyle w:val="SingleTxtGA"/>
        <w:ind w:left="1928"/>
        <w:rPr>
          <w:rtl/>
        </w:rPr>
      </w:pPr>
      <w:r w:rsidRPr="008F3DF8">
        <w:rPr>
          <w:rFonts w:hint="cs"/>
          <w:i/>
          <w:iCs/>
          <w:rtl/>
        </w:rPr>
        <w:t>تاريخ اعتماد الآراء:</w:t>
      </w:r>
      <w:r w:rsidRPr="008F3DF8">
        <w:rPr>
          <w:i/>
          <w:iCs/>
          <w:rtl/>
        </w:rPr>
        <w:tab/>
      </w:r>
      <w:r>
        <w:rPr>
          <w:i/>
          <w:iCs/>
          <w:rtl/>
        </w:rPr>
        <w:tab/>
      </w:r>
      <w:r w:rsidRPr="008F3DF8">
        <w:rPr>
          <w:rFonts w:hint="cs"/>
          <w:rtl/>
        </w:rPr>
        <w:t xml:space="preserve">26 </w:t>
      </w:r>
      <w:r w:rsidRPr="008F3DF8">
        <w:rPr>
          <w:rtl/>
        </w:rPr>
        <w:t xml:space="preserve">تموز/يوليه </w:t>
      </w:r>
      <w:r w:rsidRPr="008F3DF8">
        <w:rPr>
          <w:rFonts w:hint="cs"/>
          <w:rtl/>
        </w:rPr>
        <w:t>2019</w:t>
      </w:r>
    </w:p>
    <w:p w14:paraId="58B6E1DE" w14:textId="77777777" w:rsidR="002A3CD4" w:rsidRPr="00406D22" w:rsidRDefault="002A3CD4" w:rsidP="002A3CD4">
      <w:pPr>
        <w:pStyle w:val="SingleTxtGA"/>
        <w:ind w:left="4649" w:hanging="2721"/>
        <w:rPr>
          <w:spacing w:val="-6"/>
          <w:rtl/>
        </w:rPr>
      </w:pPr>
      <w:r w:rsidRPr="008F3DF8">
        <w:rPr>
          <w:rFonts w:hint="cs"/>
          <w:i/>
          <w:iCs/>
          <w:rtl/>
        </w:rPr>
        <w:t>الموضوع:</w:t>
      </w:r>
      <w:r>
        <w:rPr>
          <w:i/>
          <w:iCs/>
          <w:rtl/>
        </w:rPr>
        <w:tab/>
      </w:r>
      <w:r>
        <w:rPr>
          <w:i/>
          <w:iCs/>
          <w:rtl/>
        </w:rPr>
        <w:tab/>
      </w:r>
      <w:r>
        <w:rPr>
          <w:i/>
          <w:iCs/>
          <w:rtl/>
        </w:rPr>
        <w:tab/>
      </w:r>
      <w:r w:rsidRPr="008F3DF8">
        <w:rPr>
          <w:i/>
          <w:iCs/>
          <w:rtl/>
        </w:rPr>
        <w:tab/>
      </w:r>
      <w:r w:rsidRPr="00406D22">
        <w:rPr>
          <w:rFonts w:hint="cs"/>
          <w:spacing w:val="-6"/>
          <w:rtl/>
        </w:rPr>
        <w:t>معاقبة صاحبة البلاغ على مشاركتها في تجمّع سلمي وعلى التعبير عن آرائها، كفالة المحاكمة العادلة</w:t>
      </w:r>
      <w:r w:rsidR="00674FF5">
        <w:rPr>
          <w:rFonts w:hint="cs"/>
          <w:spacing w:val="-6"/>
          <w:rtl/>
        </w:rPr>
        <w:t>.</w:t>
      </w:r>
    </w:p>
    <w:p w14:paraId="7B03DB56" w14:textId="77777777" w:rsidR="002A3CD4" w:rsidRPr="002A3CD4" w:rsidRDefault="002A3CD4" w:rsidP="00406D22">
      <w:pPr>
        <w:pStyle w:val="SingleTxtGA"/>
        <w:spacing w:line="360" w:lineRule="exact"/>
        <w:ind w:left="4649" w:hanging="2721"/>
        <w:rPr>
          <w:spacing w:val="-4"/>
          <w:rtl/>
        </w:rPr>
      </w:pPr>
      <w:r w:rsidRPr="008F3DF8">
        <w:rPr>
          <w:rFonts w:hint="cs"/>
          <w:i/>
          <w:iCs/>
          <w:rtl/>
        </w:rPr>
        <w:t>المسائل الإجرائية:</w:t>
      </w:r>
      <w:r>
        <w:rPr>
          <w:i/>
          <w:iCs/>
          <w:rtl/>
        </w:rPr>
        <w:tab/>
      </w:r>
      <w:r>
        <w:rPr>
          <w:i/>
          <w:iCs/>
          <w:rtl/>
        </w:rPr>
        <w:tab/>
      </w:r>
      <w:r w:rsidRPr="008F3DF8">
        <w:rPr>
          <w:i/>
          <w:iCs/>
          <w:rtl/>
        </w:rPr>
        <w:tab/>
      </w:r>
      <w:r w:rsidRPr="002A3CD4">
        <w:rPr>
          <w:spacing w:val="-4"/>
          <w:rtl/>
        </w:rPr>
        <w:t xml:space="preserve">استنفاد سبل الانتصاف المحلية؛ </w:t>
      </w:r>
      <w:r w:rsidRPr="002A3CD4">
        <w:rPr>
          <w:rFonts w:hint="cs"/>
          <w:spacing w:val="-4"/>
          <w:rtl/>
        </w:rPr>
        <w:t>تدعيم الادعاءات.</w:t>
      </w:r>
    </w:p>
    <w:p w14:paraId="5E025C57" w14:textId="77777777" w:rsidR="002A3CD4" w:rsidRPr="00406D22" w:rsidRDefault="002A3CD4" w:rsidP="00406D22">
      <w:pPr>
        <w:pStyle w:val="SingleTxtGA"/>
        <w:spacing w:line="360" w:lineRule="exact"/>
        <w:ind w:left="4649" w:hanging="2721"/>
        <w:rPr>
          <w:spacing w:val="-4"/>
          <w:rtl/>
        </w:rPr>
      </w:pPr>
      <w:r w:rsidRPr="00406D22">
        <w:rPr>
          <w:rFonts w:hint="cs"/>
          <w:i/>
          <w:iCs/>
          <w:spacing w:val="-6"/>
          <w:rtl/>
        </w:rPr>
        <w:t>المسائل الموضوعية:</w:t>
      </w:r>
      <w:r w:rsidRPr="00406D22">
        <w:rPr>
          <w:i/>
          <w:iCs/>
          <w:spacing w:val="-6"/>
          <w:rtl/>
        </w:rPr>
        <w:tab/>
      </w:r>
      <w:r w:rsidRPr="00406D22">
        <w:rPr>
          <w:i/>
          <w:iCs/>
          <w:spacing w:val="-6"/>
          <w:rtl/>
        </w:rPr>
        <w:tab/>
      </w:r>
      <w:r w:rsidR="00406D22">
        <w:rPr>
          <w:i/>
          <w:iCs/>
          <w:spacing w:val="-6"/>
          <w:rtl/>
        </w:rPr>
        <w:tab/>
      </w:r>
      <w:r w:rsidRPr="00406D22">
        <w:rPr>
          <w:rFonts w:hint="cs"/>
          <w:spacing w:val="-4"/>
          <w:rtl/>
        </w:rPr>
        <w:t>حرية الرأي وحرية التعبير، حرية التجمّع، المحاكمة العادلة</w:t>
      </w:r>
      <w:r w:rsidR="00674FF5">
        <w:rPr>
          <w:rFonts w:hint="cs"/>
          <w:spacing w:val="-4"/>
          <w:rtl/>
        </w:rPr>
        <w:t>.</w:t>
      </w:r>
    </w:p>
    <w:p w14:paraId="1B9D573D" w14:textId="77777777" w:rsidR="002A3CD4" w:rsidRPr="008F3DF8" w:rsidRDefault="002A3CD4" w:rsidP="00406D22">
      <w:pPr>
        <w:pStyle w:val="SingleTxtGA"/>
        <w:spacing w:line="360" w:lineRule="exact"/>
        <w:ind w:left="1928"/>
        <w:rPr>
          <w:rtl/>
        </w:rPr>
      </w:pPr>
      <w:r w:rsidRPr="008F3DF8">
        <w:rPr>
          <w:rFonts w:hint="cs"/>
          <w:i/>
          <w:iCs/>
          <w:rtl/>
        </w:rPr>
        <w:t>مواد العهد:</w:t>
      </w:r>
      <w:r>
        <w:rPr>
          <w:i/>
          <w:iCs/>
          <w:rtl/>
        </w:rPr>
        <w:tab/>
      </w:r>
      <w:r>
        <w:rPr>
          <w:i/>
          <w:iCs/>
          <w:rtl/>
        </w:rPr>
        <w:tab/>
      </w:r>
      <w:r w:rsidRPr="008F3DF8">
        <w:rPr>
          <w:i/>
          <w:iCs/>
          <w:rtl/>
        </w:rPr>
        <w:tab/>
      </w:r>
      <w:r w:rsidRPr="008F3DF8">
        <w:rPr>
          <w:rFonts w:hint="cs"/>
          <w:rtl/>
        </w:rPr>
        <w:t>14(1)، و14(3)(د) و(ز)، و19(2)، و21</w:t>
      </w:r>
    </w:p>
    <w:p w14:paraId="7E288CA2" w14:textId="77777777" w:rsidR="002A3CD4" w:rsidRPr="008F3DF8" w:rsidRDefault="002A3CD4" w:rsidP="002A3CD4">
      <w:pPr>
        <w:pStyle w:val="SingleTxtGA"/>
        <w:ind w:left="1928"/>
        <w:rPr>
          <w:rtl/>
        </w:rPr>
      </w:pPr>
      <w:r w:rsidRPr="008F3DF8">
        <w:rPr>
          <w:rFonts w:hint="cs"/>
          <w:i/>
          <w:iCs/>
          <w:rtl/>
        </w:rPr>
        <w:t>مواد البروتوكول الاختياري:</w:t>
      </w:r>
      <w:r>
        <w:rPr>
          <w:i/>
          <w:iCs/>
          <w:rtl/>
        </w:rPr>
        <w:tab/>
      </w:r>
      <w:r w:rsidRPr="008F3DF8">
        <w:rPr>
          <w:i/>
          <w:iCs/>
          <w:rtl/>
        </w:rPr>
        <w:tab/>
      </w:r>
      <w:r w:rsidRPr="008F3DF8">
        <w:rPr>
          <w:rFonts w:hint="cs"/>
          <w:rtl/>
        </w:rPr>
        <w:t>2 و3 و5(2)(ب)</w:t>
      </w:r>
    </w:p>
    <w:p w14:paraId="74A81C02" w14:textId="77777777" w:rsidR="002A3CD4" w:rsidRDefault="002A3CD4" w:rsidP="002A3CD4">
      <w:pPr>
        <w:pStyle w:val="SingleTxtGA"/>
        <w:rPr>
          <w:rtl/>
        </w:rPr>
      </w:pPr>
      <w:r>
        <w:rPr>
          <w:rFonts w:hint="cs"/>
          <w:rtl/>
        </w:rPr>
        <w:lastRenderedPageBreak/>
        <w:t>1-1</w:t>
      </w:r>
      <w:r>
        <w:rPr>
          <w:rtl/>
        </w:rPr>
        <w:tab/>
      </w:r>
      <w:r>
        <w:rPr>
          <w:rFonts w:hint="cs"/>
          <w:rtl/>
        </w:rPr>
        <w:t xml:space="preserve">صاحبة البلاغين، </w:t>
      </w:r>
      <w:proofErr w:type="spellStart"/>
      <w:r>
        <w:rPr>
          <w:rFonts w:hint="cs"/>
          <w:rtl/>
        </w:rPr>
        <w:t>ديلنار</w:t>
      </w:r>
      <w:proofErr w:type="spellEnd"/>
      <w:r>
        <w:rPr>
          <w:rFonts w:hint="cs"/>
          <w:rtl/>
        </w:rPr>
        <w:t xml:space="preserve"> </w:t>
      </w:r>
      <w:proofErr w:type="spellStart"/>
      <w:r>
        <w:rPr>
          <w:rFonts w:hint="cs"/>
          <w:rtl/>
        </w:rPr>
        <w:t>إنسينوفا</w:t>
      </w:r>
      <w:proofErr w:type="spellEnd"/>
      <w:r>
        <w:rPr>
          <w:rFonts w:hint="cs"/>
          <w:rtl/>
        </w:rPr>
        <w:t>، مواطنة من كازاخستان مولودة في عام 1972. وهي تدّعي بأن الدولة الطرف انتهكت حقوقها بموجب المواد 14</w:t>
      </w:r>
      <w:r w:rsidR="00406D22" w:rsidRPr="00406D22">
        <w:rPr>
          <w:rFonts w:hint="cs"/>
          <w:rtl/>
        </w:rPr>
        <w:t>(</w:t>
      </w:r>
      <w:r>
        <w:rPr>
          <w:rFonts w:hint="cs"/>
          <w:rtl/>
        </w:rPr>
        <w:t>1)</w:t>
      </w:r>
      <w:r w:rsidR="00406D22" w:rsidRPr="00406D22">
        <w:rPr>
          <w:rFonts w:hint="cs"/>
          <w:rtl/>
        </w:rPr>
        <w:t xml:space="preserve"> و</w:t>
      </w:r>
      <w:r>
        <w:rPr>
          <w:rFonts w:hint="cs"/>
          <w:rtl/>
        </w:rPr>
        <w:t>14</w:t>
      </w:r>
      <w:r w:rsidR="00406D22" w:rsidRPr="00406D22">
        <w:rPr>
          <w:rFonts w:hint="cs"/>
          <w:rtl/>
        </w:rPr>
        <w:t>(</w:t>
      </w:r>
      <w:r>
        <w:rPr>
          <w:rFonts w:hint="cs"/>
          <w:rtl/>
        </w:rPr>
        <w:t>3)</w:t>
      </w:r>
      <w:r w:rsidR="00406D22" w:rsidRPr="00406D22">
        <w:rPr>
          <w:rFonts w:hint="cs"/>
          <w:rtl/>
        </w:rPr>
        <w:t>(</w:t>
      </w:r>
      <w:r>
        <w:rPr>
          <w:rFonts w:hint="cs"/>
          <w:rtl/>
        </w:rPr>
        <w:t>د) و</w:t>
      </w:r>
      <w:r w:rsidR="00406D22" w:rsidRPr="00406D22">
        <w:rPr>
          <w:rFonts w:hint="cs"/>
          <w:rtl/>
        </w:rPr>
        <w:t>(</w:t>
      </w:r>
      <w:r>
        <w:rPr>
          <w:rFonts w:hint="cs"/>
          <w:rtl/>
        </w:rPr>
        <w:t>ز)، و19</w:t>
      </w:r>
      <w:r w:rsidR="00406D22" w:rsidRPr="00406D22">
        <w:rPr>
          <w:rFonts w:hint="cs"/>
          <w:rtl/>
        </w:rPr>
        <w:t>(</w:t>
      </w:r>
      <w:r>
        <w:rPr>
          <w:rFonts w:hint="cs"/>
          <w:rtl/>
        </w:rPr>
        <w:t xml:space="preserve">2) و21 من العهد. ويمثّل صاحبة البلاغين محامٍ. وقد بدأ سريان البروتوكول الاختياري بالنسبة لكازاخستان في 30 </w:t>
      </w:r>
      <w:r>
        <w:rPr>
          <w:rtl/>
        </w:rPr>
        <w:t xml:space="preserve">أيلول/سبتمبر </w:t>
      </w:r>
      <w:r>
        <w:rPr>
          <w:rFonts w:hint="cs"/>
          <w:rtl/>
        </w:rPr>
        <w:t>2009.</w:t>
      </w:r>
    </w:p>
    <w:p w14:paraId="70476DFD" w14:textId="77777777" w:rsidR="002A3CD4" w:rsidRDefault="002A3CD4" w:rsidP="002A3CD4">
      <w:pPr>
        <w:pStyle w:val="SingleTxtGA"/>
        <w:rPr>
          <w:rtl/>
        </w:rPr>
      </w:pPr>
      <w:r>
        <w:rPr>
          <w:rFonts w:hint="cs"/>
          <w:rtl/>
        </w:rPr>
        <w:t>1-2</w:t>
      </w:r>
      <w:r>
        <w:rPr>
          <w:rtl/>
        </w:rPr>
        <w:tab/>
      </w:r>
      <w:r>
        <w:rPr>
          <w:rFonts w:hint="cs"/>
          <w:rtl/>
        </w:rPr>
        <w:t xml:space="preserve">وفي 8 </w:t>
      </w:r>
      <w:r>
        <w:rPr>
          <w:rtl/>
        </w:rPr>
        <w:t xml:space="preserve">تموز/يوليه </w:t>
      </w:r>
      <w:r>
        <w:rPr>
          <w:rFonts w:hint="cs"/>
          <w:rtl/>
        </w:rPr>
        <w:t>2019، قررت اللجنة بموجب المادة 97</w:t>
      </w:r>
      <w:r w:rsidR="00406D22" w:rsidRPr="00406D22">
        <w:rPr>
          <w:rFonts w:hint="cs"/>
          <w:rtl/>
        </w:rPr>
        <w:t>(</w:t>
      </w:r>
      <w:r>
        <w:rPr>
          <w:rFonts w:hint="cs"/>
          <w:rtl/>
        </w:rPr>
        <w:t>3) من نظامها الداخلي ضم الرسالتين للفصل فيهما معاً، لتشابهما الجوهري من ناحية الوقائع والقانون.</w:t>
      </w:r>
    </w:p>
    <w:p w14:paraId="7F536716" w14:textId="77777777" w:rsidR="002A3CD4" w:rsidRDefault="002A3CD4" w:rsidP="00406D22">
      <w:pPr>
        <w:pStyle w:val="H23GA"/>
        <w:rPr>
          <w:rtl/>
        </w:rPr>
      </w:pPr>
      <w:r>
        <w:rPr>
          <w:rtl/>
        </w:rPr>
        <w:tab/>
      </w:r>
      <w:r>
        <w:rPr>
          <w:rtl/>
        </w:rPr>
        <w:tab/>
      </w:r>
      <w:r>
        <w:rPr>
          <w:rFonts w:hint="cs"/>
          <w:rtl/>
        </w:rPr>
        <w:t>خلفية الوقائع</w:t>
      </w:r>
    </w:p>
    <w:p w14:paraId="3DA6B1A6" w14:textId="77777777" w:rsidR="002A3CD4" w:rsidRDefault="002A3CD4" w:rsidP="00406D22">
      <w:pPr>
        <w:pStyle w:val="H4GA"/>
        <w:rPr>
          <w:rtl/>
        </w:rPr>
      </w:pPr>
      <w:r w:rsidRPr="003E60B8">
        <w:rPr>
          <w:rtl/>
        </w:rPr>
        <w:tab/>
      </w:r>
      <w:r w:rsidRPr="003E60B8">
        <w:rPr>
          <w:rtl/>
        </w:rPr>
        <w:tab/>
      </w:r>
      <w:r w:rsidRPr="003E60B8">
        <w:rPr>
          <w:rFonts w:hint="cs"/>
          <w:rtl/>
        </w:rPr>
        <w:t>الرسالة رقم 2542/2015</w:t>
      </w:r>
    </w:p>
    <w:p w14:paraId="3EFA147B" w14:textId="77777777" w:rsidR="002A3CD4" w:rsidRPr="00406D22" w:rsidRDefault="002A3CD4" w:rsidP="00D55A10">
      <w:pPr>
        <w:pStyle w:val="SingleTxtGA"/>
        <w:spacing w:line="370" w:lineRule="exact"/>
        <w:rPr>
          <w:rtl/>
        </w:rPr>
      </w:pPr>
      <w:r>
        <w:rPr>
          <w:rFonts w:hint="cs"/>
          <w:rtl/>
        </w:rPr>
        <w:t>2-1</w:t>
      </w:r>
      <w:r>
        <w:rPr>
          <w:rtl/>
        </w:rPr>
        <w:tab/>
      </w:r>
      <w:r>
        <w:rPr>
          <w:rFonts w:hint="cs"/>
          <w:rtl/>
        </w:rPr>
        <w:t xml:space="preserve">في 5 </w:t>
      </w:r>
      <w:r>
        <w:rPr>
          <w:rtl/>
        </w:rPr>
        <w:t xml:space="preserve">أيلول/سبتمبر </w:t>
      </w:r>
      <w:r>
        <w:rPr>
          <w:rFonts w:hint="cs"/>
          <w:rtl/>
        </w:rPr>
        <w:t>2013، وفي حوالي الساعة السادسة مساءً، ألقت الشرطة القبض على صاحبة البلاغ وهي أم لثلاثة أطفال صغار متعطّلة عن العمل، لتوزيعها دعوات لحضور اجتماع للأشخاص المشردين، كان مقرر</w:t>
      </w:r>
      <w:r w:rsidR="000C21DB" w:rsidRPr="000C21DB">
        <w:rPr>
          <w:rFonts w:hint="cs"/>
          <w:rtl/>
        </w:rPr>
        <w:t xml:space="preserve">اً </w:t>
      </w:r>
      <w:r>
        <w:rPr>
          <w:rFonts w:hint="cs"/>
          <w:rtl/>
        </w:rPr>
        <w:t xml:space="preserve">عقده في 9 </w:t>
      </w:r>
      <w:r>
        <w:rPr>
          <w:rtl/>
        </w:rPr>
        <w:t xml:space="preserve">أيلول/سبتمبر </w:t>
      </w:r>
      <w:r>
        <w:rPr>
          <w:rFonts w:hint="cs"/>
          <w:rtl/>
        </w:rPr>
        <w:t xml:space="preserve">2013. وعقب إلقاء القبض عليها طلبت صاحبة البلاغ الاستعانة بمحامٍ. لكن طلبها لقي التجاهل. وفي 8 </w:t>
      </w:r>
      <w:r>
        <w:rPr>
          <w:rtl/>
        </w:rPr>
        <w:t xml:space="preserve">أيلول/سبتمبر </w:t>
      </w:r>
      <w:r>
        <w:rPr>
          <w:rFonts w:hint="cs"/>
          <w:rtl/>
        </w:rPr>
        <w:t xml:space="preserve">2013، انتهت المحكمة الإدارية المتخصصة للمقاطعات في </w:t>
      </w:r>
      <w:proofErr w:type="spellStart"/>
      <w:r>
        <w:rPr>
          <w:rFonts w:hint="cs"/>
          <w:rtl/>
        </w:rPr>
        <w:t>كاراسيسكي</w:t>
      </w:r>
      <w:proofErr w:type="spellEnd"/>
      <w:r>
        <w:rPr>
          <w:rFonts w:hint="cs"/>
          <w:rtl/>
        </w:rPr>
        <w:t xml:space="preserve">، بمنطقة </w:t>
      </w:r>
      <w:proofErr w:type="spellStart"/>
      <w:r>
        <w:rPr>
          <w:rFonts w:hint="cs"/>
          <w:rtl/>
        </w:rPr>
        <w:t>آلماتي</w:t>
      </w:r>
      <w:proofErr w:type="spellEnd"/>
      <w:r>
        <w:rPr>
          <w:rFonts w:hint="cs"/>
          <w:rtl/>
        </w:rPr>
        <w:t>، إلى أن صاحبة البلاغ انتهكت المادة 373</w:t>
      </w:r>
      <w:r w:rsidR="00406D22" w:rsidRPr="00406D22">
        <w:rPr>
          <w:rFonts w:hint="cs"/>
          <w:rtl/>
        </w:rPr>
        <w:t>(</w:t>
      </w:r>
      <w:r>
        <w:rPr>
          <w:rFonts w:hint="cs"/>
          <w:rtl/>
        </w:rPr>
        <w:t xml:space="preserve">1) من قانون الجرائم الإدارية (انتهاك قانون تنظيم وعقد التجمعات السلمية والاجتماعات والمسيرات والاعتصامات والمظاهرات). ورأت المحكمة أن صاحبة البلاغ كانت توزع دعوة لاجتماع غير مرخص به وفرضت عليها غرامة قدرها 10 وحدات من المقياس الحسابي الشهري (310 14 </w:t>
      </w:r>
      <w:proofErr w:type="spellStart"/>
      <w:proofErr w:type="gramStart"/>
      <w:r>
        <w:rPr>
          <w:rFonts w:hint="cs"/>
          <w:rtl/>
        </w:rPr>
        <w:t>تينغي</w:t>
      </w:r>
      <w:proofErr w:type="spellEnd"/>
      <w:r>
        <w:rPr>
          <w:rFonts w:hint="cs"/>
          <w:rtl/>
        </w:rPr>
        <w:t>)</w:t>
      </w:r>
      <w:r w:rsidRPr="003E60B8">
        <w:rPr>
          <w:vertAlign w:val="superscript"/>
          <w:rtl/>
        </w:rPr>
        <w:t>(</w:t>
      </w:r>
      <w:proofErr w:type="gramEnd"/>
      <w:r w:rsidRPr="003E60B8">
        <w:rPr>
          <w:rStyle w:val="FootnoteReference"/>
          <w:rtl/>
        </w:rPr>
        <w:footnoteReference w:id="3"/>
      </w:r>
      <w:r w:rsidRPr="003E60B8">
        <w:rPr>
          <w:vertAlign w:val="superscript"/>
          <w:rtl/>
        </w:rPr>
        <w:t>)</w:t>
      </w:r>
      <w:r>
        <w:rPr>
          <w:rFonts w:hint="cs"/>
          <w:rtl/>
        </w:rPr>
        <w:t>.</w:t>
      </w:r>
    </w:p>
    <w:p w14:paraId="1AF09119" w14:textId="77777777" w:rsidR="002A3CD4" w:rsidRDefault="002A3CD4" w:rsidP="00D55A10">
      <w:pPr>
        <w:pStyle w:val="SingleTxtGA"/>
        <w:spacing w:line="370" w:lineRule="exact"/>
        <w:rPr>
          <w:rtl/>
        </w:rPr>
      </w:pPr>
      <w:r>
        <w:rPr>
          <w:rFonts w:hint="cs"/>
          <w:rtl/>
        </w:rPr>
        <w:t>2-2</w:t>
      </w:r>
      <w:r>
        <w:rPr>
          <w:rtl/>
        </w:rPr>
        <w:tab/>
      </w:r>
      <w:r>
        <w:rPr>
          <w:rFonts w:hint="cs"/>
          <w:rtl/>
        </w:rPr>
        <w:t xml:space="preserve">وفي 16 </w:t>
      </w:r>
      <w:r>
        <w:rPr>
          <w:rtl/>
        </w:rPr>
        <w:t xml:space="preserve">أيلول/سبتمبر </w:t>
      </w:r>
      <w:r>
        <w:rPr>
          <w:rFonts w:hint="cs"/>
          <w:rtl/>
        </w:rPr>
        <w:t xml:space="preserve">2013، قدمت صاحبة البلاغ طعناً أمام محكمة </w:t>
      </w:r>
      <w:proofErr w:type="spellStart"/>
      <w:r>
        <w:rPr>
          <w:rFonts w:hint="cs"/>
          <w:rtl/>
        </w:rPr>
        <w:t>آلماتي</w:t>
      </w:r>
      <w:proofErr w:type="spellEnd"/>
      <w:r>
        <w:rPr>
          <w:rFonts w:hint="cs"/>
          <w:rtl/>
        </w:rPr>
        <w:t xml:space="preserve"> الإقليمية. وادعت أن اجتماع 9 </w:t>
      </w:r>
      <w:r>
        <w:rPr>
          <w:rtl/>
        </w:rPr>
        <w:t xml:space="preserve">أيلول/سبتمبر </w:t>
      </w:r>
      <w:r>
        <w:rPr>
          <w:rFonts w:hint="cs"/>
          <w:rtl/>
        </w:rPr>
        <w:t>2013 كان مقرر</w:t>
      </w:r>
      <w:r w:rsidR="000C21DB" w:rsidRPr="000C21DB">
        <w:rPr>
          <w:rFonts w:hint="cs"/>
          <w:rtl/>
        </w:rPr>
        <w:t xml:space="preserve">اً </w:t>
      </w:r>
      <w:r>
        <w:rPr>
          <w:rFonts w:hint="cs"/>
          <w:rtl/>
        </w:rPr>
        <w:t xml:space="preserve">عقده في مبنى مغلق ولا يحتاج لاستصدار ترخيص من السلطات المحلية، واعتبرت أن قرار المحكمة الصادر في 8 </w:t>
      </w:r>
      <w:r>
        <w:rPr>
          <w:rtl/>
        </w:rPr>
        <w:t>أيلول/</w:t>
      </w:r>
      <w:r w:rsidR="000C21DB">
        <w:rPr>
          <w:rFonts w:hint="cs"/>
          <w:rtl/>
        </w:rPr>
        <w:t xml:space="preserve">   </w:t>
      </w:r>
      <w:r>
        <w:rPr>
          <w:rtl/>
        </w:rPr>
        <w:t xml:space="preserve">سبتمبر </w:t>
      </w:r>
      <w:r>
        <w:rPr>
          <w:rFonts w:hint="cs"/>
          <w:rtl/>
        </w:rPr>
        <w:t xml:space="preserve">2013 انتهك حقها في التجمع السلمي المكفول في دستور كازاخستان والمعاهدات الدولية التي صدّقت عليها، بما فيها العهد. وفي 3 </w:t>
      </w:r>
      <w:r>
        <w:rPr>
          <w:rtl/>
        </w:rPr>
        <w:t xml:space="preserve">تشرين الأول/أكتوبر </w:t>
      </w:r>
      <w:r>
        <w:rPr>
          <w:rFonts w:hint="cs"/>
          <w:rtl/>
        </w:rPr>
        <w:t xml:space="preserve">2013 رُفض طعنها. وأكدت محكمة </w:t>
      </w:r>
      <w:proofErr w:type="spellStart"/>
      <w:r>
        <w:rPr>
          <w:rFonts w:hint="cs"/>
          <w:rtl/>
        </w:rPr>
        <w:t>آلماتي</w:t>
      </w:r>
      <w:proofErr w:type="spellEnd"/>
      <w:r>
        <w:rPr>
          <w:rFonts w:hint="cs"/>
          <w:rtl/>
        </w:rPr>
        <w:t xml:space="preserve"> الإقليمية استنتاج المحكمة الابتدائية بأن صاحبة البلاغ شاركت في تنظيم تجمّع غير مرخص به. ورأت المحكمة أن الغرامة التي فُرضت على صاحبة البلاغ جاءت في حدود الجزاءات المنصوص عليها في المادة 373</w:t>
      </w:r>
      <w:r w:rsidR="00406D22" w:rsidRPr="00406D22">
        <w:rPr>
          <w:rFonts w:hint="cs"/>
          <w:rtl/>
        </w:rPr>
        <w:t>(</w:t>
      </w:r>
      <w:r>
        <w:rPr>
          <w:rFonts w:hint="cs"/>
          <w:rtl/>
        </w:rPr>
        <w:t xml:space="preserve">1) من قانون الجرائم الإدارية. وفي 8 </w:t>
      </w:r>
      <w:r>
        <w:rPr>
          <w:rtl/>
        </w:rPr>
        <w:t xml:space="preserve">تشرين الأول/أكتوبر </w:t>
      </w:r>
      <w:r>
        <w:rPr>
          <w:rFonts w:hint="cs"/>
          <w:rtl/>
        </w:rPr>
        <w:t xml:space="preserve">2013، قدمت صاحبة البلاغ طلباً إلى مدعي محكمة </w:t>
      </w:r>
      <w:proofErr w:type="spellStart"/>
      <w:r>
        <w:rPr>
          <w:rFonts w:hint="cs"/>
          <w:rtl/>
        </w:rPr>
        <w:t>آلماتي</w:t>
      </w:r>
      <w:proofErr w:type="spellEnd"/>
      <w:r>
        <w:rPr>
          <w:rFonts w:hint="cs"/>
          <w:rtl/>
        </w:rPr>
        <w:t xml:space="preserve"> الإقليمية لإجراء</w:t>
      </w:r>
      <w:r w:rsidR="00406D22">
        <w:rPr>
          <w:rFonts w:hint="eastAsia"/>
          <w:rtl/>
        </w:rPr>
        <w:t> </w:t>
      </w:r>
      <w:r>
        <w:rPr>
          <w:rFonts w:hint="cs"/>
          <w:rtl/>
        </w:rPr>
        <w:t xml:space="preserve">مراجعة قضائية لقرار المحكمة الإدارية المتخصصة للمقاطعات. وفي 5 </w:t>
      </w:r>
      <w:r>
        <w:rPr>
          <w:rtl/>
        </w:rPr>
        <w:t>تشرين الثاني/</w:t>
      </w:r>
      <w:r w:rsidR="00406D22">
        <w:rPr>
          <w:rFonts w:hint="cs"/>
          <w:rtl/>
        </w:rPr>
        <w:t xml:space="preserve"> </w:t>
      </w:r>
      <w:r>
        <w:rPr>
          <w:rtl/>
        </w:rPr>
        <w:t xml:space="preserve">نوفمبر </w:t>
      </w:r>
      <w:r>
        <w:rPr>
          <w:rFonts w:hint="cs"/>
          <w:rtl/>
        </w:rPr>
        <w:t>2013 رُفض طلبها. وقدمت صاحبة البلاغ طلب</w:t>
      </w:r>
      <w:r w:rsidR="000C21DB" w:rsidRPr="000C21DB">
        <w:rPr>
          <w:rFonts w:hint="cs"/>
          <w:rtl/>
        </w:rPr>
        <w:t xml:space="preserve">اً </w:t>
      </w:r>
      <w:r>
        <w:rPr>
          <w:rFonts w:hint="cs"/>
          <w:rtl/>
        </w:rPr>
        <w:t xml:space="preserve">إلى النائب العام في 22 </w:t>
      </w:r>
      <w:r>
        <w:rPr>
          <w:rtl/>
        </w:rPr>
        <w:t>كانون الثاني/</w:t>
      </w:r>
      <w:r w:rsidR="00406D22">
        <w:rPr>
          <w:rFonts w:hint="cs"/>
          <w:rtl/>
        </w:rPr>
        <w:t xml:space="preserve"> </w:t>
      </w:r>
      <w:r>
        <w:rPr>
          <w:rtl/>
        </w:rPr>
        <w:t xml:space="preserve">يناير </w:t>
      </w:r>
      <w:r>
        <w:rPr>
          <w:rFonts w:hint="cs"/>
          <w:rtl/>
        </w:rPr>
        <w:t>2014 طالبة إجراء مراجعة قضائية. وادعت أنه بالإضافة إلى انتهاك حقها في التجمع السلمي، انتُهك أيض</w:t>
      </w:r>
      <w:r w:rsidR="000C21DB" w:rsidRPr="000C21DB">
        <w:rPr>
          <w:rFonts w:hint="cs"/>
          <w:rtl/>
        </w:rPr>
        <w:t xml:space="preserve">اً </w:t>
      </w:r>
      <w:r>
        <w:rPr>
          <w:rFonts w:hint="cs"/>
          <w:rtl/>
        </w:rPr>
        <w:t xml:space="preserve">حقها في التماس المعلومات بموجب المادة 19 من العهد. ونوّه المدعي العام إلى القانون المؤرخ 17 </w:t>
      </w:r>
      <w:r>
        <w:rPr>
          <w:rtl/>
        </w:rPr>
        <w:t xml:space="preserve">آذار/مارس </w:t>
      </w:r>
      <w:r>
        <w:rPr>
          <w:rFonts w:hint="cs"/>
          <w:rtl/>
        </w:rPr>
        <w:t xml:space="preserve">1995 بشأن تنظيم وعقد التجمعات السلمية والاجتماعات والمسيرات والاعتصامات والمظاهرات، وإلى حقيقة أن القانون يلزم منظمي المناسبات العامة طلب ترخيص من السلطات التنفيذية المحلية لعقد المناسبة، وهو ما لم تفعه صاحبة البلاغ. وفي 17 </w:t>
      </w:r>
      <w:r>
        <w:rPr>
          <w:rtl/>
        </w:rPr>
        <w:t xml:space="preserve">تموز/يوليه </w:t>
      </w:r>
      <w:r>
        <w:rPr>
          <w:rFonts w:hint="cs"/>
          <w:rtl/>
        </w:rPr>
        <w:t>2014، رفض المدعي العام طلب صاحبة البلاغ.</w:t>
      </w:r>
    </w:p>
    <w:p w14:paraId="19FB1A77" w14:textId="77777777" w:rsidR="002A3CD4" w:rsidRDefault="002A3CD4" w:rsidP="00D904D4">
      <w:pPr>
        <w:pStyle w:val="H4GA"/>
        <w:rPr>
          <w:rtl/>
        </w:rPr>
      </w:pPr>
      <w:r w:rsidRPr="00432696">
        <w:rPr>
          <w:rtl/>
        </w:rPr>
        <w:lastRenderedPageBreak/>
        <w:tab/>
      </w:r>
      <w:r w:rsidRPr="00432696">
        <w:rPr>
          <w:rtl/>
        </w:rPr>
        <w:tab/>
      </w:r>
      <w:r w:rsidRPr="00432696">
        <w:rPr>
          <w:rFonts w:hint="cs"/>
          <w:rtl/>
        </w:rPr>
        <w:t>البلاغ ر</w:t>
      </w:r>
      <w:r>
        <w:rPr>
          <w:rFonts w:hint="cs"/>
          <w:rtl/>
        </w:rPr>
        <w:t>ق</w:t>
      </w:r>
      <w:r w:rsidRPr="00432696">
        <w:rPr>
          <w:rFonts w:hint="cs"/>
          <w:rtl/>
        </w:rPr>
        <w:t>م 2543/2015</w:t>
      </w:r>
    </w:p>
    <w:p w14:paraId="51330B6A" w14:textId="77777777" w:rsidR="002A3CD4" w:rsidRPr="00D55A10" w:rsidRDefault="002A3CD4" w:rsidP="00D55A10">
      <w:pPr>
        <w:pStyle w:val="SingleTxtGA"/>
        <w:spacing w:line="370" w:lineRule="exact"/>
        <w:rPr>
          <w:spacing w:val="-4"/>
          <w:rtl/>
        </w:rPr>
      </w:pPr>
      <w:r w:rsidRPr="00D55A10">
        <w:rPr>
          <w:rFonts w:hint="cs"/>
          <w:spacing w:val="-4"/>
          <w:rtl/>
        </w:rPr>
        <w:t>2-3</w:t>
      </w:r>
      <w:r w:rsidRPr="00D55A10">
        <w:rPr>
          <w:spacing w:val="-4"/>
          <w:rtl/>
        </w:rPr>
        <w:tab/>
      </w:r>
      <w:r w:rsidRPr="00D55A10">
        <w:rPr>
          <w:rFonts w:hint="cs"/>
          <w:spacing w:val="-4"/>
          <w:rtl/>
        </w:rPr>
        <w:t xml:space="preserve">في 15 </w:t>
      </w:r>
      <w:r w:rsidRPr="00D55A10">
        <w:rPr>
          <w:spacing w:val="-4"/>
          <w:rtl/>
        </w:rPr>
        <w:t xml:space="preserve">شباط/فبراير </w:t>
      </w:r>
      <w:r w:rsidRPr="00D55A10">
        <w:rPr>
          <w:rFonts w:hint="cs"/>
          <w:spacing w:val="-4"/>
          <w:rtl/>
        </w:rPr>
        <w:t xml:space="preserve">2014، اشتركت صاحبة البلاغ في تجمّع عفوي احتجاجاً على تخفيض مفاجئ في العملة الوطنية لكازاخستان بنسبة 30 في المائة. وفي اليوم نفسه، وفي حوالي الساعة السادسة والنصف مساءً ألقت الشرطة القبض </w:t>
      </w:r>
      <w:bookmarkStart w:id="0" w:name="_GoBack"/>
      <w:bookmarkEnd w:id="0"/>
      <w:r w:rsidRPr="00D55A10">
        <w:rPr>
          <w:rFonts w:hint="cs"/>
          <w:spacing w:val="-4"/>
          <w:rtl/>
        </w:rPr>
        <w:t xml:space="preserve">عليها مرة أخرى. وعند القبض عليها، طلبت الاستعانة بمحامٍ. لكنها لم تزوَّد بمحامٍ. وفي 15 </w:t>
      </w:r>
      <w:r w:rsidRPr="00D55A10">
        <w:rPr>
          <w:spacing w:val="-4"/>
          <w:rtl/>
        </w:rPr>
        <w:t xml:space="preserve">شباط/فبراير </w:t>
      </w:r>
      <w:r w:rsidRPr="00D55A10">
        <w:rPr>
          <w:rFonts w:hint="cs"/>
          <w:spacing w:val="-4"/>
          <w:rtl/>
        </w:rPr>
        <w:t xml:space="preserve">2014، انتهت المحكمة الإدارية المتخصصة للمقاطعات في </w:t>
      </w:r>
      <w:proofErr w:type="spellStart"/>
      <w:r w:rsidRPr="00D55A10">
        <w:rPr>
          <w:rFonts w:hint="cs"/>
          <w:spacing w:val="-4"/>
          <w:rtl/>
        </w:rPr>
        <w:t>آلماتي</w:t>
      </w:r>
      <w:proofErr w:type="spellEnd"/>
      <w:r w:rsidRPr="00D55A10">
        <w:rPr>
          <w:rFonts w:hint="cs"/>
          <w:spacing w:val="-4"/>
          <w:rtl/>
        </w:rPr>
        <w:t xml:space="preserve"> إلى أن صاحبة البلاغ انتهكت المادة 373</w:t>
      </w:r>
      <w:r w:rsidR="00406D22" w:rsidRPr="00D55A10">
        <w:rPr>
          <w:rFonts w:hint="cs"/>
          <w:spacing w:val="-4"/>
          <w:rtl/>
        </w:rPr>
        <w:t>(</w:t>
      </w:r>
      <w:r w:rsidRPr="00D55A10">
        <w:rPr>
          <w:rFonts w:hint="cs"/>
          <w:spacing w:val="-4"/>
          <w:rtl/>
        </w:rPr>
        <w:t xml:space="preserve">1) من قانون الجرائم الإدارية وفرضت عليها غرامة قدرها 3 وحدات من المقياس الحسابي الشهري (556 5 </w:t>
      </w:r>
      <w:proofErr w:type="spellStart"/>
      <w:proofErr w:type="gramStart"/>
      <w:r w:rsidRPr="00D55A10">
        <w:rPr>
          <w:rFonts w:hint="cs"/>
          <w:spacing w:val="-4"/>
          <w:rtl/>
        </w:rPr>
        <w:t>تينغي</w:t>
      </w:r>
      <w:proofErr w:type="spellEnd"/>
      <w:r w:rsidRPr="00D55A10">
        <w:rPr>
          <w:rFonts w:hint="cs"/>
          <w:spacing w:val="-4"/>
          <w:rtl/>
        </w:rPr>
        <w:t>)</w:t>
      </w:r>
      <w:r w:rsidRPr="00D55A10">
        <w:rPr>
          <w:spacing w:val="-4"/>
          <w:vertAlign w:val="superscript"/>
          <w:rtl/>
        </w:rPr>
        <w:t>(</w:t>
      </w:r>
      <w:proofErr w:type="gramEnd"/>
      <w:r w:rsidRPr="00D55A10">
        <w:rPr>
          <w:rStyle w:val="FootnoteReference"/>
          <w:spacing w:val="-4"/>
          <w:rtl/>
        </w:rPr>
        <w:footnoteReference w:id="4"/>
      </w:r>
      <w:r w:rsidRPr="00D55A10">
        <w:rPr>
          <w:spacing w:val="-4"/>
          <w:vertAlign w:val="superscript"/>
          <w:rtl/>
        </w:rPr>
        <w:t>)</w:t>
      </w:r>
      <w:r w:rsidRPr="00D55A10">
        <w:rPr>
          <w:rFonts w:hint="cs"/>
          <w:spacing w:val="-4"/>
          <w:rtl/>
        </w:rPr>
        <w:t>.</w:t>
      </w:r>
    </w:p>
    <w:p w14:paraId="2E49C696" w14:textId="77777777" w:rsidR="002A3CD4" w:rsidRDefault="002A3CD4" w:rsidP="00D55A10">
      <w:pPr>
        <w:pStyle w:val="SingleTxtGA"/>
        <w:spacing w:line="370" w:lineRule="exact"/>
        <w:rPr>
          <w:rtl/>
        </w:rPr>
      </w:pPr>
      <w:r>
        <w:rPr>
          <w:rFonts w:hint="cs"/>
          <w:rtl/>
        </w:rPr>
        <w:t>2-4</w:t>
      </w:r>
      <w:r>
        <w:rPr>
          <w:rtl/>
        </w:rPr>
        <w:tab/>
      </w:r>
      <w:r>
        <w:rPr>
          <w:rFonts w:hint="cs"/>
          <w:rtl/>
        </w:rPr>
        <w:t xml:space="preserve">وفي 25 </w:t>
      </w:r>
      <w:r>
        <w:rPr>
          <w:rtl/>
        </w:rPr>
        <w:t xml:space="preserve">شباط/فبراير </w:t>
      </w:r>
      <w:r>
        <w:rPr>
          <w:rFonts w:hint="cs"/>
          <w:rtl/>
        </w:rPr>
        <w:t xml:space="preserve">2014، طعنت صاحبة البلاغ أمام محكمة مدينة </w:t>
      </w:r>
      <w:proofErr w:type="spellStart"/>
      <w:r>
        <w:rPr>
          <w:rFonts w:hint="cs"/>
          <w:rtl/>
        </w:rPr>
        <w:t>آلماتي</w:t>
      </w:r>
      <w:proofErr w:type="spellEnd"/>
      <w:r>
        <w:rPr>
          <w:rFonts w:hint="cs"/>
          <w:rtl/>
        </w:rPr>
        <w:t xml:space="preserve"> في القرار الصادر عن المحكمة الإدارية المتخصصة للمقاطعات. ونوّهت صاحبة البلاغ إلى أحكام الدستور والمادتين 19</w:t>
      </w:r>
      <w:r w:rsidR="00406D22" w:rsidRPr="00406D22">
        <w:rPr>
          <w:rFonts w:hint="cs"/>
          <w:rtl/>
        </w:rPr>
        <w:t xml:space="preserve"> و</w:t>
      </w:r>
      <w:r>
        <w:rPr>
          <w:rFonts w:hint="cs"/>
          <w:rtl/>
        </w:rPr>
        <w:t xml:space="preserve">21 من العهد، وحاججت بأنها تعرضت للقبض عليها بسبب تعبيرها عن رأيها ومشاركتها في مظاهرة سلمية. وادعت صاحبة البلاغ في طعنها أنها طلبت عقب إلقاء القبض عليها الاستعانة بمحامٍ، لكنها لم تزوَّد بمحام. وفي 6 </w:t>
      </w:r>
      <w:r>
        <w:rPr>
          <w:rtl/>
        </w:rPr>
        <w:t xml:space="preserve">آذار/مارس </w:t>
      </w:r>
      <w:r>
        <w:rPr>
          <w:rFonts w:hint="cs"/>
          <w:rtl/>
        </w:rPr>
        <w:t xml:space="preserve">2014، رفضت محكمة المدينة طعنها واعتمدت في ذلك على المادة 2 من القانون المؤرخ 17 </w:t>
      </w:r>
      <w:r>
        <w:rPr>
          <w:rtl/>
        </w:rPr>
        <w:t xml:space="preserve">آذار/مارس </w:t>
      </w:r>
      <w:r>
        <w:rPr>
          <w:rFonts w:hint="cs"/>
          <w:rtl/>
        </w:rPr>
        <w:t>1995.</w:t>
      </w:r>
    </w:p>
    <w:p w14:paraId="5F54439A" w14:textId="77777777" w:rsidR="002A3CD4" w:rsidRPr="00D55A10" w:rsidRDefault="002A3CD4" w:rsidP="00D55A10">
      <w:pPr>
        <w:pStyle w:val="SingleTxtGA"/>
        <w:spacing w:line="370" w:lineRule="exact"/>
        <w:rPr>
          <w:spacing w:val="-2"/>
          <w:rtl/>
        </w:rPr>
      </w:pPr>
      <w:r w:rsidRPr="00D55A10">
        <w:rPr>
          <w:rFonts w:hint="cs"/>
          <w:spacing w:val="-2"/>
          <w:rtl/>
        </w:rPr>
        <w:t>2-</w:t>
      </w:r>
      <w:r w:rsidR="00406D22" w:rsidRPr="00D55A10">
        <w:rPr>
          <w:rFonts w:hint="cs"/>
          <w:spacing w:val="-2"/>
          <w:rtl/>
        </w:rPr>
        <w:t>5</w:t>
      </w:r>
      <w:r w:rsidRPr="00D55A10">
        <w:rPr>
          <w:spacing w:val="-2"/>
          <w:rtl/>
        </w:rPr>
        <w:tab/>
      </w:r>
      <w:r w:rsidRPr="00D55A10">
        <w:rPr>
          <w:rFonts w:hint="cs"/>
          <w:spacing w:val="-2"/>
          <w:rtl/>
        </w:rPr>
        <w:t xml:space="preserve">وفي 31 </w:t>
      </w:r>
      <w:r w:rsidRPr="00D55A10">
        <w:rPr>
          <w:spacing w:val="-2"/>
          <w:rtl/>
        </w:rPr>
        <w:t>آذار/مارس</w:t>
      </w:r>
      <w:r w:rsidRPr="00D55A10">
        <w:rPr>
          <w:rFonts w:hint="cs"/>
          <w:spacing w:val="-2"/>
          <w:rtl/>
        </w:rPr>
        <w:t xml:space="preserve"> 2014، قدمت صاحبة البلاغ طلب</w:t>
      </w:r>
      <w:r w:rsidR="000C21DB" w:rsidRPr="00D55A10">
        <w:rPr>
          <w:rFonts w:hint="cs"/>
          <w:spacing w:val="-2"/>
          <w:rtl/>
        </w:rPr>
        <w:t xml:space="preserve">اً </w:t>
      </w:r>
      <w:r w:rsidRPr="00D55A10">
        <w:rPr>
          <w:rFonts w:hint="cs"/>
          <w:spacing w:val="-2"/>
          <w:rtl/>
        </w:rPr>
        <w:t xml:space="preserve">إلى مدعي مدينة </w:t>
      </w:r>
      <w:proofErr w:type="spellStart"/>
      <w:r w:rsidRPr="00D55A10">
        <w:rPr>
          <w:rFonts w:hint="cs"/>
          <w:spacing w:val="-2"/>
          <w:rtl/>
        </w:rPr>
        <w:t>آلماتي</w:t>
      </w:r>
      <w:proofErr w:type="spellEnd"/>
      <w:r w:rsidRPr="00D55A10">
        <w:rPr>
          <w:rFonts w:hint="cs"/>
          <w:spacing w:val="-2"/>
          <w:rtl/>
        </w:rPr>
        <w:t xml:space="preserve"> لإجراء مراجعة قضائية لقرار المحكمة الإدارية. وفي 5 </w:t>
      </w:r>
      <w:r w:rsidRPr="00D55A10">
        <w:rPr>
          <w:spacing w:val="-2"/>
          <w:rtl/>
        </w:rPr>
        <w:t xml:space="preserve">أيار/مايو </w:t>
      </w:r>
      <w:r w:rsidRPr="00D55A10">
        <w:rPr>
          <w:rFonts w:hint="cs"/>
          <w:spacing w:val="-2"/>
          <w:rtl/>
        </w:rPr>
        <w:t>2014 قدمت طلب</w:t>
      </w:r>
      <w:r w:rsidR="000C21DB" w:rsidRPr="00D55A10">
        <w:rPr>
          <w:rFonts w:hint="cs"/>
          <w:spacing w:val="-2"/>
          <w:rtl/>
        </w:rPr>
        <w:t xml:space="preserve">اً </w:t>
      </w:r>
      <w:r w:rsidRPr="00D55A10">
        <w:rPr>
          <w:rFonts w:hint="cs"/>
          <w:spacing w:val="-2"/>
          <w:rtl/>
        </w:rPr>
        <w:t>مماثل</w:t>
      </w:r>
      <w:r w:rsidR="000C21DB" w:rsidRPr="00D55A10">
        <w:rPr>
          <w:rFonts w:hint="cs"/>
          <w:spacing w:val="-2"/>
          <w:rtl/>
        </w:rPr>
        <w:t xml:space="preserve">اً </w:t>
      </w:r>
      <w:r w:rsidRPr="00D55A10">
        <w:rPr>
          <w:rFonts w:hint="cs"/>
          <w:spacing w:val="-2"/>
          <w:rtl/>
        </w:rPr>
        <w:t>إلى</w:t>
      </w:r>
      <w:r w:rsidR="00406D22" w:rsidRPr="00D55A10">
        <w:rPr>
          <w:rFonts w:hint="eastAsia"/>
          <w:spacing w:val="-2"/>
          <w:rtl/>
        </w:rPr>
        <w:t> </w:t>
      </w:r>
      <w:r w:rsidRPr="00D55A10">
        <w:rPr>
          <w:rFonts w:hint="cs"/>
          <w:spacing w:val="-2"/>
          <w:rtl/>
        </w:rPr>
        <w:t xml:space="preserve">المدعي العام. لكن الطلبين رُفضا في يومي 11 </w:t>
      </w:r>
      <w:r w:rsidRPr="00D55A10">
        <w:rPr>
          <w:spacing w:val="-2"/>
          <w:rtl/>
        </w:rPr>
        <w:t>نيسان/أبريل</w:t>
      </w:r>
      <w:r w:rsidR="00406D22" w:rsidRPr="00D55A10">
        <w:rPr>
          <w:spacing w:val="-2"/>
          <w:rtl/>
        </w:rPr>
        <w:t xml:space="preserve"> و</w:t>
      </w:r>
      <w:r w:rsidRPr="00D55A10">
        <w:rPr>
          <w:rFonts w:hint="cs"/>
          <w:spacing w:val="-2"/>
          <w:rtl/>
        </w:rPr>
        <w:t>14 تموز</w:t>
      </w:r>
      <w:r w:rsidRPr="00D55A10">
        <w:rPr>
          <w:spacing w:val="-2"/>
          <w:rtl/>
        </w:rPr>
        <w:t xml:space="preserve">/يوليه </w:t>
      </w:r>
      <w:r w:rsidRPr="00D55A10">
        <w:rPr>
          <w:rFonts w:hint="cs"/>
          <w:spacing w:val="-2"/>
          <w:rtl/>
        </w:rPr>
        <w:t>2014، على</w:t>
      </w:r>
      <w:r w:rsidR="00B61FF9" w:rsidRPr="00D55A10">
        <w:rPr>
          <w:rFonts w:hint="eastAsia"/>
          <w:spacing w:val="-2"/>
          <w:rtl/>
        </w:rPr>
        <w:t> </w:t>
      </w:r>
      <w:r w:rsidRPr="00D55A10">
        <w:rPr>
          <w:rFonts w:hint="cs"/>
          <w:spacing w:val="-2"/>
          <w:rtl/>
        </w:rPr>
        <w:t>التوالي.</w:t>
      </w:r>
    </w:p>
    <w:p w14:paraId="3EB2665A" w14:textId="77777777" w:rsidR="002A3CD4" w:rsidRDefault="002A3CD4" w:rsidP="00406D22">
      <w:pPr>
        <w:pStyle w:val="H23GA"/>
        <w:rPr>
          <w:rtl/>
        </w:rPr>
      </w:pPr>
      <w:r>
        <w:rPr>
          <w:rtl/>
        </w:rPr>
        <w:tab/>
      </w:r>
      <w:r>
        <w:rPr>
          <w:rtl/>
        </w:rPr>
        <w:tab/>
      </w:r>
      <w:r>
        <w:rPr>
          <w:rFonts w:hint="cs"/>
          <w:rtl/>
        </w:rPr>
        <w:t>الشكوى</w:t>
      </w:r>
    </w:p>
    <w:p w14:paraId="5D0D6AC0" w14:textId="77777777" w:rsidR="002A3CD4" w:rsidRPr="0046594E" w:rsidRDefault="002A3CD4" w:rsidP="00D55A10">
      <w:pPr>
        <w:pStyle w:val="SingleTxtGA"/>
        <w:spacing w:line="370" w:lineRule="exact"/>
        <w:rPr>
          <w:spacing w:val="-4"/>
          <w:rtl/>
        </w:rPr>
      </w:pPr>
      <w:r w:rsidRPr="0046594E">
        <w:rPr>
          <w:rFonts w:hint="cs"/>
          <w:spacing w:val="-4"/>
          <w:rtl/>
        </w:rPr>
        <w:t>3-1</w:t>
      </w:r>
      <w:r w:rsidRPr="0046594E">
        <w:rPr>
          <w:spacing w:val="-4"/>
          <w:rtl/>
        </w:rPr>
        <w:tab/>
      </w:r>
      <w:r w:rsidRPr="0046594E">
        <w:rPr>
          <w:rFonts w:hint="cs"/>
          <w:spacing w:val="-4"/>
          <w:rtl/>
        </w:rPr>
        <w:t>تدعي صاحبة البلاغ أن المحاكم المحلية فيما يتصل ببلاغيها كليهما وفي انتهاك للمادة</w:t>
      </w:r>
      <w:r w:rsidR="000C21DB" w:rsidRPr="0046594E">
        <w:rPr>
          <w:rFonts w:hint="eastAsia"/>
          <w:spacing w:val="-4"/>
          <w:rtl/>
        </w:rPr>
        <w:t> </w:t>
      </w:r>
      <w:r w:rsidRPr="0046594E">
        <w:rPr>
          <w:rFonts w:hint="cs"/>
          <w:spacing w:val="-4"/>
          <w:rtl/>
        </w:rPr>
        <w:t>14 من العهد، لم تأخذ بعين الاعتبار حقوقها المكفولة بموجب المادتين 19</w:t>
      </w:r>
      <w:r w:rsidR="00406D22" w:rsidRPr="0046594E">
        <w:rPr>
          <w:rFonts w:hint="cs"/>
          <w:spacing w:val="-4"/>
          <w:rtl/>
        </w:rPr>
        <w:t xml:space="preserve"> و</w:t>
      </w:r>
      <w:r w:rsidRPr="0046594E">
        <w:rPr>
          <w:rFonts w:hint="cs"/>
          <w:spacing w:val="-4"/>
          <w:rtl/>
        </w:rPr>
        <w:t>21 من العهد عندما عاقبتها على تعبيرها عن رأيها ومشاركتها في تجمّع سلمي. وتدعي أيض</w:t>
      </w:r>
      <w:r w:rsidR="000C21DB" w:rsidRPr="0046594E">
        <w:rPr>
          <w:rFonts w:hint="cs"/>
          <w:spacing w:val="-4"/>
          <w:rtl/>
        </w:rPr>
        <w:t xml:space="preserve">اً </w:t>
      </w:r>
      <w:r w:rsidRPr="0046594E">
        <w:rPr>
          <w:rFonts w:hint="cs"/>
          <w:spacing w:val="-4"/>
          <w:rtl/>
        </w:rPr>
        <w:t>أنها طلبت</w:t>
      </w:r>
      <w:r w:rsidR="000C21DB" w:rsidRPr="0046594E">
        <w:rPr>
          <w:rFonts w:hint="eastAsia"/>
          <w:spacing w:val="-4"/>
          <w:rtl/>
        </w:rPr>
        <w:t> </w:t>
      </w:r>
      <w:r w:rsidRPr="0046594E">
        <w:rPr>
          <w:rFonts w:hint="cs"/>
          <w:spacing w:val="-4"/>
          <w:rtl/>
        </w:rPr>
        <w:t>الاستعانة بمحامٍ</w:t>
      </w:r>
      <w:r w:rsidR="0046594E">
        <w:rPr>
          <w:rFonts w:hint="eastAsia"/>
          <w:spacing w:val="-4"/>
          <w:rtl/>
        </w:rPr>
        <w:t> </w:t>
      </w:r>
      <w:r w:rsidRPr="0046594E">
        <w:rPr>
          <w:rFonts w:hint="cs"/>
          <w:spacing w:val="-4"/>
          <w:rtl/>
        </w:rPr>
        <w:t>عندما ألقي القبض عليها لكن طلبها لم يُستجب له، في انتهاك للمادة</w:t>
      </w:r>
      <w:r w:rsidR="000C21DB" w:rsidRPr="0046594E">
        <w:rPr>
          <w:rFonts w:hint="eastAsia"/>
          <w:spacing w:val="-4"/>
          <w:rtl/>
        </w:rPr>
        <w:t> </w:t>
      </w:r>
      <w:r w:rsidRPr="0046594E">
        <w:rPr>
          <w:rFonts w:hint="cs"/>
          <w:spacing w:val="-4"/>
          <w:rtl/>
        </w:rPr>
        <w:t>14</w:t>
      </w:r>
      <w:r w:rsidR="00406D22" w:rsidRPr="0046594E">
        <w:rPr>
          <w:rFonts w:hint="cs"/>
          <w:spacing w:val="-4"/>
          <w:rtl/>
        </w:rPr>
        <w:t>(</w:t>
      </w:r>
      <w:r w:rsidRPr="0046594E">
        <w:rPr>
          <w:rFonts w:hint="cs"/>
          <w:spacing w:val="-4"/>
          <w:rtl/>
        </w:rPr>
        <w:t>3)</w:t>
      </w:r>
      <w:r w:rsidR="00406D22" w:rsidRPr="0046594E">
        <w:rPr>
          <w:rFonts w:hint="cs"/>
          <w:spacing w:val="-4"/>
          <w:rtl/>
        </w:rPr>
        <w:t>(</w:t>
      </w:r>
      <w:r w:rsidRPr="0046594E">
        <w:rPr>
          <w:rFonts w:hint="cs"/>
          <w:spacing w:val="-4"/>
          <w:rtl/>
        </w:rPr>
        <w:t>د) من العهد.</w:t>
      </w:r>
      <w:r w:rsidR="0046594E">
        <w:rPr>
          <w:rFonts w:hint="eastAsia"/>
          <w:spacing w:val="-4"/>
          <w:rtl/>
        </w:rPr>
        <w:t> </w:t>
      </w:r>
      <w:r w:rsidRPr="0046594E">
        <w:rPr>
          <w:rFonts w:hint="cs"/>
          <w:spacing w:val="-4"/>
          <w:rtl/>
        </w:rPr>
        <w:t>وتدعي صاحبة البلاغ كذلك أن حقها في الدفاع عن نفسها في حضور محامٍ بموجب المادة</w:t>
      </w:r>
      <w:r w:rsidR="0046594E">
        <w:rPr>
          <w:rFonts w:hint="eastAsia"/>
          <w:spacing w:val="-4"/>
          <w:rtl/>
        </w:rPr>
        <w:t> </w:t>
      </w:r>
      <w:r w:rsidRPr="0046594E">
        <w:rPr>
          <w:rFonts w:hint="cs"/>
          <w:spacing w:val="-4"/>
          <w:rtl/>
        </w:rPr>
        <w:t>14</w:t>
      </w:r>
      <w:r w:rsidR="00406D22" w:rsidRPr="0046594E">
        <w:rPr>
          <w:rFonts w:hint="cs"/>
          <w:spacing w:val="-4"/>
          <w:rtl/>
        </w:rPr>
        <w:t>(</w:t>
      </w:r>
      <w:r w:rsidRPr="0046594E">
        <w:rPr>
          <w:rFonts w:hint="cs"/>
          <w:spacing w:val="-4"/>
          <w:rtl/>
        </w:rPr>
        <w:t>3)</w:t>
      </w:r>
      <w:r w:rsidR="00406D22" w:rsidRPr="0046594E">
        <w:rPr>
          <w:rFonts w:hint="cs"/>
          <w:spacing w:val="-4"/>
          <w:rtl/>
        </w:rPr>
        <w:t>(</w:t>
      </w:r>
      <w:r w:rsidRPr="0046594E">
        <w:rPr>
          <w:rFonts w:hint="cs"/>
          <w:spacing w:val="-4"/>
          <w:rtl/>
        </w:rPr>
        <w:t>د) قد انتُهك. وتدعي أيض</w:t>
      </w:r>
      <w:r w:rsidR="000C21DB" w:rsidRPr="0046594E">
        <w:rPr>
          <w:rFonts w:hint="cs"/>
          <w:spacing w:val="-4"/>
          <w:rtl/>
        </w:rPr>
        <w:t xml:space="preserve">اً </w:t>
      </w:r>
      <w:r w:rsidRPr="0046594E">
        <w:rPr>
          <w:rFonts w:hint="cs"/>
          <w:spacing w:val="-4"/>
          <w:rtl/>
        </w:rPr>
        <w:t>انتهاك حقوقها بموجب المادة</w:t>
      </w:r>
      <w:r w:rsidR="000C21DB" w:rsidRPr="0046594E">
        <w:rPr>
          <w:rFonts w:hint="eastAsia"/>
          <w:spacing w:val="-4"/>
          <w:rtl/>
        </w:rPr>
        <w:t> </w:t>
      </w:r>
      <w:r w:rsidRPr="0046594E">
        <w:rPr>
          <w:rFonts w:hint="cs"/>
          <w:spacing w:val="-4"/>
          <w:rtl/>
        </w:rPr>
        <w:t>14</w:t>
      </w:r>
      <w:r w:rsidR="00406D22" w:rsidRPr="0046594E">
        <w:rPr>
          <w:rFonts w:hint="cs"/>
          <w:spacing w:val="-4"/>
          <w:rtl/>
        </w:rPr>
        <w:t>(</w:t>
      </w:r>
      <w:r w:rsidRPr="0046594E">
        <w:rPr>
          <w:rFonts w:hint="cs"/>
          <w:spacing w:val="-4"/>
          <w:rtl/>
        </w:rPr>
        <w:t>3)</w:t>
      </w:r>
      <w:r w:rsidR="00406D22" w:rsidRPr="0046594E">
        <w:rPr>
          <w:rFonts w:hint="cs"/>
          <w:spacing w:val="-4"/>
          <w:rtl/>
        </w:rPr>
        <w:t>(</w:t>
      </w:r>
      <w:r w:rsidRPr="0046594E">
        <w:rPr>
          <w:rFonts w:hint="cs"/>
          <w:spacing w:val="-4"/>
          <w:rtl/>
        </w:rPr>
        <w:t>ز) من العهد.</w:t>
      </w:r>
    </w:p>
    <w:p w14:paraId="66C542B5" w14:textId="77777777" w:rsidR="002A3CD4" w:rsidRDefault="002A3CD4" w:rsidP="00D55A10">
      <w:pPr>
        <w:pStyle w:val="SingleTxtGA"/>
        <w:spacing w:line="370" w:lineRule="exact"/>
        <w:rPr>
          <w:rtl/>
        </w:rPr>
      </w:pPr>
      <w:r>
        <w:rPr>
          <w:rFonts w:hint="cs"/>
          <w:rtl/>
        </w:rPr>
        <w:t>3-2</w:t>
      </w:r>
      <w:r>
        <w:rPr>
          <w:rtl/>
        </w:rPr>
        <w:tab/>
      </w:r>
      <w:r>
        <w:rPr>
          <w:rFonts w:hint="cs"/>
          <w:rtl/>
        </w:rPr>
        <w:t>وفي البلاغ رقم 2542/2015 تدعي صاحبة البلاغ بأن حقوقها بموجب المادتين</w:t>
      </w:r>
      <w:r w:rsidR="00B61FF9">
        <w:rPr>
          <w:rFonts w:hint="eastAsia"/>
          <w:rtl/>
        </w:rPr>
        <w:t> </w:t>
      </w:r>
      <w:r>
        <w:rPr>
          <w:rFonts w:hint="cs"/>
          <w:rtl/>
        </w:rPr>
        <w:t>19</w:t>
      </w:r>
      <w:r w:rsidR="00406D22" w:rsidRPr="00406D22">
        <w:rPr>
          <w:rFonts w:hint="cs"/>
          <w:rtl/>
        </w:rPr>
        <w:t>(</w:t>
      </w:r>
      <w:r>
        <w:rPr>
          <w:rFonts w:hint="cs"/>
          <w:rtl/>
        </w:rPr>
        <w:t>2)</w:t>
      </w:r>
      <w:r w:rsidR="00406D22" w:rsidRPr="00406D22">
        <w:rPr>
          <w:rFonts w:hint="cs"/>
          <w:rtl/>
        </w:rPr>
        <w:t xml:space="preserve"> و</w:t>
      </w:r>
      <w:r>
        <w:rPr>
          <w:rFonts w:hint="cs"/>
          <w:rtl/>
        </w:rPr>
        <w:t>21 من العهد تعرضت للانتهاك. وفي البلاغ رقم 2543/2015 تدّعي بانتهاك المادة</w:t>
      </w:r>
      <w:r w:rsidR="00406D22">
        <w:rPr>
          <w:rFonts w:hint="eastAsia"/>
          <w:rtl/>
        </w:rPr>
        <w:t> </w:t>
      </w:r>
      <w:r>
        <w:rPr>
          <w:rFonts w:hint="cs"/>
          <w:rtl/>
        </w:rPr>
        <w:t>21 من العهد.</w:t>
      </w:r>
    </w:p>
    <w:p w14:paraId="389CF65E" w14:textId="77777777" w:rsidR="002A3CD4" w:rsidRDefault="002A3CD4" w:rsidP="00D55A10">
      <w:pPr>
        <w:pStyle w:val="SingleTxtGA"/>
        <w:spacing w:line="370" w:lineRule="exact"/>
        <w:rPr>
          <w:rtl/>
        </w:rPr>
      </w:pPr>
      <w:r>
        <w:rPr>
          <w:rFonts w:hint="cs"/>
          <w:rtl/>
        </w:rPr>
        <w:t>3-3</w:t>
      </w:r>
      <w:r>
        <w:rPr>
          <w:rtl/>
        </w:rPr>
        <w:tab/>
      </w:r>
      <w:r>
        <w:rPr>
          <w:rFonts w:hint="cs"/>
          <w:rtl/>
        </w:rPr>
        <w:t>وتطلب صاحبة البلاغ مثول المسؤولين عن الانتهاك للعدالة، وتعويضها عن الأذى المعنوي والمادي الذي لحق بها (مبلغ الغرامتين) وعن المصروفات القانونية. وتلتمس من اللجنة أن تطلب إلى الدولة الطرف اتخاذ تدابير لإزالة القيود القائمة في قانونها على حق التجمع السلمي والحق في حرية التعبير، واتخاذ تدابير للقضاء على الانتهاكات التي يتعرض لها الحق في الحصول على محاكمة عادلة بموجب المادة 14</w:t>
      </w:r>
      <w:r w:rsidR="00406D22" w:rsidRPr="00406D22">
        <w:rPr>
          <w:rFonts w:hint="cs"/>
          <w:rtl/>
        </w:rPr>
        <w:t>(</w:t>
      </w:r>
      <w:r>
        <w:rPr>
          <w:rFonts w:hint="cs"/>
          <w:rtl/>
        </w:rPr>
        <w:t>3)</w:t>
      </w:r>
      <w:r w:rsidR="00406D22" w:rsidRPr="00406D22">
        <w:rPr>
          <w:rFonts w:hint="cs"/>
          <w:rtl/>
        </w:rPr>
        <w:t>(</w:t>
      </w:r>
      <w:r>
        <w:rPr>
          <w:rFonts w:hint="cs"/>
          <w:rtl/>
        </w:rPr>
        <w:t>د)</w:t>
      </w:r>
      <w:r w:rsidR="00406D22" w:rsidRPr="00406D22">
        <w:rPr>
          <w:rFonts w:hint="cs"/>
          <w:rtl/>
        </w:rPr>
        <w:t xml:space="preserve"> و</w:t>
      </w:r>
      <w:r>
        <w:rPr>
          <w:rFonts w:hint="cs"/>
          <w:rtl/>
        </w:rPr>
        <w:t>14</w:t>
      </w:r>
      <w:r w:rsidR="00406D22" w:rsidRPr="00406D22">
        <w:rPr>
          <w:rFonts w:hint="cs"/>
          <w:rtl/>
        </w:rPr>
        <w:t>(</w:t>
      </w:r>
      <w:r>
        <w:rPr>
          <w:rFonts w:hint="cs"/>
          <w:rtl/>
        </w:rPr>
        <w:t>3)</w:t>
      </w:r>
      <w:r w:rsidR="00406D22" w:rsidRPr="00406D22">
        <w:rPr>
          <w:rFonts w:hint="cs"/>
          <w:rtl/>
        </w:rPr>
        <w:t>(</w:t>
      </w:r>
      <w:r>
        <w:rPr>
          <w:rFonts w:hint="cs"/>
          <w:rtl/>
        </w:rPr>
        <w:t>ز) من العهد، وحث الدولة الطرف على ضمان عدم ملاحقة الاحتجاجات السلمية بتدخل غير مبرر من جانب سلطات الدولة ومحاكمة الضالعين فيه.</w:t>
      </w:r>
    </w:p>
    <w:p w14:paraId="78A43B1A" w14:textId="77777777" w:rsidR="002A3CD4" w:rsidRDefault="002A3CD4" w:rsidP="00406D22">
      <w:pPr>
        <w:pStyle w:val="H23GA"/>
        <w:rPr>
          <w:rtl/>
        </w:rPr>
      </w:pPr>
      <w:r>
        <w:rPr>
          <w:rtl/>
        </w:rPr>
        <w:lastRenderedPageBreak/>
        <w:tab/>
      </w:r>
      <w:r>
        <w:rPr>
          <w:rtl/>
        </w:rPr>
        <w:tab/>
      </w:r>
      <w:r>
        <w:rPr>
          <w:rFonts w:hint="cs"/>
          <w:rtl/>
        </w:rPr>
        <w:t>ملاحظات الدولة الطرف على مقبولية البلاغين وأسسهما الموضوعية</w:t>
      </w:r>
    </w:p>
    <w:p w14:paraId="4F7C552C" w14:textId="77777777" w:rsidR="002A3CD4" w:rsidRDefault="002A3CD4" w:rsidP="00406D22">
      <w:pPr>
        <w:pStyle w:val="H4GA"/>
        <w:rPr>
          <w:rtl/>
        </w:rPr>
      </w:pPr>
      <w:r w:rsidRPr="00291C2F">
        <w:rPr>
          <w:rtl/>
        </w:rPr>
        <w:tab/>
      </w:r>
      <w:r w:rsidRPr="00291C2F">
        <w:rPr>
          <w:rtl/>
        </w:rPr>
        <w:tab/>
      </w:r>
      <w:r w:rsidRPr="00291C2F">
        <w:rPr>
          <w:rFonts w:hint="cs"/>
          <w:rtl/>
        </w:rPr>
        <w:t>البلاغ رقم 2542/2015</w:t>
      </w:r>
    </w:p>
    <w:p w14:paraId="6FDC5538" w14:textId="77777777" w:rsidR="002A3CD4" w:rsidRDefault="002A3CD4" w:rsidP="002A3CD4">
      <w:pPr>
        <w:pStyle w:val="SingleTxtGA"/>
        <w:rPr>
          <w:rtl/>
        </w:rPr>
      </w:pPr>
      <w:r>
        <w:rPr>
          <w:rFonts w:hint="cs"/>
          <w:rtl/>
        </w:rPr>
        <w:t>4-1</w:t>
      </w:r>
      <w:r>
        <w:rPr>
          <w:rtl/>
        </w:rPr>
        <w:tab/>
      </w:r>
      <w:r>
        <w:rPr>
          <w:rFonts w:hint="cs"/>
          <w:rtl/>
        </w:rPr>
        <w:t xml:space="preserve">في مذكرة شفوية مؤرخة 17 </w:t>
      </w:r>
      <w:r>
        <w:rPr>
          <w:rtl/>
        </w:rPr>
        <w:t xml:space="preserve">آذار/مارس </w:t>
      </w:r>
      <w:r>
        <w:rPr>
          <w:rFonts w:hint="cs"/>
          <w:rtl/>
        </w:rPr>
        <w:t>2015، قدمت الدولة الطرف ملاحظاتها بشأن البلاغ رقم 2542/2015، مدعية بأن صاحبة البلاغ لم تطلب من المدعي العام تقديم احتجاج في قضيتها إلى المحكمة العليا، ولم تستنفد من ثم سُبل الانتصاف المحلية.</w:t>
      </w:r>
    </w:p>
    <w:p w14:paraId="72BE362F" w14:textId="77777777" w:rsidR="002A3CD4" w:rsidRDefault="002A3CD4" w:rsidP="002A3CD4">
      <w:pPr>
        <w:pStyle w:val="SingleTxtGA"/>
        <w:rPr>
          <w:rtl/>
        </w:rPr>
      </w:pPr>
      <w:r>
        <w:rPr>
          <w:rFonts w:hint="cs"/>
          <w:rtl/>
        </w:rPr>
        <w:t>4-2</w:t>
      </w:r>
      <w:r>
        <w:rPr>
          <w:rtl/>
        </w:rPr>
        <w:tab/>
      </w:r>
      <w:r>
        <w:rPr>
          <w:rFonts w:hint="cs"/>
          <w:rtl/>
        </w:rPr>
        <w:t xml:space="preserve">وفي 30 </w:t>
      </w:r>
      <w:r>
        <w:rPr>
          <w:rtl/>
        </w:rPr>
        <w:t xml:space="preserve">تموز/يوليه </w:t>
      </w:r>
      <w:r>
        <w:rPr>
          <w:rFonts w:hint="cs"/>
          <w:rtl/>
        </w:rPr>
        <w:t>2015، قدمت الدولة الطرف ملاحظاتها بشأن الأسس الموضوعية للبلاغ. وأوضحت الدولة الطرف فيما يتصل بادعاءات صاحبة البلاغ بموجب المادة 14 من العهد، أنها تمتعت بحقوق متكافئة مع حقوق المشاركين الآخرين في العملية، وأن طعونها نُظرت أمام المحاكم الأعلى.</w:t>
      </w:r>
    </w:p>
    <w:p w14:paraId="06319832" w14:textId="77777777" w:rsidR="002A3CD4" w:rsidRDefault="002A3CD4" w:rsidP="002A3CD4">
      <w:pPr>
        <w:pStyle w:val="SingleTxtGA"/>
        <w:rPr>
          <w:rtl/>
        </w:rPr>
      </w:pPr>
      <w:r>
        <w:rPr>
          <w:rFonts w:hint="cs"/>
          <w:rtl/>
        </w:rPr>
        <w:t>4-3</w:t>
      </w:r>
      <w:r>
        <w:rPr>
          <w:rtl/>
        </w:rPr>
        <w:tab/>
      </w:r>
      <w:r>
        <w:rPr>
          <w:rFonts w:hint="cs"/>
          <w:rtl/>
        </w:rPr>
        <w:t>وأشارت الدولة الطرف بأن الحقوق المنصوص عليها في المادتين 19</w:t>
      </w:r>
      <w:r w:rsidR="00406D22" w:rsidRPr="00406D22">
        <w:rPr>
          <w:rFonts w:hint="cs"/>
          <w:rtl/>
        </w:rPr>
        <w:t xml:space="preserve"> و</w:t>
      </w:r>
      <w:r>
        <w:rPr>
          <w:rFonts w:hint="cs"/>
          <w:rtl/>
        </w:rPr>
        <w:t xml:space="preserve">21 من العهد تخضع لبعض القيود. وأفادت بأن حرية التجمع السلمي غير محظورة في كازاخستان، لكن هناك إجراءات معينة لا بد من اتباعها لعقد تجمّع بأسلوب آمن ومنظم. وينظم هذه العملية القانون المؤرخ 17 </w:t>
      </w:r>
      <w:r>
        <w:rPr>
          <w:rtl/>
        </w:rPr>
        <w:t xml:space="preserve">أيار/مايو </w:t>
      </w:r>
      <w:r>
        <w:rPr>
          <w:rFonts w:hint="cs"/>
          <w:rtl/>
        </w:rPr>
        <w:t>1995 بشأن تنظيم وعقد التجمعات السلمية والاجتماعات والمسيرات والاعتصامات والمظاهرات. وبموجب المادة 2 من هذا القانون، يتعين تقديم طلب إلى السلطات المحلية المختصة لاستصدار ترخيص بعقد المناسبة العامة قبل 10 أيام من الموعد المخطط لهذه المناسبة. وتلتزم السلطات المحلية بالرد على الطلب خلال خمسة أيام من الموعد المقرر لانعقاد المناسبة العامة المخططة.</w:t>
      </w:r>
    </w:p>
    <w:p w14:paraId="37A87807" w14:textId="77777777" w:rsidR="002A3CD4" w:rsidRDefault="002A3CD4" w:rsidP="002A3CD4">
      <w:pPr>
        <w:pStyle w:val="SingleTxtGA"/>
        <w:rPr>
          <w:rtl/>
        </w:rPr>
      </w:pPr>
      <w:r>
        <w:rPr>
          <w:rFonts w:hint="cs"/>
          <w:rtl/>
        </w:rPr>
        <w:t>4-4</w:t>
      </w:r>
      <w:r>
        <w:rPr>
          <w:rtl/>
        </w:rPr>
        <w:tab/>
      </w:r>
      <w:r>
        <w:rPr>
          <w:rFonts w:hint="cs"/>
          <w:rtl/>
        </w:rPr>
        <w:t xml:space="preserve">وتناولت الدولة الطرف الحجة التي ساقتها مقدمة البلاغ بشأن الطابع الخاص لمكان عقد مناسبة 9 </w:t>
      </w:r>
      <w:r>
        <w:rPr>
          <w:rtl/>
        </w:rPr>
        <w:t xml:space="preserve">أيلول/سبتمبر </w:t>
      </w:r>
      <w:r>
        <w:rPr>
          <w:rFonts w:hint="cs"/>
          <w:rtl/>
        </w:rPr>
        <w:t>2013، وعدم انطباق طلب التماس ترخيص من السلطات في هذه الحالة. وأوضحت الدولة الطرف أن القانون لا يعفي من التماس استصدار تراخيص لعقد مناسبة عامة في مرافق خاصة مغلقة إلا الجمعيات المهنية والعامة (حتى غير المسجلة). أما</w:t>
      </w:r>
      <w:r w:rsidR="000C21DB">
        <w:rPr>
          <w:rFonts w:hint="eastAsia"/>
          <w:rtl/>
        </w:rPr>
        <w:t> </w:t>
      </w:r>
      <w:r>
        <w:rPr>
          <w:rFonts w:hint="cs"/>
          <w:rtl/>
        </w:rPr>
        <w:t>الاجتماع الذي كانت صاحبة البلاغ توزع الدعوات الخاصة به فكان اجتماع</w:t>
      </w:r>
      <w:r w:rsidR="000C21DB" w:rsidRPr="000C21DB">
        <w:rPr>
          <w:rFonts w:hint="cs"/>
          <w:rtl/>
        </w:rPr>
        <w:t xml:space="preserve">اً </w:t>
      </w:r>
      <w:r>
        <w:rPr>
          <w:rFonts w:hint="cs"/>
          <w:rtl/>
        </w:rPr>
        <w:t>مفتوح</w:t>
      </w:r>
      <w:r w:rsidR="000C21DB" w:rsidRPr="000C21DB">
        <w:rPr>
          <w:rFonts w:hint="cs"/>
          <w:rtl/>
        </w:rPr>
        <w:t xml:space="preserve">اً </w:t>
      </w:r>
      <w:r>
        <w:rPr>
          <w:rFonts w:hint="cs"/>
          <w:rtl/>
        </w:rPr>
        <w:t xml:space="preserve">للعامة مقرراً عقده في مجمّع </w:t>
      </w:r>
      <w:proofErr w:type="spellStart"/>
      <w:r>
        <w:rPr>
          <w:rFonts w:hint="cs"/>
          <w:rtl/>
        </w:rPr>
        <w:t>زاربلغابوف</w:t>
      </w:r>
      <w:proofErr w:type="spellEnd"/>
      <w:r>
        <w:rPr>
          <w:rFonts w:hint="cs"/>
          <w:rtl/>
        </w:rPr>
        <w:t xml:space="preserve"> الرياضي في </w:t>
      </w:r>
      <w:proofErr w:type="spellStart"/>
      <w:r>
        <w:rPr>
          <w:rFonts w:hint="cs"/>
          <w:rtl/>
        </w:rPr>
        <w:t>آلماتي</w:t>
      </w:r>
      <w:proofErr w:type="spellEnd"/>
      <w:r>
        <w:rPr>
          <w:rFonts w:hint="cs"/>
          <w:rtl/>
        </w:rPr>
        <w:t xml:space="preserve">. ويشتمل هذا المرفق على أماكن مغلقة كما يشتمل على استاد رياضي. وقد أنكرت إدارة المرفق تلقيها أي طلبات لعقد مناسبات عامة في يوم 9 </w:t>
      </w:r>
      <w:r>
        <w:rPr>
          <w:rtl/>
        </w:rPr>
        <w:t xml:space="preserve">أيلول/سبتمبر </w:t>
      </w:r>
      <w:r>
        <w:rPr>
          <w:rFonts w:hint="cs"/>
          <w:rtl/>
        </w:rPr>
        <w:t>2013.</w:t>
      </w:r>
    </w:p>
    <w:p w14:paraId="5511716B" w14:textId="77777777" w:rsidR="002A3CD4" w:rsidRDefault="002A3CD4" w:rsidP="002A3CD4">
      <w:pPr>
        <w:pStyle w:val="SingleTxtGA"/>
        <w:rPr>
          <w:rtl/>
        </w:rPr>
      </w:pPr>
      <w:r>
        <w:rPr>
          <w:rFonts w:hint="cs"/>
          <w:rtl/>
        </w:rPr>
        <w:t>4-5</w:t>
      </w:r>
      <w:r>
        <w:rPr>
          <w:rtl/>
        </w:rPr>
        <w:tab/>
      </w:r>
      <w:r>
        <w:rPr>
          <w:rFonts w:hint="cs"/>
          <w:rtl/>
        </w:rPr>
        <w:t>وتخلص الدولة الطرف إلى أن دعاوى صاحبة البلاغ بموجب المواد 14</w:t>
      </w:r>
      <w:r w:rsidR="00406D22" w:rsidRPr="00406D22">
        <w:rPr>
          <w:rFonts w:hint="cs"/>
          <w:rtl/>
        </w:rPr>
        <w:t xml:space="preserve"> و</w:t>
      </w:r>
      <w:r>
        <w:rPr>
          <w:rFonts w:hint="cs"/>
          <w:rtl/>
        </w:rPr>
        <w:t>19</w:t>
      </w:r>
      <w:r w:rsidR="00406D22" w:rsidRPr="00406D22">
        <w:rPr>
          <w:rFonts w:hint="cs"/>
          <w:rtl/>
        </w:rPr>
        <w:t xml:space="preserve"> و</w:t>
      </w:r>
      <w:r>
        <w:rPr>
          <w:rFonts w:hint="cs"/>
          <w:rtl/>
        </w:rPr>
        <w:t>21 من العهد، غير مدعومة بالأدلة بشأن الموضوع.</w:t>
      </w:r>
    </w:p>
    <w:p w14:paraId="1938FDA6" w14:textId="77777777" w:rsidR="002A3CD4" w:rsidRDefault="002A3CD4" w:rsidP="00D904D4">
      <w:pPr>
        <w:pStyle w:val="H4GA"/>
        <w:rPr>
          <w:rtl/>
        </w:rPr>
      </w:pPr>
      <w:r w:rsidRPr="00584C51">
        <w:rPr>
          <w:rtl/>
        </w:rPr>
        <w:tab/>
      </w:r>
      <w:r w:rsidRPr="00584C51">
        <w:rPr>
          <w:rtl/>
        </w:rPr>
        <w:tab/>
      </w:r>
      <w:r w:rsidRPr="00584C51">
        <w:rPr>
          <w:rFonts w:hint="cs"/>
          <w:rtl/>
        </w:rPr>
        <w:t>البلاغ رقم 2543/2015</w:t>
      </w:r>
    </w:p>
    <w:p w14:paraId="3A6792BC" w14:textId="77777777" w:rsidR="002A3CD4" w:rsidRDefault="002A3CD4" w:rsidP="002A3CD4">
      <w:pPr>
        <w:pStyle w:val="SingleTxtGA"/>
        <w:rPr>
          <w:rtl/>
        </w:rPr>
      </w:pPr>
      <w:r>
        <w:rPr>
          <w:rFonts w:hint="cs"/>
          <w:rtl/>
        </w:rPr>
        <w:t>4-6</w:t>
      </w:r>
      <w:r>
        <w:rPr>
          <w:rtl/>
        </w:rPr>
        <w:tab/>
      </w:r>
      <w:r>
        <w:rPr>
          <w:rFonts w:hint="cs"/>
          <w:rtl/>
        </w:rPr>
        <w:t xml:space="preserve">في 23 </w:t>
      </w:r>
      <w:r>
        <w:rPr>
          <w:rtl/>
        </w:rPr>
        <w:t xml:space="preserve">كانون الأول/ديسمبر </w:t>
      </w:r>
      <w:r>
        <w:rPr>
          <w:rFonts w:hint="cs"/>
          <w:rtl/>
        </w:rPr>
        <w:t>2015، قدمت الدولة الطرف ملاحظات بشأن البلاغ رقم 2543/2015. وفيما يتعلق بادعاءات صاحبة البلاغ بموجب المادة 14 من العهد، أكدت الدولة الطرف أن صاحبة البلاغ تمتعت بجميع الضمانات الإجرائية المحددة في التشريع الإداري المحلي. ونازعت الدولة الطرف في ادعاء صاحبة البلاغ بأنها طلبت محامٍ، سواء عقب إلقاء القبض عليها أو في المحكمة الابتدائية.</w:t>
      </w:r>
    </w:p>
    <w:p w14:paraId="32751070" w14:textId="77777777" w:rsidR="002A3CD4" w:rsidRDefault="002A3CD4" w:rsidP="0046594E">
      <w:pPr>
        <w:pStyle w:val="SingleTxtGA"/>
        <w:spacing w:line="370" w:lineRule="exact"/>
        <w:rPr>
          <w:rtl/>
        </w:rPr>
      </w:pPr>
      <w:r>
        <w:rPr>
          <w:rFonts w:hint="cs"/>
          <w:rtl/>
        </w:rPr>
        <w:lastRenderedPageBreak/>
        <w:t>4-7</w:t>
      </w:r>
      <w:r>
        <w:rPr>
          <w:rtl/>
        </w:rPr>
        <w:tab/>
      </w:r>
      <w:r>
        <w:rPr>
          <w:rFonts w:hint="cs"/>
          <w:rtl/>
        </w:rPr>
        <w:t xml:space="preserve">وأكدت الدولة الطرف أن السلطات المحلية لم تتلق أي طلب لاستصدار ترخيص بعقد مناسبة عامة في 15 </w:t>
      </w:r>
      <w:r>
        <w:rPr>
          <w:rtl/>
        </w:rPr>
        <w:t xml:space="preserve">شباط/فبراير </w:t>
      </w:r>
      <w:r>
        <w:rPr>
          <w:rFonts w:hint="cs"/>
          <w:rtl/>
        </w:rPr>
        <w:t>2014، وهي المناسبة التي شاركت فيها صاحبة البلاغ. وشكّلت المناسبة محل الذِكر خطر</w:t>
      </w:r>
      <w:r w:rsidR="000C21DB" w:rsidRPr="000C21DB">
        <w:rPr>
          <w:rFonts w:hint="cs"/>
          <w:rtl/>
        </w:rPr>
        <w:t xml:space="preserve">اً </w:t>
      </w:r>
      <w:r>
        <w:rPr>
          <w:rFonts w:hint="cs"/>
          <w:rtl/>
        </w:rPr>
        <w:t xml:space="preserve">على النظام العام والسلامة العامة وإدارة البنية التحتية في مدينة كبيرة مثل </w:t>
      </w:r>
      <w:proofErr w:type="spellStart"/>
      <w:r>
        <w:rPr>
          <w:rFonts w:hint="cs"/>
          <w:rtl/>
        </w:rPr>
        <w:t>آلماتي</w:t>
      </w:r>
      <w:proofErr w:type="spellEnd"/>
      <w:r>
        <w:rPr>
          <w:rFonts w:hint="cs"/>
          <w:rtl/>
        </w:rPr>
        <w:t>.</w:t>
      </w:r>
    </w:p>
    <w:p w14:paraId="50045FDE" w14:textId="77777777" w:rsidR="002A3CD4" w:rsidRPr="00D55A10" w:rsidRDefault="002A3CD4" w:rsidP="0046594E">
      <w:pPr>
        <w:pStyle w:val="SingleTxtGA"/>
        <w:spacing w:line="370" w:lineRule="exact"/>
        <w:rPr>
          <w:spacing w:val="-4"/>
          <w:rtl/>
        </w:rPr>
      </w:pPr>
      <w:r w:rsidRPr="00D55A10">
        <w:rPr>
          <w:rFonts w:hint="cs"/>
          <w:spacing w:val="-4"/>
          <w:rtl/>
        </w:rPr>
        <w:t>4-8</w:t>
      </w:r>
      <w:r w:rsidRPr="00D55A10">
        <w:rPr>
          <w:spacing w:val="-4"/>
          <w:rtl/>
        </w:rPr>
        <w:tab/>
      </w:r>
      <w:r w:rsidRPr="00D55A10">
        <w:rPr>
          <w:rFonts w:hint="cs"/>
          <w:spacing w:val="-4"/>
          <w:rtl/>
        </w:rPr>
        <w:t xml:space="preserve">وتؤكد الدولة الطرف أن حق التجمع السلمي مكفول في الدستور الوطني والقوانين الوطنية. وأن الأحكام التشريعية المعمول بها تهدف إلى تنظيم المناسبات وليس تقييدها. وتشرح الدولة الطرف أحكام القانون المتعلق بالمناسبات العامة المؤرخ 17 </w:t>
      </w:r>
      <w:r w:rsidRPr="00D55A10">
        <w:rPr>
          <w:spacing w:val="-4"/>
          <w:rtl/>
        </w:rPr>
        <w:t xml:space="preserve">آذار/مارس </w:t>
      </w:r>
      <w:r w:rsidRPr="00D55A10">
        <w:rPr>
          <w:rFonts w:hint="cs"/>
          <w:spacing w:val="-4"/>
          <w:rtl/>
        </w:rPr>
        <w:t xml:space="preserve">1995، وتشدد على أن التشريع الوطني يتقيّد بالكامل بالمبادئ المدرجة في المادة 21 من العهد التي تنص على إمكانية فرض قيود على حق التجمع السلمي. وفي ضوء الحجج الواردة </w:t>
      </w:r>
      <w:r w:rsidR="00FC72B1">
        <w:rPr>
          <w:rFonts w:hint="cs"/>
          <w:spacing w:val="-4"/>
          <w:rtl/>
        </w:rPr>
        <w:t>أعلاه</w:t>
      </w:r>
      <w:r w:rsidRPr="00D55A10">
        <w:rPr>
          <w:rFonts w:hint="cs"/>
          <w:spacing w:val="-4"/>
          <w:rtl/>
        </w:rPr>
        <w:t>، تؤكد الدولة الطرف أن ادعاءات صاحبة البلاغ بموجب المادتين 14</w:t>
      </w:r>
      <w:r w:rsidR="00406D22" w:rsidRPr="00D55A10">
        <w:rPr>
          <w:rFonts w:hint="cs"/>
          <w:spacing w:val="-4"/>
          <w:rtl/>
        </w:rPr>
        <w:t xml:space="preserve"> و</w:t>
      </w:r>
      <w:r w:rsidRPr="00D55A10">
        <w:rPr>
          <w:rFonts w:hint="cs"/>
          <w:spacing w:val="-4"/>
          <w:rtl/>
        </w:rPr>
        <w:t>21 من العهد غير مدعومة بالأدلة بشأن الموضوع.</w:t>
      </w:r>
    </w:p>
    <w:p w14:paraId="52DEB6EB" w14:textId="77777777" w:rsidR="002A3CD4" w:rsidRDefault="002A3CD4" w:rsidP="00406D22">
      <w:pPr>
        <w:pStyle w:val="H23GA"/>
        <w:rPr>
          <w:rtl/>
        </w:rPr>
      </w:pPr>
      <w:r>
        <w:rPr>
          <w:rtl/>
        </w:rPr>
        <w:tab/>
      </w:r>
      <w:r>
        <w:rPr>
          <w:rtl/>
        </w:rPr>
        <w:tab/>
      </w:r>
      <w:r>
        <w:rPr>
          <w:rFonts w:hint="cs"/>
          <w:rtl/>
        </w:rPr>
        <w:t>تعليقات صاحبة البلاغين على ملاحظات الدولة الطرف بشأن المقبولية والأسس</w:t>
      </w:r>
      <w:r w:rsidR="00D904D4">
        <w:rPr>
          <w:rFonts w:hint="eastAsia"/>
          <w:rtl/>
        </w:rPr>
        <w:t> </w:t>
      </w:r>
      <w:r>
        <w:rPr>
          <w:rFonts w:hint="cs"/>
          <w:rtl/>
        </w:rPr>
        <w:t>الموضوعية</w:t>
      </w:r>
    </w:p>
    <w:p w14:paraId="451C2518" w14:textId="77777777" w:rsidR="002A3CD4" w:rsidRDefault="002A3CD4" w:rsidP="00406D22">
      <w:pPr>
        <w:pStyle w:val="H4GA"/>
        <w:rPr>
          <w:rtl/>
        </w:rPr>
      </w:pPr>
      <w:r w:rsidRPr="00584C51">
        <w:rPr>
          <w:rtl/>
        </w:rPr>
        <w:tab/>
      </w:r>
      <w:r w:rsidRPr="00584C51">
        <w:rPr>
          <w:rtl/>
        </w:rPr>
        <w:tab/>
      </w:r>
      <w:r w:rsidRPr="00584C51">
        <w:rPr>
          <w:rFonts w:hint="cs"/>
          <w:rtl/>
        </w:rPr>
        <w:t>البلاغ رقم 2542/2015</w:t>
      </w:r>
    </w:p>
    <w:p w14:paraId="63C7EDBF" w14:textId="77777777" w:rsidR="002A3CD4" w:rsidRDefault="002A3CD4" w:rsidP="00D55A10">
      <w:pPr>
        <w:pStyle w:val="SingleTxtGA"/>
        <w:spacing w:line="370" w:lineRule="exact"/>
        <w:rPr>
          <w:rtl/>
        </w:rPr>
      </w:pPr>
      <w:r>
        <w:rPr>
          <w:rFonts w:hint="cs"/>
          <w:rtl/>
        </w:rPr>
        <w:t>5-1</w:t>
      </w:r>
      <w:r>
        <w:rPr>
          <w:rtl/>
        </w:rPr>
        <w:tab/>
      </w:r>
      <w:r>
        <w:rPr>
          <w:rFonts w:hint="cs"/>
          <w:rtl/>
        </w:rPr>
        <w:t xml:space="preserve">في 8 </w:t>
      </w:r>
      <w:r>
        <w:rPr>
          <w:rtl/>
        </w:rPr>
        <w:t xml:space="preserve">نيسان/أبريل </w:t>
      </w:r>
      <w:r>
        <w:rPr>
          <w:rFonts w:hint="cs"/>
          <w:rtl/>
        </w:rPr>
        <w:t>2015، ردت صاحبة البلاغ على ملاحظات الدولة الطرف بشأن عدم استنفادها سُبل الانتصاف المحلية بالنسبة للبلاغ رقم 2542/2015. وتدعي صاحبة البلاغ أنها، بالرغم من عدم فعالية اللجوء إلى المدعي العام لتقديم احتجاج إلى المحكمة العليا، قامت مع ذلك بتقديم هذا الطلب إلى مكتب المدعي العام.</w:t>
      </w:r>
    </w:p>
    <w:p w14:paraId="07F8A509" w14:textId="77777777" w:rsidR="002A3CD4" w:rsidRDefault="002A3CD4" w:rsidP="00D55A10">
      <w:pPr>
        <w:pStyle w:val="SingleTxtGA"/>
        <w:spacing w:line="370" w:lineRule="exact"/>
        <w:rPr>
          <w:rtl/>
        </w:rPr>
      </w:pPr>
      <w:r>
        <w:rPr>
          <w:rFonts w:hint="cs"/>
          <w:rtl/>
        </w:rPr>
        <w:t>5-2</w:t>
      </w:r>
      <w:r>
        <w:rPr>
          <w:rtl/>
        </w:rPr>
        <w:tab/>
      </w:r>
      <w:r>
        <w:rPr>
          <w:rFonts w:hint="cs"/>
          <w:rtl/>
        </w:rPr>
        <w:t xml:space="preserve">وفي 15 </w:t>
      </w:r>
      <w:r>
        <w:rPr>
          <w:rtl/>
        </w:rPr>
        <w:t xml:space="preserve">أيلول/سبتمبر </w:t>
      </w:r>
      <w:r>
        <w:rPr>
          <w:rFonts w:hint="cs"/>
          <w:rtl/>
        </w:rPr>
        <w:t xml:space="preserve">2015، أبدت صاحبة البلاغ تعليقات على الملاحظات التي قدمتها الدولة الطرف بشأن الأسس الموضوعية للبلاغ رقم 2542/2015. وتعيد صاحبة البلاغ تأكيد ادعاءها بأنها لم تكن بحاجة إلى استصدار ترخيص لعقد الاجتماع في مرفق خاص كمرفق المجتمع الرياضي المذكور. وتدّعي بأن معاقبتها بحجة قيامها بتنظيم مناسبة عامة غير مرخص بها هو أمر غير قانوني، وأن مثل هذه التدابير الوقائية بحق المنظمين تُستخدم كرادع للآخرين وتمنعهم من التعبير عن آرائهم أو عدم رضاهم. وتشير صاحبة البلاغ إلى التقرير الذي أصدره المقرر الخاص المعني بالحق في حرية التجمع السلمي والحق في حرية تكوين الجمعيات عقب زيارته لكازاخستان في </w:t>
      </w:r>
      <w:r>
        <w:rPr>
          <w:rtl/>
        </w:rPr>
        <w:t xml:space="preserve">كانون الثاني/يناير </w:t>
      </w:r>
      <w:r>
        <w:rPr>
          <w:rFonts w:hint="cs"/>
          <w:rtl/>
        </w:rPr>
        <w:t xml:space="preserve">2015 وانتقد فيه النهج التقييدي إزاء الحق في حرية التجمع في </w:t>
      </w:r>
      <w:proofErr w:type="gramStart"/>
      <w:r>
        <w:rPr>
          <w:rFonts w:hint="cs"/>
          <w:rtl/>
        </w:rPr>
        <w:t>البلد</w:t>
      </w:r>
      <w:r w:rsidRPr="008D1C98">
        <w:rPr>
          <w:vertAlign w:val="superscript"/>
          <w:rtl/>
        </w:rPr>
        <w:t>(</w:t>
      </w:r>
      <w:proofErr w:type="gramEnd"/>
      <w:r w:rsidRPr="008D1C98">
        <w:rPr>
          <w:rStyle w:val="FootnoteReference"/>
          <w:rtl/>
        </w:rPr>
        <w:footnoteReference w:id="5"/>
      </w:r>
      <w:r w:rsidRPr="008D1C98">
        <w:rPr>
          <w:vertAlign w:val="superscript"/>
          <w:rtl/>
        </w:rPr>
        <w:t>)</w:t>
      </w:r>
      <w:r>
        <w:rPr>
          <w:rFonts w:hint="cs"/>
          <w:rtl/>
        </w:rPr>
        <w:t>. وتطرح صاحبة البلاغ مقترحات حول سُبل تحسين تشريعات الدولة الطرف المتعلقة بتنظيم المناسبات العامة. وتدعي صاحبة البلاغ باستمرار الدولة الطرف في تبني سياسة شرسة إزاء منظمي المناسبات العامة والمشاركين فيها.</w:t>
      </w:r>
    </w:p>
    <w:p w14:paraId="68E00C47" w14:textId="77777777" w:rsidR="002A3CD4" w:rsidRDefault="002A3CD4" w:rsidP="00D55A10">
      <w:pPr>
        <w:pStyle w:val="H4GA"/>
        <w:spacing w:line="370" w:lineRule="exact"/>
        <w:rPr>
          <w:rtl/>
        </w:rPr>
      </w:pPr>
      <w:r w:rsidRPr="008D1C98">
        <w:rPr>
          <w:rtl/>
        </w:rPr>
        <w:tab/>
      </w:r>
      <w:r w:rsidRPr="008D1C98">
        <w:rPr>
          <w:rtl/>
        </w:rPr>
        <w:tab/>
      </w:r>
      <w:r w:rsidRPr="008D1C98">
        <w:rPr>
          <w:rFonts w:hint="cs"/>
          <w:rtl/>
        </w:rPr>
        <w:t>البلاغ رقم 2543/2015</w:t>
      </w:r>
    </w:p>
    <w:p w14:paraId="764400F7" w14:textId="77777777" w:rsidR="002A3CD4" w:rsidRDefault="002A3CD4" w:rsidP="00D55A10">
      <w:pPr>
        <w:pStyle w:val="SingleTxtGA"/>
        <w:spacing w:line="370" w:lineRule="exact"/>
        <w:rPr>
          <w:rtl/>
        </w:rPr>
      </w:pPr>
      <w:r>
        <w:rPr>
          <w:rFonts w:hint="cs"/>
          <w:rtl/>
        </w:rPr>
        <w:t>5-3</w:t>
      </w:r>
      <w:r>
        <w:rPr>
          <w:rtl/>
        </w:rPr>
        <w:tab/>
      </w:r>
      <w:r>
        <w:rPr>
          <w:rFonts w:hint="cs"/>
          <w:rtl/>
        </w:rPr>
        <w:t xml:space="preserve">في 31 </w:t>
      </w:r>
      <w:r>
        <w:rPr>
          <w:rtl/>
        </w:rPr>
        <w:t xml:space="preserve">كانون الثاني/يناير </w:t>
      </w:r>
      <w:r>
        <w:rPr>
          <w:rFonts w:hint="cs"/>
          <w:rtl/>
        </w:rPr>
        <w:t>2016، قدمت صاحبة البلاغ تعليقاتها على ملاحظات الدولة الطرف بشأن البلاغ رقم 2543/2015. ونازعت شهادة الدولة الطرف بأن تشريعها يتقيد بمبادئ المادة 21 من العهد. وتدعي صاحبة البلاغ بأن طلب استصدار ترخيص من السلطات التنفيذية المحلية لعقد مناسبة عامة يحرم الناس من حقها في التجمّع السلمي.</w:t>
      </w:r>
    </w:p>
    <w:p w14:paraId="29E609A1" w14:textId="77777777" w:rsidR="002A3CD4" w:rsidRPr="00D55A10" w:rsidRDefault="002A3CD4" w:rsidP="00D55A10">
      <w:pPr>
        <w:pStyle w:val="SingleTxtGA"/>
        <w:spacing w:line="370" w:lineRule="exact"/>
        <w:rPr>
          <w:spacing w:val="-4"/>
          <w:rtl/>
        </w:rPr>
      </w:pPr>
      <w:r w:rsidRPr="00D55A10">
        <w:rPr>
          <w:rFonts w:hint="cs"/>
          <w:spacing w:val="-4"/>
          <w:rtl/>
        </w:rPr>
        <w:lastRenderedPageBreak/>
        <w:t>5-4</w:t>
      </w:r>
      <w:r w:rsidRPr="00D55A10">
        <w:rPr>
          <w:spacing w:val="-4"/>
          <w:rtl/>
        </w:rPr>
        <w:tab/>
      </w:r>
      <w:r w:rsidRPr="00D55A10">
        <w:rPr>
          <w:rFonts w:hint="cs"/>
          <w:spacing w:val="-4"/>
          <w:rtl/>
        </w:rPr>
        <w:t>وفيما يتعلق بانتهاك المادة 14</w:t>
      </w:r>
      <w:r w:rsidR="00406D22" w:rsidRPr="00D55A10">
        <w:rPr>
          <w:rFonts w:hint="cs"/>
          <w:spacing w:val="-4"/>
          <w:rtl/>
        </w:rPr>
        <w:t>(</w:t>
      </w:r>
      <w:r w:rsidRPr="00D55A10">
        <w:rPr>
          <w:rFonts w:hint="cs"/>
          <w:spacing w:val="-4"/>
          <w:rtl/>
        </w:rPr>
        <w:t>3)</w:t>
      </w:r>
      <w:r w:rsidR="00406D22" w:rsidRPr="00D55A10">
        <w:rPr>
          <w:rFonts w:hint="cs"/>
          <w:spacing w:val="-4"/>
          <w:rtl/>
        </w:rPr>
        <w:t>(</w:t>
      </w:r>
      <w:r w:rsidRPr="00D55A10">
        <w:rPr>
          <w:rFonts w:hint="cs"/>
          <w:spacing w:val="-4"/>
          <w:rtl/>
        </w:rPr>
        <w:t>د)، تدعي صاحبة البلاغ بأن ضباط الشرطة ملزمين بسؤال الشخص الذي يلقون القبض عليه، عما إذا كان بحاجة للاستعانة بمحامٍ. لكن ذلك لم</w:t>
      </w:r>
      <w:r w:rsidR="00D55A10">
        <w:rPr>
          <w:rFonts w:hint="eastAsia"/>
          <w:spacing w:val="-4"/>
          <w:rtl/>
        </w:rPr>
        <w:t> </w:t>
      </w:r>
      <w:r w:rsidRPr="00D55A10">
        <w:rPr>
          <w:rFonts w:hint="cs"/>
          <w:spacing w:val="-4"/>
          <w:rtl/>
        </w:rPr>
        <w:t>يحدث في حالتها. ومع ذلك، ولأنها عارفة بحقوقها طلبت بالفعل مساعدة قانونية، دون</w:t>
      </w:r>
      <w:r w:rsidR="00406D22" w:rsidRPr="00D55A10">
        <w:rPr>
          <w:rFonts w:hint="eastAsia"/>
          <w:spacing w:val="-4"/>
          <w:rtl/>
        </w:rPr>
        <w:t> </w:t>
      </w:r>
      <w:r w:rsidRPr="00D55A10">
        <w:rPr>
          <w:rFonts w:hint="cs"/>
          <w:spacing w:val="-4"/>
          <w:rtl/>
        </w:rPr>
        <w:t>طائل.</w:t>
      </w:r>
    </w:p>
    <w:p w14:paraId="790C2FBD" w14:textId="77777777" w:rsidR="002A3CD4" w:rsidRDefault="002A3CD4" w:rsidP="00D55A10">
      <w:pPr>
        <w:pStyle w:val="H23GA"/>
        <w:spacing w:line="370" w:lineRule="exact"/>
        <w:rPr>
          <w:rtl/>
        </w:rPr>
      </w:pPr>
      <w:r>
        <w:rPr>
          <w:rtl/>
        </w:rPr>
        <w:tab/>
      </w:r>
      <w:r>
        <w:rPr>
          <w:rtl/>
        </w:rPr>
        <w:tab/>
      </w:r>
      <w:r>
        <w:rPr>
          <w:rFonts w:hint="cs"/>
          <w:rtl/>
        </w:rPr>
        <w:t>مراسلات إضافية من الطرفين</w:t>
      </w:r>
    </w:p>
    <w:p w14:paraId="63906616" w14:textId="77777777" w:rsidR="002A3CD4" w:rsidRDefault="002A3CD4" w:rsidP="00D55A10">
      <w:pPr>
        <w:pStyle w:val="H4GA"/>
        <w:spacing w:line="370" w:lineRule="exact"/>
        <w:rPr>
          <w:rtl/>
        </w:rPr>
      </w:pPr>
      <w:r w:rsidRPr="008D1C98">
        <w:rPr>
          <w:rtl/>
        </w:rPr>
        <w:tab/>
      </w:r>
      <w:r w:rsidRPr="008D1C98">
        <w:rPr>
          <w:rtl/>
        </w:rPr>
        <w:tab/>
      </w:r>
      <w:r w:rsidRPr="008D1C98">
        <w:rPr>
          <w:rFonts w:hint="cs"/>
          <w:rtl/>
        </w:rPr>
        <w:t>الدولة الطرف</w:t>
      </w:r>
    </w:p>
    <w:p w14:paraId="35A940B8" w14:textId="77777777" w:rsidR="002A3CD4" w:rsidRDefault="002A3CD4" w:rsidP="00D55A10">
      <w:pPr>
        <w:pStyle w:val="SingleTxtGA"/>
        <w:spacing w:line="370" w:lineRule="exact"/>
        <w:rPr>
          <w:rtl/>
        </w:rPr>
      </w:pPr>
      <w:r>
        <w:rPr>
          <w:rFonts w:hint="cs"/>
          <w:rtl/>
        </w:rPr>
        <w:t>6-1</w:t>
      </w:r>
      <w:r>
        <w:rPr>
          <w:rtl/>
        </w:rPr>
        <w:tab/>
      </w:r>
      <w:r>
        <w:rPr>
          <w:rFonts w:hint="cs"/>
          <w:rtl/>
        </w:rPr>
        <w:t xml:space="preserve">في 5 </w:t>
      </w:r>
      <w:r>
        <w:rPr>
          <w:rtl/>
        </w:rPr>
        <w:t xml:space="preserve">تشرين الثاني/نوفمبر </w:t>
      </w:r>
      <w:r>
        <w:rPr>
          <w:rFonts w:hint="cs"/>
          <w:rtl/>
        </w:rPr>
        <w:t>2015، أعادت الدولة الطرف باختصار تأكيد ملاحظاتها الأولية بشأن موضوع البلاغ رقم 2542/2015.</w:t>
      </w:r>
    </w:p>
    <w:p w14:paraId="3924ADCF" w14:textId="77777777" w:rsidR="002A3CD4" w:rsidRDefault="002A3CD4" w:rsidP="00D55A10">
      <w:pPr>
        <w:pStyle w:val="SingleTxtGA"/>
        <w:spacing w:line="370" w:lineRule="exact"/>
        <w:rPr>
          <w:rtl/>
        </w:rPr>
      </w:pPr>
      <w:r>
        <w:rPr>
          <w:rFonts w:hint="cs"/>
          <w:rtl/>
        </w:rPr>
        <w:t>6-2</w:t>
      </w:r>
      <w:r>
        <w:rPr>
          <w:rtl/>
        </w:rPr>
        <w:tab/>
      </w:r>
      <w:r>
        <w:rPr>
          <w:rFonts w:hint="cs"/>
          <w:rtl/>
        </w:rPr>
        <w:t xml:space="preserve">وأفادت في مذكرة شفوية مؤرخة 15 </w:t>
      </w:r>
      <w:r>
        <w:rPr>
          <w:rtl/>
        </w:rPr>
        <w:t xml:space="preserve">آذار/مارس </w:t>
      </w:r>
      <w:r>
        <w:rPr>
          <w:rFonts w:hint="cs"/>
          <w:rtl/>
        </w:rPr>
        <w:t>2016، بأنها متمسكة بملاحظاتها الأولية على البلاغين. وكررت ما أعلنته من قبل بأن صاحبة البلاغ لم تتقدم بطلب للاستعانة بمحامٍ، سواءً في أعقاب القبض عليها أو في المحكمة الابتدائية.</w:t>
      </w:r>
    </w:p>
    <w:p w14:paraId="4F2CA54E" w14:textId="77777777" w:rsidR="002A3CD4" w:rsidRDefault="002A3CD4" w:rsidP="00D55A10">
      <w:pPr>
        <w:pStyle w:val="H4GA"/>
        <w:spacing w:line="370" w:lineRule="exact"/>
        <w:rPr>
          <w:rtl/>
        </w:rPr>
      </w:pPr>
      <w:r w:rsidRPr="000C0A1F">
        <w:rPr>
          <w:rtl/>
        </w:rPr>
        <w:tab/>
      </w:r>
      <w:r w:rsidRPr="000C0A1F">
        <w:rPr>
          <w:rtl/>
        </w:rPr>
        <w:tab/>
      </w:r>
      <w:r w:rsidRPr="000C0A1F">
        <w:rPr>
          <w:rFonts w:hint="cs"/>
          <w:rtl/>
        </w:rPr>
        <w:t>صاحبة البلاغ</w:t>
      </w:r>
    </w:p>
    <w:p w14:paraId="7ECE89A2" w14:textId="77777777" w:rsidR="002A3CD4" w:rsidRPr="009343D3" w:rsidRDefault="002A3CD4" w:rsidP="00D55A10">
      <w:pPr>
        <w:pStyle w:val="SingleTxtGA"/>
        <w:spacing w:line="370" w:lineRule="exact"/>
        <w:rPr>
          <w:spacing w:val="-2"/>
          <w:rtl/>
        </w:rPr>
      </w:pPr>
      <w:r w:rsidRPr="009343D3">
        <w:rPr>
          <w:rFonts w:hint="cs"/>
          <w:spacing w:val="-2"/>
          <w:rtl/>
        </w:rPr>
        <w:t>7-1</w:t>
      </w:r>
      <w:r w:rsidRPr="009343D3">
        <w:rPr>
          <w:spacing w:val="-2"/>
          <w:rtl/>
        </w:rPr>
        <w:tab/>
      </w:r>
      <w:r w:rsidRPr="009343D3">
        <w:rPr>
          <w:rFonts w:hint="cs"/>
          <w:spacing w:val="-2"/>
          <w:rtl/>
        </w:rPr>
        <w:t xml:space="preserve">في 18 </w:t>
      </w:r>
      <w:r w:rsidRPr="009343D3">
        <w:rPr>
          <w:spacing w:val="-2"/>
          <w:rtl/>
        </w:rPr>
        <w:t xml:space="preserve">تشرين الثاني/نوفمبر </w:t>
      </w:r>
      <w:r w:rsidRPr="009343D3">
        <w:rPr>
          <w:rFonts w:hint="cs"/>
          <w:spacing w:val="-2"/>
          <w:rtl/>
        </w:rPr>
        <w:t>2015، قدمت صاحبة البلاغ تعليقات إضافية على البلاغ رقم 2542/2015 مكررةً ذِكر الوقائع التي أوردتها في بلاغها الأصلي، ومدعية بأنها تعرّضت مرات عديدة على مدى العامين الماضيين لعقوبات فرضتها عليها المحاكم بسبب</w:t>
      </w:r>
      <w:r w:rsidR="00406D22" w:rsidRPr="009343D3">
        <w:rPr>
          <w:rFonts w:hint="eastAsia"/>
          <w:spacing w:val="-2"/>
          <w:rtl/>
        </w:rPr>
        <w:t> </w:t>
      </w:r>
      <w:r w:rsidRPr="009343D3">
        <w:rPr>
          <w:rFonts w:hint="cs"/>
          <w:spacing w:val="-2"/>
          <w:rtl/>
        </w:rPr>
        <w:t>مشاركتها في احتجاجات سلمية. وتدعي صاحبة البلاغ بأن الدولة الطرف تواصل ممارستها المتمثلة في تقييد التجمعات السلمية باستخدام الغرامات الإدارية والاعتقال لمدد تصل إلى 15 يوما</w:t>
      </w:r>
      <w:r w:rsidR="00406D22" w:rsidRPr="009343D3">
        <w:rPr>
          <w:rFonts w:hint="cs"/>
          <w:spacing w:val="-2"/>
          <w:rtl/>
        </w:rPr>
        <w:t>ً</w:t>
      </w:r>
      <w:r w:rsidRPr="009343D3">
        <w:rPr>
          <w:rFonts w:hint="cs"/>
          <w:spacing w:val="-2"/>
          <w:rtl/>
        </w:rPr>
        <w:t>.</w:t>
      </w:r>
    </w:p>
    <w:p w14:paraId="5483060F" w14:textId="77777777" w:rsidR="002A3CD4" w:rsidRDefault="002A3CD4" w:rsidP="00D55A10">
      <w:pPr>
        <w:pStyle w:val="SingleTxtGA"/>
        <w:spacing w:line="370" w:lineRule="exact"/>
        <w:rPr>
          <w:rtl/>
        </w:rPr>
      </w:pPr>
      <w:r>
        <w:rPr>
          <w:rFonts w:hint="cs"/>
          <w:rtl/>
        </w:rPr>
        <w:t>7-2</w:t>
      </w:r>
      <w:r>
        <w:rPr>
          <w:rtl/>
        </w:rPr>
        <w:tab/>
      </w:r>
      <w:r>
        <w:rPr>
          <w:rFonts w:hint="cs"/>
          <w:rtl/>
        </w:rPr>
        <w:t xml:space="preserve">وفي 16 </w:t>
      </w:r>
      <w:r>
        <w:rPr>
          <w:rtl/>
        </w:rPr>
        <w:t xml:space="preserve">آذار/مارس </w:t>
      </w:r>
      <w:r>
        <w:rPr>
          <w:rFonts w:hint="cs"/>
          <w:rtl/>
        </w:rPr>
        <w:t>2016، قدمت صاحبة البلاغ ردوداً مكررة ادعاءاتها السابقة المشمولة بالبلاغين.</w:t>
      </w:r>
    </w:p>
    <w:p w14:paraId="418C512E" w14:textId="77777777" w:rsidR="002A3CD4" w:rsidRDefault="002A3CD4" w:rsidP="00D55A10">
      <w:pPr>
        <w:pStyle w:val="H23GA"/>
        <w:spacing w:line="370" w:lineRule="exact"/>
        <w:rPr>
          <w:rtl/>
        </w:rPr>
      </w:pPr>
      <w:r>
        <w:rPr>
          <w:rtl/>
        </w:rPr>
        <w:tab/>
      </w:r>
      <w:r>
        <w:rPr>
          <w:rtl/>
        </w:rPr>
        <w:tab/>
      </w:r>
      <w:r>
        <w:rPr>
          <w:rFonts w:hint="cs"/>
          <w:rtl/>
        </w:rPr>
        <w:t>القضايا والإجراءات المعروضة على اللجنة</w:t>
      </w:r>
    </w:p>
    <w:p w14:paraId="3F13227C" w14:textId="77777777" w:rsidR="002A3CD4" w:rsidRDefault="002A3CD4" w:rsidP="00D55A10">
      <w:pPr>
        <w:pStyle w:val="H4GA"/>
        <w:spacing w:line="370" w:lineRule="exact"/>
        <w:rPr>
          <w:rtl/>
        </w:rPr>
      </w:pPr>
      <w:r w:rsidRPr="000C0A1F">
        <w:rPr>
          <w:rtl/>
        </w:rPr>
        <w:tab/>
      </w:r>
      <w:r w:rsidRPr="000C0A1F">
        <w:rPr>
          <w:rtl/>
        </w:rPr>
        <w:tab/>
      </w:r>
      <w:r w:rsidRPr="000C0A1F">
        <w:rPr>
          <w:rFonts w:hint="cs"/>
          <w:rtl/>
        </w:rPr>
        <w:t>النظر في المقبولية</w:t>
      </w:r>
    </w:p>
    <w:p w14:paraId="5C1EC18B" w14:textId="77777777" w:rsidR="002A3CD4" w:rsidRDefault="002A3CD4" w:rsidP="009343D3">
      <w:pPr>
        <w:pStyle w:val="SingleTxtGA"/>
        <w:spacing w:line="370" w:lineRule="exact"/>
        <w:rPr>
          <w:rtl/>
        </w:rPr>
      </w:pPr>
      <w:r>
        <w:rPr>
          <w:rFonts w:hint="cs"/>
          <w:rtl/>
        </w:rPr>
        <w:t>8-1</w:t>
      </w:r>
      <w:r>
        <w:rPr>
          <w:rtl/>
        </w:rPr>
        <w:tab/>
      </w:r>
      <w:r>
        <w:rPr>
          <w:rFonts w:hint="cs"/>
          <w:rtl/>
        </w:rPr>
        <w:t>قبل النظر في أي ادعاء يرد في بلاغ ما، يجب على اللجنة أن تقرر، وفق</w:t>
      </w:r>
      <w:r w:rsidR="000C21DB" w:rsidRPr="000C21DB">
        <w:rPr>
          <w:rFonts w:hint="cs"/>
          <w:rtl/>
        </w:rPr>
        <w:t xml:space="preserve">اً </w:t>
      </w:r>
      <w:r>
        <w:rPr>
          <w:rFonts w:hint="cs"/>
          <w:rtl/>
        </w:rPr>
        <w:t>للمادة 97 من نظامها الداخلي، ما إذا كان البلاغ مقبول</w:t>
      </w:r>
      <w:r w:rsidR="000C21DB" w:rsidRPr="000C21DB">
        <w:rPr>
          <w:rFonts w:hint="cs"/>
          <w:rtl/>
        </w:rPr>
        <w:t xml:space="preserve">اً </w:t>
      </w:r>
      <w:r>
        <w:rPr>
          <w:rFonts w:hint="cs"/>
          <w:rtl/>
        </w:rPr>
        <w:t>أم لا بموجب البروتوكول الاختياري.</w:t>
      </w:r>
    </w:p>
    <w:p w14:paraId="22F3CAD0" w14:textId="77777777" w:rsidR="002A3CD4" w:rsidRDefault="002A3CD4" w:rsidP="009343D3">
      <w:pPr>
        <w:pStyle w:val="SingleTxtGA"/>
        <w:spacing w:line="370" w:lineRule="exact"/>
        <w:rPr>
          <w:rtl/>
        </w:rPr>
      </w:pPr>
      <w:r>
        <w:rPr>
          <w:rFonts w:hint="cs"/>
          <w:rtl/>
        </w:rPr>
        <w:t>8-2</w:t>
      </w:r>
      <w:r>
        <w:rPr>
          <w:rtl/>
        </w:rPr>
        <w:tab/>
      </w:r>
      <w:r>
        <w:rPr>
          <w:rFonts w:hint="cs"/>
          <w:rtl/>
        </w:rPr>
        <w:t>وقد تأكد لدى اللجنة، وفق</w:t>
      </w:r>
      <w:r w:rsidR="000C21DB" w:rsidRPr="000C21DB">
        <w:rPr>
          <w:rFonts w:hint="cs"/>
          <w:rtl/>
        </w:rPr>
        <w:t xml:space="preserve">اً </w:t>
      </w:r>
      <w:r>
        <w:rPr>
          <w:rFonts w:hint="cs"/>
          <w:rtl/>
        </w:rPr>
        <w:t>لما تنص عليه المادة 5</w:t>
      </w:r>
      <w:r w:rsidR="00406D22" w:rsidRPr="00406D22">
        <w:rPr>
          <w:rFonts w:hint="cs"/>
          <w:rtl/>
        </w:rPr>
        <w:t>(</w:t>
      </w:r>
      <w:r>
        <w:rPr>
          <w:rFonts w:hint="cs"/>
          <w:rtl/>
        </w:rPr>
        <w:t>2)</w:t>
      </w:r>
      <w:r w:rsidR="00406D22" w:rsidRPr="00406D22">
        <w:rPr>
          <w:rFonts w:hint="cs"/>
          <w:rtl/>
        </w:rPr>
        <w:t>(</w:t>
      </w:r>
      <w:r>
        <w:rPr>
          <w:rFonts w:hint="cs"/>
          <w:rtl/>
        </w:rPr>
        <w:t>أ) من البروتوكول الاختياري، أن المسألة نفسها ليست قيد البحث في إطار أي إجراء آخر من إجراءات التحقيقات الدولية أو التسوية الدولية.</w:t>
      </w:r>
    </w:p>
    <w:p w14:paraId="7DB854D1" w14:textId="77777777" w:rsidR="002A3CD4" w:rsidRPr="00D55A10" w:rsidRDefault="002A3CD4" w:rsidP="009343D3">
      <w:pPr>
        <w:pStyle w:val="SingleTxtGA"/>
        <w:spacing w:line="370" w:lineRule="exact"/>
        <w:rPr>
          <w:spacing w:val="-2"/>
          <w:rtl/>
        </w:rPr>
      </w:pPr>
      <w:r w:rsidRPr="00D55A10">
        <w:rPr>
          <w:rFonts w:hint="cs"/>
          <w:spacing w:val="-2"/>
          <w:rtl/>
        </w:rPr>
        <w:t>8-3</w:t>
      </w:r>
      <w:r w:rsidRPr="00D55A10">
        <w:rPr>
          <w:spacing w:val="-2"/>
          <w:rtl/>
        </w:rPr>
        <w:tab/>
      </w:r>
      <w:r w:rsidRPr="00D55A10">
        <w:rPr>
          <w:rFonts w:hint="cs"/>
          <w:spacing w:val="-2"/>
          <w:rtl/>
        </w:rPr>
        <w:t>وتلاحظ اللجنة ادعاء صاحبة البلاغ بأن جميع سبُل الانتصاف الداخلية المتاحة قد استنفدت. وتحيط علم</w:t>
      </w:r>
      <w:r w:rsidR="000C21DB" w:rsidRPr="00D55A10">
        <w:rPr>
          <w:rFonts w:hint="cs"/>
          <w:spacing w:val="-2"/>
          <w:rtl/>
        </w:rPr>
        <w:t xml:space="preserve">اً </w:t>
      </w:r>
      <w:r w:rsidRPr="00D55A10">
        <w:rPr>
          <w:rFonts w:hint="cs"/>
          <w:spacing w:val="-2"/>
          <w:rtl/>
        </w:rPr>
        <w:t>أيض</w:t>
      </w:r>
      <w:r w:rsidR="000C21DB" w:rsidRPr="00D55A10">
        <w:rPr>
          <w:rFonts w:hint="cs"/>
          <w:spacing w:val="-2"/>
          <w:rtl/>
        </w:rPr>
        <w:t xml:space="preserve">اً </w:t>
      </w:r>
      <w:r w:rsidRPr="00D55A10">
        <w:rPr>
          <w:rFonts w:hint="cs"/>
          <w:spacing w:val="-2"/>
          <w:rtl/>
        </w:rPr>
        <w:t>بملاحظة الدولة الطرف بشأن البلاغ رقم 2542/2015 بأن صاحبة البلاغ لم تطلب من المدعي العام استهلال إجراءات للمراجعة القضائية أمام المحكمة العليا، وأنها بذلك تكون غير مستنفدة لسُبل الانتصاف الداخلية. وعلى سبيل الملاحظة العامة، تشير اللجنة إلى آرائها السابقة التي تعتبر أن تقديم التماس إلى المحكمة أو إلى مكتب المدعي العام بطلب إجراء مراجعة لقرارات المحاكم النافذة، والاعتماد على السلطة التقديرية للقاضي أو</w:t>
      </w:r>
      <w:r w:rsidR="00B61FF9" w:rsidRPr="00D55A10">
        <w:rPr>
          <w:rFonts w:hint="eastAsia"/>
          <w:spacing w:val="-2"/>
          <w:rtl/>
        </w:rPr>
        <w:t> </w:t>
      </w:r>
      <w:r w:rsidRPr="00D55A10">
        <w:rPr>
          <w:rFonts w:hint="cs"/>
          <w:spacing w:val="-2"/>
          <w:rtl/>
        </w:rPr>
        <w:t xml:space="preserve">المدعي، هو سبيل استثنائي للانتصاف، وأن على الدولة الطرف أن تدلل على وجود توقّع معقول بأن مثل </w:t>
      </w:r>
      <w:r w:rsidRPr="00D55A10">
        <w:rPr>
          <w:rFonts w:hint="cs"/>
          <w:spacing w:val="-2"/>
          <w:rtl/>
        </w:rPr>
        <w:lastRenderedPageBreak/>
        <w:t>هذه الطلبات يمكن أن تشكل انتصاف</w:t>
      </w:r>
      <w:r w:rsidR="000C21DB" w:rsidRPr="00D55A10">
        <w:rPr>
          <w:rFonts w:hint="cs"/>
          <w:spacing w:val="-2"/>
          <w:rtl/>
        </w:rPr>
        <w:t xml:space="preserve">اً </w:t>
      </w:r>
      <w:r w:rsidRPr="00D55A10">
        <w:rPr>
          <w:rFonts w:hint="cs"/>
          <w:spacing w:val="-2"/>
          <w:rtl/>
        </w:rPr>
        <w:t>فعال</w:t>
      </w:r>
      <w:r w:rsidR="000C21DB" w:rsidRPr="00D55A10">
        <w:rPr>
          <w:rFonts w:hint="cs"/>
          <w:spacing w:val="-2"/>
          <w:rtl/>
        </w:rPr>
        <w:t xml:space="preserve">اً </w:t>
      </w:r>
      <w:r w:rsidRPr="00D55A10">
        <w:rPr>
          <w:rFonts w:hint="cs"/>
          <w:spacing w:val="-2"/>
          <w:rtl/>
        </w:rPr>
        <w:t xml:space="preserve">في ظروف </w:t>
      </w:r>
      <w:proofErr w:type="gramStart"/>
      <w:r w:rsidRPr="00D55A10">
        <w:rPr>
          <w:rFonts w:hint="cs"/>
          <w:spacing w:val="-2"/>
          <w:rtl/>
        </w:rPr>
        <w:t>القضية</w:t>
      </w:r>
      <w:r w:rsidRPr="00D55A10">
        <w:rPr>
          <w:spacing w:val="-2"/>
          <w:vertAlign w:val="superscript"/>
          <w:rtl/>
        </w:rPr>
        <w:t>(</w:t>
      </w:r>
      <w:proofErr w:type="gramEnd"/>
      <w:r w:rsidRPr="00D55A10">
        <w:rPr>
          <w:rStyle w:val="FootnoteReference"/>
          <w:spacing w:val="-2"/>
          <w:rtl/>
        </w:rPr>
        <w:footnoteReference w:id="6"/>
      </w:r>
      <w:r w:rsidRPr="00D55A10">
        <w:rPr>
          <w:spacing w:val="-2"/>
          <w:vertAlign w:val="superscript"/>
          <w:rtl/>
        </w:rPr>
        <w:t>)</w:t>
      </w:r>
      <w:r w:rsidRPr="00D55A10">
        <w:rPr>
          <w:rFonts w:hint="cs"/>
          <w:spacing w:val="-2"/>
          <w:rtl/>
        </w:rPr>
        <w:t xml:space="preserve">. وفي القضية الراهنة، تلاحظ اللجنة أن صاحبة البلاغ تقدمت بالفعل في 22 </w:t>
      </w:r>
      <w:r w:rsidRPr="00D55A10">
        <w:rPr>
          <w:spacing w:val="-2"/>
          <w:rtl/>
        </w:rPr>
        <w:t xml:space="preserve">كانون الثاني/يناير </w:t>
      </w:r>
      <w:r w:rsidRPr="00D55A10">
        <w:rPr>
          <w:rFonts w:hint="cs"/>
          <w:spacing w:val="-2"/>
          <w:rtl/>
        </w:rPr>
        <w:t xml:space="preserve">2014 بطلب إلى مكتب المدعي العام لاستهلال مراجعة قضائية، وأن طلبها رُفض في 17 </w:t>
      </w:r>
      <w:r w:rsidRPr="00D55A10">
        <w:rPr>
          <w:spacing w:val="-2"/>
          <w:rtl/>
        </w:rPr>
        <w:t xml:space="preserve">تموز/يوليه </w:t>
      </w:r>
      <w:r w:rsidRPr="00D55A10">
        <w:rPr>
          <w:rFonts w:hint="cs"/>
          <w:spacing w:val="-2"/>
          <w:rtl/>
        </w:rPr>
        <w:t>2014. وبناءً عليه، تعتبر اللجنة أن صاحبة البلاغ استنفدت سُبل الانتصاف الداخلية، وأنه لا يوجد ما يمنع اللجنة من النظر في البلاغ الحالي بموجب المادة 5</w:t>
      </w:r>
      <w:r w:rsidR="00406D22" w:rsidRPr="00D55A10">
        <w:rPr>
          <w:rFonts w:hint="cs"/>
          <w:spacing w:val="-2"/>
          <w:rtl/>
        </w:rPr>
        <w:t>(</w:t>
      </w:r>
      <w:r w:rsidRPr="00D55A10">
        <w:rPr>
          <w:rFonts w:hint="cs"/>
          <w:spacing w:val="-2"/>
          <w:rtl/>
        </w:rPr>
        <w:t>2)</w:t>
      </w:r>
      <w:r w:rsidR="00406D22" w:rsidRPr="00D55A10">
        <w:rPr>
          <w:rFonts w:hint="cs"/>
          <w:spacing w:val="-2"/>
          <w:rtl/>
        </w:rPr>
        <w:t>(</w:t>
      </w:r>
      <w:r w:rsidRPr="00D55A10">
        <w:rPr>
          <w:rFonts w:hint="cs"/>
          <w:spacing w:val="-2"/>
          <w:rtl/>
        </w:rPr>
        <w:t>ب) من البروتوكول</w:t>
      </w:r>
      <w:r w:rsidR="00574245" w:rsidRPr="00D55A10">
        <w:rPr>
          <w:rFonts w:hint="eastAsia"/>
          <w:spacing w:val="-2"/>
          <w:rtl/>
        </w:rPr>
        <w:t> </w:t>
      </w:r>
      <w:r w:rsidRPr="00D55A10">
        <w:rPr>
          <w:rFonts w:hint="cs"/>
          <w:spacing w:val="-2"/>
          <w:rtl/>
        </w:rPr>
        <w:t>الاختياري.</w:t>
      </w:r>
    </w:p>
    <w:p w14:paraId="239ACC2A" w14:textId="77777777" w:rsidR="002A3CD4" w:rsidRDefault="002A3CD4" w:rsidP="009343D3">
      <w:pPr>
        <w:pStyle w:val="SingleTxtGA"/>
        <w:spacing w:line="370" w:lineRule="exact"/>
        <w:rPr>
          <w:rtl/>
        </w:rPr>
      </w:pPr>
      <w:r>
        <w:rPr>
          <w:rFonts w:hint="cs"/>
          <w:rtl/>
        </w:rPr>
        <w:t>8-4</w:t>
      </w:r>
      <w:r>
        <w:rPr>
          <w:rtl/>
        </w:rPr>
        <w:tab/>
      </w:r>
      <w:r>
        <w:rPr>
          <w:rFonts w:hint="cs"/>
          <w:rtl/>
        </w:rPr>
        <w:t>وتلاحظ اللجنة ادعاء صاحبة البلاغ انتهاك حقوقها بموجب المادة 14</w:t>
      </w:r>
      <w:r w:rsidR="00406D22" w:rsidRPr="00406D22">
        <w:rPr>
          <w:rFonts w:hint="cs"/>
          <w:rtl/>
        </w:rPr>
        <w:t>(</w:t>
      </w:r>
      <w:r>
        <w:rPr>
          <w:rFonts w:hint="cs"/>
          <w:rtl/>
        </w:rPr>
        <w:t>1) من العهد لأن المحاكم المحلية لم تأخذ في اعتبارها الادعاءات التي قدمتها بموجب المادتين 19</w:t>
      </w:r>
      <w:r w:rsidR="00406D22" w:rsidRPr="00406D22">
        <w:rPr>
          <w:rFonts w:hint="cs"/>
          <w:rtl/>
        </w:rPr>
        <w:t xml:space="preserve"> و</w:t>
      </w:r>
      <w:r>
        <w:rPr>
          <w:rFonts w:hint="cs"/>
          <w:rtl/>
        </w:rPr>
        <w:t>21 من العهد. غير أن اللجنة ترى أنه مع غياب أي معلومات أخرى ذات صلة في هذا الصدد، تكون صاحبة البلاغ قد قصّرت في دعم هذا الادعاء بالشكل الكافي لأغراض المقبولية. وبناءً عليه، تستنتج اللجنة أن هذا الجزء من البلاغ غير مقبول بموجب المادة 2 من البروتوكول الاختياري.</w:t>
      </w:r>
    </w:p>
    <w:p w14:paraId="04973304" w14:textId="77777777" w:rsidR="002A3CD4" w:rsidRPr="00D55A10" w:rsidRDefault="002A3CD4" w:rsidP="009343D3">
      <w:pPr>
        <w:pStyle w:val="SingleTxtGA"/>
        <w:spacing w:line="370" w:lineRule="exact"/>
        <w:rPr>
          <w:spacing w:val="-2"/>
          <w:rtl/>
        </w:rPr>
      </w:pPr>
      <w:r w:rsidRPr="00D55A10">
        <w:rPr>
          <w:rFonts w:hint="cs"/>
          <w:spacing w:val="-2"/>
          <w:rtl/>
        </w:rPr>
        <w:t>8-5</w:t>
      </w:r>
      <w:r w:rsidRPr="00D55A10">
        <w:rPr>
          <w:spacing w:val="-2"/>
          <w:rtl/>
        </w:rPr>
        <w:tab/>
      </w:r>
      <w:r w:rsidRPr="00D55A10">
        <w:rPr>
          <w:rFonts w:hint="cs"/>
          <w:spacing w:val="-2"/>
          <w:rtl/>
        </w:rPr>
        <w:t>وتحيط اللجنة علم</w:t>
      </w:r>
      <w:r w:rsidR="000C21DB" w:rsidRPr="00D55A10">
        <w:rPr>
          <w:rFonts w:hint="cs"/>
          <w:spacing w:val="-2"/>
          <w:rtl/>
        </w:rPr>
        <w:t xml:space="preserve">اً </w:t>
      </w:r>
      <w:r w:rsidRPr="00D55A10">
        <w:rPr>
          <w:rFonts w:hint="cs"/>
          <w:spacing w:val="-2"/>
          <w:rtl/>
        </w:rPr>
        <w:t>بادعاء صاحبة البلاغ انتهاك حقوقها بموجب المادة 14</w:t>
      </w:r>
      <w:r w:rsidR="00406D22" w:rsidRPr="00D55A10">
        <w:rPr>
          <w:rFonts w:hint="cs"/>
          <w:spacing w:val="-2"/>
          <w:rtl/>
        </w:rPr>
        <w:t>(</w:t>
      </w:r>
      <w:r w:rsidRPr="00D55A10">
        <w:rPr>
          <w:rFonts w:hint="cs"/>
          <w:spacing w:val="-2"/>
          <w:rtl/>
        </w:rPr>
        <w:t>3)</w:t>
      </w:r>
      <w:r w:rsidR="00406D22" w:rsidRPr="00D55A10">
        <w:rPr>
          <w:rFonts w:hint="cs"/>
          <w:spacing w:val="-2"/>
          <w:rtl/>
        </w:rPr>
        <w:t>(</w:t>
      </w:r>
      <w:r w:rsidRPr="00D55A10">
        <w:rPr>
          <w:rFonts w:hint="cs"/>
          <w:spacing w:val="-2"/>
          <w:rtl/>
        </w:rPr>
        <w:t xml:space="preserve">د) من العهد، لعدم تمكّنها من الاستعانة بمحامٍ عند إلقاء القبض عليها في 3 </w:t>
      </w:r>
      <w:r w:rsidRPr="00D55A10">
        <w:rPr>
          <w:spacing w:val="-2"/>
          <w:rtl/>
        </w:rPr>
        <w:t xml:space="preserve">أيلول/سبتمبر </w:t>
      </w:r>
      <w:r w:rsidRPr="00D55A10">
        <w:rPr>
          <w:rFonts w:hint="cs"/>
          <w:spacing w:val="-2"/>
          <w:rtl/>
        </w:rPr>
        <w:t>2013، وبأن حقها في الدفاع عن نفسها في حضور محامٍ تعرّض للانتهاك. وتلاحظ اللجنة أن صاحبة البلاغ اتُهمت بفعل إجرامي إداري، بينما توفر المادة 14</w:t>
      </w:r>
      <w:r w:rsidR="00406D22" w:rsidRPr="00D55A10">
        <w:rPr>
          <w:rFonts w:hint="cs"/>
          <w:spacing w:val="-2"/>
          <w:rtl/>
        </w:rPr>
        <w:t>(</w:t>
      </w:r>
      <w:r w:rsidRPr="00D55A10">
        <w:rPr>
          <w:rFonts w:hint="cs"/>
          <w:spacing w:val="-2"/>
          <w:rtl/>
        </w:rPr>
        <w:t>3)</w:t>
      </w:r>
      <w:r w:rsidR="00406D22" w:rsidRPr="00D55A10">
        <w:rPr>
          <w:rFonts w:hint="cs"/>
          <w:spacing w:val="-2"/>
          <w:rtl/>
        </w:rPr>
        <w:t>(</w:t>
      </w:r>
      <w:r w:rsidRPr="00D55A10">
        <w:rPr>
          <w:rFonts w:hint="cs"/>
          <w:spacing w:val="-2"/>
          <w:rtl/>
        </w:rPr>
        <w:t xml:space="preserve">د) ضمانات في قضايا تتعلق بالفصل في اتهامات جنائية ضد الأفراد. وتشير اللجنة مع ذلك إلى أنه رغم صلة التهم الجنائية من حيث المبدأ بأفعال يعاقب عليها القانون الجنائي المحلي، لا بد أن يكون </w:t>
      </w:r>
      <w:proofErr w:type="gramStart"/>
      <w:r w:rsidRPr="00D55A10">
        <w:rPr>
          <w:rFonts w:hint="cs"/>
          <w:spacing w:val="-2"/>
          <w:rtl/>
        </w:rPr>
        <w:t>مفهوم ”التهمة</w:t>
      </w:r>
      <w:proofErr w:type="gramEnd"/>
      <w:r w:rsidRPr="00D55A10">
        <w:rPr>
          <w:rFonts w:hint="cs"/>
          <w:spacing w:val="-2"/>
          <w:rtl/>
        </w:rPr>
        <w:t xml:space="preserve"> الجنائية“ داخلاً ضمن حدود معنى العهد</w:t>
      </w:r>
      <w:r w:rsidRPr="00D55A10">
        <w:rPr>
          <w:spacing w:val="-2"/>
          <w:vertAlign w:val="superscript"/>
          <w:rtl/>
        </w:rPr>
        <w:t>(</w:t>
      </w:r>
      <w:r w:rsidRPr="00D55A10">
        <w:rPr>
          <w:rStyle w:val="FootnoteReference"/>
          <w:spacing w:val="-2"/>
          <w:rtl/>
        </w:rPr>
        <w:footnoteReference w:id="7"/>
      </w:r>
      <w:r w:rsidRPr="00D55A10">
        <w:rPr>
          <w:spacing w:val="-2"/>
          <w:vertAlign w:val="superscript"/>
          <w:rtl/>
        </w:rPr>
        <w:t>)</w:t>
      </w:r>
      <w:r w:rsidRPr="00D55A10">
        <w:rPr>
          <w:rFonts w:hint="cs"/>
          <w:spacing w:val="-2"/>
          <w:rtl/>
        </w:rPr>
        <w:t>. ووفق</w:t>
      </w:r>
      <w:r w:rsidR="000C21DB" w:rsidRPr="00D55A10">
        <w:rPr>
          <w:rFonts w:hint="cs"/>
          <w:spacing w:val="-2"/>
          <w:rtl/>
        </w:rPr>
        <w:t xml:space="preserve">اً </w:t>
      </w:r>
      <w:r w:rsidRPr="00D55A10">
        <w:rPr>
          <w:rFonts w:hint="cs"/>
          <w:spacing w:val="-2"/>
          <w:rtl/>
        </w:rPr>
        <w:t>للفقرة 15 من التعليق العام رقم 32 للجنة (2007) بشأن الحق في المساواة أمام المحاكم والهيئات القضائية وفي محاكمة عادلة، يجوز أيض</w:t>
      </w:r>
      <w:r w:rsidR="000C21DB" w:rsidRPr="00D55A10">
        <w:rPr>
          <w:rFonts w:hint="cs"/>
          <w:spacing w:val="-2"/>
          <w:rtl/>
        </w:rPr>
        <w:t xml:space="preserve">اً </w:t>
      </w:r>
      <w:r w:rsidRPr="00D55A10">
        <w:rPr>
          <w:rFonts w:hint="cs"/>
          <w:spacing w:val="-2"/>
          <w:rtl/>
        </w:rPr>
        <w:t>توسيع المفهوم ليشمل الأفعال الإجرامية الطابع التي يُعاقب عليها بعقوبات والتي يجب أن تُعتبر جنائية نظراً لطبيعتها وغرضها وصرامتها، بصرف النظر عن تعريفها في القانون المحلي. وفي</w:t>
      </w:r>
      <w:r w:rsidR="000C21DB" w:rsidRPr="00D55A10">
        <w:rPr>
          <w:rFonts w:hint="eastAsia"/>
          <w:spacing w:val="-2"/>
          <w:rtl/>
        </w:rPr>
        <w:t> </w:t>
      </w:r>
      <w:r w:rsidRPr="00D55A10">
        <w:rPr>
          <w:rFonts w:hint="cs"/>
          <w:spacing w:val="-2"/>
          <w:rtl/>
        </w:rPr>
        <w:t xml:space="preserve">القضيتين الراهنتين أُلقي القبض على صاحبة البلاغ، ومثُلت أمام المحكمة، ووجد أنها مذنبة، وعوقبت بغرامة كبيرة بسبب التماسها معلومات والمشاركة في مناسبة سلمية عامة. وتلاحظ اللجنة أن هذه العقوبة سبقها حرمان من الحرية، رغم أنه لم يطُل، وكان هدفها معاقبة صاحبة البلاغ على أفعالها واستخدام ذلك رادعاً للأفعال الإجرامية المماثلة في المستقبل - وهي أهداف متجانسة مع الهدف العام للقانون </w:t>
      </w:r>
      <w:proofErr w:type="gramStart"/>
      <w:r w:rsidRPr="00D55A10">
        <w:rPr>
          <w:rFonts w:hint="cs"/>
          <w:spacing w:val="-2"/>
          <w:rtl/>
        </w:rPr>
        <w:t>الجنائي</w:t>
      </w:r>
      <w:r w:rsidRPr="00D55A10">
        <w:rPr>
          <w:spacing w:val="-2"/>
          <w:vertAlign w:val="superscript"/>
          <w:rtl/>
        </w:rPr>
        <w:t>(</w:t>
      </w:r>
      <w:proofErr w:type="gramEnd"/>
      <w:r w:rsidRPr="00D55A10">
        <w:rPr>
          <w:rStyle w:val="FootnoteReference"/>
          <w:spacing w:val="-2"/>
          <w:rtl/>
        </w:rPr>
        <w:footnoteReference w:id="8"/>
      </w:r>
      <w:r w:rsidRPr="00D55A10">
        <w:rPr>
          <w:spacing w:val="-2"/>
          <w:vertAlign w:val="superscript"/>
          <w:rtl/>
        </w:rPr>
        <w:t>)</w:t>
      </w:r>
      <w:r w:rsidRPr="00D55A10">
        <w:rPr>
          <w:rFonts w:hint="cs"/>
          <w:spacing w:val="-2"/>
          <w:rtl/>
        </w:rPr>
        <w:t>. وعلى ضوء ذلك، ترى اللجنة أن ادعاء صاحبة البلاغ يندرج في الحماية التي توفرها المادة 14</w:t>
      </w:r>
      <w:r w:rsidR="00406D22" w:rsidRPr="00D55A10">
        <w:rPr>
          <w:rFonts w:hint="cs"/>
          <w:spacing w:val="-2"/>
          <w:rtl/>
        </w:rPr>
        <w:t>(</w:t>
      </w:r>
      <w:r w:rsidRPr="00D55A10">
        <w:rPr>
          <w:rFonts w:hint="cs"/>
          <w:spacing w:val="-2"/>
          <w:rtl/>
        </w:rPr>
        <w:t>3)</w:t>
      </w:r>
      <w:r w:rsidR="00406D22" w:rsidRPr="00D55A10">
        <w:rPr>
          <w:rFonts w:hint="cs"/>
          <w:spacing w:val="-2"/>
          <w:rtl/>
        </w:rPr>
        <w:t>(</w:t>
      </w:r>
      <w:r w:rsidRPr="00D55A10">
        <w:rPr>
          <w:rFonts w:hint="cs"/>
          <w:spacing w:val="-2"/>
          <w:rtl/>
        </w:rPr>
        <w:t>د) من العهد. بيد أن اللجنة تلاحظ عدم تقديم صاحبة البلاغ أي تفاصيل أو وثائق لتدعيم ادعاءها بحرمانها من الاستعانة بمحامٍ فيما يتصل بإجراءات الدعوى ضدها، وتعتبر أن هذه الادعاءات غير مقبولة بموجب المادة 2 من البروتوكول الاختياري.</w:t>
      </w:r>
    </w:p>
    <w:p w14:paraId="378CC611" w14:textId="77777777" w:rsidR="002A3CD4" w:rsidRDefault="002A3CD4" w:rsidP="009343D3">
      <w:pPr>
        <w:pStyle w:val="SingleTxtGA"/>
        <w:spacing w:line="370" w:lineRule="exact"/>
        <w:rPr>
          <w:rtl/>
        </w:rPr>
      </w:pPr>
      <w:r>
        <w:rPr>
          <w:rFonts w:hint="cs"/>
          <w:rtl/>
        </w:rPr>
        <w:t>8-6</w:t>
      </w:r>
      <w:r>
        <w:rPr>
          <w:rtl/>
        </w:rPr>
        <w:tab/>
      </w:r>
      <w:r>
        <w:rPr>
          <w:rFonts w:hint="cs"/>
          <w:rtl/>
        </w:rPr>
        <w:t>وتلاحظ اللجنة أن صاحبة البلاغ لم تقدم أي توضيح لادعاءاتها بموجب المادة</w:t>
      </w:r>
      <w:r w:rsidR="000C21DB">
        <w:rPr>
          <w:rFonts w:hint="eastAsia"/>
          <w:rtl/>
        </w:rPr>
        <w:t> </w:t>
      </w:r>
      <w:r>
        <w:rPr>
          <w:rFonts w:hint="cs"/>
          <w:rtl/>
        </w:rPr>
        <w:t>14</w:t>
      </w:r>
      <w:r w:rsidR="00406D22" w:rsidRPr="00406D22">
        <w:rPr>
          <w:rFonts w:hint="cs"/>
          <w:rtl/>
        </w:rPr>
        <w:t>(</w:t>
      </w:r>
      <w:r>
        <w:rPr>
          <w:rFonts w:hint="cs"/>
          <w:rtl/>
        </w:rPr>
        <w:t>2)</w:t>
      </w:r>
      <w:r w:rsidR="00406D22" w:rsidRPr="00406D22">
        <w:rPr>
          <w:rFonts w:hint="cs"/>
          <w:rtl/>
        </w:rPr>
        <w:t>(</w:t>
      </w:r>
      <w:r>
        <w:rPr>
          <w:rFonts w:hint="cs"/>
          <w:rtl/>
        </w:rPr>
        <w:t>ز) من العهد. وتجد من ثم أن هذا الجزء من البلاغ غير مدعم وغير مقبول بموجب المادة 3 من البروتوكول الاختياري</w:t>
      </w:r>
      <w:r w:rsidR="00141379">
        <w:rPr>
          <w:rFonts w:hint="cs"/>
          <w:rtl/>
        </w:rPr>
        <w:t>.</w:t>
      </w:r>
    </w:p>
    <w:p w14:paraId="2E975B0F" w14:textId="77777777" w:rsidR="002A3CD4" w:rsidRDefault="002A3CD4" w:rsidP="002A3CD4">
      <w:pPr>
        <w:pStyle w:val="SingleTxtGA"/>
        <w:rPr>
          <w:rtl/>
        </w:rPr>
      </w:pPr>
      <w:r>
        <w:rPr>
          <w:rFonts w:hint="cs"/>
          <w:rtl/>
        </w:rPr>
        <w:lastRenderedPageBreak/>
        <w:t>8-7</w:t>
      </w:r>
      <w:r>
        <w:rPr>
          <w:rtl/>
        </w:rPr>
        <w:tab/>
      </w:r>
      <w:r>
        <w:rPr>
          <w:rFonts w:hint="cs"/>
          <w:rtl/>
        </w:rPr>
        <w:t>وترى اللجنة أن صاحبة البلاغ دعمت بشكل كافٍ لغرض المقبولية، باقي ادعاءاتها بموجب المادة 19</w:t>
      </w:r>
      <w:r w:rsidR="00406D22" w:rsidRPr="00406D22">
        <w:rPr>
          <w:rFonts w:hint="cs"/>
          <w:rtl/>
        </w:rPr>
        <w:t>(</w:t>
      </w:r>
      <w:r>
        <w:rPr>
          <w:rFonts w:hint="cs"/>
          <w:rtl/>
        </w:rPr>
        <w:t>2)</w:t>
      </w:r>
      <w:r w:rsidR="00406D22" w:rsidRPr="00406D22">
        <w:rPr>
          <w:rFonts w:hint="cs"/>
          <w:rtl/>
        </w:rPr>
        <w:t xml:space="preserve"> و</w:t>
      </w:r>
      <w:r>
        <w:rPr>
          <w:rFonts w:hint="cs"/>
          <w:rtl/>
        </w:rPr>
        <w:t>21 من العهد في البلاغ رقم 2542/2015، وادعاءاتها بموجب المادة</w:t>
      </w:r>
      <w:r w:rsidR="000C21DB">
        <w:rPr>
          <w:rFonts w:hint="eastAsia"/>
          <w:rtl/>
        </w:rPr>
        <w:t> </w:t>
      </w:r>
      <w:r>
        <w:rPr>
          <w:rFonts w:hint="cs"/>
          <w:rtl/>
        </w:rPr>
        <w:t>21 في البلاغ رقم 2543/2015. وعلى ذلك، تعلن مقبولية هذه الادعاءات وتمضي إلى النظر فيها على أساس الموضوع.</w:t>
      </w:r>
    </w:p>
    <w:p w14:paraId="7F8D22F7" w14:textId="77777777" w:rsidR="002A3CD4" w:rsidRDefault="002A3CD4" w:rsidP="00406D22">
      <w:pPr>
        <w:pStyle w:val="H4GA"/>
        <w:rPr>
          <w:rtl/>
        </w:rPr>
      </w:pPr>
      <w:r w:rsidRPr="00F67FFB">
        <w:rPr>
          <w:rtl/>
        </w:rPr>
        <w:tab/>
      </w:r>
      <w:r>
        <w:rPr>
          <w:rtl/>
        </w:rPr>
        <w:tab/>
      </w:r>
      <w:r w:rsidRPr="00F67FFB">
        <w:rPr>
          <w:rFonts w:hint="cs"/>
          <w:rtl/>
        </w:rPr>
        <w:t>النظر في الموضوع</w:t>
      </w:r>
    </w:p>
    <w:p w14:paraId="648359BC" w14:textId="77777777" w:rsidR="002A3CD4" w:rsidRDefault="002A3CD4" w:rsidP="002A3CD4">
      <w:pPr>
        <w:pStyle w:val="SingleTxtGA"/>
        <w:rPr>
          <w:rtl/>
        </w:rPr>
      </w:pPr>
      <w:r>
        <w:rPr>
          <w:rFonts w:hint="cs"/>
          <w:rtl/>
        </w:rPr>
        <w:t>9-1</w:t>
      </w:r>
      <w:r>
        <w:rPr>
          <w:rtl/>
        </w:rPr>
        <w:tab/>
      </w:r>
      <w:r>
        <w:rPr>
          <w:rFonts w:hint="cs"/>
          <w:rtl/>
        </w:rPr>
        <w:t>نظرت اللجنة في البلاغين الحاليين على ضوء جميع المعلومات التي قدمها الطرفان، وفق</w:t>
      </w:r>
      <w:r w:rsidR="000C21DB" w:rsidRPr="000C21DB">
        <w:rPr>
          <w:rFonts w:hint="cs"/>
          <w:rtl/>
        </w:rPr>
        <w:t xml:space="preserve">اً </w:t>
      </w:r>
      <w:r>
        <w:rPr>
          <w:rFonts w:hint="cs"/>
          <w:rtl/>
        </w:rPr>
        <w:t>للمادة 5</w:t>
      </w:r>
      <w:r w:rsidR="00406D22" w:rsidRPr="00406D22">
        <w:rPr>
          <w:rFonts w:hint="cs"/>
          <w:rtl/>
        </w:rPr>
        <w:t>(</w:t>
      </w:r>
      <w:r>
        <w:rPr>
          <w:rFonts w:hint="cs"/>
          <w:rtl/>
        </w:rPr>
        <w:t>1) من البروتوكول الاختياري.</w:t>
      </w:r>
    </w:p>
    <w:p w14:paraId="1E1672D1" w14:textId="77777777" w:rsidR="002A3CD4" w:rsidRDefault="002A3CD4" w:rsidP="00406D22">
      <w:pPr>
        <w:pStyle w:val="H4GA"/>
        <w:rPr>
          <w:rtl/>
        </w:rPr>
      </w:pPr>
      <w:r w:rsidRPr="00F67FFB">
        <w:rPr>
          <w:rtl/>
        </w:rPr>
        <w:tab/>
      </w:r>
      <w:r w:rsidRPr="00F67FFB">
        <w:rPr>
          <w:rtl/>
        </w:rPr>
        <w:tab/>
      </w:r>
      <w:r w:rsidRPr="00F67FFB">
        <w:rPr>
          <w:rFonts w:hint="cs"/>
          <w:rtl/>
        </w:rPr>
        <w:t>البلاغ رقم 2542/2015</w:t>
      </w:r>
    </w:p>
    <w:p w14:paraId="5E3F7685" w14:textId="77777777" w:rsidR="002A3CD4" w:rsidRDefault="002A3CD4" w:rsidP="009343D3">
      <w:pPr>
        <w:pStyle w:val="SingleTxtGA"/>
        <w:spacing w:line="370" w:lineRule="exact"/>
        <w:rPr>
          <w:rtl/>
        </w:rPr>
      </w:pPr>
      <w:r>
        <w:rPr>
          <w:rFonts w:hint="cs"/>
          <w:rtl/>
        </w:rPr>
        <w:t>9-2</w:t>
      </w:r>
      <w:r>
        <w:rPr>
          <w:rtl/>
        </w:rPr>
        <w:tab/>
      </w:r>
      <w:r>
        <w:rPr>
          <w:rFonts w:hint="cs"/>
          <w:rtl/>
        </w:rPr>
        <w:t>تلاحظ اللجنة ادعاء صاحبة البلاغ بانتهاك حقها في التماس المعلومات بموجب المادة</w:t>
      </w:r>
      <w:r w:rsidR="000C21DB">
        <w:rPr>
          <w:rFonts w:hint="eastAsia"/>
          <w:rtl/>
        </w:rPr>
        <w:t> </w:t>
      </w:r>
      <w:r>
        <w:rPr>
          <w:rFonts w:hint="cs"/>
          <w:rtl/>
        </w:rPr>
        <w:t>19</w:t>
      </w:r>
      <w:r w:rsidR="00406D22" w:rsidRPr="00406D22">
        <w:rPr>
          <w:rFonts w:hint="cs"/>
          <w:rtl/>
        </w:rPr>
        <w:t>(</w:t>
      </w:r>
      <w:r>
        <w:rPr>
          <w:rFonts w:hint="cs"/>
          <w:rtl/>
        </w:rPr>
        <w:t xml:space="preserve">2) من العهد، بتعرضها للعقوبة جراء توزيع دعوات لاجتماع عام في 3 </w:t>
      </w:r>
      <w:r>
        <w:rPr>
          <w:rtl/>
        </w:rPr>
        <w:t>أيلول</w:t>
      </w:r>
      <w:proofErr w:type="gramStart"/>
      <w:r>
        <w:rPr>
          <w:rtl/>
        </w:rPr>
        <w:t>/</w:t>
      </w:r>
      <w:r w:rsidR="000C21DB">
        <w:rPr>
          <w:rFonts w:hint="cs"/>
          <w:rtl/>
        </w:rPr>
        <w:t xml:space="preserve">  </w:t>
      </w:r>
      <w:r>
        <w:rPr>
          <w:rtl/>
        </w:rPr>
        <w:t>سبتمبر</w:t>
      </w:r>
      <w:proofErr w:type="gramEnd"/>
      <w:r>
        <w:rPr>
          <w:rtl/>
        </w:rPr>
        <w:t xml:space="preserve"> </w:t>
      </w:r>
      <w:r>
        <w:rPr>
          <w:rFonts w:hint="cs"/>
          <w:rtl/>
        </w:rPr>
        <w:t>2013. وعلى اللجنة أن تقرر من ثم ما إذا كانت القيود التي وُضعت على صاحبة البلاغ مبررة بموجب أحد القيود المحددة في المادة 19</w:t>
      </w:r>
      <w:r w:rsidR="00406D22" w:rsidRPr="00406D22">
        <w:rPr>
          <w:rFonts w:hint="cs"/>
          <w:rtl/>
        </w:rPr>
        <w:t>(</w:t>
      </w:r>
      <w:r>
        <w:rPr>
          <w:rFonts w:hint="cs"/>
          <w:rtl/>
        </w:rPr>
        <w:t>3) من العهد.</w:t>
      </w:r>
    </w:p>
    <w:p w14:paraId="43B2A7CE" w14:textId="77777777" w:rsidR="002A3CD4" w:rsidRDefault="002A3CD4" w:rsidP="009343D3">
      <w:pPr>
        <w:pStyle w:val="SingleTxtGA"/>
        <w:spacing w:line="370" w:lineRule="exact"/>
        <w:rPr>
          <w:rtl/>
        </w:rPr>
      </w:pPr>
      <w:r>
        <w:rPr>
          <w:rFonts w:hint="cs"/>
          <w:rtl/>
        </w:rPr>
        <w:t>9-3</w:t>
      </w:r>
      <w:r>
        <w:rPr>
          <w:rtl/>
        </w:rPr>
        <w:tab/>
      </w:r>
      <w:r>
        <w:rPr>
          <w:rFonts w:hint="cs"/>
          <w:rtl/>
        </w:rPr>
        <w:t>وتشير اللجنة إلى تعليقها العام رقم 34</w:t>
      </w:r>
      <w:r w:rsidR="00406D22" w:rsidRPr="00406D22">
        <w:rPr>
          <w:rFonts w:hint="cs"/>
          <w:rtl/>
        </w:rPr>
        <w:t>(</w:t>
      </w:r>
      <w:r>
        <w:rPr>
          <w:rFonts w:hint="cs"/>
          <w:rtl/>
        </w:rPr>
        <w:t>2011) بشأن حرية الرأي وحرية التعبير، الذي ذهب إلى أن حرية الرأي وحرية التعبير شرطان لا غنى عنهما لتحقيق النمو الكامل للفرد. وهما أيض</w:t>
      </w:r>
      <w:r w:rsidR="000C21DB" w:rsidRPr="000C21DB">
        <w:rPr>
          <w:rFonts w:hint="cs"/>
          <w:rtl/>
        </w:rPr>
        <w:t xml:space="preserve">اً </w:t>
      </w:r>
      <w:r>
        <w:rPr>
          <w:rFonts w:hint="cs"/>
          <w:rtl/>
        </w:rPr>
        <w:t>عنصران أساسيان لأي مجتمع، ويشكلّان حجر الزاوية لكل مجتمع تسوده الحرية والديمقراطية (الفقرة 2). ولا بد أن تكون جميع القيود التي تُفرض على حرية التعبير متلائمة مع</w:t>
      </w:r>
      <w:r w:rsidR="001F3B65">
        <w:rPr>
          <w:rFonts w:hint="eastAsia"/>
          <w:rtl/>
        </w:rPr>
        <w:t> </w:t>
      </w:r>
      <w:r>
        <w:rPr>
          <w:rFonts w:hint="cs"/>
          <w:rtl/>
        </w:rPr>
        <w:t xml:space="preserve">اختبارات صارمة تتعلق بالضرورة </w:t>
      </w:r>
      <w:proofErr w:type="gramStart"/>
      <w:r>
        <w:rPr>
          <w:rFonts w:hint="cs"/>
          <w:rtl/>
        </w:rPr>
        <w:t>والتناسب ”ولا</w:t>
      </w:r>
      <w:proofErr w:type="gramEnd"/>
      <w:r>
        <w:rPr>
          <w:rFonts w:hint="cs"/>
          <w:rtl/>
        </w:rPr>
        <w:t xml:space="preserve"> يجوز تطبيقها إلا في الأغراض التي وُضعت من أجلها“ ولا بد أن ”تتعلق مباشرة بالغرض المحدد الذي تأسست عليه“ (الفقرة 22).</w:t>
      </w:r>
    </w:p>
    <w:p w14:paraId="37DC5B5C" w14:textId="77777777" w:rsidR="002A3CD4" w:rsidRPr="00F67FFB" w:rsidRDefault="002A3CD4" w:rsidP="009343D3">
      <w:pPr>
        <w:pStyle w:val="SingleTxtGA"/>
        <w:spacing w:line="370" w:lineRule="exact"/>
        <w:rPr>
          <w:rtl/>
        </w:rPr>
      </w:pPr>
      <w:r>
        <w:rPr>
          <w:rFonts w:hint="cs"/>
          <w:rtl/>
        </w:rPr>
        <w:t>9-4</w:t>
      </w:r>
      <w:r>
        <w:rPr>
          <w:rtl/>
        </w:rPr>
        <w:tab/>
      </w:r>
      <w:r>
        <w:rPr>
          <w:rFonts w:hint="cs"/>
          <w:rtl/>
        </w:rPr>
        <w:t>وتلاحظ اللجنة دفع الدولة الطرف بأن التشريع الوطني يتقيد بأحكام المادة 19</w:t>
      </w:r>
      <w:r w:rsidR="00406D22" w:rsidRPr="00406D22">
        <w:rPr>
          <w:rFonts w:hint="cs"/>
          <w:rtl/>
        </w:rPr>
        <w:t>(</w:t>
      </w:r>
      <w:r>
        <w:rPr>
          <w:rFonts w:hint="cs"/>
          <w:rtl/>
        </w:rPr>
        <w:t>3) من العهد، وأن الهدف منه هو تعزيز حرية التعبير وليس تقييدها. لكن اللجنة تلاحظ أن الدولة الطرف لم تقدم تفسير</w:t>
      </w:r>
      <w:r w:rsidR="000C21DB" w:rsidRPr="000C21DB">
        <w:rPr>
          <w:rFonts w:hint="cs"/>
          <w:rtl/>
        </w:rPr>
        <w:t xml:space="preserve">اً </w:t>
      </w:r>
      <w:r>
        <w:rPr>
          <w:rFonts w:hint="cs"/>
          <w:rtl/>
        </w:rPr>
        <w:t>للكيفية التي يمكن أن تتسبب بها أفعال صاحبة البلاغ في تعريض حقوق الغير وسمعتهم، أو الأمن</w:t>
      </w:r>
      <w:r>
        <w:rPr>
          <w:rFonts w:hint="eastAsia"/>
          <w:rtl/>
        </w:rPr>
        <w:t> </w:t>
      </w:r>
      <w:r>
        <w:rPr>
          <w:rFonts w:hint="cs"/>
          <w:rtl/>
        </w:rPr>
        <w:t>القومي، أو النظام العام أو الصحة العامة أو الآداب العامة للخطر، على ضوء ما تنص عليه المادة</w:t>
      </w:r>
      <w:r>
        <w:rPr>
          <w:rFonts w:hint="eastAsia"/>
          <w:rtl/>
        </w:rPr>
        <w:t> </w:t>
      </w:r>
      <w:r>
        <w:rPr>
          <w:rFonts w:hint="cs"/>
          <w:rtl/>
        </w:rPr>
        <w:t>19</w:t>
      </w:r>
      <w:r w:rsidR="00406D22" w:rsidRPr="00406D22">
        <w:rPr>
          <w:rFonts w:hint="cs"/>
          <w:rtl/>
        </w:rPr>
        <w:t>(</w:t>
      </w:r>
      <w:r>
        <w:rPr>
          <w:rFonts w:hint="cs"/>
          <w:rtl/>
        </w:rPr>
        <w:t>3) من العهد. وفي غياب مثل هذا التفسير، تجد اللجنة أن معاقبة صاحبة البلاغ لتوزيعها دعوات لمناسبة عامة سلمية، حتى ولو لم يكن مرخص</w:t>
      </w:r>
      <w:r w:rsidR="000C21DB" w:rsidRPr="000C21DB">
        <w:rPr>
          <w:rFonts w:hint="cs"/>
          <w:rtl/>
        </w:rPr>
        <w:t xml:space="preserve">اً </w:t>
      </w:r>
      <w:r>
        <w:rPr>
          <w:rFonts w:hint="cs"/>
          <w:rtl/>
        </w:rPr>
        <w:t>بها، كان غير ضروري وغير متناسب مع الشروط المحددة في المادة 19</w:t>
      </w:r>
      <w:r w:rsidR="00406D22" w:rsidRPr="00406D22">
        <w:rPr>
          <w:rFonts w:hint="cs"/>
          <w:rtl/>
        </w:rPr>
        <w:t>(</w:t>
      </w:r>
      <w:r>
        <w:rPr>
          <w:rFonts w:hint="cs"/>
          <w:rtl/>
        </w:rPr>
        <w:t xml:space="preserve">3) من </w:t>
      </w:r>
      <w:proofErr w:type="gramStart"/>
      <w:r>
        <w:rPr>
          <w:rFonts w:hint="cs"/>
          <w:rtl/>
        </w:rPr>
        <w:t>العهد</w:t>
      </w:r>
      <w:r w:rsidRPr="00F67FFB">
        <w:rPr>
          <w:vertAlign w:val="superscript"/>
          <w:rtl/>
        </w:rPr>
        <w:t>(</w:t>
      </w:r>
      <w:proofErr w:type="gramEnd"/>
      <w:r w:rsidRPr="00F67FFB">
        <w:rPr>
          <w:rStyle w:val="FootnoteReference"/>
          <w:rtl/>
        </w:rPr>
        <w:footnoteReference w:id="9"/>
      </w:r>
      <w:r w:rsidRPr="00F67FFB">
        <w:rPr>
          <w:vertAlign w:val="superscript"/>
          <w:rtl/>
        </w:rPr>
        <w:t>)</w:t>
      </w:r>
      <w:r>
        <w:rPr>
          <w:rFonts w:hint="cs"/>
          <w:rtl/>
        </w:rPr>
        <w:t>. وتستنتج اللجنة من ذلك أن حقوق صاحبة البلاغ في إطار المادة 19</w:t>
      </w:r>
      <w:r w:rsidR="00406D22" w:rsidRPr="00406D22">
        <w:rPr>
          <w:rFonts w:hint="cs"/>
          <w:rtl/>
        </w:rPr>
        <w:t>(</w:t>
      </w:r>
      <w:r>
        <w:rPr>
          <w:rFonts w:hint="cs"/>
          <w:rtl/>
        </w:rPr>
        <w:t>2) تعرضت للانتهاك.</w:t>
      </w:r>
    </w:p>
    <w:p w14:paraId="1BA9A3E1" w14:textId="77777777" w:rsidR="002A3CD4" w:rsidRDefault="002A3CD4" w:rsidP="002A3CD4">
      <w:pPr>
        <w:pStyle w:val="SingleTxtGA"/>
        <w:rPr>
          <w:rtl/>
        </w:rPr>
      </w:pPr>
      <w:r>
        <w:rPr>
          <w:rFonts w:hint="cs"/>
          <w:rtl/>
        </w:rPr>
        <w:t>9-5</w:t>
      </w:r>
      <w:r>
        <w:rPr>
          <w:rtl/>
        </w:rPr>
        <w:tab/>
      </w:r>
      <w:r>
        <w:rPr>
          <w:rFonts w:hint="cs"/>
          <w:rtl/>
        </w:rPr>
        <w:t>وبخصوص ادعاء صاحبة البلاغ بأن حقوقها بموجب المادة 21 من العهد قد انتُهكت، تشير اللجنة إلى أن الحق في التجمع السلمي هو حق من حقوق الإنسان الأساسية، وهو حق جوهري للتعبير علن</w:t>
      </w:r>
      <w:r w:rsidR="000C21DB" w:rsidRPr="000C21DB">
        <w:rPr>
          <w:rFonts w:hint="cs"/>
          <w:rtl/>
        </w:rPr>
        <w:t xml:space="preserve">اً </w:t>
      </w:r>
      <w:r>
        <w:rPr>
          <w:rFonts w:hint="cs"/>
          <w:rtl/>
        </w:rPr>
        <w:t xml:space="preserve">عن وجهات نظر المرء وآرائه ولا غنى عنه لأي مجتمع </w:t>
      </w:r>
      <w:proofErr w:type="gramStart"/>
      <w:r>
        <w:rPr>
          <w:rFonts w:hint="cs"/>
          <w:rtl/>
        </w:rPr>
        <w:t>ديمقراطي</w:t>
      </w:r>
      <w:r w:rsidRPr="004455CF">
        <w:rPr>
          <w:vertAlign w:val="superscript"/>
          <w:rtl/>
        </w:rPr>
        <w:t>(</w:t>
      </w:r>
      <w:proofErr w:type="gramEnd"/>
      <w:r w:rsidRPr="004455CF">
        <w:rPr>
          <w:rStyle w:val="FootnoteReference"/>
          <w:rtl/>
        </w:rPr>
        <w:footnoteReference w:id="10"/>
      </w:r>
      <w:r w:rsidRPr="004455CF">
        <w:rPr>
          <w:vertAlign w:val="superscript"/>
          <w:rtl/>
        </w:rPr>
        <w:t>)</w:t>
      </w:r>
      <w:r>
        <w:rPr>
          <w:rFonts w:hint="cs"/>
          <w:rtl/>
        </w:rPr>
        <w:t xml:space="preserve">. ويتيح هذا الحق إمكانية تنظيم تجمّع سلمي والمشاركة فيه في مكان عام. ويكون لمنظمي التجمع </w:t>
      </w:r>
      <w:r>
        <w:rPr>
          <w:rFonts w:hint="cs"/>
          <w:rtl/>
        </w:rPr>
        <w:lastRenderedPageBreak/>
        <w:t>عموم</w:t>
      </w:r>
      <w:r w:rsidR="000C21DB" w:rsidRPr="000C21DB">
        <w:rPr>
          <w:rFonts w:hint="cs"/>
          <w:rtl/>
        </w:rPr>
        <w:t xml:space="preserve">اً </w:t>
      </w:r>
      <w:r>
        <w:rPr>
          <w:rFonts w:hint="cs"/>
          <w:rtl/>
        </w:rPr>
        <w:t>الحق في اختيار الموقع بالقرب من جمهورهم المستهدف بصر</w:t>
      </w:r>
      <w:r w:rsidR="000C21DB" w:rsidRPr="000C21DB">
        <w:rPr>
          <w:rFonts w:hint="cs"/>
          <w:rtl/>
        </w:rPr>
        <w:t xml:space="preserve">اً </w:t>
      </w:r>
      <w:r>
        <w:rPr>
          <w:rFonts w:hint="cs"/>
          <w:rtl/>
        </w:rPr>
        <w:t>وسمع</w:t>
      </w:r>
      <w:r w:rsidR="000C21DB" w:rsidRPr="000C21DB">
        <w:rPr>
          <w:rFonts w:hint="cs"/>
          <w:rtl/>
        </w:rPr>
        <w:t xml:space="preserve">اً، </w:t>
      </w:r>
      <w:r>
        <w:rPr>
          <w:rFonts w:hint="cs"/>
          <w:rtl/>
        </w:rPr>
        <w:t>ولا يجوز أن يقيّد هذا الحق إلا إذا: (أ) فُرض وفق</w:t>
      </w:r>
      <w:r w:rsidR="000C21DB" w:rsidRPr="000C21DB">
        <w:rPr>
          <w:rFonts w:hint="cs"/>
          <w:rtl/>
        </w:rPr>
        <w:t xml:space="preserve">اً </w:t>
      </w:r>
      <w:r>
        <w:rPr>
          <w:rFonts w:hint="cs"/>
          <w:rtl/>
        </w:rPr>
        <w:t>للقانون؛</w:t>
      </w:r>
      <w:r w:rsidR="00406D22" w:rsidRPr="00406D22">
        <w:rPr>
          <w:rFonts w:hint="cs"/>
          <w:rtl/>
        </w:rPr>
        <w:t xml:space="preserve"> و</w:t>
      </w:r>
      <w:r>
        <w:rPr>
          <w:rFonts w:hint="cs"/>
          <w:rtl/>
        </w:rPr>
        <w:t>(ب) كان ضروري</w:t>
      </w:r>
      <w:r w:rsidR="000C21DB" w:rsidRPr="000C21DB">
        <w:rPr>
          <w:rFonts w:hint="cs"/>
          <w:rtl/>
        </w:rPr>
        <w:t xml:space="preserve">اً </w:t>
      </w:r>
      <w:r>
        <w:rPr>
          <w:rFonts w:hint="cs"/>
          <w:rtl/>
        </w:rPr>
        <w:t>للمجتمع الديمقراطي ولصالح الأمن القومي والسلامة العامة والنظام العام وحماية الصحة أو الآداب العامة أو حماية حقوق وحريات الآخرين. وعندما تفرض إحدى الدول الأعضاء قيود</w:t>
      </w:r>
      <w:r w:rsidR="000C21DB" w:rsidRPr="000C21DB">
        <w:rPr>
          <w:rFonts w:hint="cs"/>
          <w:rtl/>
        </w:rPr>
        <w:t xml:space="preserve">اً </w:t>
      </w:r>
      <w:r>
        <w:rPr>
          <w:rFonts w:hint="cs"/>
          <w:rtl/>
        </w:rPr>
        <w:t xml:space="preserve">هدفها التوفيق بين حق الفرد في التجمع السلمي وبين المصالح الأخرى المشار إليها أعلاه، عليها أن تهتدي في ذلك بغاية تسهيل الحق وليس السعي إلى تقييده بشكل غير ضروري أو غير </w:t>
      </w:r>
      <w:proofErr w:type="gramStart"/>
      <w:r>
        <w:rPr>
          <w:rFonts w:hint="cs"/>
          <w:rtl/>
        </w:rPr>
        <w:t>متناسب</w:t>
      </w:r>
      <w:r w:rsidRPr="004455CF">
        <w:rPr>
          <w:vertAlign w:val="superscript"/>
          <w:rtl/>
        </w:rPr>
        <w:t>(</w:t>
      </w:r>
      <w:proofErr w:type="gramEnd"/>
      <w:r w:rsidRPr="004455CF">
        <w:rPr>
          <w:rStyle w:val="FootnoteReference"/>
          <w:rtl/>
        </w:rPr>
        <w:footnoteReference w:id="11"/>
      </w:r>
      <w:r w:rsidRPr="004455CF">
        <w:rPr>
          <w:vertAlign w:val="superscript"/>
          <w:rtl/>
        </w:rPr>
        <w:t>)</w:t>
      </w:r>
      <w:r>
        <w:rPr>
          <w:rFonts w:hint="cs"/>
          <w:rtl/>
        </w:rPr>
        <w:t>. وعلى ذلك يقع على الدولة الطرف التزام تبرير أي قيد تضعه على الحق الذي تحميه المادة 21 من العهد وإظهار أن القيد لا</w:t>
      </w:r>
      <w:r>
        <w:rPr>
          <w:rFonts w:hint="eastAsia"/>
          <w:rtl/>
        </w:rPr>
        <w:t> </w:t>
      </w:r>
      <w:r>
        <w:rPr>
          <w:rFonts w:hint="cs"/>
          <w:rtl/>
        </w:rPr>
        <w:t xml:space="preserve">يخلق عقبة غير متناسبة أمام ممارسة هذا </w:t>
      </w:r>
      <w:proofErr w:type="gramStart"/>
      <w:r>
        <w:rPr>
          <w:rFonts w:hint="cs"/>
          <w:rtl/>
        </w:rPr>
        <w:t>الحق</w:t>
      </w:r>
      <w:r w:rsidRPr="00B31F1F">
        <w:rPr>
          <w:vertAlign w:val="superscript"/>
          <w:rtl/>
        </w:rPr>
        <w:t>(</w:t>
      </w:r>
      <w:proofErr w:type="gramEnd"/>
      <w:r w:rsidRPr="00B31F1F">
        <w:rPr>
          <w:rStyle w:val="FootnoteReference"/>
          <w:rtl/>
        </w:rPr>
        <w:footnoteReference w:id="12"/>
      </w:r>
      <w:r w:rsidRPr="00B31F1F">
        <w:rPr>
          <w:vertAlign w:val="superscript"/>
          <w:rtl/>
        </w:rPr>
        <w:t>)</w:t>
      </w:r>
      <w:r>
        <w:rPr>
          <w:rFonts w:hint="cs"/>
          <w:rtl/>
        </w:rPr>
        <w:t>.</w:t>
      </w:r>
    </w:p>
    <w:p w14:paraId="56009ED7" w14:textId="77777777" w:rsidR="002A3CD4" w:rsidRPr="00D55A10" w:rsidRDefault="002A3CD4" w:rsidP="009343D3">
      <w:pPr>
        <w:pStyle w:val="SingleTxtGA"/>
        <w:spacing w:line="370" w:lineRule="exact"/>
        <w:rPr>
          <w:spacing w:val="-2"/>
          <w:rtl/>
        </w:rPr>
      </w:pPr>
      <w:r w:rsidRPr="00D55A10">
        <w:rPr>
          <w:rFonts w:hint="cs"/>
          <w:spacing w:val="-2"/>
          <w:rtl/>
        </w:rPr>
        <w:t>9-6</w:t>
      </w:r>
      <w:r w:rsidRPr="00D55A10">
        <w:rPr>
          <w:spacing w:val="-2"/>
          <w:rtl/>
        </w:rPr>
        <w:tab/>
      </w:r>
      <w:r w:rsidRPr="00D55A10">
        <w:rPr>
          <w:rFonts w:hint="cs"/>
          <w:spacing w:val="-2"/>
          <w:rtl/>
        </w:rPr>
        <w:t>وتلاحظ اللجنة أنه في الحالة التي يكون فيها نظام الترخيص مساوي</w:t>
      </w:r>
      <w:r w:rsidR="000C21DB" w:rsidRPr="00D55A10">
        <w:rPr>
          <w:rFonts w:hint="cs"/>
          <w:spacing w:val="-2"/>
          <w:rtl/>
        </w:rPr>
        <w:t xml:space="preserve">اً </w:t>
      </w:r>
      <w:r w:rsidRPr="00D55A10">
        <w:rPr>
          <w:rFonts w:hint="cs"/>
          <w:spacing w:val="-2"/>
          <w:rtl/>
        </w:rPr>
        <w:t>في الواقع لنظام الإشعار ويُمنح فيها الترخيص بعقد المناسبة العامة كأمر اعتيادي، لا يمثل شرط الإشعار أو</w:t>
      </w:r>
      <w:r w:rsidR="000C21DB" w:rsidRPr="00D55A10">
        <w:rPr>
          <w:rFonts w:hint="eastAsia"/>
          <w:spacing w:val="-2"/>
          <w:rtl/>
        </w:rPr>
        <w:t> </w:t>
      </w:r>
      <w:r w:rsidRPr="00D55A10">
        <w:rPr>
          <w:rFonts w:hint="cs"/>
          <w:spacing w:val="-2"/>
          <w:rtl/>
        </w:rPr>
        <w:t>التماس الترخيص من السلطات في حد ذاته انتهاك</w:t>
      </w:r>
      <w:r w:rsidR="000C21DB" w:rsidRPr="00D55A10">
        <w:rPr>
          <w:rFonts w:hint="cs"/>
          <w:spacing w:val="-2"/>
          <w:rtl/>
        </w:rPr>
        <w:t xml:space="preserve">اً </w:t>
      </w:r>
      <w:r w:rsidRPr="00D55A10">
        <w:rPr>
          <w:rFonts w:hint="cs"/>
          <w:spacing w:val="-2"/>
          <w:rtl/>
        </w:rPr>
        <w:t xml:space="preserve">للمادة 21 من العهد، إن تقيّد تنفيذه بأحكام العهد. وعلى أية حال، ينبغي في الحالة التي يُستخدم فيها إجراء يتعلق بنظام للإشعار أو نظام للترخيص ألا يكون مجهداً بشكل مبالَغ </w:t>
      </w:r>
      <w:proofErr w:type="gramStart"/>
      <w:r w:rsidRPr="00D55A10">
        <w:rPr>
          <w:rFonts w:hint="cs"/>
          <w:spacing w:val="-2"/>
          <w:rtl/>
        </w:rPr>
        <w:t>فيه</w:t>
      </w:r>
      <w:r w:rsidRPr="00D55A10">
        <w:rPr>
          <w:spacing w:val="-2"/>
          <w:vertAlign w:val="superscript"/>
          <w:rtl/>
        </w:rPr>
        <w:t>(</w:t>
      </w:r>
      <w:proofErr w:type="gramEnd"/>
      <w:r w:rsidRPr="00D55A10">
        <w:rPr>
          <w:rStyle w:val="FootnoteReference"/>
          <w:spacing w:val="-2"/>
          <w:rtl/>
        </w:rPr>
        <w:footnoteReference w:id="13"/>
      </w:r>
      <w:r w:rsidRPr="00D55A10">
        <w:rPr>
          <w:spacing w:val="-2"/>
          <w:vertAlign w:val="superscript"/>
          <w:rtl/>
        </w:rPr>
        <w:t>)</w:t>
      </w:r>
      <w:r w:rsidRPr="00D55A10">
        <w:rPr>
          <w:rFonts w:hint="cs"/>
          <w:spacing w:val="-2"/>
          <w:rtl/>
        </w:rPr>
        <w:t>. وحتى في الحالة التي يُعقد فيها تجمّع غير مرخص به، لا بد أن يكون أي تدخل في حق التجمع السلمي مبرر</w:t>
      </w:r>
      <w:r w:rsidR="000C21DB" w:rsidRPr="00D55A10">
        <w:rPr>
          <w:rFonts w:hint="cs"/>
          <w:spacing w:val="-2"/>
          <w:rtl/>
        </w:rPr>
        <w:t xml:space="preserve">اً </w:t>
      </w:r>
      <w:r w:rsidRPr="00D55A10">
        <w:rPr>
          <w:rFonts w:hint="cs"/>
          <w:spacing w:val="-2"/>
          <w:rtl/>
        </w:rPr>
        <w:t>بمقتضى الجملة الثانية في المادة 21.</w:t>
      </w:r>
    </w:p>
    <w:p w14:paraId="70DA8F78" w14:textId="77777777" w:rsidR="002A3CD4" w:rsidRDefault="002A3CD4" w:rsidP="009343D3">
      <w:pPr>
        <w:pStyle w:val="SingleTxtGA"/>
        <w:spacing w:line="370" w:lineRule="exact"/>
        <w:rPr>
          <w:rtl/>
        </w:rPr>
      </w:pPr>
      <w:r>
        <w:rPr>
          <w:rFonts w:hint="cs"/>
          <w:rtl/>
        </w:rPr>
        <w:t>9-7</w:t>
      </w:r>
      <w:r>
        <w:rPr>
          <w:rtl/>
        </w:rPr>
        <w:tab/>
      </w:r>
      <w:r>
        <w:rPr>
          <w:rFonts w:hint="cs"/>
          <w:rtl/>
        </w:rPr>
        <w:t>وتلاحظ اللجنة أن الدولة الطرف اعتمدت فقط على أحكام قانون المناسبات العامة، الذي يوجب تقديم طلب قبل عشرة أيام والحصول على ترخيص من السلطات المحلية بعقد التجمع السلمي، وهو ما يقيد في حد ذاته حق التجمع السلمي. ولم تسع الدولة الطرف إلى إظهار أن الاحتجاز والمحاكمة وفرض الغرامة على صاحبة البلاغ بسبب تنظيمها تجمع</w:t>
      </w:r>
      <w:r w:rsidR="000C21DB" w:rsidRPr="000C21DB">
        <w:rPr>
          <w:rFonts w:hint="cs"/>
          <w:rtl/>
        </w:rPr>
        <w:t xml:space="preserve">اً </w:t>
      </w:r>
      <w:r>
        <w:rPr>
          <w:rFonts w:hint="cs"/>
          <w:rtl/>
        </w:rPr>
        <w:t>سلمي</w:t>
      </w:r>
      <w:r w:rsidR="000C21DB" w:rsidRPr="000C21DB">
        <w:rPr>
          <w:rFonts w:hint="cs"/>
          <w:rtl/>
        </w:rPr>
        <w:t xml:space="preserve">اً </w:t>
      </w:r>
      <w:r>
        <w:rPr>
          <w:rFonts w:hint="cs"/>
          <w:rtl/>
        </w:rPr>
        <w:t>كان أمر</w:t>
      </w:r>
      <w:r w:rsidR="000C21DB" w:rsidRPr="000C21DB">
        <w:rPr>
          <w:rFonts w:hint="cs"/>
          <w:rtl/>
        </w:rPr>
        <w:t xml:space="preserve">اً </w:t>
      </w:r>
      <w:r>
        <w:rPr>
          <w:rFonts w:hint="cs"/>
          <w:rtl/>
        </w:rPr>
        <w:t>ضروري</w:t>
      </w:r>
      <w:r w:rsidR="000C21DB" w:rsidRPr="000C21DB">
        <w:rPr>
          <w:rFonts w:hint="cs"/>
          <w:rtl/>
        </w:rPr>
        <w:t xml:space="preserve">اً </w:t>
      </w:r>
      <w:r>
        <w:rPr>
          <w:rFonts w:hint="cs"/>
          <w:rtl/>
        </w:rPr>
        <w:t>في مجتمع ديمقراطي ومتناسب</w:t>
      </w:r>
      <w:r w:rsidR="000C21DB" w:rsidRPr="000C21DB">
        <w:rPr>
          <w:rFonts w:hint="cs"/>
          <w:rtl/>
        </w:rPr>
        <w:t xml:space="preserve">اً </w:t>
      </w:r>
      <w:r>
        <w:rPr>
          <w:rFonts w:hint="cs"/>
          <w:rtl/>
        </w:rPr>
        <w:t>مع مصالح الأمن القومي أو السلامة العامة أو</w:t>
      </w:r>
      <w:r w:rsidR="000C21DB">
        <w:rPr>
          <w:rFonts w:hint="eastAsia"/>
          <w:rtl/>
        </w:rPr>
        <w:t> </w:t>
      </w:r>
      <w:r>
        <w:rPr>
          <w:rFonts w:hint="cs"/>
          <w:rtl/>
        </w:rPr>
        <w:t>النظام العام أو حماية الصحة العامة والآداب العامة أو حماية حقوق الآخرين وحرياتهم، حسبما تقتضي بذلك المادة 21 من العهد. وبناء على ذلك، تخلص اللجنة إلى أن الدولة الطرف انتهكت المادة 21 من العهد.</w:t>
      </w:r>
    </w:p>
    <w:p w14:paraId="0BBEE7FB" w14:textId="77777777" w:rsidR="002A3CD4" w:rsidRDefault="002A3CD4" w:rsidP="00406D22">
      <w:pPr>
        <w:pStyle w:val="H4GA"/>
        <w:rPr>
          <w:rtl/>
        </w:rPr>
      </w:pPr>
      <w:r w:rsidRPr="000F1D1E">
        <w:rPr>
          <w:rtl/>
        </w:rPr>
        <w:tab/>
      </w:r>
      <w:r w:rsidRPr="000F1D1E">
        <w:rPr>
          <w:rtl/>
        </w:rPr>
        <w:tab/>
      </w:r>
      <w:r w:rsidRPr="000F1D1E">
        <w:rPr>
          <w:rFonts w:hint="cs"/>
          <w:rtl/>
        </w:rPr>
        <w:t>البلاغ رقم 2543/2015</w:t>
      </w:r>
    </w:p>
    <w:p w14:paraId="35D6458D" w14:textId="77777777" w:rsidR="002A3CD4" w:rsidRDefault="002A3CD4" w:rsidP="009343D3">
      <w:pPr>
        <w:pStyle w:val="SingleTxtGA"/>
        <w:spacing w:line="370" w:lineRule="exact"/>
        <w:rPr>
          <w:rtl/>
        </w:rPr>
      </w:pPr>
      <w:r>
        <w:rPr>
          <w:rFonts w:hint="cs"/>
          <w:rtl/>
        </w:rPr>
        <w:t>9-8</w:t>
      </w:r>
      <w:r>
        <w:rPr>
          <w:rtl/>
        </w:rPr>
        <w:tab/>
      </w:r>
      <w:r>
        <w:rPr>
          <w:rFonts w:hint="cs"/>
          <w:rtl/>
        </w:rPr>
        <w:t xml:space="preserve">تلاحظ اللجنة أن صاحبة البلاغ اشتركت في 15 </w:t>
      </w:r>
      <w:r>
        <w:rPr>
          <w:rtl/>
        </w:rPr>
        <w:t xml:space="preserve">شباط/فبراير </w:t>
      </w:r>
      <w:r>
        <w:rPr>
          <w:rFonts w:hint="cs"/>
          <w:rtl/>
        </w:rPr>
        <w:t>2014 فيما زُعم أنه تجمّع عفوي للاحتجاج على التخفيض المفاجئ في العملة الوطنية بنسبة 30 في المائة. وتلاحظ اللجنة أن صاحبة البلاغ ادعت بأن اشتراط طلب الترخيص قبل 10 أيام المنصوص عليه في تشريع الدولة الطرف يحرم الناس من حقهم في عقد تجمعات سلمية (الفقرة 5-2 أعلاه)، وأن الدولة انتهكت حقها بمقتضى المادة 21 عندما قضت بتغريمها على مشاركتها في التجمع العفوي غير المرخص له. وتلاحظ اللجنة أيض</w:t>
      </w:r>
      <w:r w:rsidR="000C21DB" w:rsidRPr="000C21DB">
        <w:rPr>
          <w:rFonts w:hint="cs"/>
          <w:rtl/>
        </w:rPr>
        <w:t xml:space="preserve">اً </w:t>
      </w:r>
      <w:r>
        <w:rPr>
          <w:rFonts w:hint="cs"/>
          <w:rtl/>
        </w:rPr>
        <w:t>حجة الدولة الطرف بأنه لم يقم دليل على السعي للحصول من السلطات المحلية على ترخيص للمناسبة محل الذكر، مثلما يقتضي القانون الوطني ذلك، وأن الاحتجاج شكّل تهديد</w:t>
      </w:r>
      <w:r w:rsidR="000C21DB" w:rsidRPr="000C21DB">
        <w:rPr>
          <w:rFonts w:hint="cs"/>
          <w:rtl/>
        </w:rPr>
        <w:t xml:space="preserve">اً </w:t>
      </w:r>
      <w:r>
        <w:rPr>
          <w:rFonts w:hint="cs"/>
          <w:rtl/>
        </w:rPr>
        <w:t>للنظام العام والسلامة العامة وإدارة البنية التحتية. لكن اللجنة تلاحظ أن الدولة الطرف لم تقدم أي معلومات إضافية لتدعيم العبارة الأخيرة.</w:t>
      </w:r>
    </w:p>
    <w:p w14:paraId="783702FE" w14:textId="77777777" w:rsidR="002A3CD4" w:rsidRDefault="002A3CD4" w:rsidP="002A3CD4">
      <w:pPr>
        <w:pStyle w:val="SingleTxtGA"/>
        <w:rPr>
          <w:rtl/>
        </w:rPr>
      </w:pPr>
      <w:r>
        <w:rPr>
          <w:rFonts w:hint="cs"/>
          <w:rtl/>
        </w:rPr>
        <w:lastRenderedPageBreak/>
        <w:t>9-9</w:t>
      </w:r>
      <w:r>
        <w:rPr>
          <w:rtl/>
        </w:rPr>
        <w:tab/>
      </w:r>
      <w:r>
        <w:rPr>
          <w:rFonts w:hint="cs"/>
          <w:rtl/>
        </w:rPr>
        <w:t>وتلاحظ اللجنة أن شرط الحصول على ترخيص من السلطات لعقد مناسبة عامة لا</w:t>
      </w:r>
      <w:r w:rsidR="000C21DB">
        <w:rPr>
          <w:rFonts w:hint="eastAsia"/>
          <w:rtl/>
        </w:rPr>
        <w:t> </w:t>
      </w:r>
      <w:r>
        <w:rPr>
          <w:rFonts w:hint="cs"/>
          <w:rtl/>
        </w:rPr>
        <w:t>يشكل في حد ذاته انتهاك</w:t>
      </w:r>
      <w:r w:rsidR="000C21DB" w:rsidRPr="000C21DB">
        <w:rPr>
          <w:rFonts w:hint="cs"/>
          <w:rtl/>
        </w:rPr>
        <w:t xml:space="preserve">اً </w:t>
      </w:r>
      <w:r>
        <w:rPr>
          <w:rFonts w:hint="cs"/>
          <w:rtl/>
        </w:rPr>
        <w:t xml:space="preserve">للمادة 21 من العهد. وفي القضية الراهنة، تلاحظ اللجنة أن شرط الحصول على الترخيص المنصوص عليه في التشريع الوطني يستثني أي إمكانية للتجمعات العفوية التي لا يمكن، بالنظر إلى طبيعتها المتأصلة، أن تخضع لنظام مطول لتقديم طلب مسبق للحصول على </w:t>
      </w:r>
      <w:proofErr w:type="gramStart"/>
      <w:r>
        <w:rPr>
          <w:rFonts w:hint="cs"/>
          <w:rtl/>
        </w:rPr>
        <w:t>ترخيص</w:t>
      </w:r>
      <w:r w:rsidRPr="00B31F1F">
        <w:rPr>
          <w:vertAlign w:val="superscript"/>
          <w:rtl/>
        </w:rPr>
        <w:t>(</w:t>
      </w:r>
      <w:proofErr w:type="gramEnd"/>
      <w:r w:rsidRPr="00B31F1F">
        <w:rPr>
          <w:rStyle w:val="FootnoteReference"/>
          <w:rtl/>
        </w:rPr>
        <w:footnoteReference w:id="14"/>
      </w:r>
      <w:r w:rsidRPr="00B31F1F">
        <w:rPr>
          <w:vertAlign w:val="superscript"/>
          <w:rtl/>
        </w:rPr>
        <w:t>)</w:t>
      </w:r>
      <w:r>
        <w:rPr>
          <w:rFonts w:hint="cs"/>
          <w:rtl/>
        </w:rPr>
        <w:t>. وترى اللجنة من ثم أنه لا يوجد أساس قانوني يحدد تنظيم التجمعات العفوية في الدولة الطرف.</w:t>
      </w:r>
    </w:p>
    <w:p w14:paraId="717AC321" w14:textId="77777777" w:rsidR="002A3CD4" w:rsidRDefault="002A3CD4" w:rsidP="002A3CD4">
      <w:pPr>
        <w:pStyle w:val="SingleTxtGA"/>
        <w:rPr>
          <w:rtl/>
        </w:rPr>
      </w:pPr>
      <w:r>
        <w:rPr>
          <w:rFonts w:hint="cs"/>
          <w:rtl/>
        </w:rPr>
        <w:t>9-10</w:t>
      </w:r>
      <w:r>
        <w:rPr>
          <w:rtl/>
        </w:rPr>
        <w:tab/>
      </w:r>
      <w:r>
        <w:rPr>
          <w:rFonts w:hint="cs"/>
          <w:rtl/>
        </w:rPr>
        <w:t>وتلاحظ اللجنة أنه حتى في حالة التجمّع غير المرخص به، لا بد أن يكون أي تدخل في حق التجمع السلمي مبرراً من جانب الدولة الطرف في ضوء الجملة الثانية من المادة 21. وتلاحظ اللجنة أن الدولة الطرف لم تسع إلى إظهار أن فرض الغرامة على صاحبة البلاغ لاشتراكها في تجمع سلمي عفوي كان ضروري</w:t>
      </w:r>
      <w:r w:rsidR="000C21DB" w:rsidRPr="000C21DB">
        <w:rPr>
          <w:rFonts w:hint="cs"/>
          <w:rtl/>
        </w:rPr>
        <w:t xml:space="preserve">اً </w:t>
      </w:r>
      <w:r>
        <w:rPr>
          <w:rFonts w:hint="cs"/>
          <w:rtl/>
        </w:rPr>
        <w:t>في مجتمع ديمقراطي ومتناسب</w:t>
      </w:r>
      <w:r w:rsidR="000C21DB" w:rsidRPr="000C21DB">
        <w:rPr>
          <w:rFonts w:hint="cs"/>
          <w:rtl/>
        </w:rPr>
        <w:t xml:space="preserve">اً </w:t>
      </w:r>
      <w:r>
        <w:rPr>
          <w:rFonts w:hint="cs"/>
          <w:rtl/>
        </w:rPr>
        <w:t>مع مصالح الأمن القومي أو السلامة العامة والنظام العام أو حماية الصحة العامة والآداب العامة أو حماية حقوق الآخرين وحرياتهم، حسبما تنص على ذلك المادة 21 من العهد. ولذلك تخلص اللجنة إلى أن الدولة الطرف انتهكت المادة 21 من العهد فيما يتصل بالبلاغ رقم 2543/2015.</w:t>
      </w:r>
    </w:p>
    <w:p w14:paraId="0D9CC8BF" w14:textId="77777777" w:rsidR="002A3CD4" w:rsidRDefault="002A3CD4" w:rsidP="002A3CD4">
      <w:pPr>
        <w:pStyle w:val="SingleTxtGA"/>
        <w:rPr>
          <w:rtl/>
        </w:rPr>
      </w:pPr>
      <w:r>
        <w:rPr>
          <w:rFonts w:hint="cs"/>
          <w:rtl/>
        </w:rPr>
        <w:t>10-</w:t>
      </w:r>
      <w:r>
        <w:rPr>
          <w:rtl/>
        </w:rPr>
        <w:tab/>
      </w:r>
      <w:r>
        <w:rPr>
          <w:rFonts w:hint="cs"/>
          <w:rtl/>
        </w:rPr>
        <w:t>وترى اللجنة، وهي تعمل بموجب المادة 5</w:t>
      </w:r>
      <w:r w:rsidR="00406D22" w:rsidRPr="00406D22">
        <w:rPr>
          <w:rFonts w:hint="cs"/>
          <w:rtl/>
        </w:rPr>
        <w:t>(</w:t>
      </w:r>
      <w:r>
        <w:rPr>
          <w:rFonts w:hint="cs"/>
          <w:rtl/>
        </w:rPr>
        <w:t>4) من البروتوكول الاختياري، أن الحقائق المعروضة عليها تفصح عن ارتكاب الدولة الطرف انتهاك</w:t>
      </w:r>
      <w:r w:rsidR="000C21DB" w:rsidRPr="000C21DB">
        <w:rPr>
          <w:rFonts w:hint="cs"/>
          <w:rtl/>
        </w:rPr>
        <w:t xml:space="preserve">اً </w:t>
      </w:r>
      <w:r>
        <w:rPr>
          <w:rFonts w:hint="cs"/>
          <w:rtl/>
        </w:rPr>
        <w:t>لحقوق صاحبة البلاغ بموجب المادة</w:t>
      </w:r>
      <w:r w:rsidR="000C21DB">
        <w:rPr>
          <w:rFonts w:hint="eastAsia"/>
          <w:rtl/>
        </w:rPr>
        <w:t> </w:t>
      </w:r>
      <w:r>
        <w:rPr>
          <w:rFonts w:hint="cs"/>
          <w:rtl/>
        </w:rPr>
        <w:t>19</w:t>
      </w:r>
      <w:r w:rsidR="00406D22" w:rsidRPr="00406D22">
        <w:rPr>
          <w:rFonts w:hint="cs"/>
          <w:rtl/>
        </w:rPr>
        <w:t>(</w:t>
      </w:r>
      <w:r>
        <w:rPr>
          <w:rFonts w:hint="cs"/>
          <w:rtl/>
        </w:rPr>
        <w:t>2) والمادة 21 من العهد فيما يتصل بالبلاغ رقم 2542/2015، وبموجب المادة</w:t>
      </w:r>
      <w:r w:rsidR="000C21DB">
        <w:rPr>
          <w:rFonts w:hint="eastAsia"/>
          <w:rtl/>
        </w:rPr>
        <w:t> </w:t>
      </w:r>
      <w:r>
        <w:rPr>
          <w:rFonts w:hint="cs"/>
          <w:rtl/>
        </w:rPr>
        <w:t>21 من العهد فيما يتصل بالبلاغ رقم 25</w:t>
      </w:r>
      <w:bookmarkStart w:id="1" w:name="SCName"/>
      <w:r>
        <w:rPr>
          <w:rFonts w:hint="cs"/>
          <w:rtl/>
        </w:rPr>
        <w:t>43/201</w:t>
      </w:r>
      <w:bookmarkEnd w:id="1"/>
      <w:r>
        <w:rPr>
          <w:rFonts w:hint="cs"/>
          <w:rtl/>
        </w:rPr>
        <w:t>5.</w:t>
      </w:r>
    </w:p>
    <w:p w14:paraId="52CDEF53" w14:textId="77777777" w:rsidR="002A3CD4" w:rsidRDefault="002A3CD4" w:rsidP="002A3CD4">
      <w:pPr>
        <w:pStyle w:val="SingleTxtGA"/>
        <w:rPr>
          <w:rtl/>
        </w:rPr>
      </w:pPr>
      <w:r>
        <w:rPr>
          <w:rFonts w:hint="cs"/>
          <w:rtl/>
        </w:rPr>
        <w:t>11-</w:t>
      </w:r>
      <w:r>
        <w:rPr>
          <w:rtl/>
        </w:rPr>
        <w:tab/>
      </w:r>
      <w:r>
        <w:rPr>
          <w:rFonts w:hint="cs"/>
          <w:rtl/>
        </w:rPr>
        <w:t>وبموجب المادة 2</w:t>
      </w:r>
      <w:r w:rsidR="00406D22" w:rsidRPr="00406D22">
        <w:rPr>
          <w:rFonts w:hint="cs"/>
          <w:rtl/>
        </w:rPr>
        <w:t>(</w:t>
      </w:r>
      <w:r>
        <w:rPr>
          <w:rFonts w:hint="cs"/>
          <w:rtl/>
        </w:rPr>
        <w:t>3)</w:t>
      </w:r>
      <w:r w:rsidR="00406D22" w:rsidRPr="00406D22">
        <w:rPr>
          <w:rFonts w:hint="cs"/>
          <w:rtl/>
        </w:rPr>
        <w:t>(</w:t>
      </w:r>
      <w:r>
        <w:rPr>
          <w:rFonts w:hint="cs"/>
          <w:rtl/>
        </w:rPr>
        <w:t>أ) من العهد، يقع على الدولة الطرف التزام بكفالة الانتصاف الفعال لأصحاب البلاغات. ويقتضي ذلك الجبر التام للأفراد الذين انتُهكت حقوقهم بموجب العهد. وبناء على ذلك، يكون لزام</w:t>
      </w:r>
      <w:r w:rsidR="000C21DB" w:rsidRPr="000C21DB">
        <w:rPr>
          <w:rFonts w:hint="cs"/>
          <w:rtl/>
        </w:rPr>
        <w:t xml:space="preserve">اً </w:t>
      </w:r>
      <w:r>
        <w:rPr>
          <w:rFonts w:hint="cs"/>
          <w:rtl/>
        </w:rPr>
        <w:t>على الدولة الطرف، في جملة أمور، تقديم التعويض الكافي لصاحبة البلاغ بم</w:t>
      </w:r>
      <w:r w:rsidR="000C21DB" w:rsidRPr="000C21DB">
        <w:rPr>
          <w:rFonts w:hint="cs"/>
          <w:rtl/>
        </w:rPr>
        <w:t xml:space="preserve">ا </w:t>
      </w:r>
      <w:r>
        <w:rPr>
          <w:rFonts w:hint="cs"/>
          <w:rtl/>
        </w:rPr>
        <w:t>في ذلك تسديد أي تكاليف قانونية تكبدتها. ويقع على الدولة الطرف أيض</w:t>
      </w:r>
      <w:r w:rsidR="000C21DB" w:rsidRPr="000C21DB">
        <w:rPr>
          <w:rFonts w:hint="cs"/>
          <w:rtl/>
        </w:rPr>
        <w:t xml:space="preserve">اً </w:t>
      </w:r>
      <w:r>
        <w:rPr>
          <w:rFonts w:hint="cs"/>
          <w:rtl/>
        </w:rPr>
        <w:t>التزام باتخاذ جميع الخطوات الضرورية لمنع تكرار ارتكاب انتهاكات مماثلة في المستقبل. وفي هذا الصدد، تعيد اللجنة التأكيد على أنه ينبغي للدولة الطرف، في إطار التزاماتها بموجب المادة</w:t>
      </w:r>
      <w:r w:rsidR="000C21DB">
        <w:rPr>
          <w:rFonts w:hint="eastAsia"/>
          <w:rtl/>
        </w:rPr>
        <w:t> </w:t>
      </w:r>
      <w:r>
        <w:rPr>
          <w:rFonts w:hint="cs"/>
          <w:rtl/>
        </w:rPr>
        <w:t>2</w:t>
      </w:r>
      <w:r w:rsidR="00406D22" w:rsidRPr="00406D22">
        <w:rPr>
          <w:rFonts w:hint="cs"/>
          <w:rtl/>
        </w:rPr>
        <w:t>(</w:t>
      </w:r>
      <w:r>
        <w:rPr>
          <w:rFonts w:hint="cs"/>
          <w:rtl/>
        </w:rPr>
        <w:t>2) من العهد، أن تستعرض تشريعاتها لكي تضمن التمتع الكامل بممارسة الحقوق المنصوص عليها بموجب المادتين 19</w:t>
      </w:r>
      <w:r w:rsidR="00406D22" w:rsidRPr="00406D22">
        <w:rPr>
          <w:rFonts w:hint="cs"/>
          <w:rtl/>
        </w:rPr>
        <w:t xml:space="preserve"> و</w:t>
      </w:r>
      <w:r>
        <w:rPr>
          <w:rFonts w:hint="cs"/>
          <w:rtl/>
        </w:rPr>
        <w:t>21 من العهد، بما فيها الحق في تنظيم وعقد التجمعات السلمية، بما فيها العفوية، والاجتماعات والمسيرات والاعتصامات والمظاهرات.</w:t>
      </w:r>
    </w:p>
    <w:p w14:paraId="416315E0" w14:textId="77777777" w:rsidR="00406D22" w:rsidRDefault="002A3CD4" w:rsidP="00406D22">
      <w:pPr>
        <w:pStyle w:val="SingleTxtGA"/>
      </w:pPr>
      <w:r>
        <w:rPr>
          <w:rFonts w:hint="cs"/>
          <w:rtl/>
        </w:rPr>
        <w:t>12-</w:t>
      </w:r>
      <w:r>
        <w:rPr>
          <w:rtl/>
        </w:rPr>
        <w:tab/>
      </w:r>
      <w:r>
        <w:rPr>
          <w:rFonts w:hint="cs"/>
          <w:rtl/>
        </w:rPr>
        <w:t>ووضعاً بعين الاعتبار أن الدولة الطرف أقرت، عندما أصبحت طرف</w:t>
      </w:r>
      <w:r w:rsidR="000C21DB" w:rsidRPr="000C21DB">
        <w:rPr>
          <w:rFonts w:hint="cs"/>
          <w:rtl/>
        </w:rPr>
        <w:t xml:space="preserve">اً </w:t>
      </w:r>
      <w:r>
        <w:rPr>
          <w:rFonts w:hint="cs"/>
          <w:rtl/>
        </w:rPr>
        <w:t>في البروتوكول الاختياري، باختصاص اللجنة في الفصل في وقوع انتهاك للعهد، وأن الدولة الطرف التزمت بموجب المادة 2 من العهد بضمان الحقوق المعترف بها في العهد لجميع الأفراد الموجودين في إقليمها والخاضعين لولايتها القضائية، وكفالة الانتصاف الفعال إذا ما قُرر أن انتهاك</w:t>
      </w:r>
      <w:r w:rsidR="000C21DB" w:rsidRPr="000C21DB">
        <w:rPr>
          <w:rFonts w:hint="cs"/>
          <w:rtl/>
        </w:rPr>
        <w:t xml:space="preserve">اً </w:t>
      </w:r>
      <w:r>
        <w:rPr>
          <w:rFonts w:hint="cs"/>
          <w:rtl/>
        </w:rPr>
        <w:t>قد وقع لهذه الحقوق، ترغب اللجنة في أن تتلقى معلومات من الدولة الطرف، خلال 180 يوم</w:t>
      </w:r>
      <w:r w:rsidR="000C21DB" w:rsidRPr="000C21DB">
        <w:rPr>
          <w:rFonts w:hint="cs"/>
          <w:rtl/>
        </w:rPr>
        <w:t xml:space="preserve">اً، </w:t>
      </w:r>
      <w:r>
        <w:rPr>
          <w:rFonts w:hint="cs"/>
          <w:rtl/>
        </w:rPr>
        <w:t>بشأن التدابير التي اتخذتها لتنفيذ آراء اللجنة. ويُطلب إلى الدولة الطرف أيض</w:t>
      </w:r>
      <w:r w:rsidR="000C21DB" w:rsidRPr="000C21DB">
        <w:rPr>
          <w:rFonts w:hint="cs"/>
          <w:rtl/>
        </w:rPr>
        <w:t xml:space="preserve">اً </w:t>
      </w:r>
      <w:r>
        <w:rPr>
          <w:rFonts w:hint="cs"/>
          <w:rtl/>
        </w:rPr>
        <w:t>أن تقوم بنشر هذه الآراء وتعميمها على نطاق واسع باللغة الرسمية للدول الطرف.</w:t>
      </w:r>
    </w:p>
    <w:p w14:paraId="114AFA3C" w14:textId="77777777" w:rsidR="002A3CD4" w:rsidRPr="00406D22" w:rsidRDefault="00406D22" w:rsidP="00406D22">
      <w:pPr>
        <w:spacing w:before="120"/>
        <w:jc w:val="center"/>
        <w:rPr>
          <w:u w:val="single"/>
        </w:rPr>
      </w:pPr>
      <w:r>
        <w:rPr>
          <w:u w:val="single"/>
          <w:rtl/>
        </w:rPr>
        <w:tab/>
      </w:r>
      <w:r>
        <w:rPr>
          <w:u w:val="single"/>
          <w:rtl/>
        </w:rPr>
        <w:tab/>
      </w:r>
      <w:r>
        <w:rPr>
          <w:u w:val="single"/>
          <w:rtl/>
        </w:rPr>
        <w:tab/>
      </w:r>
    </w:p>
    <w:sectPr w:rsidR="002A3CD4" w:rsidRPr="00406D22" w:rsidSect="005160D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AF0CC" w14:textId="77777777" w:rsidR="0022566D" w:rsidRPr="002901D9" w:rsidRDefault="0022566D" w:rsidP="002901D9">
      <w:pPr>
        <w:spacing w:after="60" w:line="240" w:lineRule="auto"/>
        <w:rPr>
          <w:i/>
          <w:iCs/>
        </w:rPr>
      </w:pPr>
      <w:r>
        <w:rPr>
          <w:rFonts w:hint="cs"/>
          <w:i/>
          <w:iCs/>
          <w:rtl/>
        </w:rPr>
        <w:t>الحواشي</w:t>
      </w:r>
    </w:p>
  </w:endnote>
  <w:endnote w:type="continuationSeparator" w:id="0">
    <w:p w14:paraId="06AAE0D4" w14:textId="77777777" w:rsidR="0022566D" w:rsidRDefault="0022566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ACAD" w14:textId="77777777" w:rsidR="005160D9" w:rsidRPr="002A3CD4" w:rsidRDefault="002A3CD4" w:rsidP="002A3CD4">
    <w:pPr>
      <w:pStyle w:val="Footer"/>
      <w:tabs>
        <w:tab w:val="right" w:pos="9598"/>
      </w:tabs>
      <w:rPr>
        <w:sz w:val="17"/>
        <w:lang w:bidi="ar-DZ"/>
      </w:rPr>
    </w:pPr>
    <w:r>
      <w:rPr>
        <w:sz w:val="17"/>
      </w:rPr>
      <w:t>GE.19-14463</w:t>
    </w:r>
    <w:r>
      <w:rPr>
        <w:sz w:val="17"/>
        <w:lang w:bidi="ar-DZ"/>
      </w:rPr>
      <w:tab/>
    </w:r>
    <w:r w:rsidRPr="002A3CD4">
      <w:rPr>
        <w:b/>
        <w:sz w:val="18"/>
      </w:rPr>
      <w:fldChar w:fldCharType="begin"/>
    </w:r>
    <w:r w:rsidRPr="002A3CD4">
      <w:rPr>
        <w:b/>
        <w:sz w:val="18"/>
      </w:rPr>
      <w:instrText xml:space="preserve"> PAGE  \* MERGEFORMAT </w:instrText>
    </w:r>
    <w:r w:rsidRPr="002A3CD4">
      <w:rPr>
        <w:b/>
        <w:sz w:val="18"/>
      </w:rPr>
      <w:fldChar w:fldCharType="separate"/>
    </w:r>
    <w:r>
      <w:rPr>
        <w:b/>
        <w:sz w:val="18"/>
      </w:rPr>
      <w:t>2</w:t>
    </w:r>
    <w:r w:rsidRPr="002A3CD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9C60C" w14:textId="77777777" w:rsidR="006959B0" w:rsidRPr="002A3CD4" w:rsidRDefault="002A3CD4" w:rsidP="006959B0">
    <w:pPr>
      <w:pStyle w:val="Footer"/>
      <w:tabs>
        <w:tab w:val="right" w:pos="9599"/>
      </w:tabs>
      <w:jc w:val="left"/>
      <w:rPr>
        <w:b/>
        <w:sz w:val="18"/>
        <w:lang w:val="en-US"/>
      </w:rPr>
    </w:pPr>
    <w:r w:rsidRPr="002A3CD4">
      <w:rPr>
        <w:b/>
        <w:sz w:val="18"/>
        <w:lang w:val="en-US"/>
      </w:rPr>
      <w:fldChar w:fldCharType="begin"/>
    </w:r>
    <w:r w:rsidRPr="002A3CD4">
      <w:rPr>
        <w:b/>
        <w:sz w:val="18"/>
        <w:lang w:val="en-US"/>
      </w:rPr>
      <w:instrText xml:space="preserve"> PAGE  \* MERGEFORMAT </w:instrText>
    </w:r>
    <w:r w:rsidRPr="002A3CD4">
      <w:rPr>
        <w:b/>
        <w:sz w:val="18"/>
        <w:lang w:val="en-US"/>
      </w:rPr>
      <w:fldChar w:fldCharType="separate"/>
    </w:r>
    <w:r w:rsidRPr="002A3CD4">
      <w:rPr>
        <w:b/>
        <w:noProof/>
        <w:sz w:val="18"/>
        <w:lang w:val="en-US"/>
      </w:rPr>
      <w:t>3</w:t>
    </w:r>
    <w:r w:rsidRPr="002A3CD4">
      <w:rPr>
        <w:b/>
        <w:sz w:val="18"/>
        <w:lang w:val="en-US"/>
      </w:rPr>
      <w:fldChar w:fldCharType="end"/>
    </w:r>
    <w:r>
      <w:rPr>
        <w:b/>
        <w:sz w:val="18"/>
        <w:lang w:val="en-US"/>
      </w:rPr>
      <w:tab/>
    </w:r>
    <w:r>
      <w:rPr>
        <w:sz w:val="17"/>
        <w:lang w:val="en-US"/>
      </w:rPr>
      <w:t>GE.19-14463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81C1" w14:textId="77777777" w:rsidR="00DE50B1" w:rsidRDefault="005160D9" w:rsidP="00982139">
    <w:pPr>
      <w:pStyle w:val="Footer"/>
      <w:spacing w:before="360"/>
      <w:jc w:val="right"/>
      <w:rPr>
        <w:sz w:val="20"/>
        <w:szCs w:val="20"/>
      </w:rPr>
    </w:pPr>
    <w:r>
      <w:rPr>
        <w:sz w:val="20"/>
        <w:szCs w:val="20"/>
      </w:rPr>
      <w:t>GE.19-14463</w:t>
    </w:r>
    <w:r w:rsidR="00DE50B1">
      <w:rPr>
        <w:noProof/>
        <w:lang w:val="en-US"/>
      </w:rPr>
      <w:drawing>
        <wp:anchor distT="0" distB="0" distL="114300" distR="114300" simplePos="0" relativeHeight="251665408" behindDoc="1" locked="1" layoutInCell="0" allowOverlap="1" wp14:anchorId="7F59117A" wp14:editId="1700799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14:paraId="76C2BD53" w14:textId="77777777" w:rsidR="005160D9" w:rsidRPr="005160D9" w:rsidRDefault="005160D9" w:rsidP="005160D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56704" behindDoc="0" locked="0" layoutInCell="1" allowOverlap="1" wp14:anchorId="0844A072" wp14:editId="4BCBF70D">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2C48D" w14:textId="77777777" w:rsidR="0022566D" w:rsidRDefault="0022566D" w:rsidP="000437B8">
      <w:pPr>
        <w:pStyle w:val="Footer"/>
        <w:bidi/>
        <w:spacing w:after="80" w:line="200" w:lineRule="exact"/>
        <w:ind w:left="680"/>
      </w:pPr>
      <w:r>
        <w:rPr>
          <w:rtl/>
        </w:rPr>
        <w:t>__________</w:t>
      </w:r>
    </w:p>
  </w:footnote>
  <w:footnote w:type="continuationSeparator" w:id="0">
    <w:p w14:paraId="31936B89" w14:textId="77777777" w:rsidR="0022566D" w:rsidRDefault="0022566D" w:rsidP="00656392">
      <w:pPr>
        <w:spacing w:line="240" w:lineRule="auto"/>
      </w:pPr>
      <w:r>
        <w:continuationSeparator/>
      </w:r>
    </w:p>
  </w:footnote>
  <w:footnote w:id="1">
    <w:p w14:paraId="6AD18C0E" w14:textId="77777777" w:rsidR="002A3CD4" w:rsidRPr="00406D22" w:rsidRDefault="002A3CD4" w:rsidP="00406D22">
      <w:pPr>
        <w:pStyle w:val="FootnoteText1"/>
        <w:rPr>
          <w:rtl/>
        </w:rPr>
      </w:pPr>
      <w:r w:rsidRPr="00406D22">
        <w:rPr>
          <w:rtl/>
          <w:lang w:bidi="ar-DZ"/>
        </w:rPr>
        <w:t>*</w:t>
      </w:r>
      <w:r w:rsidRPr="00406D22">
        <w:rPr>
          <w:rtl/>
          <w:lang w:bidi="ar-DZ"/>
        </w:rPr>
        <w:tab/>
      </w:r>
      <w:r w:rsidRPr="00406D22">
        <w:rPr>
          <w:rtl/>
        </w:rPr>
        <w:t>اعتمدته</w:t>
      </w:r>
      <w:r w:rsidRPr="00406D22">
        <w:rPr>
          <w:rFonts w:hint="cs"/>
          <w:rtl/>
        </w:rPr>
        <w:t>ا</w:t>
      </w:r>
      <w:r w:rsidRPr="00406D22">
        <w:rPr>
          <w:rtl/>
        </w:rPr>
        <w:t xml:space="preserve"> اللجنة أثناء دورتها ١٢</w:t>
      </w:r>
      <w:r w:rsidRPr="00406D22">
        <w:rPr>
          <w:rFonts w:hint="cs"/>
          <w:rtl/>
        </w:rPr>
        <w:t>6</w:t>
      </w:r>
      <w:r w:rsidRPr="00406D22">
        <w:rPr>
          <w:rtl/>
        </w:rPr>
        <w:t xml:space="preserve"> (</w:t>
      </w:r>
      <w:r w:rsidRPr="00406D22">
        <w:rPr>
          <w:rFonts w:hint="cs"/>
          <w:rtl/>
        </w:rPr>
        <w:t xml:space="preserve">1-26 </w:t>
      </w:r>
      <w:r w:rsidRPr="00406D22">
        <w:rPr>
          <w:rtl/>
        </w:rPr>
        <w:t>تموز/يوليه ٢٠١٩).</w:t>
      </w:r>
    </w:p>
  </w:footnote>
  <w:footnote w:id="2">
    <w:p w14:paraId="03F6E93B" w14:textId="77777777" w:rsidR="002A3CD4" w:rsidRPr="00406D22" w:rsidRDefault="002A3CD4" w:rsidP="00406D22">
      <w:pPr>
        <w:pStyle w:val="FootnoteText1"/>
      </w:pPr>
      <w:r w:rsidRPr="00406D22">
        <w:rPr>
          <w:rtl/>
          <w:lang w:bidi="ar-DZ"/>
        </w:rPr>
        <w:t>**</w:t>
      </w:r>
      <w:r w:rsidRPr="00406D22">
        <w:rPr>
          <w:rtl/>
          <w:lang w:bidi="ar-DZ"/>
        </w:rPr>
        <w:tab/>
      </w:r>
      <w:r w:rsidRPr="00406D22">
        <w:rPr>
          <w:rtl/>
        </w:rPr>
        <w:t xml:space="preserve">شارك </w:t>
      </w:r>
      <w:r w:rsidRPr="00406D22">
        <w:rPr>
          <w:rFonts w:hint="cs"/>
          <w:rtl/>
        </w:rPr>
        <w:t xml:space="preserve">أعضاء اللجنة التالية أسماؤهم في دراسة هذا البلاغ: </w:t>
      </w:r>
      <w:r w:rsidRPr="00406D22">
        <w:rPr>
          <w:rtl/>
        </w:rPr>
        <w:t xml:space="preserve">تانيا ماريا عبدو </w:t>
      </w:r>
      <w:proofErr w:type="spellStart"/>
      <w:r w:rsidRPr="00406D22">
        <w:rPr>
          <w:rtl/>
        </w:rPr>
        <w:t>روتشول</w:t>
      </w:r>
      <w:proofErr w:type="spellEnd"/>
      <w:r w:rsidRPr="00406D22">
        <w:rPr>
          <w:rtl/>
        </w:rPr>
        <w:t xml:space="preserve">، وعياض بن عاشور، </w:t>
      </w:r>
      <w:proofErr w:type="spellStart"/>
      <w:r w:rsidRPr="00406D22">
        <w:rPr>
          <w:rtl/>
        </w:rPr>
        <w:t>وإلزه</w:t>
      </w:r>
      <w:proofErr w:type="spellEnd"/>
      <w:r w:rsidRPr="00406D22">
        <w:rPr>
          <w:rtl/>
        </w:rPr>
        <w:t xml:space="preserve"> </w:t>
      </w:r>
      <w:proofErr w:type="spellStart"/>
      <w:r w:rsidRPr="00406D22">
        <w:rPr>
          <w:rtl/>
        </w:rPr>
        <w:t>براندز</w:t>
      </w:r>
      <w:proofErr w:type="spellEnd"/>
      <w:r w:rsidRPr="00406D22">
        <w:rPr>
          <w:rtl/>
        </w:rPr>
        <w:t xml:space="preserve"> </w:t>
      </w:r>
      <w:proofErr w:type="spellStart"/>
      <w:r w:rsidRPr="00406D22">
        <w:rPr>
          <w:rtl/>
        </w:rPr>
        <w:t>كيريس</w:t>
      </w:r>
      <w:proofErr w:type="spellEnd"/>
      <w:r w:rsidRPr="00406D22">
        <w:rPr>
          <w:rtl/>
        </w:rPr>
        <w:t>، و</w:t>
      </w:r>
      <w:r w:rsidRPr="00406D22">
        <w:rPr>
          <w:rFonts w:hint="cs"/>
          <w:rtl/>
        </w:rPr>
        <w:t xml:space="preserve">عارف </w:t>
      </w:r>
      <w:proofErr w:type="spellStart"/>
      <w:r w:rsidRPr="00406D22">
        <w:rPr>
          <w:rtl/>
        </w:rPr>
        <w:t>بولكان</w:t>
      </w:r>
      <w:proofErr w:type="spellEnd"/>
      <w:r w:rsidRPr="00406D22">
        <w:rPr>
          <w:rtl/>
        </w:rPr>
        <w:t xml:space="preserve">، وأحمد أمين فتح الله، </w:t>
      </w:r>
      <w:proofErr w:type="spellStart"/>
      <w:r w:rsidRPr="00406D22">
        <w:rPr>
          <w:rtl/>
        </w:rPr>
        <w:t>وشويتشي</w:t>
      </w:r>
      <w:proofErr w:type="spellEnd"/>
      <w:r w:rsidRPr="00406D22">
        <w:rPr>
          <w:rtl/>
        </w:rPr>
        <w:t xml:space="preserve"> </w:t>
      </w:r>
      <w:proofErr w:type="spellStart"/>
      <w:r w:rsidRPr="00406D22">
        <w:rPr>
          <w:rtl/>
        </w:rPr>
        <w:t>فورويا</w:t>
      </w:r>
      <w:proofErr w:type="spellEnd"/>
      <w:r w:rsidRPr="00406D22">
        <w:rPr>
          <w:rtl/>
        </w:rPr>
        <w:t xml:space="preserve">، وكريستوف </w:t>
      </w:r>
      <w:proofErr w:type="spellStart"/>
      <w:r w:rsidRPr="00406D22">
        <w:rPr>
          <w:rtl/>
        </w:rPr>
        <w:t>هاينز</w:t>
      </w:r>
      <w:proofErr w:type="spellEnd"/>
      <w:r w:rsidRPr="00406D22">
        <w:rPr>
          <w:rtl/>
        </w:rPr>
        <w:t xml:space="preserve">، </w:t>
      </w:r>
      <w:proofErr w:type="spellStart"/>
      <w:r w:rsidRPr="00406D22">
        <w:rPr>
          <w:rtl/>
        </w:rPr>
        <w:t>وبامريم</w:t>
      </w:r>
      <w:proofErr w:type="spellEnd"/>
      <w:r w:rsidRPr="00406D22">
        <w:rPr>
          <w:rtl/>
        </w:rPr>
        <w:t xml:space="preserve"> كويتا، </w:t>
      </w:r>
      <w:proofErr w:type="spellStart"/>
      <w:r w:rsidRPr="00406D22">
        <w:rPr>
          <w:rtl/>
        </w:rPr>
        <w:t>ودنكان</w:t>
      </w:r>
      <w:proofErr w:type="spellEnd"/>
      <w:r w:rsidRPr="00406D22">
        <w:rPr>
          <w:rtl/>
        </w:rPr>
        <w:t xml:space="preserve"> </w:t>
      </w:r>
      <w:proofErr w:type="spellStart"/>
      <w:r w:rsidRPr="00406D22">
        <w:rPr>
          <w:rtl/>
        </w:rPr>
        <w:t>لاكي</w:t>
      </w:r>
      <w:proofErr w:type="spellEnd"/>
      <w:r w:rsidRPr="00406D22">
        <w:rPr>
          <w:rtl/>
        </w:rPr>
        <w:t xml:space="preserve"> </w:t>
      </w:r>
      <w:proofErr w:type="spellStart"/>
      <w:r w:rsidRPr="00406D22">
        <w:rPr>
          <w:rtl/>
        </w:rPr>
        <w:t>موهوموزا</w:t>
      </w:r>
      <w:proofErr w:type="spellEnd"/>
      <w:r w:rsidRPr="00406D22">
        <w:rPr>
          <w:rtl/>
        </w:rPr>
        <w:t xml:space="preserve">، وفوتيني </w:t>
      </w:r>
      <w:proofErr w:type="spellStart"/>
      <w:r w:rsidRPr="00406D22">
        <w:rPr>
          <w:rtl/>
        </w:rPr>
        <w:t>بازارتزيس</w:t>
      </w:r>
      <w:proofErr w:type="spellEnd"/>
      <w:r w:rsidRPr="00406D22">
        <w:rPr>
          <w:rtl/>
        </w:rPr>
        <w:t xml:space="preserve">، </w:t>
      </w:r>
      <w:proofErr w:type="spellStart"/>
      <w:r w:rsidRPr="00406D22">
        <w:rPr>
          <w:rtl/>
        </w:rPr>
        <w:t>وهرنان</w:t>
      </w:r>
      <w:proofErr w:type="spellEnd"/>
      <w:r w:rsidRPr="00406D22">
        <w:rPr>
          <w:rtl/>
        </w:rPr>
        <w:t xml:space="preserve"> </w:t>
      </w:r>
      <w:proofErr w:type="spellStart"/>
      <w:r w:rsidRPr="00406D22">
        <w:rPr>
          <w:rtl/>
        </w:rPr>
        <w:t>كيزادا</w:t>
      </w:r>
      <w:proofErr w:type="spellEnd"/>
      <w:r w:rsidRPr="00406D22">
        <w:rPr>
          <w:rtl/>
        </w:rPr>
        <w:t xml:space="preserve">، </w:t>
      </w:r>
      <w:proofErr w:type="spellStart"/>
      <w:r w:rsidRPr="00406D22">
        <w:rPr>
          <w:rtl/>
        </w:rPr>
        <w:t>وفاسيلكا</w:t>
      </w:r>
      <w:proofErr w:type="spellEnd"/>
      <w:r w:rsidRPr="00406D22">
        <w:rPr>
          <w:rtl/>
        </w:rPr>
        <w:t xml:space="preserve"> </w:t>
      </w:r>
      <w:proofErr w:type="spellStart"/>
      <w:r w:rsidRPr="00406D22">
        <w:rPr>
          <w:rtl/>
        </w:rPr>
        <w:t>سانسين</w:t>
      </w:r>
      <w:proofErr w:type="spellEnd"/>
      <w:r w:rsidRPr="00406D22">
        <w:rPr>
          <w:rtl/>
        </w:rPr>
        <w:t xml:space="preserve">، وخوسيه مانويل سانتوس </w:t>
      </w:r>
      <w:proofErr w:type="spellStart"/>
      <w:r w:rsidRPr="00406D22">
        <w:rPr>
          <w:rtl/>
        </w:rPr>
        <w:t>بايس</w:t>
      </w:r>
      <w:proofErr w:type="spellEnd"/>
      <w:r w:rsidRPr="00406D22">
        <w:rPr>
          <w:rtl/>
        </w:rPr>
        <w:t xml:space="preserve">، ويوفال </w:t>
      </w:r>
      <w:proofErr w:type="spellStart"/>
      <w:r w:rsidRPr="00406D22">
        <w:rPr>
          <w:rtl/>
        </w:rPr>
        <w:t>شاني</w:t>
      </w:r>
      <w:proofErr w:type="spellEnd"/>
      <w:r w:rsidRPr="00406D22">
        <w:rPr>
          <w:rtl/>
        </w:rPr>
        <w:t xml:space="preserve">، وإيلين </w:t>
      </w:r>
      <w:proofErr w:type="spellStart"/>
      <w:r w:rsidRPr="00406D22">
        <w:rPr>
          <w:rtl/>
        </w:rPr>
        <w:t>تيغرودجا</w:t>
      </w:r>
      <w:proofErr w:type="spellEnd"/>
      <w:r w:rsidRPr="00406D22">
        <w:rPr>
          <w:rtl/>
        </w:rPr>
        <w:t xml:space="preserve">، وأندرياس </w:t>
      </w:r>
      <w:proofErr w:type="spellStart"/>
      <w:r w:rsidRPr="00406D22">
        <w:rPr>
          <w:rtl/>
        </w:rPr>
        <w:t>زيمرمان</w:t>
      </w:r>
      <w:proofErr w:type="spellEnd"/>
      <w:r w:rsidRPr="00406D22">
        <w:rPr>
          <w:rtl/>
        </w:rPr>
        <w:t xml:space="preserve">، </w:t>
      </w:r>
      <w:proofErr w:type="spellStart"/>
      <w:r w:rsidRPr="00406D22">
        <w:rPr>
          <w:rtl/>
        </w:rPr>
        <w:t>وجينتيان</w:t>
      </w:r>
      <w:proofErr w:type="spellEnd"/>
      <w:r w:rsidRPr="00406D22">
        <w:rPr>
          <w:rtl/>
        </w:rPr>
        <w:t xml:space="preserve"> زبيري.</w:t>
      </w:r>
    </w:p>
  </w:footnote>
  <w:footnote w:id="3">
    <w:p w14:paraId="325E1E87" w14:textId="77777777" w:rsidR="002A3CD4" w:rsidRPr="00406D22" w:rsidRDefault="002A3CD4" w:rsidP="00406D22">
      <w:pPr>
        <w:pStyle w:val="FootnoteText1"/>
      </w:pPr>
      <w:r w:rsidRPr="00406D22">
        <w:rPr>
          <w:rtl/>
        </w:rPr>
        <w:t>(</w:t>
      </w:r>
      <w:r w:rsidRPr="00406D22">
        <w:rPr>
          <w:rStyle w:val="FootnoteReference"/>
          <w:szCs w:val="26"/>
          <w:vertAlign w:val="baseline"/>
          <w:rtl/>
        </w:rPr>
        <w:footnoteRef/>
      </w:r>
      <w:r w:rsidRPr="00406D22">
        <w:rPr>
          <w:rtl/>
        </w:rPr>
        <w:t>)</w:t>
      </w:r>
      <w:r w:rsidRPr="00406D22">
        <w:rPr>
          <w:rtl/>
        </w:rPr>
        <w:tab/>
      </w:r>
      <w:r w:rsidRPr="00406D22">
        <w:rPr>
          <w:rFonts w:hint="cs"/>
          <w:rtl/>
        </w:rPr>
        <w:t>تعادل 113 من دولارات الولايات المتحدة في ذلك الوقت.</w:t>
      </w:r>
    </w:p>
  </w:footnote>
  <w:footnote w:id="4">
    <w:p w14:paraId="5FC5ED51" w14:textId="77777777" w:rsidR="002A3CD4" w:rsidRPr="00406D22" w:rsidRDefault="002A3CD4" w:rsidP="00406D22">
      <w:pPr>
        <w:pStyle w:val="FootnoteText1"/>
      </w:pPr>
      <w:r w:rsidRPr="00406D22">
        <w:rPr>
          <w:rtl/>
        </w:rPr>
        <w:t>(</w:t>
      </w:r>
      <w:r w:rsidRPr="00406D22">
        <w:rPr>
          <w:rStyle w:val="FootnoteReference"/>
          <w:szCs w:val="26"/>
          <w:vertAlign w:val="baseline"/>
          <w:rtl/>
        </w:rPr>
        <w:footnoteRef/>
      </w:r>
      <w:r w:rsidRPr="00406D22">
        <w:rPr>
          <w:rtl/>
        </w:rPr>
        <w:t>)</w:t>
      </w:r>
      <w:r w:rsidRPr="00406D22">
        <w:rPr>
          <w:rtl/>
        </w:rPr>
        <w:tab/>
      </w:r>
      <w:r w:rsidRPr="00406D22">
        <w:rPr>
          <w:rFonts w:hint="cs"/>
          <w:rtl/>
        </w:rPr>
        <w:t>تعادل 30 من دولارات الولايات المتحدة في ذلك الوقت.</w:t>
      </w:r>
    </w:p>
  </w:footnote>
  <w:footnote w:id="5">
    <w:p w14:paraId="472E392E" w14:textId="77777777" w:rsidR="002A3CD4" w:rsidRPr="00406D22" w:rsidRDefault="002A3CD4" w:rsidP="00406D22">
      <w:pPr>
        <w:pStyle w:val="FootnoteText1"/>
      </w:pPr>
      <w:r w:rsidRPr="00406D22">
        <w:rPr>
          <w:rtl/>
        </w:rPr>
        <w:t>(</w:t>
      </w:r>
      <w:r w:rsidRPr="00406D22">
        <w:rPr>
          <w:rStyle w:val="FootnoteReference"/>
          <w:szCs w:val="26"/>
          <w:vertAlign w:val="baseline"/>
          <w:rtl/>
        </w:rPr>
        <w:footnoteRef/>
      </w:r>
      <w:r w:rsidRPr="00406D22">
        <w:rPr>
          <w:rtl/>
        </w:rPr>
        <w:t>)</w:t>
      </w:r>
      <w:r w:rsidRPr="00406D22">
        <w:rPr>
          <w:rtl/>
        </w:rPr>
        <w:tab/>
      </w:r>
      <w:hyperlink r:id="rId1" w:history="1">
        <w:r w:rsidRPr="00406D22">
          <w:rPr>
            <w:rStyle w:val="Hyperlink"/>
            <w:rFonts w:eastAsiaTheme="majorEastAsia"/>
          </w:rPr>
          <w:t>A/HRC/29/25/</w:t>
        </w:r>
        <w:proofErr w:type="spellStart"/>
        <w:r w:rsidRPr="00406D22">
          <w:rPr>
            <w:rStyle w:val="Hyperlink"/>
            <w:rFonts w:eastAsiaTheme="majorEastAsia"/>
          </w:rPr>
          <w:t>Add.2</w:t>
        </w:r>
        <w:proofErr w:type="spellEnd"/>
      </w:hyperlink>
      <w:r w:rsidRPr="00406D22">
        <w:rPr>
          <w:rFonts w:hint="cs"/>
          <w:rtl/>
        </w:rPr>
        <w:t>.</w:t>
      </w:r>
    </w:p>
  </w:footnote>
  <w:footnote w:id="6">
    <w:p w14:paraId="5354841C" w14:textId="77777777" w:rsidR="002A3CD4" w:rsidRPr="00406D22" w:rsidRDefault="002A3CD4" w:rsidP="00406D22">
      <w:pPr>
        <w:pStyle w:val="FootnoteText1"/>
      </w:pPr>
      <w:r w:rsidRPr="00406D22">
        <w:rPr>
          <w:rtl/>
        </w:rPr>
        <w:t>(</w:t>
      </w:r>
      <w:r w:rsidRPr="00406D22">
        <w:rPr>
          <w:rStyle w:val="FootnoteReference"/>
          <w:szCs w:val="26"/>
          <w:vertAlign w:val="baseline"/>
          <w:rtl/>
        </w:rPr>
        <w:footnoteRef/>
      </w:r>
      <w:r w:rsidRPr="00406D22">
        <w:rPr>
          <w:rtl/>
        </w:rPr>
        <w:t>)</w:t>
      </w:r>
      <w:r w:rsidRPr="00406D22">
        <w:rPr>
          <w:rtl/>
        </w:rPr>
        <w:tab/>
      </w:r>
      <w:r w:rsidRPr="00406D22">
        <w:rPr>
          <w:rFonts w:hint="cs"/>
          <w:rtl/>
        </w:rPr>
        <w:t xml:space="preserve">انظر </w:t>
      </w:r>
      <w:proofErr w:type="spellStart"/>
      <w:r w:rsidRPr="00406D22">
        <w:rPr>
          <w:rFonts w:hint="cs"/>
          <w:i/>
          <w:iCs/>
          <w:rtl/>
        </w:rPr>
        <w:t>شوميلين</w:t>
      </w:r>
      <w:proofErr w:type="spellEnd"/>
      <w:r w:rsidRPr="00406D22">
        <w:rPr>
          <w:rFonts w:hint="cs"/>
          <w:i/>
          <w:iCs/>
          <w:rtl/>
        </w:rPr>
        <w:t xml:space="preserve"> ضد بيلاروس</w:t>
      </w:r>
      <w:r w:rsidRPr="00406D22">
        <w:rPr>
          <w:rFonts w:hint="cs"/>
          <w:rtl/>
        </w:rPr>
        <w:t xml:space="preserve"> </w:t>
      </w:r>
      <w:r w:rsidRPr="00406D22">
        <w:t>(</w:t>
      </w:r>
      <w:hyperlink r:id="rId2" w:history="1">
        <w:r w:rsidRPr="00406D22">
          <w:rPr>
            <w:rStyle w:val="Hyperlink"/>
            <w:rFonts w:eastAsiaTheme="majorEastAsia"/>
          </w:rPr>
          <w:t>CCPR/C/105/D/1784/2008</w:t>
        </w:r>
      </w:hyperlink>
      <w:r w:rsidRPr="00406D22">
        <w:t>)</w:t>
      </w:r>
      <w:r w:rsidRPr="00406D22">
        <w:rPr>
          <w:rFonts w:hint="cs"/>
          <w:rtl/>
        </w:rPr>
        <w:t xml:space="preserve">، الفقرة 8-3، </w:t>
      </w:r>
      <w:proofErr w:type="spellStart"/>
      <w:r w:rsidRPr="00406D22">
        <w:rPr>
          <w:rFonts w:hint="cs"/>
          <w:rtl/>
        </w:rPr>
        <w:t>و</w:t>
      </w:r>
      <w:r w:rsidRPr="00406D22">
        <w:rPr>
          <w:rFonts w:hint="cs"/>
          <w:i/>
          <w:iCs/>
          <w:rtl/>
        </w:rPr>
        <w:t>دورفييف</w:t>
      </w:r>
      <w:proofErr w:type="spellEnd"/>
      <w:r w:rsidRPr="00406D22">
        <w:rPr>
          <w:rFonts w:hint="cs"/>
          <w:i/>
          <w:iCs/>
          <w:rtl/>
        </w:rPr>
        <w:t xml:space="preserve"> ضد الاتحاد الروسي</w:t>
      </w:r>
      <w:r w:rsidRPr="00406D22">
        <w:rPr>
          <w:rFonts w:hint="cs"/>
          <w:rtl/>
        </w:rPr>
        <w:t xml:space="preserve"> </w:t>
      </w:r>
      <w:r w:rsidRPr="00406D22">
        <w:t>(</w:t>
      </w:r>
      <w:hyperlink r:id="rId3" w:history="1">
        <w:r w:rsidRPr="00406D22">
          <w:rPr>
            <w:rStyle w:val="Hyperlink"/>
            <w:rFonts w:eastAsiaTheme="majorEastAsia"/>
          </w:rPr>
          <w:t>CCPR/C/111/D/2041/2011</w:t>
        </w:r>
      </w:hyperlink>
      <w:r w:rsidRPr="00406D22">
        <w:t>)</w:t>
      </w:r>
      <w:r w:rsidRPr="00406D22">
        <w:rPr>
          <w:rFonts w:hint="cs"/>
          <w:rtl/>
        </w:rPr>
        <w:t>، الفقرة 9-6.</w:t>
      </w:r>
    </w:p>
  </w:footnote>
  <w:footnote w:id="7">
    <w:p w14:paraId="6C5CFD50" w14:textId="77777777" w:rsidR="002A3CD4" w:rsidRPr="00406D22" w:rsidRDefault="002A3CD4" w:rsidP="00406D22">
      <w:pPr>
        <w:pStyle w:val="FootnoteText1"/>
        <w:rPr>
          <w:lang w:val="es-SV"/>
        </w:rPr>
      </w:pPr>
      <w:r w:rsidRPr="00406D22">
        <w:rPr>
          <w:rtl/>
        </w:rPr>
        <w:t>(</w:t>
      </w:r>
      <w:r w:rsidRPr="00406D22">
        <w:rPr>
          <w:rStyle w:val="FootnoteReference"/>
          <w:szCs w:val="26"/>
          <w:vertAlign w:val="baseline"/>
          <w:rtl/>
        </w:rPr>
        <w:footnoteRef/>
      </w:r>
      <w:r w:rsidRPr="00406D22">
        <w:rPr>
          <w:rtl/>
        </w:rPr>
        <w:t>)</w:t>
      </w:r>
      <w:r w:rsidRPr="00406D22">
        <w:rPr>
          <w:rtl/>
        </w:rPr>
        <w:tab/>
      </w:r>
      <w:r w:rsidRPr="00406D22">
        <w:rPr>
          <w:rFonts w:hint="cs"/>
          <w:rtl/>
        </w:rPr>
        <w:t xml:space="preserve">انظر: اللجنة المعنية بحقوق الإنسان، التعليق العام رقم 32(2007) بشأن الحق في المساواة أمام المحاكم والهيئات القضائية وفي محاكمة عادلة، الفقرة 15؛ </w:t>
      </w:r>
      <w:proofErr w:type="spellStart"/>
      <w:r w:rsidRPr="00406D22">
        <w:rPr>
          <w:rFonts w:hint="cs"/>
          <w:i/>
          <w:iCs/>
          <w:rtl/>
        </w:rPr>
        <w:t>وأوسيوك</w:t>
      </w:r>
      <w:proofErr w:type="spellEnd"/>
      <w:r w:rsidRPr="00406D22">
        <w:rPr>
          <w:rFonts w:hint="cs"/>
          <w:i/>
          <w:iCs/>
          <w:rtl/>
        </w:rPr>
        <w:t xml:space="preserve"> ضد بيلاروس</w:t>
      </w:r>
      <w:r w:rsidRPr="00406D22">
        <w:rPr>
          <w:rFonts w:hint="cs"/>
          <w:rtl/>
        </w:rPr>
        <w:t xml:space="preserve"> </w:t>
      </w:r>
      <w:r w:rsidRPr="00406D22">
        <w:rPr>
          <w:lang w:val="es-SV"/>
        </w:rPr>
        <w:t>(</w:t>
      </w:r>
      <w:hyperlink r:id="rId4" w:history="1">
        <w:r w:rsidRPr="00406D22">
          <w:rPr>
            <w:rStyle w:val="Hyperlink"/>
            <w:rFonts w:eastAsiaTheme="majorEastAsia"/>
            <w:lang w:val="es-SV"/>
          </w:rPr>
          <w:t>CCPR/C/96/D/1311/2004</w:t>
        </w:r>
      </w:hyperlink>
      <w:r w:rsidRPr="00406D22">
        <w:rPr>
          <w:lang w:val="es-SV"/>
        </w:rPr>
        <w:t>)</w:t>
      </w:r>
      <w:r w:rsidRPr="00406D22">
        <w:rPr>
          <w:rFonts w:hint="cs"/>
          <w:rtl/>
          <w:lang w:val="es-SV"/>
        </w:rPr>
        <w:t xml:space="preserve">، الفقرة 7-3؛ </w:t>
      </w:r>
      <w:proofErr w:type="spellStart"/>
      <w:r w:rsidRPr="00406D22">
        <w:rPr>
          <w:rFonts w:hint="cs"/>
          <w:rtl/>
          <w:lang w:val="es-SV"/>
        </w:rPr>
        <w:t>و</w:t>
      </w:r>
      <w:r w:rsidRPr="00406D22">
        <w:rPr>
          <w:rFonts w:hint="cs"/>
          <w:i/>
          <w:iCs/>
          <w:rtl/>
          <w:lang w:val="es-SV"/>
        </w:rPr>
        <w:t>زاغيباروف</w:t>
      </w:r>
      <w:proofErr w:type="spellEnd"/>
      <w:r w:rsidRPr="00406D22">
        <w:rPr>
          <w:rFonts w:hint="cs"/>
          <w:i/>
          <w:iCs/>
          <w:rtl/>
          <w:lang w:val="es-SV"/>
        </w:rPr>
        <w:t xml:space="preserve"> ضد كازاخستان</w:t>
      </w:r>
      <w:r w:rsidRPr="00406D22">
        <w:rPr>
          <w:rFonts w:hint="cs"/>
          <w:rtl/>
          <w:lang w:val="es-SV"/>
        </w:rPr>
        <w:t xml:space="preserve"> </w:t>
      </w:r>
      <w:r w:rsidRPr="00406D22">
        <w:rPr>
          <w:lang w:val="es-SV"/>
        </w:rPr>
        <w:t>(</w:t>
      </w:r>
      <w:hyperlink r:id="rId5" w:history="1">
        <w:r w:rsidRPr="00406D22">
          <w:rPr>
            <w:rStyle w:val="Hyperlink"/>
            <w:rFonts w:eastAsiaTheme="majorEastAsia"/>
            <w:bCs/>
            <w:lang w:val="es-SV"/>
          </w:rPr>
          <w:t>CCPR/C/124/D/2441/2014</w:t>
        </w:r>
      </w:hyperlink>
      <w:r w:rsidRPr="00406D22">
        <w:rPr>
          <w:bCs/>
          <w:lang w:val="es-SV"/>
        </w:rPr>
        <w:t>)</w:t>
      </w:r>
      <w:r w:rsidRPr="00406D22">
        <w:rPr>
          <w:rFonts w:hint="cs"/>
          <w:rtl/>
          <w:lang w:val="es-SV"/>
        </w:rPr>
        <w:t>، الفقرة 13-7.</w:t>
      </w:r>
    </w:p>
  </w:footnote>
  <w:footnote w:id="8">
    <w:p w14:paraId="466EC96B" w14:textId="77777777" w:rsidR="002A3CD4" w:rsidRPr="00406D22" w:rsidRDefault="002A3CD4" w:rsidP="00406D22">
      <w:pPr>
        <w:pStyle w:val="FootnoteText1"/>
      </w:pPr>
      <w:r w:rsidRPr="00406D22">
        <w:rPr>
          <w:rtl/>
        </w:rPr>
        <w:t>(</w:t>
      </w:r>
      <w:r w:rsidRPr="00406D22">
        <w:rPr>
          <w:rStyle w:val="FootnoteReference"/>
          <w:szCs w:val="26"/>
          <w:vertAlign w:val="baseline"/>
          <w:rtl/>
        </w:rPr>
        <w:footnoteRef/>
      </w:r>
      <w:r w:rsidRPr="00406D22">
        <w:rPr>
          <w:rtl/>
        </w:rPr>
        <w:t>)</w:t>
      </w:r>
      <w:r w:rsidRPr="00406D22">
        <w:rPr>
          <w:rtl/>
        </w:rPr>
        <w:tab/>
      </w:r>
      <w:r w:rsidRPr="00406D22">
        <w:rPr>
          <w:rFonts w:hint="cs"/>
          <w:rtl/>
        </w:rPr>
        <w:t>انظر،</w:t>
      </w:r>
      <w:r w:rsidRPr="00406D22">
        <w:rPr>
          <w:rFonts w:hint="cs"/>
          <w:i/>
          <w:iCs/>
          <w:rtl/>
        </w:rPr>
        <w:t xml:space="preserve"> مع مراعاة التغييرات اللازمة</w:t>
      </w:r>
      <w:r w:rsidRPr="00406D22">
        <w:rPr>
          <w:rFonts w:hint="cs"/>
          <w:rtl/>
        </w:rPr>
        <w:t xml:space="preserve">، </w:t>
      </w:r>
      <w:proofErr w:type="spellStart"/>
      <w:r w:rsidRPr="00406D22">
        <w:rPr>
          <w:rFonts w:hint="cs"/>
          <w:i/>
          <w:iCs/>
          <w:rtl/>
        </w:rPr>
        <w:t>أوسيوك</w:t>
      </w:r>
      <w:proofErr w:type="spellEnd"/>
      <w:r w:rsidRPr="00406D22">
        <w:rPr>
          <w:rFonts w:hint="cs"/>
          <w:i/>
          <w:iCs/>
          <w:rtl/>
        </w:rPr>
        <w:t xml:space="preserve"> ضد بيلاروس</w:t>
      </w:r>
      <w:r w:rsidRPr="00406D22">
        <w:rPr>
          <w:rFonts w:hint="cs"/>
          <w:rtl/>
        </w:rPr>
        <w:t>، الفقرة 7-4.</w:t>
      </w:r>
    </w:p>
  </w:footnote>
  <w:footnote w:id="9">
    <w:p w14:paraId="2331E251" w14:textId="77777777" w:rsidR="002A3CD4" w:rsidRPr="00406D22" w:rsidRDefault="002A3CD4" w:rsidP="00406D22">
      <w:pPr>
        <w:pStyle w:val="FootnoteText1"/>
        <w:rPr>
          <w:spacing w:val="-6"/>
        </w:rPr>
      </w:pPr>
      <w:r w:rsidRPr="00406D22">
        <w:rPr>
          <w:rtl/>
        </w:rPr>
        <w:t>(</w:t>
      </w:r>
      <w:r w:rsidRPr="00406D22">
        <w:rPr>
          <w:rStyle w:val="FootnoteReference"/>
          <w:szCs w:val="26"/>
          <w:vertAlign w:val="baseline"/>
          <w:rtl/>
        </w:rPr>
        <w:footnoteRef/>
      </w:r>
      <w:r w:rsidRPr="00406D22">
        <w:rPr>
          <w:rtl/>
        </w:rPr>
        <w:t>)</w:t>
      </w:r>
      <w:r w:rsidRPr="00406D22">
        <w:rPr>
          <w:rtl/>
        </w:rPr>
        <w:tab/>
      </w:r>
      <w:r w:rsidRPr="00406D22">
        <w:rPr>
          <w:rFonts w:hint="cs"/>
          <w:spacing w:val="-6"/>
          <w:rtl/>
        </w:rPr>
        <w:t xml:space="preserve">انظر على سبيل المثال، </w:t>
      </w:r>
      <w:proofErr w:type="spellStart"/>
      <w:r w:rsidRPr="00406D22">
        <w:rPr>
          <w:rFonts w:hint="cs"/>
          <w:i/>
          <w:iCs/>
          <w:spacing w:val="-6"/>
          <w:rtl/>
        </w:rPr>
        <w:t>بيفونوس</w:t>
      </w:r>
      <w:proofErr w:type="spellEnd"/>
      <w:r w:rsidRPr="00406D22">
        <w:rPr>
          <w:rFonts w:hint="cs"/>
          <w:i/>
          <w:iCs/>
          <w:spacing w:val="-6"/>
          <w:rtl/>
        </w:rPr>
        <w:t xml:space="preserve"> ضد بيلاروس</w:t>
      </w:r>
      <w:r w:rsidRPr="00406D22">
        <w:rPr>
          <w:rFonts w:hint="cs"/>
          <w:spacing w:val="-6"/>
          <w:rtl/>
        </w:rPr>
        <w:t xml:space="preserve"> </w:t>
      </w:r>
      <w:r w:rsidRPr="00406D22">
        <w:rPr>
          <w:iCs/>
          <w:spacing w:val="-6"/>
          <w:lang w:val="es-SV"/>
        </w:rPr>
        <w:t>(</w:t>
      </w:r>
      <w:hyperlink r:id="rId6" w:history="1">
        <w:r w:rsidRPr="00406D22">
          <w:rPr>
            <w:rStyle w:val="Hyperlink"/>
            <w:rFonts w:eastAsiaTheme="majorEastAsia"/>
            <w:spacing w:val="-6"/>
            <w:lang w:val="es-SV"/>
          </w:rPr>
          <w:t>CCPR/C/106/D/1830/2008</w:t>
        </w:r>
      </w:hyperlink>
      <w:r w:rsidRPr="00406D22">
        <w:rPr>
          <w:spacing w:val="-6"/>
          <w:lang w:val="es-SV"/>
        </w:rPr>
        <w:t>)</w:t>
      </w:r>
      <w:r w:rsidRPr="00406D22">
        <w:rPr>
          <w:rFonts w:hint="cs"/>
          <w:spacing w:val="-6"/>
          <w:rtl/>
        </w:rPr>
        <w:t xml:space="preserve">، الفقرة 9-3؛ </w:t>
      </w:r>
      <w:proofErr w:type="spellStart"/>
      <w:r w:rsidRPr="00406D22">
        <w:rPr>
          <w:rFonts w:hint="cs"/>
          <w:i/>
          <w:iCs/>
          <w:spacing w:val="-6"/>
          <w:rtl/>
        </w:rPr>
        <w:t>وأندروسينكو</w:t>
      </w:r>
      <w:proofErr w:type="spellEnd"/>
      <w:r w:rsidRPr="00406D22">
        <w:rPr>
          <w:rFonts w:hint="cs"/>
          <w:i/>
          <w:iCs/>
          <w:spacing w:val="-6"/>
          <w:rtl/>
        </w:rPr>
        <w:t xml:space="preserve"> ضد بيلاروس</w:t>
      </w:r>
      <w:r w:rsidRPr="00406D22">
        <w:rPr>
          <w:rFonts w:hint="cs"/>
          <w:spacing w:val="-6"/>
          <w:rtl/>
        </w:rPr>
        <w:t xml:space="preserve"> </w:t>
      </w:r>
      <w:r w:rsidRPr="00406D22">
        <w:rPr>
          <w:spacing w:val="-6"/>
          <w:lang w:val="es-SV"/>
        </w:rPr>
        <w:t>(</w:t>
      </w:r>
      <w:hyperlink r:id="rId7" w:history="1">
        <w:r w:rsidRPr="00406D22">
          <w:rPr>
            <w:rStyle w:val="Hyperlink"/>
            <w:rFonts w:eastAsiaTheme="majorEastAsia"/>
            <w:spacing w:val="-6"/>
            <w:lang w:val="es-SV"/>
          </w:rPr>
          <w:t>CCPR/C/116/D/2092/2011</w:t>
        </w:r>
      </w:hyperlink>
      <w:r w:rsidRPr="00406D22">
        <w:rPr>
          <w:spacing w:val="-6"/>
          <w:lang w:val="es-SV"/>
        </w:rPr>
        <w:t>)</w:t>
      </w:r>
      <w:r w:rsidRPr="00406D22">
        <w:rPr>
          <w:rFonts w:hint="cs"/>
          <w:spacing w:val="-6"/>
          <w:rtl/>
        </w:rPr>
        <w:t xml:space="preserve">، الفقرة 7-3؛ </w:t>
      </w:r>
      <w:proofErr w:type="spellStart"/>
      <w:r w:rsidRPr="00406D22">
        <w:rPr>
          <w:rFonts w:hint="cs"/>
          <w:spacing w:val="-6"/>
          <w:rtl/>
        </w:rPr>
        <w:t>و</w:t>
      </w:r>
      <w:r w:rsidRPr="00406D22">
        <w:rPr>
          <w:rFonts w:hint="cs"/>
          <w:i/>
          <w:iCs/>
          <w:spacing w:val="-6"/>
          <w:rtl/>
        </w:rPr>
        <w:t>توريغوزينا</w:t>
      </w:r>
      <w:proofErr w:type="spellEnd"/>
      <w:r w:rsidRPr="00406D22">
        <w:rPr>
          <w:rFonts w:hint="cs"/>
          <w:i/>
          <w:iCs/>
          <w:spacing w:val="-6"/>
          <w:rtl/>
        </w:rPr>
        <w:t xml:space="preserve"> ضد كازاخستان</w:t>
      </w:r>
      <w:r w:rsidRPr="00406D22">
        <w:rPr>
          <w:rFonts w:hint="cs"/>
          <w:spacing w:val="-6"/>
          <w:rtl/>
        </w:rPr>
        <w:t xml:space="preserve"> (</w:t>
      </w:r>
      <w:hyperlink r:id="rId8" w:history="1">
        <w:r w:rsidRPr="00406D22">
          <w:rPr>
            <w:rStyle w:val="Hyperlink"/>
            <w:rFonts w:eastAsiaTheme="majorEastAsia"/>
            <w:spacing w:val="-6"/>
            <w:lang w:val="es-SV"/>
          </w:rPr>
          <w:t>CCPR/C/124/D/2257/2013</w:t>
        </w:r>
      </w:hyperlink>
      <w:r w:rsidRPr="00406D22">
        <w:rPr>
          <w:rFonts w:hint="cs"/>
          <w:spacing w:val="-6"/>
          <w:rtl/>
        </w:rPr>
        <w:t xml:space="preserve"> و</w:t>
      </w:r>
      <w:hyperlink r:id="rId9" w:history="1">
        <w:r w:rsidRPr="00406D22">
          <w:rPr>
            <w:rStyle w:val="Hyperlink"/>
            <w:rFonts w:eastAsiaTheme="majorEastAsia"/>
            <w:spacing w:val="-6"/>
            <w:lang w:val="es-SV"/>
          </w:rPr>
          <w:t>CCPR/C/124/D/2334/2014</w:t>
        </w:r>
      </w:hyperlink>
      <w:r w:rsidRPr="00406D22">
        <w:rPr>
          <w:rFonts w:hint="cs"/>
          <w:spacing w:val="-6"/>
          <w:rtl/>
        </w:rPr>
        <w:t>)، الفقرة 7-5</w:t>
      </w:r>
      <w:r w:rsidR="001F3B65">
        <w:rPr>
          <w:rFonts w:hint="cs"/>
          <w:spacing w:val="-6"/>
          <w:rtl/>
        </w:rPr>
        <w:t>؛</w:t>
      </w:r>
      <w:r w:rsidRPr="00406D22">
        <w:rPr>
          <w:rFonts w:hint="cs"/>
          <w:spacing w:val="-6"/>
          <w:rtl/>
        </w:rPr>
        <w:t xml:space="preserve"> والتعليق العام رقم 34، الفقرة 34.</w:t>
      </w:r>
    </w:p>
  </w:footnote>
  <w:footnote w:id="10">
    <w:p w14:paraId="4BC40C1A" w14:textId="77777777" w:rsidR="002A3CD4" w:rsidRPr="00406D22" w:rsidRDefault="002A3CD4" w:rsidP="00406D22">
      <w:pPr>
        <w:pStyle w:val="FootnoteText1"/>
      </w:pPr>
      <w:r w:rsidRPr="00406D22">
        <w:rPr>
          <w:rtl/>
        </w:rPr>
        <w:t>(</w:t>
      </w:r>
      <w:r w:rsidRPr="00406D22">
        <w:rPr>
          <w:rStyle w:val="FootnoteReference"/>
          <w:szCs w:val="26"/>
          <w:vertAlign w:val="baseline"/>
          <w:rtl/>
        </w:rPr>
        <w:footnoteRef/>
      </w:r>
      <w:r w:rsidRPr="00406D22">
        <w:rPr>
          <w:rtl/>
        </w:rPr>
        <w:t>)</w:t>
      </w:r>
      <w:r w:rsidRPr="00406D22">
        <w:rPr>
          <w:rtl/>
        </w:rPr>
        <w:tab/>
      </w:r>
      <w:r w:rsidRPr="00406D22">
        <w:rPr>
          <w:rFonts w:hint="cs"/>
          <w:rtl/>
        </w:rPr>
        <w:t xml:space="preserve">انظر على سبيل المثال، </w:t>
      </w:r>
      <w:proofErr w:type="spellStart"/>
      <w:r w:rsidRPr="00406D22">
        <w:rPr>
          <w:rFonts w:hint="cs"/>
          <w:i/>
          <w:iCs/>
          <w:rtl/>
        </w:rPr>
        <w:t>كورول</w:t>
      </w:r>
      <w:proofErr w:type="spellEnd"/>
      <w:r w:rsidRPr="00406D22">
        <w:rPr>
          <w:rFonts w:hint="cs"/>
          <w:i/>
          <w:iCs/>
          <w:rtl/>
        </w:rPr>
        <w:t xml:space="preserve"> ضد بيلاروس</w:t>
      </w:r>
      <w:r w:rsidRPr="00406D22">
        <w:rPr>
          <w:rFonts w:hint="cs"/>
          <w:rtl/>
        </w:rPr>
        <w:t xml:space="preserve"> </w:t>
      </w:r>
      <w:r w:rsidRPr="00406D22">
        <w:t>(</w:t>
      </w:r>
      <w:hyperlink r:id="rId10" w:history="1">
        <w:r w:rsidRPr="00406D22">
          <w:rPr>
            <w:rStyle w:val="Hyperlink"/>
            <w:rFonts w:eastAsiaTheme="majorEastAsia"/>
          </w:rPr>
          <w:t>CCPR/C/117/D/2089/2011</w:t>
        </w:r>
      </w:hyperlink>
      <w:r w:rsidRPr="00406D22">
        <w:t>)</w:t>
      </w:r>
      <w:r w:rsidRPr="00406D22">
        <w:rPr>
          <w:rFonts w:hint="cs"/>
          <w:rtl/>
        </w:rPr>
        <w:t>، الفقرة 7-5.</w:t>
      </w:r>
    </w:p>
  </w:footnote>
  <w:footnote w:id="11">
    <w:p w14:paraId="3B1110A5" w14:textId="77777777" w:rsidR="002A3CD4" w:rsidRPr="00406D22" w:rsidRDefault="002A3CD4" w:rsidP="00406D22">
      <w:pPr>
        <w:pStyle w:val="FootnoteText1"/>
      </w:pPr>
      <w:r w:rsidRPr="00406D22">
        <w:rPr>
          <w:rtl/>
        </w:rPr>
        <w:t>(</w:t>
      </w:r>
      <w:r w:rsidRPr="00406D22">
        <w:rPr>
          <w:rStyle w:val="FootnoteReference"/>
          <w:szCs w:val="26"/>
          <w:vertAlign w:val="baseline"/>
          <w:rtl/>
        </w:rPr>
        <w:footnoteRef/>
      </w:r>
      <w:r w:rsidRPr="00406D22">
        <w:rPr>
          <w:rtl/>
        </w:rPr>
        <w:t>)</w:t>
      </w:r>
      <w:r w:rsidRPr="00406D22">
        <w:rPr>
          <w:rtl/>
        </w:rPr>
        <w:tab/>
      </w:r>
      <w:r w:rsidRPr="00406D22">
        <w:rPr>
          <w:rFonts w:hint="cs"/>
          <w:rtl/>
        </w:rPr>
        <w:t xml:space="preserve">انظر </w:t>
      </w:r>
      <w:proofErr w:type="spellStart"/>
      <w:r w:rsidRPr="00406D22">
        <w:rPr>
          <w:rFonts w:hint="cs"/>
          <w:i/>
          <w:iCs/>
          <w:rtl/>
        </w:rPr>
        <w:t>كورول</w:t>
      </w:r>
      <w:proofErr w:type="spellEnd"/>
      <w:r w:rsidRPr="00406D22">
        <w:rPr>
          <w:rFonts w:hint="cs"/>
          <w:i/>
          <w:iCs/>
          <w:rtl/>
        </w:rPr>
        <w:t xml:space="preserve"> ضد بيلاروس</w:t>
      </w:r>
      <w:r w:rsidRPr="00406D22">
        <w:rPr>
          <w:rFonts w:hint="cs"/>
          <w:rtl/>
        </w:rPr>
        <w:t xml:space="preserve">، الفقرة 7-5، </w:t>
      </w:r>
      <w:proofErr w:type="spellStart"/>
      <w:r w:rsidRPr="00406D22">
        <w:rPr>
          <w:rFonts w:hint="cs"/>
          <w:rtl/>
        </w:rPr>
        <w:t>و</w:t>
      </w:r>
      <w:r w:rsidRPr="00406D22">
        <w:rPr>
          <w:rFonts w:hint="cs"/>
          <w:i/>
          <w:iCs/>
          <w:rtl/>
        </w:rPr>
        <w:t>توريغوزينا</w:t>
      </w:r>
      <w:proofErr w:type="spellEnd"/>
      <w:r w:rsidRPr="00406D22">
        <w:rPr>
          <w:rFonts w:hint="cs"/>
          <w:i/>
          <w:iCs/>
          <w:rtl/>
        </w:rPr>
        <w:t xml:space="preserve"> ضد كازاخستان</w:t>
      </w:r>
      <w:r w:rsidRPr="00406D22">
        <w:rPr>
          <w:rFonts w:hint="cs"/>
          <w:rtl/>
        </w:rPr>
        <w:t>، الفقرة 7-3.</w:t>
      </w:r>
    </w:p>
  </w:footnote>
  <w:footnote w:id="12">
    <w:p w14:paraId="18B8638F" w14:textId="77777777" w:rsidR="002A3CD4" w:rsidRPr="00406D22" w:rsidRDefault="002A3CD4" w:rsidP="00406D22">
      <w:pPr>
        <w:pStyle w:val="FootnoteText1"/>
      </w:pPr>
      <w:r w:rsidRPr="00406D22">
        <w:rPr>
          <w:rtl/>
        </w:rPr>
        <w:t>(</w:t>
      </w:r>
      <w:r w:rsidRPr="00406D22">
        <w:rPr>
          <w:rStyle w:val="FootnoteReference"/>
          <w:szCs w:val="26"/>
          <w:vertAlign w:val="baseline"/>
          <w:rtl/>
        </w:rPr>
        <w:footnoteRef/>
      </w:r>
      <w:r w:rsidRPr="00406D22">
        <w:rPr>
          <w:rtl/>
        </w:rPr>
        <w:t>)</w:t>
      </w:r>
      <w:r w:rsidRPr="00406D22">
        <w:rPr>
          <w:rtl/>
        </w:rPr>
        <w:tab/>
      </w:r>
      <w:r w:rsidRPr="00406D22">
        <w:rPr>
          <w:rFonts w:hint="cs"/>
          <w:rtl/>
        </w:rPr>
        <w:t xml:space="preserve">انظر </w:t>
      </w:r>
      <w:proofErr w:type="spellStart"/>
      <w:r w:rsidRPr="00406D22">
        <w:rPr>
          <w:rFonts w:hint="cs"/>
          <w:i/>
          <w:iCs/>
          <w:rtl/>
        </w:rPr>
        <w:t>بوبلافني</w:t>
      </w:r>
      <w:proofErr w:type="spellEnd"/>
      <w:r w:rsidRPr="00406D22">
        <w:rPr>
          <w:rFonts w:hint="cs"/>
          <w:i/>
          <w:iCs/>
          <w:rtl/>
        </w:rPr>
        <w:t xml:space="preserve"> ضد بيلاروس</w:t>
      </w:r>
      <w:r w:rsidRPr="00406D22">
        <w:rPr>
          <w:rFonts w:hint="cs"/>
          <w:rtl/>
        </w:rPr>
        <w:t xml:space="preserve"> </w:t>
      </w:r>
      <w:r w:rsidRPr="00406D22">
        <w:t>(</w:t>
      </w:r>
      <w:hyperlink r:id="rId11" w:history="1">
        <w:r w:rsidRPr="00406D22">
          <w:rPr>
            <w:rStyle w:val="Hyperlink"/>
            <w:rFonts w:eastAsiaTheme="majorEastAsia"/>
          </w:rPr>
          <w:t>CCPR/C/115/D/2019/2010</w:t>
        </w:r>
      </w:hyperlink>
      <w:r w:rsidRPr="00406D22">
        <w:t>)</w:t>
      </w:r>
      <w:r w:rsidRPr="00406D22">
        <w:rPr>
          <w:rFonts w:hint="cs"/>
          <w:rtl/>
        </w:rPr>
        <w:t>، الفقرة 8-4.</w:t>
      </w:r>
    </w:p>
  </w:footnote>
  <w:footnote w:id="13">
    <w:p w14:paraId="74D021B7" w14:textId="77777777" w:rsidR="002A3CD4" w:rsidRPr="00406D22" w:rsidRDefault="002A3CD4" w:rsidP="00406D22">
      <w:pPr>
        <w:pStyle w:val="FootnoteText1"/>
      </w:pPr>
      <w:r w:rsidRPr="00406D22">
        <w:rPr>
          <w:rtl/>
        </w:rPr>
        <w:t>(</w:t>
      </w:r>
      <w:r w:rsidRPr="00406D22">
        <w:rPr>
          <w:rStyle w:val="FootnoteReference"/>
          <w:szCs w:val="26"/>
          <w:vertAlign w:val="baseline"/>
          <w:rtl/>
        </w:rPr>
        <w:footnoteRef/>
      </w:r>
      <w:r w:rsidRPr="00406D22">
        <w:rPr>
          <w:rtl/>
        </w:rPr>
        <w:t>)</w:t>
      </w:r>
      <w:r w:rsidRPr="00406D22">
        <w:rPr>
          <w:rtl/>
        </w:rPr>
        <w:tab/>
      </w:r>
      <w:r w:rsidRPr="00406D22">
        <w:rPr>
          <w:rFonts w:hint="cs"/>
          <w:rtl/>
        </w:rPr>
        <w:t xml:space="preserve">انظر على سبيل المثال، </w:t>
      </w:r>
      <w:proofErr w:type="spellStart"/>
      <w:r w:rsidRPr="00406D22">
        <w:rPr>
          <w:rFonts w:hint="cs"/>
          <w:i/>
          <w:iCs/>
          <w:rtl/>
        </w:rPr>
        <w:t>بولياكوف</w:t>
      </w:r>
      <w:proofErr w:type="spellEnd"/>
      <w:r w:rsidRPr="00406D22">
        <w:rPr>
          <w:rFonts w:hint="cs"/>
          <w:i/>
          <w:iCs/>
          <w:rtl/>
        </w:rPr>
        <w:t xml:space="preserve"> ضد بيلاروس</w:t>
      </w:r>
      <w:r w:rsidRPr="00406D22">
        <w:rPr>
          <w:rFonts w:hint="cs"/>
          <w:rtl/>
        </w:rPr>
        <w:t xml:space="preserve">، </w:t>
      </w:r>
      <w:r w:rsidRPr="00406D22">
        <w:t>(</w:t>
      </w:r>
      <w:hyperlink r:id="rId12" w:history="1">
        <w:r w:rsidRPr="00406D22">
          <w:rPr>
            <w:rStyle w:val="Hyperlink"/>
            <w:rFonts w:eastAsiaTheme="majorEastAsia"/>
          </w:rPr>
          <w:t>CCPR/C/111/D/2030/2011</w:t>
        </w:r>
      </w:hyperlink>
      <w:r w:rsidRPr="00406D22">
        <w:t>)</w:t>
      </w:r>
      <w:r w:rsidRPr="00406D22">
        <w:rPr>
          <w:rFonts w:hint="cs"/>
          <w:rtl/>
        </w:rPr>
        <w:t>، الفقرة 8-3.</w:t>
      </w:r>
    </w:p>
  </w:footnote>
  <w:footnote w:id="14">
    <w:p w14:paraId="6FAA4F3B" w14:textId="77777777" w:rsidR="002A3CD4" w:rsidRPr="00406D22" w:rsidRDefault="002A3CD4" w:rsidP="00406D22">
      <w:pPr>
        <w:pStyle w:val="FootnoteText1"/>
      </w:pPr>
      <w:r w:rsidRPr="00406D22">
        <w:rPr>
          <w:rtl/>
        </w:rPr>
        <w:t>(</w:t>
      </w:r>
      <w:r w:rsidRPr="00406D22">
        <w:rPr>
          <w:rStyle w:val="FootnoteReference"/>
          <w:szCs w:val="26"/>
          <w:vertAlign w:val="baseline"/>
          <w:rtl/>
        </w:rPr>
        <w:footnoteRef/>
      </w:r>
      <w:r w:rsidRPr="00406D22">
        <w:rPr>
          <w:rtl/>
        </w:rPr>
        <w:t>)</w:t>
      </w:r>
      <w:r w:rsidRPr="00406D22">
        <w:rPr>
          <w:rtl/>
        </w:rPr>
        <w:tab/>
      </w:r>
      <w:r w:rsidRPr="00406D22">
        <w:rPr>
          <w:rFonts w:hint="cs"/>
          <w:rtl/>
        </w:rPr>
        <w:t xml:space="preserve">انظر، مع مراعاة التغييرات اللازمة، </w:t>
      </w:r>
      <w:proofErr w:type="spellStart"/>
      <w:r w:rsidRPr="00406D22">
        <w:rPr>
          <w:rFonts w:hint="cs"/>
          <w:i/>
          <w:iCs/>
          <w:rtl/>
        </w:rPr>
        <w:t>بوبوفا</w:t>
      </w:r>
      <w:proofErr w:type="spellEnd"/>
      <w:r w:rsidRPr="00406D22">
        <w:rPr>
          <w:rFonts w:hint="cs"/>
          <w:i/>
          <w:iCs/>
          <w:rtl/>
        </w:rPr>
        <w:t xml:space="preserve"> ضد الاتحاد الروسي</w:t>
      </w:r>
      <w:r w:rsidRPr="00406D22">
        <w:rPr>
          <w:rFonts w:hint="cs"/>
          <w:rtl/>
        </w:rPr>
        <w:t xml:space="preserve"> </w:t>
      </w:r>
      <w:r w:rsidRPr="00406D22">
        <w:t>(</w:t>
      </w:r>
      <w:hyperlink r:id="rId13" w:history="1">
        <w:r w:rsidRPr="00406D22">
          <w:rPr>
            <w:rStyle w:val="Hyperlink"/>
            <w:rFonts w:eastAsiaTheme="majorEastAsia"/>
          </w:rPr>
          <w:t>CCPR/C/122/D/2217/2012</w:t>
        </w:r>
      </w:hyperlink>
      <w:r w:rsidRPr="00406D22">
        <w:t>)</w:t>
      </w:r>
      <w:r w:rsidRPr="00406D22">
        <w:rPr>
          <w:rFonts w:hint="cs"/>
          <w:rtl/>
        </w:rPr>
        <w:t>، الفقرة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9102" w14:textId="3C9B027E" w:rsidR="005160D9" w:rsidRPr="00DC106E" w:rsidRDefault="00DC106E" w:rsidP="0046594E">
    <w:pPr>
      <w:pStyle w:val="Header"/>
      <w:spacing w:after="120"/>
      <w:jc w:val="right"/>
      <w:rPr>
        <w:lang w:val="fr-CH"/>
      </w:rPr>
    </w:pPr>
    <w:r>
      <w:fldChar w:fldCharType="begin"/>
    </w:r>
    <w:r w:rsidRPr="006D3D2C">
      <w:rPr>
        <w:lang w:val="fr-CH"/>
      </w:rPr>
      <w:instrText xml:space="preserve"> TITLE  \* MERGEFORMAT </w:instrText>
    </w:r>
    <w:r>
      <w:fldChar w:fldCharType="separate"/>
    </w:r>
    <w:r w:rsidR="0072517F">
      <w:rPr>
        <w:lang w:val="fr-CH"/>
      </w:rPr>
      <w:t>CCPR/C/126/D/2542/2015</w:t>
    </w:r>
    <w:r>
      <w:fldChar w:fldCharType="end"/>
    </w:r>
    <w:r w:rsidRPr="006D3D2C">
      <w:rPr>
        <w:lang w:val="fr-CH"/>
      </w:rPr>
      <w:br/>
      <w:t>CCPR/C/126/D/2543/2015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6D57" w14:textId="77777777" w:rsidR="005160D9" w:rsidRPr="00DC106E" w:rsidRDefault="00DC106E" w:rsidP="0046594E">
    <w:pPr>
      <w:pStyle w:val="Header"/>
      <w:spacing w:after="120"/>
      <w:jc w:val="left"/>
      <w:rPr>
        <w:lang w:val="fr-CH"/>
      </w:rPr>
    </w:pPr>
    <w:r w:rsidRPr="006D3D2C">
      <w:rPr>
        <w:lang w:val="fr-CH"/>
      </w:rPr>
      <w:t>CCPR/C/126/D/2542/2015</w:t>
    </w:r>
    <w:r w:rsidRPr="006D3D2C">
      <w:rPr>
        <w:lang w:val="fr-CH"/>
      </w:rPr>
      <w:br/>
      <w:t>CCPR/C/126/D/2543/2015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attachedTemplate r:id="rId1"/>
  <w:defaultTabStop w:val="567"/>
  <w:hyphenationZone w:val="425"/>
  <w:evenAndOddHeaders/>
  <w:characterSpacingControl w:val="doNotCompress"/>
  <w:hdrShapeDefaults>
    <o:shapedefaults v:ext="edit" spidmax="1228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22566D"/>
    <w:rsid w:val="000076D5"/>
    <w:rsid w:val="00043663"/>
    <w:rsid w:val="000437B8"/>
    <w:rsid w:val="000505CF"/>
    <w:rsid w:val="000C21DB"/>
    <w:rsid w:val="000D701C"/>
    <w:rsid w:val="000E2A71"/>
    <w:rsid w:val="000E5120"/>
    <w:rsid w:val="00106CFB"/>
    <w:rsid w:val="00141379"/>
    <w:rsid w:val="00160263"/>
    <w:rsid w:val="00181F96"/>
    <w:rsid w:val="001A1371"/>
    <w:rsid w:val="001B346A"/>
    <w:rsid w:val="001E1CAD"/>
    <w:rsid w:val="001E290D"/>
    <w:rsid w:val="001F3B65"/>
    <w:rsid w:val="002144FA"/>
    <w:rsid w:val="0022566D"/>
    <w:rsid w:val="0023469A"/>
    <w:rsid w:val="00243C8A"/>
    <w:rsid w:val="00267A0E"/>
    <w:rsid w:val="002901D9"/>
    <w:rsid w:val="002976C2"/>
    <w:rsid w:val="00297E88"/>
    <w:rsid w:val="002A3CD4"/>
    <w:rsid w:val="003260FF"/>
    <w:rsid w:val="00343D95"/>
    <w:rsid w:val="00363A18"/>
    <w:rsid w:val="00374341"/>
    <w:rsid w:val="003D1062"/>
    <w:rsid w:val="00406D22"/>
    <w:rsid w:val="00420D7B"/>
    <w:rsid w:val="00450B21"/>
    <w:rsid w:val="00453A82"/>
    <w:rsid w:val="00453B63"/>
    <w:rsid w:val="00455780"/>
    <w:rsid w:val="0046594E"/>
    <w:rsid w:val="004B0A1C"/>
    <w:rsid w:val="004D298E"/>
    <w:rsid w:val="0050749B"/>
    <w:rsid w:val="005160D9"/>
    <w:rsid w:val="00517BC9"/>
    <w:rsid w:val="00541A9D"/>
    <w:rsid w:val="0054472E"/>
    <w:rsid w:val="005662A9"/>
    <w:rsid w:val="00574245"/>
    <w:rsid w:val="005827D4"/>
    <w:rsid w:val="0059622A"/>
    <w:rsid w:val="005C5878"/>
    <w:rsid w:val="005C7CEA"/>
    <w:rsid w:val="005D3C0B"/>
    <w:rsid w:val="005E5217"/>
    <w:rsid w:val="005F0FA4"/>
    <w:rsid w:val="005F30EE"/>
    <w:rsid w:val="0060473A"/>
    <w:rsid w:val="00656392"/>
    <w:rsid w:val="00674FF5"/>
    <w:rsid w:val="0068781D"/>
    <w:rsid w:val="006959B0"/>
    <w:rsid w:val="006B3E27"/>
    <w:rsid w:val="006B6507"/>
    <w:rsid w:val="006C104C"/>
    <w:rsid w:val="0072517F"/>
    <w:rsid w:val="00733704"/>
    <w:rsid w:val="0078071A"/>
    <w:rsid w:val="00787E1E"/>
    <w:rsid w:val="008169E9"/>
    <w:rsid w:val="00852A9A"/>
    <w:rsid w:val="00854424"/>
    <w:rsid w:val="00862580"/>
    <w:rsid w:val="008F49E1"/>
    <w:rsid w:val="0090370F"/>
    <w:rsid w:val="009269D2"/>
    <w:rsid w:val="009343D3"/>
    <w:rsid w:val="00942135"/>
    <w:rsid w:val="009521B0"/>
    <w:rsid w:val="00982139"/>
    <w:rsid w:val="009867A8"/>
    <w:rsid w:val="009A7E9F"/>
    <w:rsid w:val="009E5018"/>
    <w:rsid w:val="009F1337"/>
    <w:rsid w:val="00A12B37"/>
    <w:rsid w:val="00AB6758"/>
    <w:rsid w:val="00B13763"/>
    <w:rsid w:val="00B477A4"/>
    <w:rsid w:val="00B54045"/>
    <w:rsid w:val="00B61FF9"/>
    <w:rsid w:val="00C438D7"/>
    <w:rsid w:val="00C81B50"/>
    <w:rsid w:val="00CB6622"/>
    <w:rsid w:val="00CD1801"/>
    <w:rsid w:val="00CF236E"/>
    <w:rsid w:val="00CF65C6"/>
    <w:rsid w:val="00D10EF1"/>
    <w:rsid w:val="00D42810"/>
    <w:rsid w:val="00D55A10"/>
    <w:rsid w:val="00D904D4"/>
    <w:rsid w:val="00D914A7"/>
    <w:rsid w:val="00DC106E"/>
    <w:rsid w:val="00DD13C3"/>
    <w:rsid w:val="00DD596E"/>
    <w:rsid w:val="00DD621E"/>
    <w:rsid w:val="00DE50B1"/>
    <w:rsid w:val="00DF0575"/>
    <w:rsid w:val="00E70E04"/>
    <w:rsid w:val="00EC05A7"/>
    <w:rsid w:val="00EC4B6B"/>
    <w:rsid w:val="00ED7442"/>
    <w:rsid w:val="00EF1EE5"/>
    <w:rsid w:val="00F4066B"/>
    <w:rsid w:val="00F763B4"/>
    <w:rsid w:val="00F900C3"/>
    <w:rsid w:val="00FC6EDD"/>
    <w:rsid w:val="00FC72B1"/>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6A4202B"/>
  <w15:docId w15:val="{8DC45B96-4260-43BD-B7A0-2EA41FF0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A1371"/>
    <w:pPr>
      <w:spacing w:line="240" w:lineRule="auto"/>
    </w:pPr>
    <w:rPr>
      <w:szCs w:val="20"/>
    </w:rPr>
  </w:style>
  <w:style w:type="character" w:customStyle="1" w:styleId="FootnoteTextChar">
    <w:name w:val="Footnote Text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
    <w:name w:val="_ H _Ch"/>
    <w:basedOn w:val="Normal"/>
    <w:next w:val="SingleTxt"/>
    <w:qFormat/>
    <w:rsid w:val="002A3CD4"/>
    <w:pPr>
      <w:keepNext/>
      <w:keepLines/>
      <w:spacing w:after="120" w:line="440" w:lineRule="exact"/>
      <w:outlineLvl w:val="0"/>
    </w:pPr>
    <w:rPr>
      <w:rFonts w:eastAsiaTheme="minorHAnsi"/>
      <w:b/>
      <w:bCs/>
      <w:spacing w:val="-2"/>
      <w:kern w:val="14"/>
      <w:sz w:val="28"/>
      <w:szCs w:val="36"/>
    </w:rPr>
  </w:style>
  <w:style w:type="paragraph" w:customStyle="1" w:styleId="SingleTxt">
    <w:name w:val="__Single Txt"/>
    <w:basedOn w:val="Normal"/>
    <w:qFormat/>
    <w:rsid w:val="002A3CD4"/>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rFonts w:eastAsiaTheme="minorHAnsi"/>
      <w:kern w:val="14"/>
      <w:szCs w:val="28"/>
    </w:rPr>
  </w:style>
  <w:style w:type="paragraph" w:customStyle="1" w:styleId="H23">
    <w:name w:val="_ H_2/3"/>
    <w:basedOn w:val="Normal"/>
    <w:next w:val="SingleTxt"/>
    <w:qFormat/>
    <w:rsid w:val="002A3CD4"/>
    <w:pPr>
      <w:keepNext/>
      <w:keepLines/>
      <w:suppressAutoHyphens/>
      <w:spacing w:after="120" w:line="360" w:lineRule="exact"/>
      <w:jc w:val="mediumKashida"/>
      <w:outlineLvl w:val="1"/>
    </w:pPr>
    <w:rPr>
      <w:rFonts w:eastAsiaTheme="minorHAnsi"/>
      <w:b/>
      <w:bCs/>
      <w:spacing w:val="2"/>
      <w:kern w:val="14"/>
      <w:szCs w:val="28"/>
    </w:rPr>
  </w:style>
  <w:style w:type="paragraph" w:customStyle="1" w:styleId="H4">
    <w:name w:val="_ H_4"/>
    <w:basedOn w:val="Normal"/>
    <w:next w:val="SingleTxt"/>
    <w:qFormat/>
    <w:rsid w:val="002A3CD4"/>
    <w:pPr>
      <w:keepNext/>
      <w:keepLines/>
      <w:suppressAutoHyphens/>
      <w:spacing w:after="120" w:line="360" w:lineRule="exact"/>
      <w:outlineLvl w:val="3"/>
    </w:pPr>
    <w:rPr>
      <w:rFonts w:eastAsiaTheme="minorHAnsi"/>
      <w:i/>
      <w:iCs/>
      <w:kern w:val="14"/>
      <w:szCs w:val="28"/>
    </w:rPr>
  </w:style>
  <w:style w:type="character" w:styleId="Hyperlink">
    <w:name w:val="Hyperlink"/>
    <w:basedOn w:val="DefaultParagraphFont"/>
    <w:rsid w:val="002A3CD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124/D/2257/2013" TargetMode="External"/><Relationship Id="rId13" Type="http://schemas.openxmlformats.org/officeDocument/2006/relationships/hyperlink" Target="https://undocs.org/ar/CCPR/C/122/D/2217/2012" TargetMode="External"/><Relationship Id="rId3" Type="http://schemas.openxmlformats.org/officeDocument/2006/relationships/hyperlink" Target="https://undocs.org/ar/CCPR/C/111/D/2041/2011" TargetMode="External"/><Relationship Id="rId7" Type="http://schemas.openxmlformats.org/officeDocument/2006/relationships/hyperlink" Target="https://undocs.org/ar/CCPR/C/116/D/2092/2011" TargetMode="External"/><Relationship Id="rId12" Type="http://schemas.openxmlformats.org/officeDocument/2006/relationships/hyperlink" Target="https://undocs.org/ar/CCPR/C/111/D/2030/2011" TargetMode="External"/><Relationship Id="rId2" Type="http://schemas.openxmlformats.org/officeDocument/2006/relationships/hyperlink" Target="https://undocs.org/ar/CCPR/C/105/D/1784/2008" TargetMode="External"/><Relationship Id="rId1" Type="http://schemas.openxmlformats.org/officeDocument/2006/relationships/hyperlink" Target="https://undocs.org/ar/A/HRC/29/25/Add.2" TargetMode="External"/><Relationship Id="rId6" Type="http://schemas.openxmlformats.org/officeDocument/2006/relationships/hyperlink" Target="https://undocs.org/ar/CCPR/C/106/D/1830/2008" TargetMode="External"/><Relationship Id="rId11" Type="http://schemas.openxmlformats.org/officeDocument/2006/relationships/hyperlink" Target="https://undocs.org/ar/CCPR/C/115/D/2019/2010" TargetMode="External"/><Relationship Id="rId5" Type="http://schemas.openxmlformats.org/officeDocument/2006/relationships/hyperlink" Target="https://undocs.org/ar/CCPR/C/124/D/2441/2014" TargetMode="External"/><Relationship Id="rId10" Type="http://schemas.openxmlformats.org/officeDocument/2006/relationships/hyperlink" Target="https://undocs.org/ar/CCPR/C/117/D/2089/2011" TargetMode="External"/><Relationship Id="rId4" Type="http://schemas.openxmlformats.org/officeDocument/2006/relationships/hyperlink" Target="https://undocs.org/ar/CCPR/C/96/D/1311/2004" TargetMode="External"/><Relationship Id="rId9" Type="http://schemas.openxmlformats.org/officeDocument/2006/relationships/hyperlink" Target="https://undocs.org/ar/CCPR/C/124/D/2334/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E1B8-A99F-47B2-B36F-295550D3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3791</Words>
  <Characters>19073</Characters>
  <Application>Microsoft Office Word</Application>
  <DocSecurity>0</DocSecurity>
  <Lines>328</Lines>
  <Paragraphs>102</Paragraphs>
  <ScaleCrop>false</ScaleCrop>
  <HeadingPairs>
    <vt:vector size="2" baseType="variant">
      <vt:variant>
        <vt:lpstr>Title</vt:lpstr>
      </vt:variant>
      <vt:variant>
        <vt:i4>1</vt:i4>
      </vt:variant>
    </vt:vector>
  </HeadingPairs>
  <TitlesOfParts>
    <vt:vector size="1" baseType="lpstr">
      <vt:lpstr>CCPR/C/126/D/2542/2015</vt:lpstr>
    </vt:vector>
  </TitlesOfParts>
  <Company>DCM</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CCPR/C/126/D/2542/2015</dc:title>
  <dc:subject>GE.1914463A</dc:subject>
  <dc:creator>MBU, MIR</dc:creator>
  <cp:keywords>ODS No.1925221</cp:keywords>
  <dc:description>Distribution:_x000d_
Original: English_x000d_
Date: 2019</dc:description>
  <cp:lastModifiedBy>Ibrahim Balan</cp:lastModifiedBy>
  <cp:revision>3</cp:revision>
  <cp:lastPrinted>2020-01-13T10:02:00Z</cp:lastPrinted>
  <dcterms:created xsi:type="dcterms:W3CDTF">2020-01-13T10:02:00Z</dcterms:created>
  <dcterms:modified xsi:type="dcterms:W3CDTF">2020-01-13T10:02:00Z</dcterms:modified>
  <cp:category>Finale</cp:category>
</cp:coreProperties>
</file>