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F01D7" w:rsidRDefault="006B3E27" w:rsidP="009867A8">
            <w:pPr>
              <w:jc w:val="center"/>
              <w:rPr>
                <w:sz w:val="56"/>
                <w:szCs w:val="56"/>
                <w:rtl/>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F01D7" w:rsidP="004D06D2">
            <w:pPr>
              <w:bidi w:val="0"/>
              <w:spacing w:after="20"/>
              <w:jc w:val="left"/>
              <w:rPr>
                <w:szCs w:val="20"/>
              </w:rPr>
            </w:pPr>
            <w:r w:rsidRPr="001F01D7">
              <w:rPr>
                <w:sz w:val="40"/>
                <w:szCs w:val="20"/>
              </w:rPr>
              <w:t>CCPR</w:t>
            </w:r>
            <w:r>
              <w:rPr>
                <w:szCs w:val="20"/>
              </w:rPr>
              <w:t>/C/127/D/2717/2016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D06D2" w:rsidP="004D06D2">
            <w:pPr>
              <w:bidi w:val="0"/>
              <w:spacing w:before="240"/>
              <w:jc w:val="left"/>
              <w:rPr>
                <w:szCs w:val="20"/>
              </w:rPr>
            </w:pPr>
            <w:r>
              <w:rPr>
                <w:szCs w:val="20"/>
              </w:rPr>
              <w:t>Distr.: General</w:t>
            </w:r>
          </w:p>
          <w:p w:rsidR="004D06D2" w:rsidRDefault="004D06D2" w:rsidP="004D06D2">
            <w:pPr>
              <w:bidi w:val="0"/>
              <w:jc w:val="left"/>
              <w:rPr>
                <w:szCs w:val="20"/>
              </w:rPr>
            </w:pPr>
            <w:r>
              <w:rPr>
                <w:szCs w:val="20"/>
              </w:rPr>
              <w:t>6 December 2019</w:t>
            </w:r>
          </w:p>
          <w:p w:rsidR="004D06D2" w:rsidRDefault="004D06D2" w:rsidP="004D06D2">
            <w:pPr>
              <w:bidi w:val="0"/>
              <w:jc w:val="left"/>
              <w:rPr>
                <w:szCs w:val="20"/>
              </w:rPr>
            </w:pPr>
            <w:r>
              <w:rPr>
                <w:szCs w:val="20"/>
              </w:rPr>
              <w:t>Arabic</w:t>
            </w:r>
          </w:p>
          <w:p w:rsidR="004D06D2" w:rsidRPr="00CB6622" w:rsidRDefault="004D06D2" w:rsidP="004D06D2">
            <w:pPr>
              <w:bidi w:val="0"/>
              <w:jc w:val="left"/>
              <w:rPr>
                <w:szCs w:val="20"/>
              </w:rPr>
            </w:pPr>
            <w:r>
              <w:rPr>
                <w:szCs w:val="20"/>
              </w:rPr>
              <w:t>Original: English</w:t>
            </w:r>
          </w:p>
        </w:tc>
      </w:tr>
    </w:tbl>
    <w:p w:rsidR="004D06D2" w:rsidRPr="004D06D2" w:rsidRDefault="004D06D2" w:rsidP="004D06D2">
      <w:pPr>
        <w:spacing w:before="120" w:after="120" w:line="380" w:lineRule="exact"/>
        <w:rPr>
          <w:b/>
          <w:bCs/>
          <w:sz w:val="26"/>
          <w:szCs w:val="36"/>
          <w:rtl/>
        </w:rPr>
      </w:pPr>
      <w:r w:rsidRPr="004D06D2">
        <w:rPr>
          <w:b/>
          <w:bCs/>
          <w:sz w:val="26"/>
          <w:szCs w:val="36"/>
          <w:rtl/>
        </w:rPr>
        <w:t>اللجنة المعنية بحقوق الإنسان</w:t>
      </w:r>
    </w:p>
    <w:p w:rsidR="004D06D2" w:rsidRPr="004D06D2" w:rsidRDefault="004D06D2" w:rsidP="00702352">
      <w:pPr>
        <w:pStyle w:val="HChGA"/>
        <w:spacing w:before="240"/>
        <w:rPr>
          <w:rtl/>
        </w:rPr>
      </w:pPr>
      <w:r w:rsidRPr="004D06D2">
        <w:rPr>
          <w:rtl/>
        </w:rPr>
        <w:tab/>
      </w:r>
      <w:r w:rsidRPr="004D06D2">
        <w:rPr>
          <w:rtl/>
        </w:rPr>
        <w:tab/>
        <w:t>قرار اعتمدته اللجنة بموجب البروتوكول الاختياري بشأن البلاغ رقم</w:t>
      </w:r>
      <w:r w:rsidR="00E3696F">
        <w:rPr>
          <w:rFonts w:hint="eastAsia"/>
          <w:rtl/>
        </w:rPr>
        <w:t> </w:t>
      </w:r>
      <w:r w:rsidRPr="004D06D2">
        <w:rPr>
          <w:rtl/>
        </w:rPr>
        <w:t>2717/2016</w:t>
      </w:r>
      <w:r w:rsidR="00AF7970" w:rsidRPr="00AF7970">
        <w:rPr>
          <w:rStyle w:val="FootnoteReference"/>
          <w:sz w:val="20"/>
          <w:vertAlign w:val="baseline"/>
          <w:rtl/>
        </w:rPr>
        <w:footnoteReference w:customMarkFollows="1" w:id="1"/>
        <w:t>*</w:t>
      </w:r>
      <w:r w:rsidR="00AF7970">
        <w:rPr>
          <w:rFonts w:hint="cs"/>
          <w:rtl/>
        </w:rPr>
        <w:t xml:space="preserve"> </w:t>
      </w:r>
      <w:r w:rsidR="00AF7970" w:rsidRPr="00AF7970">
        <w:rPr>
          <w:rStyle w:val="FootnoteReference"/>
          <w:sz w:val="20"/>
          <w:vertAlign w:val="baseline"/>
          <w:rtl/>
        </w:rPr>
        <w:footnoteReference w:customMarkFollows="1" w:id="2"/>
        <w:t>**</w:t>
      </w:r>
    </w:p>
    <w:p w:rsidR="004D06D2" w:rsidRPr="004D06D2" w:rsidRDefault="004D06D2" w:rsidP="004D06D2">
      <w:pPr>
        <w:pStyle w:val="SingleTxtGA"/>
        <w:ind w:left="4649" w:hanging="2721"/>
        <w:rPr>
          <w:rtl/>
        </w:rPr>
      </w:pPr>
      <w:r w:rsidRPr="004D06D2">
        <w:rPr>
          <w:i/>
          <w:iCs/>
          <w:rtl/>
        </w:rPr>
        <w:t>بلاغ مقدم من:</w:t>
      </w:r>
      <w:r>
        <w:rPr>
          <w:i/>
          <w:iCs/>
          <w:rtl/>
        </w:rPr>
        <w:tab/>
      </w:r>
      <w:r>
        <w:rPr>
          <w:i/>
          <w:iCs/>
          <w:rtl/>
        </w:rPr>
        <w:tab/>
      </w:r>
      <w:r w:rsidRPr="004D06D2">
        <w:rPr>
          <w:rtl/>
        </w:rPr>
        <w:tab/>
        <w:t>فاليري م</w:t>
      </w:r>
      <w:r w:rsidRPr="004D06D2">
        <w:rPr>
          <w:rFonts w:hint="cs"/>
          <w:rtl/>
        </w:rPr>
        <w:t>ُ</w:t>
      </w:r>
      <w:r w:rsidRPr="004D06D2">
        <w:rPr>
          <w:rtl/>
        </w:rPr>
        <w:t>ويْ</w:t>
      </w:r>
      <w:r w:rsidRPr="004D06D2">
        <w:rPr>
          <w:rFonts w:hint="cs"/>
          <w:rtl/>
        </w:rPr>
        <w:t>س</w:t>
      </w:r>
      <w:r w:rsidRPr="004D06D2">
        <w:rPr>
          <w:rtl/>
        </w:rPr>
        <w:t>ينكو (لا يمثله محام)</w:t>
      </w:r>
    </w:p>
    <w:p w:rsidR="004D06D2" w:rsidRPr="004D06D2" w:rsidRDefault="004D06D2" w:rsidP="004D06D2">
      <w:pPr>
        <w:pStyle w:val="SingleTxtGA"/>
        <w:ind w:left="4649" w:hanging="2721"/>
        <w:rPr>
          <w:rtl/>
        </w:rPr>
      </w:pPr>
      <w:r w:rsidRPr="004D06D2">
        <w:rPr>
          <w:i/>
          <w:iCs/>
          <w:rtl/>
        </w:rPr>
        <w:t>الشخص المدعى أنه ضحية:</w:t>
      </w:r>
      <w:r w:rsidRPr="004D06D2">
        <w:rPr>
          <w:rtl/>
        </w:rPr>
        <w:tab/>
        <w:t>صاحب البلاغ</w:t>
      </w:r>
    </w:p>
    <w:p w:rsidR="004D06D2" w:rsidRPr="004D06D2" w:rsidRDefault="004D06D2" w:rsidP="004D06D2">
      <w:pPr>
        <w:pStyle w:val="SingleTxtGA"/>
        <w:ind w:left="4649" w:hanging="2721"/>
        <w:rPr>
          <w:rtl/>
        </w:rPr>
      </w:pPr>
      <w:r w:rsidRPr="004D06D2">
        <w:rPr>
          <w:i/>
          <w:iCs/>
          <w:rtl/>
        </w:rPr>
        <w:t>الدولة الطرف:</w:t>
      </w:r>
      <w:r w:rsidRPr="004D06D2">
        <w:rPr>
          <w:rtl/>
        </w:rPr>
        <w:tab/>
      </w:r>
      <w:r>
        <w:rPr>
          <w:rtl/>
        </w:rPr>
        <w:tab/>
      </w:r>
      <w:r>
        <w:rPr>
          <w:rtl/>
        </w:rPr>
        <w:tab/>
      </w:r>
      <w:r w:rsidRPr="004D06D2">
        <w:rPr>
          <w:rFonts w:hint="cs"/>
          <w:rtl/>
        </w:rPr>
        <w:t>أوكرانيا</w:t>
      </w:r>
    </w:p>
    <w:p w:rsidR="004D06D2" w:rsidRPr="004D06D2" w:rsidRDefault="004D06D2" w:rsidP="004D06D2">
      <w:pPr>
        <w:pStyle w:val="SingleTxtGA"/>
        <w:ind w:left="4649" w:hanging="2721"/>
        <w:rPr>
          <w:rtl/>
        </w:rPr>
      </w:pPr>
      <w:r w:rsidRPr="004D06D2">
        <w:rPr>
          <w:i/>
          <w:iCs/>
          <w:rtl/>
        </w:rPr>
        <w:t>تاريخ تقديم البلاغ:</w:t>
      </w:r>
      <w:r>
        <w:rPr>
          <w:i/>
          <w:iCs/>
          <w:rtl/>
        </w:rPr>
        <w:tab/>
      </w:r>
      <w:r w:rsidRPr="004D06D2">
        <w:rPr>
          <w:rtl/>
        </w:rPr>
        <w:tab/>
        <w:t>24 آب/أغسطس 2015 (الرسالة الأولى)</w:t>
      </w:r>
    </w:p>
    <w:p w:rsidR="004D06D2" w:rsidRPr="004D06D2" w:rsidRDefault="004D06D2" w:rsidP="004D06D2">
      <w:pPr>
        <w:pStyle w:val="SingleTxtGA"/>
        <w:ind w:left="4649" w:hanging="2721"/>
        <w:rPr>
          <w:spacing w:val="-1"/>
          <w:rtl/>
        </w:rPr>
      </w:pPr>
      <w:r w:rsidRPr="004D06D2">
        <w:rPr>
          <w:i/>
          <w:iCs/>
          <w:spacing w:val="-1"/>
          <w:rtl/>
        </w:rPr>
        <w:t>الوثائق المرجعية:</w:t>
      </w:r>
      <w:r w:rsidRPr="004D06D2">
        <w:rPr>
          <w:spacing w:val="-1"/>
          <w:rtl/>
        </w:rPr>
        <w:tab/>
      </w:r>
      <w:r w:rsidRPr="003A433E">
        <w:rPr>
          <w:spacing w:val="-1"/>
          <w:rtl/>
        </w:rPr>
        <w:tab/>
      </w:r>
      <w:r w:rsidRPr="003A433E">
        <w:rPr>
          <w:spacing w:val="-1"/>
          <w:rtl/>
        </w:rPr>
        <w:tab/>
      </w:r>
      <w:r w:rsidRPr="004D06D2">
        <w:rPr>
          <w:spacing w:val="-1"/>
          <w:rtl/>
        </w:rPr>
        <w:t>القرار المتخذ بموجب المادة 9</w:t>
      </w:r>
      <w:r w:rsidRPr="004D06D2">
        <w:rPr>
          <w:rFonts w:hint="cs"/>
          <w:spacing w:val="-1"/>
          <w:rtl/>
        </w:rPr>
        <w:t>2</w:t>
      </w:r>
      <w:r w:rsidRPr="004D06D2">
        <w:rPr>
          <w:spacing w:val="-1"/>
          <w:rtl/>
        </w:rPr>
        <w:t xml:space="preserve"> من النظام الداخلي للجنة، والمحال إلى الدولة الطرف في 20 كانون الثاني/يناير 2016 (لم يصدر في شكل وثيقة)</w:t>
      </w:r>
    </w:p>
    <w:p w:rsidR="004D06D2" w:rsidRPr="004D06D2" w:rsidRDefault="004D06D2" w:rsidP="004D06D2">
      <w:pPr>
        <w:pStyle w:val="SingleTxtGA"/>
        <w:ind w:left="4649" w:hanging="2721"/>
        <w:rPr>
          <w:rtl/>
        </w:rPr>
      </w:pPr>
      <w:r w:rsidRPr="004D06D2">
        <w:rPr>
          <w:i/>
          <w:iCs/>
          <w:rtl/>
        </w:rPr>
        <w:t>تاريخ اعتماد ال</w:t>
      </w:r>
      <w:r w:rsidRPr="004D06D2">
        <w:rPr>
          <w:rFonts w:hint="cs"/>
          <w:i/>
          <w:iCs/>
          <w:rtl/>
        </w:rPr>
        <w:t>قرا</w:t>
      </w:r>
      <w:r w:rsidRPr="004D06D2">
        <w:rPr>
          <w:i/>
          <w:iCs/>
          <w:rtl/>
        </w:rPr>
        <w:t>ر:</w:t>
      </w:r>
      <w:r>
        <w:rPr>
          <w:i/>
          <w:iCs/>
          <w:rtl/>
        </w:rPr>
        <w:tab/>
      </w:r>
      <w:r w:rsidRPr="004D06D2">
        <w:rPr>
          <w:rtl/>
        </w:rPr>
        <w:tab/>
        <w:t>8 تشرين الثاني/نوفمبر 2019</w:t>
      </w:r>
    </w:p>
    <w:p w:rsidR="004D06D2" w:rsidRPr="004D06D2" w:rsidRDefault="004D06D2" w:rsidP="004D06D2">
      <w:pPr>
        <w:pStyle w:val="SingleTxtGA"/>
        <w:ind w:left="4649" w:hanging="2721"/>
        <w:rPr>
          <w:rtl/>
        </w:rPr>
      </w:pPr>
      <w:r w:rsidRPr="004D06D2">
        <w:rPr>
          <w:i/>
          <w:iCs/>
          <w:rtl/>
        </w:rPr>
        <w:t>الموضوع:</w:t>
      </w:r>
      <w:r w:rsidRPr="004D06D2">
        <w:rPr>
          <w:rtl/>
        </w:rPr>
        <w:tab/>
      </w:r>
      <w:r>
        <w:rPr>
          <w:rtl/>
        </w:rPr>
        <w:tab/>
      </w:r>
      <w:r>
        <w:rPr>
          <w:rtl/>
        </w:rPr>
        <w:tab/>
      </w:r>
      <w:r>
        <w:rPr>
          <w:rtl/>
        </w:rPr>
        <w:tab/>
      </w:r>
      <w:r w:rsidRPr="004D06D2">
        <w:rPr>
          <w:rFonts w:hint="cs"/>
          <w:rtl/>
        </w:rPr>
        <w:t xml:space="preserve">تغيير </w:t>
      </w:r>
      <w:r w:rsidRPr="004D06D2">
        <w:rPr>
          <w:rtl/>
        </w:rPr>
        <w:t xml:space="preserve">تهجئة </w:t>
      </w:r>
      <w:r w:rsidRPr="004D06D2">
        <w:rPr>
          <w:rFonts w:hint="cs"/>
          <w:rtl/>
        </w:rPr>
        <w:t>ال</w:t>
      </w:r>
      <w:r w:rsidRPr="004D06D2">
        <w:rPr>
          <w:rtl/>
        </w:rPr>
        <w:t xml:space="preserve">اسم </w:t>
      </w:r>
      <w:r w:rsidRPr="004D06D2">
        <w:rPr>
          <w:rFonts w:hint="cs"/>
          <w:rtl/>
        </w:rPr>
        <w:t>الشخصي والعائلي ل</w:t>
      </w:r>
      <w:r w:rsidRPr="004D06D2">
        <w:rPr>
          <w:rtl/>
        </w:rPr>
        <w:t>صاحب البلاغ في جواز سفره الدولي</w:t>
      </w:r>
    </w:p>
    <w:p w:rsidR="004D06D2" w:rsidRPr="004D06D2" w:rsidRDefault="004D06D2" w:rsidP="004D06D2">
      <w:pPr>
        <w:pStyle w:val="SingleTxtGA"/>
        <w:ind w:left="4649" w:hanging="2721"/>
        <w:rPr>
          <w:rtl/>
        </w:rPr>
      </w:pPr>
      <w:r w:rsidRPr="004D06D2">
        <w:rPr>
          <w:i/>
          <w:iCs/>
          <w:rtl/>
        </w:rPr>
        <w:t>المسائل الإجرائية:</w:t>
      </w:r>
      <w:r w:rsidRPr="004D06D2">
        <w:rPr>
          <w:rtl/>
        </w:rPr>
        <w:tab/>
      </w:r>
      <w:r>
        <w:rPr>
          <w:rtl/>
        </w:rPr>
        <w:tab/>
      </w:r>
      <w:r>
        <w:rPr>
          <w:rtl/>
        </w:rPr>
        <w:tab/>
      </w:r>
      <w:r w:rsidRPr="004D06D2">
        <w:rPr>
          <w:rtl/>
        </w:rPr>
        <w:t>عدم دعم الادعاءات بالأدلة؛</w:t>
      </w:r>
      <w:r w:rsidRPr="004D06D2">
        <w:rPr>
          <w:rFonts w:hint="cs"/>
          <w:rtl/>
        </w:rPr>
        <w:t xml:space="preserve"> و</w:t>
      </w:r>
      <w:r w:rsidRPr="004D06D2">
        <w:rPr>
          <w:rtl/>
        </w:rPr>
        <w:t>استنفاد سبل الانتصاف المحلية</w:t>
      </w:r>
    </w:p>
    <w:p w:rsidR="004D06D2" w:rsidRPr="004D06D2" w:rsidRDefault="004D06D2" w:rsidP="004D06D2">
      <w:pPr>
        <w:pStyle w:val="SingleTxtGA"/>
        <w:ind w:left="4649" w:hanging="2721"/>
        <w:rPr>
          <w:rtl/>
        </w:rPr>
      </w:pPr>
      <w:r w:rsidRPr="004D06D2">
        <w:rPr>
          <w:i/>
          <w:iCs/>
          <w:rtl/>
        </w:rPr>
        <w:t>المسائل الموضوعية:</w:t>
      </w:r>
      <w:r w:rsidRPr="004D06D2">
        <w:rPr>
          <w:rtl/>
        </w:rPr>
        <w:tab/>
      </w:r>
      <w:r>
        <w:rPr>
          <w:rtl/>
        </w:rPr>
        <w:tab/>
      </w:r>
      <w:r w:rsidRPr="004D06D2">
        <w:rPr>
          <w:rtl/>
        </w:rPr>
        <w:t>الحق في الخصوصية؛ وحق الشخص في استعمال لغته؛ والانتماء إلى أقلية</w:t>
      </w:r>
    </w:p>
    <w:p w:rsidR="004D06D2" w:rsidRPr="004D06D2" w:rsidRDefault="004D06D2" w:rsidP="004D06D2">
      <w:pPr>
        <w:pStyle w:val="SingleTxtGA"/>
        <w:ind w:left="4649" w:hanging="2721"/>
        <w:rPr>
          <w:rtl/>
        </w:rPr>
      </w:pPr>
      <w:r w:rsidRPr="004D06D2">
        <w:rPr>
          <w:i/>
          <w:iCs/>
          <w:rtl/>
        </w:rPr>
        <w:t>مواد العهد:</w:t>
      </w:r>
      <w:r>
        <w:rPr>
          <w:i/>
          <w:iCs/>
          <w:rtl/>
        </w:rPr>
        <w:tab/>
      </w:r>
      <w:r>
        <w:rPr>
          <w:i/>
          <w:iCs/>
          <w:rtl/>
        </w:rPr>
        <w:tab/>
      </w:r>
      <w:r w:rsidRPr="004D06D2">
        <w:rPr>
          <w:rtl/>
        </w:rPr>
        <w:tab/>
        <w:t>17 و27</w:t>
      </w:r>
    </w:p>
    <w:p w:rsidR="004D06D2" w:rsidRPr="004D06D2" w:rsidRDefault="004D06D2" w:rsidP="004D06D2">
      <w:pPr>
        <w:pStyle w:val="SingleTxtGA"/>
        <w:ind w:left="4649" w:hanging="2721"/>
        <w:rPr>
          <w:rtl/>
        </w:rPr>
      </w:pPr>
      <w:r w:rsidRPr="004D06D2">
        <w:rPr>
          <w:i/>
          <w:iCs/>
          <w:rtl/>
        </w:rPr>
        <w:lastRenderedPageBreak/>
        <w:t>مواد البروتوكول الاختياري:</w:t>
      </w:r>
      <w:r>
        <w:rPr>
          <w:i/>
          <w:iCs/>
          <w:rtl/>
        </w:rPr>
        <w:tab/>
      </w:r>
      <w:r w:rsidRPr="004D06D2">
        <w:rPr>
          <w:rtl/>
        </w:rPr>
        <w:tab/>
        <w:t>2 و5(2)(ب)</w:t>
      </w:r>
    </w:p>
    <w:p w:rsidR="004D06D2" w:rsidRPr="004D06D2" w:rsidRDefault="004D06D2" w:rsidP="004D06D2">
      <w:pPr>
        <w:pStyle w:val="SingleTxtGA"/>
        <w:spacing w:before="240"/>
        <w:rPr>
          <w:rtl/>
        </w:rPr>
      </w:pPr>
      <w:r w:rsidRPr="004D06D2">
        <w:rPr>
          <w:rFonts w:hint="cs"/>
          <w:rtl/>
        </w:rPr>
        <w:t>1</w:t>
      </w:r>
      <w:r w:rsidRPr="004D06D2">
        <w:rPr>
          <w:rtl/>
        </w:rPr>
        <w:t>-</w:t>
      </w:r>
      <w:r w:rsidRPr="004D06D2">
        <w:rPr>
          <w:rtl/>
        </w:rPr>
        <w:tab/>
        <w:t>صاحب البلاغ هو فاليري مُويْسينكو، وهو مواطن أوكراني من أصل روس</w:t>
      </w:r>
      <w:r w:rsidRPr="004D06D2">
        <w:rPr>
          <w:rFonts w:hint="cs"/>
          <w:rtl/>
        </w:rPr>
        <w:t>ي</w:t>
      </w:r>
      <w:r w:rsidRPr="004D06D2">
        <w:rPr>
          <w:rtl/>
        </w:rPr>
        <w:t xml:space="preserve">، وُلِد </w:t>
      </w:r>
      <w:r w:rsidRPr="004D06D2">
        <w:rPr>
          <w:rFonts w:hint="cs"/>
          <w:rtl/>
        </w:rPr>
        <w:t xml:space="preserve">في </w:t>
      </w:r>
      <w:r w:rsidRPr="004D06D2">
        <w:rPr>
          <w:rtl/>
        </w:rPr>
        <w:t>عام 1960. ويدعي أنه ضحية انتهاك أوكرانيا لحقوقه المكفولة بموجب المادتين 17 و27 من العهد. وقد دخل البروتوكول الاختياري حيز النفاذ بالنسبة لأوكرانيا في 25 تشرين الأول/</w:t>
      </w:r>
      <w:r w:rsidR="00C84DCB">
        <w:rPr>
          <w:rFonts w:hint="cs"/>
          <w:rtl/>
        </w:rPr>
        <w:t xml:space="preserve"> </w:t>
      </w:r>
      <w:r w:rsidRPr="004D06D2">
        <w:rPr>
          <w:rtl/>
        </w:rPr>
        <w:t>أكتوبر</w:t>
      </w:r>
      <w:r w:rsidR="00C84DCB">
        <w:rPr>
          <w:rFonts w:hint="cs"/>
          <w:rtl/>
        </w:rPr>
        <w:t> </w:t>
      </w:r>
      <w:r w:rsidRPr="004D06D2">
        <w:rPr>
          <w:rtl/>
        </w:rPr>
        <w:t>1991.</w:t>
      </w:r>
      <w:r w:rsidRPr="004D06D2">
        <w:rPr>
          <w:rFonts w:hint="cs"/>
          <w:rtl/>
        </w:rPr>
        <w:t xml:space="preserve"> </w:t>
      </w:r>
      <w:r w:rsidRPr="004D06D2">
        <w:rPr>
          <w:rtl/>
        </w:rPr>
        <w:t>ولا يمثل صاحبَ البلاغ محامٍ.</w:t>
      </w:r>
    </w:p>
    <w:p w:rsidR="004D06D2" w:rsidRPr="004D06D2" w:rsidRDefault="004D06D2" w:rsidP="004D06D2">
      <w:pPr>
        <w:pStyle w:val="H23GA"/>
        <w:rPr>
          <w:rtl/>
          <w:lang w:bidi="ar-DZ"/>
        </w:rPr>
      </w:pPr>
      <w:r w:rsidRPr="004D06D2">
        <w:rPr>
          <w:rtl/>
        </w:rPr>
        <w:tab/>
      </w:r>
      <w:r w:rsidRPr="004D06D2">
        <w:rPr>
          <w:rtl/>
        </w:rPr>
        <w:tab/>
        <w:t>الوقائع كما عرضها صاحب البلاغ</w:t>
      </w:r>
    </w:p>
    <w:p w:rsidR="004D06D2" w:rsidRPr="004D06D2" w:rsidRDefault="004D06D2" w:rsidP="003A433E">
      <w:pPr>
        <w:pStyle w:val="SingleTxtGA"/>
        <w:rPr>
          <w:rtl/>
        </w:rPr>
      </w:pPr>
      <w:r w:rsidRPr="004D06D2">
        <w:rPr>
          <w:rFonts w:hint="cs"/>
          <w:rtl/>
        </w:rPr>
        <w:t>2-1</w:t>
      </w:r>
      <w:r w:rsidRPr="004D06D2">
        <w:tab/>
      </w:r>
      <w:r w:rsidRPr="004D06D2">
        <w:rPr>
          <w:rtl/>
        </w:rPr>
        <w:t>صاحب البلاغ مواطن أوكراني من أصل إثني روسي، وُلد في دونيتسك، أوكرانيا، لوالدين روسيين</w:t>
      </w:r>
      <w:r w:rsidRPr="004D06D2">
        <w:rPr>
          <w:rFonts w:hint="cs"/>
          <w:rtl/>
        </w:rPr>
        <w:t xml:space="preserve">. </w:t>
      </w:r>
      <w:r w:rsidRPr="004D06D2">
        <w:rPr>
          <w:rtl/>
        </w:rPr>
        <w:t>وفي شهادة ميلاده</w:t>
      </w:r>
      <w:r w:rsidR="00F478C7">
        <w:rPr>
          <w:b/>
          <w:vertAlign w:val="superscript"/>
          <w:rtl/>
        </w:rPr>
        <w:t>(</w:t>
      </w:r>
      <w:r w:rsidR="00F478C7" w:rsidRPr="004D06D2">
        <w:rPr>
          <w:b/>
          <w:vertAlign w:val="superscript"/>
          <w:rtl/>
        </w:rPr>
        <w:footnoteReference w:id="3"/>
      </w:r>
      <w:r w:rsidR="00F478C7">
        <w:rPr>
          <w:b/>
          <w:vertAlign w:val="superscript"/>
          <w:rtl/>
        </w:rPr>
        <w:t>)</w:t>
      </w:r>
      <w:r w:rsidRPr="004D06D2">
        <w:rPr>
          <w:rtl/>
        </w:rPr>
        <w:t>، كُتب اسمه الشخص</w:t>
      </w:r>
      <w:r w:rsidRPr="004D06D2">
        <w:rPr>
          <w:rFonts w:hint="cs"/>
          <w:rtl/>
        </w:rPr>
        <w:t>ي</w:t>
      </w:r>
      <w:r w:rsidRPr="004D06D2">
        <w:rPr>
          <w:rtl/>
        </w:rPr>
        <w:t xml:space="preserve"> والعائلي واسم والده بالروسية (</w:t>
      </w:r>
      <w:r w:rsidR="003A433E" w:rsidRPr="003A433E">
        <w:rPr>
          <w:lang w:val="en-GB"/>
        </w:rPr>
        <w:t>Моисеенко</w:t>
      </w:r>
      <w:r w:rsidR="003A433E">
        <w:t> </w:t>
      </w:r>
      <w:r w:rsidR="003A433E" w:rsidRPr="003A433E">
        <w:rPr>
          <w:lang w:val="bg-BG"/>
        </w:rPr>
        <w:t>Валерий</w:t>
      </w:r>
      <w:r w:rsidR="003A433E">
        <w:t> </w:t>
      </w:r>
      <w:r w:rsidR="003A433E" w:rsidRPr="003A433E">
        <w:rPr>
          <w:lang w:val="bg-BG"/>
        </w:rPr>
        <w:t>Анатольевич</w:t>
      </w:r>
      <w:r w:rsidRPr="004D06D2">
        <w:rPr>
          <w:rtl/>
        </w:rPr>
        <w:t>)</w:t>
      </w:r>
      <w:r w:rsidRPr="004D06D2">
        <w:rPr>
          <w:rFonts w:hint="cs"/>
          <w:rtl/>
        </w:rPr>
        <w:t xml:space="preserve">. </w:t>
      </w:r>
      <w:r w:rsidRPr="004D06D2">
        <w:rPr>
          <w:rtl/>
        </w:rPr>
        <w:t xml:space="preserve">والشكل المماثل لاسمه باللغة الأوكرانية هو </w:t>
      </w:r>
      <w:r w:rsidR="003A433E" w:rsidRPr="003A433E">
        <w:rPr>
          <w:lang w:val="en-GB"/>
        </w:rPr>
        <w:t>Moice</w:t>
      </w:r>
      <w:r w:rsidR="003A433E" w:rsidRPr="003A433E">
        <w:rPr>
          <w:lang w:val="de-DE"/>
        </w:rPr>
        <w:t>ё</w:t>
      </w:r>
      <w:r w:rsidR="003A433E" w:rsidRPr="003A433E">
        <w:rPr>
          <w:lang w:val="bg-BG"/>
        </w:rPr>
        <w:t>нко</w:t>
      </w:r>
      <w:r w:rsidR="003A433E">
        <w:t> </w:t>
      </w:r>
      <w:r w:rsidR="003A433E" w:rsidRPr="003A433E">
        <w:rPr>
          <w:lang w:val="bg-BG"/>
        </w:rPr>
        <w:t>Валер</w:t>
      </w:r>
      <w:r w:rsidR="003A433E" w:rsidRPr="003A433E">
        <w:rPr>
          <w:lang w:val="en-GB"/>
        </w:rPr>
        <w:t>i</w:t>
      </w:r>
      <w:r w:rsidR="003A433E" w:rsidRPr="003A433E">
        <w:rPr>
          <w:lang w:val="bg-BG"/>
        </w:rPr>
        <w:t>й</w:t>
      </w:r>
      <w:r w:rsidR="003A433E">
        <w:t> </w:t>
      </w:r>
      <w:r w:rsidR="003A433E" w:rsidRPr="003A433E">
        <w:rPr>
          <w:lang w:val="en-GB"/>
        </w:rPr>
        <w:t>A</w:t>
      </w:r>
      <w:r w:rsidR="003A433E" w:rsidRPr="003A433E">
        <w:rPr>
          <w:lang w:val="bg-BG"/>
        </w:rPr>
        <w:t>натол</w:t>
      </w:r>
      <w:r w:rsidR="003A433E" w:rsidRPr="003A433E">
        <w:rPr>
          <w:lang w:val="en-GB"/>
        </w:rPr>
        <w:t>i</w:t>
      </w:r>
      <w:r w:rsidR="003A433E" w:rsidRPr="003A433E">
        <w:rPr>
          <w:lang w:val="bg-BG"/>
        </w:rPr>
        <w:t>йович</w:t>
      </w:r>
      <w:r w:rsidRPr="004D06D2">
        <w:rPr>
          <w:rFonts w:hint="cs"/>
          <w:rtl/>
        </w:rPr>
        <w:t xml:space="preserve">. </w:t>
      </w:r>
      <w:r w:rsidRPr="004D06D2">
        <w:rPr>
          <w:rtl/>
        </w:rPr>
        <w:t>وتوجد جميع الأحرف التي يُكتب بها اسمه الكامل باللغة الروسية في اللغة الأوكرانية</w:t>
      </w:r>
      <w:r w:rsidRPr="004D06D2">
        <w:rPr>
          <w:rFonts w:hint="cs"/>
          <w:rtl/>
        </w:rPr>
        <w:t xml:space="preserve">. </w:t>
      </w:r>
      <w:r w:rsidRPr="004D06D2">
        <w:rPr>
          <w:rtl/>
        </w:rPr>
        <w:t>وفي جواز سفره المحلي الأوكراني (وثيقة الهوية المحلية الرئيسية)، كُتب اسمه باللغتين الأوكرانية والروسية</w:t>
      </w:r>
      <w:r w:rsidRPr="004D06D2">
        <w:rPr>
          <w:rFonts w:hint="cs"/>
          <w:rtl/>
        </w:rPr>
        <w:t>.</w:t>
      </w:r>
    </w:p>
    <w:p w:rsidR="004D06D2" w:rsidRPr="00E3696F" w:rsidRDefault="004D06D2" w:rsidP="003A433E">
      <w:pPr>
        <w:pStyle w:val="SingleTxtGA"/>
        <w:rPr>
          <w:spacing w:val="-2"/>
          <w:rtl/>
          <w:lang w:bidi="ar-DZ"/>
        </w:rPr>
      </w:pPr>
      <w:r w:rsidRPr="004D06D2">
        <w:rPr>
          <w:rFonts w:hint="cs"/>
          <w:rtl/>
        </w:rPr>
        <w:t>2-2</w:t>
      </w:r>
      <w:r w:rsidRPr="004D06D2">
        <w:rPr>
          <w:rtl/>
        </w:rPr>
        <w:tab/>
        <w:t>وفي أيار/مايو 2009، حصل صاحب البلاغ على جواز سفر دولي للسفر خارج البلد</w:t>
      </w:r>
      <w:r w:rsidRPr="004D06D2">
        <w:rPr>
          <w:rFonts w:hint="cs"/>
          <w:rtl/>
          <w:lang w:bidi="ar-DZ"/>
        </w:rPr>
        <w:t xml:space="preserve">. </w:t>
      </w:r>
      <w:r w:rsidRPr="004D06D2">
        <w:rPr>
          <w:rtl/>
          <w:lang w:bidi="ar-DZ"/>
        </w:rPr>
        <w:t xml:space="preserve">وفي هذه الوثيقة، كُتب اسمه باللغة الأوكرانية مع مقابله بالأحرف اللاتينية </w:t>
      </w:r>
      <w:r w:rsidR="003A433E" w:rsidRPr="003A433E">
        <w:rPr>
          <w:lang w:val="en-GB"/>
        </w:rPr>
        <w:t>Moiseienko</w:t>
      </w:r>
      <w:r w:rsidR="003A433E">
        <w:rPr>
          <w:lang w:val="en-GB"/>
        </w:rPr>
        <w:t> </w:t>
      </w:r>
      <w:r w:rsidR="003A433E" w:rsidRPr="003A433E">
        <w:rPr>
          <w:lang w:val="en-GB"/>
        </w:rPr>
        <w:t>Valerii</w:t>
      </w:r>
      <w:r w:rsidRPr="00E3696F">
        <w:rPr>
          <w:rFonts w:hint="cs"/>
          <w:spacing w:val="-2"/>
          <w:rtl/>
          <w:lang w:bidi="ar-DZ"/>
        </w:rPr>
        <w:t xml:space="preserve">. </w:t>
      </w:r>
      <w:r w:rsidRPr="00E3696F">
        <w:rPr>
          <w:spacing w:val="-2"/>
          <w:rtl/>
          <w:lang w:bidi="ar-DZ"/>
        </w:rPr>
        <w:t>ولم تؤخذ رغبة صاحب البلاغ و</w:t>
      </w:r>
      <w:r w:rsidRPr="00E3696F">
        <w:rPr>
          <w:rFonts w:hint="cs"/>
          <w:spacing w:val="-2"/>
          <w:rtl/>
          <w:lang w:bidi="ar-DZ"/>
        </w:rPr>
        <w:t xml:space="preserve">لا </w:t>
      </w:r>
      <w:r w:rsidRPr="00E3696F">
        <w:rPr>
          <w:spacing w:val="-2"/>
          <w:rtl/>
          <w:lang w:bidi="ar-DZ"/>
        </w:rPr>
        <w:t>موافقته شخصياً في الاعتبار، إذ لا تتيح إجراءات الحصول على جواز السفر الدولي للشخص المعني إمكانية اختيار طريقة تهجئة اسمه فيه. ومن صيغتي تهجئة اسم صاحب البلاغ (بالأوكرانية والروسية)، اختارت السلطات أن تستعمل في جواز سفره المحلي الصيغة الأوكرانية، التي لا تطابق الاسم المسجل في شهادة ميلاده ولا تعكس أصله الروسي وانتماءه إلى الأقلية الناطقة بالروسية</w:t>
      </w:r>
      <w:r w:rsidR="00F478C7" w:rsidRPr="00E3696F">
        <w:rPr>
          <w:b/>
          <w:spacing w:val="-2"/>
          <w:vertAlign w:val="superscript"/>
          <w:rtl/>
        </w:rPr>
        <w:t>(</w:t>
      </w:r>
      <w:r w:rsidR="00F478C7" w:rsidRPr="00E3696F">
        <w:rPr>
          <w:b/>
          <w:spacing w:val="-2"/>
          <w:vertAlign w:val="superscript"/>
          <w:rtl/>
        </w:rPr>
        <w:footnoteReference w:id="4"/>
      </w:r>
      <w:r w:rsidR="00F478C7" w:rsidRPr="00E3696F">
        <w:rPr>
          <w:b/>
          <w:spacing w:val="-2"/>
          <w:vertAlign w:val="superscript"/>
          <w:rtl/>
        </w:rPr>
        <w:t>)</w:t>
      </w:r>
      <w:r w:rsidRPr="00E3696F">
        <w:rPr>
          <w:spacing w:val="-2"/>
          <w:rtl/>
          <w:lang w:bidi="ar-DZ"/>
        </w:rPr>
        <w:t>. وحصل ذلك رغم أنه يحق للأفراد، وفقاً للقانون المدني الأوكراني</w:t>
      </w:r>
      <w:r w:rsidR="00F478C7" w:rsidRPr="00E3696F">
        <w:rPr>
          <w:b/>
          <w:spacing w:val="-2"/>
          <w:vertAlign w:val="superscript"/>
          <w:rtl/>
        </w:rPr>
        <w:t>(</w:t>
      </w:r>
      <w:r w:rsidR="00F478C7" w:rsidRPr="00E3696F">
        <w:rPr>
          <w:b/>
          <w:spacing w:val="-2"/>
          <w:vertAlign w:val="superscript"/>
          <w:rtl/>
        </w:rPr>
        <w:footnoteReference w:id="5"/>
      </w:r>
      <w:r w:rsidR="00F478C7" w:rsidRPr="00E3696F">
        <w:rPr>
          <w:b/>
          <w:spacing w:val="-2"/>
          <w:vertAlign w:val="superscript"/>
          <w:rtl/>
        </w:rPr>
        <w:t>)</w:t>
      </w:r>
      <w:r w:rsidRPr="00E3696F">
        <w:rPr>
          <w:spacing w:val="-2"/>
          <w:rtl/>
          <w:lang w:bidi="ar-DZ"/>
        </w:rPr>
        <w:t>، كتابة أسمائهم العائلية والشخصية وفقاً لتقاليدهم الو</w:t>
      </w:r>
      <w:r w:rsidRPr="00E3696F">
        <w:rPr>
          <w:rFonts w:hint="cs"/>
          <w:spacing w:val="-2"/>
          <w:rtl/>
          <w:lang w:bidi="ar-DZ"/>
        </w:rPr>
        <w:t>طن</w:t>
      </w:r>
      <w:r w:rsidRPr="00E3696F">
        <w:rPr>
          <w:spacing w:val="-2"/>
          <w:rtl/>
          <w:lang w:bidi="ar-DZ"/>
        </w:rPr>
        <w:t>ية.</w:t>
      </w:r>
    </w:p>
    <w:p w:rsidR="004D06D2" w:rsidRPr="004D06D2" w:rsidRDefault="004D06D2" w:rsidP="004D06D2">
      <w:pPr>
        <w:pStyle w:val="SingleTxtGA"/>
        <w:rPr>
          <w:rtl/>
          <w:lang w:bidi="ar-DZ"/>
        </w:rPr>
      </w:pPr>
      <w:r w:rsidRPr="004D06D2">
        <w:rPr>
          <w:rtl/>
          <w:lang w:bidi="ar-DZ"/>
        </w:rPr>
        <w:t>2-3</w:t>
      </w:r>
      <w:r w:rsidRPr="004D06D2">
        <w:rPr>
          <w:rtl/>
          <w:lang w:bidi="ar-DZ"/>
        </w:rPr>
        <w:tab/>
        <w:t>وفي آذار/مارس 2010، قدم صاحب البلاغ إلى الإدارة العامة للجنسية والهجرة وتسجيل الأشخاص الطبيعيين التابعة لوزارة الداخلية الأوكرانية طلباً ل</w:t>
      </w:r>
      <w:r w:rsidRPr="004D06D2">
        <w:rPr>
          <w:rFonts w:hint="cs"/>
          <w:rtl/>
          <w:lang w:bidi="ar-DZ"/>
        </w:rPr>
        <w:t xml:space="preserve">نقل </w:t>
      </w:r>
      <w:r w:rsidRPr="004D06D2">
        <w:rPr>
          <w:rtl/>
          <w:lang w:bidi="ar-DZ"/>
        </w:rPr>
        <w:t xml:space="preserve">اسمه </w:t>
      </w:r>
      <w:r w:rsidRPr="004D06D2">
        <w:rPr>
          <w:rFonts w:hint="cs"/>
          <w:rtl/>
          <w:lang w:bidi="ar-DZ"/>
        </w:rPr>
        <w:t xml:space="preserve">بالأحرف اللاتينية </w:t>
      </w:r>
      <w:r w:rsidRPr="004D06D2">
        <w:rPr>
          <w:rtl/>
          <w:lang w:bidi="ar-DZ"/>
        </w:rPr>
        <w:t>في جواز سفره رسمياً على أساس صيغ</w:t>
      </w:r>
      <w:r w:rsidRPr="004D06D2">
        <w:rPr>
          <w:rFonts w:hint="cs"/>
          <w:rtl/>
          <w:lang w:bidi="ar-DZ"/>
        </w:rPr>
        <w:t xml:space="preserve">ة الاسم </w:t>
      </w:r>
      <w:r w:rsidRPr="004D06D2">
        <w:rPr>
          <w:rtl/>
          <w:lang w:bidi="ar-DZ"/>
        </w:rPr>
        <w:t>الروسية وإعادة إصدار</w:t>
      </w:r>
      <w:r w:rsidRPr="004D06D2">
        <w:rPr>
          <w:rFonts w:hint="cs"/>
          <w:rtl/>
          <w:lang w:bidi="ar-DZ"/>
        </w:rPr>
        <w:t xml:space="preserve"> جواز السفر</w:t>
      </w:r>
      <w:r w:rsidRPr="004D06D2">
        <w:rPr>
          <w:rtl/>
          <w:lang w:bidi="ar-DZ"/>
        </w:rPr>
        <w:t xml:space="preserve">. وفي 23 آذار/مارس 2010، رفضت المحكمة المحلية في دونيتسك </w:t>
      </w:r>
      <w:r w:rsidRPr="004D06D2">
        <w:rPr>
          <w:rFonts w:hint="cs"/>
          <w:rtl/>
          <w:lang w:bidi="ar-DZ"/>
        </w:rPr>
        <w:t xml:space="preserve">طلبه </w:t>
      </w:r>
      <w:r w:rsidRPr="004D06D2">
        <w:rPr>
          <w:rtl/>
          <w:lang w:bidi="ar-DZ"/>
        </w:rPr>
        <w:t>اعتماد اللغة الروسية كأساس ل</w:t>
      </w:r>
      <w:r w:rsidRPr="004D06D2">
        <w:rPr>
          <w:rFonts w:hint="cs"/>
          <w:rtl/>
          <w:lang w:bidi="ar-DZ"/>
        </w:rPr>
        <w:t>نقل</w:t>
      </w:r>
      <w:r w:rsidRPr="004D06D2">
        <w:rPr>
          <w:rtl/>
          <w:lang w:bidi="ar-DZ"/>
        </w:rPr>
        <w:t xml:space="preserve"> اسمه بالأحرف اللاتينية في جواز سفره الدولي، بدعوى أن الروسية ليست اللغة الرسمية للدولة، وتماشياً مع قواعد إدراج المعلومات في جوازات السفر وأسس </w:t>
      </w:r>
      <w:r w:rsidRPr="004D06D2">
        <w:rPr>
          <w:rFonts w:hint="cs"/>
          <w:rtl/>
          <w:lang w:bidi="ar-DZ"/>
        </w:rPr>
        <w:t>نقل الأسماء بين اللغات</w:t>
      </w:r>
      <w:r w:rsidRPr="004D06D2">
        <w:rPr>
          <w:rtl/>
          <w:lang w:bidi="ar-DZ"/>
        </w:rPr>
        <w:t xml:space="preserve">. وخلصت المحكمة إلى أنه لم يقم بكل ما يلزم لممارسة حقه في </w:t>
      </w:r>
      <w:r w:rsidRPr="004D06D2">
        <w:rPr>
          <w:rFonts w:hint="cs"/>
          <w:rtl/>
          <w:lang w:bidi="ar-DZ"/>
        </w:rPr>
        <w:t>نقل</w:t>
      </w:r>
      <w:r w:rsidRPr="004D06D2">
        <w:rPr>
          <w:rtl/>
          <w:lang w:bidi="ar-DZ"/>
        </w:rPr>
        <w:t xml:space="preserve"> اسمه </w:t>
      </w:r>
      <w:r w:rsidRPr="004D06D2">
        <w:rPr>
          <w:rFonts w:hint="cs"/>
          <w:rtl/>
          <w:lang w:bidi="ar-DZ"/>
        </w:rPr>
        <w:t xml:space="preserve">بالأحرف اللاتينية </w:t>
      </w:r>
      <w:r w:rsidRPr="004D06D2">
        <w:rPr>
          <w:rtl/>
          <w:lang w:bidi="ar-DZ"/>
        </w:rPr>
        <w:t xml:space="preserve">وفقاً </w:t>
      </w:r>
      <w:r w:rsidRPr="004D06D2">
        <w:rPr>
          <w:rtl/>
          <w:lang w:bidi="ar-DZ"/>
        </w:rPr>
        <w:lastRenderedPageBreak/>
        <w:t>لتقاليد</w:t>
      </w:r>
      <w:r w:rsidRPr="004D06D2">
        <w:rPr>
          <w:rFonts w:hint="cs"/>
          <w:rtl/>
          <w:lang w:bidi="ar-DZ"/>
        </w:rPr>
        <w:t>ه</w:t>
      </w:r>
      <w:r w:rsidRPr="004D06D2">
        <w:rPr>
          <w:rtl/>
          <w:lang w:bidi="ar-DZ"/>
        </w:rPr>
        <w:t xml:space="preserve"> الوطنية إذ لم يقدم "وثائق صادرة عن السلطات المعنية في دولة أجنبية". ويوضح صاحب البلاغ أنه لا يملك وثائق من هذا القبيل صادرة عن دولة أجنبية. وعلاوة على ذلك، فإن هذا الشرط لا يرد في القانون بل في نص تشريعي ثانوي</w:t>
      </w:r>
      <w:r w:rsidR="00F478C7">
        <w:rPr>
          <w:b/>
          <w:vertAlign w:val="superscript"/>
          <w:rtl/>
        </w:rPr>
        <w:t>(</w:t>
      </w:r>
      <w:r w:rsidR="00F478C7" w:rsidRPr="004D06D2">
        <w:rPr>
          <w:b/>
          <w:vertAlign w:val="superscript"/>
          <w:rtl/>
        </w:rPr>
        <w:footnoteReference w:id="6"/>
      </w:r>
      <w:r w:rsidR="00F478C7">
        <w:rPr>
          <w:b/>
          <w:vertAlign w:val="superscript"/>
          <w:rtl/>
        </w:rPr>
        <w:t>)</w:t>
      </w:r>
      <w:r w:rsidRPr="004D06D2">
        <w:rPr>
          <w:rtl/>
          <w:lang w:bidi="ar-DZ"/>
        </w:rPr>
        <w:t>، يعتبره صاحب البلاغ تمييزياً حيث لا يتيح هذه الإمكانية سوى لمن لديهم وثائق صادرة عن دول</w:t>
      </w:r>
      <w:r w:rsidRPr="004D06D2">
        <w:rPr>
          <w:rFonts w:hint="cs"/>
          <w:rtl/>
          <w:lang w:bidi="ar-DZ"/>
        </w:rPr>
        <w:t>ة</w:t>
      </w:r>
      <w:r w:rsidRPr="004D06D2">
        <w:rPr>
          <w:rtl/>
          <w:lang w:bidi="ar-DZ"/>
        </w:rPr>
        <w:t xml:space="preserve"> أجنبية.</w:t>
      </w:r>
    </w:p>
    <w:p w:rsidR="004D06D2" w:rsidRPr="004D06D2" w:rsidRDefault="004D06D2" w:rsidP="004D06D2">
      <w:pPr>
        <w:pStyle w:val="SingleTxtGA"/>
        <w:rPr>
          <w:lang w:val="fr-CH"/>
        </w:rPr>
      </w:pPr>
      <w:r w:rsidRPr="004D06D2">
        <w:rPr>
          <w:rtl/>
          <w:lang w:bidi="ar-DZ"/>
        </w:rPr>
        <w:t>2-4</w:t>
      </w:r>
      <w:r w:rsidRPr="004D06D2">
        <w:rPr>
          <w:rtl/>
          <w:lang w:bidi="ar-DZ"/>
        </w:rPr>
        <w:tab/>
        <w:t>وقدم صاحب البلاغ، في تاريخ لم يحدده، إلى محكمة الاستئناف الإدارية في دونيتسك طلب استئناف رفضته في 27 أيار/مايو 2010</w:t>
      </w:r>
      <w:r w:rsidRPr="004D06D2">
        <w:rPr>
          <w:rFonts w:hint="cs"/>
          <w:rtl/>
          <w:lang w:bidi="ar-DZ"/>
        </w:rPr>
        <w:t xml:space="preserve">. </w:t>
      </w:r>
      <w:r w:rsidRPr="004D06D2">
        <w:rPr>
          <w:rtl/>
          <w:lang w:bidi="ar-DZ"/>
        </w:rPr>
        <w:t>وفي تاريخ لم يحدده، طعن في هذا القرار أمام محكمة النقض الأوكرانية</w:t>
      </w:r>
      <w:r w:rsidRPr="004D06D2">
        <w:rPr>
          <w:rFonts w:hint="cs"/>
          <w:rtl/>
          <w:lang w:bidi="ar-DZ"/>
        </w:rPr>
        <w:t>. وفي</w:t>
      </w:r>
      <w:r w:rsidRPr="004D06D2">
        <w:rPr>
          <w:rtl/>
          <w:lang w:bidi="ar-DZ"/>
        </w:rPr>
        <w:t xml:space="preserve"> 14 </w:t>
      </w:r>
      <w:r w:rsidRPr="004D06D2">
        <w:rPr>
          <w:rFonts w:hint="cs"/>
          <w:rtl/>
          <w:lang w:bidi="ar-DZ"/>
        </w:rPr>
        <w:t>شباط</w:t>
      </w:r>
      <w:r w:rsidRPr="004D06D2">
        <w:rPr>
          <w:rtl/>
          <w:lang w:bidi="ar-DZ"/>
        </w:rPr>
        <w:t>/</w:t>
      </w:r>
      <w:r w:rsidRPr="004D06D2">
        <w:rPr>
          <w:rFonts w:hint="cs"/>
          <w:rtl/>
          <w:lang w:bidi="ar-DZ"/>
        </w:rPr>
        <w:t>فبراير</w:t>
      </w:r>
      <w:r w:rsidRPr="004D06D2">
        <w:rPr>
          <w:rtl/>
          <w:lang w:bidi="ar-DZ"/>
        </w:rPr>
        <w:t xml:space="preserve"> 2014</w:t>
      </w:r>
      <w:r w:rsidRPr="004D06D2">
        <w:rPr>
          <w:rFonts w:hint="cs"/>
          <w:rtl/>
          <w:lang w:bidi="ar-DZ"/>
        </w:rPr>
        <w:t>،</w:t>
      </w:r>
      <w:r w:rsidRPr="004D06D2">
        <w:rPr>
          <w:rtl/>
          <w:lang w:bidi="ar-DZ"/>
        </w:rPr>
        <w:t xml:space="preserve"> </w:t>
      </w:r>
      <w:r w:rsidRPr="004D06D2">
        <w:rPr>
          <w:rFonts w:hint="cs"/>
          <w:rtl/>
          <w:lang w:bidi="ar-DZ"/>
        </w:rPr>
        <w:t>رفضت</w:t>
      </w:r>
      <w:r w:rsidRPr="004D06D2">
        <w:rPr>
          <w:rtl/>
          <w:lang w:bidi="ar-DZ"/>
        </w:rPr>
        <w:t xml:space="preserve"> </w:t>
      </w:r>
      <w:r w:rsidRPr="004D06D2">
        <w:rPr>
          <w:rFonts w:hint="cs"/>
          <w:rtl/>
          <w:lang w:bidi="ar-DZ"/>
        </w:rPr>
        <w:t>المحكمة</w:t>
      </w:r>
      <w:r w:rsidRPr="004D06D2">
        <w:rPr>
          <w:rtl/>
          <w:lang w:bidi="ar-DZ"/>
        </w:rPr>
        <w:t xml:space="preserve"> </w:t>
      </w:r>
      <w:r w:rsidRPr="004D06D2">
        <w:rPr>
          <w:rFonts w:hint="cs"/>
          <w:rtl/>
          <w:lang w:bidi="ar-DZ"/>
        </w:rPr>
        <w:t xml:space="preserve">طلبه. </w:t>
      </w:r>
      <w:r w:rsidRPr="004D06D2">
        <w:rPr>
          <w:rtl/>
          <w:lang w:bidi="ar-DZ"/>
        </w:rPr>
        <w:t>وهذا قرار نهائي لا يمكن الطعن فيه</w:t>
      </w:r>
      <w:r w:rsidRPr="004D06D2">
        <w:rPr>
          <w:rFonts w:hint="cs"/>
          <w:rtl/>
          <w:lang w:bidi="ar-DZ"/>
        </w:rPr>
        <w:t>.</w:t>
      </w:r>
    </w:p>
    <w:p w:rsidR="004D06D2" w:rsidRPr="004D06D2" w:rsidRDefault="004D06D2" w:rsidP="004D06D2">
      <w:pPr>
        <w:pStyle w:val="SingleTxtGA"/>
        <w:rPr>
          <w:rtl/>
          <w:lang w:bidi="ar-DZ"/>
        </w:rPr>
      </w:pPr>
      <w:r w:rsidRPr="004D06D2">
        <w:rPr>
          <w:rFonts w:hint="cs"/>
          <w:rtl/>
        </w:rPr>
        <w:t>2-5</w:t>
      </w:r>
      <w:r w:rsidRPr="004D06D2">
        <w:rPr>
          <w:rtl/>
        </w:rPr>
        <w:tab/>
        <w:t>وفي 19 حزيران/يونيه 2014، قدم صاحب البلاغ دعوى إلى المحكمة الأوروبية لحقوق الإنسان</w:t>
      </w:r>
      <w:r w:rsidRPr="004D06D2">
        <w:rPr>
          <w:rFonts w:hint="cs"/>
          <w:rtl/>
          <w:lang w:bidi="ar-DZ"/>
        </w:rPr>
        <w:t xml:space="preserve">. </w:t>
      </w:r>
      <w:r w:rsidRPr="004D06D2">
        <w:rPr>
          <w:rtl/>
          <w:lang w:bidi="ar-DZ"/>
        </w:rPr>
        <w:t>غير أنه لم يتلق أي رد حتى تاريخ تقديم بلاغه، حيث توقفت خدمة البريد في دونيتسك حينها عن العمل بقرار من الحكومة الأوكرانية</w:t>
      </w:r>
      <w:r w:rsidRPr="004D06D2">
        <w:rPr>
          <w:rFonts w:hint="cs"/>
          <w:rtl/>
          <w:lang w:bidi="ar-DZ"/>
        </w:rPr>
        <w:t xml:space="preserve">. </w:t>
      </w:r>
      <w:r w:rsidRPr="004D06D2">
        <w:rPr>
          <w:rtl/>
          <w:lang w:bidi="ar-DZ"/>
        </w:rPr>
        <w:t>وفي 25 تشرين الثاني/نوفمبر 2014، بعث صاحب البلاغ بالفاكس استفساراً عن حالة دعواه، ولم يتلق أي رد</w:t>
      </w:r>
      <w:r w:rsidRPr="004D06D2">
        <w:rPr>
          <w:rFonts w:hint="cs"/>
          <w:rtl/>
          <w:lang w:bidi="ar-DZ"/>
        </w:rPr>
        <w:t xml:space="preserve">. </w:t>
      </w:r>
      <w:r w:rsidRPr="004D06D2">
        <w:rPr>
          <w:rtl/>
          <w:lang w:bidi="ar-DZ"/>
        </w:rPr>
        <w:t xml:space="preserve">وبالتالي، يرى صاحب البلاغ أن المحكمة لم تباشر </w:t>
      </w:r>
      <w:r w:rsidRPr="004D06D2">
        <w:rPr>
          <w:rFonts w:hint="cs"/>
          <w:rtl/>
          <w:lang w:bidi="ar-DZ"/>
        </w:rPr>
        <w:t>أي إجراء ل</w:t>
      </w:r>
      <w:r w:rsidRPr="004D06D2">
        <w:rPr>
          <w:rtl/>
          <w:lang w:bidi="ar-DZ"/>
        </w:rPr>
        <w:t>لنظر في قضيته</w:t>
      </w:r>
      <w:r w:rsidR="00F478C7">
        <w:rPr>
          <w:b/>
          <w:vertAlign w:val="superscript"/>
          <w:rtl/>
          <w:lang w:bidi="ar-DZ"/>
        </w:rPr>
        <w:t>(</w:t>
      </w:r>
      <w:r w:rsidR="00F478C7" w:rsidRPr="004D06D2">
        <w:rPr>
          <w:b/>
          <w:vertAlign w:val="superscript"/>
          <w:rtl/>
          <w:lang w:bidi="ar-DZ"/>
        </w:rPr>
        <w:footnoteReference w:id="7"/>
      </w:r>
      <w:r w:rsidR="00F478C7">
        <w:rPr>
          <w:b/>
          <w:vertAlign w:val="superscript"/>
          <w:rtl/>
          <w:lang w:bidi="ar-DZ"/>
        </w:rPr>
        <w:t>)</w:t>
      </w:r>
      <w:r w:rsidRPr="004D06D2">
        <w:rPr>
          <w:rFonts w:hint="cs"/>
          <w:rtl/>
          <w:lang w:bidi="ar-DZ"/>
        </w:rPr>
        <w:t>.</w:t>
      </w:r>
    </w:p>
    <w:p w:rsidR="004D06D2" w:rsidRPr="004D06D2" w:rsidRDefault="004D06D2" w:rsidP="004D06D2">
      <w:pPr>
        <w:pStyle w:val="H23GA"/>
        <w:rPr>
          <w:rtl/>
        </w:rPr>
      </w:pPr>
      <w:r w:rsidRPr="004D06D2">
        <w:rPr>
          <w:rtl/>
        </w:rPr>
        <w:tab/>
      </w:r>
      <w:r w:rsidRPr="004D06D2">
        <w:rPr>
          <w:rtl/>
        </w:rPr>
        <w:tab/>
        <w:t>الشكوى</w:t>
      </w:r>
    </w:p>
    <w:p w:rsidR="004D06D2" w:rsidRPr="004D06D2" w:rsidRDefault="004D06D2" w:rsidP="004D06D2">
      <w:pPr>
        <w:pStyle w:val="SingleTxtGA"/>
        <w:rPr>
          <w:rtl/>
        </w:rPr>
      </w:pPr>
      <w:r w:rsidRPr="004D06D2">
        <w:rPr>
          <w:rFonts w:hint="cs"/>
          <w:rtl/>
        </w:rPr>
        <w:t>3-1</w:t>
      </w:r>
      <w:r w:rsidRPr="004D06D2">
        <w:rPr>
          <w:rtl/>
        </w:rPr>
        <w:tab/>
        <w:t>يدعي صاحب البلاغ أن فرض سلطات الدولة الطرف لتهجئة اسمه بالأوكرانية يشكل انتهاكاً لحقوقه المكفولة بموجب المادتين 17 و27 من العهد</w:t>
      </w:r>
      <w:r w:rsidRPr="004D06D2">
        <w:rPr>
          <w:rFonts w:hint="cs"/>
          <w:rtl/>
        </w:rPr>
        <w:t xml:space="preserve">. </w:t>
      </w:r>
      <w:r w:rsidRPr="004D06D2">
        <w:rPr>
          <w:rtl/>
        </w:rPr>
        <w:t>ويحاج بأن الدولة الطرف اختارت تعسفاً تهجئة اسمه بالأوكرانية، التي ليست لغته، وفرضت عليه بذلك قيوداً لا داعي لها، وحرمته كشخص ينتمي إلى أقلية لغوية من الحق في استخدام لغته الأصلية في سجلات جواز سفره وكأساس ل</w:t>
      </w:r>
      <w:r w:rsidRPr="004D06D2">
        <w:rPr>
          <w:rFonts w:hint="cs"/>
          <w:rtl/>
        </w:rPr>
        <w:t>نقل</w:t>
      </w:r>
      <w:r w:rsidRPr="004D06D2">
        <w:rPr>
          <w:rtl/>
        </w:rPr>
        <w:t xml:space="preserve"> اسمه بالأحرف اللاتينية</w:t>
      </w:r>
      <w:r w:rsidRPr="004D06D2">
        <w:rPr>
          <w:rFonts w:hint="cs"/>
          <w:rtl/>
        </w:rPr>
        <w:t>.</w:t>
      </w:r>
    </w:p>
    <w:p w:rsidR="004D06D2" w:rsidRPr="00E3696F" w:rsidRDefault="004D06D2" w:rsidP="004D06D2">
      <w:pPr>
        <w:pStyle w:val="SingleTxtGA"/>
        <w:rPr>
          <w:spacing w:val="-2"/>
          <w:rtl/>
          <w:lang w:bidi="ar-DZ"/>
        </w:rPr>
      </w:pPr>
      <w:r w:rsidRPr="00E3696F">
        <w:rPr>
          <w:rFonts w:hint="cs"/>
          <w:spacing w:val="-2"/>
          <w:rtl/>
        </w:rPr>
        <w:t>3-2</w:t>
      </w:r>
      <w:r w:rsidRPr="00E3696F">
        <w:rPr>
          <w:spacing w:val="-2"/>
          <w:rtl/>
        </w:rPr>
        <w:tab/>
        <w:t>ويطلب صاحب البلاغ إلى اللجنة أن تشدد للدولة الطرف على ضرورة مواءمة تشريعاتها المتعلقة بحق الأشخاص في استخدام لغتهم الأصلية واختيار أسمائهم في الوثائق الرسمية مع مقتضيات العهد، ومنحه جواز سفر يحمل اسمه المسجل رسمياً وفقا</w:t>
      </w:r>
      <w:r w:rsidRPr="00E3696F">
        <w:rPr>
          <w:rFonts w:hint="cs"/>
          <w:spacing w:val="-2"/>
          <w:rtl/>
        </w:rPr>
        <w:t>ً</w:t>
      </w:r>
      <w:r w:rsidRPr="00E3696F">
        <w:rPr>
          <w:spacing w:val="-2"/>
          <w:rtl/>
        </w:rPr>
        <w:t xml:space="preserve"> لرغبته، وتعويضه عن الأضرار المعنوية والمادية الناجمة عن عدم تمكنه من السفر خارج حدود أوكرانيا مدة ست سنوات</w:t>
      </w:r>
      <w:r w:rsidRPr="00E3696F">
        <w:rPr>
          <w:rFonts w:hint="cs"/>
          <w:spacing w:val="-2"/>
          <w:rtl/>
          <w:lang w:bidi="ar-DZ"/>
        </w:rPr>
        <w:t>.</w:t>
      </w:r>
    </w:p>
    <w:p w:rsidR="004D06D2" w:rsidRPr="004D06D2" w:rsidRDefault="004D06D2" w:rsidP="004D06D2">
      <w:pPr>
        <w:pStyle w:val="H23GA"/>
        <w:rPr>
          <w:rtl/>
        </w:rPr>
      </w:pPr>
      <w:r w:rsidRPr="004D06D2">
        <w:rPr>
          <w:rtl/>
        </w:rPr>
        <w:tab/>
      </w:r>
      <w:r w:rsidRPr="004D06D2">
        <w:rPr>
          <w:rtl/>
        </w:rPr>
        <w:tab/>
        <w:t>ملاحظات الدولة الطرف بشأن الأسس الموضوعية</w:t>
      </w:r>
    </w:p>
    <w:p w:rsidR="004D06D2" w:rsidRPr="004D06D2" w:rsidRDefault="004D06D2" w:rsidP="004D06D2">
      <w:pPr>
        <w:pStyle w:val="SingleTxtGA"/>
        <w:rPr>
          <w:rtl/>
          <w:lang w:bidi="ar-DZ"/>
        </w:rPr>
      </w:pPr>
      <w:r w:rsidRPr="004D06D2">
        <w:rPr>
          <w:rFonts w:hint="cs"/>
          <w:rtl/>
        </w:rPr>
        <w:t>4-1</w:t>
      </w:r>
      <w:r w:rsidRPr="004D06D2">
        <w:rPr>
          <w:rtl/>
        </w:rPr>
        <w:tab/>
        <w:t>في 31 آذار/مارس 2016، قدمت الدولة الطرف ملاحظاتها بشأن الأسس الموضوعية</w:t>
      </w:r>
      <w:r w:rsidRPr="004D06D2">
        <w:rPr>
          <w:rFonts w:hint="cs"/>
          <w:rtl/>
        </w:rPr>
        <w:t xml:space="preserve"> للبلاغ</w:t>
      </w:r>
      <w:r w:rsidRPr="004D06D2">
        <w:rPr>
          <w:rtl/>
        </w:rPr>
        <w:t>.</w:t>
      </w:r>
      <w:r w:rsidRPr="004D06D2">
        <w:rPr>
          <w:rFonts w:hint="cs"/>
          <w:rtl/>
        </w:rPr>
        <w:t xml:space="preserve"> </w:t>
      </w:r>
      <w:r w:rsidRPr="004D06D2">
        <w:rPr>
          <w:rtl/>
        </w:rPr>
        <w:t>وتبلغ الدولة الطرف اللجنة في البداية أنه جرت عملية لمكافحة الإرهاب في إقليم شرق أوكرانيا، بما في ذلك مدينة دونيتسك، حيث يقع مبنى المحكمة الابتدائية الذي يحوي ملفات القضية ذات الصلة</w:t>
      </w:r>
      <w:r w:rsidRPr="004D06D2">
        <w:rPr>
          <w:rFonts w:hint="cs"/>
          <w:rtl/>
        </w:rPr>
        <w:t xml:space="preserve">. </w:t>
      </w:r>
      <w:r w:rsidRPr="004D06D2">
        <w:rPr>
          <w:rtl/>
        </w:rPr>
        <w:t>وفي سياق عملية مكافحة الإرهاب، لم يتسن للدولة الطرف الاطلاع على ملفات قضية صاحب البلاغ، التي نظرت فيها المحاكم الوطنية</w:t>
      </w:r>
      <w:r w:rsidRPr="004D06D2">
        <w:rPr>
          <w:rFonts w:hint="cs"/>
          <w:rtl/>
        </w:rPr>
        <w:t>.</w:t>
      </w:r>
    </w:p>
    <w:p w:rsidR="004D06D2" w:rsidRPr="00E3696F" w:rsidRDefault="004D06D2" w:rsidP="004D06D2">
      <w:pPr>
        <w:pStyle w:val="SingleTxtGA"/>
        <w:rPr>
          <w:spacing w:val="-2"/>
          <w:rtl/>
        </w:rPr>
      </w:pPr>
      <w:r w:rsidRPr="00E3696F">
        <w:rPr>
          <w:rFonts w:hint="cs"/>
          <w:spacing w:val="-2"/>
          <w:rtl/>
        </w:rPr>
        <w:lastRenderedPageBreak/>
        <w:t>4-2</w:t>
      </w:r>
      <w:r w:rsidRPr="00E3696F">
        <w:rPr>
          <w:spacing w:val="-2"/>
          <w:rtl/>
        </w:rPr>
        <w:tab/>
        <w:t xml:space="preserve">ولكن، وبالنظر إلى المواد التي قدمها صاحب البلاغ، تحيل الدولة الطرف إلى تشريعات ثانوية لتوضيح قواعد </w:t>
      </w:r>
      <w:r w:rsidRPr="00E3696F">
        <w:rPr>
          <w:rFonts w:hint="cs"/>
          <w:spacing w:val="-2"/>
          <w:rtl/>
        </w:rPr>
        <w:t>نقل</w:t>
      </w:r>
      <w:r w:rsidRPr="00E3696F">
        <w:rPr>
          <w:spacing w:val="-2"/>
          <w:rtl/>
        </w:rPr>
        <w:t xml:space="preserve"> الأسماء المكتوبة بلغة لا تستخدم الأحرف اللاتينية</w:t>
      </w:r>
      <w:r w:rsidR="00F478C7" w:rsidRPr="00E3696F">
        <w:rPr>
          <w:b/>
          <w:spacing w:val="-2"/>
          <w:vertAlign w:val="superscript"/>
          <w:rtl/>
        </w:rPr>
        <w:t>(</w:t>
      </w:r>
      <w:r w:rsidR="00F478C7" w:rsidRPr="00E3696F">
        <w:rPr>
          <w:b/>
          <w:spacing w:val="-2"/>
          <w:vertAlign w:val="superscript"/>
          <w:rtl/>
        </w:rPr>
        <w:footnoteReference w:id="8"/>
      </w:r>
      <w:r w:rsidR="00F478C7" w:rsidRPr="00E3696F">
        <w:rPr>
          <w:b/>
          <w:spacing w:val="-2"/>
          <w:vertAlign w:val="superscript"/>
          <w:rtl/>
        </w:rPr>
        <w:t>)</w:t>
      </w:r>
      <w:r w:rsidRPr="00E3696F">
        <w:rPr>
          <w:rFonts w:hint="cs"/>
          <w:spacing w:val="-2"/>
          <w:rtl/>
        </w:rPr>
        <w:t xml:space="preserve">. </w:t>
      </w:r>
      <w:r w:rsidRPr="00E3696F">
        <w:rPr>
          <w:spacing w:val="-2"/>
          <w:rtl/>
        </w:rPr>
        <w:t>وتدفع الدولة الطرف أيضاً بأن إدارات الجنسية والهجرة وتسجيل الأشخاص الطبيعيين في الهيئات الإقليمية (الإدارات المحلية) التابعة لوزارة الداخلية هي المسؤولة عن تنفيذ الإجراءات المتخذة على الصعيد المركزي وإصدار جوازات السفر الأوكرانية للسفر إلى الخارج للمواطنين الذين يعيشون في أوكرانيا</w:t>
      </w:r>
      <w:r w:rsidR="00F478C7" w:rsidRPr="00E3696F">
        <w:rPr>
          <w:b/>
          <w:spacing w:val="-2"/>
          <w:vertAlign w:val="superscript"/>
          <w:rtl/>
        </w:rPr>
        <w:t>(</w:t>
      </w:r>
      <w:r w:rsidR="00F478C7" w:rsidRPr="00E3696F">
        <w:rPr>
          <w:b/>
          <w:spacing w:val="-2"/>
          <w:vertAlign w:val="superscript"/>
          <w:rtl/>
        </w:rPr>
        <w:footnoteReference w:id="9"/>
      </w:r>
      <w:r w:rsidR="00F478C7" w:rsidRPr="00E3696F">
        <w:rPr>
          <w:b/>
          <w:spacing w:val="-2"/>
          <w:vertAlign w:val="superscript"/>
          <w:rtl/>
        </w:rPr>
        <w:t>)</w:t>
      </w:r>
      <w:r w:rsidRPr="00E3696F">
        <w:rPr>
          <w:rFonts w:hint="cs"/>
          <w:spacing w:val="-2"/>
          <w:rtl/>
        </w:rPr>
        <w:t>.</w:t>
      </w:r>
    </w:p>
    <w:p w:rsidR="004D06D2" w:rsidRPr="004D06D2" w:rsidRDefault="004D06D2" w:rsidP="004D06D2">
      <w:pPr>
        <w:pStyle w:val="SingleTxtGA"/>
        <w:rPr>
          <w:rtl/>
          <w:lang w:bidi="ar-DZ"/>
        </w:rPr>
      </w:pPr>
      <w:r w:rsidRPr="004D06D2">
        <w:rPr>
          <w:rFonts w:hint="cs"/>
          <w:rtl/>
        </w:rPr>
        <w:t>4-3</w:t>
      </w:r>
      <w:r w:rsidRPr="004D06D2">
        <w:rPr>
          <w:rtl/>
        </w:rPr>
        <w:tab/>
        <w:t>وتسلم الدولة الطرف بأن المادة 294(2) من القانون المدني تكفل لأي شخص طبيعي الحق في وجود سجل خطي لاسمه الشخصي والعائلي يتوافق مع تقاليده الوطنية</w:t>
      </w:r>
      <w:r w:rsidRPr="004D06D2">
        <w:rPr>
          <w:rFonts w:hint="cs"/>
          <w:rtl/>
          <w:lang w:bidi="ar-DZ"/>
        </w:rPr>
        <w:t>.</w:t>
      </w:r>
    </w:p>
    <w:p w:rsidR="004D06D2" w:rsidRPr="004D06D2" w:rsidRDefault="004D06D2" w:rsidP="004D06D2">
      <w:pPr>
        <w:pStyle w:val="SingleTxtGA"/>
        <w:rPr>
          <w:rtl/>
          <w:lang w:bidi="ar-DZ"/>
        </w:rPr>
      </w:pPr>
      <w:r w:rsidRPr="004D06D2">
        <w:rPr>
          <w:rFonts w:hint="cs"/>
          <w:rtl/>
        </w:rPr>
        <w:t>4-4</w:t>
      </w:r>
      <w:r w:rsidRPr="004D06D2">
        <w:rPr>
          <w:rtl/>
        </w:rPr>
        <w:tab/>
        <w:t>وتشير الدولة الطرف أيضاً إلى أن صاحب البلاغ لم يعترض على صحة تهجئة اسمه الشخص</w:t>
      </w:r>
      <w:r w:rsidRPr="004D06D2">
        <w:rPr>
          <w:rFonts w:hint="cs"/>
          <w:rtl/>
        </w:rPr>
        <w:t>ي</w:t>
      </w:r>
      <w:r w:rsidRPr="004D06D2">
        <w:rPr>
          <w:rtl/>
        </w:rPr>
        <w:t xml:space="preserve"> والعائلي باللغة الأوكرانية في جواز سفره الدولي</w:t>
      </w:r>
      <w:r w:rsidRPr="004D06D2">
        <w:rPr>
          <w:rFonts w:hint="cs"/>
          <w:rtl/>
          <w:lang w:bidi="ar-DZ"/>
        </w:rPr>
        <w:t>.</w:t>
      </w:r>
    </w:p>
    <w:p w:rsidR="004D06D2" w:rsidRPr="004D06D2" w:rsidRDefault="004D06D2" w:rsidP="004D06D2">
      <w:pPr>
        <w:pStyle w:val="SingleTxtGA"/>
        <w:rPr>
          <w:rtl/>
        </w:rPr>
      </w:pPr>
      <w:r w:rsidRPr="004D06D2">
        <w:rPr>
          <w:rFonts w:hint="cs"/>
          <w:rtl/>
        </w:rPr>
        <w:t>4-5</w:t>
      </w:r>
      <w:r w:rsidRPr="004D06D2">
        <w:rPr>
          <w:rtl/>
        </w:rPr>
        <w:tab/>
        <w:t xml:space="preserve">وتدفع الدولة الطرف بأن وزارة الداخلية تتقيد في </w:t>
      </w:r>
      <w:r w:rsidRPr="004D06D2">
        <w:rPr>
          <w:rFonts w:hint="cs"/>
          <w:rtl/>
        </w:rPr>
        <w:t xml:space="preserve">عملها </w:t>
      </w:r>
      <w:r w:rsidRPr="004D06D2">
        <w:rPr>
          <w:rtl/>
        </w:rPr>
        <w:t>بأحكام الدستور</w:t>
      </w:r>
      <w:r w:rsidRPr="004D06D2">
        <w:rPr>
          <w:rFonts w:hint="cs"/>
          <w:rtl/>
        </w:rPr>
        <w:t xml:space="preserve"> </w:t>
      </w:r>
      <w:r w:rsidRPr="004D06D2">
        <w:rPr>
          <w:rtl/>
        </w:rPr>
        <w:t>و</w:t>
      </w:r>
      <w:r w:rsidRPr="004D06D2">
        <w:rPr>
          <w:rFonts w:hint="cs"/>
          <w:rtl/>
        </w:rPr>
        <w:t>ب</w:t>
      </w:r>
      <w:r w:rsidRPr="004D06D2">
        <w:rPr>
          <w:rtl/>
        </w:rPr>
        <w:t>قوانين البلد</w:t>
      </w:r>
      <w:r w:rsidRPr="004D06D2">
        <w:rPr>
          <w:rFonts w:hint="cs"/>
          <w:rtl/>
        </w:rPr>
        <w:t xml:space="preserve"> </w:t>
      </w:r>
      <w:r w:rsidRPr="004D06D2">
        <w:rPr>
          <w:rtl/>
        </w:rPr>
        <w:t>و</w:t>
      </w:r>
      <w:r w:rsidRPr="004D06D2">
        <w:rPr>
          <w:rFonts w:hint="cs"/>
          <w:rtl/>
        </w:rPr>
        <w:t>ب</w:t>
      </w:r>
      <w:r w:rsidRPr="004D06D2">
        <w:rPr>
          <w:rtl/>
        </w:rPr>
        <w:t>مراسيم رئيس الجمهورية وقرارات البرلمان المعتمدة وفقاً للدستور وقوانين البلد</w:t>
      </w:r>
      <w:r w:rsidRPr="004D06D2">
        <w:rPr>
          <w:rFonts w:hint="cs"/>
          <w:rtl/>
        </w:rPr>
        <w:t xml:space="preserve">، </w:t>
      </w:r>
      <w:r w:rsidRPr="004D06D2">
        <w:rPr>
          <w:rtl/>
        </w:rPr>
        <w:t>وبمراسيم مجلس الوزراء</w:t>
      </w:r>
      <w:r w:rsidRPr="004D06D2">
        <w:rPr>
          <w:rFonts w:hint="cs"/>
          <w:rtl/>
        </w:rPr>
        <w:t xml:space="preserve"> </w:t>
      </w:r>
      <w:r w:rsidRPr="004D06D2">
        <w:rPr>
          <w:rtl/>
        </w:rPr>
        <w:t>وبلوائحها التنظيمية</w:t>
      </w:r>
      <w:r w:rsidR="00F478C7">
        <w:rPr>
          <w:b/>
          <w:vertAlign w:val="superscript"/>
          <w:rtl/>
        </w:rPr>
        <w:t>(</w:t>
      </w:r>
      <w:r w:rsidR="00F478C7" w:rsidRPr="004D06D2">
        <w:rPr>
          <w:b/>
          <w:vertAlign w:val="superscript"/>
          <w:rtl/>
        </w:rPr>
        <w:footnoteReference w:id="10"/>
      </w:r>
      <w:r w:rsidR="00F478C7">
        <w:rPr>
          <w:b/>
          <w:vertAlign w:val="superscript"/>
          <w:rtl/>
        </w:rPr>
        <w:t>)</w:t>
      </w:r>
      <w:r w:rsidRPr="004D06D2">
        <w:rPr>
          <w:rFonts w:hint="cs"/>
          <w:rtl/>
        </w:rPr>
        <w:t>.</w:t>
      </w:r>
    </w:p>
    <w:p w:rsidR="004D06D2" w:rsidRPr="00E3696F" w:rsidRDefault="004D06D2" w:rsidP="003A433E">
      <w:pPr>
        <w:pStyle w:val="SingleTxtGA"/>
        <w:rPr>
          <w:spacing w:val="-2"/>
          <w:rtl/>
          <w:lang w:bidi="ar-DZ"/>
        </w:rPr>
      </w:pPr>
      <w:r w:rsidRPr="004D06D2">
        <w:rPr>
          <w:rFonts w:hint="cs"/>
          <w:rtl/>
        </w:rPr>
        <w:t>4-6</w:t>
      </w:r>
      <w:r w:rsidRPr="004D06D2">
        <w:rPr>
          <w:rtl/>
        </w:rPr>
        <w:tab/>
        <w:t>وتوضح الدولة الطرف أن</w:t>
      </w:r>
      <w:r w:rsidRPr="004D06D2">
        <w:rPr>
          <w:rFonts w:hint="cs"/>
          <w:rtl/>
        </w:rPr>
        <w:t xml:space="preserve"> </w:t>
      </w:r>
      <w:r w:rsidRPr="004D06D2">
        <w:rPr>
          <w:rtl/>
        </w:rPr>
        <w:t xml:space="preserve">المعلومات </w:t>
      </w:r>
      <w:r w:rsidRPr="004D06D2">
        <w:rPr>
          <w:rFonts w:hint="cs"/>
          <w:rtl/>
        </w:rPr>
        <w:t xml:space="preserve">المسجلة </w:t>
      </w:r>
      <w:r w:rsidRPr="004D06D2">
        <w:rPr>
          <w:rtl/>
        </w:rPr>
        <w:t>في الموضع المرئي من جواز السفر ترد</w:t>
      </w:r>
      <w:r w:rsidRPr="004D06D2">
        <w:rPr>
          <w:rFonts w:hint="cs"/>
          <w:rtl/>
        </w:rPr>
        <w:t xml:space="preserve"> ب</w:t>
      </w:r>
      <w:r w:rsidRPr="004D06D2">
        <w:rPr>
          <w:rtl/>
        </w:rPr>
        <w:t>اللغة الأوكرانية</w:t>
      </w:r>
      <w:r w:rsidRPr="004D06D2">
        <w:rPr>
          <w:rFonts w:hint="cs"/>
          <w:rtl/>
        </w:rPr>
        <w:t>،</w:t>
      </w:r>
      <w:r w:rsidRPr="004D06D2">
        <w:rPr>
          <w:rtl/>
        </w:rPr>
        <w:t xml:space="preserve"> </w:t>
      </w:r>
      <w:r w:rsidRPr="004D06D2">
        <w:rPr>
          <w:rFonts w:hint="cs"/>
          <w:rtl/>
        </w:rPr>
        <w:t>ثم تُهجَّأ بعد الشَّرطة المائلة ب</w:t>
      </w:r>
      <w:r w:rsidRPr="004D06D2">
        <w:rPr>
          <w:rtl/>
        </w:rPr>
        <w:t xml:space="preserve">الأحرف اللاتينية المقابلة للأحرف الأوكرانية، على </w:t>
      </w:r>
      <w:r w:rsidRPr="00E3696F">
        <w:rPr>
          <w:spacing w:val="-2"/>
          <w:rtl/>
        </w:rPr>
        <w:t>النحو التالي:</w:t>
      </w:r>
      <w:r w:rsidRPr="00E3696F">
        <w:rPr>
          <w:spacing w:val="-2"/>
        </w:rPr>
        <w:t xml:space="preserve"> </w:t>
      </w:r>
      <w:r w:rsidR="003A433E" w:rsidRPr="00E3696F">
        <w:rPr>
          <w:spacing w:val="-2"/>
          <w:lang w:val="en-GB"/>
        </w:rPr>
        <w:t>А – A ; І – I ; В – V ; Й – I ; К – K ; Л – L ; М – M ; Е – E ; Н – N ; Є – IE ; О – O ; Р – R ; С – S</w:t>
      </w:r>
      <w:r w:rsidR="00F478C7" w:rsidRPr="00E3696F">
        <w:rPr>
          <w:b/>
          <w:spacing w:val="-2"/>
          <w:vertAlign w:val="superscript"/>
          <w:rtl/>
        </w:rPr>
        <w:t>(</w:t>
      </w:r>
      <w:r w:rsidR="00F478C7" w:rsidRPr="00E3696F">
        <w:rPr>
          <w:b/>
          <w:spacing w:val="-2"/>
          <w:vertAlign w:val="superscript"/>
          <w:rtl/>
        </w:rPr>
        <w:footnoteReference w:id="11"/>
      </w:r>
      <w:r w:rsidR="00F478C7" w:rsidRPr="00E3696F">
        <w:rPr>
          <w:b/>
          <w:spacing w:val="-2"/>
          <w:vertAlign w:val="superscript"/>
          <w:rtl/>
        </w:rPr>
        <w:t>)</w:t>
      </w:r>
      <w:r w:rsidRPr="00E3696F">
        <w:rPr>
          <w:rFonts w:hint="cs"/>
          <w:spacing w:val="-2"/>
          <w:rtl/>
        </w:rPr>
        <w:t>.</w:t>
      </w:r>
    </w:p>
    <w:p w:rsidR="004D06D2" w:rsidRPr="004D06D2" w:rsidRDefault="004D06D2" w:rsidP="004D06D2">
      <w:pPr>
        <w:pStyle w:val="SingleTxtGA"/>
        <w:rPr>
          <w:rtl/>
        </w:rPr>
      </w:pPr>
      <w:r w:rsidRPr="004D06D2">
        <w:rPr>
          <w:rFonts w:hint="cs"/>
          <w:rtl/>
        </w:rPr>
        <w:t>4-7</w:t>
      </w:r>
      <w:r w:rsidRPr="004D06D2">
        <w:rPr>
          <w:rtl/>
        </w:rPr>
        <w:tab/>
        <w:t>وتشير الدولة الطرف إلى أنه ينبغي للسلطات الوطنية أن تتقيد في تهجئة الاسم الشخصي والعائلي في الجوازات الأوكرانية للسفر إلى الخارج بالمعلومات الواردة باللغة الأوكرانية</w:t>
      </w:r>
      <w:r w:rsidRPr="004D06D2">
        <w:rPr>
          <w:rFonts w:hint="cs"/>
          <w:rtl/>
        </w:rPr>
        <w:t xml:space="preserve">. </w:t>
      </w:r>
      <w:r w:rsidRPr="004D06D2">
        <w:rPr>
          <w:rtl/>
        </w:rPr>
        <w:t>وتؤكد الدولة الطرف أن صاحب البلاغ وافق على تهجئة اسمه الشخصي والعائلي في جواز سفره الأوكراني (المحلي)</w:t>
      </w:r>
      <w:r w:rsidRPr="004D06D2">
        <w:rPr>
          <w:rFonts w:hint="cs"/>
          <w:rtl/>
        </w:rPr>
        <w:t xml:space="preserve">. </w:t>
      </w:r>
      <w:r w:rsidRPr="004D06D2">
        <w:rPr>
          <w:rtl/>
        </w:rPr>
        <w:t>وترى الدولة الطرف أن المعلومات الواردة في الجواز الأوكراني للسفر إلى الخارج المسلم لصاحب البلاغ تتوافق مع التشريعات الوطنية</w:t>
      </w:r>
      <w:r w:rsidRPr="004D06D2">
        <w:rPr>
          <w:rFonts w:hint="cs"/>
          <w:rtl/>
        </w:rPr>
        <w:t>.</w:t>
      </w:r>
    </w:p>
    <w:p w:rsidR="004D06D2" w:rsidRPr="004D06D2" w:rsidRDefault="004D06D2" w:rsidP="004D06D2">
      <w:pPr>
        <w:pStyle w:val="SingleTxtGA"/>
        <w:rPr>
          <w:rtl/>
        </w:rPr>
      </w:pPr>
      <w:r w:rsidRPr="004D06D2">
        <w:rPr>
          <w:rFonts w:hint="cs"/>
          <w:rtl/>
        </w:rPr>
        <w:t>4-8</w:t>
      </w:r>
      <w:r w:rsidRPr="004D06D2">
        <w:rPr>
          <w:rtl/>
        </w:rPr>
        <w:tab/>
        <w:t xml:space="preserve">وتدعي الدولة الطرف أن مجرد رفض طلب صاحب البلاغ تغيير </w:t>
      </w:r>
      <w:r w:rsidRPr="004D06D2">
        <w:rPr>
          <w:rFonts w:hint="cs"/>
          <w:rtl/>
        </w:rPr>
        <w:t>صيغة</w:t>
      </w:r>
      <w:r w:rsidRPr="004D06D2">
        <w:rPr>
          <w:rtl/>
        </w:rPr>
        <w:t xml:space="preserve"> </w:t>
      </w:r>
      <w:r w:rsidRPr="004D06D2">
        <w:rPr>
          <w:rFonts w:hint="cs"/>
          <w:rtl/>
        </w:rPr>
        <w:t xml:space="preserve">نقل </w:t>
      </w:r>
      <w:r w:rsidRPr="004D06D2">
        <w:rPr>
          <w:rtl/>
        </w:rPr>
        <w:t xml:space="preserve">اسمه الشخصي والعائلي </w:t>
      </w:r>
      <w:r w:rsidRPr="004D06D2">
        <w:rPr>
          <w:rFonts w:hint="cs"/>
          <w:rtl/>
        </w:rPr>
        <w:t xml:space="preserve">بالأحرف اللاتينية </w:t>
      </w:r>
      <w:r w:rsidRPr="004D06D2">
        <w:rPr>
          <w:rtl/>
        </w:rPr>
        <w:t>في جوازه الأوكراني للسفر إلى الخارج ليس كافياً لإثبات انتهاك حقوقه المكفولة بموجب المادتين 17 و27 من العهد</w:t>
      </w:r>
      <w:r w:rsidRPr="004D06D2">
        <w:rPr>
          <w:rFonts w:hint="cs"/>
          <w:rtl/>
        </w:rPr>
        <w:t>.</w:t>
      </w:r>
    </w:p>
    <w:p w:rsidR="004D06D2" w:rsidRPr="004D06D2" w:rsidRDefault="004D06D2" w:rsidP="004D06D2">
      <w:pPr>
        <w:pStyle w:val="SingleTxtGA"/>
        <w:rPr>
          <w:rtl/>
        </w:rPr>
      </w:pPr>
      <w:r w:rsidRPr="004D06D2">
        <w:rPr>
          <w:rFonts w:hint="cs"/>
          <w:rtl/>
        </w:rPr>
        <w:t>4</w:t>
      </w:r>
      <w:r w:rsidRPr="004D06D2">
        <w:rPr>
          <w:rtl/>
        </w:rPr>
        <w:t>-</w:t>
      </w:r>
      <w:r w:rsidRPr="004D06D2">
        <w:rPr>
          <w:rFonts w:hint="cs"/>
          <w:rtl/>
        </w:rPr>
        <w:t>9</w:t>
      </w:r>
      <w:r w:rsidRPr="004D06D2">
        <w:rPr>
          <w:rtl/>
        </w:rPr>
        <w:tab/>
        <w:t>وبالإضافة إلى ذلك، تبلغ الدولة الطرف اللجنة أنه لم ترد، حتى 11 آذار/</w:t>
      </w:r>
      <w:r>
        <w:rPr>
          <w:rFonts w:hint="cs"/>
          <w:rtl/>
        </w:rPr>
        <w:t xml:space="preserve"> </w:t>
      </w:r>
      <w:r w:rsidRPr="004D06D2">
        <w:rPr>
          <w:rtl/>
        </w:rPr>
        <w:t>مارس</w:t>
      </w:r>
      <w:r>
        <w:rPr>
          <w:rFonts w:hint="cs"/>
          <w:rtl/>
        </w:rPr>
        <w:t> </w:t>
      </w:r>
      <w:r w:rsidRPr="004D06D2">
        <w:rPr>
          <w:rtl/>
        </w:rPr>
        <w:t>2016، أي معلومات بشأن الدعوى التي قدمها صاحب البلاغ إلى المحكمة الأوروبية لحقوق الإنسان</w:t>
      </w:r>
      <w:r w:rsidRPr="004D06D2">
        <w:rPr>
          <w:rFonts w:hint="cs"/>
          <w:rtl/>
        </w:rPr>
        <w:t>.</w:t>
      </w:r>
    </w:p>
    <w:p w:rsidR="004D06D2" w:rsidRPr="004D06D2" w:rsidRDefault="004D06D2" w:rsidP="004D06D2">
      <w:pPr>
        <w:pStyle w:val="SingleTxtGA"/>
        <w:rPr>
          <w:rtl/>
        </w:rPr>
      </w:pPr>
      <w:r w:rsidRPr="004D06D2">
        <w:rPr>
          <w:rFonts w:hint="cs"/>
          <w:rtl/>
        </w:rPr>
        <w:lastRenderedPageBreak/>
        <w:t>4</w:t>
      </w:r>
      <w:r w:rsidRPr="004D06D2">
        <w:rPr>
          <w:rtl/>
        </w:rPr>
        <w:t>-</w:t>
      </w:r>
      <w:r w:rsidRPr="004D06D2">
        <w:rPr>
          <w:rFonts w:hint="cs"/>
          <w:rtl/>
        </w:rPr>
        <w:t>10</w:t>
      </w:r>
      <w:r w:rsidRPr="004D06D2">
        <w:rPr>
          <w:rtl/>
        </w:rPr>
        <w:tab/>
        <w:t>وبالنظر إلى ما يرد أعلاه، ترى الدولة الطرف أنه لم يقع في هذه القضية أي انتهاك لحقوق صاحب البلاغ التي يكفلها العهد</w:t>
      </w:r>
      <w:r w:rsidRPr="004D06D2">
        <w:rPr>
          <w:rFonts w:hint="cs"/>
          <w:rtl/>
        </w:rPr>
        <w:t>.</w:t>
      </w:r>
    </w:p>
    <w:p w:rsidR="004D06D2" w:rsidRPr="004D06D2" w:rsidRDefault="004D06D2" w:rsidP="004D06D2">
      <w:pPr>
        <w:pStyle w:val="H23GA"/>
        <w:rPr>
          <w:rtl/>
        </w:rPr>
      </w:pPr>
      <w:r w:rsidRPr="004D06D2">
        <w:rPr>
          <w:rtl/>
        </w:rPr>
        <w:tab/>
      </w:r>
      <w:r w:rsidRPr="004D06D2">
        <w:rPr>
          <w:rtl/>
        </w:rPr>
        <w:tab/>
        <w:t>تعليقات صاحب البلاغ على ملاحظات الدولة الطرف</w:t>
      </w:r>
    </w:p>
    <w:p w:rsidR="004D06D2" w:rsidRPr="004D06D2" w:rsidRDefault="004D06D2" w:rsidP="004D06D2">
      <w:pPr>
        <w:pStyle w:val="SingleTxtGA"/>
        <w:rPr>
          <w:rtl/>
        </w:rPr>
      </w:pPr>
      <w:r w:rsidRPr="004D06D2">
        <w:rPr>
          <w:rFonts w:hint="cs"/>
          <w:rtl/>
        </w:rPr>
        <w:t>5</w:t>
      </w:r>
      <w:r w:rsidRPr="004D06D2">
        <w:rPr>
          <w:rtl/>
        </w:rPr>
        <w:t>-</w:t>
      </w:r>
      <w:r w:rsidRPr="004D06D2">
        <w:rPr>
          <w:rFonts w:hint="cs"/>
          <w:rtl/>
        </w:rPr>
        <w:t>1</w:t>
      </w:r>
      <w:r w:rsidRPr="004D06D2">
        <w:rPr>
          <w:rtl/>
        </w:rPr>
        <w:tab/>
        <w:t>قدم صاحب البلاغ تعليقاته على ملاحظات الدولة الطرف في 27 أيار/مايو 2016.</w:t>
      </w:r>
      <w:r w:rsidRPr="004D06D2">
        <w:rPr>
          <w:rFonts w:hint="cs"/>
          <w:rtl/>
        </w:rPr>
        <w:t xml:space="preserve"> </w:t>
      </w:r>
      <w:r w:rsidRPr="004D06D2">
        <w:rPr>
          <w:rtl/>
        </w:rPr>
        <w:t>ويشير إلى أنه يستخدم الأحرف اللاتينية لكتابة اسمه الشخصي والعائلي</w:t>
      </w:r>
      <w:r w:rsidRPr="004D06D2">
        <w:rPr>
          <w:rFonts w:hint="cs"/>
          <w:rtl/>
        </w:rPr>
        <w:t xml:space="preserve">. </w:t>
      </w:r>
      <w:r w:rsidRPr="004D06D2">
        <w:rPr>
          <w:rtl/>
        </w:rPr>
        <w:t xml:space="preserve">وقد استخدمها لفتح حسابات مصرفية وللتسجيل في خدمات الإنترنت </w:t>
      </w:r>
      <w:r w:rsidRPr="004D06D2">
        <w:rPr>
          <w:rFonts w:hint="cs"/>
          <w:rtl/>
        </w:rPr>
        <w:t xml:space="preserve">المحصنة بقانون الملكية الفكرية </w:t>
      </w:r>
      <w:r w:rsidRPr="004D06D2">
        <w:rPr>
          <w:rtl/>
        </w:rPr>
        <w:t>ل</w:t>
      </w:r>
      <w:r w:rsidRPr="004D06D2">
        <w:rPr>
          <w:rFonts w:hint="cs"/>
          <w:rtl/>
        </w:rPr>
        <w:t xml:space="preserve">دفع الأموال إلكترونياً. </w:t>
      </w:r>
      <w:r w:rsidRPr="004D06D2">
        <w:rPr>
          <w:rtl/>
        </w:rPr>
        <w:t>ويقبل موظفو المصارف ومؤسسات خدمات الإنترنت هذه الطريقة لكتابة اسمه</w:t>
      </w:r>
      <w:r w:rsidRPr="004D06D2">
        <w:rPr>
          <w:rFonts w:hint="cs"/>
          <w:rtl/>
        </w:rPr>
        <w:t xml:space="preserve">. </w:t>
      </w:r>
      <w:r w:rsidRPr="004D06D2">
        <w:rPr>
          <w:rtl/>
        </w:rPr>
        <w:t>ولا</w:t>
      </w:r>
      <w:r>
        <w:rPr>
          <w:rFonts w:hint="cs"/>
          <w:rtl/>
        </w:rPr>
        <w:t> </w:t>
      </w:r>
      <w:r w:rsidRPr="004D06D2">
        <w:rPr>
          <w:rtl/>
        </w:rPr>
        <w:t xml:space="preserve">يستخدم صاحب البلاغ اسم والده </w:t>
      </w:r>
      <w:r w:rsidRPr="004D06D2">
        <w:rPr>
          <w:rFonts w:hint="cs"/>
          <w:rtl/>
        </w:rPr>
        <w:t xml:space="preserve">المنقول </w:t>
      </w:r>
      <w:r w:rsidRPr="004D06D2">
        <w:rPr>
          <w:rtl/>
        </w:rPr>
        <w:t>بالأحرف اللاتينية، إذ يعتبر هذا التقليد تمييزياً على أساس نوع الجنس</w:t>
      </w:r>
      <w:r w:rsidRPr="004D06D2">
        <w:rPr>
          <w:rFonts w:hint="cs"/>
          <w:rtl/>
        </w:rPr>
        <w:t xml:space="preserve">. </w:t>
      </w:r>
      <w:r w:rsidRPr="004D06D2">
        <w:rPr>
          <w:rtl/>
        </w:rPr>
        <w:t xml:space="preserve">ووفقاً للتشريعات السارية في الدولة الطرف، لا يُدرَج اسم الأب </w:t>
      </w:r>
      <w:r w:rsidRPr="004D06D2">
        <w:rPr>
          <w:rFonts w:hint="cs"/>
          <w:rtl/>
        </w:rPr>
        <w:t xml:space="preserve">المنقول </w:t>
      </w:r>
      <w:r w:rsidRPr="004D06D2">
        <w:rPr>
          <w:rtl/>
        </w:rPr>
        <w:t xml:space="preserve">بالأحرف اللاتينية </w:t>
      </w:r>
      <w:r w:rsidRPr="004D06D2">
        <w:rPr>
          <w:rFonts w:hint="cs"/>
          <w:rtl/>
        </w:rPr>
        <w:t xml:space="preserve">لا </w:t>
      </w:r>
      <w:r w:rsidRPr="004D06D2">
        <w:rPr>
          <w:rtl/>
        </w:rPr>
        <w:t>في جواز السفر المحلي ولا الدولي</w:t>
      </w:r>
      <w:r w:rsidRPr="004D06D2">
        <w:rPr>
          <w:rFonts w:hint="cs"/>
          <w:rtl/>
        </w:rPr>
        <w:t>.</w:t>
      </w:r>
    </w:p>
    <w:p w:rsidR="004D06D2" w:rsidRPr="004D06D2" w:rsidRDefault="004D06D2" w:rsidP="003A433E">
      <w:pPr>
        <w:pStyle w:val="SingleTxtGA"/>
        <w:rPr>
          <w:rtl/>
        </w:rPr>
      </w:pPr>
      <w:r w:rsidRPr="004D06D2">
        <w:rPr>
          <w:rFonts w:hint="cs"/>
          <w:rtl/>
        </w:rPr>
        <w:t>5</w:t>
      </w:r>
      <w:r w:rsidRPr="004D06D2">
        <w:rPr>
          <w:rtl/>
        </w:rPr>
        <w:t>-</w:t>
      </w:r>
      <w:r w:rsidRPr="004D06D2">
        <w:rPr>
          <w:rFonts w:hint="cs"/>
          <w:rtl/>
        </w:rPr>
        <w:t>2</w:t>
      </w:r>
      <w:r w:rsidRPr="004D06D2">
        <w:rPr>
          <w:rtl/>
        </w:rPr>
        <w:tab/>
        <w:t xml:space="preserve">وادعى صاحب البلاغ في رسالته الأولى أن تهجئة اسمه العائلي ينبغي أن تكون </w:t>
      </w:r>
      <w:r w:rsidR="003A433E" w:rsidRPr="003A433E">
        <w:rPr>
          <w:lang w:val="en-GB"/>
        </w:rPr>
        <w:t>Moiseyenko</w:t>
      </w:r>
      <w:r w:rsidRPr="004D06D2">
        <w:rPr>
          <w:rFonts w:hint="cs"/>
          <w:rtl/>
        </w:rPr>
        <w:t xml:space="preserve">. </w:t>
      </w:r>
      <w:r w:rsidRPr="004D06D2">
        <w:rPr>
          <w:rtl/>
        </w:rPr>
        <w:t xml:space="preserve">ولم يعد متمسكاً بهذا الجزء من ادعاءاته، ويوافق على تهجئة اسمه وفقاً لجدول </w:t>
      </w:r>
      <w:r w:rsidRPr="004D06D2">
        <w:rPr>
          <w:rFonts w:hint="cs"/>
          <w:rtl/>
        </w:rPr>
        <w:t>نقل</w:t>
      </w:r>
      <w:r w:rsidRPr="004D06D2">
        <w:rPr>
          <w:rtl/>
        </w:rPr>
        <w:t xml:space="preserve"> الأسماء </w:t>
      </w:r>
      <w:r w:rsidRPr="004D06D2">
        <w:rPr>
          <w:rFonts w:hint="cs"/>
          <w:rtl/>
        </w:rPr>
        <w:t xml:space="preserve">بالأحرف اللاتينية </w:t>
      </w:r>
      <w:r w:rsidRPr="004D06D2">
        <w:rPr>
          <w:rtl/>
        </w:rPr>
        <w:t xml:space="preserve">الذي أوصت به الحكومة - </w:t>
      </w:r>
      <w:r w:rsidR="003A433E" w:rsidRPr="003A433E">
        <w:rPr>
          <w:lang w:val="en-GB"/>
        </w:rPr>
        <w:t>Моисеенко/Moyseenko</w:t>
      </w:r>
      <w:r w:rsidRPr="004D06D2">
        <w:rPr>
          <w:rFonts w:hint="cs"/>
          <w:rtl/>
        </w:rPr>
        <w:t xml:space="preserve">. </w:t>
      </w:r>
      <w:r w:rsidRPr="004D06D2">
        <w:rPr>
          <w:rtl/>
        </w:rPr>
        <w:t xml:space="preserve">واستند في شكواه إلى الوقائع التي أكدتها قرارات المحاكم الوطنية </w:t>
      </w:r>
      <w:r w:rsidRPr="004D06D2">
        <w:rPr>
          <w:rFonts w:hint="cs"/>
          <w:rtl/>
        </w:rPr>
        <w:t xml:space="preserve">في المرحلة </w:t>
      </w:r>
      <w:r w:rsidRPr="004D06D2">
        <w:rPr>
          <w:rtl/>
        </w:rPr>
        <w:t>الابتدائية و</w:t>
      </w:r>
      <w:r w:rsidRPr="004D06D2">
        <w:rPr>
          <w:rFonts w:hint="cs"/>
          <w:rtl/>
        </w:rPr>
        <w:t xml:space="preserve">مرحلتي </w:t>
      </w:r>
      <w:r w:rsidRPr="004D06D2">
        <w:rPr>
          <w:rtl/>
        </w:rPr>
        <w:t>الاستئناف والنقض</w:t>
      </w:r>
      <w:r w:rsidRPr="004D06D2">
        <w:rPr>
          <w:rFonts w:hint="cs"/>
          <w:rtl/>
        </w:rPr>
        <w:t>.</w:t>
      </w:r>
    </w:p>
    <w:p w:rsidR="004D06D2" w:rsidRPr="004D06D2" w:rsidRDefault="004D06D2" w:rsidP="003A433E">
      <w:pPr>
        <w:pStyle w:val="SingleTxtGA"/>
        <w:rPr>
          <w:rtl/>
        </w:rPr>
      </w:pPr>
      <w:r w:rsidRPr="004D06D2">
        <w:rPr>
          <w:rFonts w:hint="cs"/>
          <w:rtl/>
        </w:rPr>
        <w:t>5</w:t>
      </w:r>
      <w:r w:rsidRPr="004D06D2">
        <w:rPr>
          <w:rtl/>
        </w:rPr>
        <w:t>-</w:t>
      </w:r>
      <w:r w:rsidRPr="004D06D2">
        <w:rPr>
          <w:rFonts w:hint="cs"/>
          <w:rtl/>
        </w:rPr>
        <w:t>3</w:t>
      </w:r>
      <w:r w:rsidRPr="004D06D2">
        <w:rPr>
          <w:rtl/>
        </w:rPr>
        <w:tab/>
        <w:t xml:space="preserve">وتوجد </w:t>
      </w:r>
      <w:r w:rsidRPr="004D06D2">
        <w:rPr>
          <w:rFonts w:hint="cs"/>
          <w:rtl/>
        </w:rPr>
        <w:t xml:space="preserve">عدة </w:t>
      </w:r>
      <w:r w:rsidRPr="004D06D2">
        <w:rPr>
          <w:rtl/>
        </w:rPr>
        <w:t xml:space="preserve">نظم وعشرات من الجداول لنقل الأبجديات الوطنية: نظام </w:t>
      </w:r>
      <w:r w:rsidR="003A433E" w:rsidRPr="003A433E">
        <w:rPr>
          <w:lang w:val="en-GB"/>
        </w:rPr>
        <w:t>BGN/PCGN</w:t>
      </w:r>
      <w:r w:rsidRPr="004D06D2">
        <w:rPr>
          <w:rtl/>
        </w:rPr>
        <w:t xml:space="preserve">، ونظام </w:t>
      </w:r>
      <w:r w:rsidR="003A433E" w:rsidRPr="003A433E">
        <w:rPr>
          <w:lang w:val="en-GB"/>
        </w:rPr>
        <w:t>ALA-LC</w:t>
      </w:r>
      <w:r w:rsidRPr="004D06D2">
        <w:rPr>
          <w:rtl/>
        </w:rPr>
        <w:t xml:space="preserve">، ونظام </w:t>
      </w:r>
      <w:r w:rsidR="003A433E" w:rsidRPr="003A433E">
        <w:rPr>
          <w:lang w:val="en-GB"/>
        </w:rPr>
        <w:t>ISO</w:t>
      </w:r>
      <w:r w:rsidR="003A433E">
        <w:rPr>
          <w:lang w:val="en-GB"/>
        </w:rPr>
        <w:t> </w:t>
      </w:r>
      <w:r w:rsidR="003A433E" w:rsidRPr="003A433E">
        <w:rPr>
          <w:lang w:val="en-GB"/>
        </w:rPr>
        <w:t>9:1995</w:t>
      </w:r>
      <w:r w:rsidRPr="004D06D2">
        <w:rPr>
          <w:rtl/>
        </w:rPr>
        <w:t>، وما إلى ذلك</w:t>
      </w:r>
      <w:r w:rsidRPr="004D06D2">
        <w:rPr>
          <w:rFonts w:hint="cs"/>
          <w:rtl/>
        </w:rPr>
        <w:t xml:space="preserve">. </w:t>
      </w:r>
      <w:r w:rsidRPr="004D06D2">
        <w:rPr>
          <w:rtl/>
        </w:rPr>
        <w:t>ولا تُلزم المعايير الواردة في الفقرة 8-3 من الفرع رابعاً من الوثيقة 9303 الصادرة عن منظمة الطيران المدني الدولي، بعنوان "وثائق السفر المقروءة آليا</w:t>
      </w:r>
      <w:r w:rsidR="00AF7970">
        <w:rPr>
          <w:rFonts w:hint="cs"/>
          <w:rtl/>
        </w:rPr>
        <w:t>ً</w:t>
      </w:r>
      <w:r w:rsidRPr="004D06D2">
        <w:rPr>
          <w:rtl/>
        </w:rPr>
        <w:t>" الجزء 1، المجلد 1 (الطبعة السادسة، 2006) الدول باستخدام أي جداول أبجدية أو لغات رسمية لكتابة الاسم في الموضع المرئي من جواز السفر</w:t>
      </w:r>
      <w:r w:rsidRPr="004D06D2">
        <w:rPr>
          <w:rFonts w:hint="cs"/>
          <w:rtl/>
        </w:rPr>
        <w:t xml:space="preserve">. </w:t>
      </w:r>
      <w:r w:rsidRPr="004D06D2">
        <w:rPr>
          <w:rtl/>
        </w:rPr>
        <w:t>وبالتالي، فإن سلطات الدولة الطرف قد أقرت تعسف</w:t>
      </w:r>
      <w:r w:rsidRPr="004D06D2">
        <w:rPr>
          <w:rFonts w:hint="cs"/>
          <w:rtl/>
        </w:rPr>
        <w:t>اً</w:t>
      </w:r>
      <w:r w:rsidRPr="004D06D2">
        <w:rPr>
          <w:rtl/>
        </w:rPr>
        <w:t xml:space="preserve"> الجدول الإلزامي لنقل الأحرف</w:t>
      </w:r>
      <w:r w:rsidRPr="004D06D2">
        <w:rPr>
          <w:rFonts w:hint="cs"/>
          <w:rtl/>
        </w:rPr>
        <w:t xml:space="preserve">. </w:t>
      </w:r>
      <w:r w:rsidRPr="004D06D2">
        <w:rPr>
          <w:rtl/>
        </w:rPr>
        <w:t>ويستند هذا الجدول إلى طريقة نقل الأحرف الموصى بها في الوثيقة 9303 لتشفير الأسماء في الموضع المقروء آليا</w:t>
      </w:r>
      <w:r w:rsidR="00AF7970">
        <w:rPr>
          <w:rFonts w:hint="cs"/>
          <w:rtl/>
        </w:rPr>
        <w:t>ً</w:t>
      </w:r>
      <w:r w:rsidRPr="004D06D2">
        <w:rPr>
          <w:rtl/>
        </w:rPr>
        <w:t xml:space="preserve"> من جواز السفر وليس لتسجيل الأسماء في الموضع المرئي منه</w:t>
      </w:r>
      <w:r w:rsidRPr="004D06D2">
        <w:rPr>
          <w:rFonts w:hint="cs"/>
          <w:rtl/>
        </w:rPr>
        <w:t>.</w:t>
      </w:r>
    </w:p>
    <w:p w:rsidR="004D06D2" w:rsidRPr="00E3696F" w:rsidRDefault="004D06D2" w:rsidP="004D06D2">
      <w:pPr>
        <w:pStyle w:val="SingleTxtGA"/>
        <w:rPr>
          <w:spacing w:val="-2"/>
          <w:rtl/>
        </w:rPr>
      </w:pPr>
      <w:r w:rsidRPr="00E3696F">
        <w:rPr>
          <w:rFonts w:hint="cs"/>
          <w:spacing w:val="-2"/>
          <w:rtl/>
        </w:rPr>
        <w:t>5</w:t>
      </w:r>
      <w:r w:rsidRPr="00E3696F">
        <w:rPr>
          <w:spacing w:val="-2"/>
          <w:rtl/>
        </w:rPr>
        <w:t>-</w:t>
      </w:r>
      <w:r w:rsidRPr="00E3696F">
        <w:rPr>
          <w:rFonts w:hint="cs"/>
          <w:spacing w:val="-2"/>
          <w:rtl/>
        </w:rPr>
        <w:t>4</w:t>
      </w:r>
      <w:r w:rsidRPr="00E3696F">
        <w:rPr>
          <w:spacing w:val="-2"/>
          <w:rtl/>
        </w:rPr>
        <w:tab/>
        <w:t>ووفقاً لإجراءات الحصول على جواز السفر إلى الخارج، التي أُقرت بموجب المرسوم (القرار) رقم 231 الصادر عن مجلس الوزراء، في 31 آذار/مارس 1995، خضعت الأسماء المكتوبة بالأحرف السيريلية لتغيير قسري وفقاً لقواعد اللغة الأوكرانية</w:t>
      </w:r>
      <w:r w:rsidRPr="00E3696F">
        <w:rPr>
          <w:rFonts w:hint="cs"/>
          <w:spacing w:val="-2"/>
          <w:rtl/>
        </w:rPr>
        <w:t xml:space="preserve">؛ </w:t>
      </w:r>
      <w:r w:rsidRPr="00E3696F">
        <w:rPr>
          <w:spacing w:val="-2"/>
          <w:rtl/>
        </w:rPr>
        <w:t xml:space="preserve">ولا تعترف الدولة الطرف إلا بالتهجئة الأوكرانية للأسماء في جوازات سفر </w:t>
      </w:r>
      <w:r w:rsidRPr="00E3696F">
        <w:rPr>
          <w:rFonts w:hint="cs"/>
          <w:spacing w:val="-2"/>
          <w:rtl/>
        </w:rPr>
        <w:t>ال</w:t>
      </w:r>
      <w:r w:rsidRPr="00E3696F">
        <w:rPr>
          <w:spacing w:val="-2"/>
          <w:rtl/>
        </w:rPr>
        <w:t>مواطني</w:t>
      </w:r>
      <w:r w:rsidRPr="00E3696F">
        <w:rPr>
          <w:rFonts w:hint="cs"/>
          <w:spacing w:val="-2"/>
          <w:rtl/>
        </w:rPr>
        <w:t>ن</w:t>
      </w:r>
      <w:r w:rsidRPr="00E3696F">
        <w:rPr>
          <w:spacing w:val="-2"/>
          <w:rtl/>
        </w:rPr>
        <w:t xml:space="preserve"> </w:t>
      </w:r>
      <w:r w:rsidRPr="00E3696F">
        <w:rPr>
          <w:rFonts w:hint="cs"/>
          <w:spacing w:val="-2"/>
          <w:rtl/>
        </w:rPr>
        <w:t>ال</w:t>
      </w:r>
      <w:r w:rsidRPr="00E3696F">
        <w:rPr>
          <w:spacing w:val="-2"/>
          <w:rtl/>
        </w:rPr>
        <w:t>أوكراني</w:t>
      </w:r>
      <w:r w:rsidRPr="00E3696F">
        <w:rPr>
          <w:rFonts w:hint="cs"/>
          <w:spacing w:val="-2"/>
          <w:rtl/>
        </w:rPr>
        <w:t xml:space="preserve">ين. </w:t>
      </w:r>
      <w:r w:rsidRPr="00E3696F">
        <w:rPr>
          <w:spacing w:val="-2"/>
          <w:rtl/>
        </w:rPr>
        <w:t>ولا تتيح الدولة الطرف إمكانية اختيار جدول نقل أحرف لغات الأقليات</w:t>
      </w:r>
      <w:r w:rsidRPr="00E3696F">
        <w:rPr>
          <w:rFonts w:hint="cs"/>
          <w:spacing w:val="-2"/>
          <w:rtl/>
        </w:rPr>
        <w:t xml:space="preserve">. </w:t>
      </w:r>
      <w:r w:rsidRPr="00E3696F">
        <w:rPr>
          <w:spacing w:val="-2"/>
          <w:rtl/>
        </w:rPr>
        <w:t>وتغير الجدول الإلزامي لنقل الأحرف عدة مرات خلال عقدين؛</w:t>
      </w:r>
      <w:r w:rsidRPr="00E3696F">
        <w:rPr>
          <w:rFonts w:hint="cs"/>
          <w:spacing w:val="-2"/>
          <w:rtl/>
        </w:rPr>
        <w:t xml:space="preserve"> </w:t>
      </w:r>
      <w:r w:rsidRPr="00E3696F">
        <w:rPr>
          <w:spacing w:val="-2"/>
          <w:rtl/>
        </w:rPr>
        <w:t>وبالتالي، فقد تختلف تهجئة الاسم العائلي من شخص لآخر من أفراد أسرة ما</w:t>
      </w:r>
      <w:r w:rsidRPr="00E3696F">
        <w:rPr>
          <w:rFonts w:hint="cs"/>
          <w:spacing w:val="-2"/>
          <w:rtl/>
        </w:rPr>
        <w:t>.</w:t>
      </w:r>
    </w:p>
    <w:p w:rsidR="004D06D2" w:rsidRPr="004D06D2" w:rsidRDefault="004D06D2" w:rsidP="004D06D2">
      <w:pPr>
        <w:pStyle w:val="SingleTxtGA"/>
        <w:rPr>
          <w:rtl/>
        </w:rPr>
      </w:pPr>
      <w:r w:rsidRPr="004D06D2">
        <w:rPr>
          <w:rFonts w:hint="cs"/>
          <w:rtl/>
        </w:rPr>
        <w:t>5-5</w:t>
      </w:r>
      <w:r w:rsidRPr="004D06D2">
        <w:rPr>
          <w:rtl/>
        </w:rPr>
        <w:tab/>
        <w:t>لقد كتب موظفو الخدمة المدنية المعنيون في جواز سفر صاحب البلاغ اسمه الأوكراني الإضافي عوض اسمه الروسي الأصلي، رغم أنه لم يوافق على ذلك ولم يرغب فيه</w:t>
      </w:r>
      <w:r w:rsidRPr="004D06D2">
        <w:rPr>
          <w:rFonts w:hint="cs"/>
          <w:rtl/>
        </w:rPr>
        <w:t xml:space="preserve">. </w:t>
      </w:r>
      <w:r w:rsidRPr="004D06D2">
        <w:rPr>
          <w:rtl/>
        </w:rPr>
        <w:t xml:space="preserve">ورفضت الدولة الطرف استخدام </w:t>
      </w:r>
      <w:r w:rsidRPr="004D06D2">
        <w:rPr>
          <w:rFonts w:hint="cs"/>
          <w:rtl/>
        </w:rPr>
        <w:t xml:space="preserve">الأبجدية </w:t>
      </w:r>
      <w:r w:rsidRPr="004D06D2">
        <w:rPr>
          <w:rtl/>
        </w:rPr>
        <w:t>الروسي</w:t>
      </w:r>
      <w:r w:rsidRPr="004D06D2">
        <w:rPr>
          <w:rFonts w:hint="cs"/>
          <w:rtl/>
        </w:rPr>
        <w:t>ة</w:t>
      </w:r>
      <w:r w:rsidRPr="004D06D2">
        <w:rPr>
          <w:rtl/>
        </w:rPr>
        <w:t xml:space="preserve"> كأساس لنقل </w:t>
      </w:r>
      <w:r w:rsidRPr="004D06D2">
        <w:rPr>
          <w:rFonts w:hint="cs"/>
          <w:rtl/>
        </w:rPr>
        <w:t xml:space="preserve">اسمه </w:t>
      </w:r>
      <w:r w:rsidRPr="004D06D2">
        <w:rPr>
          <w:rtl/>
        </w:rPr>
        <w:t>ب</w:t>
      </w:r>
      <w:r w:rsidRPr="004D06D2">
        <w:rPr>
          <w:rFonts w:hint="cs"/>
          <w:rtl/>
        </w:rPr>
        <w:t xml:space="preserve">الأحرف </w:t>
      </w:r>
      <w:r w:rsidRPr="004D06D2">
        <w:rPr>
          <w:rtl/>
        </w:rPr>
        <w:t>اللاتينية</w:t>
      </w:r>
      <w:r w:rsidRPr="004D06D2">
        <w:rPr>
          <w:rFonts w:hint="cs"/>
          <w:rtl/>
        </w:rPr>
        <w:t xml:space="preserve">. </w:t>
      </w:r>
      <w:r w:rsidRPr="004D06D2">
        <w:rPr>
          <w:rtl/>
        </w:rPr>
        <w:t>ويشير صاحب البلاغ إلى أن قرارات المحاكم الوطنية تثبت ذلك وتجسده</w:t>
      </w:r>
      <w:r w:rsidRPr="004D06D2">
        <w:rPr>
          <w:rFonts w:hint="cs"/>
          <w:rtl/>
        </w:rPr>
        <w:t xml:space="preserve">. </w:t>
      </w:r>
      <w:r w:rsidRPr="004D06D2">
        <w:rPr>
          <w:rtl/>
        </w:rPr>
        <w:t xml:space="preserve">ويشير، على سبيل المثال، إلى حكم صادر عن المحكمة الإدارية العليا، يرد فيه ما يلي: "ليست إشارات المدعي إلى أنه روسي، وينبغي </w:t>
      </w:r>
      <w:r w:rsidRPr="004D06D2">
        <w:rPr>
          <w:rtl/>
        </w:rPr>
        <w:lastRenderedPageBreak/>
        <w:t>بالتالي إدراج اسمه الشخصي والعائلي في جواز سفره بالأحرف اللاتينية المقابلة للأحرف الروسية، مقبولة لأنها تتعارض مع مقتضيات التشريعات المنطبقة على المنازعات القانونية"</w:t>
      </w:r>
      <w:r w:rsidRPr="004D06D2">
        <w:rPr>
          <w:rFonts w:hint="cs"/>
          <w:rtl/>
        </w:rPr>
        <w:t>.</w:t>
      </w:r>
    </w:p>
    <w:p w:rsidR="004D06D2" w:rsidRPr="004D06D2" w:rsidRDefault="004D06D2" w:rsidP="004D06D2">
      <w:pPr>
        <w:pStyle w:val="SingleTxtGA"/>
        <w:rPr>
          <w:rtl/>
        </w:rPr>
      </w:pPr>
      <w:r w:rsidRPr="004D06D2">
        <w:rPr>
          <w:rFonts w:hint="cs"/>
          <w:rtl/>
        </w:rPr>
        <w:t>5-6</w:t>
      </w:r>
      <w:r w:rsidRPr="004D06D2">
        <w:rPr>
          <w:rtl/>
        </w:rPr>
        <w:tab/>
        <w:t>ويستشهد صاحب البلاغ أيضاً بقرار المحكمة الابتدائية، الذي نص على ما يلي: "لن تأخذ المحكمة في الاعتبار تأكيد المدعي أنه ينتمي إلى الأقلية الإثنية الروسية، وينبغي بالتالي تطبيق قواعد نقل الأحرف من اللغة الروسية لنقل اسمه العائلي والشخصي واسم والده لأن اللغة الرسمية في أوكرانيا، وفقاً للمادة 10 من الدستور، هي الأوكرانية التي لا تستخدم السلطات العامة سواها في عملها"</w:t>
      </w:r>
      <w:r w:rsidRPr="004D06D2">
        <w:rPr>
          <w:rFonts w:hint="cs"/>
          <w:rtl/>
        </w:rPr>
        <w:t xml:space="preserve">. </w:t>
      </w:r>
      <w:r w:rsidRPr="004D06D2">
        <w:rPr>
          <w:rtl/>
        </w:rPr>
        <w:t xml:space="preserve">وفي هذا الصدد، يدعي صاحب البلاغ أن انتهاك أحكام العهد </w:t>
      </w:r>
      <w:r w:rsidR="00AF7970" w:rsidRPr="004D06D2">
        <w:rPr>
          <w:rtl/>
        </w:rPr>
        <w:t>لا</w:t>
      </w:r>
      <w:r w:rsidR="00AF7970">
        <w:rPr>
          <w:rFonts w:hint="cs"/>
          <w:rtl/>
        </w:rPr>
        <w:t> </w:t>
      </w:r>
      <w:r w:rsidRPr="004D06D2">
        <w:rPr>
          <w:rtl/>
        </w:rPr>
        <w:t xml:space="preserve">يكمن فقد في رفض المحكمة الاستجابة لطلبه، وإنما </w:t>
      </w:r>
      <w:r w:rsidRPr="004D06D2">
        <w:rPr>
          <w:rFonts w:hint="cs"/>
          <w:rtl/>
        </w:rPr>
        <w:t xml:space="preserve">أيضاً </w:t>
      </w:r>
      <w:r w:rsidRPr="004D06D2">
        <w:rPr>
          <w:rtl/>
        </w:rPr>
        <w:t>في أسباب رفضها ذلك، التي تبدو تعسفية وغير قانونية، وتشكل انتهاكاً للعهد</w:t>
      </w:r>
      <w:r w:rsidRPr="004D06D2">
        <w:rPr>
          <w:rFonts w:hint="cs"/>
          <w:rtl/>
        </w:rPr>
        <w:t xml:space="preserve">. </w:t>
      </w:r>
      <w:r w:rsidRPr="004D06D2">
        <w:rPr>
          <w:rtl/>
        </w:rPr>
        <w:t xml:space="preserve">ويدعي أن الدولة الطرف لم تأخذ في الاعتبار </w:t>
      </w:r>
      <w:r w:rsidR="00AF7970" w:rsidRPr="004D06D2">
        <w:rPr>
          <w:rtl/>
        </w:rPr>
        <w:t>لا</w:t>
      </w:r>
      <w:r w:rsidR="00AF7970">
        <w:rPr>
          <w:rFonts w:hint="cs"/>
          <w:rtl/>
        </w:rPr>
        <w:t> </w:t>
      </w:r>
      <w:r w:rsidRPr="004D06D2">
        <w:rPr>
          <w:rtl/>
        </w:rPr>
        <w:t>أصله الإثني ولغته الأصلية وتقاليده الوطنية، ولا رغبته في اختيار اسمه وتغييره بما يتوافق مع تهجئة الاسم العائلي لأفراد أسرته</w:t>
      </w:r>
      <w:r w:rsidRPr="004D06D2">
        <w:rPr>
          <w:rFonts w:hint="cs"/>
          <w:rtl/>
        </w:rPr>
        <w:t xml:space="preserve">. </w:t>
      </w:r>
      <w:r w:rsidRPr="004D06D2">
        <w:rPr>
          <w:rtl/>
        </w:rPr>
        <w:t>ويخلص صاحب البلاغ إلى أنه يمكن بالتالي اعتبار إجراءات الدولة الطرف إخلالاً بالتزاماتها بموجب المادتين 17 و27 من العهد</w:t>
      </w:r>
      <w:r w:rsidRPr="004D06D2">
        <w:rPr>
          <w:rFonts w:hint="cs"/>
          <w:rtl/>
        </w:rPr>
        <w:t>.</w:t>
      </w:r>
    </w:p>
    <w:p w:rsidR="004D06D2" w:rsidRPr="004D06D2" w:rsidRDefault="004D06D2" w:rsidP="004D06D2">
      <w:pPr>
        <w:pStyle w:val="H23GA"/>
        <w:rPr>
          <w:rtl/>
        </w:rPr>
      </w:pPr>
      <w:r w:rsidRPr="004D06D2">
        <w:rPr>
          <w:rtl/>
        </w:rPr>
        <w:tab/>
      </w:r>
      <w:r w:rsidRPr="004D06D2">
        <w:rPr>
          <w:rtl/>
        </w:rPr>
        <w:tab/>
        <w:t>المسائل والإجراءات المعروضة على اللجنة</w:t>
      </w:r>
    </w:p>
    <w:p w:rsidR="004D06D2" w:rsidRPr="004D06D2" w:rsidRDefault="004D06D2" w:rsidP="004D06D2">
      <w:pPr>
        <w:pStyle w:val="H4GA"/>
        <w:rPr>
          <w:rtl/>
        </w:rPr>
      </w:pPr>
      <w:r w:rsidRPr="004D06D2">
        <w:rPr>
          <w:rtl/>
        </w:rPr>
        <w:tab/>
      </w:r>
      <w:r w:rsidRPr="004D06D2">
        <w:rPr>
          <w:rtl/>
        </w:rPr>
        <w:tab/>
        <w:t>النظر في المقبولية</w:t>
      </w:r>
    </w:p>
    <w:p w:rsidR="004D06D2" w:rsidRPr="004D06D2" w:rsidRDefault="004D06D2" w:rsidP="004D06D2">
      <w:pPr>
        <w:pStyle w:val="SingleTxtGA"/>
        <w:rPr>
          <w:rtl/>
        </w:rPr>
      </w:pPr>
      <w:r w:rsidRPr="004D06D2">
        <w:rPr>
          <w:rFonts w:hint="cs"/>
          <w:rtl/>
        </w:rPr>
        <w:t>6</w:t>
      </w:r>
      <w:r w:rsidRPr="004D06D2">
        <w:rPr>
          <w:rtl/>
        </w:rPr>
        <w:t>-</w:t>
      </w:r>
      <w:r w:rsidRPr="004D06D2">
        <w:rPr>
          <w:rFonts w:hint="cs"/>
          <w:rtl/>
        </w:rPr>
        <w:t>1</w:t>
      </w:r>
      <w:r w:rsidRPr="004D06D2">
        <w:rPr>
          <w:rtl/>
        </w:rPr>
        <w:tab/>
        <w:t xml:space="preserve">قبل النظر في أي ادعاء يرد في بلاغ ما، يجب على اللجنة أن تقرر، وفقاً </w:t>
      </w:r>
      <w:r w:rsidRPr="004D06D2">
        <w:rPr>
          <w:rFonts w:hint="cs"/>
          <w:rtl/>
        </w:rPr>
        <w:t>ل</w:t>
      </w:r>
      <w:r w:rsidRPr="004D06D2">
        <w:rPr>
          <w:rtl/>
        </w:rPr>
        <w:t>لمادة 9</w:t>
      </w:r>
      <w:r w:rsidRPr="004D06D2">
        <w:rPr>
          <w:rFonts w:hint="cs"/>
          <w:rtl/>
        </w:rPr>
        <w:t>7</w:t>
      </w:r>
      <w:r w:rsidRPr="004D06D2">
        <w:rPr>
          <w:rtl/>
        </w:rPr>
        <w:t xml:space="preserve"> من نظامها الداخلي، ما إذا كان البلاغ مقبولاً أم لا بموجب البروتوكول الاختياري.</w:t>
      </w:r>
    </w:p>
    <w:p w:rsidR="004D06D2" w:rsidRPr="004D06D2" w:rsidRDefault="004D06D2" w:rsidP="004D06D2">
      <w:pPr>
        <w:pStyle w:val="SingleTxtGA"/>
        <w:rPr>
          <w:rtl/>
          <w:lang w:bidi="ar-DZ"/>
        </w:rPr>
      </w:pPr>
      <w:r w:rsidRPr="004D06D2">
        <w:rPr>
          <w:rFonts w:hint="cs"/>
          <w:rtl/>
        </w:rPr>
        <w:t>6</w:t>
      </w:r>
      <w:r w:rsidRPr="004D06D2">
        <w:rPr>
          <w:rtl/>
        </w:rPr>
        <w:t>-</w:t>
      </w:r>
      <w:r w:rsidRPr="004D06D2">
        <w:rPr>
          <w:rFonts w:hint="cs"/>
          <w:rtl/>
        </w:rPr>
        <w:t>2</w:t>
      </w:r>
      <w:r w:rsidRPr="004D06D2">
        <w:rPr>
          <w:rtl/>
        </w:rPr>
        <w:tab/>
        <w:t>وقد تحققت اللجنة، وفقاً لما تقتضيه الفقرة 2(أ) من المادة 5 من البروتوكول الاختياري، من أن المسألة نفسها ليست قيد ال</w:t>
      </w:r>
      <w:r w:rsidRPr="004D06D2">
        <w:rPr>
          <w:rFonts w:hint="cs"/>
          <w:rtl/>
        </w:rPr>
        <w:t>نظر</w:t>
      </w:r>
      <w:r w:rsidRPr="004D06D2">
        <w:rPr>
          <w:rtl/>
        </w:rPr>
        <w:t xml:space="preserve"> في إطار إجراء آخر من إجراءات التحقيق الدولي أو</w:t>
      </w:r>
      <w:r w:rsidRPr="004D06D2">
        <w:rPr>
          <w:rFonts w:hint="cs"/>
          <w:rtl/>
        </w:rPr>
        <w:t> </w:t>
      </w:r>
      <w:r w:rsidRPr="004D06D2">
        <w:rPr>
          <w:rtl/>
        </w:rPr>
        <w:t>التسوية الدولية.</w:t>
      </w:r>
    </w:p>
    <w:p w:rsidR="004D06D2" w:rsidRPr="004D06D2" w:rsidRDefault="004D06D2" w:rsidP="004D06D2">
      <w:pPr>
        <w:pStyle w:val="SingleTxtGA"/>
        <w:rPr>
          <w:rtl/>
        </w:rPr>
      </w:pPr>
      <w:r w:rsidRPr="004D06D2">
        <w:rPr>
          <w:rFonts w:hint="cs"/>
          <w:rtl/>
        </w:rPr>
        <w:t>6</w:t>
      </w:r>
      <w:r w:rsidRPr="004D06D2">
        <w:rPr>
          <w:rtl/>
        </w:rPr>
        <w:t>-</w:t>
      </w:r>
      <w:r w:rsidRPr="004D06D2">
        <w:rPr>
          <w:rFonts w:hint="cs"/>
          <w:rtl/>
        </w:rPr>
        <w:t>3</w:t>
      </w:r>
      <w:r w:rsidRPr="004D06D2">
        <w:rPr>
          <w:rtl/>
        </w:rPr>
        <w:tab/>
        <w:t>وتحيط اللجنة علماً بادعاء صاحب البلاغ أنه استنفد جميع سبل الانتصاف المحلية المتاحة له</w:t>
      </w:r>
      <w:r w:rsidRPr="004D06D2">
        <w:rPr>
          <w:rFonts w:hint="cs"/>
          <w:rtl/>
        </w:rPr>
        <w:t xml:space="preserve">. </w:t>
      </w:r>
      <w:r w:rsidRPr="004D06D2">
        <w:rPr>
          <w:rtl/>
        </w:rPr>
        <w:t>وفي غياب أي اعتراض من الدولة الطرف في هذا الصدد، ترى اللجنة أن مقتضيات المادة 5(2)(ب) من البروتوكول الاختياري قد استوفيت لأغراض المقبولية</w:t>
      </w:r>
      <w:r w:rsidRPr="004D06D2">
        <w:rPr>
          <w:rFonts w:hint="cs"/>
          <w:rtl/>
        </w:rPr>
        <w:t>.</w:t>
      </w:r>
    </w:p>
    <w:p w:rsidR="004D06D2" w:rsidRPr="004D06D2" w:rsidRDefault="004D06D2" w:rsidP="003A433E">
      <w:pPr>
        <w:pStyle w:val="SingleTxtGA"/>
        <w:rPr>
          <w:rtl/>
        </w:rPr>
      </w:pPr>
      <w:r w:rsidRPr="004D06D2">
        <w:rPr>
          <w:rFonts w:hint="cs"/>
          <w:rtl/>
        </w:rPr>
        <w:t>6-4</w:t>
      </w:r>
      <w:r w:rsidRPr="004D06D2">
        <w:rPr>
          <w:rtl/>
        </w:rPr>
        <w:tab/>
        <w:t xml:space="preserve">وتحيط اللجنة علماً بادعاء صاحب البلاغ أن نقل اسمه الشخصي والعائلي </w:t>
      </w:r>
      <w:r w:rsidRPr="004D06D2">
        <w:rPr>
          <w:rFonts w:hint="cs"/>
          <w:rtl/>
        </w:rPr>
        <w:t xml:space="preserve">بالأحرف اللاتينية </w:t>
      </w:r>
      <w:r w:rsidRPr="004D06D2">
        <w:rPr>
          <w:rtl/>
        </w:rPr>
        <w:t xml:space="preserve">في جواز سفره الدولي من اللغة الأوكرانية </w:t>
      </w:r>
      <w:r w:rsidRPr="004D06D2">
        <w:rPr>
          <w:rFonts w:hint="cs"/>
          <w:rtl/>
        </w:rPr>
        <w:t xml:space="preserve">عوض </w:t>
      </w:r>
      <w:r w:rsidRPr="004D06D2">
        <w:rPr>
          <w:rtl/>
        </w:rPr>
        <w:t>الروسية فيه انتهاك للمادتين 17 و27 من العهد</w:t>
      </w:r>
      <w:r w:rsidRPr="004D06D2">
        <w:rPr>
          <w:rFonts w:hint="cs"/>
          <w:rtl/>
        </w:rPr>
        <w:t xml:space="preserve">. </w:t>
      </w:r>
      <w:r w:rsidRPr="004D06D2">
        <w:rPr>
          <w:rtl/>
        </w:rPr>
        <w:t>وتحيط اللجنة علماً أيضاً بتأكيد الدولة الطرف أن السلطات تقيدت بالقواعد اللغوية لنقل الأحرف بين اللغات، وفقاً للتشريعات المحلية، مع مراعاة مقتضيات وثائق السفر المقروءة آليا</w:t>
      </w:r>
      <w:r w:rsidRPr="004D06D2">
        <w:rPr>
          <w:rFonts w:hint="cs"/>
          <w:rtl/>
        </w:rPr>
        <w:t>ً</w:t>
      </w:r>
      <w:r w:rsidRPr="004D06D2">
        <w:rPr>
          <w:rtl/>
        </w:rPr>
        <w:t xml:space="preserve"> التي تصدرها الدولة الطرف لمواطنيها</w:t>
      </w:r>
      <w:r w:rsidRPr="004D06D2">
        <w:rPr>
          <w:rFonts w:hint="cs"/>
          <w:rtl/>
        </w:rPr>
        <w:t xml:space="preserve">. </w:t>
      </w:r>
      <w:r w:rsidRPr="004D06D2">
        <w:rPr>
          <w:rtl/>
        </w:rPr>
        <w:t>وتلاحظ اللجنة كذلك أن اسم صاحب البلاغ كُتب باللغتين الأوكرانية والروسية معاً في وثيقة هويته المحلية الرئيسية، أي جواز سفره المحلي</w:t>
      </w:r>
      <w:r w:rsidRPr="004D06D2">
        <w:rPr>
          <w:rFonts w:hint="cs"/>
          <w:rtl/>
        </w:rPr>
        <w:t xml:space="preserve">. </w:t>
      </w:r>
      <w:r w:rsidRPr="004D06D2">
        <w:rPr>
          <w:rtl/>
        </w:rPr>
        <w:t xml:space="preserve">وتلاحظ اللجنة أيضاً أن صاحب البلاغ ادعى في رسالته الأولى أنه كان ينبغي تهجئة اسمه العائلي </w:t>
      </w:r>
      <w:r w:rsidR="003A433E" w:rsidRPr="003A433E">
        <w:rPr>
          <w:lang w:val="en-GB"/>
        </w:rPr>
        <w:t>Moiseyenko</w:t>
      </w:r>
      <w:r w:rsidRPr="004D06D2">
        <w:rPr>
          <w:rtl/>
        </w:rPr>
        <w:t xml:space="preserve"> بصيغته المنقولة</w:t>
      </w:r>
      <w:r w:rsidRPr="004D06D2">
        <w:rPr>
          <w:rFonts w:hint="cs"/>
          <w:rtl/>
        </w:rPr>
        <w:t xml:space="preserve"> من الروسية</w:t>
      </w:r>
      <w:r w:rsidRPr="004D06D2">
        <w:rPr>
          <w:rtl/>
        </w:rPr>
        <w:t>، في حين لم يتمسك بهذا الجزء من ادعاءاته في تعليقاته اللاحقة ووافق على تهجئة اسمه العائلي وفقاً لجدول نقل الأحرف بين اللغات الذي أوصت به الدولة الطرف</w:t>
      </w:r>
      <w:r w:rsidRPr="004D06D2">
        <w:rPr>
          <w:rFonts w:hint="cs"/>
          <w:rtl/>
        </w:rPr>
        <w:t xml:space="preserve">. </w:t>
      </w:r>
      <w:r w:rsidRPr="004D06D2">
        <w:rPr>
          <w:rtl/>
        </w:rPr>
        <w:t>ولعدم و</w:t>
      </w:r>
      <w:r w:rsidRPr="004D06D2">
        <w:rPr>
          <w:rFonts w:hint="cs"/>
          <w:rtl/>
        </w:rPr>
        <w:t>ر</w:t>
      </w:r>
      <w:r w:rsidRPr="004D06D2">
        <w:rPr>
          <w:rtl/>
        </w:rPr>
        <w:t xml:space="preserve">ود أي معلومات أخرى ذات صلة في ملف القضية، ولا سيما حجج محددة على أوجه مساس الدولة الطرف على نحو تعسفي وغير قانوني بحقوق صاحب البلاغ المكفولة بموجب المادتين 17 و27 </w:t>
      </w:r>
      <w:r w:rsidRPr="004D06D2">
        <w:rPr>
          <w:rFonts w:hint="cs"/>
          <w:rtl/>
        </w:rPr>
        <w:t xml:space="preserve">من العهد </w:t>
      </w:r>
      <w:r w:rsidRPr="004D06D2">
        <w:rPr>
          <w:rtl/>
        </w:rPr>
        <w:t xml:space="preserve">وعلى أوجه تضرر </w:t>
      </w:r>
      <w:r w:rsidRPr="004D06D2">
        <w:rPr>
          <w:rtl/>
        </w:rPr>
        <w:lastRenderedPageBreak/>
        <w:t>صاحب البلاغ بنقل اسمه الشخصي إلى الأ</w:t>
      </w:r>
      <w:r w:rsidRPr="004D06D2">
        <w:rPr>
          <w:rFonts w:hint="cs"/>
          <w:rtl/>
        </w:rPr>
        <w:t>حرف</w:t>
      </w:r>
      <w:r w:rsidRPr="004D06D2">
        <w:rPr>
          <w:rtl/>
        </w:rPr>
        <w:t xml:space="preserve"> اللاتينية من الأوكرانية في جواز سفره الدولي بسبب القواعد اللغوية المتبعة في نقل الأحرف بين اللغات لدى إصدار جوازات السفر الدولية الأوكرانية طبقاً للتشريعات المحلية، فإن اللجنة ترى أن البلاغ لم يُدعم بما يكفي من الأدلة وليس بالتالي مقبولاً بموجب المادة 2 من البروتوكول الاختياري</w:t>
      </w:r>
      <w:r w:rsidRPr="004D06D2">
        <w:rPr>
          <w:rFonts w:hint="cs"/>
          <w:rtl/>
        </w:rPr>
        <w:t>.</w:t>
      </w:r>
    </w:p>
    <w:p w:rsidR="004D06D2" w:rsidRPr="004D06D2" w:rsidRDefault="004D06D2" w:rsidP="004D06D2">
      <w:pPr>
        <w:pStyle w:val="SingleTxtGA"/>
        <w:rPr>
          <w:rtl/>
        </w:rPr>
      </w:pPr>
      <w:r w:rsidRPr="004D06D2">
        <w:rPr>
          <w:rFonts w:hint="cs"/>
          <w:rtl/>
        </w:rPr>
        <w:t>7</w:t>
      </w:r>
      <w:r w:rsidRPr="004D06D2">
        <w:rPr>
          <w:rtl/>
        </w:rPr>
        <w:t>-</w:t>
      </w:r>
      <w:r w:rsidRPr="004D06D2">
        <w:rPr>
          <w:rtl/>
        </w:rPr>
        <w:tab/>
        <w:t>وبناءً عليه، تقرر اللجنة ما يلي:</w:t>
      </w:r>
    </w:p>
    <w:p w:rsidR="004D06D2" w:rsidRPr="004D06D2" w:rsidRDefault="004D06D2" w:rsidP="004D06D2">
      <w:pPr>
        <w:pStyle w:val="SingleTxtGA"/>
        <w:rPr>
          <w:rtl/>
        </w:rPr>
      </w:pPr>
      <w:r w:rsidRPr="004D06D2">
        <w:rPr>
          <w:rtl/>
        </w:rPr>
        <w:tab/>
      </w:r>
      <w:r w:rsidRPr="004D06D2">
        <w:rPr>
          <w:rFonts w:hint="cs"/>
          <w:rtl/>
        </w:rPr>
        <w:t>(أ)</w:t>
      </w:r>
      <w:r w:rsidRPr="004D06D2">
        <w:rPr>
          <w:rtl/>
        </w:rPr>
        <w:tab/>
        <w:t>عدم قبول البلاغ بموجب المادة 2 من البروتوكول الاختياري</w:t>
      </w:r>
      <w:r w:rsidRPr="004D06D2">
        <w:rPr>
          <w:rFonts w:hint="cs"/>
          <w:rtl/>
        </w:rPr>
        <w:t>؛</w:t>
      </w:r>
    </w:p>
    <w:p w:rsidR="004D06D2" w:rsidRPr="004D06D2" w:rsidRDefault="004D06D2" w:rsidP="004D06D2">
      <w:pPr>
        <w:pStyle w:val="SingleTxtGA"/>
        <w:rPr>
          <w:rtl/>
        </w:rPr>
      </w:pPr>
      <w:r w:rsidRPr="004D06D2">
        <w:rPr>
          <w:rtl/>
        </w:rPr>
        <w:tab/>
      </w:r>
      <w:r w:rsidRPr="004D06D2">
        <w:rPr>
          <w:rFonts w:hint="cs"/>
          <w:rtl/>
        </w:rPr>
        <w:t>(ب)</w:t>
      </w:r>
      <w:r w:rsidRPr="004D06D2">
        <w:rPr>
          <w:rtl/>
        </w:rPr>
        <w:tab/>
        <w:t>إحالة هذا القرار إلى الدولة الطرف وصاحب البلاغ</w:t>
      </w:r>
      <w:r w:rsidRPr="004D06D2">
        <w:rPr>
          <w:rFonts w:hint="cs"/>
          <w:rtl/>
        </w:rPr>
        <w:t>.</w:t>
      </w:r>
    </w:p>
    <w:p w:rsidR="00B54045" w:rsidRPr="004D06D2" w:rsidRDefault="004D06D2" w:rsidP="004D06D2">
      <w:pPr>
        <w:spacing w:before="120"/>
        <w:jc w:val="center"/>
        <w:rPr>
          <w:u w:val="single"/>
          <w:rtl/>
        </w:rPr>
      </w:pPr>
      <w:r>
        <w:rPr>
          <w:u w:val="single"/>
          <w:rtl/>
        </w:rPr>
        <w:tab/>
      </w:r>
      <w:r>
        <w:rPr>
          <w:u w:val="single"/>
          <w:rtl/>
        </w:rPr>
        <w:tab/>
      </w:r>
      <w:r>
        <w:rPr>
          <w:u w:val="single"/>
          <w:rtl/>
        </w:rPr>
        <w:tab/>
      </w:r>
    </w:p>
    <w:sectPr w:rsidR="00B54045" w:rsidRPr="004D06D2" w:rsidSect="001F01D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0B" w:rsidRPr="002901D9" w:rsidRDefault="004D1F0B" w:rsidP="002901D9">
      <w:pPr>
        <w:spacing w:after="60" w:line="240" w:lineRule="auto"/>
        <w:rPr>
          <w:i/>
          <w:iCs/>
        </w:rPr>
      </w:pPr>
      <w:r>
        <w:rPr>
          <w:rFonts w:hint="cs"/>
          <w:i/>
          <w:iCs/>
          <w:rtl/>
        </w:rPr>
        <w:t>الحواشي</w:t>
      </w:r>
    </w:p>
  </w:endnote>
  <w:endnote w:type="continuationSeparator" w:id="0">
    <w:p w:rsidR="004D1F0B" w:rsidRDefault="004D1F0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D7" w:rsidRPr="004D06D2" w:rsidRDefault="004D06D2" w:rsidP="004D06D2">
    <w:pPr>
      <w:pStyle w:val="Footer"/>
      <w:tabs>
        <w:tab w:val="right" w:pos="9598"/>
      </w:tabs>
      <w:rPr>
        <w:sz w:val="17"/>
      </w:rPr>
    </w:pPr>
    <w:r>
      <w:rPr>
        <w:sz w:val="17"/>
      </w:rPr>
      <w:t>GE.19-21030</w:t>
    </w:r>
    <w:r>
      <w:rPr>
        <w:sz w:val="17"/>
      </w:rPr>
      <w:tab/>
    </w:r>
    <w:r w:rsidRPr="004D06D2">
      <w:rPr>
        <w:b/>
        <w:sz w:val="18"/>
      </w:rPr>
      <w:fldChar w:fldCharType="begin"/>
    </w:r>
    <w:r w:rsidRPr="004D06D2">
      <w:rPr>
        <w:b/>
        <w:sz w:val="18"/>
      </w:rPr>
      <w:instrText xml:space="preserve"> PAGE  \* MERGEFORMAT </w:instrText>
    </w:r>
    <w:r w:rsidRPr="004D06D2">
      <w:rPr>
        <w:b/>
        <w:sz w:val="18"/>
      </w:rPr>
      <w:fldChar w:fldCharType="separate"/>
    </w:r>
    <w:r w:rsidR="00E93DC0">
      <w:rPr>
        <w:b/>
        <w:noProof/>
        <w:sz w:val="18"/>
      </w:rPr>
      <w:t>2</w:t>
    </w:r>
    <w:r w:rsidRPr="004D06D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D06D2" w:rsidRDefault="004D06D2" w:rsidP="006959B0">
    <w:pPr>
      <w:pStyle w:val="Footer"/>
      <w:tabs>
        <w:tab w:val="right" w:pos="9599"/>
      </w:tabs>
      <w:jc w:val="left"/>
      <w:rPr>
        <w:b/>
        <w:sz w:val="18"/>
        <w:lang w:val="en-US"/>
      </w:rPr>
    </w:pPr>
    <w:r w:rsidRPr="004D06D2">
      <w:rPr>
        <w:b/>
        <w:sz w:val="18"/>
        <w:lang w:val="en-US"/>
      </w:rPr>
      <w:fldChar w:fldCharType="begin"/>
    </w:r>
    <w:r w:rsidRPr="004D06D2">
      <w:rPr>
        <w:b/>
        <w:sz w:val="18"/>
        <w:lang w:val="en-US"/>
      </w:rPr>
      <w:instrText xml:space="preserve"> PAGE  \* MERGEFORMAT </w:instrText>
    </w:r>
    <w:r w:rsidRPr="004D06D2">
      <w:rPr>
        <w:b/>
        <w:sz w:val="18"/>
        <w:lang w:val="en-US"/>
      </w:rPr>
      <w:fldChar w:fldCharType="separate"/>
    </w:r>
    <w:r w:rsidR="00E93DC0">
      <w:rPr>
        <w:b/>
        <w:noProof/>
        <w:sz w:val="18"/>
        <w:lang w:val="en-US"/>
      </w:rPr>
      <w:t>7</w:t>
    </w:r>
    <w:r w:rsidRPr="004D06D2">
      <w:rPr>
        <w:b/>
        <w:sz w:val="18"/>
        <w:lang w:val="en-US"/>
      </w:rPr>
      <w:fldChar w:fldCharType="end"/>
    </w:r>
    <w:r>
      <w:rPr>
        <w:b/>
        <w:sz w:val="18"/>
        <w:lang w:val="en-US"/>
      </w:rPr>
      <w:tab/>
    </w:r>
    <w:r>
      <w:rPr>
        <w:sz w:val="17"/>
        <w:lang w:val="en-US"/>
      </w:rPr>
      <w:t>GE.19-21030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1F01D7" w:rsidP="00982139">
    <w:pPr>
      <w:pStyle w:val="Footer"/>
      <w:spacing w:before="360"/>
      <w:jc w:val="right"/>
      <w:rPr>
        <w:sz w:val="20"/>
        <w:szCs w:val="20"/>
      </w:rPr>
    </w:pPr>
    <w:r>
      <w:rPr>
        <w:sz w:val="20"/>
        <w:szCs w:val="20"/>
      </w:rPr>
      <w:t>GE.19-21030</w:t>
    </w:r>
    <w:r w:rsidR="00DE50B1">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F01D7" w:rsidRPr="001F01D7" w:rsidRDefault="001F01D7" w:rsidP="001F01D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0B" w:rsidRPr="000437B8" w:rsidRDefault="004D1F0B" w:rsidP="00C84DCB">
      <w:pPr>
        <w:pStyle w:val="Footer"/>
        <w:bidi/>
        <w:spacing w:after="80" w:line="200" w:lineRule="exact"/>
        <w:ind w:left="680"/>
      </w:pPr>
      <w:r>
        <w:rPr>
          <w:rtl/>
        </w:rPr>
        <w:t>__________</w:t>
      </w:r>
    </w:p>
  </w:footnote>
  <w:footnote w:type="continuationSeparator" w:id="0">
    <w:p w:rsidR="004D1F0B" w:rsidRDefault="004D1F0B" w:rsidP="00656392">
      <w:pPr>
        <w:spacing w:line="240" w:lineRule="auto"/>
      </w:pPr>
      <w:r>
        <w:continuationSeparator/>
      </w:r>
    </w:p>
  </w:footnote>
  <w:footnote w:id="1">
    <w:p w:rsidR="00AF7970" w:rsidRPr="00AF7970" w:rsidRDefault="00AF7970" w:rsidP="00AF7970">
      <w:pPr>
        <w:pStyle w:val="FootnoteText1"/>
        <w:rPr>
          <w:rtl/>
        </w:rPr>
      </w:pPr>
      <w:r>
        <w:rPr>
          <w:rtl/>
        </w:rPr>
        <w:t>*</w:t>
      </w:r>
      <w:r>
        <w:rPr>
          <w:rtl/>
        </w:rPr>
        <w:tab/>
      </w:r>
      <w:r w:rsidRPr="00AF7970">
        <w:rPr>
          <w:rtl/>
        </w:rPr>
        <w:t>اعتمدته اللجنة في دورتها 127 (14 تشرين الأول/أكتوبر - 8 تشرين الثاني/نوفمبر 2019).</w:t>
      </w:r>
    </w:p>
  </w:footnote>
  <w:footnote w:id="2">
    <w:p w:rsidR="00AF7970" w:rsidRPr="00AF7970" w:rsidRDefault="00AF7970" w:rsidP="00AF7970">
      <w:pPr>
        <w:pStyle w:val="FootnoteText1"/>
        <w:rPr>
          <w:rtl/>
        </w:rPr>
      </w:pPr>
      <w:r>
        <w:rPr>
          <w:rtl/>
        </w:rPr>
        <w:t>**</w:t>
      </w:r>
      <w:r>
        <w:rPr>
          <w:rtl/>
        </w:rPr>
        <w:tab/>
      </w:r>
      <w:r w:rsidRPr="00AF7970">
        <w:rPr>
          <w:rtl/>
        </w:rPr>
        <w:t>شارك في دراسة هذا البلاغ أعضاء اللجنة التالية أسماؤهم: فوتيني بازارتزيس، وإيلزه براندس كهريس، وعياض بن عاشور، وآريف بولكان، وإيلين تيغرودجا، وخوسيه مانويل</w:t>
      </w:r>
      <w:r>
        <w:rPr>
          <w:rFonts w:hint="cs"/>
          <w:rtl/>
        </w:rPr>
        <w:t xml:space="preserve"> </w:t>
      </w:r>
      <w:r w:rsidRPr="00AF7970">
        <w:rPr>
          <w:rtl/>
        </w:rPr>
        <w:t>سانتوس بايس، وفاسيلكا سانسين، ويوفال شاني، وتانيا ماريا عبده روتشول، وأحمد أمين فتح الله، وشويتشي فورويا، ومارسيا ف. ج. كران، وباماريام كويتا، وهيرنان</w:t>
      </w:r>
      <w:r>
        <w:rPr>
          <w:rFonts w:hint="cs"/>
          <w:rtl/>
        </w:rPr>
        <w:t xml:space="preserve"> </w:t>
      </w:r>
      <w:r w:rsidRPr="00AF7970">
        <w:rPr>
          <w:rtl/>
        </w:rPr>
        <w:t>كيسادا كابريرا، ودونكان لاكي موهوموزا، وكريستوف هينز.</w:t>
      </w:r>
    </w:p>
  </w:footnote>
  <w:footnote w:id="3">
    <w:p w:rsidR="00F478C7" w:rsidRPr="00F478C7" w:rsidRDefault="00F478C7" w:rsidP="00F478C7">
      <w:pPr>
        <w:pStyle w:val="FootnoteText1"/>
      </w:pPr>
      <w:r w:rsidRPr="00F478C7">
        <w:rPr>
          <w:b/>
          <w:rtl/>
        </w:rPr>
        <w:t>(</w:t>
      </w:r>
      <w:r w:rsidRPr="00F478C7">
        <w:rPr>
          <w:b/>
          <w:rtl/>
        </w:rPr>
        <w:footnoteRef/>
      </w:r>
      <w:r w:rsidRPr="00F478C7">
        <w:rPr>
          <w:b/>
          <w:rtl/>
        </w:rPr>
        <w:t>)</w:t>
      </w:r>
      <w:r w:rsidR="00F91927">
        <w:rPr>
          <w:rtl/>
        </w:rPr>
        <w:tab/>
      </w:r>
      <w:r w:rsidRPr="00F478C7">
        <w:rPr>
          <w:rtl/>
        </w:rPr>
        <w:t>أصدرتها حينئذ سلطات اتحاد الجمهوريات الاشتراكية السوفياتية</w:t>
      </w:r>
      <w:r w:rsidRPr="00F478C7">
        <w:rPr>
          <w:rFonts w:hint="cs"/>
          <w:rtl/>
        </w:rPr>
        <w:t>.</w:t>
      </w:r>
    </w:p>
  </w:footnote>
  <w:footnote w:id="4">
    <w:p w:rsidR="00F478C7" w:rsidRPr="00F478C7" w:rsidRDefault="00F478C7" w:rsidP="00F478C7">
      <w:pPr>
        <w:pStyle w:val="FootnoteText1"/>
        <w:rPr>
          <w:rtl/>
        </w:rPr>
      </w:pPr>
      <w:r w:rsidRPr="00F478C7">
        <w:rPr>
          <w:b/>
          <w:rtl/>
        </w:rPr>
        <w:t>(</w:t>
      </w:r>
      <w:r w:rsidRPr="00F478C7">
        <w:rPr>
          <w:b/>
          <w:rtl/>
        </w:rPr>
        <w:footnoteRef/>
      </w:r>
      <w:r w:rsidRPr="00F478C7">
        <w:rPr>
          <w:b/>
          <w:rtl/>
        </w:rPr>
        <w:t>)</w:t>
      </w:r>
      <w:r w:rsidR="00F91927">
        <w:rPr>
          <w:rtl/>
        </w:rPr>
        <w:tab/>
      </w:r>
      <w:r w:rsidRPr="00F478C7">
        <w:rPr>
          <w:rtl/>
        </w:rPr>
        <w:t>لم يقبل صاحب البلاغ أيضاً صيغة نقل اسمه باللاتينية نظراً لغموضها: فلا تبيِّن اللغة التي كُتِب بها</w:t>
      </w:r>
      <w:r w:rsidRPr="00F478C7">
        <w:rPr>
          <w:rFonts w:hint="cs"/>
          <w:rtl/>
        </w:rPr>
        <w:t xml:space="preserve"> اسمه</w:t>
      </w:r>
      <w:r w:rsidRPr="00F478C7">
        <w:rPr>
          <w:rtl/>
        </w:rPr>
        <w:t>، ولا</w:t>
      </w:r>
      <w:r w:rsidR="00E3696F">
        <w:rPr>
          <w:rFonts w:hint="cs"/>
          <w:rtl/>
        </w:rPr>
        <w:t> </w:t>
      </w:r>
      <w:r w:rsidRPr="00F478C7">
        <w:rPr>
          <w:rtl/>
        </w:rPr>
        <w:t>طريقة تهجئته، ولا إن كان اسم ذكر أم أنثى، ولا إن</w:t>
      </w:r>
      <w:r w:rsidRPr="00F478C7">
        <w:rPr>
          <w:rFonts w:hint="cs"/>
          <w:rtl/>
        </w:rPr>
        <w:t xml:space="preserve"> </w:t>
      </w:r>
      <w:r w:rsidRPr="00F478C7">
        <w:rPr>
          <w:rtl/>
        </w:rPr>
        <w:t>كان استخدامه كاسم مقبولاً.</w:t>
      </w:r>
    </w:p>
  </w:footnote>
  <w:footnote w:id="5">
    <w:p w:rsidR="00F478C7" w:rsidRPr="00F478C7" w:rsidRDefault="00F478C7" w:rsidP="00F478C7">
      <w:pPr>
        <w:pStyle w:val="FootnoteText1"/>
        <w:rPr>
          <w:rtl/>
        </w:rPr>
      </w:pPr>
      <w:r w:rsidRPr="00F478C7">
        <w:rPr>
          <w:b/>
          <w:rtl/>
        </w:rPr>
        <w:t>(</w:t>
      </w:r>
      <w:r w:rsidRPr="00F478C7">
        <w:rPr>
          <w:b/>
          <w:rtl/>
        </w:rPr>
        <w:footnoteRef/>
      </w:r>
      <w:r w:rsidRPr="00F478C7">
        <w:rPr>
          <w:b/>
          <w:rtl/>
        </w:rPr>
        <w:t>)</w:t>
      </w:r>
      <w:r w:rsidR="00F91927">
        <w:rPr>
          <w:rtl/>
        </w:rPr>
        <w:tab/>
      </w:r>
      <w:r w:rsidRPr="00F478C7">
        <w:rPr>
          <w:rtl/>
        </w:rPr>
        <w:t>تنص المادة 294 من القانون المدني الأوكراني على ما يلي (ترجمة غير رسمية):</w:t>
      </w:r>
    </w:p>
    <w:p w:rsidR="00F478C7" w:rsidRPr="00F478C7" w:rsidRDefault="00F91927" w:rsidP="00F91927">
      <w:pPr>
        <w:pStyle w:val="FootnoteText1"/>
        <w:ind w:firstLine="7"/>
        <w:rPr>
          <w:rtl/>
        </w:rPr>
      </w:pPr>
      <w:r>
        <w:rPr>
          <w:rFonts w:hint="cs"/>
          <w:rtl/>
        </w:rPr>
        <w:t>1-</w:t>
      </w:r>
      <w:r w:rsidR="00F478C7" w:rsidRPr="00F478C7">
        <w:rPr>
          <w:rtl/>
        </w:rPr>
        <w:tab/>
        <w:t xml:space="preserve">الحق في </w:t>
      </w:r>
      <w:r w:rsidR="00F478C7" w:rsidRPr="00F478C7">
        <w:rPr>
          <w:rFonts w:hint="cs"/>
          <w:rtl/>
        </w:rPr>
        <w:t>ال</w:t>
      </w:r>
      <w:r w:rsidR="00F478C7" w:rsidRPr="00F478C7">
        <w:rPr>
          <w:rtl/>
        </w:rPr>
        <w:t>اسم</w:t>
      </w:r>
    </w:p>
    <w:p w:rsidR="00F478C7" w:rsidRPr="00F478C7" w:rsidRDefault="00F91927" w:rsidP="00F91927">
      <w:pPr>
        <w:pStyle w:val="FootnoteText1"/>
        <w:ind w:firstLine="7"/>
        <w:rPr>
          <w:rtl/>
        </w:rPr>
      </w:pPr>
      <w:r>
        <w:rPr>
          <w:rFonts w:hint="cs"/>
          <w:rtl/>
        </w:rPr>
        <w:t>2-</w:t>
      </w:r>
      <w:r>
        <w:rPr>
          <w:rtl/>
        </w:rPr>
        <w:tab/>
      </w:r>
      <w:r w:rsidR="00F478C7" w:rsidRPr="00F478C7">
        <w:rPr>
          <w:rtl/>
        </w:rPr>
        <w:t>لكل شخص طبيعي الحق في اسم.</w:t>
      </w:r>
    </w:p>
    <w:p w:rsidR="00F478C7" w:rsidRPr="00F478C7" w:rsidRDefault="00F91927" w:rsidP="00F91927">
      <w:pPr>
        <w:pStyle w:val="FootnoteText1"/>
        <w:ind w:firstLine="7"/>
        <w:rPr>
          <w:rtl/>
        </w:rPr>
      </w:pPr>
      <w:r>
        <w:rPr>
          <w:rFonts w:hint="cs"/>
          <w:rtl/>
        </w:rPr>
        <w:t>3-</w:t>
      </w:r>
      <w:r>
        <w:rPr>
          <w:rtl/>
        </w:rPr>
        <w:tab/>
      </w:r>
      <w:r w:rsidR="00F478C7" w:rsidRPr="00F478C7">
        <w:rPr>
          <w:rtl/>
        </w:rPr>
        <w:t xml:space="preserve">ولكل شخص طبيعي الحق في تدوين اسمه الشخصي والعائلي في سجل </w:t>
      </w:r>
      <w:r w:rsidR="00F478C7" w:rsidRPr="00F478C7">
        <w:rPr>
          <w:rFonts w:hint="cs"/>
          <w:rtl/>
        </w:rPr>
        <w:t>خطي</w:t>
      </w:r>
      <w:r w:rsidR="00F478C7" w:rsidRPr="00F478C7">
        <w:rPr>
          <w:rtl/>
        </w:rPr>
        <w:t xml:space="preserve"> وفقاً لتقاليده الو</w:t>
      </w:r>
      <w:r w:rsidR="00F478C7" w:rsidRPr="00F478C7">
        <w:rPr>
          <w:rFonts w:hint="cs"/>
          <w:rtl/>
        </w:rPr>
        <w:t>طن</w:t>
      </w:r>
      <w:r w:rsidR="00F478C7" w:rsidRPr="00F478C7">
        <w:rPr>
          <w:rtl/>
        </w:rPr>
        <w:t>ية.</w:t>
      </w:r>
      <w:r>
        <w:rPr>
          <w:rFonts w:hint="cs"/>
          <w:rtl/>
        </w:rPr>
        <w:t xml:space="preserve"> </w:t>
      </w:r>
      <w:r w:rsidR="00F478C7" w:rsidRPr="00F478C7">
        <w:rPr>
          <w:rtl/>
        </w:rPr>
        <w:t>وينبغي تصويب اسم شخص طبيعي في حالة تحريفه. وإذا حصل هذا التحريف في وثيقة، وجب استبدالها.</w:t>
      </w:r>
    </w:p>
  </w:footnote>
  <w:footnote w:id="6">
    <w:p w:rsidR="00F478C7" w:rsidRPr="00F478C7" w:rsidRDefault="00F478C7" w:rsidP="00F478C7">
      <w:pPr>
        <w:pStyle w:val="FootnoteText1"/>
        <w:rPr>
          <w:rtl/>
        </w:rPr>
      </w:pPr>
      <w:r w:rsidRPr="00F478C7">
        <w:rPr>
          <w:b/>
          <w:rtl/>
        </w:rPr>
        <w:t>(</w:t>
      </w:r>
      <w:r w:rsidRPr="00F478C7">
        <w:rPr>
          <w:b/>
          <w:rtl/>
        </w:rPr>
        <w:footnoteRef/>
      </w:r>
      <w:r w:rsidRPr="00F478C7">
        <w:rPr>
          <w:b/>
          <w:rtl/>
        </w:rPr>
        <w:t>)</w:t>
      </w:r>
      <w:r w:rsidR="00F92E89">
        <w:rPr>
          <w:rtl/>
        </w:rPr>
        <w:tab/>
      </w:r>
      <w:r w:rsidRPr="00F478C7">
        <w:rPr>
          <w:rtl/>
        </w:rPr>
        <w:t>اللائحة التنظيمية رقم 231 الصادرة، في 31 آذار/مارس 1995، عن الإدارة العامة للجنسية والهجرة وتسجيل الأشخاص الطبيعيين التابعة لوزارة الداخلية الأوكرانية.</w:t>
      </w:r>
    </w:p>
  </w:footnote>
  <w:footnote w:id="7">
    <w:p w:rsidR="00F478C7" w:rsidRPr="00F478C7" w:rsidRDefault="00F478C7" w:rsidP="00F478C7">
      <w:pPr>
        <w:pStyle w:val="FootnoteText1"/>
        <w:rPr>
          <w:b/>
        </w:rPr>
      </w:pPr>
      <w:r w:rsidRPr="00F478C7">
        <w:rPr>
          <w:b/>
          <w:rtl/>
        </w:rPr>
        <w:t>(</w:t>
      </w:r>
      <w:r w:rsidRPr="00F478C7">
        <w:rPr>
          <w:b/>
          <w:rtl/>
        </w:rPr>
        <w:footnoteRef/>
      </w:r>
      <w:r w:rsidRPr="00F478C7">
        <w:rPr>
          <w:b/>
          <w:rtl/>
        </w:rPr>
        <w:t>)</w:t>
      </w:r>
      <w:r w:rsidR="00F92E89">
        <w:rPr>
          <w:b/>
          <w:rtl/>
        </w:rPr>
        <w:tab/>
      </w:r>
      <w:r w:rsidRPr="00F478C7">
        <w:rPr>
          <w:b/>
          <w:rtl/>
        </w:rPr>
        <w:t>استفسرت الأمانة عن هذه القضية لدى المحكمة الأوروبية لحقوق الإنسان</w:t>
      </w:r>
      <w:r w:rsidRPr="00F478C7">
        <w:rPr>
          <w:rFonts w:hint="cs"/>
          <w:rtl/>
        </w:rPr>
        <w:t xml:space="preserve">. </w:t>
      </w:r>
      <w:r w:rsidRPr="00F478C7">
        <w:rPr>
          <w:rtl/>
        </w:rPr>
        <w:t>ووفقاً للمعلومات الواردة من سجل المحكمة، في 18 كانون الثاني/يناير 2016، لم تقدَّم قط أي دعوى من هذا القبيل</w:t>
      </w:r>
      <w:r w:rsidRPr="00F478C7">
        <w:rPr>
          <w:rFonts w:hint="cs"/>
          <w:rtl/>
        </w:rPr>
        <w:t>.</w:t>
      </w:r>
    </w:p>
  </w:footnote>
  <w:footnote w:id="8">
    <w:p w:rsidR="00F478C7" w:rsidRPr="00F478C7" w:rsidRDefault="00F478C7" w:rsidP="00F478C7">
      <w:pPr>
        <w:pStyle w:val="FootnoteText1"/>
      </w:pPr>
      <w:r w:rsidRPr="00F478C7">
        <w:rPr>
          <w:b/>
          <w:rtl/>
        </w:rPr>
        <w:t>(</w:t>
      </w:r>
      <w:r w:rsidRPr="00F478C7">
        <w:rPr>
          <w:b/>
          <w:rtl/>
        </w:rPr>
        <w:footnoteRef/>
      </w:r>
      <w:r w:rsidRPr="00F478C7">
        <w:rPr>
          <w:b/>
          <w:rtl/>
        </w:rPr>
        <w:t>)</w:t>
      </w:r>
      <w:r w:rsidR="00F92E89">
        <w:rPr>
          <w:rtl/>
        </w:rPr>
        <w:tab/>
      </w:r>
      <w:r w:rsidRPr="00F478C7">
        <w:rPr>
          <w:rtl/>
        </w:rPr>
        <w:t xml:space="preserve">تحيل الدولة الطرف إلى </w:t>
      </w:r>
      <w:r w:rsidRPr="00F478C7">
        <w:rPr>
          <w:rFonts w:hint="cs"/>
          <w:rtl/>
        </w:rPr>
        <w:t xml:space="preserve">النص </w:t>
      </w:r>
      <w:r w:rsidRPr="00F478C7">
        <w:rPr>
          <w:rtl/>
        </w:rPr>
        <w:t>التشريع</w:t>
      </w:r>
      <w:r w:rsidRPr="00F478C7">
        <w:rPr>
          <w:rFonts w:hint="cs"/>
          <w:rtl/>
        </w:rPr>
        <w:t>ي</w:t>
      </w:r>
      <w:r w:rsidRPr="00F478C7">
        <w:rPr>
          <w:rtl/>
        </w:rPr>
        <w:t xml:space="preserve"> الثانوي التالي: الوثيقة 9303</w:t>
      </w:r>
      <w:r w:rsidRPr="00F478C7">
        <w:rPr>
          <w:rFonts w:hint="cs"/>
          <w:rtl/>
        </w:rPr>
        <w:t xml:space="preserve"> الصادرة عن </w:t>
      </w:r>
      <w:r w:rsidRPr="00F478C7">
        <w:rPr>
          <w:rtl/>
        </w:rPr>
        <w:t xml:space="preserve">منظمة الطيران المدني الدولي، </w:t>
      </w:r>
      <w:r w:rsidRPr="00F478C7">
        <w:rPr>
          <w:rFonts w:hint="cs"/>
          <w:rtl/>
        </w:rPr>
        <w:t>بعنوان "</w:t>
      </w:r>
      <w:r w:rsidRPr="00F478C7">
        <w:rPr>
          <w:rtl/>
        </w:rPr>
        <w:t>وث</w:t>
      </w:r>
      <w:r w:rsidRPr="00F478C7">
        <w:rPr>
          <w:rFonts w:hint="cs"/>
          <w:rtl/>
        </w:rPr>
        <w:t>ائ</w:t>
      </w:r>
      <w:r w:rsidRPr="00F478C7">
        <w:rPr>
          <w:rtl/>
        </w:rPr>
        <w:t>ق السفر المقروءة آلياً</w:t>
      </w:r>
      <w:r w:rsidRPr="00F478C7">
        <w:rPr>
          <w:rFonts w:hint="cs"/>
          <w:rtl/>
        </w:rPr>
        <w:t>"</w:t>
      </w:r>
      <w:r w:rsidRPr="00F478C7">
        <w:rPr>
          <w:rtl/>
        </w:rPr>
        <w:t>، الجزء 1: "نظام جوازات السفر المقروءة آلياً"، الفصل رابع</w:t>
      </w:r>
      <w:r w:rsidRPr="00F478C7">
        <w:rPr>
          <w:rFonts w:hint="cs"/>
          <w:rtl/>
        </w:rPr>
        <w:t>اً</w:t>
      </w:r>
      <w:r w:rsidRPr="00F478C7">
        <w:rPr>
          <w:rtl/>
        </w:rPr>
        <w:t xml:space="preserve">-9، </w:t>
      </w:r>
      <w:r w:rsidRPr="00F478C7">
        <w:rPr>
          <w:rFonts w:hint="cs"/>
          <w:rtl/>
        </w:rPr>
        <w:t xml:space="preserve">الفقرة </w:t>
      </w:r>
      <w:r w:rsidRPr="00F478C7">
        <w:rPr>
          <w:rtl/>
        </w:rPr>
        <w:t>8-3 (الطبعة السادسة، 2006)</w:t>
      </w:r>
      <w:r w:rsidRPr="00F478C7">
        <w:rPr>
          <w:rFonts w:hint="cs"/>
          <w:rtl/>
        </w:rPr>
        <w:t>.</w:t>
      </w:r>
    </w:p>
  </w:footnote>
  <w:footnote w:id="9">
    <w:p w:rsidR="00F478C7" w:rsidRPr="00F478C7" w:rsidRDefault="00F478C7" w:rsidP="00F478C7">
      <w:pPr>
        <w:pStyle w:val="FootnoteText1"/>
      </w:pPr>
      <w:r w:rsidRPr="00F478C7">
        <w:rPr>
          <w:b/>
          <w:rtl/>
        </w:rPr>
        <w:t>(</w:t>
      </w:r>
      <w:r w:rsidRPr="00F478C7">
        <w:rPr>
          <w:b/>
          <w:rtl/>
        </w:rPr>
        <w:footnoteRef/>
      </w:r>
      <w:r w:rsidRPr="00F478C7">
        <w:rPr>
          <w:b/>
          <w:rtl/>
        </w:rPr>
        <w:t>)</w:t>
      </w:r>
      <w:r w:rsidR="00F92E89">
        <w:rPr>
          <w:rtl/>
        </w:rPr>
        <w:tab/>
      </w:r>
      <w:r w:rsidRPr="00F478C7">
        <w:rPr>
          <w:rtl/>
        </w:rPr>
        <w:t>وفقاً لل</w:t>
      </w:r>
      <w:r w:rsidRPr="00F478C7">
        <w:rPr>
          <w:rFonts w:hint="cs"/>
          <w:rtl/>
        </w:rPr>
        <w:t>ف</w:t>
      </w:r>
      <w:r w:rsidRPr="00F478C7">
        <w:rPr>
          <w:rtl/>
        </w:rPr>
        <w:t>ق</w:t>
      </w:r>
      <w:r w:rsidRPr="00F478C7">
        <w:rPr>
          <w:rFonts w:hint="cs"/>
          <w:rtl/>
        </w:rPr>
        <w:t>ر</w:t>
      </w:r>
      <w:r w:rsidRPr="00F478C7">
        <w:rPr>
          <w:rtl/>
        </w:rPr>
        <w:t>ة 1 من الإضافة 21 للم</w:t>
      </w:r>
      <w:r w:rsidRPr="00F478C7">
        <w:rPr>
          <w:rFonts w:hint="cs"/>
          <w:rtl/>
        </w:rPr>
        <w:t>رسوم</w:t>
      </w:r>
      <w:r w:rsidRPr="00F478C7">
        <w:rPr>
          <w:rtl/>
        </w:rPr>
        <w:t xml:space="preserve"> (القرار) رقم 231 الصادر عن مجلس الوزراء، في 31 آذار/</w:t>
      </w:r>
      <w:r w:rsidR="00F92E89">
        <w:rPr>
          <w:rFonts w:hint="cs"/>
          <w:rtl/>
        </w:rPr>
        <w:t xml:space="preserve"> </w:t>
      </w:r>
      <w:r w:rsidRPr="00F478C7">
        <w:rPr>
          <w:rtl/>
        </w:rPr>
        <w:t>مارس</w:t>
      </w:r>
      <w:r w:rsidR="00F92E89">
        <w:rPr>
          <w:rFonts w:hint="cs"/>
          <w:rtl/>
        </w:rPr>
        <w:t> </w:t>
      </w:r>
      <w:r w:rsidRPr="00F478C7">
        <w:rPr>
          <w:rtl/>
        </w:rPr>
        <w:t>1995، الذي دخل حيز النفاذ في 26 حزيران/يونيه 2007</w:t>
      </w:r>
      <w:r w:rsidRPr="00F478C7">
        <w:rPr>
          <w:rFonts w:hint="cs"/>
          <w:rtl/>
        </w:rPr>
        <w:t>.</w:t>
      </w:r>
    </w:p>
  </w:footnote>
  <w:footnote w:id="10">
    <w:p w:rsidR="00F478C7" w:rsidRPr="00F92E89" w:rsidRDefault="00F478C7" w:rsidP="00F478C7">
      <w:pPr>
        <w:pStyle w:val="FootnoteText1"/>
        <w:rPr>
          <w:b/>
          <w:spacing w:val="-2"/>
        </w:rPr>
      </w:pPr>
      <w:r w:rsidRPr="00F92E89">
        <w:rPr>
          <w:b/>
          <w:spacing w:val="-2"/>
          <w:rtl/>
        </w:rPr>
        <w:t>(</w:t>
      </w:r>
      <w:r w:rsidRPr="00F92E89">
        <w:rPr>
          <w:b/>
          <w:spacing w:val="-2"/>
          <w:rtl/>
        </w:rPr>
        <w:footnoteRef/>
      </w:r>
      <w:r w:rsidRPr="00F92E89">
        <w:rPr>
          <w:b/>
          <w:spacing w:val="-2"/>
          <w:rtl/>
        </w:rPr>
        <w:t>)</w:t>
      </w:r>
      <w:r w:rsidR="00F92E89" w:rsidRPr="00F92E89">
        <w:rPr>
          <w:b/>
          <w:spacing w:val="-2"/>
          <w:rtl/>
        </w:rPr>
        <w:tab/>
      </w:r>
      <w:r w:rsidRPr="00F92E89">
        <w:rPr>
          <w:spacing w:val="-2"/>
          <w:rtl/>
        </w:rPr>
        <w:t>وفقاً للفقرة 2 من المر</w:t>
      </w:r>
      <w:r w:rsidRPr="00F92E89">
        <w:rPr>
          <w:rFonts w:hint="cs"/>
          <w:spacing w:val="-2"/>
          <w:rtl/>
        </w:rPr>
        <w:t>سوم</w:t>
      </w:r>
      <w:r w:rsidRPr="00F92E89">
        <w:rPr>
          <w:spacing w:val="-2"/>
          <w:rtl/>
        </w:rPr>
        <w:t xml:space="preserve"> (القرار) رقم 1383 الصادر عن مجلس الوزراء </w:t>
      </w:r>
      <w:r w:rsidR="00F92E89" w:rsidRPr="00F92E89">
        <w:rPr>
          <w:rFonts w:hint="cs"/>
          <w:spacing w:val="-2"/>
          <w:rtl/>
        </w:rPr>
        <w:t xml:space="preserve">- </w:t>
      </w:r>
      <w:r w:rsidRPr="00F92E89">
        <w:rPr>
          <w:spacing w:val="-2"/>
          <w:rtl/>
        </w:rPr>
        <w:t xml:space="preserve">"بشأن اعتماد اللوائح التنظيمية لوزارة الداخلية الأوكرانية" </w:t>
      </w:r>
      <w:r w:rsidR="00F92E89" w:rsidRPr="00F92E89">
        <w:rPr>
          <w:rFonts w:hint="cs"/>
          <w:spacing w:val="-2"/>
          <w:rtl/>
        </w:rPr>
        <w:t xml:space="preserve">- </w:t>
      </w:r>
      <w:r w:rsidRPr="00F92E89">
        <w:rPr>
          <w:spacing w:val="-2"/>
          <w:rtl/>
        </w:rPr>
        <w:t>في 4 تشرين الأول/أكتوبر 2006، الذي دخل حيز النفاذ في 14 أيار/مايو 2008</w:t>
      </w:r>
      <w:r w:rsidRPr="00F92E89">
        <w:rPr>
          <w:rFonts w:hint="cs"/>
          <w:spacing w:val="-2"/>
          <w:rtl/>
        </w:rPr>
        <w:t>.</w:t>
      </w:r>
    </w:p>
  </w:footnote>
  <w:footnote w:id="11">
    <w:p w:rsidR="00F478C7" w:rsidRPr="00F478C7" w:rsidRDefault="00F478C7" w:rsidP="00F478C7">
      <w:pPr>
        <w:pStyle w:val="FootnoteText1"/>
        <w:rPr>
          <w:b/>
        </w:rPr>
      </w:pPr>
      <w:r w:rsidRPr="00F478C7">
        <w:rPr>
          <w:b/>
          <w:rtl/>
        </w:rPr>
        <w:t>(</w:t>
      </w:r>
      <w:r w:rsidRPr="00F478C7">
        <w:rPr>
          <w:b/>
          <w:rtl/>
        </w:rPr>
        <w:footnoteRef/>
      </w:r>
      <w:r w:rsidRPr="00F478C7">
        <w:rPr>
          <w:b/>
          <w:rtl/>
        </w:rPr>
        <w:t>)</w:t>
      </w:r>
      <w:r w:rsidR="00F92E89">
        <w:rPr>
          <w:b/>
          <w:rtl/>
        </w:rPr>
        <w:tab/>
      </w:r>
      <w:r w:rsidRPr="00F478C7">
        <w:rPr>
          <w:rtl/>
        </w:rPr>
        <w:t>وفقاً للفقرة 5 من الإضافة 2 للمر</w:t>
      </w:r>
      <w:r w:rsidRPr="00F478C7">
        <w:rPr>
          <w:rFonts w:hint="cs"/>
          <w:rtl/>
        </w:rPr>
        <w:t>سوم</w:t>
      </w:r>
      <w:r w:rsidRPr="00F478C7">
        <w:rPr>
          <w:rtl/>
        </w:rPr>
        <w:t xml:space="preserve"> (القرار) رقم 231، الصادر في 31 آذار/مارس 1995</w:t>
      </w:r>
      <w:r w:rsidRPr="00F478C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D7" w:rsidRPr="004D06D2" w:rsidRDefault="004D06D2" w:rsidP="004D06D2">
    <w:pPr>
      <w:pStyle w:val="Header"/>
      <w:jc w:val="right"/>
    </w:pPr>
    <w:r w:rsidRPr="004D06D2">
      <w:t>CCPR/C/127/D/2717/2016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D7" w:rsidRPr="004D06D2" w:rsidRDefault="004D06D2" w:rsidP="004D06D2">
    <w:pPr>
      <w:pStyle w:val="Header"/>
      <w:jc w:val="left"/>
    </w:pPr>
    <w:r w:rsidRPr="004D06D2">
      <w:t>CCPR/C/127/D/2717/2016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2670A"/>
    <w:multiLevelType w:val="hybridMultilevel"/>
    <w:tmpl w:val="EEBA10FC"/>
    <w:lvl w:ilvl="0" w:tplc="ACF250F2">
      <w:start w:val="1"/>
      <w:numFmt w:val="decimal"/>
      <w:lvlText w:val="%1-"/>
      <w:lvlJc w:val="left"/>
      <w:pPr>
        <w:ind w:left="1131" w:hanging="564"/>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0"/>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F1244"/>
    <w:rsid w:val="000076D5"/>
    <w:rsid w:val="00043663"/>
    <w:rsid w:val="000437B8"/>
    <w:rsid w:val="000505CF"/>
    <w:rsid w:val="000D701C"/>
    <w:rsid w:val="000E2A71"/>
    <w:rsid w:val="00160263"/>
    <w:rsid w:val="00181F96"/>
    <w:rsid w:val="001A1371"/>
    <w:rsid w:val="001B346A"/>
    <w:rsid w:val="001E1CAD"/>
    <w:rsid w:val="001E290D"/>
    <w:rsid w:val="001F01D7"/>
    <w:rsid w:val="001F1244"/>
    <w:rsid w:val="002144FA"/>
    <w:rsid w:val="0023469A"/>
    <w:rsid w:val="00243C8A"/>
    <w:rsid w:val="00267A0E"/>
    <w:rsid w:val="002901D9"/>
    <w:rsid w:val="002976C2"/>
    <w:rsid w:val="003260FF"/>
    <w:rsid w:val="00343D95"/>
    <w:rsid w:val="00363A18"/>
    <w:rsid w:val="00374341"/>
    <w:rsid w:val="003A433E"/>
    <w:rsid w:val="003D1062"/>
    <w:rsid w:val="00420D7B"/>
    <w:rsid w:val="00450B21"/>
    <w:rsid w:val="00453B63"/>
    <w:rsid w:val="00455780"/>
    <w:rsid w:val="004B0A1C"/>
    <w:rsid w:val="004D06D2"/>
    <w:rsid w:val="004D1F0B"/>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02352"/>
    <w:rsid w:val="00733704"/>
    <w:rsid w:val="0078071A"/>
    <w:rsid w:val="00787E1E"/>
    <w:rsid w:val="00852A9A"/>
    <w:rsid w:val="008F49E1"/>
    <w:rsid w:val="0090370F"/>
    <w:rsid w:val="009269D2"/>
    <w:rsid w:val="00942135"/>
    <w:rsid w:val="009521B0"/>
    <w:rsid w:val="00982139"/>
    <w:rsid w:val="009867A8"/>
    <w:rsid w:val="009A7E9F"/>
    <w:rsid w:val="009E5018"/>
    <w:rsid w:val="00A12B37"/>
    <w:rsid w:val="00AB6758"/>
    <w:rsid w:val="00AF7970"/>
    <w:rsid w:val="00B13763"/>
    <w:rsid w:val="00B477A4"/>
    <w:rsid w:val="00B54045"/>
    <w:rsid w:val="00BC196B"/>
    <w:rsid w:val="00C438D7"/>
    <w:rsid w:val="00C81B50"/>
    <w:rsid w:val="00C84DCB"/>
    <w:rsid w:val="00CB6622"/>
    <w:rsid w:val="00CD1801"/>
    <w:rsid w:val="00CF65C6"/>
    <w:rsid w:val="00D10EF1"/>
    <w:rsid w:val="00D42810"/>
    <w:rsid w:val="00D914A7"/>
    <w:rsid w:val="00DD13C3"/>
    <w:rsid w:val="00DD596E"/>
    <w:rsid w:val="00DD621E"/>
    <w:rsid w:val="00DE50B1"/>
    <w:rsid w:val="00DF0575"/>
    <w:rsid w:val="00E3696F"/>
    <w:rsid w:val="00E70E04"/>
    <w:rsid w:val="00E93DC0"/>
    <w:rsid w:val="00EC05A7"/>
    <w:rsid w:val="00EC4B6B"/>
    <w:rsid w:val="00ED7442"/>
    <w:rsid w:val="00EF1EE5"/>
    <w:rsid w:val="00F478C7"/>
    <w:rsid w:val="00F763B4"/>
    <w:rsid w:val="00F900C3"/>
    <w:rsid w:val="00F91927"/>
    <w:rsid w:val="00F92E89"/>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F2A942-6AEA-4DFA-90AB-4175EA40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szCs w:val="20"/>
    </w:rPr>
  </w:style>
  <w:style w:type="character" w:customStyle="1" w:styleId="FootnoteTextChar">
    <w:name w:val="Footnote Text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F0BF-13DE-4CC4-A7C1-5F659716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CCPR/C/127/D/2717/2016</vt:lpstr>
    </vt:vector>
  </TitlesOfParts>
  <Company>DCM</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CCPR/C/127/D/2717/2016</dc:title>
  <dc:subject>GE.1921030</dc:subject>
  <dc:creator>SALY - MBOU05</dc:creator>
  <cp:keywords>ODS No.1933779</cp:keywords>
  <dc:description>Distribution: General_x000d_
Original: English_x000d_
Date: 6 December 2019</dc:description>
  <cp:lastModifiedBy>Emeric Camp</cp:lastModifiedBy>
  <cp:revision>2</cp:revision>
  <dcterms:created xsi:type="dcterms:W3CDTF">2020-02-19T08:26:00Z</dcterms:created>
  <dcterms:modified xsi:type="dcterms:W3CDTF">2020-02-19T08:26:00Z</dcterms:modified>
  <cp:category>Finale</cp:category>
</cp:coreProperties>
</file>