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41831B0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C8424C" w14:textId="77777777" w:rsidR="002D5AAC" w:rsidRDefault="002D5AAC" w:rsidP="00453C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AA4071F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1B1FBDE" w14:textId="77777777" w:rsidR="002D5AAC" w:rsidRDefault="00453C0A" w:rsidP="00453C0A">
            <w:pPr>
              <w:jc w:val="right"/>
            </w:pPr>
            <w:r w:rsidRPr="00453C0A">
              <w:rPr>
                <w:sz w:val="40"/>
              </w:rPr>
              <w:t>CCPR</w:t>
            </w:r>
            <w:r>
              <w:t>/C/127/D/2717/2016</w:t>
            </w:r>
          </w:p>
        </w:tc>
      </w:tr>
      <w:tr w:rsidR="002D5AAC" w14:paraId="2406C419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37160F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DC8806C" wp14:editId="2FF366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5637A8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9A20BB1" w14:textId="77777777" w:rsidR="002D5AAC" w:rsidRDefault="00453C0A" w:rsidP="00BC36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14:paraId="28A728BE" w14:textId="77777777" w:rsidR="00453C0A" w:rsidRDefault="00453C0A" w:rsidP="00453C0A">
            <w:pPr>
              <w:spacing w:line="240" w:lineRule="exact"/>
            </w:pPr>
            <w:r>
              <w:t xml:space="preserve">6 </w:t>
            </w:r>
            <w:proofErr w:type="spellStart"/>
            <w:r>
              <w:t>December</w:t>
            </w:r>
            <w:proofErr w:type="spellEnd"/>
            <w:r>
              <w:t xml:space="preserve"> 2019</w:t>
            </w:r>
          </w:p>
          <w:p w14:paraId="2FD2D7A4" w14:textId="77777777" w:rsidR="00453C0A" w:rsidRDefault="00453C0A" w:rsidP="00453C0A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14:paraId="46A78785" w14:textId="77777777" w:rsidR="00453C0A" w:rsidRPr="00375F01" w:rsidRDefault="00453C0A" w:rsidP="00453C0A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14:paraId="329DB133" w14:textId="77777777" w:rsidR="00453C0A" w:rsidRPr="003256C5" w:rsidRDefault="00453C0A" w:rsidP="00453C0A">
      <w:pPr>
        <w:spacing w:before="120"/>
        <w:rPr>
          <w:b/>
          <w:bCs/>
          <w:sz w:val="24"/>
          <w:szCs w:val="24"/>
        </w:rPr>
      </w:pPr>
      <w:r w:rsidRPr="003256C5">
        <w:rPr>
          <w:b/>
          <w:bCs/>
          <w:sz w:val="24"/>
          <w:szCs w:val="24"/>
        </w:rPr>
        <w:t>Комитет по правам человека</w:t>
      </w:r>
    </w:p>
    <w:p w14:paraId="66A3BB41" w14:textId="77777777" w:rsidR="00453C0A" w:rsidRPr="003256C5" w:rsidRDefault="00453C0A" w:rsidP="00453C0A">
      <w:pPr>
        <w:pStyle w:val="HChG"/>
      </w:pPr>
      <w:r w:rsidRPr="003256C5">
        <w:tab/>
      </w:r>
      <w:r w:rsidRPr="003256C5">
        <w:tab/>
        <w:t>Решение, принятое Комитетом в соответствии с</w:t>
      </w:r>
      <w:r>
        <w:rPr>
          <w:lang w:val="en-US"/>
        </w:rPr>
        <w:t> </w:t>
      </w:r>
      <w:r w:rsidRPr="003256C5">
        <w:t xml:space="preserve">Факультативным протоколом относительно </w:t>
      </w:r>
      <w:r>
        <w:br/>
      </w:r>
      <w:r w:rsidRPr="003256C5">
        <w:t>сообщения № 2717/2016</w:t>
      </w:r>
      <w:r w:rsidRPr="003256C5">
        <w:rPr>
          <w:b w:val="0"/>
          <w:sz w:val="20"/>
        </w:rPr>
        <w:footnoteReference w:customMarkFollows="1" w:id="1"/>
        <w:t>*</w:t>
      </w:r>
      <w:r w:rsidRPr="003256C5">
        <w:rPr>
          <w:b w:val="0"/>
          <w:sz w:val="20"/>
          <w:lang w:val="en-US"/>
        </w:rPr>
        <w:t xml:space="preserve"> </w:t>
      </w:r>
      <w:r w:rsidRPr="003256C5">
        <w:rPr>
          <w:b w:val="0"/>
          <w:sz w:val="20"/>
        </w:rPr>
        <w:footnoteReference w:customMarkFollows="1" w:id="2"/>
        <w:t>**</w:t>
      </w:r>
      <w:r w:rsidRPr="003256C5"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53C0A" w:rsidRPr="0064331C" w14:paraId="0FA448D8" w14:textId="77777777" w:rsidTr="00DC6E74">
        <w:tc>
          <w:tcPr>
            <w:tcW w:w="2936" w:type="dxa"/>
            <w:hideMark/>
          </w:tcPr>
          <w:p w14:paraId="3253A2A0" w14:textId="77777777" w:rsidR="00453C0A" w:rsidRPr="0064331C" w:rsidRDefault="00453C0A" w:rsidP="00DC6E74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3256C5">
              <w:rPr>
                <w:i/>
                <w:iCs/>
              </w:rPr>
              <w:t xml:space="preserve">Сообщение </w:t>
            </w:r>
            <w:r>
              <w:rPr>
                <w:i/>
                <w:iCs/>
              </w:rPr>
              <w:t>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4D92B12F" w14:textId="77777777" w:rsidR="00453C0A" w:rsidRPr="0064331C" w:rsidRDefault="00453C0A" w:rsidP="00DC6E74">
            <w:pPr>
              <w:spacing w:after="120"/>
            </w:pPr>
            <w:r w:rsidRPr="003256C5">
              <w:t>Валерием Моисеенко (адвокатом не представлен)</w:t>
            </w:r>
          </w:p>
        </w:tc>
      </w:tr>
      <w:tr w:rsidR="00453C0A" w:rsidRPr="0064331C" w14:paraId="7876E337" w14:textId="77777777" w:rsidTr="00DC6E74">
        <w:tc>
          <w:tcPr>
            <w:tcW w:w="2936" w:type="dxa"/>
            <w:hideMark/>
          </w:tcPr>
          <w:p w14:paraId="2C8B481C" w14:textId="77777777" w:rsidR="00453C0A" w:rsidRPr="0064331C" w:rsidRDefault="00453C0A" w:rsidP="00DC6E7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765A1224" w14:textId="77777777" w:rsidR="00453C0A" w:rsidRPr="0064331C" w:rsidRDefault="00453C0A" w:rsidP="00DC6E74">
            <w:pPr>
              <w:spacing w:after="120"/>
            </w:pPr>
            <w:r w:rsidRPr="003256C5">
              <w:t>автор сообщения</w:t>
            </w:r>
          </w:p>
        </w:tc>
      </w:tr>
      <w:tr w:rsidR="00453C0A" w:rsidRPr="0064331C" w14:paraId="7D596B02" w14:textId="77777777" w:rsidTr="00DC6E74">
        <w:tc>
          <w:tcPr>
            <w:tcW w:w="2936" w:type="dxa"/>
            <w:hideMark/>
          </w:tcPr>
          <w:p w14:paraId="03F7A3CE" w14:textId="77777777" w:rsidR="00453C0A" w:rsidRPr="0064331C" w:rsidRDefault="00453C0A" w:rsidP="00DC6E7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E53BBD3" w14:textId="77777777" w:rsidR="00453C0A" w:rsidRPr="0064331C" w:rsidRDefault="00453C0A" w:rsidP="00DC6E74">
            <w:pPr>
              <w:spacing w:after="120"/>
            </w:pPr>
            <w:r w:rsidRPr="003256C5">
              <w:t>Украина</w:t>
            </w:r>
          </w:p>
        </w:tc>
      </w:tr>
      <w:tr w:rsidR="00453C0A" w:rsidRPr="0064331C" w14:paraId="71A64A76" w14:textId="77777777" w:rsidTr="00DC6E74">
        <w:tc>
          <w:tcPr>
            <w:tcW w:w="2936" w:type="dxa"/>
            <w:hideMark/>
          </w:tcPr>
          <w:p w14:paraId="6A6B385D" w14:textId="77777777" w:rsidR="00453C0A" w:rsidRPr="0064331C" w:rsidRDefault="00453C0A" w:rsidP="00DC6E7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E5E45BE" w14:textId="77777777" w:rsidR="00453C0A" w:rsidRPr="0064331C" w:rsidRDefault="00453C0A" w:rsidP="00DC6E74">
            <w:pPr>
              <w:spacing w:after="120"/>
            </w:pPr>
            <w:r w:rsidRPr="003256C5">
              <w:t>24 августа 2015 года (первоначальное представление)</w:t>
            </w:r>
          </w:p>
        </w:tc>
      </w:tr>
      <w:tr w:rsidR="00453C0A" w:rsidRPr="0064331C" w14:paraId="598D820C" w14:textId="77777777" w:rsidTr="00DC6E74">
        <w:tc>
          <w:tcPr>
            <w:tcW w:w="2936" w:type="dxa"/>
            <w:hideMark/>
          </w:tcPr>
          <w:p w14:paraId="138372CD" w14:textId="77777777" w:rsidR="00453C0A" w:rsidRPr="0064331C" w:rsidRDefault="00453C0A" w:rsidP="00DC6E7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14:paraId="34D7E589" w14:textId="77777777" w:rsidR="00453C0A" w:rsidRPr="0064331C" w:rsidRDefault="00453C0A" w:rsidP="00DC6E74">
            <w:pPr>
              <w:spacing w:after="120"/>
            </w:pPr>
            <w:r w:rsidRPr="003256C5">
              <w:t xml:space="preserve">решение, принятое в соответствии с правилом 92 правил процедуры Комитета, препровожденное государству-участнику </w:t>
            </w:r>
            <w:r w:rsidR="006E74D7">
              <w:br/>
            </w:r>
            <w:r w:rsidRPr="003256C5">
              <w:t>20 января 2016 года (в виде документа не издавалось)</w:t>
            </w:r>
          </w:p>
        </w:tc>
      </w:tr>
      <w:tr w:rsidR="00453C0A" w:rsidRPr="0064331C" w14:paraId="7E2DBBD5" w14:textId="77777777" w:rsidTr="00DC6E74">
        <w:tc>
          <w:tcPr>
            <w:tcW w:w="2936" w:type="dxa"/>
            <w:hideMark/>
          </w:tcPr>
          <w:p w14:paraId="24C2F8ED" w14:textId="77777777" w:rsidR="00453C0A" w:rsidRPr="0064331C" w:rsidRDefault="00453C0A" w:rsidP="00DC6E7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r>
              <w:rPr>
                <w:i/>
              </w:rPr>
              <w:t>решения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14:paraId="66D46B85" w14:textId="77777777" w:rsidR="00453C0A" w:rsidRPr="0064331C" w:rsidRDefault="00453C0A" w:rsidP="00DC6E74">
            <w:pPr>
              <w:spacing w:after="120"/>
            </w:pPr>
            <w:r w:rsidRPr="003256C5">
              <w:t>8 ноября 2019 года</w:t>
            </w:r>
          </w:p>
        </w:tc>
      </w:tr>
      <w:tr w:rsidR="00453C0A" w:rsidRPr="0064331C" w14:paraId="2BECF716" w14:textId="77777777" w:rsidTr="00DC6E74">
        <w:tc>
          <w:tcPr>
            <w:tcW w:w="2936" w:type="dxa"/>
            <w:hideMark/>
          </w:tcPr>
          <w:p w14:paraId="3B8BD782" w14:textId="77777777" w:rsidR="00453C0A" w:rsidRPr="0064331C" w:rsidRDefault="00453C0A" w:rsidP="00DC6E7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7ED77D40" w14:textId="77777777" w:rsidR="00453C0A" w:rsidRPr="0064331C" w:rsidRDefault="00453C0A" w:rsidP="00DC6E74">
            <w:pPr>
              <w:spacing w:after="120"/>
            </w:pPr>
            <w:r w:rsidRPr="003256C5">
              <w:t>изменение написания имени и фамилии автора в заграничном паспорте</w:t>
            </w:r>
          </w:p>
        </w:tc>
      </w:tr>
      <w:tr w:rsidR="00453C0A" w:rsidRPr="0064331C" w14:paraId="6A0E884D" w14:textId="77777777" w:rsidTr="00DC6E74">
        <w:tc>
          <w:tcPr>
            <w:tcW w:w="2936" w:type="dxa"/>
            <w:hideMark/>
          </w:tcPr>
          <w:p w14:paraId="3CCFE421" w14:textId="77777777" w:rsidR="00453C0A" w:rsidRPr="0064331C" w:rsidRDefault="00453C0A" w:rsidP="00DC6E74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0E6F975D" w14:textId="77777777" w:rsidR="00453C0A" w:rsidRPr="0064331C" w:rsidRDefault="00453C0A" w:rsidP="00DC6E74">
            <w:pPr>
              <w:spacing w:after="120"/>
            </w:pPr>
            <w:r w:rsidRPr="003256C5">
              <w:t>недостаточное обоснование утверждений; исчерпание внутренних средств правовой защиты</w:t>
            </w:r>
          </w:p>
        </w:tc>
      </w:tr>
      <w:tr w:rsidR="00453C0A" w:rsidRPr="0064331C" w14:paraId="2A450615" w14:textId="77777777" w:rsidTr="00DC6E74">
        <w:tc>
          <w:tcPr>
            <w:tcW w:w="2936" w:type="dxa"/>
            <w:hideMark/>
          </w:tcPr>
          <w:p w14:paraId="4A8FD0AF" w14:textId="77777777" w:rsidR="00453C0A" w:rsidRPr="0064331C" w:rsidRDefault="00453C0A" w:rsidP="00DC6E74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0A4593D5" w14:textId="77777777" w:rsidR="00453C0A" w:rsidRPr="0064331C" w:rsidRDefault="00453C0A" w:rsidP="00DC6E74">
            <w:pPr>
              <w:spacing w:after="120"/>
            </w:pPr>
            <w:r w:rsidRPr="003256C5">
              <w:t>право на неприкосновенность личной жизни; право на использование родного языка; член общины меньшинства</w:t>
            </w:r>
          </w:p>
        </w:tc>
      </w:tr>
      <w:tr w:rsidR="00453C0A" w:rsidRPr="0064331C" w14:paraId="377F617D" w14:textId="77777777" w:rsidTr="00DC6E74">
        <w:tc>
          <w:tcPr>
            <w:tcW w:w="2936" w:type="dxa"/>
            <w:hideMark/>
          </w:tcPr>
          <w:p w14:paraId="350713D8" w14:textId="77777777" w:rsidR="00453C0A" w:rsidRPr="0064331C" w:rsidRDefault="00453C0A" w:rsidP="00DC6E74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B91127E" w14:textId="77777777" w:rsidR="00453C0A" w:rsidRPr="0064331C" w:rsidRDefault="00453C0A" w:rsidP="00DC6E74">
            <w:pPr>
              <w:spacing w:after="120"/>
            </w:pPr>
            <w:r w:rsidRPr="003256C5">
              <w:t>17 и 27</w:t>
            </w:r>
          </w:p>
        </w:tc>
      </w:tr>
      <w:tr w:rsidR="00453C0A" w:rsidRPr="0064331C" w14:paraId="4F9E34FC" w14:textId="77777777" w:rsidTr="00DC6E74">
        <w:tc>
          <w:tcPr>
            <w:tcW w:w="2936" w:type="dxa"/>
            <w:hideMark/>
          </w:tcPr>
          <w:p w14:paraId="2CCBB9AD" w14:textId="77777777" w:rsidR="00453C0A" w:rsidRPr="0064331C" w:rsidRDefault="00453C0A" w:rsidP="00DC6E74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  <w:vAlign w:val="bottom"/>
          </w:tcPr>
          <w:p w14:paraId="1E9EDD58" w14:textId="77777777" w:rsidR="00453C0A" w:rsidRPr="0064331C" w:rsidRDefault="00453C0A" w:rsidP="00DC6E74">
            <w:pPr>
              <w:spacing w:after="120"/>
            </w:pPr>
            <w:r w:rsidRPr="003256C5">
              <w:t>2 и пункт 2 b) статьи 5</w:t>
            </w:r>
          </w:p>
        </w:tc>
      </w:tr>
    </w:tbl>
    <w:p w14:paraId="03639459" w14:textId="77777777" w:rsidR="00453C0A" w:rsidRPr="003256C5" w:rsidRDefault="00453C0A" w:rsidP="00453C0A">
      <w:pPr>
        <w:pStyle w:val="SingleTxtG"/>
      </w:pPr>
      <w:r w:rsidRPr="003256C5">
        <w:t>1.</w:t>
      </w:r>
      <w:r w:rsidRPr="003256C5">
        <w:tab/>
        <w:t xml:space="preserve">Автором сообщения является Валерий Моисеенко, гражданин Украины русского происхождения, 1960 года рождения. Он утверждает, что является жертвой нарушения Украиной его прав, предусмотренных статьями 17 и 27 Пакта. </w:t>
      </w:r>
      <w:r w:rsidRPr="003256C5">
        <w:lastRenderedPageBreak/>
        <w:t>Факультативный протокол вступил в силу для Украины 25 октября 1991 года. Автор не представлен адвокатом.</w:t>
      </w:r>
    </w:p>
    <w:p w14:paraId="1E3EC3EB" w14:textId="77777777" w:rsidR="00453C0A" w:rsidRPr="003256C5" w:rsidRDefault="00453C0A" w:rsidP="00453C0A">
      <w:pPr>
        <w:pStyle w:val="H23G"/>
      </w:pPr>
      <w:r w:rsidRPr="003256C5">
        <w:tab/>
      </w:r>
      <w:r w:rsidRPr="003256C5">
        <w:tab/>
        <w:t>Факты в изложении автора</w:t>
      </w:r>
    </w:p>
    <w:p w14:paraId="68EEE0F1" w14:textId="77777777" w:rsidR="00453C0A" w:rsidRPr="003256C5" w:rsidRDefault="00453C0A" w:rsidP="00453C0A">
      <w:pPr>
        <w:pStyle w:val="SingleTxtG"/>
      </w:pPr>
      <w:r w:rsidRPr="003256C5">
        <w:t>2.1</w:t>
      </w:r>
      <w:r w:rsidRPr="003256C5">
        <w:tab/>
        <w:t xml:space="preserve">Автор является гражданином Украины русского происхождения. Он родился в Донецке, Украина, оба его родителя </w:t>
      </w:r>
      <w:r>
        <w:t>–</w:t>
      </w:r>
      <w:r w:rsidRPr="003256C5">
        <w:t xml:space="preserve"> русские. В его свидетельстве о рождении</w:t>
      </w:r>
      <w:r w:rsidRPr="003256C5">
        <w:rPr>
          <w:sz w:val="18"/>
          <w:vertAlign w:val="superscript"/>
        </w:rPr>
        <w:footnoteReference w:id="3"/>
      </w:r>
      <w:r w:rsidRPr="003256C5">
        <w:t xml:space="preserve"> его имя, отчество и фамилия написаны на русском языке (Моисеенко Валерий Анатольевич). На украинском языке его имя пишется следующим образом: Moiceёнко Валерiй Aнатолiйович. Все буквы в его полном имени на русском языке имеются и в украинском алфавите. В его украинском внутреннем паспорте (основное удостоверение личности внутри страны) его имя написано на украинском и русском языках.</w:t>
      </w:r>
    </w:p>
    <w:p w14:paraId="2F385DD6" w14:textId="77777777" w:rsidR="00453C0A" w:rsidRPr="003256C5" w:rsidRDefault="00453C0A" w:rsidP="00453C0A">
      <w:pPr>
        <w:pStyle w:val="SingleTxtG"/>
      </w:pPr>
      <w:r w:rsidRPr="003256C5">
        <w:t>2.2</w:t>
      </w:r>
      <w:r w:rsidRPr="003256C5">
        <w:tab/>
        <w:t xml:space="preserve">В мае 2009 года автор получил заграничный/международный паспорт для выездов за границу. В этом документе его имя и фамилия написаны по-украински, а также в латинской транслитерации </w:t>
      </w:r>
      <w:r>
        <w:t>–</w:t>
      </w:r>
      <w:r w:rsidRPr="003256C5">
        <w:t xml:space="preserve"> Moiseienko Valerii. Личные пожелания или согласие автора сообщения не были приняты во внимание, поскольку процедура получения заграничного паспорта не предусматривает возможность выбора формы написания имени и фамилии в паспорте. Из двух вариантов написания имени и фамилии автора (на украинском и русском языках) в его внутреннем паспорте государственные органы для целей транслитерации выбрали украинский вариант, который не совпадает с написанием его имени и фамилии в свидетельстве о рождении и не отражает русское происхождение автора и его принадлежность к русскоязычному меньшинству</w:t>
      </w:r>
      <w:r w:rsidRPr="003256C5">
        <w:rPr>
          <w:sz w:val="18"/>
          <w:vertAlign w:val="superscript"/>
        </w:rPr>
        <w:footnoteReference w:id="4"/>
      </w:r>
      <w:r w:rsidRPr="003256C5">
        <w:t>. Это произошло, несмотря на то, что в соответствии с Гражданским кодексом Украины</w:t>
      </w:r>
      <w:r w:rsidRPr="003256C5">
        <w:rPr>
          <w:sz w:val="18"/>
          <w:vertAlign w:val="superscript"/>
        </w:rPr>
        <w:footnoteReference w:id="5"/>
      </w:r>
      <w:r w:rsidRPr="003256C5">
        <w:t xml:space="preserve"> физическое лицо имеет право на транскрибированную запись его фамилии и имени в соответствии со своей национальной традицией. </w:t>
      </w:r>
    </w:p>
    <w:p w14:paraId="20749DE1" w14:textId="77777777" w:rsidR="00453C0A" w:rsidRPr="003256C5" w:rsidRDefault="00453C0A" w:rsidP="00453C0A">
      <w:pPr>
        <w:pStyle w:val="SingleTxtG"/>
      </w:pPr>
      <w:r w:rsidRPr="003256C5">
        <w:t>2.3</w:t>
      </w:r>
      <w:r w:rsidRPr="003256C5">
        <w:tab/>
        <w:t>В марте 2010 года автор подал заявление в Государственный департамент по делам гражданства, иммиграции и регистрации физических лиц Министерства внутренних дел Украины и просил выдать ему новый паспорт с написанием имени и фамилии в соответствии с нормами русского языка. Донецкий окружной административный суд 23 марта 2010 года оставил без удовлетворения его иск об использовании русского языка для транслитерации его имени латиницей в заграничном паспорте, мотивируя это тем, что русский язык не является официальным языком государства, и руководствуясь правилами записи паспортных данных и основами транслитерации. Суд постановил, что автор не принял все необходимые меры для того, чтобы осуществить свое право на запись его имени в соответствии с национальной традицией, поскольку не представил «документы, выданные соответствующими органами иностранного государства». Автор поясняет, что у него нет таких документов, выданных иностранным государством. Кроме того, это требование содержится не в законе, а в подзаконном акте</w:t>
      </w:r>
      <w:r w:rsidRPr="003256C5">
        <w:rPr>
          <w:sz w:val="18"/>
          <w:vertAlign w:val="superscript"/>
        </w:rPr>
        <w:footnoteReference w:id="6"/>
      </w:r>
      <w:r w:rsidRPr="003256C5">
        <w:t xml:space="preserve"> и является, по мнению автора, дискриминационным, так как дает возможность выбора написания имени только лицам, имеющим иностранные документы.</w:t>
      </w:r>
    </w:p>
    <w:p w14:paraId="34D990FD" w14:textId="77777777" w:rsidR="00453C0A" w:rsidRPr="003256C5" w:rsidRDefault="00453C0A" w:rsidP="00453C0A">
      <w:pPr>
        <w:pStyle w:val="SingleTxtG"/>
      </w:pPr>
      <w:bookmarkStart w:id="0" w:name="_GoBack"/>
      <w:bookmarkEnd w:id="0"/>
      <w:r w:rsidRPr="003256C5">
        <w:lastRenderedPageBreak/>
        <w:t>2.4</w:t>
      </w:r>
      <w:r w:rsidRPr="003256C5">
        <w:tab/>
        <w:t xml:space="preserve">В неуказанную дату автор подал апелляцию в Донецкий апелляционный административный суд, который 27 мая 2010 года оставил ее без удовлетворения. Также в неуказанную дату заявитель обжаловал это решение в Кассационный административный суд Украины. Его кассационная жалоба также была оставлена без удовлетворения 14 февраля 2014 года. Это решение является окончательным и обжалованию не подлежит. </w:t>
      </w:r>
    </w:p>
    <w:p w14:paraId="199C01FE" w14:textId="77777777" w:rsidR="00453C0A" w:rsidRPr="003256C5" w:rsidRDefault="00453C0A" w:rsidP="00453C0A">
      <w:pPr>
        <w:pStyle w:val="SingleTxtG"/>
      </w:pPr>
      <w:r w:rsidRPr="003256C5">
        <w:t>2.5</w:t>
      </w:r>
      <w:r w:rsidRPr="003256C5">
        <w:tab/>
        <w:t>19 июня 2014 года автор подал жалобу в Европейский суд по правам человека. Вместе с тем на момент представления настоящего сообщения он не получил какого-либо ответа, поскольку по решению правительства Украины в Донецке прекратила работу почтовая служба. 25 ноября 2014 года автор направил факсимильное сообщение в суд, чтобы узнать о статусе своей жалобы, но безрезультатно. Поэтому автор считает, что суд не возбудил производство по его делу</w:t>
      </w:r>
      <w:r w:rsidRPr="003256C5">
        <w:rPr>
          <w:sz w:val="18"/>
          <w:vertAlign w:val="superscript"/>
        </w:rPr>
        <w:footnoteReference w:id="7"/>
      </w:r>
      <w:r w:rsidRPr="003256C5">
        <w:t>.</w:t>
      </w:r>
    </w:p>
    <w:p w14:paraId="11053D13" w14:textId="77777777" w:rsidR="00453C0A" w:rsidRPr="003256C5" w:rsidRDefault="00453C0A" w:rsidP="00453C0A">
      <w:pPr>
        <w:pStyle w:val="H23G"/>
      </w:pPr>
      <w:r w:rsidRPr="003256C5">
        <w:tab/>
      </w:r>
      <w:r w:rsidRPr="003256C5">
        <w:tab/>
        <w:t>Жалоба</w:t>
      </w:r>
    </w:p>
    <w:p w14:paraId="1104C68A" w14:textId="77777777" w:rsidR="00453C0A" w:rsidRPr="003256C5" w:rsidRDefault="00453C0A" w:rsidP="00453C0A">
      <w:pPr>
        <w:pStyle w:val="SingleTxtG"/>
      </w:pPr>
      <w:r w:rsidRPr="003256C5">
        <w:t>3.1</w:t>
      </w:r>
      <w:r w:rsidRPr="003256C5">
        <w:tab/>
        <w:t xml:space="preserve">Автор утверждает, что навязывание органами государства-участника украинского написания его имени является нарушением его прав, предусмотренных статьями 17 и 27 Пакта. Он утверждает, что государство-участник произвольно решило писать его имя на украинском языке, который не является его родным языком, тем самым наложив на него ненужные ограничения и лишив его как лицо, принадлежащее к языковому меньшинству, права использовать свой родной язык для записи паспортных данных и в качестве основы для транслитерации его имени латинскими буквами. </w:t>
      </w:r>
    </w:p>
    <w:p w14:paraId="7F415E4A" w14:textId="77777777" w:rsidR="00453C0A" w:rsidRPr="003256C5" w:rsidRDefault="00453C0A" w:rsidP="00453C0A">
      <w:pPr>
        <w:pStyle w:val="SingleTxtG"/>
      </w:pPr>
      <w:r w:rsidRPr="003256C5">
        <w:t>3.2</w:t>
      </w:r>
      <w:r w:rsidRPr="003256C5">
        <w:tab/>
        <w:t>Автор просит Комитет указать государству-участнику на необходимость приведения его законодательства о праве на использование родного языка и выбор написания имени в официальных документах в соответствие с требованиями Пакта, рекомендовать ему выдать автору новый паспорт с воспроизведением его фамилии и имени</w:t>
      </w:r>
      <w:r w:rsidR="00C25365">
        <w:t xml:space="preserve"> </w:t>
      </w:r>
      <w:r w:rsidRPr="003256C5">
        <w:t>в соответствии с его пожеланиями и компенсировать ему моральный и материальный ущерб за то, что в течение шести лет он не имел возможности выезжать за пределы Украины.</w:t>
      </w:r>
    </w:p>
    <w:p w14:paraId="09CB4C00" w14:textId="77777777" w:rsidR="00453C0A" w:rsidRPr="003256C5" w:rsidRDefault="00453C0A" w:rsidP="00453C0A">
      <w:pPr>
        <w:pStyle w:val="H23G"/>
      </w:pPr>
      <w:r w:rsidRPr="003256C5">
        <w:tab/>
      </w:r>
      <w:r w:rsidRPr="003256C5">
        <w:tab/>
        <w:t>Замечания государства-участника по существу сообщения</w:t>
      </w:r>
    </w:p>
    <w:p w14:paraId="572F4D14" w14:textId="77777777" w:rsidR="00453C0A" w:rsidRPr="003256C5" w:rsidRDefault="00453C0A" w:rsidP="00453C0A">
      <w:pPr>
        <w:pStyle w:val="SingleTxtG"/>
      </w:pPr>
      <w:r w:rsidRPr="003256C5">
        <w:t>4.1</w:t>
      </w:r>
      <w:r w:rsidRPr="003256C5">
        <w:tab/>
        <w:t>31 марта 2016 года государство-участник представило свои замечания по существу сообщения. Прежде всего, государство-участник информирует Комитет о том, что на территории восточной Украины, в том числе на территории города Донецка, где находилось здание суда первой инстанции, в котором хранились соответствующие материалы дела, проводится антитеррористическая операция. В</w:t>
      </w:r>
      <w:r>
        <w:t> </w:t>
      </w:r>
      <w:r w:rsidRPr="003256C5">
        <w:t>контексте антитеррористической операции государство-участник не имеет возможности ознакомиться с материалами дела автора, которые были рассмотрены национальными судами.</w:t>
      </w:r>
    </w:p>
    <w:p w14:paraId="4CACD121" w14:textId="77777777" w:rsidR="00453C0A" w:rsidRPr="003256C5" w:rsidRDefault="00453C0A" w:rsidP="00453C0A">
      <w:pPr>
        <w:pStyle w:val="SingleTxtG"/>
      </w:pPr>
      <w:r w:rsidRPr="003256C5">
        <w:t>4.2</w:t>
      </w:r>
      <w:r w:rsidRPr="003256C5">
        <w:tab/>
        <w:t>Тем не менее, учитывая материалы, представленные автором, государство-участник со ссылкой на подзаконные акты разъясняет правила, регулирующие транслитерацию имен на языках, в которых не используется латинский алфавит</w:t>
      </w:r>
      <w:r w:rsidRPr="003256C5">
        <w:rPr>
          <w:sz w:val="18"/>
          <w:vertAlign w:val="superscript"/>
        </w:rPr>
        <w:footnoteReference w:id="8"/>
      </w:r>
      <w:r w:rsidRPr="003256C5">
        <w:t>. Государство-участник также сообщает, что централизованное оформление и выдача украинских паспортов для выезда за границу гражданам, проживающим в Украине, относится к компетенции департаментов по делам гражданства, иммиграции и регистрации физических лиц территориальных органов (районных управлений) Министерства внутренних дел</w:t>
      </w:r>
      <w:r w:rsidRPr="003256C5">
        <w:rPr>
          <w:sz w:val="18"/>
          <w:vertAlign w:val="superscript"/>
        </w:rPr>
        <w:footnoteReference w:id="9"/>
      </w:r>
      <w:r w:rsidRPr="003256C5">
        <w:t>.</w:t>
      </w:r>
    </w:p>
    <w:p w14:paraId="1CDFC92A" w14:textId="77777777" w:rsidR="00453C0A" w:rsidRPr="003256C5" w:rsidRDefault="00453C0A" w:rsidP="00453C0A">
      <w:pPr>
        <w:pStyle w:val="SingleTxtG"/>
      </w:pPr>
      <w:r w:rsidRPr="003256C5">
        <w:lastRenderedPageBreak/>
        <w:t>4.3</w:t>
      </w:r>
      <w:r w:rsidRPr="003256C5">
        <w:tab/>
        <w:t>Государство-участник согласно с тем, что в соответствии с пунктом 2 статьи</w:t>
      </w:r>
      <w:r w:rsidR="00FE680E">
        <w:rPr>
          <w:lang w:val="en-US"/>
        </w:rPr>
        <w:t> </w:t>
      </w:r>
      <w:r w:rsidRPr="003256C5">
        <w:t>294 Гражданского кодекса физическое лицо имеет право на транскрибированную запись его имени и фамилии в соответствии с его национальной традицией.</w:t>
      </w:r>
    </w:p>
    <w:p w14:paraId="5035127E" w14:textId="77777777" w:rsidR="00453C0A" w:rsidRPr="003256C5" w:rsidRDefault="00453C0A" w:rsidP="00453C0A">
      <w:pPr>
        <w:pStyle w:val="SingleTxtG"/>
      </w:pPr>
      <w:r w:rsidRPr="003256C5">
        <w:t>4.4</w:t>
      </w:r>
      <w:r w:rsidRPr="003256C5">
        <w:tab/>
        <w:t>Государство-участник также указывает, что автор не возражал против правильности написания его имени и фамилии на украинском языке в заграничном</w:t>
      </w:r>
      <w:r w:rsidR="00C25365">
        <w:t xml:space="preserve"> </w:t>
      </w:r>
      <w:r w:rsidRPr="003256C5">
        <w:t>паспорте.</w:t>
      </w:r>
    </w:p>
    <w:p w14:paraId="1F135B7E" w14:textId="77777777" w:rsidR="00453C0A" w:rsidRPr="003256C5" w:rsidRDefault="00453C0A" w:rsidP="00453C0A">
      <w:pPr>
        <w:pStyle w:val="SingleTxtG"/>
      </w:pPr>
      <w:r w:rsidRPr="003256C5">
        <w:t>4.5</w:t>
      </w:r>
      <w:r w:rsidRPr="003256C5">
        <w:tab/>
        <w:t>Государство-участник отмечает, что Министерство внутренних дел в своей деятельности руководствуется Конституцией; законами страны; актами Президента и резолюциями парламента, принятыми в соответствии с Конституцией и законами страны; актами Кабинета министров; и своими собственными правилами</w:t>
      </w:r>
      <w:r w:rsidRPr="003256C5">
        <w:rPr>
          <w:sz w:val="18"/>
          <w:vertAlign w:val="superscript"/>
        </w:rPr>
        <w:footnoteReference w:id="10"/>
      </w:r>
      <w:r w:rsidRPr="003256C5">
        <w:t>.</w:t>
      </w:r>
    </w:p>
    <w:p w14:paraId="44A9C3F2" w14:textId="77777777" w:rsidR="00453C0A" w:rsidRPr="003256C5" w:rsidRDefault="00453C0A" w:rsidP="00453C0A">
      <w:pPr>
        <w:pStyle w:val="SingleTxtG"/>
      </w:pPr>
      <w:r w:rsidRPr="003256C5">
        <w:t>4.6</w:t>
      </w:r>
      <w:r w:rsidRPr="003256C5">
        <w:tab/>
        <w:t>Государство-участник поясняет, что написание данных в зоне визуальной проверки осуществляется на украинском языке и затем</w:t>
      </w:r>
      <w:r w:rsidR="00C25365">
        <w:t xml:space="preserve"> </w:t>
      </w:r>
      <w:r w:rsidRPr="003256C5">
        <w:t xml:space="preserve">через косую черту латинскими буквами в соответствии с таблицей транслитерации украинского алфавита латиницей, а именно: А </w:t>
      </w:r>
      <w:r>
        <w:t>–</w:t>
      </w:r>
      <w:r w:rsidRPr="003256C5">
        <w:t xml:space="preserve"> А; І </w:t>
      </w:r>
      <w:r>
        <w:t>–</w:t>
      </w:r>
      <w:r w:rsidRPr="003256C5">
        <w:t xml:space="preserve"> I; В</w:t>
      </w:r>
      <w:r>
        <w:t xml:space="preserve"> –</w:t>
      </w:r>
      <w:r w:rsidRPr="003256C5">
        <w:t xml:space="preserve"> V; Й – I; К – K; Л – L; М – M; Е – E; Н – N; Є – IE; </w:t>
      </w:r>
      <w:r>
        <w:br/>
      </w:r>
      <w:r w:rsidRPr="003256C5">
        <w:t>О – O; Р – R ; С – S</w:t>
      </w:r>
      <w:r w:rsidRPr="003256C5">
        <w:rPr>
          <w:sz w:val="18"/>
          <w:vertAlign w:val="superscript"/>
        </w:rPr>
        <w:footnoteReference w:id="11"/>
      </w:r>
      <w:r>
        <w:t>.</w:t>
      </w:r>
    </w:p>
    <w:p w14:paraId="3FCEE638" w14:textId="77777777" w:rsidR="00453C0A" w:rsidRPr="003256C5" w:rsidRDefault="00453C0A" w:rsidP="00453C0A">
      <w:pPr>
        <w:pStyle w:val="SingleTxtG"/>
      </w:pPr>
      <w:r w:rsidRPr="003256C5">
        <w:t>4.7</w:t>
      </w:r>
      <w:r w:rsidRPr="003256C5">
        <w:tab/>
        <w:t>Государство-участник отмечает, что при написании имени и фамилии отдельных лиц в украинских заграничных паспортах национальные власти должны брать за основу информацию на украинском языке. Государство-участник утверждает, что автор согласился с написанием его имени и фамилии в украинском (внутреннем) паспорте. Государство-участник считает, что информация, содержащаяся в украинском паспорте автора, предназначенного для выездов за границу, соответствует требованиям национального законодательства.</w:t>
      </w:r>
    </w:p>
    <w:p w14:paraId="7F62BADF" w14:textId="77777777" w:rsidR="00453C0A" w:rsidRPr="003256C5" w:rsidRDefault="00453C0A" w:rsidP="00453C0A">
      <w:pPr>
        <w:pStyle w:val="SingleTxtG"/>
      </w:pPr>
      <w:r w:rsidRPr="003256C5">
        <w:t>4.8</w:t>
      </w:r>
      <w:r w:rsidRPr="003256C5">
        <w:tab/>
        <w:t>Государство-участник утверждает, что только лишь того, что ходатайство автора об изменении транслитерации его имени и фамилии в заграничном паспорте было отклонено, недостаточно для того, чтобы обосновать его утверждение о нарушении его прав в соответствии со статьями 17 и 27 Пакта.</w:t>
      </w:r>
    </w:p>
    <w:p w14:paraId="09A7F6A0" w14:textId="77777777" w:rsidR="00453C0A" w:rsidRPr="003256C5" w:rsidRDefault="00453C0A" w:rsidP="00453C0A">
      <w:pPr>
        <w:pStyle w:val="SingleTxtG"/>
      </w:pPr>
      <w:r w:rsidRPr="003256C5">
        <w:t>4.9</w:t>
      </w:r>
      <w:r w:rsidRPr="003256C5">
        <w:tab/>
        <w:t>Кроме того, государство-участник информирует Комитет о том, что по состоянию на 11 марта 2016 года не имелось никакой информации о жалобе автора, поданной в Европейский суд по правам человека.</w:t>
      </w:r>
    </w:p>
    <w:p w14:paraId="0BAD041D" w14:textId="77777777" w:rsidR="00453C0A" w:rsidRPr="003256C5" w:rsidRDefault="00453C0A" w:rsidP="00453C0A">
      <w:pPr>
        <w:pStyle w:val="SingleTxtG"/>
      </w:pPr>
      <w:r w:rsidRPr="003256C5">
        <w:t>4.10</w:t>
      </w:r>
      <w:r w:rsidRPr="003256C5">
        <w:tab/>
        <w:t>С учетом вышеизложенного государство-участник считает, что в рассматриваемом случае не было никакого нарушения прав автора, гарантируемых Пактом.</w:t>
      </w:r>
    </w:p>
    <w:p w14:paraId="0783718E" w14:textId="77777777" w:rsidR="00453C0A" w:rsidRPr="003256C5" w:rsidRDefault="00453C0A" w:rsidP="00453C0A">
      <w:pPr>
        <w:pStyle w:val="H23G"/>
      </w:pPr>
      <w:r w:rsidRPr="003256C5">
        <w:tab/>
      </w:r>
      <w:r w:rsidRPr="003256C5">
        <w:tab/>
        <w:t>Комментарии автора к замечаниям государства-участника</w:t>
      </w:r>
    </w:p>
    <w:p w14:paraId="58A7FDB8" w14:textId="77777777" w:rsidR="00453C0A" w:rsidRPr="003256C5" w:rsidRDefault="00453C0A" w:rsidP="00453C0A">
      <w:pPr>
        <w:pStyle w:val="SingleTxtG"/>
      </w:pPr>
      <w:r w:rsidRPr="003256C5">
        <w:t>5.1</w:t>
      </w:r>
      <w:r w:rsidRPr="003256C5">
        <w:tab/>
        <w:t xml:space="preserve">Автор представил комментарии к замечаниям государства-участника 27 мая 2016 года. Он отмечает, что пользуется латинским написанием своих имени и фамилии. При открытии банковских счетов и регистрации для получения </w:t>
      </w:r>
      <w:r w:rsidR="00FE680E">
        <w:t>и</w:t>
      </w:r>
      <w:r w:rsidRPr="003256C5">
        <w:t>нтернет-услуг, связанных с платежами и авторским правом, он указывал имя и фамилию, написанные латиницей. Сотрудники банков и онлайн-сервисов принимают эту транслитерацию. Автор не пользуется транслитерацией для написания своего отчества, поскольку в принципе считает эту традицию дискриминационной по признаку пола/гендера. Согласно действующему в государстве-участнике законодательству, ни во внутреннем, ни в заграничном паспорте отчество латиницей не пишется.</w:t>
      </w:r>
    </w:p>
    <w:p w14:paraId="3FBD7155" w14:textId="77777777" w:rsidR="00453C0A" w:rsidRPr="003256C5" w:rsidRDefault="00453C0A" w:rsidP="00453C0A">
      <w:pPr>
        <w:pStyle w:val="SingleTxtG"/>
      </w:pPr>
      <w:r w:rsidRPr="003256C5">
        <w:t>5.2</w:t>
      </w:r>
      <w:r w:rsidRPr="003256C5">
        <w:tab/>
        <w:t xml:space="preserve">В своем первоначальном сообщении автор утверждал, что его фамилия должна быть написана как Moiseyenko. Он отказался от этого требования и согласен с написанием своей фамилии в соответствии с таблицей транслитерации, рекомендованной правительством, как Моисеенко/Moyseenko. Он обосновал свою </w:t>
      </w:r>
      <w:r w:rsidRPr="003256C5">
        <w:lastRenderedPageBreak/>
        <w:t>жалобу фактами, которые были подтверждены решениями национальных судов первой, апелляционной и кассационной инстанций.</w:t>
      </w:r>
    </w:p>
    <w:p w14:paraId="61B19C86" w14:textId="77777777" w:rsidR="00453C0A" w:rsidRPr="003256C5" w:rsidRDefault="00453C0A" w:rsidP="00453C0A">
      <w:pPr>
        <w:pStyle w:val="SingleTxtG"/>
      </w:pPr>
      <w:r w:rsidRPr="003256C5">
        <w:t>5.3</w:t>
      </w:r>
      <w:r w:rsidRPr="003256C5">
        <w:tab/>
        <w:t>Существует несколько систем и десятки таблиц для транслитерации национальных алфавитов: BGN/PCGN, ALA-LC, ISO 9:1995 и другие. Нормы, изложенные в пункте 8.3 раздела IV документа Международной организации гражданской авиации 9303 «Машиносчитываемые проездные документы», часть 1, том 1 (шестое издание, 2006 год), не обязывают государства использовать какую-либо конкретную таблицу транслитерации и официальные языки для написания имени в зоне визуальной проверки. Таким образом, власти государства-участника произвольно утвердили обязательную таблицу транслитерации. Эта таблица основана на транслитерации, рекомендованной Doc 9303 для кодирования имен в машиносчитываемой зоне, а не для записи имен в зоне визуальной проверки.</w:t>
      </w:r>
    </w:p>
    <w:p w14:paraId="75CEA7EE" w14:textId="77777777" w:rsidR="00453C0A" w:rsidRPr="003256C5" w:rsidRDefault="00453C0A" w:rsidP="00453C0A">
      <w:pPr>
        <w:pStyle w:val="SingleTxtG"/>
      </w:pPr>
      <w:r w:rsidRPr="003256C5">
        <w:t>5.4</w:t>
      </w:r>
      <w:r w:rsidRPr="003256C5">
        <w:tab/>
        <w:t xml:space="preserve">Согласно порядку получения паспорта для выезда за границу, утвержденному Постановлением </w:t>
      </w:r>
      <w:r w:rsidR="00FE680E" w:rsidRPr="003256C5">
        <w:t>№</w:t>
      </w:r>
      <w:r w:rsidR="00FE680E">
        <w:t xml:space="preserve"> </w:t>
      </w:r>
      <w:r w:rsidR="00FE680E" w:rsidRPr="003256C5">
        <w:t>231</w:t>
      </w:r>
      <w:r w:rsidR="00FE680E">
        <w:t xml:space="preserve"> </w:t>
      </w:r>
      <w:r w:rsidRPr="003256C5">
        <w:t xml:space="preserve">Кабинета министров Украины от 31 марта 1995 года, имена и фамилии на кириллице были в обязательном порядке изменены в соответствии с нормами украинского языка; государство-участник признает только украинское написание имен и фамилий в паспорте гражданина Украины. Государство-участник не предоставило представителям языковых меньшинств возможность выбирать таблицу транслитерации. Обязательная к использованию таблица транслитерации на протяжении </w:t>
      </w:r>
      <w:r w:rsidR="00FE680E">
        <w:t>20</w:t>
      </w:r>
      <w:r w:rsidRPr="003256C5">
        <w:t xml:space="preserve"> лет неоднократно менялась; в результате этого нередки ситуации, когда у членов семьи не совпадает написание фамилии.</w:t>
      </w:r>
    </w:p>
    <w:p w14:paraId="140D3AD8" w14:textId="77777777" w:rsidR="00453C0A" w:rsidRPr="003256C5" w:rsidRDefault="00453C0A" w:rsidP="00453C0A">
      <w:pPr>
        <w:pStyle w:val="SingleTxtG"/>
      </w:pPr>
      <w:r w:rsidRPr="003256C5">
        <w:t>5.5</w:t>
      </w:r>
      <w:r w:rsidRPr="003256C5">
        <w:tab/>
        <w:t>Соответствующие государственные служащие вписали в паспорт автора дополнительное украинское имя вместо оригинального русского, хотя автор не давал на это своего согласия и не высказывал подобных пожеланий. Государство-участник отказалось использовать русский вариант написания его имени и фамилии для транслитерации. По словам автора, этот факт установлен и отражен в решениях национальных судов. Он ссылается, в частности, на постановление Высшего административного суда, в котором установлено следующее: «Указания истца на то, что он русский и поэтому его имя и фамилия должны быть записаны в его паспорте латинскими буквами, соответствующими русскому алфавиту, недопустимы, так как они противоречат требованиям законодательства, применимого к судебному спору».</w:t>
      </w:r>
    </w:p>
    <w:p w14:paraId="5A971ACD" w14:textId="77777777" w:rsidR="00453C0A" w:rsidRPr="003256C5" w:rsidRDefault="00453C0A" w:rsidP="00453C0A">
      <w:pPr>
        <w:pStyle w:val="SingleTxtG"/>
      </w:pPr>
      <w:r w:rsidRPr="003256C5">
        <w:t>5.6</w:t>
      </w:r>
      <w:r w:rsidRPr="003256C5">
        <w:tab/>
        <w:t>Автор также приводит решение суда первой инстанции, в котором говорится, что: «Суд не принимает во внимание утверждение истца о том, что он является этническим русским</w:t>
      </w:r>
      <w:r w:rsidR="00C25365">
        <w:t xml:space="preserve"> </w:t>
      </w:r>
      <w:r w:rsidRPr="003256C5">
        <w:t xml:space="preserve">и что поэтому для транслитерации его фамилии, имени и отчества должны применяться правила транслитерации русского языка, поскольку в соответствии со статьей 10 Конституции государственным языком в Украине является украинский язык, и органы государственной власти в своей деятельности используют исключительно его». В этой связи автор утверждает, что нарушением Пакта является не сам по себе отказ суда удовлетворить его жалобу, а основания для этого отказа, которые представляются ему произвольными и незаконными. Он утверждает, что государство-участник не приняло во внимание его этническое происхождение, родной язык, национальные традиции, а также его желание выбрать и изменить имя и согласовать написание фамилии членов семьи. Поэтому автор делает вывод о том, что действия государства-участника могут быть квалифицированы как нарушение его обязательств по статьям 17 и 27 Пакта. </w:t>
      </w:r>
    </w:p>
    <w:p w14:paraId="71EC1C5C" w14:textId="77777777" w:rsidR="00453C0A" w:rsidRPr="003256C5" w:rsidRDefault="00453C0A" w:rsidP="00453C0A">
      <w:pPr>
        <w:pStyle w:val="H23G"/>
      </w:pPr>
      <w:r w:rsidRPr="003256C5">
        <w:tab/>
      </w:r>
      <w:r w:rsidRPr="003256C5">
        <w:tab/>
        <w:t>Вопросы и процедура их рассмотрения в Комитете</w:t>
      </w:r>
    </w:p>
    <w:p w14:paraId="0A08F939" w14:textId="77777777" w:rsidR="00453C0A" w:rsidRPr="003256C5" w:rsidRDefault="00453C0A" w:rsidP="00453C0A">
      <w:pPr>
        <w:pStyle w:val="H4G"/>
      </w:pPr>
      <w:r w:rsidRPr="003256C5">
        <w:tab/>
      </w:r>
      <w:r w:rsidRPr="003256C5">
        <w:tab/>
        <w:t>Рассмотрение вопроса о приемлемости</w:t>
      </w:r>
    </w:p>
    <w:p w14:paraId="154DC6AB" w14:textId="77777777" w:rsidR="00453C0A" w:rsidRPr="003256C5" w:rsidRDefault="00453C0A" w:rsidP="00453C0A">
      <w:pPr>
        <w:pStyle w:val="SingleTxtG"/>
      </w:pPr>
      <w:r w:rsidRPr="003256C5">
        <w:t>6.1</w:t>
      </w:r>
      <w:r w:rsidRPr="003256C5">
        <w:tab/>
        <w:t>Прежде чем рассматривать любую жалобу, содержащуюся в сообщении, Комитет по правам человека должен в соответствии с правилом 97 правил процедуры решить, является ли сообщение приемлемым согласно Факультативному протоколу.</w:t>
      </w:r>
    </w:p>
    <w:p w14:paraId="63CB421F" w14:textId="77777777" w:rsidR="00453C0A" w:rsidRPr="003256C5" w:rsidRDefault="00453C0A" w:rsidP="00453C0A">
      <w:pPr>
        <w:pStyle w:val="SingleTxtG"/>
      </w:pPr>
      <w:r w:rsidRPr="003256C5">
        <w:t>6.2</w:t>
      </w:r>
      <w:r w:rsidRPr="003256C5">
        <w:tab/>
        <w:t xml:space="preserve">Согласно пункту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 </w:t>
      </w:r>
    </w:p>
    <w:p w14:paraId="07B47B5A" w14:textId="77777777" w:rsidR="00453C0A" w:rsidRPr="003256C5" w:rsidRDefault="00453C0A" w:rsidP="00453C0A">
      <w:pPr>
        <w:pStyle w:val="SingleTxtG"/>
      </w:pPr>
      <w:r w:rsidRPr="003256C5">
        <w:lastRenderedPageBreak/>
        <w:t>6.3</w:t>
      </w:r>
      <w:r w:rsidRPr="003256C5">
        <w:tab/>
        <w:t xml:space="preserve">Комитет принимает к сведению утверждение автора о том, что он исчерпал все имеющиеся в его распоряжении внутренние средства правовой защиты. В отсутствие каких-либо возражений от государства-участника Комитет считает, что требования подпункта </w:t>
      </w:r>
      <w:r w:rsidR="00FE680E">
        <w:rPr>
          <w:lang w:val="en-US"/>
        </w:rPr>
        <w:t>b</w:t>
      </w:r>
      <w:r w:rsidRPr="003256C5">
        <w:t xml:space="preserve">) пункта 2 статьи 5 Факультативного протокола соблюдены для признания сообщения приемлемым. </w:t>
      </w:r>
    </w:p>
    <w:p w14:paraId="31ECE83D" w14:textId="77777777" w:rsidR="00453C0A" w:rsidRPr="003256C5" w:rsidRDefault="00453C0A" w:rsidP="00453C0A">
      <w:pPr>
        <w:pStyle w:val="SingleTxtG"/>
      </w:pPr>
      <w:r w:rsidRPr="003256C5">
        <w:t>6.4</w:t>
      </w:r>
      <w:r w:rsidRPr="003256C5">
        <w:tab/>
        <w:t xml:space="preserve">Комитет принимает к сведению утверждение автора о том, что в нарушение статей 17 и 27 Пакта транслитерация его имени и фамилии в заграничном паспорте на латинский алфавит была осуществлена с украинского, а не с русского языка. Комитет также принимает к сведению утверждение государства-участника о том, что власти соблюдали лингвистические правила транслитерации, прописанные во внутреннем законодательстве, и учитывали требования в отношении </w:t>
      </w:r>
      <w:proofErr w:type="spellStart"/>
      <w:r w:rsidRPr="003256C5">
        <w:t>машиносчитываемых</w:t>
      </w:r>
      <w:proofErr w:type="spellEnd"/>
      <w:r w:rsidRPr="003256C5">
        <w:t xml:space="preserve"> проездных документов, выдаваемых государством-участником своим гражданам. Комитет далее отмечает, что в основном удостоверении личности автора </w:t>
      </w:r>
      <w:r>
        <w:t>–</w:t>
      </w:r>
      <w:r w:rsidRPr="003256C5">
        <w:t xml:space="preserve"> его украинском внутреннем паспорте </w:t>
      </w:r>
      <w:r>
        <w:t>–</w:t>
      </w:r>
      <w:r w:rsidRPr="003256C5">
        <w:t xml:space="preserve"> его имя написано на украинском и русском языках. Комитет также принимает к сведению тот факт, что в своем первоначальном сообщении автор утверждал, что его фамилия должна быть написана в транслитерированном варианте как Moiseyenko, в то время как в своих последующих комментариях он отказался от этих претензий, согласившись с написанием его фамилии в соответствии с таблицей транслитерации, рекомендованной государством-участником. В отсутствие какой-либо другой имеющей отношение к делу информации, в частности конкретных аргументов относительно того, каким образом государство-участник незаконно или произвольно вмешивалось в осуществление автором его прав, предусмотренных статьями 17 и 27, и каким образом конкретно на нем отразилась транслитерация его имени в заграничном паспорте с украинского на латинский алфавит в соответствии с установленными внутренним законодательством правилами транслитерации</w:t>
      </w:r>
      <w:r w:rsidR="00C25365">
        <w:t xml:space="preserve"> </w:t>
      </w:r>
      <w:r w:rsidRPr="003256C5">
        <w:t>для оформления украинского паспорта для выездов за границу, Комитет считает, что сообщение является недостаточно обоснованным и поэтому неприемлемым в соответствии со статьей 2 Факультативного протокола.</w:t>
      </w:r>
    </w:p>
    <w:p w14:paraId="68963D01" w14:textId="77777777" w:rsidR="00453C0A" w:rsidRPr="003256C5" w:rsidRDefault="00453C0A" w:rsidP="00453C0A">
      <w:pPr>
        <w:pStyle w:val="SingleTxtG"/>
      </w:pPr>
      <w:r w:rsidRPr="003256C5">
        <w:t>7.</w:t>
      </w:r>
      <w:r w:rsidRPr="003256C5">
        <w:tab/>
        <w:t>Таким образом, Комитет постановляет:</w:t>
      </w:r>
    </w:p>
    <w:p w14:paraId="66AF4F30" w14:textId="77777777" w:rsidR="00453C0A" w:rsidRPr="003256C5" w:rsidRDefault="00453C0A" w:rsidP="00453C0A">
      <w:pPr>
        <w:pStyle w:val="SingleTxtG"/>
      </w:pPr>
      <w:r>
        <w:tab/>
      </w:r>
      <w:r w:rsidRPr="003256C5">
        <w:tab/>
        <w:t>a)</w:t>
      </w:r>
      <w:r w:rsidRPr="003256C5">
        <w:tab/>
        <w:t>признать сообщение неприемлемым по статье 2 Факультативного протокола;</w:t>
      </w:r>
    </w:p>
    <w:p w14:paraId="6E7DDFFE" w14:textId="77777777" w:rsidR="00381C24" w:rsidRDefault="00453C0A" w:rsidP="00453C0A">
      <w:pPr>
        <w:pStyle w:val="SingleTxtG"/>
        <w:rPr>
          <w:lang w:val="en-US"/>
        </w:rPr>
      </w:pPr>
      <w:r>
        <w:tab/>
      </w:r>
      <w:r>
        <w:tab/>
      </w:r>
      <w:r w:rsidRPr="003256C5">
        <w:t>b)</w:t>
      </w:r>
      <w:r w:rsidRPr="003256C5">
        <w:tab/>
        <w:t>препроводить настоящее решение государству-участнику и автору сообщения</w:t>
      </w:r>
      <w:r>
        <w:rPr>
          <w:lang w:val="en-US"/>
        </w:rPr>
        <w:t>.</w:t>
      </w:r>
    </w:p>
    <w:p w14:paraId="6E070144" w14:textId="77777777" w:rsidR="00453C0A" w:rsidRPr="00453C0A" w:rsidRDefault="00453C0A" w:rsidP="00453C0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3C0A" w:rsidRPr="00453C0A" w:rsidSect="00453C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F1B9" w14:textId="77777777" w:rsidR="00F94776" w:rsidRPr="00A312BC" w:rsidRDefault="00F94776" w:rsidP="00A312BC"/>
  </w:endnote>
  <w:endnote w:type="continuationSeparator" w:id="0">
    <w:p w14:paraId="651B1BB8" w14:textId="77777777" w:rsidR="00F94776" w:rsidRPr="00A312BC" w:rsidRDefault="00F947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E198" w14:textId="6A48C308" w:rsidR="00453C0A" w:rsidRPr="00453C0A" w:rsidRDefault="00453C0A">
    <w:pPr>
      <w:pStyle w:val="Footer"/>
    </w:pPr>
    <w:r w:rsidRPr="00453C0A">
      <w:rPr>
        <w:b/>
        <w:sz w:val="18"/>
      </w:rPr>
      <w:fldChar w:fldCharType="begin"/>
    </w:r>
    <w:r w:rsidRPr="00453C0A">
      <w:rPr>
        <w:b/>
        <w:sz w:val="18"/>
      </w:rPr>
      <w:instrText xml:space="preserve"> PAGE  \* MERGEFORMAT </w:instrText>
    </w:r>
    <w:r w:rsidRPr="00453C0A">
      <w:rPr>
        <w:b/>
        <w:sz w:val="18"/>
      </w:rPr>
      <w:fldChar w:fldCharType="separate"/>
    </w:r>
    <w:r w:rsidR="001D37DD">
      <w:rPr>
        <w:b/>
        <w:noProof/>
        <w:sz w:val="18"/>
      </w:rPr>
      <w:t>6</w:t>
    </w:r>
    <w:r w:rsidRPr="00453C0A">
      <w:rPr>
        <w:b/>
        <w:sz w:val="18"/>
      </w:rPr>
      <w:fldChar w:fldCharType="end"/>
    </w:r>
    <w:r>
      <w:rPr>
        <w:b/>
        <w:sz w:val="18"/>
      </w:rPr>
      <w:tab/>
    </w:r>
    <w:r>
      <w:t>GE.19-21030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5B47" w14:textId="1A2FE4B5" w:rsidR="00453C0A" w:rsidRPr="00453C0A" w:rsidRDefault="00453C0A" w:rsidP="00453C0A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GE.19-21030</w:t>
    </w:r>
    <w:r>
      <w:tab/>
    </w:r>
    <w:r w:rsidRPr="00453C0A">
      <w:rPr>
        <w:b/>
        <w:sz w:val="18"/>
      </w:rPr>
      <w:fldChar w:fldCharType="begin"/>
    </w:r>
    <w:r w:rsidRPr="00453C0A">
      <w:rPr>
        <w:b/>
        <w:sz w:val="18"/>
      </w:rPr>
      <w:instrText xml:space="preserve"> PAGE  \* MERGEFORMAT </w:instrText>
    </w:r>
    <w:r w:rsidRPr="00453C0A">
      <w:rPr>
        <w:b/>
        <w:sz w:val="18"/>
      </w:rPr>
      <w:fldChar w:fldCharType="separate"/>
    </w:r>
    <w:r w:rsidR="001D37DD">
      <w:rPr>
        <w:b/>
        <w:noProof/>
        <w:sz w:val="18"/>
      </w:rPr>
      <w:t>5</w:t>
    </w:r>
    <w:r w:rsidRPr="00453C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B8EE7" w14:textId="77777777" w:rsidR="00042B72" w:rsidRPr="00453C0A" w:rsidRDefault="00453C0A" w:rsidP="00453C0A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4B26B221" wp14:editId="268C776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19-21030  (R)</w:t>
    </w:r>
    <w:r w:rsidR="007272B3">
      <w:rPr>
        <w:lang w:val="en-US"/>
      </w:rPr>
      <w:t xml:space="preserve">  130120  140120</w:t>
    </w:r>
    <w:r>
      <w:br/>
    </w:r>
    <w:r w:rsidRPr="00453C0A">
      <w:rPr>
        <w:rFonts w:ascii="C39T30Lfz" w:hAnsi="C39T30Lfz"/>
        <w:kern w:val="14"/>
        <w:sz w:val="56"/>
      </w:rPr>
      <w:t></w:t>
    </w:r>
    <w:r w:rsidRPr="00453C0A">
      <w:rPr>
        <w:rFonts w:ascii="C39T30Lfz" w:hAnsi="C39T30Lfz"/>
        <w:kern w:val="14"/>
        <w:sz w:val="56"/>
      </w:rPr>
      <w:t></w:t>
    </w:r>
    <w:r w:rsidRPr="00453C0A">
      <w:rPr>
        <w:rFonts w:ascii="C39T30Lfz" w:hAnsi="C39T30Lfz"/>
        <w:kern w:val="14"/>
        <w:sz w:val="56"/>
      </w:rPr>
      <w:t></w:t>
    </w:r>
    <w:r w:rsidRPr="00453C0A">
      <w:rPr>
        <w:rFonts w:ascii="C39T30Lfz" w:hAnsi="C39T30Lfz"/>
        <w:kern w:val="14"/>
        <w:sz w:val="56"/>
      </w:rPr>
      <w:t></w:t>
    </w:r>
    <w:r w:rsidRPr="00453C0A">
      <w:rPr>
        <w:rFonts w:ascii="C39T30Lfz" w:hAnsi="C39T30Lfz"/>
        <w:kern w:val="14"/>
        <w:sz w:val="56"/>
      </w:rPr>
      <w:t></w:t>
    </w:r>
    <w:r w:rsidRPr="00453C0A">
      <w:rPr>
        <w:rFonts w:ascii="C39T30Lfz" w:hAnsi="C39T30Lfz"/>
        <w:kern w:val="14"/>
        <w:sz w:val="56"/>
      </w:rPr>
      <w:t></w:t>
    </w:r>
    <w:r w:rsidRPr="00453C0A">
      <w:rPr>
        <w:rFonts w:ascii="C39T30Lfz" w:hAnsi="C39T30Lfz"/>
        <w:kern w:val="14"/>
        <w:sz w:val="56"/>
      </w:rPr>
      <w:t></w:t>
    </w:r>
    <w:r w:rsidRPr="00453C0A">
      <w:rPr>
        <w:rFonts w:ascii="C39T30Lfz" w:hAnsi="C39T30Lfz"/>
        <w:kern w:val="14"/>
        <w:sz w:val="56"/>
      </w:rPr>
      <w:t></w:t>
    </w:r>
    <w:r w:rsidRPr="00453C0A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8A3448F" wp14:editId="7A89E8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7/D/2717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7/D/2717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C35D8" w14:textId="77777777" w:rsidR="00F94776" w:rsidRPr="001075E9" w:rsidRDefault="00F947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93C7D8" w14:textId="77777777" w:rsidR="00F94776" w:rsidRDefault="00F947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A4C78E" w14:textId="77777777" w:rsidR="00453C0A" w:rsidRPr="007E0E8C" w:rsidRDefault="00453C0A" w:rsidP="00453C0A">
      <w:pPr>
        <w:pStyle w:val="FootnoteText"/>
        <w:jc w:val="both"/>
      </w:pPr>
      <w:r>
        <w:tab/>
      </w:r>
      <w:r w:rsidRPr="003256C5">
        <w:rPr>
          <w:sz w:val="20"/>
        </w:rPr>
        <w:t>*</w:t>
      </w:r>
      <w:r>
        <w:tab/>
        <w:t>Принято Комитетом на его 127-й сессии (14 октября – 8 ноября 2019 года).</w:t>
      </w:r>
    </w:p>
  </w:footnote>
  <w:footnote w:id="2">
    <w:p w14:paraId="27883EDF" w14:textId="77777777" w:rsidR="00453C0A" w:rsidRPr="007E0E8C" w:rsidRDefault="00453C0A" w:rsidP="00453C0A">
      <w:pPr>
        <w:pStyle w:val="FootnoteText"/>
      </w:pPr>
      <w:r>
        <w:tab/>
      </w:r>
      <w:r w:rsidRPr="003256C5">
        <w:rPr>
          <w:sz w:val="20"/>
        </w:rPr>
        <w:t>**</w:t>
      </w:r>
      <w:r>
        <w:tab/>
        <w:t xml:space="preserve">В рассмотрении настоящего сообщения принимали участие следующие члены Комитета: </w:t>
      </w:r>
      <w:proofErr w:type="spellStart"/>
      <w:r>
        <w:t>Танья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Рочоль</w:t>
      </w:r>
      <w:proofErr w:type="spellEnd"/>
      <w:r>
        <w:t xml:space="preserve">, Яд Бен </w:t>
      </w:r>
      <w:proofErr w:type="spellStart"/>
      <w:r>
        <w:t>Ашур</w:t>
      </w:r>
      <w:proofErr w:type="spellEnd"/>
      <w:r>
        <w:t xml:space="preserve">, Илзе </w:t>
      </w:r>
      <w:proofErr w:type="spellStart"/>
      <w:r>
        <w:t>Брандс</w:t>
      </w:r>
      <w:proofErr w:type="spellEnd"/>
      <w:r>
        <w:t xml:space="preserve"> </w:t>
      </w:r>
      <w:proofErr w:type="spellStart"/>
      <w:r>
        <w:t>Кехрис</w:t>
      </w:r>
      <w:proofErr w:type="spellEnd"/>
      <w:r>
        <w:t xml:space="preserve">, </w:t>
      </w:r>
      <w:proofErr w:type="spellStart"/>
      <w:r>
        <w:t>Ариф</w:t>
      </w:r>
      <w:proofErr w:type="spellEnd"/>
      <w:r>
        <w:t xml:space="preserve"> Балкан, Ахмед Амин </w:t>
      </w:r>
      <w:proofErr w:type="spellStart"/>
      <w:r>
        <w:t>Фатхалла</w:t>
      </w:r>
      <w:proofErr w:type="spellEnd"/>
      <w:r>
        <w:t xml:space="preserve">, </w:t>
      </w:r>
      <w:proofErr w:type="spellStart"/>
      <w:r>
        <w:t>Сюити</w:t>
      </w:r>
      <w:proofErr w:type="spellEnd"/>
      <w:r>
        <w:t xml:space="preserve"> </w:t>
      </w:r>
      <w:proofErr w:type="spellStart"/>
      <w:r>
        <w:t>Фуруя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Марсия</w:t>
      </w:r>
      <w:proofErr w:type="spellEnd"/>
      <w:r>
        <w:t xml:space="preserve"> В. Дж. Кран, </w:t>
      </w:r>
      <w:proofErr w:type="spellStart"/>
      <w:r>
        <w:t>Данкан</w:t>
      </w:r>
      <w:proofErr w:type="spellEnd"/>
      <w:r>
        <w:t xml:space="preserve">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</w:t>
      </w:r>
      <w:proofErr w:type="spellStart"/>
      <w:r>
        <w:t>Эрнан</w:t>
      </w:r>
      <w:proofErr w:type="spellEnd"/>
      <w:r>
        <w:t xml:space="preserve">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</w:t>
      </w:r>
      <w:proofErr w:type="spellStart"/>
      <w:r>
        <w:t>Жозе</w:t>
      </w:r>
      <w:proofErr w:type="spellEnd"/>
      <w:r>
        <w:t xml:space="preserve"> Мануэл </w:t>
      </w:r>
      <w:proofErr w:type="spellStart"/>
      <w:r>
        <w:t>Сантуш</w:t>
      </w:r>
      <w:proofErr w:type="spellEnd"/>
      <w:r>
        <w:t xml:space="preserve">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 и Элен </w:t>
      </w:r>
      <w:proofErr w:type="spellStart"/>
      <w:r>
        <w:t>Тигруджа</w:t>
      </w:r>
      <w:proofErr w:type="spellEnd"/>
      <w:r>
        <w:t>.</w:t>
      </w:r>
    </w:p>
  </w:footnote>
  <w:footnote w:id="3">
    <w:p w14:paraId="30E0B1E7" w14:textId="77777777" w:rsidR="00453C0A" w:rsidRPr="007E0E8C" w:rsidRDefault="00453C0A" w:rsidP="00453C0A">
      <w:pPr>
        <w:pStyle w:val="FootnoteText"/>
      </w:pPr>
      <w:r>
        <w:tab/>
      </w:r>
      <w:r w:rsidRPr="003256C5">
        <w:rPr>
          <w:szCs w:val="18"/>
          <w:vertAlign w:val="superscript"/>
        </w:rPr>
        <w:footnoteRef/>
      </w:r>
      <w:r>
        <w:tab/>
        <w:t xml:space="preserve">Документ, выданный в свое время государственными органами Союза Советских Социалистических Республик. </w:t>
      </w:r>
    </w:p>
  </w:footnote>
  <w:footnote w:id="4">
    <w:p w14:paraId="3715A9EF" w14:textId="77777777" w:rsidR="00453C0A" w:rsidRPr="007E0E8C" w:rsidRDefault="00453C0A" w:rsidP="00453C0A">
      <w:pPr>
        <w:pStyle w:val="FootnoteText"/>
      </w:pPr>
      <w:r>
        <w:tab/>
      </w:r>
      <w:r w:rsidRPr="003256C5">
        <w:rPr>
          <w:szCs w:val="18"/>
          <w:vertAlign w:val="superscript"/>
        </w:rPr>
        <w:footnoteRef/>
      </w:r>
      <w:r>
        <w:tab/>
        <w:t xml:space="preserve">Автор также не согласился с латинской транслитерацией его имени и фамилии по причине возникшей неопределенности: непонятно, на каком языке это написано, как произносится, женщине или мужчине принадлежит это имя и может ли такая форма написания в принципе использоваться в качестве имени.  </w:t>
      </w:r>
    </w:p>
  </w:footnote>
  <w:footnote w:id="5">
    <w:p w14:paraId="55250672" w14:textId="77777777" w:rsidR="00453C0A" w:rsidRPr="007E0E8C" w:rsidRDefault="00453C0A" w:rsidP="00453C0A">
      <w:pPr>
        <w:pStyle w:val="FootnoteText"/>
        <w:rPr>
          <w:szCs w:val="18"/>
        </w:rPr>
      </w:pPr>
      <w:r>
        <w:rPr>
          <w:szCs w:val="18"/>
        </w:rPr>
        <w:tab/>
      </w:r>
      <w:r w:rsidRPr="003256C5">
        <w:rPr>
          <w:szCs w:val="18"/>
          <w:vertAlign w:val="superscript"/>
        </w:rPr>
        <w:footnoteRef/>
      </w:r>
      <w:r>
        <w:tab/>
        <w:t>В статье 294 Гражданского кодекса Украины установлено следующее (неофициальный перевод):</w:t>
      </w:r>
    </w:p>
    <w:p w14:paraId="08752E57" w14:textId="77777777" w:rsidR="00453C0A" w:rsidRPr="007E0E8C" w:rsidRDefault="00453C0A" w:rsidP="00453C0A">
      <w:pPr>
        <w:pStyle w:val="FootnoteText"/>
        <w:rPr>
          <w:szCs w:val="18"/>
        </w:rPr>
      </w:pPr>
      <w:r>
        <w:tab/>
      </w:r>
      <w:r>
        <w:tab/>
        <w:t>Право на имя</w:t>
      </w:r>
    </w:p>
    <w:p w14:paraId="127F7ACD" w14:textId="77777777" w:rsidR="00453C0A" w:rsidRPr="007E0E8C" w:rsidRDefault="00453C0A" w:rsidP="00453C0A">
      <w:pPr>
        <w:pStyle w:val="FootnoteText"/>
      </w:pPr>
      <w:r>
        <w:tab/>
      </w:r>
      <w:r>
        <w:tab/>
        <w:t>1.</w:t>
      </w:r>
      <w:r>
        <w:tab/>
        <w:t>Физическое лицо имеет право на имя.</w:t>
      </w:r>
    </w:p>
    <w:p w14:paraId="3F96D0FB" w14:textId="77777777" w:rsidR="00453C0A" w:rsidRPr="007E0E8C" w:rsidRDefault="00453C0A" w:rsidP="00453C0A">
      <w:pPr>
        <w:pStyle w:val="FootnoteText"/>
        <w:rPr>
          <w:szCs w:val="18"/>
        </w:rPr>
      </w:pPr>
      <w:r>
        <w:tab/>
      </w:r>
      <w:r>
        <w:tab/>
        <w:t>2.</w:t>
      </w:r>
      <w:r>
        <w:tab/>
        <w:t>Физическое лицо имеет право на транскрибированную запись его фамилии и имени в соответствии со своей национальной традицией.</w:t>
      </w:r>
    </w:p>
    <w:p w14:paraId="17DC041A" w14:textId="77777777" w:rsidR="00453C0A" w:rsidRPr="007E0E8C" w:rsidRDefault="00453C0A" w:rsidP="00453C0A">
      <w:pPr>
        <w:pStyle w:val="FootnoteText"/>
        <w:rPr>
          <w:szCs w:val="18"/>
        </w:rPr>
      </w:pPr>
      <w:r>
        <w:tab/>
      </w:r>
      <w:r>
        <w:tab/>
        <w:t>3.</w:t>
      </w:r>
      <w:r>
        <w:tab/>
        <w:t>В случае искажения имени физического лица оно должно быть исправлено. Если искажение имени было осуществлено в документе, такой документ подлежит замене.</w:t>
      </w:r>
    </w:p>
  </w:footnote>
  <w:footnote w:id="6">
    <w:p w14:paraId="6E9627E5" w14:textId="77777777" w:rsidR="00453C0A" w:rsidRPr="007E0E8C" w:rsidRDefault="00453C0A" w:rsidP="00453C0A">
      <w:pPr>
        <w:pStyle w:val="FootnoteText"/>
      </w:pPr>
      <w:r>
        <w:tab/>
      </w:r>
      <w:r w:rsidRPr="003256C5">
        <w:rPr>
          <w:szCs w:val="18"/>
          <w:vertAlign w:val="superscript"/>
        </w:rPr>
        <w:footnoteRef/>
      </w:r>
      <w:r>
        <w:tab/>
        <w:t>Постановление № 231 Государственного департамента по делам гражданства, иммиграции и регистрации физических лиц Министерства внутренних дел Украины от 31 марта 1995 года.</w:t>
      </w:r>
    </w:p>
  </w:footnote>
  <w:footnote w:id="7">
    <w:p w14:paraId="11855CDA" w14:textId="77777777" w:rsidR="00453C0A" w:rsidRPr="007E0E8C" w:rsidRDefault="00453C0A" w:rsidP="00453C0A">
      <w:pPr>
        <w:pStyle w:val="FootnoteText"/>
      </w:pPr>
      <w:r>
        <w:tab/>
      </w:r>
      <w:r w:rsidRPr="003256C5">
        <w:rPr>
          <w:szCs w:val="18"/>
          <w:vertAlign w:val="superscript"/>
        </w:rPr>
        <w:footnoteRef/>
      </w:r>
      <w:r>
        <w:tab/>
        <w:t xml:space="preserve">Секретариат сделал запрос насчет этого дела в Европейский суд по правам человека. Согласно полученной из реестра информации от 18 января 2016 года, такая жалоба не зарегистрирована. </w:t>
      </w:r>
    </w:p>
  </w:footnote>
  <w:footnote w:id="8">
    <w:p w14:paraId="4447D6F6" w14:textId="77777777" w:rsidR="00453C0A" w:rsidRPr="007E0E8C" w:rsidRDefault="00453C0A" w:rsidP="00453C0A">
      <w:pPr>
        <w:pStyle w:val="FootnoteText"/>
      </w:pPr>
      <w:r>
        <w:tab/>
      </w:r>
      <w:r w:rsidRPr="003256C5">
        <w:rPr>
          <w:vertAlign w:val="superscript"/>
        </w:rPr>
        <w:footnoteRef/>
      </w:r>
      <w:r>
        <w:tab/>
        <w:t xml:space="preserve">Государство-участник ссылается на подзаконный акт: Международная организация гражданской авиации, Doc 9303, </w:t>
      </w:r>
      <w:r w:rsidRPr="00FE680E">
        <w:rPr>
          <w:i/>
        </w:rPr>
        <w:t>Машиносчитываемые проездные документы</w:t>
      </w:r>
      <w:r>
        <w:t xml:space="preserve">, часть 1: </w:t>
      </w:r>
      <w:r w:rsidRPr="003256C5">
        <w:t>«</w:t>
      </w:r>
      <w:r>
        <w:t>Машиносчитываемые паспорта</w:t>
      </w:r>
      <w:r w:rsidRPr="003256C5">
        <w:t>»</w:t>
      </w:r>
      <w:r>
        <w:t>, раздел IV-9, пункт 8.3 (шестое издание, 2006 год).</w:t>
      </w:r>
    </w:p>
  </w:footnote>
  <w:footnote w:id="9">
    <w:p w14:paraId="130E64F3" w14:textId="77777777" w:rsidR="00453C0A" w:rsidRPr="007E0E8C" w:rsidRDefault="00453C0A" w:rsidP="00453C0A">
      <w:pPr>
        <w:pStyle w:val="FootnoteText"/>
      </w:pPr>
      <w:r>
        <w:tab/>
      </w:r>
      <w:r w:rsidRPr="003256C5">
        <w:rPr>
          <w:vertAlign w:val="superscript"/>
        </w:rPr>
        <w:footnoteRef/>
      </w:r>
      <w:r>
        <w:tab/>
        <w:t>В соответствии с пунктом 1 дополнения 21 к Постановлению № 231 Кабинета министров от 31 марта 1995 года, вступившего в силу 26 июня 2007 года.</w:t>
      </w:r>
    </w:p>
  </w:footnote>
  <w:footnote w:id="10">
    <w:p w14:paraId="2A437FFE" w14:textId="77777777" w:rsidR="00453C0A" w:rsidRPr="007E0E8C" w:rsidRDefault="00453C0A" w:rsidP="00453C0A">
      <w:pPr>
        <w:pStyle w:val="FootnoteText"/>
      </w:pPr>
      <w:r>
        <w:tab/>
      </w:r>
      <w:r w:rsidRPr="003256C5">
        <w:rPr>
          <w:vertAlign w:val="superscript"/>
        </w:rPr>
        <w:footnoteRef/>
      </w:r>
      <w:r>
        <w:tab/>
        <w:t xml:space="preserve">Согласно пункту 2 Постановления № 1383 Кабинета министров – </w:t>
      </w:r>
      <w:r w:rsidRPr="003256C5">
        <w:t>«</w:t>
      </w:r>
      <w:r>
        <w:t>Об утверждении Положения о Министерстве внутренних дел Украины</w:t>
      </w:r>
      <w:r w:rsidRPr="003256C5">
        <w:t>»</w:t>
      </w:r>
      <w:r>
        <w:t xml:space="preserve"> – от 4 октября 2006 года, вступившего в силу 14 мая 2008 года.</w:t>
      </w:r>
    </w:p>
  </w:footnote>
  <w:footnote w:id="11">
    <w:p w14:paraId="7A91F236" w14:textId="77777777" w:rsidR="00453C0A" w:rsidRDefault="00453C0A" w:rsidP="00453C0A">
      <w:pPr>
        <w:pStyle w:val="FootnoteText"/>
      </w:pPr>
      <w:r>
        <w:tab/>
      </w:r>
      <w:r w:rsidRPr="003256C5">
        <w:rPr>
          <w:vertAlign w:val="superscript"/>
        </w:rPr>
        <w:footnoteRef/>
      </w:r>
      <w:r>
        <w:tab/>
        <w:t>В соответствии с пунктом 5 дополнения 2 к Постановлению № 231 от 31 марта 1995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5B9A" w14:textId="282FA775" w:rsidR="00453C0A" w:rsidRPr="00453C0A" w:rsidRDefault="008C03EB">
    <w:pPr>
      <w:pStyle w:val="Header"/>
    </w:pPr>
    <w:fldSimple w:instr=" TITLE  \* MERGEFORMAT ">
      <w:r w:rsidR="00FB4A32">
        <w:t>CCPR/C/127/D/2717/2016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1B29" w14:textId="4956DDD1" w:rsidR="00453C0A" w:rsidRPr="00453C0A" w:rsidRDefault="008C03EB" w:rsidP="00453C0A">
    <w:pPr>
      <w:pStyle w:val="Header"/>
      <w:jc w:val="right"/>
    </w:pPr>
    <w:fldSimple w:instr=" TITLE  \* MERGEFORMAT ">
      <w:r w:rsidR="00FB4A32">
        <w:t>CCPR/C/127/D/2717/2016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FE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37DD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3C0A"/>
    <w:rsid w:val="00454E07"/>
    <w:rsid w:val="00472C5C"/>
    <w:rsid w:val="00491896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E74D7"/>
    <w:rsid w:val="006F35EE"/>
    <w:rsid w:val="007021FF"/>
    <w:rsid w:val="00712895"/>
    <w:rsid w:val="007138FE"/>
    <w:rsid w:val="007272B3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8C03EB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25365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4776"/>
    <w:rsid w:val="00F9783F"/>
    <w:rsid w:val="00FB4A32"/>
    <w:rsid w:val="00FC636C"/>
    <w:rsid w:val="00FD2EF7"/>
    <w:rsid w:val="00FE447E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4ED6"/>
  <w15:docId w15:val="{C4DE209B-C0DD-492F-8B2A-981907E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AD6F87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AD6F87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AD6F87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D6F87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AD6F87"/>
  </w:style>
  <w:style w:type="character" w:customStyle="1" w:styleId="EndnoteTextChar">
    <w:name w:val="Endnote Text Char"/>
    <w:aliases w:val="2_G Char"/>
    <w:basedOn w:val="DefaultParagraphFont"/>
    <w:link w:val="EndnoteText"/>
    <w:rsid w:val="00AD6F87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AD6F87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AD6F8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CCPR/C/127/D/2717/2016</vt:lpstr>
      <vt:lpstr>CCPR/C/127/D/2717/2016</vt:lpstr>
      <vt:lpstr>A/</vt:lpstr>
    </vt:vector>
  </TitlesOfParts>
  <Company>DCM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CCPR/C/127/D/2717/2016</dc:title>
  <dc:subject/>
  <dc:creator>Assistant</dc:creator>
  <cp:keywords/>
  <cp:lastModifiedBy>Emeric Camp</cp:lastModifiedBy>
  <cp:revision>2</cp:revision>
  <cp:lastPrinted>2020-01-14T13:55:00Z</cp:lastPrinted>
  <dcterms:created xsi:type="dcterms:W3CDTF">2020-02-19T08:25:00Z</dcterms:created>
  <dcterms:modified xsi:type="dcterms:W3CDTF">2020-02-19T08:25:00Z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