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0BF5ACD" w14:textId="77777777" w:rsidTr="005B51C4">
        <w:trPr>
          <w:trHeight w:hRule="exact" w:val="851"/>
        </w:trPr>
        <w:tc>
          <w:tcPr>
            <w:tcW w:w="1274" w:type="dxa"/>
            <w:tcBorders>
              <w:bottom w:val="single" w:sz="4" w:space="0" w:color="auto"/>
            </w:tcBorders>
            <w:shd w:val="clear" w:color="auto" w:fill="auto"/>
          </w:tcPr>
          <w:p w14:paraId="4427D351" w14:textId="77777777" w:rsidR="006B3E27" w:rsidRPr="00C175A6" w:rsidRDefault="006B3E27" w:rsidP="00D42359">
            <w:pPr>
              <w:kinsoku w:val="0"/>
              <w:overflowPunct w:val="0"/>
              <w:autoSpaceDE w:val="0"/>
              <w:autoSpaceDN w:val="0"/>
              <w:adjustRightInd w:val="0"/>
              <w:snapToGrid w:val="0"/>
              <w:jc w:val="center"/>
              <w:rPr>
                <w:rFonts w:hint="cs"/>
                <w:sz w:val="56"/>
                <w:szCs w:val="56"/>
              </w:rPr>
            </w:pPr>
          </w:p>
        </w:tc>
        <w:tc>
          <w:tcPr>
            <w:tcW w:w="4537" w:type="dxa"/>
            <w:tcBorders>
              <w:bottom w:val="single" w:sz="4" w:space="0" w:color="auto"/>
            </w:tcBorders>
            <w:shd w:val="clear" w:color="auto" w:fill="auto"/>
            <w:vAlign w:val="bottom"/>
          </w:tcPr>
          <w:p w14:paraId="46E2B19A" w14:textId="77777777" w:rsidR="006B3E27" w:rsidRPr="00C175A6" w:rsidRDefault="006B3E27" w:rsidP="00C175A6">
            <w:pPr>
              <w:spacing w:after="80" w:line="480" w:lineRule="exact"/>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01C43F5C" w14:textId="42E6E3AF" w:rsidR="006B3E27" w:rsidRPr="00D42359" w:rsidRDefault="00D42359" w:rsidP="00D42359">
            <w:pPr>
              <w:bidi w:val="0"/>
              <w:rPr>
                <w:szCs w:val="20"/>
              </w:rPr>
            </w:pPr>
            <w:r w:rsidRPr="00D42359">
              <w:rPr>
                <w:sz w:val="40"/>
                <w:szCs w:val="20"/>
              </w:rPr>
              <w:t>CCPR</w:t>
            </w:r>
            <w:r>
              <w:rPr>
                <w:szCs w:val="20"/>
              </w:rPr>
              <w:t>/C/</w:t>
            </w:r>
            <w:r w:rsidRPr="007E20A0">
              <w:rPr>
                <w:szCs w:val="20"/>
              </w:rPr>
              <w:t>129</w:t>
            </w:r>
            <w:r>
              <w:rPr>
                <w:szCs w:val="20"/>
              </w:rPr>
              <w:t>/D/</w:t>
            </w:r>
            <w:r w:rsidRPr="007E20A0">
              <w:rPr>
                <w:szCs w:val="20"/>
              </w:rPr>
              <w:t>2922</w:t>
            </w:r>
            <w:r>
              <w:rPr>
                <w:szCs w:val="20"/>
              </w:rPr>
              <w:t>/</w:t>
            </w:r>
            <w:r w:rsidRPr="007E20A0">
              <w:rPr>
                <w:szCs w:val="20"/>
              </w:rPr>
              <w:t>2016</w:t>
            </w:r>
          </w:p>
        </w:tc>
      </w:tr>
      <w:tr w:rsidR="006B3E27" w:rsidRPr="00C175A6" w14:paraId="179EEAD1" w14:textId="77777777" w:rsidTr="005B51C4">
        <w:trPr>
          <w:trHeight w:hRule="exact" w:val="2835"/>
        </w:trPr>
        <w:tc>
          <w:tcPr>
            <w:tcW w:w="1274" w:type="dxa"/>
            <w:tcBorders>
              <w:top w:val="single" w:sz="4" w:space="0" w:color="auto"/>
              <w:bottom w:val="single" w:sz="12" w:space="0" w:color="auto"/>
            </w:tcBorders>
            <w:shd w:val="clear" w:color="auto" w:fill="auto"/>
          </w:tcPr>
          <w:p w14:paraId="280B5506"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784B817B" wp14:editId="03B352C9">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55C99CE6" w14:textId="77777777" w:rsidR="006B3E27" w:rsidRPr="00C175A6" w:rsidRDefault="00ED7442" w:rsidP="00C175A6">
            <w:pPr>
              <w:spacing w:before="120" w:after="40" w:line="640" w:lineRule="exact"/>
              <w:rPr>
                <w:b/>
                <w:bCs/>
                <w:sz w:val="46"/>
                <w:szCs w:val="46"/>
              </w:rPr>
            </w:pPr>
            <w:r w:rsidRPr="00C175A6">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6A373F2" w14:textId="77777777" w:rsidR="003D6C6F" w:rsidRDefault="003D6C6F" w:rsidP="003D6C6F">
            <w:pPr>
              <w:bidi w:val="0"/>
              <w:spacing w:before="240"/>
            </w:pPr>
            <w:r>
              <w:t>Distr.: General</w:t>
            </w:r>
          </w:p>
          <w:p w14:paraId="27A3F65D" w14:textId="77777777" w:rsidR="003D6C6F" w:rsidRDefault="003D6C6F" w:rsidP="003D6C6F">
            <w:pPr>
              <w:bidi w:val="0"/>
            </w:pPr>
            <w:r w:rsidRPr="007E20A0">
              <w:t>23</w:t>
            </w:r>
            <w:r>
              <w:t xml:space="preserve"> December </w:t>
            </w:r>
            <w:r w:rsidRPr="007E20A0">
              <w:t>2020</w:t>
            </w:r>
          </w:p>
          <w:p w14:paraId="582F1364" w14:textId="1D5F7562" w:rsidR="003D6C6F" w:rsidRDefault="003D6C6F" w:rsidP="003D6C6F">
            <w:pPr>
              <w:bidi w:val="0"/>
            </w:pPr>
            <w:r>
              <w:t>Arabic</w:t>
            </w:r>
          </w:p>
          <w:p w14:paraId="3294F59A" w14:textId="2107D9B8" w:rsidR="00D42359" w:rsidRPr="00D42359" w:rsidRDefault="003D6C6F" w:rsidP="003D6C6F">
            <w:pPr>
              <w:bidi w:val="0"/>
              <w:spacing w:line="240" w:lineRule="exact"/>
              <w:jc w:val="left"/>
              <w:rPr>
                <w:szCs w:val="20"/>
              </w:rPr>
            </w:pPr>
            <w:r>
              <w:t>Original: Spanish</w:t>
            </w:r>
          </w:p>
        </w:tc>
      </w:tr>
    </w:tbl>
    <w:p w14:paraId="42106579" w14:textId="77777777" w:rsidR="00121FB6" w:rsidRPr="0078632D" w:rsidRDefault="00121FB6" w:rsidP="00121FB6">
      <w:pPr>
        <w:spacing w:before="120" w:line="360" w:lineRule="exact"/>
        <w:textDirection w:val="tbRlV"/>
        <w:rPr>
          <w:rFonts w:eastAsiaTheme="minorEastAsia"/>
          <w:b/>
          <w:bCs/>
          <w:sz w:val="26"/>
          <w:szCs w:val="26"/>
          <w:lang w:eastAsia="zh-TW" w:bidi="en-GB"/>
        </w:rPr>
      </w:pPr>
      <w:r w:rsidRPr="00121FB6">
        <w:rPr>
          <w:b/>
          <w:bCs/>
          <w:sz w:val="26"/>
          <w:szCs w:val="26"/>
          <w:rtl/>
        </w:rPr>
        <w:t>اللجنة المعنية بحقوق الإنسان</w:t>
      </w:r>
    </w:p>
    <w:p w14:paraId="0A11AC80" w14:textId="43D734C3" w:rsidR="00121FB6" w:rsidRPr="00121FB6" w:rsidRDefault="00121FB6" w:rsidP="00121FB6">
      <w:pPr>
        <w:pStyle w:val="HChGA"/>
      </w:pPr>
      <w:r w:rsidRPr="00121FB6">
        <w:rPr>
          <w:rtl/>
        </w:rPr>
        <w:tab/>
      </w:r>
      <w:r w:rsidRPr="00121FB6">
        <w:rPr>
          <w:rtl/>
        </w:rPr>
        <w:tab/>
        <w:t xml:space="preserve">قرار اعتمدته اللجنة بموجب المادة </w:t>
      </w:r>
      <w:r w:rsidRPr="007E20A0">
        <w:rPr>
          <w:rtl/>
        </w:rPr>
        <w:t>5</w:t>
      </w:r>
      <w:r w:rsidRPr="00121FB6">
        <w:rPr>
          <w:rtl/>
        </w:rPr>
        <w:t>(</w:t>
      </w:r>
      <w:r w:rsidRPr="007E20A0">
        <w:rPr>
          <w:rtl/>
        </w:rPr>
        <w:t>4</w:t>
      </w:r>
      <w:r w:rsidRPr="00121FB6">
        <w:rPr>
          <w:rtl/>
        </w:rPr>
        <w:t xml:space="preserve">) من البروتوكول الاختياري بشأن البلاغ رقم </w:t>
      </w:r>
      <w:r w:rsidRPr="007E20A0">
        <w:rPr>
          <w:rtl/>
        </w:rPr>
        <w:t>2922</w:t>
      </w:r>
      <w:r w:rsidRPr="00121FB6">
        <w:rPr>
          <w:rtl/>
        </w:rPr>
        <w:t>/</w:t>
      </w:r>
      <w:r w:rsidRPr="007E20A0">
        <w:rPr>
          <w:rtl/>
        </w:rPr>
        <w:t>2016</w:t>
      </w:r>
      <w:r w:rsidRPr="002D0873">
        <w:rPr>
          <w:rStyle w:val="FootnoteReference"/>
          <w:sz w:val="24"/>
          <w:szCs w:val="24"/>
          <w:vertAlign w:val="baseline"/>
          <w:rtl/>
        </w:rPr>
        <w:footnoteReference w:customMarkFollows="1" w:id="1"/>
        <w:t>*</w:t>
      </w:r>
      <w:r w:rsidRPr="002D0873">
        <w:rPr>
          <w:sz w:val="24"/>
          <w:szCs w:val="24"/>
        </w:rPr>
        <w:t xml:space="preserve"> </w:t>
      </w:r>
      <w:r w:rsidRPr="002D0873">
        <w:rPr>
          <w:rStyle w:val="FootnoteReference"/>
          <w:sz w:val="24"/>
          <w:szCs w:val="24"/>
          <w:vertAlign w:val="baseline"/>
          <w:rtl/>
        </w:rPr>
        <w:footnoteReference w:customMarkFollows="1" w:id="2"/>
        <w:t>**</w:t>
      </w:r>
    </w:p>
    <w:p w14:paraId="6313604C" w14:textId="34645E55" w:rsidR="00121FB6" w:rsidRPr="00121FB6" w:rsidRDefault="00121FB6" w:rsidP="00121FB6">
      <w:pPr>
        <w:pStyle w:val="SingleTxtGA"/>
        <w:ind w:left="1928"/>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بلاغ مقدَّم من:</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r>
      <w:bookmarkStart w:id="0" w:name="_Hlk62474156"/>
      <w:r w:rsidRPr="00121FB6">
        <w:rPr>
          <w:rFonts w:ascii="Simplified Arabic" w:eastAsiaTheme="minorEastAsia" w:hAnsi="Simplified Arabic"/>
          <w:rtl/>
          <w:lang w:val="fr-CH" w:bidi="ar-SY"/>
        </w:rPr>
        <w:t>خ</w:t>
      </w:r>
      <w:r w:rsidRPr="00121FB6">
        <w:rPr>
          <w:rFonts w:ascii="Simplified Arabic" w:eastAsiaTheme="minorEastAsia" w:hAnsi="Simplified Arabic"/>
          <w:rtl/>
        </w:rPr>
        <w:t xml:space="preserve">. أ. ن. </w:t>
      </w:r>
      <w:bookmarkEnd w:id="0"/>
      <w:r w:rsidRPr="00121FB6">
        <w:rPr>
          <w:rFonts w:ascii="Simplified Arabic" w:eastAsiaTheme="minorEastAsia" w:hAnsi="Simplified Arabic"/>
          <w:rtl/>
        </w:rPr>
        <w:t xml:space="preserve">ك.، يمثله المحامي فيكتور </w:t>
      </w:r>
      <w:proofErr w:type="spellStart"/>
      <w:r w:rsidRPr="00121FB6">
        <w:rPr>
          <w:rFonts w:ascii="Simplified Arabic" w:eastAsiaTheme="minorEastAsia" w:hAnsi="Simplified Arabic"/>
          <w:rtl/>
        </w:rPr>
        <w:t>موسكيرا</w:t>
      </w:r>
      <w:proofErr w:type="spellEnd"/>
      <w:r w:rsidRPr="00121FB6">
        <w:rPr>
          <w:rFonts w:ascii="Simplified Arabic" w:eastAsiaTheme="minorEastAsia" w:hAnsi="Simplified Arabic"/>
          <w:rtl/>
        </w:rPr>
        <w:t xml:space="preserve"> مارين</w:t>
      </w:r>
    </w:p>
    <w:p w14:paraId="79622D7B" w14:textId="6E74D157" w:rsidR="00121FB6" w:rsidRPr="00121FB6" w:rsidRDefault="00121FB6" w:rsidP="00121FB6">
      <w:pPr>
        <w:pStyle w:val="SingleTxtGA"/>
        <w:ind w:left="1928"/>
        <w:rPr>
          <w:rFonts w:ascii="Simplified Arabic" w:eastAsiaTheme="minorEastAsia" w:hAnsi="Simplified Arabic"/>
          <w:rtl/>
        </w:rPr>
      </w:pPr>
      <w:r w:rsidRPr="00121FB6">
        <w:rPr>
          <w:rFonts w:ascii="Simplified Arabic" w:eastAsiaTheme="minorEastAsia" w:hAnsi="Simplified Arabic"/>
          <w:i/>
          <w:iCs/>
          <w:rtl/>
        </w:rPr>
        <w:t>الشخص المدعى أنه ضحية:</w:t>
      </w:r>
      <w:r w:rsidRPr="00121FB6">
        <w:rPr>
          <w:rFonts w:ascii="Simplified Arabic" w:eastAsiaTheme="minorEastAsia" w:hAnsi="Simplified Arabic"/>
          <w:rtl/>
        </w:rPr>
        <w:tab/>
      </w:r>
      <w:r w:rsidRPr="00121FB6">
        <w:rPr>
          <w:rFonts w:ascii="Simplified Arabic" w:eastAsiaTheme="minorEastAsia" w:hAnsi="Simplified Arabic"/>
          <w:rtl/>
        </w:rPr>
        <w:tab/>
        <w:t xml:space="preserve">خ. أ. ن. ك. </w:t>
      </w:r>
    </w:p>
    <w:p w14:paraId="4677BAC6" w14:textId="1E6D6C6A" w:rsidR="00121FB6" w:rsidRPr="00685986" w:rsidRDefault="00121FB6" w:rsidP="00121FB6">
      <w:pPr>
        <w:pStyle w:val="SingleTxtGA"/>
        <w:ind w:left="1928"/>
        <w:rPr>
          <w:rStyle w:val="Hyperlink"/>
          <w:rFonts w:ascii="Simplified Arabic" w:eastAsiaTheme="minorEastAsia" w:hAnsi="Simplified Arabic"/>
          <w:color w:val="000000" w:themeColor="text1"/>
          <w:lang w:val="en-US" w:eastAsia="zh-TW" w:bidi="en-GB"/>
        </w:rPr>
      </w:pPr>
      <w:r w:rsidRPr="00121FB6">
        <w:rPr>
          <w:rFonts w:ascii="Simplified Arabic" w:eastAsiaTheme="minorEastAsia" w:hAnsi="Simplified Arabic"/>
          <w:i/>
          <w:iCs/>
          <w:rtl/>
        </w:rPr>
        <w:t>الدولة الطرف:</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t>كولومبيا</w:t>
      </w:r>
    </w:p>
    <w:p w14:paraId="7A4517C4" w14:textId="10AF5E1A" w:rsidR="00121FB6" w:rsidRPr="00121FB6" w:rsidRDefault="00121FB6" w:rsidP="00121FB6">
      <w:pPr>
        <w:pStyle w:val="SingleTxtGA"/>
        <w:ind w:left="1928"/>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تاريخ تقديم البلاغ:</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r>
      <w:r w:rsidRPr="007E20A0">
        <w:rPr>
          <w:rFonts w:ascii="Simplified Arabic" w:eastAsiaTheme="minorEastAsia" w:hAnsi="Simplified Arabic"/>
          <w:rtl/>
        </w:rPr>
        <w:t>1</w:t>
      </w:r>
      <w:r w:rsidRPr="00121FB6">
        <w:rPr>
          <w:rFonts w:ascii="Simplified Arabic" w:eastAsiaTheme="minorEastAsia" w:hAnsi="Simplified Arabic"/>
          <w:rtl/>
        </w:rPr>
        <w:t xml:space="preserve"> آب/أغسطس </w:t>
      </w:r>
      <w:r w:rsidRPr="007E20A0">
        <w:rPr>
          <w:rFonts w:ascii="Simplified Arabic" w:eastAsiaTheme="minorEastAsia" w:hAnsi="Simplified Arabic"/>
          <w:rtl/>
        </w:rPr>
        <w:t>2016</w:t>
      </w:r>
      <w:r w:rsidRPr="00121FB6">
        <w:rPr>
          <w:rFonts w:ascii="Simplified Arabic" w:eastAsiaTheme="minorEastAsia" w:hAnsi="Simplified Arabic"/>
          <w:rtl/>
        </w:rPr>
        <w:t xml:space="preserve"> (تاريخ الرسالة الأولى)</w:t>
      </w:r>
    </w:p>
    <w:p w14:paraId="47ADB23D" w14:textId="6D7A5101" w:rsidR="00121FB6" w:rsidRPr="00121FB6" w:rsidRDefault="00121FB6" w:rsidP="00121FB6">
      <w:pPr>
        <w:pStyle w:val="SingleTxtGA"/>
        <w:ind w:left="1928"/>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تاريخ اعتماد القرار:</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r>
      <w:r w:rsidRPr="007E20A0">
        <w:rPr>
          <w:rFonts w:ascii="Simplified Arabic" w:eastAsiaTheme="minorEastAsia" w:hAnsi="Simplified Arabic"/>
          <w:rtl/>
        </w:rPr>
        <w:t>24</w:t>
      </w:r>
      <w:r w:rsidRPr="00121FB6">
        <w:rPr>
          <w:rFonts w:ascii="Simplified Arabic" w:eastAsiaTheme="minorEastAsia" w:hAnsi="Simplified Arabic"/>
          <w:rtl/>
        </w:rPr>
        <w:t xml:space="preserve"> تموز/يوليه </w:t>
      </w:r>
      <w:r w:rsidRPr="007E20A0">
        <w:rPr>
          <w:rFonts w:ascii="Simplified Arabic" w:eastAsiaTheme="minorEastAsia" w:hAnsi="Simplified Arabic"/>
          <w:rtl/>
        </w:rPr>
        <w:t>2020</w:t>
      </w:r>
      <w:r w:rsidRPr="00121FB6">
        <w:rPr>
          <w:rFonts w:ascii="Simplified Arabic" w:eastAsiaTheme="minorEastAsia" w:hAnsi="Simplified Arabic"/>
          <w:rtl/>
        </w:rPr>
        <w:t xml:space="preserve"> </w:t>
      </w:r>
    </w:p>
    <w:p w14:paraId="6D9BA7B2" w14:textId="2B8F583F" w:rsidR="00121FB6" w:rsidRPr="00685986" w:rsidRDefault="00121FB6" w:rsidP="00121FB6">
      <w:pPr>
        <w:pStyle w:val="SingleTxtGA"/>
        <w:ind w:left="4649" w:hanging="2721"/>
        <w:rPr>
          <w:rStyle w:val="Hyperlink"/>
          <w:rFonts w:ascii="Simplified Arabic" w:eastAsiaTheme="minorEastAsia" w:hAnsi="Simplified Arabic"/>
          <w:color w:val="000000" w:themeColor="text1"/>
          <w:lang w:val="en-US" w:eastAsia="zh-TW" w:bidi="en-GB"/>
        </w:rPr>
      </w:pPr>
      <w:r w:rsidRPr="00121FB6">
        <w:rPr>
          <w:rFonts w:ascii="Simplified Arabic" w:eastAsiaTheme="minorEastAsia" w:hAnsi="Simplified Arabic"/>
          <w:i/>
          <w:iCs/>
          <w:rtl/>
        </w:rPr>
        <w:t>الموضوع:</w:t>
      </w:r>
      <w:r w:rsidRPr="00121FB6">
        <w:rPr>
          <w:rFonts w:ascii="Simplified Arabic" w:eastAsiaTheme="minorEastAsia" w:hAnsi="Simplified Arabic"/>
          <w:i/>
          <w:iCs/>
          <w:rtl/>
        </w:rPr>
        <w:tab/>
      </w:r>
      <w:r w:rsidRPr="00121FB6">
        <w:rPr>
          <w:rFonts w:ascii="Simplified Arabic" w:eastAsiaTheme="minorEastAsia" w:hAnsi="Simplified Arabic"/>
          <w:i/>
          <w:iCs/>
          <w:rtl/>
        </w:rPr>
        <w:tab/>
      </w:r>
      <w:r w:rsidRPr="00121FB6">
        <w:rPr>
          <w:rFonts w:ascii="Simplified Arabic" w:eastAsiaTheme="minorEastAsia" w:hAnsi="Simplified Arabic"/>
          <w:i/>
          <w:iCs/>
          <w:rtl/>
        </w:rPr>
        <w:tab/>
      </w:r>
      <w:r w:rsidRPr="00121FB6">
        <w:rPr>
          <w:rFonts w:ascii="Simplified Arabic" w:eastAsiaTheme="minorEastAsia" w:hAnsi="Simplified Arabic"/>
          <w:rtl/>
        </w:rPr>
        <w:tab/>
        <w:t xml:space="preserve">قيام أعلى هيئة قضائية بإدانة مسؤول رفيع في درجة قضائية وحيدة </w:t>
      </w:r>
    </w:p>
    <w:p w14:paraId="077D5A31" w14:textId="66A6E827" w:rsidR="00121FB6" w:rsidRPr="00121FB6" w:rsidRDefault="00121FB6" w:rsidP="00121FB6">
      <w:pPr>
        <w:pStyle w:val="SingleTxtGA"/>
        <w:ind w:left="4649" w:hanging="2721"/>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المسائل الإجرائية:</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t>المسألة نفسها قيد النظر في إطار إجراء آخر من إجراءات التحقيق الدولي أو التسوية الدولية؛ وإساءة استخدام الحق في تقديم البلاغات؛ واستنفاد سبل الانتصاف المحلية</w:t>
      </w:r>
    </w:p>
    <w:p w14:paraId="6EF9CD75" w14:textId="78E5CEEA" w:rsidR="00121FB6" w:rsidRPr="00121FB6" w:rsidRDefault="00121FB6" w:rsidP="00121FB6">
      <w:pPr>
        <w:pStyle w:val="SingleTxtGA"/>
        <w:ind w:left="4649" w:hanging="2721"/>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المسائل الموضوعية:</w:t>
      </w:r>
      <w:r w:rsidRPr="00121FB6">
        <w:rPr>
          <w:rFonts w:ascii="Simplified Arabic" w:eastAsiaTheme="minorEastAsia" w:hAnsi="Simplified Arabic"/>
          <w:rtl/>
        </w:rPr>
        <w:tab/>
      </w:r>
      <w:r w:rsidRPr="00121FB6">
        <w:rPr>
          <w:rFonts w:ascii="Simplified Arabic" w:eastAsiaTheme="minorEastAsia" w:hAnsi="Simplified Arabic"/>
          <w:rtl/>
        </w:rPr>
        <w:tab/>
        <w:t>الحق في المحاكمة وفق الأصول القانونية؛ والحق في المحاكمة أمام محكمة مختصة ومستقلة ونزيهة؛ والحق في افتراض البراءة؛ والحق في مراجعة حكم الإدانة والعقوبة من قِبل محكمة أعلى درجة؛ والمساواة أمام القانون؛ وحق الفرد في الحرية وفي الأمان على شخصه</w:t>
      </w:r>
    </w:p>
    <w:p w14:paraId="004C0289" w14:textId="282E8704" w:rsidR="00121FB6" w:rsidRPr="00121FB6" w:rsidRDefault="00121FB6" w:rsidP="00121FB6">
      <w:pPr>
        <w:pStyle w:val="SingleTxtGA"/>
        <w:ind w:left="1928"/>
        <w:rPr>
          <w:rFonts w:ascii="Simplified Arabic" w:eastAsiaTheme="minorEastAsia" w:hAnsi="Simplified Arabic"/>
        </w:rPr>
      </w:pPr>
      <w:r w:rsidRPr="00121FB6">
        <w:rPr>
          <w:rFonts w:ascii="Simplified Arabic" w:eastAsiaTheme="minorEastAsia" w:hAnsi="Simplified Arabic"/>
          <w:i/>
          <w:iCs/>
          <w:rtl/>
        </w:rPr>
        <w:t>مواد العهد:</w:t>
      </w:r>
      <w:r w:rsidRPr="00121FB6">
        <w:rPr>
          <w:rFonts w:ascii="Simplified Arabic" w:eastAsiaTheme="minorEastAsia" w:hAnsi="Simplified Arabic"/>
          <w:rtl/>
        </w:rPr>
        <w:tab/>
      </w:r>
      <w:r w:rsidRPr="00121FB6">
        <w:rPr>
          <w:rFonts w:ascii="Simplified Arabic" w:eastAsiaTheme="minorEastAsia" w:hAnsi="Simplified Arabic"/>
          <w:rtl/>
        </w:rPr>
        <w:tab/>
      </w:r>
      <w:r w:rsidRPr="00121FB6">
        <w:rPr>
          <w:rFonts w:ascii="Simplified Arabic" w:eastAsiaTheme="minorEastAsia" w:hAnsi="Simplified Arabic"/>
          <w:rtl/>
        </w:rPr>
        <w:tab/>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و</w:t>
      </w:r>
      <w:r w:rsidRPr="007E20A0">
        <w:rPr>
          <w:rFonts w:ascii="Simplified Arabic" w:eastAsiaTheme="minorEastAsia" w:hAnsi="Simplified Arabic"/>
          <w:rtl/>
        </w:rPr>
        <w:t>9</w:t>
      </w:r>
      <w:r w:rsidRPr="00121FB6">
        <w:rPr>
          <w:rFonts w:ascii="Simplified Arabic" w:eastAsiaTheme="minorEastAsia" w:hAnsi="Simplified Arabic"/>
          <w:rtl/>
        </w:rPr>
        <w:t xml:space="preserve"> و</w:t>
      </w:r>
      <w:r w:rsidRPr="007E20A0">
        <w:rPr>
          <w:rFonts w:ascii="Simplified Arabic" w:eastAsiaTheme="minorEastAsia" w:hAnsi="Simplified Arabic"/>
          <w:rtl/>
        </w:rPr>
        <w:t>10</w:t>
      </w:r>
      <w:r w:rsidRPr="00121FB6">
        <w:rPr>
          <w:rFonts w:ascii="Simplified Arabic" w:eastAsiaTheme="minorEastAsia" w:hAnsi="Simplified Arabic"/>
          <w:rtl/>
        </w:rPr>
        <w:t xml:space="preserve"> و</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 و(</w:t>
      </w:r>
      <w:r w:rsidRPr="007E20A0">
        <w:rPr>
          <w:rFonts w:ascii="Simplified Arabic" w:eastAsiaTheme="minorEastAsia" w:hAnsi="Simplified Arabic"/>
          <w:rtl/>
        </w:rPr>
        <w:t>2</w:t>
      </w:r>
      <w:r w:rsidRPr="00121FB6">
        <w:rPr>
          <w:rFonts w:ascii="Simplified Arabic" w:eastAsiaTheme="minorEastAsia" w:hAnsi="Simplified Arabic"/>
          <w:rtl/>
        </w:rPr>
        <w:t>) و(</w:t>
      </w:r>
      <w:r w:rsidRPr="007E20A0">
        <w:rPr>
          <w:rFonts w:ascii="Simplified Arabic" w:eastAsiaTheme="minorEastAsia" w:hAnsi="Simplified Arabic"/>
          <w:rtl/>
        </w:rPr>
        <w:t>3</w:t>
      </w:r>
      <w:r w:rsidRPr="00121FB6">
        <w:rPr>
          <w:rFonts w:ascii="Simplified Arabic" w:eastAsiaTheme="minorEastAsia" w:hAnsi="Simplified Arabic"/>
          <w:rtl/>
        </w:rPr>
        <w:t>) و(</w:t>
      </w:r>
      <w:r w:rsidRPr="007E20A0">
        <w:rPr>
          <w:rFonts w:ascii="Simplified Arabic" w:eastAsiaTheme="minorEastAsia" w:hAnsi="Simplified Arabic"/>
          <w:rtl/>
        </w:rPr>
        <w:t>5</w:t>
      </w:r>
      <w:r w:rsidRPr="00121FB6">
        <w:rPr>
          <w:rFonts w:ascii="Simplified Arabic" w:eastAsiaTheme="minorEastAsia" w:hAnsi="Simplified Arabic"/>
          <w:rtl/>
        </w:rPr>
        <w:t>) و</w:t>
      </w:r>
      <w:r w:rsidRPr="007E20A0">
        <w:rPr>
          <w:rFonts w:ascii="Simplified Arabic" w:eastAsiaTheme="minorEastAsia" w:hAnsi="Simplified Arabic"/>
          <w:rtl/>
        </w:rPr>
        <w:t>26</w:t>
      </w:r>
    </w:p>
    <w:p w14:paraId="7F09ED26" w14:textId="0434CE95" w:rsidR="00121FB6" w:rsidRPr="00121FB6" w:rsidRDefault="00121FB6" w:rsidP="00121FB6">
      <w:pPr>
        <w:pStyle w:val="SingleTxtGA"/>
        <w:ind w:left="1928"/>
        <w:rPr>
          <w:rStyle w:val="Hyperlink"/>
          <w:rFonts w:ascii="Simplified Arabic" w:eastAsiaTheme="minorEastAsia" w:hAnsi="Simplified Arabic"/>
          <w:color w:val="000000" w:themeColor="text1"/>
          <w:lang w:val="ar-SA" w:eastAsia="zh-TW" w:bidi="en-GB"/>
        </w:rPr>
      </w:pPr>
      <w:r w:rsidRPr="00121FB6">
        <w:rPr>
          <w:rFonts w:ascii="Simplified Arabic" w:eastAsiaTheme="minorEastAsia" w:hAnsi="Simplified Arabic"/>
          <w:i/>
          <w:iCs/>
          <w:rtl/>
        </w:rPr>
        <w:t>مواد البروتوكول الاختياري:</w:t>
      </w:r>
      <w:r w:rsidRPr="00121FB6">
        <w:rPr>
          <w:rFonts w:ascii="Simplified Arabic" w:eastAsiaTheme="minorEastAsia" w:hAnsi="Simplified Arabic"/>
          <w:rtl/>
        </w:rPr>
        <w:tab/>
      </w:r>
      <w:r w:rsidRPr="00121FB6">
        <w:rPr>
          <w:rFonts w:ascii="Simplified Arabic" w:eastAsiaTheme="minorEastAsia" w:hAnsi="Simplified Arabic"/>
          <w:rtl/>
        </w:rPr>
        <w:tab/>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و</w:t>
      </w: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 xml:space="preserve">)(أ) و(ب) </w:t>
      </w:r>
    </w:p>
    <w:p w14:paraId="3ADBD187" w14:textId="7467708E"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lastRenderedPageBreak/>
        <w:t>1</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 xml:space="preserve">صاحب البلاغ هو خ. أ. ن. ك.، المواطن الكولومبي المولود في </w:t>
      </w:r>
      <w:r w:rsidRPr="007E20A0">
        <w:rPr>
          <w:rFonts w:ascii="Simplified Arabic" w:eastAsiaTheme="minorEastAsia" w:hAnsi="Simplified Arabic"/>
          <w:rtl/>
        </w:rPr>
        <w:t>25</w:t>
      </w:r>
      <w:r w:rsidRPr="00121FB6">
        <w:rPr>
          <w:rFonts w:ascii="Simplified Arabic" w:eastAsiaTheme="minorEastAsia" w:hAnsi="Simplified Arabic"/>
          <w:rtl/>
        </w:rPr>
        <w:t xml:space="preserve"> أيلول/سبتمبر </w:t>
      </w:r>
      <w:r w:rsidRPr="007E20A0">
        <w:rPr>
          <w:rFonts w:ascii="Simplified Arabic" w:eastAsiaTheme="minorEastAsia" w:hAnsi="Simplified Arabic"/>
          <w:rtl/>
        </w:rPr>
        <w:t>1963</w:t>
      </w:r>
      <w:r w:rsidRPr="00121FB6">
        <w:rPr>
          <w:rFonts w:ascii="Simplified Arabic" w:eastAsiaTheme="minorEastAsia" w:hAnsi="Simplified Arabic"/>
          <w:rtl/>
        </w:rPr>
        <w:t xml:space="preserve">. وهو يدعي أن الدولة الطرف انتهكت حقوقه التي تكفلها المواد </w:t>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و</w:t>
      </w:r>
      <w:r w:rsidRPr="007E20A0">
        <w:rPr>
          <w:rFonts w:ascii="Simplified Arabic" w:eastAsiaTheme="minorEastAsia" w:hAnsi="Simplified Arabic"/>
          <w:rtl/>
        </w:rPr>
        <w:t>9</w:t>
      </w:r>
      <w:r w:rsidRPr="00121FB6">
        <w:rPr>
          <w:rFonts w:ascii="Simplified Arabic" w:eastAsiaTheme="minorEastAsia" w:hAnsi="Simplified Arabic"/>
          <w:rtl/>
        </w:rPr>
        <w:t xml:space="preserve"> و</w:t>
      </w:r>
      <w:r w:rsidRPr="007E20A0">
        <w:rPr>
          <w:rFonts w:ascii="Simplified Arabic" w:eastAsiaTheme="minorEastAsia" w:hAnsi="Simplified Arabic"/>
          <w:rtl/>
        </w:rPr>
        <w:t>10</w:t>
      </w:r>
      <w:r w:rsidRPr="00121FB6">
        <w:rPr>
          <w:rFonts w:ascii="Simplified Arabic" w:eastAsiaTheme="minorEastAsia" w:hAnsi="Simplified Arabic"/>
          <w:rtl/>
        </w:rPr>
        <w:t xml:space="preserve"> و</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 و(</w:t>
      </w:r>
      <w:r w:rsidRPr="007E20A0">
        <w:rPr>
          <w:rFonts w:ascii="Simplified Arabic" w:eastAsiaTheme="minorEastAsia" w:hAnsi="Simplified Arabic"/>
          <w:rtl/>
        </w:rPr>
        <w:t>2</w:t>
      </w:r>
      <w:r w:rsidRPr="00121FB6">
        <w:rPr>
          <w:rFonts w:ascii="Simplified Arabic" w:eastAsiaTheme="minorEastAsia" w:hAnsi="Simplified Arabic"/>
          <w:rtl/>
        </w:rPr>
        <w:t>) و(</w:t>
      </w:r>
      <w:r w:rsidRPr="007E20A0">
        <w:rPr>
          <w:rFonts w:ascii="Simplified Arabic" w:eastAsiaTheme="minorEastAsia" w:hAnsi="Simplified Arabic"/>
          <w:rtl/>
        </w:rPr>
        <w:t>3</w:t>
      </w:r>
      <w:r w:rsidRPr="00121FB6">
        <w:rPr>
          <w:rFonts w:ascii="Simplified Arabic" w:eastAsiaTheme="minorEastAsia" w:hAnsi="Simplified Arabic"/>
          <w:rtl/>
        </w:rPr>
        <w:t xml:space="preserve">) </w:t>
      </w:r>
      <w:r w:rsidRPr="002D0873">
        <w:rPr>
          <w:rFonts w:ascii="Simplified Arabic" w:eastAsiaTheme="minorEastAsia" w:hAnsi="Simplified Arabic"/>
          <w:spacing w:val="-4"/>
          <w:rtl/>
        </w:rPr>
        <w:t>و(</w:t>
      </w:r>
      <w:r w:rsidRPr="007E20A0">
        <w:rPr>
          <w:rFonts w:ascii="Simplified Arabic" w:eastAsiaTheme="minorEastAsia" w:hAnsi="Simplified Arabic"/>
          <w:spacing w:val="-4"/>
          <w:rtl/>
        </w:rPr>
        <w:t>5</w:t>
      </w:r>
      <w:r w:rsidRPr="002D0873">
        <w:rPr>
          <w:rFonts w:ascii="Simplified Arabic" w:eastAsiaTheme="minorEastAsia" w:hAnsi="Simplified Arabic"/>
          <w:spacing w:val="-4"/>
          <w:rtl/>
        </w:rPr>
        <w:t>) و</w:t>
      </w:r>
      <w:r w:rsidRPr="007E20A0">
        <w:rPr>
          <w:rFonts w:ascii="Simplified Arabic" w:eastAsiaTheme="minorEastAsia" w:hAnsi="Simplified Arabic"/>
          <w:spacing w:val="-4"/>
          <w:rtl/>
        </w:rPr>
        <w:t>26</w:t>
      </w:r>
      <w:r w:rsidRPr="002D0873">
        <w:rPr>
          <w:rFonts w:ascii="Simplified Arabic" w:eastAsiaTheme="minorEastAsia" w:hAnsi="Simplified Arabic"/>
          <w:spacing w:val="-4"/>
          <w:rtl/>
        </w:rPr>
        <w:t xml:space="preserve"> من العهد. وقد دخل البروتوكول الاختياري حيز النفاذ بالنسبة لكولومبيا في </w:t>
      </w:r>
      <w:r w:rsidRPr="007E20A0">
        <w:rPr>
          <w:rFonts w:ascii="Simplified Arabic" w:eastAsiaTheme="minorEastAsia" w:hAnsi="Simplified Arabic"/>
          <w:spacing w:val="-4"/>
          <w:rtl/>
        </w:rPr>
        <w:t>23</w:t>
      </w:r>
      <w:r w:rsidRPr="002D0873">
        <w:rPr>
          <w:rFonts w:ascii="Simplified Arabic" w:eastAsiaTheme="minorEastAsia" w:hAnsi="Simplified Arabic"/>
          <w:spacing w:val="-4"/>
          <w:rtl/>
        </w:rPr>
        <w:t xml:space="preserve"> آذار/مارس </w:t>
      </w:r>
      <w:r w:rsidRPr="007E20A0">
        <w:rPr>
          <w:rFonts w:ascii="Simplified Arabic" w:eastAsiaTheme="minorEastAsia" w:hAnsi="Simplified Arabic"/>
          <w:spacing w:val="-4"/>
          <w:rtl/>
        </w:rPr>
        <w:t>1976</w:t>
      </w:r>
      <w:r w:rsidRPr="002D0873">
        <w:rPr>
          <w:rFonts w:ascii="Simplified Arabic" w:eastAsiaTheme="minorEastAsia" w:hAnsi="Simplified Arabic"/>
          <w:spacing w:val="-4"/>
          <w:rtl/>
        </w:rPr>
        <w:t>.</w:t>
      </w:r>
      <w:r w:rsidRPr="00121FB6">
        <w:rPr>
          <w:rFonts w:ascii="Simplified Arabic" w:eastAsiaTheme="minorEastAsia" w:hAnsi="Simplified Arabic"/>
          <w:rtl/>
        </w:rPr>
        <w:t xml:space="preserve"> ويمثّل صاحبَ البلاغ محام.</w:t>
      </w:r>
    </w:p>
    <w:p w14:paraId="1E020089" w14:textId="0129714D" w:rsidR="00121FB6" w:rsidRPr="00805AAA" w:rsidRDefault="00121FB6" w:rsidP="00121FB6">
      <w:pPr>
        <w:pStyle w:val="SingleTxtGA"/>
        <w:rPr>
          <w:rFonts w:ascii="Simplified Arabic" w:eastAsiaTheme="minorEastAsia" w:hAnsi="Simplified Arabic"/>
          <w:lang w:val="en-US" w:eastAsia="zh-TW" w:bidi="en-GB"/>
        </w:rPr>
      </w:pPr>
      <w:r w:rsidRPr="007E20A0">
        <w:rPr>
          <w:rFonts w:ascii="Simplified Arabic" w:eastAsiaTheme="minorEastAsia" w:hAnsi="Simplified Arabic"/>
          <w:rtl/>
        </w:rPr>
        <w:t>1</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t xml:space="preserve">في </w:t>
      </w:r>
      <w:r w:rsidRPr="007E20A0">
        <w:rPr>
          <w:rFonts w:ascii="Simplified Arabic" w:eastAsiaTheme="minorEastAsia" w:hAnsi="Simplified Arabic"/>
          <w:rtl/>
        </w:rPr>
        <w:t>21</w:t>
      </w:r>
      <w:r w:rsidRPr="00121FB6">
        <w:rPr>
          <w:rFonts w:ascii="Simplified Arabic" w:eastAsiaTheme="minorEastAsia" w:hAnsi="Simplified Arabic"/>
          <w:rtl/>
        </w:rPr>
        <w:t xml:space="preserve"> كانون الأول/ديسمبر </w:t>
      </w:r>
      <w:r w:rsidRPr="007E20A0">
        <w:rPr>
          <w:rFonts w:ascii="Simplified Arabic" w:eastAsiaTheme="minorEastAsia" w:hAnsi="Simplified Arabic"/>
          <w:rtl/>
        </w:rPr>
        <w:t>2017</w:t>
      </w:r>
      <w:r w:rsidRPr="00121FB6">
        <w:rPr>
          <w:rFonts w:ascii="Simplified Arabic" w:eastAsiaTheme="minorEastAsia" w:hAnsi="Simplified Arabic"/>
          <w:rtl/>
        </w:rPr>
        <w:t xml:space="preserve">، قررت اللجنة، عن طريق مقررها الخاص المعني </w:t>
      </w:r>
      <w:r w:rsidRPr="002D0873">
        <w:rPr>
          <w:rFonts w:ascii="Simplified Arabic" w:eastAsiaTheme="minorEastAsia" w:hAnsi="Simplified Arabic"/>
          <w:spacing w:val="-4"/>
          <w:rtl/>
        </w:rPr>
        <w:t xml:space="preserve">بالبلاغات الجديدة والتدابير المؤقتة، ألا تطلب اتخاذ تدابير مؤقتة لحماية صاحب البلاغ بموجب المادة </w:t>
      </w:r>
      <w:r w:rsidRPr="007E20A0">
        <w:rPr>
          <w:rFonts w:ascii="Simplified Arabic" w:eastAsiaTheme="minorEastAsia" w:hAnsi="Simplified Arabic"/>
          <w:spacing w:val="-4"/>
          <w:rtl/>
        </w:rPr>
        <w:t>94</w:t>
      </w:r>
      <w:r w:rsidRPr="002D0873">
        <w:rPr>
          <w:rFonts w:ascii="Simplified Arabic" w:eastAsiaTheme="minorEastAsia" w:hAnsi="Simplified Arabic"/>
          <w:spacing w:val="-4"/>
          <w:rtl/>
        </w:rPr>
        <w:t xml:space="preserve"> من</w:t>
      </w:r>
      <w:r w:rsidRPr="00121FB6">
        <w:rPr>
          <w:rFonts w:ascii="Simplified Arabic" w:eastAsiaTheme="minorEastAsia" w:hAnsi="Simplified Arabic"/>
          <w:rtl/>
        </w:rPr>
        <w:t xml:space="preserve"> نظامها الداخلي</w:t>
      </w:r>
      <w:r w:rsidRPr="00121FB6">
        <w:rPr>
          <w:rFonts w:eastAsiaTheme="minorEastAsia" w:cs="Times New Roman" w:hint="cs"/>
          <w:rtl/>
        </w:rPr>
        <w:t>‬</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3"/>
      </w:r>
      <w:r>
        <w:rPr>
          <w:rStyle w:val="FootnoteReference"/>
          <w:rFonts w:ascii="Simplified Arabic" w:eastAsiaTheme="minorEastAsia" w:hAnsi="Simplified Arabic"/>
          <w:szCs w:val="22"/>
          <w:rtl/>
        </w:rPr>
        <w:t>)</w:t>
      </w:r>
      <w:r w:rsidR="003D6C6F" w:rsidRPr="003D6C6F">
        <w:rPr>
          <w:rStyle w:val="FootnoteReference"/>
          <w:rFonts w:ascii="Simplified Arabic" w:eastAsiaTheme="minorEastAsia" w:hAnsi="Simplified Arabic" w:hint="cs"/>
          <w:szCs w:val="22"/>
          <w:vertAlign w:val="baseline"/>
          <w:rtl/>
        </w:rPr>
        <w:t>.</w:t>
      </w:r>
    </w:p>
    <w:p w14:paraId="4DDB4F1A" w14:textId="77777777" w:rsidR="00121FB6" w:rsidRPr="00121FB6" w:rsidRDefault="00121FB6" w:rsidP="00121FB6">
      <w:pPr>
        <w:pStyle w:val="H23GA"/>
        <w:rPr>
          <w:lang w:val="ar-SA" w:eastAsia="zh-TW" w:bidi="en-GB"/>
        </w:rPr>
      </w:pPr>
      <w:r w:rsidRPr="00121FB6">
        <w:rPr>
          <w:rtl/>
        </w:rPr>
        <w:tab/>
      </w:r>
      <w:r w:rsidRPr="00121FB6">
        <w:rPr>
          <w:rtl/>
        </w:rPr>
        <w:tab/>
        <w:t>الوقائع كما عرضها صاحب البلاغ</w:t>
      </w:r>
    </w:p>
    <w:p w14:paraId="71766F49" w14:textId="5CCE5D73"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 xml:space="preserve">كان صاحب البلاغ يعمل مديراً لإدارة الأمن الإداري في الفترة من </w:t>
      </w:r>
      <w:r w:rsidRPr="007E20A0">
        <w:rPr>
          <w:rFonts w:ascii="Simplified Arabic" w:eastAsiaTheme="minorEastAsia" w:hAnsi="Simplified Arabic"/>
          <w:rtl/>
        </w:rPr>
        <w:t>16</w:t>
      </w:r>
      <w:r w:rsidRPr="00121FB6">
        <w:rPr>
          <w:rFonts w:ascii="Simplified Arabic" w:eastAsiaTheme="minorEastAsia" w:hAnsi="Simplified Arabic"/>
          <w:rtl/>
        </w:rPr>
        <w:t xml:space="preserve"> آب/أغسطس </w:t>
      </w:r>
      <w:r w:rsidRPr="007E20A0">
        <w:rPr>
          <w:rFonts w:ascii="Simplified Arabic" w:eastAsiaTheme="minorEastAsia" w:hAnsi="Simplified Arabic"/>
          <w:rtl/>
        </w:rPr>
        <w:t>2002</w:t>
      </w:r>
      <w:r w:rsidRPr="00121FB6">
        <w:rPr>
          <w:rFonts w:ascii="Simplified Arabic" w:eastAsiaTheme="minorEastAsia" w:hAnsi="Simplified Arabic"/>
          <w:rtl/>
        </w:rPr>
        <w:t xml:space="preserve"> إلى</w:t>
      </w:r>
      <w:r w:rsidR="00914895">
        <w:rPr>
          <w:rFonts w:ascii="Simplified Arabic" w:eastAsiaTheme="minorEastAsia" w:hAnsi="Simplified Arabic" w:hint="cs"/>
          <w:rtl/>
        </w:rPr>
        <w:t> </w:t>
      </w:r>
      <w:r w:rsidRPr="007E20A0">
        <w:rPr>
          <w:rFonts w:ascii="Simplified Arabic" w:eastAsiaTheme="minorEastAsia" w:hAnsi="Simplified Arabic"/>
          <w:rtl/>
        </w:rPr>
        <w:t>25</w:t>
      </w:r>
      <w:r w:rsidRPr="00121FB6">
        <w:rPr>
          <w:rFonts w:ascii="Simplified Arabic" w:eastAsiaTheme="minorEastAsia" w:hAnsi="Simplified Arabic"/>
          <w:rtl/>
        </w:rPr>
        <w:t xml:space="preserve"> تشرين الأول/أكتوبر </w:t>
      </w:r>
      <w:r w:rsidRPr="007E20A0">
        <w:rPr>
          <w:rFonts w:ascii="Simplified Arabic" w:eastAsiaTheme="minorEastAsia" w:hAnsi="Simplified Arabic"/>
          <w:rtl/>
        </w:rPr>
        <w:t>2005</w:t>
      </w:r>
      <w:r w:rsidRPr="00121FB6">
        <w:rPr>
          <w:rFonts w:ascii="Simplified Arabic" w:eastAsiaTheme="minorEastAsia" w:hAnsi="Simplified Arabic"/>
          <w:rtl/>
        </w:rPr>
        <w:t xml:space="preserve">. </w:t>
      </w:r>
    </w:p>
    <w:p w14:paraId="6798315D" w14:textId="2E58CAD5"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t xml:space="preserve">وفي أواخر عام </w:t>
      </w:r>
      <w:r w:rsidRPr="007E20A0">
        <w:rPr>
          <w:rFonts w:ascii="Simplified Arabic" w:eastAsiaTheme="minorEastAsia" w:hAnsi="Simplified Arabic"/>
          <w:rtl/>
        </w:rPr>
        <w:t>2004</w:t>
      </w:r>
      <w:r w:rsidRPr="00121FB6">
        <w:rPr>
          <w:rFonts w:ascii="Simplified Arabic" w:eastAsiaTheme="minorEastAsia" w:hAnsi="Simplified Arabic"/>
          <w:rtl/>
        </w:rPr>
        <w:t>، أبلغ مسؤولو إدارة الأمن الإداري صاحب البلاغ بأن ر. غ.، رئيس قسم تكنولوجيا المعلومات في الإدارة، يصدر تعليمات غير قانونية تهدد الأمن القومي ويمكن تصنيفها بأنها جرائم. ولذلك، أبلغ صاحب البلاغ مكتب المدعي العام بالحادث، وشكَّل فريقاً لمساعدة مكتب</w:t>
      </w:r>
      <w:r w:rsidR="002D0873">
        <w:rPr>
          <w:rFonts w:ascii="Simplified Arabic" w:eastAsiaTheme="minorEastAsia" w:hAnsi="Simplified Arabic" w:hint="cs"/>
          <w:rtl/>
        </w:rPr>
        <w:t> </w:t>
      </w:r>
      <w:r w:rsidRPr="00121FB6">
        <w:rPr>
          <w:rFonts w:ascii="Simplified Arabic" w:eastAsiaTheme="minorEastAsia" w:hAnsi="Simplified Arabic"/>
          <w:rtl/>
        </w:rPr>
        <w:t>المدعي العام في التحقيقات التي يجريها. وما أن جمع المكتب ما يكفي من الأدلة، ألقي القبض على ر. غ. بزعم ارتكابه جريمة غسيل الأموال، إلى جانب جرائم الإثراء غير المشروع لموظف عمومي، والتآمر الجنائي، وتزوير وثائق عامة أو إتلافها أو</w:t>
      </w:r>
      <w:r w:rsidRPr="00121FB6">
        <w:rPr>
          <w:rFonts w:ascii="Simplified Arabic" w:eastAsiaTheme="minorEastAsia" w:hAnsi="Simplified Arabic"/>
          <w:rtl/>
          <w:lang w:val="fr-CH"/>
        </w:rPr>
        <w:t xml:space="preserve"> إزالتها أو</w:t>
      </w:r>
      <w:r w:rsidRPr="00121FB6">
        <w:rPr>
          <w:rFonts w:ascii="Simplified Arabic" w:eastAsiaTheme="minorEastAsia" w:hAnsi="Simplified Arabic"/>
          <w:rtl/>
        </w:rPr>
        <w:t xml:space="preserve"> إخفائها، والاحتيال الإجرائي.</w:t>
      </w:r>
    </w:p>
    <w:p w14:paraId="54AAA1B6" w14:textId="3F55FE62" w:rsidR="00121FB6" w:rsidRPr="00685986" w:rsidRDefault="00121FB6" w:rsidP="00685986">
      <w:pPr>
        <w:pStyle w:val="SingleTxtGA"/>
        <w:spacing w:line="350" w:lineRule="exact"/>
        <w:rPr>
          <w:rFonts w:ascii="Simplified Arabic" w:eastAsiaTheme="minorEastAsia" w:hAnsi="Simplified Arabic"/>
          <w:spacing w:val="-4"/>
          <w:lang w:val="ar-SA" w:eastAsia="zh-TW" w:bidi="en-GB"/>
        </w:rPr>
      </w:pPr>
      <w:r w:rsidRPr="00685986">
        <w:rPr>
          <w:rFonts w:ascii="Simplified Arabic" w:eastAsiaTheme="minorEastAsia" w:hAnsi="Simplified Arabic"/>
          <w:spacing w:val="-4"/>
          <w:rtl/>
        </w:rPr>
        <w:t>2-3</w:t>
      </w:r>
      <w:r w:rsidRPr="00685986">
        <w:rPr>
          <w:rFonts w:ascii="Simplified Arabic" w:eastAsiaTheme="minorEastAsia" w:hAnsi="Simplified Arabic"/>
          <w:spacing w:val="-4"/>
          <w:rtl/>
        </w:rPr>
        <w:tab/>
        <w:t>وفي 13 تشرين الأول/أكتوبر 2005، رد ر. غ. باتهام صاحب البلاغ بأنه وضع إدارة الأمن الإداري تحت تصرف المجموعة الإجرامية المعروفة باسم "الكتلة الشمالية لقوات الدفاع الذاتي المتحدة في كولومبيا". ونظراً لعدم وجود أدلة، قرر مكتب المدعي العام عدم فتح تحقيق أولي. وفي 13 كانون الأول/</w:t>
      </w:r>
      <w:r w:rsidR="00E4220B" w:rsidRPr="00685986">
        <w:rPr>
          <w:rFonts w:ascii="Simplified Arabic" w:eastAsiaTheme="minorEastAsia" w:hAnsi="Simplified Arabic" w:hint="cs"/>
          <w:spacing w:val="-4"/>
          <w:rtl/>
        </w:rPr>
        <w:t xml:space="preserve"> </w:t>
      </w:r>
      <w:r w:rsidRPr="00685986">
        <w:rPr>
          <w:rFonts w:ascii="Simplified Arabic" w:eastAsiaTheme="minorEastAsia" w:hAnsi="Simplified Arabic"/>
          <w:spacing w:val="-4"/>
          <w:rtl/>
        </w:rPr>
        <w:t xml:space="preserve">ديسمبر 2005، اتهم ر. غ. صاحب البلاغ مرة أخرى بارتكاب مزيد من الأعمال الإجرامية، منها قتل صحفيين ونشطاء في مجال حقوق الإنسان ورؤساء نقابات. وأصبحت هذه الاتهامات معروفة لدى نشطاء حقوق الإنسان، والزعماء الرئيسيين للجبهة المعارضة للحكومة التي كان يرأسها آنذاك الرئيس ألفارو </w:t>
      </w:r>
      <w:proofErr w:type="spellStart"/>
      <w:r w:rsidRPr="00685986">
        <w:rPr>
          <w:rFonts w:ascii="Simplified Arabic" w:eastAsiaTheme="minorEastAsia" w:hAnsi="Simplified Arabic"/>
          <w:spacing w:val="-4"/>
          <w:rtl/>
        </w:rPr>
        <w:t>أوريبي</w:t>
      </w:r>
      <w:proofErr w:type="spellEnd"/>
      <w:r w:rsidRPr="00685986">
        <w:rPr>
          <w:rFonts w:ascii="Simplified Arabic" w:eastAsiaTheme="minorEastAsia" w:hAnsi="Simplified Arabic"/>
          <w:spacing w:val="-4"/>
          <w:rtl/>
        </w:rPr>
        <w:t xml:space="preserve">، ووسائط الإعلام، مما </w:t>
      </w:r>
      <w:r w:rsidRPr="00685986">
        <w:rPr>
          <w:rFonts w:ascii="Simplified Arabic" w:eastAsiaTheme="minorEastAsia" w:hAnsi="Simplified Arabic"/>
          <w:spacing w:val="-4"/>
          <w:rtl/>
          <w:lang w:val="fr-CH"/>
        </w:rPr>
        <w:t>فجَّر</w:t>
      </w:r>
      <w:r w:rsidRPr="00685986">
        <w:rPr>
          <w:rFonts w:ascii="Simplified Arabic" w:eastAsiaTheme="minorEastAsia" w:hAnsi="Simplified Arabic"/>
          <w:spacing w:val="-4"/>
          <w:rtl/>
        </w:rPr>
        <w:t xml:space="preserve"> فضيحة إعلامية في أوائل عام 2006. ويدعي صاحب البلاغ أن وسائط الإعلام الكولومبية ظلت، لأكثر من أسبوعين متتاليين، تكرر الاتهامات التي وجهها ر. غ. حيث نُشرت على أغلفة المجلات وفي الصفحات الأولى للصحف وكانت موضوع برامج إذاعية وتلفزيونية واستقصاءات ومقالات صحفية. </w:t>
      </w:r>
    </w:p>
    <w:p w14:paraId="310AB6A8" w14:textId="77777777"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17</w:t>
      </w:r>
      <w:r w:rsidRPr="00121FB6">
        <w:rPr>
          <w:rFonts w:ascii="Simplified Arabic" w:eastAsiaTheme="minorEastAsia" w:hAnsi="Simplified Arabic"/>
          <w:rtl/>
        </w:rPr>
        <w:t xml:space="preserve"> نيسان/أبريل </w:t>
      </w:r>
      <w:r w:rsidRPr="007E20A0">
        <w:rPr>
          <w:rFonts w:ascii="Simplified Arabic" w:eastAsiaTheme="minorEastAsia" w:hAnsi="Simplified Arabic"/>
          <w:rtl/>
        </w:rPr>
        <w:t>2006</w:t>
      </w:r>
      <w:r w:rsidRPr="00121FB6">
        <w:rPr>
          <w:rFonts w:ascii="Simplified Arabic" w:eastAsiaTheme="minorEastAsia" w:hAnsi="Simplified Arabic"/>
          <w:rtl/>
        </w:rPr>
        <w:t xml:space="preserve">، أمر المدعي العام بفتح تحقيق أولي وجمع الأدلة فيما يتعلق بالادعاءات الموجهة لصاحب البلاغ. ويؤكد صاحب البلاغ أن مكتب المدعي العام، بفتحه التحقيق، استسلم لضغوط الصحافة لإثبات استقلاله عن الحكومة. وفي </w:t>
      </w:r>
      <w:r w:rsidRPr="007E20A0">
        <w:rPr>
          <w:rFonts w:ascii="Simplified Arabic" w:eastAsiaTheme="minorEastAsia" w:hAnsi="Simplified Arabic"/>
          <w:rtl/>
        </w:rPr>
        <w:t>19</w:t>
      </w:r>
      <w:r w:rsidRPr="00121FB6">
        <w:rPr>
          <w:rFonts w:ascii="Simplified Arabic" w:eastAsiaTheme="minorEastAsia" w:hAnsi="Simplified Arabic"/>
          <w:rtl/>
        </w:rPr>
        <w:t xml:space="preserve"> أيار/مايو </w:t>
      </w:r>
      <w:r w:rsidRPr="007E20A0">
        <w:rPr>
          <w:rFonts w:ascii="Simplified Arabic" w:eastAsiaTheme="minorEastAsia" w:hAnsi="Simplified Arabic"/>
          <w:rtl/>
        </w:rPr>
        <w:t>2006</w:t>
      </w:r>
      <w:r w:rsidRPr="00121FB6">
        <w:rPr>
          <w:rFonts w:ascii="Simplified Arabic" w:eastAsiaTheme="minorEastAsia" w:hAnsi="Simplified Arabic"/>
          <w:rtl/>
        </w:rPr>
        <w:t xml:space="preserve">، طلب المدعي العام إلى المدعي العام الثاني المنتدب لدى المحكمة العليا، خ. أ. م. ر.، أن يشرف على إجراءات الملاحقة الجنائية. وفي </w:t>
      </w:r>
      <w:r w:rsidRPr="007E20A0">
        <w:rPr>
          <w:rFonts w:ascii="Simplified Arabic" w:eastAsiaTheme="minorEastAsia" w:hAnsi="Simplified Arabic"/>
          <w:rtl/>
        </w:rPr>
        <w:t>1</w:t>
      </w:r>
      <w:r w:rsidRPr="00121FB6">
        <w:rPr>
          <w:rFonts w:ascii="Simplified Arabic" w:eastAsiaTheme="minorEastAsia" w:hAnsi="Simplified Arabic"/>
          <w:rtl/>
        </w:rPr>
        <w:t xml:space="preserve"> حزيران/يونيه </w:t>
      </w:r>
      <w:r w:rsidRPr="007E20A0">
        <w:rPr>
          <w:rFonts w:ascii="Simplified Arabic" w:eastAsiaTheme="minorEastAsia" w:hAnsi="Simplified Arabic"/>
          <w:rtl/>
        </w:rPr>
        <w:t>2006</w:t>
      </w:r>
      <w:r w:rsidRPr="00121FB6">
        <w:rPr>
          <w:rFonts w:ascii="Simplified Arabic" w:eastAsiaTheme="minorEastAsia" w:hAnsi="Simplified Arabic"/>
          <w:rtl/>
        </w:rPr>
        <w:t xml:space="preserve">، كلف المدعي العام الثاني مساعد المدعي العام، م. ل. س.، بجمع الأدلة والحصول على الشهادات والإفادات وتقارير التفتيش. </w:t>
      </w:r>
    </w:p>
    <w:p w14:paraId="030E2852"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20</w:t>
      </w:r>
      <w:r w:rsidRPr="00121FB6">
        <w:rPr>
          <w:rFonts w:ascii="Simplified Arabic" w:eastAsiaTheme="minorEastAsia" w:hAnsi="Simplified Arabic"/>
          <w:rtl/>
        </w:rPr>
        <w:t xml:space="preserve"> تشرين الأول/أكتوبر </w:t>
      </w:r>
      <w:r w:rsidRPr="007E20A0">
        <w:rPr>
          <w:rFonts w:ascii="Simplified Arabic" w:eastAsiaTheme="minorEastAsia" w:hAnsi="Simplified Arabic"/>
          <w:rtl/>
        </w:rPr>
        <w:t>2006</w:t>
      </w:r>
      <w:r w:rsidRPr="00121FB6">
        <w:rPr>
          <w:rFonts w:ascii="Simplified Arabic" w:eastAsiaTheme="minorEastAsia" w:hAnsi="Simplified Arabic"/>
          <w:rtl/>
        </w:rPr>
        <w:t xml:space="preserve">، حُكم على ر. غ.، بعد أن اعترف وأقر بالجرائم التي اتهم بها، بالسجن لمدة </w:t>
      </w:r>
      <w:r w:rsidRPr="007E20A0">
        <w:rPr>
          <w:rFonts w:ascii="Simplified Arabic" w:eastAsiaTheme="minorEastAsia" w:hAnsi="Simplified Arabic"/>
          <w:rtl/>
        </w:rPr>
        <w:t>18</w:t>
      </w:r>
      <w:r w:rsidRPr="00121FB6">
        <w:rPr>
          <w:rFonts w:ascii="Simplified Arabic" w:eastAsiaTheme="minorEastAsia" w:hAnsi="Simplified Arabic"/>
          <w:rtl/>
        </w:rPr>
        <w:t xml:space="preserve"> سنة.</w:t>
      </w:r>
    </w:p>
    <w:p w14:paraId="512D8ABC" w14:textId="500A006E"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6</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22</w:t>
      </w:r>
      <w:r w:rsidRPr="00121FB6">
        <w:rPr>
          <w:rFonts w:ascii="Simplified Arabic" w:eastAsiaTheme="minorEastAsia" w:hAnsi="Simplified Arabic"/>
          <w:rtl/>
        </w:rPr>
        <w:t xml:space="preserve"> كانون الثاني/يناير </w:t>
      </w:r>
      <w:r w:rsidRPr="007E20A0">
        <w:rPr>
          <w:rFonts w:ascii="Simplified Arabic" w:eastAsiaTheme="minorEastAsia" w:hAnsi="Simplified Arabic"/>
          <w:rtl/>
        </w:rPr>
        <w:t>2007</w:t>
      </w:r>
      <w:r w:rsidRPr="00121FB6">
        <w:rPr>
          <w:rFonts w:ascii="Simplified Arabic" w:eastAsiaTheme="minorEastAsia" w:hAnsi="Simplified Arabic"/>
          <w:rtl/>
        </w:rPr>
        <w:t xml:space="preserve">، فتح المدعي العام الثاني، بعد أن أجرى تحليلاً للأدلة، تحقيقاً بموجب المادة </w:t>
      </w:r>
      <w:r w:rsidRPr="007E20A0">
        <w:rPr>
          <w:rFonts w:ascii="Simplified Arabic" w:eastAsiaTheme="minorEastAsia" w:hAnsi="Simplified Arabic"/>
          <w:rtl/>
        </w:rPr>
        <w:t>331</w:t>
      </w:r>
      <w:r w:rsidRPr="00121FB6">
        <w:rPr>
          <w:rFonts w:ascii="Simplified Arabic" w:eastAsiaTheme="minorEastAsia" w:hAnsi="Simplified Arabic"/>
          <w:rtl/>
        </w:rPr>
        <w:t xml:space="preserve"> من قانون الإجراءات الجنائية (القانون رقم </w:t>
      </w:r>
      <w:r w:rsidRPr="007E20A0">
        <w:rPr>
          <w:rFonts w:ascii="Simplified Arabic" w:eastAsiaTheme="minorEastAsia" w:hAnsi="Simplified Arabic"/>
          <w:rtl/>
        </w:rPr>
        <w:t>600</w:t>
      </w:r>
      <w:r w:rsidRPr="00121FB6">
        <w:rPr>
          <w:rFonts w:ascii="Simplified Arabic" w:eastAsiaTheme="minorEastAsia" w:hAnsi="Simplified Arabic"/>
          <w:rtl/>
        </w:rPr>
        <w:t xml:space="preserve"> لعام </w:t>
      </w:r>
      <w:r w:rsidRPr="007E20A0">
        <w:rPr>
          <w:rFonts w:ascii="Simplified Arabic" w:eastAsiaTheme="minorEastAsia" w:hAnsi="Simplified Arabic"/>
          <w:rtl/>
        </w:rPr>
        <w:t>2000</w:t>
      </w:r>
      <w:r w:rsidRPr="00121FB6">
        <w:rPr>
          <w:rFonts w:ascii="Simplified Arabic" w:eastAsiaTheme="minorEastAsia" w:hAnsi="Simplified Arabic"/>
          <w:rtl/>
        </w:rPr>
        <w:t>) للتحقق مما</w:t>
      </w:r>
      <w:r w:rsidR="002D0873">
        <w:rPr>
          <w:rFonts w:ascii="Simplified Arabic" w:eastAsiaTheme="minorEastAsia" w:hAnsi="Simplified Arabic" w:hint="cs"/>
          <w:rtl/>
        </w:rPr>
        <w:t> </w:t>
      </w:r>
      <w:r w:rsidRPr="00121FB6">
        <w:rPr>
          <w:rFonts w:ascii="Simplified Arabic" w:eastAsiaTheme="minorEastAsia" w:hAnsi="Simplified Arabic"/>
          <w:rtl/>
        </w:rPr>
        <w:t>إذا</w:t>
      </w:r>
      <w:r w:rsidR="002D0873">
        <w:rPr>
          <w:rFonts w:ascii="Simplified Arabic" w:eastAsiaTheme="minorEastAsia" w:hAnsi="Simplified Arabic" w:hint="cs"/>
          <w:rtl/>
        </w:rPr>
        <w:t> </w:t>
      </w:r>
      <w:r w:rsidRPr="00121FB6">
        <w:rPr>
          <w:rFonts w:ascii="Simplified Arabic" w:eastAsiaTheme="minorEastAsia" w:hAnsi="Simplified Arabic"/>
          <w:rtl/>
        </w:rPr>
        <w:t>كان صاحب البلاغ قد ارتكب فعلاً جرائم تهدد الحياة والسلامة الشخصية والأمن العام</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4"/>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p>
    <w:p w14:paraId="5B3029EF" w14:textId="1BB5E183" w:rsidR="00121FB6" w:rsidRPr="00121FB6" w:rsidRDefault="00121FB6" w:rsidP="00121FB6">
      <w:pPr>
        <w:pStyle w:val="SingleTxtGA"/>
        <w:rPr>
          <w:rFonts w:ascii="Simplified Arabic" w:eastAsiaTheme="minorEastAsia" w:hAnsi="Simplified Arabic"/>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7</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27</w:t>
      </w:r>
      <w:r w:rsidRPr="00121FB6">
        <w:rPr>
          <w:rFonts w:ascii="Simplified Arabic" w:eastAsiaTheme="minorEastAsia" w:hAnsi="Simplified Arabic"/>
          <w:rtl/>
        </w:rPr>
        <w:t xml:space="preserve"> شباط/فبراير </w:t>
      </w:r>
      <w:r w:rsidRPr="007E20A0">
        <w:rPr>
          <w:rFonts w:ascii="Simplified Arabic" w:eastAsiaTheme="minorEastAsia" w:hAnsi="Simplified Arabic"/>
          <w:rtl/>
        </w:rPr>
        <w:t>2007</w:t>
      </w:r>
      <w:r w:rsidRPr="00121FB6">
        <w:rPr>
          <w:rFonts w:ascii="Simplified Arabic" w:eastAsiaTheme="minorEastAsia" w:hAnsi="Simplified Arabic"/>
          <w:rtl/>
        </w:rPr>
        <w:t>، أمر المدعي العام الثاني باحتجاز صاحب البلاغ رهن المحاكمة، وطلب حبسه، بوصفه مسؤولاً رفيعاً سابقاً، في زنزانة مشددة الحراسة لضمان سلامته</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5"/>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w:t>
      </w:r>
      <w:dir w:val="rtl">
        <w:r w:rsidRPr="00121FB6">
          <w:rPr>
            <w:rFonts w:ascii="Simplified Arabic" w:eastAsiaTheme="minorEastAsia" w:hAnsi="Simplified Arabic"/>
            <w:rtl/>
          </w:rPr>
          <w:t xml:space="preserve">وفي </w:t>
        </w:r>
        <w:r w:rsidRPr="007E20A0">
          <w:rPr>
            <w:rFonts w:ascii="Simplified Arabic" w:eastAsiaTheme="minorEastAsia" w:hAnsi="Simplified Arabic"/>
            <w:rtl/>
          </w:rPr>
          <w:t>23</w:t>
        </w:r>
        <w:r w:rsidRPr="00121FB6">
          <w:rPr>
            <w:rFonts w:ascii="Simplified Arabic" w:eastAsiaTheme="minorEastAsia" w:hAnsi="Simplified Arabic"/>
            <w:rtl/>
          </w:rPr>
          <w:t xml:space="preserve"> كانون الأول/ديسمبر </w:t>
        </w:r>
        <w:r w:rsidRPr="007E20A0">
          <w:rPr>
            <w:rFonts w:ascii="Simplified Arabic" w:eastAsiaTheme="minorEastAsia" w:hAnsi="Simplified Arabic"/>
            <w:rtl/>
          </w:rPr>
          <w:t>2008</w:t>
        </w:r>
        <w:r w:rsidRPr="00121FB6">
          <w:rPr>
            <w:rFonts w:ascii="Simplified Arabic" w:eastAsiaTheme="minorEastAsia" w:hAnsi="Simplified Arabic"/>
            <w:rtl/>
          </w:rPr>
          <w:t xml:space="preserve">، نُقل صاحب البلاغ إلى سجن لا </w:t>
        </w:r>
        <w:proofErr w:type="spellStart"/>
        <w:r w:rsidRPr="00121FB6">
          <w:rPr>
            <w:rFonts w:ascii="Simplified Arabic" w:eastAsiaTheme="minorEastAsia" w:hAnsi="Simplified Arabic"/>
            <w:rtl/>
          </w:rPr>
          <w:t>بيكوتا</w:t>
        </w:r>
        <w:proofErr w:type="spellEnd"/>
        <w:r w:rsidRPr="00121FB6">
          <w:rPr>
            <w:rFonts w:ascii="Simplified Arabic" w:eastAsiaTheme="minorEastAsia" w:hAnsi="Simplified Arabic"/>
            <w:rtl/>
          </w:rPr>
          <w:t>، في بوغوتا.</w:t>
        </w:r>
        <w:r w:rsidRPr="00121FB6">
          <w:rPr>
            <w:rFonts w:eastAsiaTheme="minorEastAsia" w:cs="Times New Roman" w:hint="cs"/>
            <w:rtl/>
          </w:rPr>
          <w:t>‬</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00805AAA">
          <w:t>‬</w:t>
        </w:r>
        <w:r w:rsidR="0033221C">
          <w:t>‬</w:t>
        </w:r>
        <w:r w:rsidR="00FF56C3">
          <w:t>‬</w:t>
        </w:r>
      </w:dir>
    </w:p>
    <w:p w14:paraId="61C5AC49" w14:textId="77777777" w:rsidR="00121FB6" w:rsidRPr="00E4220B" w:rsidRDefault="00121FB6" w:rsidP="00121FB6">
      <w:pPr>
        <w:pStyle w:val="SingleTxtGA"/>
        <w:rPr>
          <w:rFonts w:ascii="Simplified Arabic" w:eastAsiaTheme="minorEastAsia" w:hAnsi="Simplified Arabic"/>
          <w:lang w:val="en-US" w:eastAsia="zh-TW"/>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8</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6</w:t>
      </w:r>
      <w:r w:rsidRPr="00121FB6">
        <w:rPr>
          <w:rFonts w:ascii="Simplified Arabic" w:eastAsiaTheme="minorEastAsia" w:hAnsi="Simplified Arabic"/>
          <w:rtl/>
        </w:rPr>
        <w:t xml:space="preserve"> أيار/مايو </w:t>
      </w:r>
      <w:r w:rsidRPr="007E20A0">
        <w:rPr>
          <w:rFonts w:ascii="Simplified Arabic" w:eastAsiaTheme="minorEastAsia" w:hAnsi="Simplified Arabic"/>
          <w:rtl/>
        </w:rPr>
        <w:t>2009</w:t>
      </w:r>
      <w:r w:rsidRPr="00121FB6">
        <w:rPr>
          <w:rFonts w:ascii="Simplified Arabic" w:eastAsiaTheme="minorEastAsia" w:hAnsi="Simplified Arabic"/>
          <w:rtl/>
        </w:rPr>
        <w:t>، اتهم المدعي العام صاحب البلاغ رسمياً بالمشاركة في ارتكاب جرائم التآمر الجنائي المشدد، والقتل العمد، واستخدام معلومات سرية، وإتلاف وثائق عامة أو إزالتها أو إخفائها؛ واتُهم صاحب البلاغ أيضاً بجرائم إساءة استغلال السلطة، لارتكابه أفعالاً تعسفية وغير عادلة، وجرائم الابتزاز والرشوة.</w:t>
      </w:r>
    </w:p>
    <w:p w14:paraId="776F4D06" w14:textId="043E7FE5"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9</w:t>
      </w:r>
      <w:r w:rsidRPr="00121FB6">
        <w:rPr>
          <w:rFonts w:ascii="Simplified Arabic" w:eastAsiaTheme="minorEastAsia" w:hAnsi="Simplified Arabic"/>
          <w:rtl/>
        </w:rPr>
        <w:tab/>
        <w:t xml:space="preserve">وفي </w:t>
      </w:r>
      <w:r w:rsidRPr="007E20A0">
        <w:rPr>
          <w:rFonts w:ascii="Simplified Arabic" w:eastAsiaTheme="minorEastAsia" w:hAnsi="Simplified Arabic"/>
          <w:rtl/>
        </w:rPr>
        <w:t>14</w:t>
      </w:r>
      <w:r w:rsidRPr="00121FB6">
        <w:rPr>
          <w:rFonts w:ascii="Simplified Arabic" w:eastAsiaTheme="minorEastAsia" w:hAnsi="Simplified Arabic"/>
          <w:rtl/>
        </w:rPr>
        <w:t xml:space="preserve"> أيلول/سبتمبر </w:t>
      </w:r>
      <w:r w:rsidRPr="007E20A0">
        <w:rPr>
          <w:rFonts w:ascii="Simplified Arabic" w:eastAsiaTheme="minorEastAsia" w:hAnsi="Simplified Arabic"/>
          <w:rtl/>
        </w:rPr>
        <w:t>2011</w:t>
      </w:r>
      <w:r w:rsidRPr="00121FB6">
        <w:rPr>
          <w:rFonts w:ascii="Simplified Arabic" w:eastAsiaTheme="minorEastAsia" w:hAnsi="Simplified Arabic"/>
          <w:rtl/>
        </w:rPr>
        <w:t>، خلصت شعبة الاستئناف الجنائي التابعة للمحكمة العليا، المنعقدة بوصفها محكمة ذات درجة قضائية وحيدة، إلى أن صاحب البلاغ مسؤول جنائياً عن التآمر الجنائي المشدد، والتورط غير المباشر في القتل، والتورط غير المباشر في تدمير وثائق عامة أو إزالتها أو</w:t>
      </w:r>
      <w:r w:rsidR="002D0873">
        <w:rPr>
          <w:rFonts w:ascii="Simplified Arabic" w:eastAsiaTheme="minorEastAsia" w:hAnsi="Simplified Arabic" w:hint="cs"/>
          <w:rtl/>
        </w:rPr>
        <w:t> </w:t>
      </w:r>
      <w:r w:rsidRPr="00121FB6">
        <w:rPr>
          <w:rFonts w:ascii="Simplified Arabic" w:eastAsiaTheme="minorEastAsia" w:hAnsi="Simplified Arabic"/>
          <w:rtl/>
        </w:rPr>
        <w:t xml:space="preserve">إخفائها بصورة غير مشروعة، وكشف معلومات سرية. وحكمت عليه المحكمة بالسجن لمدة </w:t>
      </w:r>
      <w:r w:rsidRPr="007E20A0">
        <w:rPr>
          <w:rFonts w:ascii="Simplified Arabic" w:eastAsiaTheme="minorEastAsia" w:hAnsi="Simplified Arabic"/>
          <w:rtl/>
        </w:rPr>
        <w:t>25</w:t>
      </w:r>
      <w:r w:rsidRPr="00121FB6">
        <w:rPr>
          <w:rFonts w:ascii="Simplified Arabic" w:eastAsiaTheme="minorEastAsia" w:hAnsi="Simplified Arabic"/>
          <w:rtl/>
        </w:rPr>
        <w:t xml:space="preserve"> عاماً، وبغرامة قدرها </w:t>
      </w:r>
      <w:r w:rsidRPr="007E20A0">
        <w:rPr>
          <w:rFonts w:ascii="Simplified Arabic" w:eastAsiaTheme="minorEastAsia" w:hAnsi="Simplified Arabic"/>
          <w:rtl/>
        </w:rPr>
        <w:t>510</w:t>
      </w:r>
      <w:r w:rsidRPr="00121FB6">
        <w:rPr>
          <w:rFonts w:ascii="Simplified Arabic" w:eastAsiaTheme="minorEastAsia" w:hAnsi="Simplified Arabic"/>
          <w:rtl/>
        </w:rPr>
        <w:t xml:space="preserve"> </w:t>
      </w:r>
      <w:r w:rsidR="00E4220B" w:rsidRPr="007E20A0">
        <w:rPr>
          <w:rFonts w:ascii="Simplified Arabic" w:eastAsiaTheme="minorEastAsia" w:hAnsi="Simplified Arabic"/>
          <w:rtl/>
        </w:rPr>
        <w:t>6</w:t>
      </w:r>
      <w:r w:rsidR="00E4220B">
        <w:rPr>
          <w:rFonts w:ascii="Simplified Arabic" w:eastAsiaTheme="minorEastAsia" w:hAnsi="Simplified Arabic" w:hint="cs"/>
          <w:rtl/>
        </w:rPr>
        <w:t xml:space="preserve"> </w:t>
      </w:r>
      <w:r w:rsidRPr="00121FB6">
        <w:rPr>
          <w:rFonts w:ascii="Simplified Arabic" w:eastAsiaTheme="minorEastAsia" w:hAnsi="Simplified Arabic"/>
          <w:rtl/>
        </w:rPr>
        <w:t xml:space="preserve">أضعاف الحد الأدنى القانوني للأجور، ومنعه من ممارسة حقوقه وتقلد الوظائف العامة لمدة </w:t>
      </w:r>
      <w:r w:rsidRPr="007E20A0">
        <w:rPr>
          <w:rFonts w:ascii="Simplified Arabic" w:eastAsiaTheme="minorEastAsia" w:hAnsi="Simplified Arabic"/>
          <w:rtl/>
        </w:rPr>
        <w:t>20</w:t>
      </w:r>
      <w:r w:rsidRPr="00121FB6">
        <w:rPr>
          <w:rFonts w:ascii="Simplified Arabic" w:eastAsiaTheme="minorEastAsia" w:hAnsi="Simplified Arabic"/>
          <w:rtl/>
        </w:rPr>
        <w:t xml:space="preserve"> عاماً. </w:t>
      </w:r>
    </w:p>
    <w:p w14:paraId="03EADD96" w14:textId="20333111"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10</w:t>
      </w:r>
      <w:r w:rsidRPr="00121FB6">
        <w:rPr>
          <w:rFonts w:ascii="Simplified Arabic" w:eastAsiaTheme="minorEastAsia" w:hAnsi="Simplified Arabic"/>
          <w:rtl/>
        </w:rPr>
        <w:tab/>
        <w:t>ويدعي صاحب البلاغ أن سبل الانتصاف المحلية استُنفدت لأنه لا يجوز الطعن في أحكام الإدانة الصادرة عن الدائرة الجنائية للمحكمة العليا عندما تنعقد المحكمة بصفتها محكمة ذات درجة قضائية وحيدة، كما هو موضح في</w:t>
      </w:r>
      <w:r w:rsidRPr="00121FB6">
        <w:rPr>
          <w:rFonts w:ascii="Simplified Arabic" w:eastAsiaTheme="minorEastAsia" w:hAnsi="Simplified Arabic"/>
          <w:rtl/>
          <w:lang w:val="fr-CH"/>
        </w:rPr>
        <w:t xml:space="preserve"> حكم</w:t>
      </w:r>
      <w:r w:rsidRPr="00121FB6">
        <w:rPr>
          <w:rFonts w:ascii="Simplified Arabic" w:eastAsiaTheme="minorEastAsia" w:hAnsi="Simplified Arabic"/>
          <w:rtl/>
        </w:rPr>
        <w:t xml:space="preserve"> الإدانة نفسه، الذي ينص على "عدم جواز الطعن في هذا الحكم"</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6"/>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ويشير صاحب البلاغ إلى أن دائرة الاستئناف الجنائي التابعة للمحكمة العليا هي الهيئة الوحيدة المخولة سلطة محاكمته كمدير سابق لإدارة الأمن الإداري. وبالإضافة إلى ذلك، يؤكد صاحب البلاغ أن</w:t>
      </w:r>
      <w:r w:rsidR="00E4220B">
        <w:rPr>
          <w:rFonts w:ascii="Simplified Arabic" w:eastAsiaTheme="minorEastAsia" w:hAnsi="Simplified Arabic" w:hint="cs"/>
          <w:rtl/>
        </w:rPr>
        <w:t> </w:t>
      </w:r>
      <w:r w:rsidRPr="00121FB6">
        <w:rPr>
          <w:rFonts w:ascii="Simplified Arabic" w:eastAsiaTheme="minorEastAsia" w:hAnsi="Simplified Arabic"/>
          <w:rtl/>
        </w:rPr>
        <w:t>القانون المحلي للدولة الطرف وسوابقها القضائية لا يسمحان للأشخاص الذين يتمتعون بامتياز دستوري بسحب هذا الامتياز بغرض الحصول على الحق في جلسة استماع ثانية.</w:t>
      </w:r>
    </w:p>
    <w:p w14:paraId="64438773"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2</w:t>
      </w:r>
      <w:r w:rsidRPr="00121FB6">
        <w:rPr>
          <w:rFonts w:ascii="Simplified Arabic" w:eastAsiaTheme="minorEastAsia" w:hAnsi="Simplified Arabic"/>
          <w:rtl/>
        </w:rPr>
        <w:t>-</w:t>
      </w:r>
      <w:r w:rsidRPr="007E20A0">
        <w:rPr>
          <w:rFonts w:ascii="Simplified Arabic" w:eastAsiaTheme="minorEastAsia" w:hAnsi="Simplified Arabic"/>
          <w:rtl/>
        </w:rPr>
        <w:t>11</w:t>
      </w:r>
      <w:r w:rsidRPr="00121FB6">
        <w:rPr>
          <w:rFonts w:ascii="Simplified Arabic" w:eastAsiaTheme="minorEastAsia" w:hAnsi="Simplified Arabic"/>
          <w:rtl/>
        </w:rPr>
        <w:tab/>
        <w:t xml:space="preserve">وقررت المحكمة الدستورية، في حكم مؤرخ </w:t>
      </w:r>
      <w:r w:rsidRPr="007E20A0">
        <w:rPr>
          <w:rFonts w:ascii="Simplified Arabic" w:eastAsiaTheme="minorEastAsia" w:hAnsi="Simplified Arabic"/>
          <w:rtl/>
        </w:rPr>
        <w:t>30</w:t>
      </w:r>
      <w:r w:rsidRPr="00121FB6">
        <w:rPr>
          <w:rFonts w:ascii="Simplified Arabic" w:eastAsiaTheme="minorEastAsia" w:hAnsi="Simplified Arabic"/>
          <w:rtl/>
        </w:rPr>
        <w:t xml:space="preserve"> تشرين الثاني/نوفمبر </w:t>
      </w:r>
      <w:r w:rsidRPr="007E20A0">
        <w:rPr>
          <w:rFonts w:ascii="Simplified Arabic" w:eastAsiaTheme="minorEastAsia" w:hAnsi="Simplified Arabic"/>
          <w:rtl/>
        </w:rPr>
        <w:t>2012</w:t>
      </w:r>
      <w:r w:rsidRPr="00121FB6">
        <w:rPr>
          <w:rFonts w:ascii="Simplified Arabic" w:eastAsiaTheme="minorEastAsia" w:hAnsi="Simplified Arabic"/>
          <w:rtl/>
        </w:rPr>
        <w:t xml:space="preserve">، عدم إعادة النظر في طلب صاحب البلاغ الحصول على </w:t>
      </w:r>
      <w:r w:rsidRPr="00121FB6">
        <w:rPr>
          <w:rFonts w:ascii="Simplified Arabic" w:eastAsiaTheme="minorEastAsia" w:hAnsi="Simplified Arabic"/>
          <w:rtl/>
          <w:lang w:val="fr-CH"/>
        </w:rPr>
        <w:t>ال</w:t>
      </w:r>
      <w:r w:rsidRPr="00121FB6">
        <w:rPr>
          <w:rFonts w:ascii="Simplified Arabic" w:eastAsiaTheme="minorEastAsia" w:hAnsi="Simplified Arabic"/>
          <w:rtl/>
        </w:rPr>
        <w:t xml:space="preserve">حماية القضائية. ويؤكد صاحب البلاغ أن الادعاءات الواردة في بلاغه لم يسبق بحثها في إطار إجراء آخر من إجراءات التحقيق الدولي أو التسوية الدولية. </w:t>
      </w:r>
    </w:p>
    <w:p w14:paraId="0DB03D51" w14:textId="77777777" w:rsidR="00121FB6" w:rsidRPr="00121FB6" w:rsidRDefault="00121FB6" w:rsidP="00121FB6">
      <w:pPr>
        <w:pStyle w:val="H23GA"/>
        <w:rPr>
          <w:rFonts w:ascii="Simplified Arabic" w:eastAsiaTheme="minorEastAsia" w:hAnsi="Simplified Arabic"/>
          <w:lang w:val="ar-SA" w:eastAsia="zh-TW" w:bidi="en-GB"/>
        </w:rPr>
      </w:pPr>
      <w:r w:rsidRPr="00121FB6">
        <w:rPr>
          <w:rFonts w:ascii="Simplified Arabic" w:eastAsiaTheme="minorEastAsia" w:hAnsi="Simplified Arabic"/>
          <w:rtl/>
        </w:rPr>
        <w:tab/>
      </w:r>
      <w:r w:rsidRPr="00121FB6">
        <w:rPr>
          <w:rFonts w:ascii="Simplified Arabic" w:eastAsiaTheme="minorEastAsia" w:hAnsi="Simplified Arabic"/>
          <w:rtl/>
        </w:rPr>
        <w:tab/>
        <w:t>الشكوى</w:t>
      </w:r>
    </w:p>
    <w:p w14:paraId="3D2D0D8A" w14:textId="77777777"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 xml:space="preserve">يدّعي صاحب البلاغ أنه ضحية انتهاك المواد </w:t>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و</w:t>
      </w:r>
      <w:r w:rsidRPr="007E20A0">
        <w:rPr>
          <w:rFonts w:ascii="Simplified Arabic" w:eastAsiaTheme="minorEastAsia" w:hAnsi="Simplified Arabic"/>
          <w:rtl/>
        </w:rPr>
        <w:t>9</w:t>
      </w:r>
      <w:r w:rsidRPr="00121FB6">
        <w:rPr>
          <w:rFonts w:ascii="Simplified Arabic" w:eastAsiaTheme="minorEastAsia" w:hAnsi="Simplified Arabic"/>
          <w:rtl/>
        </w:rPr>
        <w:t xml:space="preserve"> و</w:t>
      </w:r>
      <w:r w:rsidRPr="007E20A0">
        <w:rPr>
          <w:rFonts w:ascii="Simplified Arabic" w:eastAsiaTheme="minorEastAsia" w:hAnsi="Simplified Arabic"/>
          <w:rtl/>
        </w:rPr>
        <w:t>10</w:t>
      </w:r>
      <w:r w:rsidRPr="00121FB6">
        <w:rPr>
          <w:rFonts w:ascii="Simplified Arabic" w:eastAsiaTheme="minorEastAsia" w:hAnsi="Simplified Arabic"/>
          <w:rtl/>
        </w:rPr>
        <w:t xml:space="preserve"> و</w:t>
      </w:r>
      <w:r w:rsidRPr="007E20A0">
        <w:rPr>
          <w:rFonts w:ascii="Simplified Arabic" w:eastAsiaTheme="minorEastAsia" w:hAnsi="Simplified Arabic"/>
          <w:rtl/>
        </w:rPr>
        <w:t>14</w:t>
      </w:r>
      <w:r w:rsidRPr="00121FB6">
        <w:rPr>
          <w:rFonts w:ascii="Simplified Arabic" w:eastAsiaTheme="minorEastAsia" w:hAnsi="Simplified Arabic"/>
          <w:rtl/>
        </w:rPr>
        <w:t xml:space="preserve"> و</w:t>
      </w:r>
      <w:r w:rsidRPr="007E20A0">
        <w:rPr>
          <w:rFonts w:ascii="Simplified Arabic" w:eastAsiaTheme="minorEastAsia" w:hAnsi="Simplified Arabic"/>
          <w:rtl/>
        </w:rPr>
        <w:t>26</w:t>
      </w:r>
      <w:r w:rsidRPr="00121FB6">
        <w:rPr>
          <w:rFonts w:ascii="Simplified Arabic" w:eastAsiaTheme="minorEastAsia" w:hAnsi="Simplified Arabic"/>
          <w:rtl/>
        </w:rPr>
        <w:t xml:space="preserve"> من العهد. </w:t>
      </w:r>
    </w:p>
    <w:p w14:paraId="046D3B0E" w14:textId="77777777"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t xml:space="preserve">ويدعي صاحب البلاغ أيضاً أن الدولة الطرف لم تف بالتزاماتها بموجب المادتين </w:t>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من العهد، لأن مركزه كمسؤول رفيع ل</w:t>
      </w:r>
      <w:bookmarkStart w:id="1" w:name="_GoBack"/>
      <w:bookmarkEnd w:id="1"/>
      <w:r w:rsidRPr="00121FB6">
        <w:rPr>
          <w:rFonts w:ascii="Simplified Arabic" w:eastAsiaTheme="minorEastAsia" w:hAnsi="Simplified Arabic"/>
          <w:rtl/>
        </w:rPr>
        <w:t xml:space="preserve">م يضمن له ممارسة حقه في إعادة النظر في حكم إدانته ومعاقبته من قِبل محكمة أعلى درجة، وفقاً للمادة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 من العهد، بل تسبب مركزه في إعاقة ذلك ومنعه.</w:t>
      </w:r>
    </w:p>
    <w:p w14:paraId="6D7F4C58" w14:textId="2F34CB33" w:rsidR="00121FB6" w:rsidRPr="00685986" w:rsidRDefault="00121FB6" w:rsidP="00685986">
      <w:pPr>
        <w:pStyle w:val="SingleTxtGA"/>
        <w:spacing w:line="350" w:lineRule="exact"/>
        <w:rPr>
          <w:rFonts w:ascii="Simplified Arabic" w:eastAsiaTheme="minorEastAsia" w:hAnsi="Simplified Arabic"/>
          <w:spacing w:val="-2"/>
          <w:lang w:val="ar-SA" w:eastAsia="zh-TW" w:bidi="en-GB"/>
        </w:rPr>
      </w:pPr>
      <w:r w:rsidRPr="00685986">
        <w:rPr>
          <w:rFonts w:ascii="Simplified Arabic" w:eastAsiaTheme="minorEastAsia" w:hAnsi="Simplified Arabic"/>
          <w:spacing w:val="-2"/>
          <w:rtl/>
        </w:rPr>
        <w:t>3-3</w:t>
      </w:r>
      <w:r w:rsidRPr="00685986">
        <w:rPr>
          <w:rFonts w:ascii="Simplified Arabic" w:eastAsiaTheme="minorEastAsia" w:hAnsi="Simplified Arabic"/>
          <w:spacing w:val="-2"/>
          <w:rtl/>
        </w:rPr>
        <w:tab/>
        <w:t xml:space="preserve">ويدعي صاحب البلاغ كذلك أنه وجد نفسه، أثناء الإجراءات القانونية، في وضع من عدم المساواة نتيجة للقواعد الإجرائية الوطنية، مما يشكل انتهاكاً للجملة الأولى من المادة 14(1) من العهد. ويوضح أن القانون الذي حوكم بموجبه (رقم 600 لعام 2000) يُلزِم أيضاً المحقق المكلف بالتحقيق مع المدعى عليه بمسؤولية البت فيما إذا كان ينبغي حرمانه من حريته. وهو يدعي أيضاً أن حقه في حضور جلسة أمام محكمة مختصة، المنصوص عليه في الجملة الثانية من المادة 14(1)، انتُهك لأن المدعي العام نقل اختصاصه إلى المرؤوسين، رغم أن القانون المحلي ينص على أن المدعي العام هو وحده المختص بإجراء التحقيق والملاحقة الجنائية. ويشير صاحب البلاغ إلى أن المحكمة العليا اعترفت جزئياً بهذا الانتهاك، حيث حكمت برفض التهم الموجهة إليه دون رفض الأدلة التي جمعها المحققون الذين يفتقرون إلى الكفاءة اللازمة للتصرف. وبالإضافة إلى ذلك، يرى صاحب البلاغ أن الدولة الطرف انتهكت حقه في حضور جلسة أمام محكمة مستقلة ومحايدة، نظراً لصدور حكم مسبق عليه من قِبل قاضي المحاكمة، الذي واصل، منذ بداية نظره في وقائع الشكوى، "إبداء تحيزه" في سياق الإجراءات المتخذة ضد صاحب البلاغ، واتخذ قرارات </w:t>
      </w:r>
      <w:r w:rsidRPr="00685986">
        <w:rPr>
          <w:rFonts w:ascii="Simplified Arabic" w:eastAsiaTheme="minorEastAsia" w:hAnsi="Simplified Arabic"/>
          <w:spacing w:val="-2"/>
          <w:rtl/>
          <w:lang w:val="fr-CH" w:bidi="ar-SY"/>
        </w:rPr>
        <w:t>غير موضوعية</w:t>
      </w:r>
      <w:r w:rsidRPr="00685986">
        <w:rPr>
          <w:rFonts w:ascii="Simplified Arabic" w:eastAsiaTheme="minorEastAsia" w:hAnsi="Simplified Arabic"/>
          <w:spacing w:val="-2"/>
          <w:rtl/>
        </w:rPr>
        <w:t xml:space="preserve"> دون مبررات سليمة. وعلاوة على ذلك، شارك م. ل. س.، الذي أسهم في التحقيق الجنائي في القضية كمساعد للمحقق، في النظر في القضية بصفته قاضي</w:t>
      </w:r>
      <w:r w:rsidR="002D0873" w:rsidRPr="00685986">
        <w:rPr>
          <w:rFonts w:ascii="Simplified Arabic" w:eastAsiaTheme="minorEastAsia" w:hAnsi="Simplified Arabic"/>
          <w:spacing w:val="-2"/>
          <w:rtl/>
        </w:rPr>
        <w:t>اً</w:t>
      </w:r>
      <w:r w:rsidR="002D0873" w:rsidRPr="00685986">
        <w:rPr>
          <w:rFonts w:ascii="Simplified Arabic" w:eastAsiaTheme="minorEastAsia" w:hAnsi="Simplified Arabic" w:hint="cs"/>
          <w:spacing w:val="-2"/>
          <w:rtl/>
        </w:rPr>
        <w:t> </w:t>
      </w:r>
      <w:r w:rsidRPr="00685986">
        <w:rPr>
          <w:rFonts w:ascii="Simplified Arabic" w:eastAsiaTheme="minorEastAsia" w:hAnsi="Simplified Arabic"/>
          <w:spacing w:val="-2"/>
          <w:rtl/>
        </w:rPr>
        <w:t>مساعدا</w:t>
      </w:r>
      <w:r w:rsidR="003D6C6F" w:rsidRPr="00685986">
        <w:rPr>
          <w:rFonts w:ascii="Simplified Arabic" w:eastAsiaTheme="minorEastAsia" w:hAnsi="Simplified Arabic" w:hint="cs"/>
          <w:spacing w:val="-2"/>
          <w:rtl/>
        </w:rPr>
        <w:t>ً</w:t>
      </w:r>
      <w:r w:rsidRPr="00685986">
        <w:rPr>
          <w:rFonts w:ascii="Simplified Arabic" w:eastAsiaTheme="minorEastAsia" w:hAnsi="Simplified Arabic"/>
          <w:spacing w:val="-2"/>
          <w:rtl/>
        </w:rPr>
        <w:t xml:space="preserve">. </w:t>
      </w:r>
    </w:p>
    <w:p w14:paraId="47A0B804" w14:textId="176431D5"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ويدعي صاحب البلاغ أنه كان أيض</w:t>
      </w:r>
      <w:r w:rsidR="002D0873">
        <w:rPr>
          <w:rFonts w:ascii="Simplified Arabic" w:eastAsiaTheme="minorEastAsia" w:hAnsi="Simplified Arabic"/>
          <w:rtl/>
        </w:rPr>
        <w:t xml:space="preserve">اً </w:t>
      </w:r>
      <w:r w:rsidRPr="00121FB6">
        <w:rPr>
          <w:rFonts w:ascii="Simplified Arabic" w:eastAsiaTheme="minorEastAsia" w:hAnsi="Simplified Arabic"/>
          <w:rtl/>
        </w:rPr>
        <w:t xml:space="preserve">ضحية انتهاك حقوقه التي تكفلها المواد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 و(</w:t>
      </w:r>
      <w:r w:rsidRPr="007E20A0">
        <w:rPr>
          <w:rFonts w:ascii="Simplified Arabic" w:eastAsiaTheme="minorEastAsia" w:hAnsi="Simplified Arabic"/>
          <w:rtl/>
        </w:rPr>
        <w:t>2</w:t>
      </w:r>
      <w:r w:rsidRPr="00121FB6">
        <w:rPr>
          <w:rFonts w:ascii="Simplified Arabic" w:eastAsiaTheme="minorEastAsia" w:hAnsi="Simplified Arabic"/>
          <w:rtl/>
        </w:rPr>
        <w:t>) و(</w:t>
      </w:r>
      <w:r w:rsidRPr="007E20A0">
        <w:rPr>
          <w:rFonts w:ascii="Simplified Arabic" w:eastAsiaTheme="minorEastAsia" w:hAnsi="Simplified Arabic"/>
          <w:rtl/>
        </w:rPr>
        <w:t>3</w:t>
      </w:r>
      <w:r w:rsidRPr="00121FB6">
        <w:rPr>
          <w:rFonts w:ascii="Simplified Arabic" w:eastAsiaTheme="minorEastAsia" w:hAnsi="Simplified Arabic"/>
          <w:rtl/>
        </w:rPr>
        <w:t>) و</w:t>
      </w:r>
      <w:r w:rsidRPr="007E20A0">
        <w:rPr>
          <w:rFonts w:ascii="Simplified Arabic" w:eastAsiaTheme="minorEastAsia" w:hAnsi="Simplified Arabic"/>
          <w:rtl/>
        </w:rPr>
        <w:t>3</w:t>
      </w:r>
      <w:r w:rsidRPr="00121FB6">
        <w:rPr>
          <w:rFonts w:ascii="Simplified Arabic" w:eastAsiaTheme="minorEastAsia" w:hAnsi="Simplified Arabic"/>
          <w:rtl/>
        </w:rPr>
        <w:t xml:space="preserve"> و</w:t>
      </w:r>
      <w:r w:rsidRPr="007E20A0">
        <w:rPr>
          <w:rFonts w:ascii="Simplified Arabic" w:eastAsiaTheme="minorEastAsia" w:hAnsi="Simplified Arabic"/>
          <w:rtl/>
        </w:rPr>
        <w:t>9</w:t>
      </w:r>
      <w:r w:rsidRPr="00121FB6">
        <w:rPr>
          <w:rFonts w:ascii="Simplified Arabic" w:eastAsiaTheme="minorEastAsia" w:hAnsi="Simplified Arabic"/>
          <w:rtl/>
        </w:rPr>
        <w:t xml:space="preserve"> من العهد، حيث حوكم وأُدين على أساس إفادة شاهد زور، يدعى ر. غ.، </w:t>
      </w:r>
      <w:r w:rsidRPr="00121FB6">
        <w:rPr>
          <w:rFonts w:ascii="Simplified Arabic" w:eastAsiaTheme="minorEastAsia" w:hAnsi="Simplified Arabic"/>
          <w:rtl/>
          <w:lang w:val="fr-CH"/>
        </w:rPr>
        <w:t>اعتاد على</w:t>
      </w:r>
      <w:r w:rsidRPr="00121FB6">
        <w:rPr>
          <w:rFonts w:ascii="Simplified Arabic" w:eastAsiaTheme="minorEastAsia" w:hAnsi="Simplified Arabic"/>
          <w:rtl/>
        </w:rPr>
        <w:t xml:space="preserve"> "الكذب على السلطات" و"اختلاق قصص خيالية". ويذكر صاحب البلاغ أن مكتب المدعي العام، حتى بعد اكتشاف العديد من المخالفات في التقييم النفسي الأول لـ ر.</w:t>
      </w:r>
      <w:r w:rsidR="002D0873">
        <w:rPr>
          <w:rFonts w:ascii="Simplified Arabic" w:eastAsiaTheme="minorEastAsia" w:hAnsi="Simplified Arabic" w:hint="cs"/>
          <w:rtl/>
        </w:rPr>
        <w:t xml:space="preserve"> </w:t>
      </w:r>
      <w:r w:rsidRPr="00121FB6">
        <w:rPr>
          <w:rFonts w:ascii="Simplified Arabic" w:eastAsiaTheme="minorEastAsia" w:hAnsi="Simplified Arabic"/>
          <w:rtl/>
        </w:rPr>
        <w:t xml:space="preserve">غ.، لم يبذل أي جهد لضمان خضوعه لتقييم ثان. ولو أُجري هذا الاختبار لما أُدين صاحب البلاغ ظلماً لأن هذا الاختبار كان سيسلط الضوء على السلوك النفسي للشاهد الرئيسي في المحاكمة. </w:t>
      </w:r>
    </w:p>
    <w:p w14:paraId="7BC04897" w14:textId="14D740ED"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ab/>
        <w:t xml:space="preserve">ويرى صاحب البلاغ أيضاً أن الآراء التي أعربت عنها وسائط الإعلام، وطول فترة احتجازه رهن المحاكمة، يشكلان انتهاكاً لحقه في افتراض البراءة بموجب المادة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 xml:space="preserve">) من العهد. ويدعي أيضاً أن حقوقه المنصوص عليها في المادة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3</w:t>
      </w:r>
      <w:r w:rsidRPr="00121FB6">
        <w:rPr>
          <w:rFonts w:ascii="Simplified Arabic" w:eastAsiaTheme="minorEastAsia" w:hAnsi="Simplified Arabic"/>
          <w:rtl/>
        </w:rPr>
        <w:t>) انتُهكت أثناء الإجراءات المتخذة ضده، للأسباب التالية: (أ)</w:t>
      </w:r>
      <w:r w:rsidR="003D6C6F">
        <w:rPr>
          <w:rFonts w:ascii="Simplified Arabic" w:eastAsiaTheme="minorEastAsia" w:hAnsi="Simplified Arabic" w:hint="cs"/>
          <w:rtl/>
        </w:rPr>
        <w:t> </w:t>
      </w:r>
      <w:r w:rsidRPr="00121FB6">
        <w:rPr>
          <w:rFonts w:ascii="Simplified Arabic" w:eastAsiaTheme="minorEastAsia" w:hAnsi="Simplified Arabic"/>
          <w:rtl/>
        </w:rPr>
        <w:t xml:space="preserve">أنه أُدين بارتكاب جرائم لم يُتهم بها؛ (ب) أن عدة طلبات للتأجيل، الذي كان ضرورياً بسبب حجم ملف القضية، رُفضت؛ (ج) أن التحقيق الجنائي </w:t>
      </w:r>
      <w:r w:rsidRPr="007E20A0">
        <w:rPr>
          <w:rFonts w:ascii="Simplified Arabic" w:eastAsiaTheme="minorEastAsia" w:hAnsi="Simplified Arabic"/>
          <w:rtl/>
        </w:rPr>
        <w:t>والمحاكمة استمرا أربع</w:t>
      </w:r>
      <w:r w:rsidRPr="00121FB6">
        <w:rPr>
          <w:rFonts w:ascii="Simplified Arabic" w:eastAsiaTheme="minorEastAsia" w:hAnsi="Simplified Arabic"/>
          <w:rtl/>
        </w:rPr>
        <w:t xml:space="preserve"> سنوات؛ (د) أنه، في مراحل معينة من الإجراءات، لم يكن يمثله محام من اختياره</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7"/>
      </w:r>
      <w:r>
        <w:rPr>
          <w:rStyle w:val="FootnoteReference"/>
          <w:rFonts w:ascii="Simplified Arabic" w:eastAsiaTheme="minorEastAsia" w:hAnsi="Simplified Arabic"/>
          <w:szCs w:val="22"/>
          <w:rtl/>
        </w:rPr>
        <w:t>)</w:t>
      </w:r>
      <w:r w:rsidRPr="00121FB6">
        <w:rPr>
          <w:rFonts w:ascii="Simplified Arabic" w:eastAsiaTheme="minorEastAsia" w:hAnsi="Simplified Arabic"/>
          <w:rtl/>
        </w:rPr>
        <w:t xml:space="preserve">؛ (ه) أن محاميه لم يُسمح له باستجواب شاهد نفي. </w:t>
      </w:r>
    </w:p>
    <w:p w14:paraId="1AADD294"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6</w:t>
      </w:r>
      <w:r w:rsidRPr="00121FB6">
        <w:rPr>
          <w:rFonts w:ascii="Simplified Arabic" w:eastAsiaTheme="minorEastAsia" w:hAnsi="Simplified Arabic"/>
          <w:rtl/>
        </w:rPr>
        <w:tab/>
        <w:t>ويؤكد صاحب البلاغ أن الدولة الطرف انتهكت أيضاً حقه في أن تعيد محكمة أعلى درجة النظر في حكم</w:t>
      </w:r>
      <w:r w:rsidRPr="00121FB6">
        <w:rPr>
          <w:rFonts w:ascii="Simplified Arabic" w:eastAsiaTheme="minorEastAsia" w:hAnsi="Simplified Arabic"/>
          <w:color w:val="FF0000"/>
          <w:rtl/>
        </w:rPr>
        <w:t xml:space="preserve"> </w:t>
      </w:r>
      <w:r w:rsidRPr="00121FB6">
        <w:rPr>
          <w:rFonts w:ascii="Simplified Arabic" w:eastAsiaTheme="minorEastAsia" w:hAnsi="Simplified Arabic"/>
          <w:rtl/>
        </w:rPr>
        <w:t xml:space="preserve">إدانته، على النحو المنصوص عليه في المادة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 من العهد، لأن قانون كولومبيا يقضي بأن المحكمة العليا، التي تنعقد بصفتها محكمة ذات درجة قضائية وحيدة، مسؤولة عن النظر والبت في القضايا المرفوعة ضد أشخاص يتمتعون بامتياز دستوري، وأن أحكامها لا يجوز الطعن فيها.</w:t>
      </w:r>
    </w:p>
    <w:p w14:paraId="197425D9" w14:textId="2A6E3B73"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7</w:t>
      </w:r>
      <w:r w:rsidRPr="00121FB6">
        <w:rPr>
          <w:rFonts w:ascii="Simplified Arabic" w:eastAsiaTheme="minorEastAsia" w:hAnsi="Simplified Arabic"/>
          <w:rtl/>
        </w:rPr>
        <w:tab/>
        <w:t xml:space="preserve">وفيما يتعلق بانتهاك المادتين </w:t>
      </w:r>
      <w:r w:rsidRPr="007E20A0">
        <w:rPr>
          <w:rFonts w:ascii="Simplified Arabic" w:eastAsiaTheme="minorEastAsia" w:hAnsi="Simplified Arabic"/>
          <w:rtl/>
        </w:rPr>
        <w:t>9</w:t>
      </w:r>
      <w:r w:rsidRPr="00121FB6">
        <w:rPr>
          <w:rFonts w:ascii="Simplified Arabic" w:eastAsiaTheme="minorEastAsia" w:hAnsi="Simplified Arabic"/>
          <w:rtl/>
        </w:rPr>
        <w:t xml:space="preserve"> و</w:t>
      </w:r>
      <w:r w:rsidRPr="007E20A0">
        <w:rPr>
          <w:rFonts w:ascii="Simplified Arabic" w:eastAsiaTheme="minorEastAsia" w:hAnsi="Simplified Arabic"/>
          <w:rtl/>
        </w:rPr>
        <w:t>10</w:t>
      </w:r>
      <w:r w:rsidRPr="00121FB6">
        <w:rPr>
          <w:rFonts w:ascii="Simplified Arabic" w:eastAsiaTheme="minorEastAsia" w:hAnsi="Simplified Arabic"/>
          <w:rtl/>
        </w:rPr>
        <w:t xml:space="preserve"> من العهد، يذكر صاحب البلاغ أنه حُرم من حريته باحتجازه رهن المحاكمة لمدة أربع سنوات وستة أشهر و</w:t>
      </w:r>
      <w:r w:rsidRPr="007E20A0">
        <w:rPr>
          <w:rFonts w:ascii="Simplified Arabic" w:eastAsiaTheme="minorEastAsia" w:hAnsi="Simplified Arabic"/>
          <w:rtl/>
        </w:rPr>
        <w:t>20</w:t>
      </w:r>
      <w:r w:rsidRPr="00121FB6">
        <w:rPr>
          <w:rFonts w:ascii="Simplified Arabic" w:eastAsiaTheme="minorEastAsia" w:hAnsi="Simplified Arabic"/>
          <w:rtl/>
        </w:rPr>
        <w:t xml:space="preserve"> يوماً</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8"/>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ولم يكن هذا الحرمان من الحرية ضرورياً، إذ لا ينص القانون الكولومبي على ضرورة احتجاز صاحب البلاغ لضمان مثوله في إجراءات الدعوى، أو الحفاظ على الأدلة، أو حماية المجتمع. وهو يوضح أنه احتُجز بأمر من محقق يفتقر إلى </w:t>
      </w:r>
      <w:r w:rsidRPr="002D0873">
        <w:rPr>
          <w:rFonts w:ascii="Simplified Arabic" w:eastAsiaTheme="minorEastAsia" w:hAnsi="Simplified Arabic"/>
          <w:spacing w:val="-4"/>
          <w:rtl/>
        </w:rPr>
        <w:t>الكفاءة للتصرف، مما جعله في وضع ضعيف للغاية. وهو يدعي أيضاً أنه احتُجز رهن المحاكمة في مكان غير مناسب لهذا الغرض، لأنه كان سجناً يقضي فيه المحتجزون أحكاماً بالسجن بعد محاكمتهم وإدانتهم.</w:t>
      </w:r>
      <w:r w:rsidRPr="00121FB6">
        <w:rPr>
          <w:rFonts w:ascii="Simplified Arabic" w:eastAsiaTheme="minorEastAsia" w:hAnsi="Simplified Arabic"/>
          <w:rtl/>
        </w:rPr>
        <w:t xml:space="preserve"> </w:t>
      </w:r>
    </w:p>
    <w:p w14:paraId="17DCC482"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3</w:t>
      </w:r>
      <w:r w:rsidRPr="00121FB6">
        <w:rPr>
          <w:rFonts w:ascii="Simplified Arabic" w:eastAsiaTheme="minorEastAsia" w:hAnsi="Simplified Arabic"/>
          <w:rtl/>
        </w:rPr>
        <w:t>-</w:t>
      </w:r>
      <w:r w:rsidRPr="007E20A0">
        <w:rPr>
          <w:rFonts w:ascii="Simplified Arabic" w:eastAsiaTheme="minorEastAsia" w:hAnsi="Simplified Arabic"/>
          <w:rtl/>
        </w:rPr>
        <w:t>8</w:t>
      </w:r>
      <w:r w:rsidRPr="00121FB6">
        <w:rPr>
          <w:rFonts w:ascii="Simplified Arabic" w:eastAsiaTheme="minorEastAsia" w:hAnsi="Simplified Arabic"/>
          <w:rtl/>
        </w:rPr>
        <w:tab/>
        <w:t xml:space="preserve">وفيما يتعلق بالمادة </w:t>
      </w:r>
      <w:r w:rsidRPr="007E20A0">
        <w:rPr>
          <w:rFonts w:ascii="Simplified Arabic" w:eastAsiaTheme="minorEastAsia" w:hAnsi="Simplified Arabic"/>
          <w:rtl/>
        </w:rPr>
        <w:t>26</w:t>
      </w:r>
      <w:r w:rsidRPr="00121FB6">
        <w:rPr>
          <w:rFonts w:ascii="Simplified Arabic" w:eastAsiaTheme="minorEastAsia" w:hAnsi="Simplified Arabic"/>
          <w:rtl/>
        </w:rPr>
        <w:t xml:space="preserve"> من العهد، يشير صاحب البلاغ إلى أن الدولة الطرف مارست التمييز ضده قبل محاكمته وأثناءها وبعدها بسبب مركزه الاجتماعي، ولا سيما بتقييد حقه في استئناف إدانته أمام محكمة أعلى.</w:t>
      </w:r>
    </w:p>
    <w:p w14:paraId="0B6B7E6E" w14:textId="77777777" w:rsidR="00121FB6" w:rsidRPr="00121FB6" w:rsidRDefault="00121FB6" w:rsidP="00121FB6">
      <w:pPr>
        <w:pStyle w:val="H23GA"/>
        <w:rPr>
          <w:rFonts w:ascii="Simplified Arabic" w:eastAsiaTheme="minorEastAsia" w:hAnsi="Simplified Arabic"/>
          <w:lang w:val="ar-SA" w:eastAsia="zh-TW" w:bidi="en-GB"/>
        </w:rPr>
      </w:pPr>
      <w:r w:rsidRPr="00121FB6">
        <w:rPr>
          <w:rFonts w:ascii="Simplified Arabic" w:eastAsiaTheme="minorEastAsia" w:hAnsi="Simplified Arabic"/>
          <w:rtl/>
        </w:rPr>
        <w:tab/>
      </w:r>
      <w:r w:rsidRPr="00121FB6">
        <w:rPr>
          <w:rFonts w:ascii="Simplified Arabic" w:eastAsiaTheme="minorEastAsia" w:hAnsi="Simplified Arabic"/>
          <w:rtl/>
        </w:rPr>
        <w:tab/>
        <w:t xml:space="preserve">ملاحظات الدولة الطرف على مقبولية البلاغ وأسسه الموضوعية </w:t>
      </w:r>
    </w:p>
    <w:p w14:paraId="35DDF536" w14:textId="6107333D" w:rsidR="00121FB6" w:rsidRPr="00684B6A" w:rsidRDefault="00121FB6" w:rsidP="00121FB6">
      <w:pPr>
        <w:pStyle w:val="SingleTxtGA"/>
        <w:rPr>
          <w:rFonts w:ascii="Simplified Arabic" w:eastAsiaTheme="minorEastAsia" w:hAnsi="Simplified Arabic"/>
          <w:lang w:val="en-US"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 xml:space="preserve">في مذكرة شفوية مؤرخة </w:t>
      </w:r>
      <w:r w:rsidRPr="007E20A0">
        <w:rPr>
          <w:rFonts w:ascii="Simplified Arabic" w:eastAsiaTheme="minorEastAsia" w:hAnsi="Simplified Arabic"/>
          <w:rtl/>
        </w:rPr>
        <w:t>2</w:t>
      </w:r>
      <w:r w:rsidRPr="00121FB6">
        <w:rPr>
          <w:rFonts w:ascii="Simplified Arabic" w:eastAsiaTheme="minorEastAsia" w:hAnsi="Simplified Arabic"/>
          <w:rtl/>
        </w:rPr>
        <w:t xml:space="preserve"> شباط/فبراير </w:t>
      </w:r>
      <w:r w:rsidRPr="007E20A0">
        <w:rPr>
          <w:rFonts w:ascii="Simplified Arabic" w:eastAsiaTheme="minorEastAsia" w:hAnsi="Simplified Arabic"/>
          <w:rtl/>
        </w:rPr>
        <w:t>2017</w:t>
      </w:r>
      <w:r w:rsidRPr="00121FB6">
        <w:rPr>
          <w:rFonts w:ascii="Simplified Arabic" w:eastAsiaTheme="minorEastAsia" w:hAnsi="Simplified Arabic"/>
          <w:rtl/>
        </w:rPr>
        <w:t xml:space="preserve">، قدمت الدولة الطرف ملاحظاتها على مقبولية البلاغ وطلبت إلى اللجنة اعتباره غير مقبول. </w:t>
      </w:r>
    </w:p>
    <w:p w14:paraId="1F14FBC0" w14:textId="61EB6286"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t>وتؤكد الدولة الطرف أن بلاغ صاحب البلاغ يشكل إساءة استخدام للحق في تقديم البلاغات، حيث إن المسألة نفسها قُدمت لبحثها في إطار إجراء آخر من إجراءات التحقيق الدولي أو التسوية الدولية. وتحتج الدولة الطرف بأن التماس صاحب البلاغ (رقم P-</w:t>
      </w:r>
      <w:r w:rsidRPr="007E20A0">
        <w:rPr>
          <w:rFonts w:ascii="Simplified Arabic" w:eastAsiaTheme="minorEastAsia" w:hAnsi="Simplified Arabic"/>
          <w:rtl/>
        </w:rPr>
        <w:t>1331</w:t>
      </w:r>
      <w:r w:rsidRPr="00121FB6">
        <w:rPr>
          <w:rFonts w:ascii="Simplified Arabic" w:eastAsiaTheme="minorEastAsia" w:hAnsi="Simplified Arabic"/>
          <w:rtl/>
        </w:rPr>
        <w:t>-</w:t>
      </w:r>
      <w:r w:rsidRPr="007E20A0">
        <w:rPr>
          <w:rFonts w:ascii="Simplified Arabic" w:eastAsiaTheme="minorEastAsia" w:hAnsi="Simplified Arabic"/>
          <w:rtl/>
        </w:rPr>
        <w:t>11</w:t>
      </w:r>
      <w:r w:rsidRPr="00121FB6">
        <w:rPr>
          <w:rFonts w:ascii="Simplified Arabic" w:eastAsiaTheme="minorEastAsia" w:hAnsi="Simplified Arabic"/>
          <w:rtl/>
        </w:rPr>
        <w:t xml:space="preserve">)، الذي تسلمته لجنة البلدان الأمريكية لحقوق الإنسان في </w:t>
      </w:r>
      <w:r w:rsidRPr="007E20A0">
        <w:rPr>
          <w:rFonts w:ascii="Simplified Arabic" w:eastAsiaTheme="minorEastAsia" w:hAnsi="Simplified Arabic"/>
          <w:rtl/>
        </w:rPr>
        <w:t>30</w:t>
      </w:r>
      <w:r w:rsidRPr="00121FB6">
        <w:rPr>
          <w:rFonts w:ascii="Simplified Arabic" w:eastAsiaTheme="minorEastAsia" w:hAnsi="Simplified Arabic"/>
          <w:rtl/>
        </w:rPr>
        <w:t xml:space="preserve"> أيلول/سبتمبر </w:t>
      </w:r>
      <w:r w:rsidRPr="007E20A0">
        <w:rPr>
          <w:rFonts w:ascii="Simplified Arabic" w:eastAsiaTheme="minorEastAsia" w:hAnsi="Simplified Arabic"/>
          <w:rtl/>
        </w:rPr>
        <w:t>2011</w:t>
      </w:r>
      <w:r w:rsidRPr="00121FB6">
        <w:rPr>
          <w:rFonts w:ascii="Simplified Arabic" w:eastAsiaTheme="minorEastAsia" w:hAnsi="Simplified Arabic"/>
          <w:rtl/>
        </w:rPr>
        <w:t xml:space="preserve">، يحتوي على نفس الوقائع والادعاءات التي قُدمت إلى اللجنة. وتدفع الدولة الطرف بأن الالتماس قد أحيل إليها بكامله في </w:t>
      </w:r>
      <w:r w:rsidRPr="007E20A0">
        <w:rPr>
          <w:rFonts w:ascii="Simplified Arabic" w:eastAsiaTheme="minorEastAsia" w:hAnsi="Simplified Arabic"/>
          <w:rtl/>
        </w:rPr>
        <w:t>26</w:t>
      </w:r>
      <w:r w:rsidRPr="00121FB6">
        <w:rPr>
          <w:rFonts w:ascii="Simplified Arabic" w:eastAsiaTheme="minorEastAsia" w:hAnsi="Simplified Arabic"/>
          <w:rtl/>
        </w:rPr>
        <w:t xml:space="preserve"> نيسان/أبريل </w:t>
      </w:r>
      <w:r w:rsidRPr="007E20A0">
        <w:rPr>
          <w:rFonts w:ascii="Simplified Arabic" w:eastAsiaTheme="minorEastAsia" w:hAnsi="Simplified Arabic"/>
          <w:rtl/>
        </w:rPr>
        <w:t>2016</w:t>
      </w:r>
      <w:r w:rsidRPr="00121FB6">
        <w:rPr>
          <w:rFonts w:ascii="Simplified Arabic" w:eastAsiaTheme="minorEastAsia" w:hAnsi="Simplified Arabic"/>
          <w:rtl/>
        </w:rPr>
        <w:t xml:space="preserve"> وأنه في مرحلة البت في مقبوليته. وترفق الدولة الطرف رسالة من منسق المجموعة المسؤولة عن متابعة قرارات الهيئات الدولية، مؤرخة </w:t>
      </w:r>
      <w:r w:rsidRPr="007E20A0">
        <w:rPr>
          <w:rFonts w:ascii="Simplified Arabic" w:eastAsiaTheme="minorEastAsia" w:hAnsi="Simplified Arabic"/>
          <w:rtl/>
        </w:rPr>
        <w:t>19</w:t>
      </w:r>
      <w:r w:rsidRPr="00121FB6">
        <w:rPr>
          <w:rFonts w:ascii="Simplified Arabic" w:eastAsiaTheme="minorEastAsia" w:hAnsi="Simplified Arabic"/>
          <w:rtl/>
        </w:rPr>
        <w:t xml:space="preserve"> كانون الثاني/يناير </w:t>
      </w:r>
      <w:r w:rsidRPr="007E20A0">
        <w:rPr>
          <w:rFonts w:ascii="Simplified Arabic" w:eastAsiaTheme="minorEastAsia" w:hAnsi="Simplified Arabic"/>
          <w:rtl/>
        </w:rPr>
        <w:t>2017</w:t>
      </w:r>
      <w:r w:rsidRPr="00121FB6">
        <w:rPr>
          <w:rFonts w:ascii="Simplified Arabic" w:eastAsiaTheme="minorEastAsia" w:hAnsi="Simplified Arabic"/>
          <w:rtl/>
        </w:rPr>
        <w:t xml:space="preserve">، تفيد بأن وقائع القضية تتعلق بالانتهاك المزعوم للحق في الضمانات القضائية (المادة </w:t>
      </w:r>
      <w:r w:rsidRPr="007E20A0">
        <w:rPr>
          <w:rFonts w:ascii="Simplified Arabic" w:eastAsiaTheme="minorEastAsia" w:hAnsi="Simplified Arabic"/>
          <w:rtl/>
        </w:rPr>
        <w:t>8</w:t>
      </w:r>
      <w:r w:rsidRPr="00121FB6">
        <w:rPr>
          <w:rFonts w:ascii="Simplified Arabic" w:eastAsiaTheme="minorEastAsia" w:hAnsi="Simplified Arabic"/>
          <w:rtl/>
        </w:rPr>
        <w:t xml:space="preserve">) والحماية القضائية (المادة </w:t>
      </w:r>
      <w:r w:rsidRPr="007E20A0">
        <w:rPr>
          <w:rFonts w:ascii="Simplified Arabic" w:eastAsiaTheme="minorEastAsia" w:hAnsi="Simplified Arabic"/>
          <w:rtl/>
        </w:rPr>
        <w:t>25</w:t>
      </w:r>
      <w:r w:rsidRPr="00121FB6">
        <w:rPr>
          <w:rFonts w:ascii="Simplified Arabic" w:eastAsiaTheme="minorEastAsia" w:hAnsi="Simplified Arabic"/>
          <w:rtl/>
        </w:rPr>
        <w:t xml:space="preserve">)، وعدم الوفاء بالالتزام باعتماد أحكام قانونية محلية (المادة </w:t>
      </w:r>
      <w:r w:rsidRPr="007E20A0">
        <w:rPr>
          <w:rFonts w:ascii="Simplified Arabic" w:eastAsiaTheme="minorEastAsia" w:hAnsi="Simplified Arabic"/>
          <w:rtl/>
        </w:rPr>
        <w:t>2</w:t>
      </w:r>
      <w:r w:rsidRPr="00121FB6">
        <w:rPr>
          <w:rFonts w:ascii="Simplified Arabic" w:eastAsiaTheme="minorEastAsia" w:hAnsi="Simplified Arabic"/>
          <w:rtl/>
        </w:rPr>
        <w:t xml:space="preserve">)، وكلها تتعلق بالالتزام باحترام وضمان الحقوق المنصوص عليها في الاتفاقية الأمريكية لحقوق الإنسان (المادة </w:t>
      </w:r>
      <w:r w:rsidRPr="007E20A0">
        <w:rPr>
          <w:rFonts w:ascii="Simplified Arabic" w:eastAsiaTheme="minorEastAsia" w:hAnsi="Simplified Arabic"/>
          <w:rtl/>
        </w:rPr>
        <w:t>1</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 xml:space="preserve">)). وينشأ ذلك عن مخالفات مزعومة في التحقيق في سلوكه، الذي أجراه مكتب المدعي العام، وفي المحاكمة الجنائية رقم </w:t>
      </w:r>
      <w:r w:rsidRPr="007E20A0">
        <w:rPr>
          <w:rFonts w:ascii="Simplified Arabic" w:eastAsiaTheme="minorEastAsia" w:hAnsi="Simplified Arabic"/>
          <w:rtl/>
        </w:rPr>
        <w:t>32000</w:t>
      </w:r>
      <w:r w:rsidRPr="00121FB6">
        <w:rPr>
          <w:rFonts w:ascii="Simplified Arabic" w:eastAsiaTheme="minorEastAsia" w:hAnsi="Simplified Arabic"/>
          <w:rtl/>
        </w:rPr>
        <w:t xml:space="preserve"> التي أجرتها الدائرة الجنائية للمحكمة العليا، واللذين خلصا إلى أنه مسؤول جنائياً عن جرائم التآمر الجنائي المشدد؛ وقتل ألفريدو رافائيل فرانسيسكو كوريا دي </w:t>
      </w:r>
      <w:proofErr w:type="spellStart"/>
      <w:r w:rsidRPr="00121FB6">
        <w:rPr>
          <w:rFonts w:ascii="Simplified Arabic" w:eastAsiaTheme="minorEastAsia" w:hAnsi="Simplified Arabic"/>
          <w:rtl/>
        </w:rPr>
        <w:t>أندريس</w:t>
      </w:r>
      <w:proofErr w:type="spellEnd"/>
      <w:r w:rsidRPr="00121FB6">
        <w:rPr>
          <w:rFonts w:ascii="Simplified Arabic" w:eastAsiaTheme="minorEastAsia" w:hAnsi="Simplified Arabic"/>
          <w:rtl/>
        </w:rPr>
        <w:t xml:space="preserve">؛ وإتلاف أو إزالة أو إخفاء وثائق عامة؛ وكشف معلومات سرية. </w:t>
      </w:r>
    </w:p>
    <w:p w14:paraId="030AB425" w14:textId="16AF89F4"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3</w:t>
      </w:r>
      <w:r w:rsidRPr="00121FB6">
        <w:rPr>
          <w:rFonts w:ascii="Simplified Arabic" w:eastAsiaTheme="minorEastAsia" w:hAnsi="Simplified Arabic"/>
          <w:rtl/>
        </w:rPr>
        <w:tab/>
        <w:t xml:space="preserve">وتضيف الدولة الطرف أن قضية صاحب البلاغ عُرضت أيضاً على مجلس حقوق الإنسان. وأشار المجلس، في المذكرة الشفوية </w:t>
      </w:r>
      <w:r w:rsidRPr="002D0873">
        <w:rPr>
          <w:rFonts w:eastAsiaTheme="minorEastAsia" w:cs="Times New Roman"/>
          <w:rtl/>
          <w:lang w:val="en-US"/>
        </w:rPr>
        <w:t xml:space="preserve">G/SO </w:t>
      </w:r>
      <w:r w:rsidRPr="007E20A0">
        <w:rPr>
          <w:rFonts w:eastAsiaTheme="minorEastAsia" w:cs="Times New Roman"/>
          <w:rtl/>
          <w:lang w:val="en-US"/>
        </w:rPr>
        <w:t>215</w:t>
      </w:r>
      <w:r w:rsidRPr="002D0873">
        <w:rPr>
          <w:rFonts w:eastAsiaTheme="minorEastAsia" w:cs="Times New Roman"/>
          <w:rtl/>
          <w:lang w:val="en-US"/>
        </w:rPr>
        <w:t>/</w:t>
      </w:r>
      <w:r w:rsidRPr="007E20A0">
        <w:rPr>
          <w:rFonts w:eastAsiaTheme="minorEastAsia" w:cs="Times New Roman"/>
          <w:rtl/>
          <w:lang w:val="en-US"/>
        </w:rPr>
        <w:t>1</w:t>
      </w:r>
      <w:r w:rsidRPr="002D0873">
        <w:rPr>
          <w:rFonts w:eastAsiaTheme="minorEastAsia" w:cs="Times New Roman"/>
          <w:rtl/>
          <w:lang w:val="en-US"/>
        </w:rPr>
        <w:t xml:space="preserve"> COL </w:t>
      </w:r>
      <w:r w:rsidRPr="007E20A0">
        <w:rPr>
          <w:rFonts w:eastAsiaTheme="minorEastAsia" w:cs="Times New Roman"/>
          <w:rtl/>
          <w:lang w:val="en-US"/>
        </w:rPr>
        <w:t>222</w:t>
      </w:r>
      <w:r w:rsidRPr="00121FB6">
        <w:rPr>
          <w:rFonts w:ascii="Simplified Arabic" w:eastAsiaTheme="minorEastAsia" w:hAnsi="Simplified Arabic"/>
          <w:rtl/>
        </w:rPr>
        <w:t xml:space="preserve"> </w:t>
      </w:r>
      <w:r w:rsidRPr="00121FB6">
        <w:rPr>
          <w:rFonts w:ascii="Simplified Arabic" w:eastAsiaTheme="minorEastAsia" w:hAnsi="Simplified Arabic"/>
          <w:rtl/>
          <w:lang w:val="fr-CH"/>
        </w:rPr>
        <w:t>المؤرخة</w:t>
      </w:r>
      <w:r w:rsidRPr="00121FB6">
        <w:rPr>
          <w:rFonts w:ascii="Simplified Arabic" w:eastAsiaTheme="minorEastAsia" w:hAnsi="Simplified Arabic"/>
          <w:rtl/>
        </w:rPr>
        <w:t xml:space="preserve"> </w:t>
      </w:r>
      <w:r w:rsidRPr="007E20A0">
        <w:rPr>
          <w:rFonts w:ascii="Simplified Arabic" w:eastAsiaTheme="minorEastAsia" w:hAnsi="Simplified Arabic"/>
          <w:rtl/>
        </w:rPr>
        <w:t>22</w:t>
      </w:r>
      <w:r w:rsidRPr="00121FB6">
        <w:rPr>
          <w:rFonts w:ascii="Simplified Arabic" w:eastAsiaTheme="minorEastAsia" w:hAnsi="Simplified Arabic"/>
          <w:rtl/>
        </w:rPr>
        <w:t xml:space="preserve"> أيار/مايو </w:t>
      </w:r>
      <w:r w:rsidRPr="007E20A0">
        <w:rPr>
          <w:rFonts w:ascii="Simplified Arabic" w:eastAsiaTheme="minorEastAsia" w:hAnsi="Simplified Arabic"/>
          <w:rtl/>
        </w:rPr>
        <w:t>2016</w:t>
      </w:r>
      <w:r w:rsidRPr="00121FB6">
        <w:rPr>
          <w:rFonts w:ascii="Simplified Arabic" w:eastAsiaTheme="minorEastAsia" w:hAnsi="Simplified Arabic"/>
          <w:rtl/>
        </w:rPr>
        <w:t>، إلى بلاغ قدمه حزب المركز الديمقراطي يتهم فيه الدولة الطرف باضطهاد تلك المجموعة وأعضائها، ويتضمن ادعاءات محددة تتعلق، مثلاً، بحالة صاحب البلاغ. وأيد الفريق العامل المعني بالرسائل التابع لمجلس حقوق الإنسان، في المذكرة الشفوية، الادعاءات المقدمة من كولومبيا بشأن الشكوى، ورأى أن لها</w:t>
      </w:r>
      <w:r w:rsidR="002D0873">
        <w:rPr>
          <w:rFonts w:ascii="Simplified Arabic" w:eastAsiaTheme="minorEastAsia" w:hAnsi="Simplified Arabic" w:hint="cs"/>
          <w:rtl/>
        </w:rPr>
        <w:t> </w:t>
      </w:r>
      <w:r w:rsidRPr="00121FB6">
        <w:rPr>
          <w:rFonts w:ascii="Simplified Arabic" w:eastAsiaTheme="minorEastAsia" w:hAnsi="Simplified Arabic"/>
          <w:rtl/>
        </w:rPr>
        <w:t>فيما</w:t>
      </w:r>
      <w:r w:rsidR="002D0873">
        <w:rPr>
          <w:rFonts w:ascii="Simplified Arabic" w:eastAsiaTheme="minorEastAsia" w:hAnsi="Simplified Arabic" w:hint="cs"/>
          <w:rtl/>
        </w:rPr>
        <w:t> </w:t>
      </w:r>
      <w:r w:rsidRPr="00121FB6">
        <w:rPr>
          <w:rFonts w:ascii="Simplified Arabic" w:eastAsiaTheme="minorEastAsia" w:hAnsi="Simplified Arabic"/>
          <w:rtl/>
        </w:rPr>
        <w:t>يبدو دوافع سياسية. وأبلغ الفريق العامل الدولة الطرف أنه قرر وقف النظر في البلاغ.</w:t>
      </w:r>
    </w:p>
    <w:p w14:paraId="4CAD962E"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 xml:space="preserve">وتؤكد الدولة الطرف أيضاً أن البلاغ المقدم يمثل إساءة استخدام للحق في تقديم بلاغات. وترى اللجنة أن التأخر غير المبرر في تقديم شكوى قد يشكل إساءة استخدام للحق في تقديم شكوى، مع مراعاة ما يسببه الفاصل الزمني من صعوبات للجنة والدولة الطرف عند نظرهما في الأدلة. وفي هذه القضية، صدر الحكم ضد صاحب البلاغ في </w:t>
      </w:r>
      <w:r w:rsidRPr="007E20A0">
        <w:rPr>
          <w:rFonts w:ascii="Simplified Arabic" w:eastAsiaTheme="minorEastAsia" w:hAnsi="Simplified Arabic"/>
          <w:rtl/>
        </w:rPr>
        <w:t>14</w:t>
      </w:r>
      <w:r w:rsidRPr="00121FB6">
        <w:rPr>
          <w:rFonts w:ascii="Simplified Arabic" w:eastAsiaTheme="minorEastAsia" w:hAnsi="Simplified Arabic"/>
          <w:rtl/>
        </w:rPr>
        <w:t xml:space="preserve"> أيلول/سبتمبر </w:t>
      </w:r>
      <w:r w:rsidRPr="007E20A0">
        <w:rPr>
          <w:rFonts w:ascii="Simplified Arabic" w:eastAsiaTheme="minorEastAsia" w:hAnsi="Simplified Arabic"/>
          <w:rtl/>
        </w:rPr>
        <w:t>2011</w:t>
      </w:r>
      <w:r w:rsidRPr="00121FB6">
        <w:rPr>
          <w:rFonts w:ascii="Simplified Arabic" w:eastAsiaTheme="minorEastAsia" w:hAnsi="Simplified Arabic"/>
          <w:rtl/>
        </w:rPr>
        <w:t xml:space="preserve">، مما يعني انقضاء أكثر من خمس سنوات بين صدور قرار المحكمة الذي هو موضوع البلاغ وتقديم البلاغ. </w:t>
      </w:r>
    </w:p>
    <w:p w14:paraId="3A673908" w14:textId="4619D3FC"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ab/>
      </w:r>
      <w:dir w:val="rtl">
        <w:r w:rsidRPr="00121FB6">
          <w:rPr>
            <w:rFonts w:ascii="Simplified Arabic" w:eastAsiaTheme="minorEastAsia" w:hAnsi="Simplified Arabic"/>
            <w:rtl/>
          </w:rPr>
          <w:t>وترى الدولة الطرف أيضاً أنه ينبغي عدم قبول البلاغ لعدم استنفاد سبل الانتصاف المحلية.</w:t>
        </w:r>
        <w:r w:rsidRPr="00121FB6">
          <w:rPr>
            <w:rFonts w:eastAsiaTheme="minorEastAsia" w:cs="Times New Roman" w:hint="cs"/>
            <w:rtl/>
          </w:rPr>
          <w:t>‬</w:t>
        </w:r>
        <w:r w:rsidRPr="00121FB6">
          <w:rPr>
            <w:rFonts w:ascii="Simplified Arabic" w:eastAsiaTheme="minorEastAsia" w:hAnsi="Simplified Arabic"/>
            <w:rtl/>
          </w:rPr>
          <w:t xml:space="preserve"> فقد أدين صاحب البلاغ من قِبل محكمة ذات درجة قضائية وحيدة، لأنه كان مسؤولاً يتمتع بامتياز دستوري، ولم يكن بمقدوره في الواقع الطعن في الحكم. غير أن صاحب البلاغ لم يستنفد جميع سبل الانتصاف المحلية لأنه، من الناحية القانونية، لا يزال بإمكانه أن يطلب إجراء مراجعة قضائية للحكم، وذلك بموجب المادة </w:t>
        </w:r>
        <w:r w:rsidRPr="007E20A0">
          <w:rPr>
            <w:rFonts w:ascii="Simplified Arabic" w:eastAsiaTheme="minorEastAsia" w:hAnsi="Simplified Arabic"/>
            <w:rtl/>
          </w:rPr>
          <w:t>32</w:t>
        </w:r>
        <w:r w:rsidRPr="00121FB6">
          <w:rPr>
            <w:rFonts w:ascii="Simplified Arabic" w:eastAsiaTheme="minorEastAsia" w:hAnsi="Simplified Arabic"/>
            <w:rtl/>
          </w:rPr>
          <w:t xml:space="preserve"> من قانون الإجراءات الجنائية. وقد وصفت المحكمة الدستورية هذا الإجراء على النحو التالي: "وفقاً لأعراف القانون الجنائي، اعتبر سبيل الانتصاف في شكل مراجعة قضائية أداة لحماية الحقوق الأساسية للشخص المدان، بالنظر إلى مجموعة الأصول القانونية التي تتأثر سلباً في هذا الصدد، ولا سيما الحرية الشخصية"</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9"/>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وتضيف الدولة الطرف أنه نظراً لأن صاحب البلاغ أدين بسلوك لا يتعلق بواجباته العامة، فقد أتيحت له الفرصة للتنازل عن امتيازه الدستوري والخضوع للولاية القضائية للمحاكم العادية الأدنى درجة. وقد حوفظ على مفهوم الامتياز كضمان للتمكين من محاكمة كبار المسؤولين أمام القضاة الأكثر ملاءمة وخبرة، وللبت في مصيرهم في قرار يُتخذ بشكل جماعي. وفي</w:t>
        </w:r>
        <w:r w:rsidR="00684B6A">
          <w:rPr>
            <w:rFonts w:ascii="Simplified Arabic" w:eastAsiaTheme="minorEastAsia" w:hAnsi="Simplified Arabic" w:hint="cs"/>
            <w:rtl/>
          </w:rPr>
          <w:t> </w:t>
        </w:r>
        <w:r w:rsidRPr="00121FB6">
          <w:rPr>
            <w:rFonts w:ascii="Simplified Arabic" w:eastAsiaTheme="minorEastAsia" w:hAnsi="Simplified Arabic"/>
            <w:rtl/>
          </w:rPr>
          <w:t xml:space="preserve">المسائل الجنائية، يكون هؤلاء القضاة هم قضاة شعبة الاستئناف الجنائي التابعة للمحكمة العليا. </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Pr="00121FB6">
          <w:rPr>
            <w:rFonts w:eastAsiaTheme="minorEastAsia" w:cs="Times New Roman"/>
          </w:rPr>
          <w:t>‬</w:t>
        </w:r>
        <w:r w:rsidR="00805AAA">
          <w:t>‬</w:t>
        </w:r>
        <w:r w:rsidR="0033221C">
          <w:t>‬</w:t>
        </w:r>
        <w:r w:rsidR="00FF56C3">
          <w:t>‬</w:t>
        </w:r>
      </w:dir>
    </w:p>
    <w:p w14:paraId="2503BBFA" w14:textId="0910CDAC"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4</w:t>
      </w:r>
      <w:r w:rsidRPr="00121FB6">
        <w:rPr>
          <w:rFonts w:ascii="Simplified Arabic" w:eastAsiaTheme="minorEastAsia" w:hAnsi="Simplified Arabic"/>
          <w:rtl/>
        </w:rPr>
        <w:t>-</w:t>
      </w:r>
      <w:r w:rsidRPr="007E20A0">
        <w:rPr>
          <w:rFonts w:ascii="Simplified Arabic" w:eastAsiaTheme="minorEastAsia" w:hAnsi="Simplified Arabic"/>
          <w:rtl/>
        </w:rPr>
        <w:t>6</w:t>
      </w:r>
      <w:r w:rsidRPr="00121FB6">
        <w:rPr>
          <w:rFonts w:ascii="Simplified Arabic" w:eastAsiaTheme="minorEastAsia" w:hAnsi="Simplified Arabic"/>
          <w:rtl/>
        </w:rPr>
        <w:tab/>
        <w:t xml:space="preserve">وتؤكد الدولة الطرف أن المحاكم الوطنية هي بالتأكيد </w:t>
      </w:r>
      <w:r w:rsidRPr="00121FB6">
        <w:rPr>
          <w:rFonts w:ascii="Simplified Arabic" w:eastAsiaTheme="minorEastAsia" w:hAnsi="Simplified Arabic"/>
          <w:rtl/>
          <w:lang w:val="fr-CH"/>
        </w:rPr>
        <w:t>المنوط بها ال</w:t>
      </w:r>
      <w:r w:rsidRPr="00121FB6">
        <w:rPr>
          <w:rFonts w:ascii="Simplified Arabic" w:eastAsiaTheme="minorEastAsia" w:hAnsi="Simplified Arabic"/>
          <w:rtl/>
        </w:rPr>
        <w:t>بت في قضايا من قبيل قضية صاحب البلاغ، وبما يتسق مع المبادئ العامة والدستورية والقانونية المتمثلة في مراعاة الأصول القانونية والضمانات القضائية والدفاع عن النفس. وتحتج الدولة الطرف بأن على مؤسسات الدولة الطرف أن تكفل احترام جميع الهيئات القضائية افتراضات الإجراءات القانونية الواجبة والضمانات القضائية، من خلال الإشراف الذاتي الذي تمارسه الهيئات القضائية نفسها في دورها الإداري العام، ومن خلال الإشراف القانوني الذي تقوم به هيئات الرقابة، ولا سيما الدائرة القانونية العامة، التي تضطلع بواجب مقدس هو</w:t>
      </w:r>
      <w:r w:rsidR="00684B6A">
        <w:rPr>
          <w:rFonts w:ascii="Simplified Arabic" w:eastAsiaTheme="minorEastAsia" w:hAnsi="Simplified Arabic" w:hint="cs"/>
          <w:rtl/>
        </w:rPr>
        <w:t> </w:t>
      </w:r>
      <w:r w:rsidRPr="00121FB6">
        <w:rPr>
          <w:rFonts w:ascii="Simplified Arabic" w:eastAsiaTheme="minorEastAsia" w:hAnsi="Simplified Arabic"/>
          <w:rtl/>
        </w:rPr>
        <w:t xml:space="preserve">إقامة العدل بصرامة وشفافية ونزاهة. </w:t>
      </w:r>
    </w:p>
    <w:p w14:paraId="1B4F3805" w14:textId="77777777" w:rsidR="00121FB6" w:rsidRPr="00121FB6" w:rsidRDefault="00121FB6" w:rsidP="00121FB6">
      <w:pPr>
        <w:pStyle w:val="H23GA"/>
        <w:rPr>
          <w:rFonts w:ascii="Simplified Arabic" w:eastAsiaTheme="minorEastAsia" w:hAnsi="Simplified Arabic"/>
          <w:lang w:val="ar-SA" w:eastAsia="zh-TW" w:bidi="en-GB"/>
        </w:rPr>
      </w:pPr>
      <w:r w:rsidRPr="00121FB6">
        <w:rPr>
          <w:rFonts w:ascii="Simplified Arabic" w:eastAsiaTheme="minorEastAsia" w:hAnsi="Simplified Arabic"/>
          <w:rtl/>
        </w:rPr>
        <w:tab/>
      </w:r>
      <w:r w:rsidRPr="00121FB6">
        <w:rPr>
          <w:rFonts w:ascii="Simplified Arabic" w:eastAsiaTheme="minorEastAsia" w:hAnsi="Simplified Arabic"/>
          <w:rtl/>
        </w:rPr>
        <w:tab/>
        <w:t xml:space="preserve">تعليقات صاحب البلاغ على ملاحظات الدولة الطرف </w:t>
      </w:r>
    </w:p>
    <w:p w14:paraId="4924D542" w14:textId="28E4BF6F"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r>
      <w:r w:rsidRPr="00121FB6">
        <w:rPr>
          <w:rFonts w:ascii="Simplified Arabic" w:eastAsiaTheme="minorEastAsia" w:hAnsi="Simplified Arabic"/>
          <w:rtl/>
          <w:lang w:val="fr-CH"/>
        </w:rPr>
        <w:t xml:space="preserve">يفيد </w:t>
      </w:r>
      <w:r w:rsidRPr="00121FB6">
        <w:rPr>
          <w:rFonts w:ascii="Simplified Arabic" w:eastAsiaTheme="minorEastAsia" w:hAnsi="Simplified Arabic"/>
          <w:rtl/>
        </w:rPr>
        <w:t xml:space="preserve">صاحب البلاغ، في تعليقاته المؤرخة </w:t>
      </w:r>
      <w:r w:rsidRPr="007E20A0">
        <w:rPr>
          <w:rFonts w:ascii="Simplified Arabic" w:eastAsiaTheme="minorEastAsia" w:hAnsi="Simplified Arabic"/>
          <w:rtl/>
        </w:rPr>
        <w:t>2</w:t>
      </w:r>
      <w:r w:rsidRPr="00121FB6">
        <w:rPr>
          <w:rFonts w:ascii="Simplified Arabic" w:eastAsiaTheme="minorEastAsia" w:hAnsi="Simplified Arabic"/>
          <w:rtl/>
        </w:rPr>
        <w:t xml:space="preserve"> نيسان/أبريل </w:t>
      </w:r>
      <w:r w:rsidRPr="007E20A0">
        <w:rPr>
          <w:rFonts w:ascii="Simplified Arabic" w:eastAsiaTheme="minorEastAsia" w:hAnsi="Simplified Arabic"/>
          <w:rtl/>
        </w:rPr>
        <w:t>2017</w:t>
      </w:r>
      <w:r w:rsidRPr="00121FB6">
        <w:rPr>
          <w:rFonts w:ascii="Simplified Arabic" w:eastAsiaTheme="minorEastAsia" w:hAnsi="Simplified Arabic"/>
          <w:rtl/>
        </w:rPr>
        <w:t>، أن بلاغه، خلافاً لما أكدته الدولة الطرف، ينبغي قبوله لعدم استيفاء أي معيار من معايير عدم المقبولية. وهو ينفي وجود أي</w:t>
      </w:r>
      <w:r w:rsidR="00684B6A">
        <w:rPr>
          <w:rFonts w:ascii="Simplified Arabic" w:eastAsiaTheme="minorEastAsia" w:hAnsi="Simplified Arabic" w:hint="cs"/>
          <w:rtl/>
        </w:rPr>
        <w:t> </w:t>
      </w:r>
      <w:r w:rsidRPr="00121FB6">
        <w:rPr>
          <w:rFonts w:ascii="Simplified Arabic" w:eastAsiaTheme="minorEastAsia" w:hAnsi="Simplified Arabic"/>
          <w:rtl/>
        </w:rPr>
        <w:t xml:space="preserve">ازدواجية في الإجراءات، لأن المسألة التي يتناولها هذا البلاغ لم تعرض على الآلية الإقليمية المتمثلة في لجنة البلدان الأمريكية لحقوق الإنسان. ويتعلق الالتماس الفردي الذي قدمه صاحب البلاغ إلى اللجنة في أيلول/سبتمبر </w:t>
      </w:r>
      <w:r w:rsidRPr="007E20A0">
        <w:rPr>
          <w:rFonts w:ascii="Simplified Arabic" w:eastAsiaTheme="minorEastAsia" w:hAnsi="Simplified Arabic"/>
          <w:rtl/>
        </w:rPr>
        <w:t>2011</w:t>
      </w:r>
      <w:r w:rsidRPr="00121FB6">
        <w:rPr>
          <w:rFonts w:ascii="Simplified Arabic" w:eastAsiaTheme="minorEastAsia" w:hAnsi="Simplified Arabic"/>
          <w:rtl/>
        </w:rPr>
        <w:t xml:space="preserve"> بوقائع وادعاءات مختلفة، ولا يزال الالتماس في المرحلة الأولية للنظر فيه. وهذا يدل على أن الإجراء المعني مفرط الطول دون مبرر، حيث انقضى أكثر من </w:t>
      </w:r>
      <w:r w:rsidRPr="007E20A0">
        <w:rPr>
          <w:rFonts w:ascii="Simplified Arabic" w:eastAsiaTheme="minorEastAsia" w:hAnsi="Simplified Arabic"/>
          <w:rtl/>
        </w:rPr>
        <w:t>64</w:t>
      </w:r>
      <w:r w:rsidRPr="00121FB6">
        <w:rPr>
          <w:rFonts w:ascii="Simplified Arabic" w:eastAsiaTheme="minorEastAsia" w:hAnsi="Simplified Arabic"/>
          <w:rtl/>
        </w:rPr>
        <w:t xml:space="preserve"> شهراً دون أن تعلن اللجنة قبول القضية وتنظر في أسسها الموضوعية، وانقضى أكثر من </w:t>
      </w:r>
      <w:r w:rsidRPr="007E20A0">
        <w:rPr>
          <w:rFonts w:ascii="Simplified Arabic" w:eastAsiaTheme="minorEastAsia" w:hAnsi="Simplified Arabic"/>
          <w:rtl/>
        </w:rPr>
        <w:t>13</w:t>
      </w:r>
      <w:r w:rsidRPr="00121FB6">
        <w:rPr>
          <w:rFonts w:ascii="Simplified Arabic" w:eastAsiaTheme="minorEastAsia" w:hAnsi="Simplified Arabic"/>
          <w:rtl/>
        </w:rPr>
        <w:t xml:space="preserve"> شهراً دون أن تقدم الدولة الطرف ردها</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0"/>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ولذلك، تدعي الدولة الطرف خطأً أن البلاغ المقدم إلى اللجنة يتعلق بنفس الوقائع والادعاءات التي وردت في البلاغ المقدم إلى لجنة البلدان الأمريكية. ووفقاً لمبدأ عبء الإثبات، يرى صاحب البلاغ أن الدولة الطرف لم تقدم أي دليل إلى اللجنة في هذا الصدد. وهو يدفع بأن الدولة الطرف لم تتصرف بحسن نية، وأنها ذكرت تاريخ</w:t>
      </w:r>
      <w:r w:rsidR="002D0873">
        <w:rPr>
          <w:rFonts w:ascii="Simplified Arabic" w:eastAsiaTheme="minorEastAsia" w:hAnsi="Simplified Arabic"/>
          <w:rtl/>
        </w:rPr>
        <w:t xml:space="preserve">اً </w:t>
      </w:r>
      <w:r w:rsidRPr="00121FB6">
        <w:rPr>
          <w:rFonts w:ascii="Simplified Arabic" w:eastAsiaTheme="minorEastAsia" w:hAnsi="Simplified Arabic"/>
          <w:rtl/>
        </w:rPr>
        <w:t>خاطئ</w:t>
      </w:r>
      <w:r w:rsidR="002D0873">
        <w:rPr>
          <w:rFonts w:ascii="Simplified Arabic" w:eastAsiaTheme="minorEastAsia" w:hAnsi="Simplified Arabic"/>
          <w:rtl/>
        </w:rPr>
        <w:t xml:space="preserve">اً </w:t>
      </w:r>
      <w:r w:rsidRPr="00121FB6">
        <w:rPr>
          <w:rFonts w:ascii="Simplified Arabic" w:eastAsiaTheme="minorEastAsia" w:hAnsi="Simplified Arabic"/>
          <w:rtl/>
        </w:rPr>
        <w:t>فيما يتعلق بتقديم الشكوى إلى لجنة البلدان الأمريكية لحقوق الإنسان</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1"/>
      </w:r>
      <w:r>
        <w:rPr>
          <w:rStyle w:val="FootnoteReference"/>
          <w:rFonts w:ascii="Simplified Arabic" w:eastAsiaTheme="minorEastAsia" w:hAnsi="Simplified Arabic"/>
          <w:szCs w:val="22"/>
          <w:rtl/>
        </w:rPr>
        <w:t>)</w:t>
      </w:r>
      <w:r w:rsidRPr="00121FB6">
        <w:rPr>
          <w:rFonts w:ascii="Simplified Arabic" w:eastAsiaTheme="minorEastAsia" w:hAnsi="Simplified Arabic"/>
          <w:rtl/>
        </w:rPr>
        <w:t>، وأنها أخفت عن اللجنة أن الوقائع والادعاءات مختلفة. ويضيف أن من غير الصحيح أن الدولة الطرف ردت على لجنة البلدان الأمريكية. ويفيد صاحب البلاغ بأنه قد ثبت أن "اللجنة المعنية بحقوق الإنسان توفر حماية أوسع نطاقاً بفضل كفاءة إجراءاتها".</w:t>
      </w:r>
    </w:p>
    <w:p w14:paraId="25161CB8" w14:textId="4452785B" w:rsidR="00121FB6" w:rsidRPr="00121FB6" w:rsidRDefault="00121FB6" w:rsidP="00121FB6">
      <w:pPr>
        <w:pStyle w:val="SingleTxtGA"/>
        <w:rPr>
          <w:rFonts w:ascii="Simplified Arabic" w:eastAsiaTheme="minorEastAsia" w:hAnsi="Simplified Arabic"/>
          <w:lang w:val="en-US"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t>وفيما يتعلق بالشكوى المقدمة إلى مجلس حقوق الإنسان، يؤكد صاحب البلاغ أن الدولة الطرف لم تثبت أن الشخص الذي قدم الشكوى</w:t>
      </w:r>
      <w:r w:rsidRPr="00121FB6">
        <w:rPr>
          <w:rFonts w:ascii="Simplified Arabic" w:eastAsiaTheme="minorEastAsia" w:hAnsi="Simplified Arabic"/>
          <w:rtl/>
          <w:lang w:val="fr-CH"/>
        </w:rPr>
        <w:t xml:space="preserve"> قد</w:t>
      </w:r>
      <w:r w:rsidRPr="00121FB6">
        <w:rPr>
          <w:rFonts w:ascii="Simplified Arabic" w:eastAsiaTheme="minorEastAsia" w:hAnsi="Simplified Arabic"/>
          <w:rtl/>
        </w:rPr>
        <w:t xml:space="preserve"> فعل ذلك نيابة عنه أو أن الشكوى تتعلق بمسائل عولجت في هذا البلاغ. واكتفت الدولة الطرف بالإشارة إلى أن اسم صاحب البلاغ قد ذُكر، إلى جانب أسماء مسؤولين آخرين تابعين لرئيس الدولة الطرف السابق، بغية إظهار وجود نمط ثابت وموثوق من الحرمان من الحق في محاكمة ثانية. وأخفت الدولة الطرف عن اللجنة أن هذه الشكوى تنص صراحة على أن الشكوى المقدمة إلى مجلس حقوق الإنسان لا تخل بأي شكاوى فردية قد يختار أعضاء حزب مركز الديمقراطية تقديمها، بصفة فردية، إلى هيئات دولية شبه قضائية. ويشير صاحب البلاغ كذلك إلى أن دور مجلس حقوق الإنسان، على عكس اللجنة، يقتصر على تقديم توصيات إلى الدول، أو تقديم التوجيه في مجال السياسات، أو حث الحكومة المعنية على تغيير نهجها في تنفيذ معايير حقوق الإنسان. ولذلك، بما أن الإجراءات التي يمكن أن يتخذها المجلس غير ملزمة الدول، فإن توصياته لا يمكن قط اعتبارها سبيل انتصاف دولياً تم استنفاده. ويؤكد صاحب البلاغ أن الدولة الطرف ليست ملمَّة بقرارات اللجنة واجتهادها الراسخ التي تقضي بأن مجلس حقوق الإنسان والمكلفين بولايات في إطار الإجراءات الخاصة والأفرقة العاملة لا يعتبرون هيئات دولية شبه قضائية ولا يجوز الاحتجاج بها لدعم ادعاء عدم المقبولية على أساس أن المسألة نفسها يجري بحثها في إطار إجراء آخر من إجراءات التحقيق الدولي أو التسوية الدولية بموجب المادة </w:t>
      </w:r>
      <w:r w:rsidRPr="007E20A0">
        <w:rPr>
          <w:rFonts w:ascii="Simplified Arabic" w:eastAsiaTheme="minorEastAsia" w:hAnsi="Simplified Arabic"/>
          <w:rtl/>
        </w:rPr>
        <w:t>96</w:t>
      </w:r>
      <w:r w:rsidRPr="00121FB6">
        <w:rPr>
          <w:rFonts w:ascii="Simplified Arabic" w:eastAsiaTheme="minorEastAsia" w:hAnsi="Simplified Arabic"/>
          <w:rtl/>
        </w:rPr>
        <w:t xml:space="preserve"> من النظام الداخلي للجنة</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2"/>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p>
    <w:p w14:paraId="5C588D38" w14:textId="5130328D"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3</w:t>
      </w:r>
      <w:r w:rsidRPr="00121FB6">
        <w:rPr>
          <w:rFonts w:ascii="Simplified Arabic" w:eastAsiaTheme="minorEastAsia" w:hAnsi="Simplified Arabic"/>
          <w:rtl/>
        </w:rPr>
        <w:tab/>
        <w:t xml:space="preserve">ويفيد صاحب البلاغ بأن ادعاء الدولة الطرف أن البلاغ قُدم بعد مرور أكثر من خمس سنوات على صدور قرار المحكمة هو ادعاء كاذب، لأن صاحب البلاغ قدم بلاغه في </w:t>
      </w:r>
      <w:r w:rsidRPr="007E20A0">
        <w:rPr>
          <w:rFonts w:ascii="Simplified Arabic" w:eastAsiaTheme="minorEastAsia" w:hAnsi="Simplified Arabic"/>
          <w:rtl/>
        </w:rPr>
        <w:t>1</w:t>
      </w:r>
      <w:r w:rsidRPr="00121FB6">
        <w:rPr>
          <w:rFonts w:ascii="Simplified Arabic" w:eastAsiaTheme="minorEastAsia" w:hAnsi="Simplified Arabic"/>
          <w:rtl/>
        </w:rPr>
        <w:t xml:space="preserve"> آب/أغسطس </w:t>
      </w:r>
      <w:r w:rsidRPr="007E20A0">
        <w:rPr>
          <w:rFonts w:ascii="Simplified Arabic" w:eastAsiaTheme="minorEastAsia" w:hAnsi="Simplified Arabic"/>
          <w:rtl/>
        </w:rPr>
        <w:t>2016</w:t>
      </w:r>
      <w:r w:rsidRPr="00121FB6">
        <w:rPr>
          <w:rFonts w:ascii="Simplified Arabic" w:eastAsiaTheme="minorEastAsia" w:hAnsi="Simplified Arabic"/>
          <w:rtl/>
        </w:rPr>
        <w:t xml:space="preserve"> - أي بعد </w:t>
      </w:r>
      <w:r w:rsidRPr="007E20A0">
        <w:rPr>
          <w:rFonts w:ascii="Simplified Arabic" w:eastAsiaTheme="minorEastAsia" w:hAnsi="Simplified Arabic"/>
          <w:rtl/>
        </w:rPr>
        <w:t>4</w:t>
      </w:r>
      <w:r w:rsidRPr="00121FB6">
        <w:rPr>
          <w:rFonts w:ascii="Simplified Arabic" w:eastAsiaTheme="minorEastAsia" w:hAnsi="Simplified Arabic"/>
          <w:rtl/>
        </w:rPr>
        <w:t xml:space="preserve"> سنوات و</w:t>
      </w:r>
      <w:r w:rsidRPr="007E20A0">
        <w:rPr>
          <w:rFonts w:ascii="Simplified Arabic" w:eastAsiaTheme="minorEastAsia" w:hAnsi="Simplified Arabic"/>
          <w:rtl/>
        </w:rPr>
        <w:t>11</w:t>
      </w:r>
      <w:r w:rsidRPr="00121FB6">
        <w:rPr>
          <w:rFonts w:ascii="Simplified Arabic" w:eastAsiaTheme="minorEastAsia" w:hAnsi="Simplified Arabic"/>
          <w:rtl/>
        </w:rPr>
        <w:t xml:space="preserve"> شهراً على صدور قرار المحكمة. ولذلك، لا يجوز الاحتجاج بمعيار عدم المقبولية هذا، لأن الشكوى قُدمت في المهلة المحددة ولا تشكل إساءة استخدام للحق في تقديم بلاغات. ويذكر أنه</w:t>
      </w:r>
      <w:r w:rsidR="002D0873">
        <w:rPr>
          <w:rFonts w:ascii="Simplified Arabic" w:eastAsiaTheme="minorEastAsia" w:hAnsi="Simplified Arabic" w:hint="cs"/>
          <w:rtl/>
        </w:rPr>
        <w:t> </w:t>
      </w:r>
      <w:r w:rsidRPr="00121FB6">
        <w:rPr>
          <w:rFonts w:ascii="Simplified Arabic" w:eastAsiaTheme="minorEastAsia" w:hAnsi="Simplified Arabic"/>
          <w:rtl/>
        </w:rPr>
        <w:t xml:space="preserve">على الرغم من عدم توفر سبل انتصاف محلية لأن الحكم صدر من محكمة ذات درجة قضائية وحيدة، </w:t>
      </w:r>
      <w:r w:rsidRPr="002D0873">
        <w:rPr>
          <w:rFonts w:ascii="Simplified Arabic" w:eastAsiaTheme="minorEastAsia" w:hAnsi="Simplified Arabic"/>
          <w:spacing w:val="-4"/>
          <w:rtl/>
        </w:rPr>
        <w:t xml:space="preserve">فقد قدم طلباً للحصول على الحماية القضائية اتُخذ بشأنه قرار نهائي في </w:t>
      </w:r>
      <w:r w:rsidRPr="007E20A0">
        <w:rPr>
          <w:rFonts w:ascii="Simplified Arabic" w:eastAsiaTheme="minorEastAsia" w:hAnsi="Simplified Arabic"/>
          <w:spacing w:val="-4"/>
          <w:rtl/>
        </w:rPr>
        <w:t>30</w:t>
      </w:r>
      <w:r w:rsidRPr="002D0873">
        <w:rPr>
          <w:rFonts w:ascii="Simplified Arabic" w:eastAsiaTheme="minorEastAsia" w:hAnsi="Simplified Arabic"/>
          <w:spacing w:val="-4"/>
          <w:rtl/>
        </w:rPr>
        <w:t xml:space="preserve"> تشرين الثاني/نوفمبر </w:t>
      </w:r>
      <w:r w:rsidRPr="007E20A0">
        <w:rPr>
          <w:rFonts w:ascii="Simplified Arabic" w:eastAsiaTheme="minorEastAsia" w:hAnsi="Simplified Arabic"/>
          <w:spacing w:val="-4"/>
          <w:rtl/>
        </w:rPr>
        <w:t>2012</w:t>
      </w:r>
      <w:r w:rsidRPr="002D0873">
        <w:rPr>
          <w:rFonts w:ascii="Simplified Arabic" w:eastAsiaTheme="minorEastAsia" w:hAnsi="Simplified Arabic"/>
          <w:spacing w:val="-4"/>
          <w:rtl/>
        </w:rPr>
        <w:t>.</w:t>
      </w:r>
      <w:r w:rsidRPr="00121FB6">
        <w:rPr>
          <w:rFonts w:ascii="Simplified Arabic" w:eastAsiaTheme="minorEastAsia" w:hAnsi="Simplified Arabic"/>
          <w:rtl/>
        </w:rPr>
        <w:t xml:space="preserve"> ووفق</w:t>
      </w:r>
      <w:r w:rsidR="002D0873">
        <w:rPr>
          <w:rFonts w:ascii="Simplified Arabic" w:eastAsiaTheme="minorEastAsia" w:hAnsi="Simplified Arabic"/>
          <w:rtl/>
        </w:rPr>
        <w:t xml:space="preserve">اً </w:t>
      </w:r>
      <w:r w:rsidRPr="00121FB6">
        <w:rPr>
          <w:rFonts w:ascii="Simplified Arabic" w:eastAsiaTheme="minorEastAsia" w:hAnsi="Simplified Arabic"/>
          <w:rtl/>
        </w:rPr>
        <w:t>لمبدأ تطبيق القانون الأكثر عطفاً، فإن هذا التاريخ هو الذي ينبغي أن يؤخذ في الاعتبار. ويفيد</w:t>
      </w:r>
      <w:r w:rsidR="00684B6A">
        <w:rPr>
          <w:rFonts w:ascii="Simplified Arabic" w:eastAsiaTheme="minorEastAsia" w:hAnsi="Simplified Arabic" w:hint="cs"/>
          <w:rtl/>
        </w:rPr>
        <w:t> </w:t>
      </w:r>
      <w:r w:rsidRPr="00121FB6">
        <w:rPr>
          <w:rFonts w:ascii="Simplified Arabic" w:eastAsiaTheme="minorEastAsia" w:hAnsi="Simplified Arabic"/>
          <w:rtl/>
        </w:rPr>
        <w:t>صاحب البلاغ بأن ادعاء الدولة الطرف أنه أساء استخدام الحق في تقديم بلاغ بسبب تاريخ تقديم بلاغه إنما يكشف عن عدم معرفة اجتهاد اللجنة الراسخ</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3"/>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p>
    <w:p w14:paraId="4C2E7708"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 xml:space="preserve">ويشير صاحب البلاغ إلى أن المحكمة نفسها هي التي أصدرت حكم الدرجة القضائية الوحيدة الذي يبت في سبيل الانتصاف الخاص المتمثل في المراجعة القضائية، وأن طلبات الانتصاف هذه، بموجب القانون رقم </w:t>
      </w:r>
      <w:r w:rsidRPr="007E20A0">
        <w:rPr>
          <w:rFonts w:ascii="Simplified Arabic" w:eastAsiaTheme="minorEastAsia" w:hAnsi="Simplified Arabic"/>
          <w:rtl/>
        </w:rPr>
        <w:t>600</w:t>
      </w:r>
      <w:r w:rsidRPr="00121FB6">
        <w:rPr>
          <w:rFonts w:ascii="Simplified Arabic" w:eastAsiaTheme="minorEastAsia" w:hAnsi="Simplified Arabic"/>
          <w:rtl/>
        </w:rPr>
        <w:t xml:space="preserve"> لعام </w:t>
      </w:r>
      <w:r w:rsidRPr="007E20A0">
        <w:rPr>
          <w:rFonts w:ascii="Simplified Arabic" w:eastAsiaTheme="minorEastAsia" w:hAnsi="Simplified Arabic"/>
          <w:rtl/>
        </w:rPr>
        <w:t>2000</w:t>
      </w:r>
      <w:r w:rsidRPr="00121FB6">
        <w:rPr>
          <w:rFonts w:ascii="Simplified Arabic" w:eastAsiaTheme="minorEastAsia" w:hAnsi="Simplified Arabic"/>
          <w:rtl/>
        </w:rPr>
        <w:t xml:space="preserve">، عادةً ما تُرفض لأن المراجعة لا تعتبر مناسبة إلا في عدد محدود للغاية من القضايا. </w:t>
      </w:r>
    </w:p>
    <w:p w14:paraId="2D995802" w14:textId="73C3BC28"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ab/>
        <w:t xml:space="preserve">وفيما يتعلق بتأكيد الدولة الطرف أن صاحب البلاغ كان بإمكانه التنازل عن امتيازه الدستوري، يقول صاحب البلاغ إن هذا الأمر غير واقعي ولا يتسق مع السوابق القضائية السارية في ذلك الوقت. وهو يذكر أن المحكمة العليا قررت، في قرار مؤرخ </w:t>
      </w:r>
      <w:r w:rsidRPr="007E20A0">
        <w:rPr>
          <w:rFonts w:ascii="Simplified Arabic" w:eastAsiaTheme="minorEastAsia" w:hAnsi="Simplified Arabic"/>
          <w:rtl/>
        </w:rPr>
        <w:t>1</w:t>
      </w:r>
      <w:r w:rsidRPr="00121FB6">
        <w:rPr>
          <w:rFonts w:ascii="Simplified Arabic" w:eastAsiaTheme="minorEastAsia" w:hAnsi="Simplified Arabic"/>
          <w:rtl/>
        </w:rPr>
        <w:t xml:space="preserve"> أيلول/سبتمبر </w:t>
      </w:r>
      <w:r w:rsidRPr="007E20A0">
        <w:rPr>
          <w:rFonts w:ascii="Simplified Arabic" w:eastAsiaTheme="minorEastAsia" w:hAnsi="Simplified Arabic"/>
          <w:rtl/>
        </w:rPr>
        <w:t>2009</w:t>
      </w:r>
      <w:r w:rsidRPr="00121FB6">
        <w:rPr>
          <w:rFonts w:ascii="Simplified Arabic" w:eastAsiaTheme="minorEastAsia" w:hAnsi="Simplified Arabic"/>
          <w:rtl/>
        </w:rPr>
        <w:t>، أن الاستقالة من منصب يمنح صاحب المنصب امتيازاً دستورياً ليست سبباً كافياً لأن تفقد المحكمة صلاحية التحقيق مع الشخص ومحاكمته، حتى إن كان الفعل المعني قد ارتكب قبل أن يتولى الشخص مهامه أو إذا لم يكن للفعل علاقة بأداء تلك الواجبات. وكان هذا القرار بمثابة الأساس لمحاكمة وإدانة جميع الأشخاص الذين يتمتعون بامتياز دستوري، رغم تنازلهم عن هذا الامتياز. أما الدفع، كما تفعل الدولة الطرف، بأن هؤلاء الأشخاص يمكنهم اللجوء إلى المحاكم الأعلى درجة فيما يتعلق بحكم المحكمة العليا، فهو يتعارض مع الإطار القانوني والدستوري الساري في الدولة الطرف</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4"/>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وبما أن المحكمة العليا هي أعلى محكمة، فمن الواضح أنه لا توجد هيئة أخرى لها سلطة عليها وأنه لا يجوز الطعن في أحكامها، لأن الطعون، بحكم طبيعتها، يجب أن تُقدَّم إلى محكمة أعلى. </w:t>
      </w:r>
    </w:p>
    <w:p w14:paraId="6ED1FFFE" w14:textId="2EE0D908" w:rsidR="00121FB6" w:rsidRPr="00685986" w:rsidRDefault="00121FB6" w:rsidP="00121FB6">
      <w:pPr>
        <w:pStyle w:val="SingleTxtGA"/>
        <w:rPr>
          <w:rFonts w:ascii="Simplified Arabic" w:eastAsiaTheme="minorEastAsia" w:hAnsi="Simplified Arabic"/>
          <w:spacing w:val="-2"/>
          <w:lang w:val="ar-SA" w:eastAsia="zh-TW" w:bidi="en-GB"/>
        </w:rPr>
      </w:pPr>
      <w:r w:rsidRPr="00685986">
        <w:rPr>
          <w:rFonts w:ascii="Simplified Arabic" w:eastAsiaTheme="minorEastAsia" w:hAnsi="Simplified Arabic"/>
          <w:spacing w:val="-2"/>
          <w:rtl/>
        </w:rPr>
        <w:t>5-6</w:t>
      </w:r>
      <w:r w:rsidRPr="00685986">
        <w:rPr>
          <w:rFonts w:ascii="Simplified Arabic" w:eastAsiaTheme="minorEastAsia" w:hAnsi="Simplified Arabic"/>
          <w:spacing w:val="-2"/>
          <w:rtl/>
        </w:rPr>
        <w:tab/>
        <w:t>وهو يشير إلى أن طلب الحماية القضائية ليس استئنافاً في حد ذاته، بل هو سبيل انتصاف جديد ومختلف لا يجوز ممارسته للطعن في أحكام المحاكم. وبينما ينبغي أن يُقدَّم الاستئناف أثناء الإجراءات للسماح بمناقشة جانب معين من جوانب الحكم الذي يجري الطعن فيه، فإن طلب الحماية القضائية، على النقيض من ذلك، هو سبيل انتصاف جديد يتمثل هدفه في تحديد ما إذا كان الحكم ينتهك الحقوق الأساسية للشخص؛ غير أن طلب الحماية القضائية لا يشكل طعنا في الحكم نفسه. وعلاوة على</w:t>
      </w:r>
      <w:r w:rsidR="003D6C6F" w:rsidRPr="00685986">
        <w:rPr>
          <w:rFonts w:ascii="Simplified Arabic" w:eastAsiaTheme="minorEastAsia" w:hAnsi="Simplified Arabic" w:hint="cs"/>
          <w:spacing w:val="-2"/>
          <w:rtl/>
        </w:rPr>
        <w:t> </w:t>
      </w:r>
      <w:r w:rsidRPr="00685986">
        <w:rPr>
          <w:rFonts w:ascii="Simplified Arabic" w:eastAsiaTheme="minorEastAsia" w:hAnsi="Simplified Arabic"/>
          <w:spacing w:val="-2"/>
          <w:rtl/>
        </w:rPr>
        <w:t>ذلك، فإن</w:t>
      </w:r>
      <w:r w:rsidRPr="00685986">
        <w:rPr>
          <w:rFonts w:ascii="Simplified Arabic" w:eastAsiaTheme="minorEastAsia" w:hAnsi="Simplified Arabic"/>
          <w:spacing w:val="-2"/>
          <w:rtl/>
          <w:lang w:val="fr-CH"/>
        </w:rPr>
        <w:t xml:space="preserve"> الرأي القائل بأن</w:t>
      </w:r>
      <w:r w:rsidRPr="00685986">
        <w:rPr>
          <w:rFonts w:ascii="Simplified Arabic" w:eastAsiaTheme="minorEastAsia" w:hAnsi="Simplified Arabic"/>
          <w:spacing w:val="-2"/>
          <w:rtl/>
        </w:rPr>
        <w:t xml:space="preserve"> أي سبيل انتصاف لغرض الطعن في قرار للمحكمة العليا ينبغي أن تبت فيه المحكمة نفسها، ليس رأياً مثالي</w:t>
      </w:r>
      <w:r w:rsidR="002D0873" w:rsidRPr="00685986">
        <w:rPr>
          <w:rFonts w:ascii="Simplified Arabic" w:eastAsiaTheme="minorEastAsia" w:hAnsi="Simplified Arabic"/>
          <w:spacing w:val="-2"/>
          <w:rtl/>
        </w:rPr>
        <w:t xml:space="preserve">اً، </w:t>
      </w:r>
      <w:r w:rsidRPr="00685986">
        <w:rPr>
          <w:rFonts w:ascii="Simplified Arabic" w:eastAsiaTheme="minorEastAsia" w:hAnsi="Simplified Arabic"/>
          <w:spacing w:val="-2"/>
          <w:rtl/>
        </w:rPr>
        <w:t>لأن سبيل الانتصاف يصبح عندئذ مجرد إجراء شكلي وليس استئناف</w:t>
      </w:r>
      <w:r w:rsidR="002D0873" w:rsidRPr="00685986">
        <w:rPr>
          <w:rFonts w:ascii="Simplified Arabic" w:eastAsiaTheme="minorEastAsia" w:hAnsi="Simplified Arabic"/>
          <w:spacing w:val="-2"/>
          <w:rtl/>
        </w:rPr>
        <w:t>اً</w:t>
      </w:r>
      <w:r w:rsidR="002D0873" w:rsidRPr="00685986">
        <w:rPr>
          <w:rFonts w:ascii="Simplified Arabic" w:eastAsiaTheme="minorEastAsia" w:hAnsi="Simplified Arabic" w:hint="cs"/>
          <w:spacing w:val="-2"/>
          <w:rtl/>
        </w:rPr>
        <w:t> </w:t>
      </w:r>
      <w:r w:rsidRPr="00685986">
        <w:rPr>
          <w:rFonts w:ascii="Simplified Arabic" w:eastAsiaTheme="minorEastAsia" w:hAnsi="Simplified Arabic"/>
          <w:spacing w:val="-2"/>
          <w:rtl/>
        </w:rPr>
        <w:t>حقيقيا</w:t>
      </w:r>
      <w:r w:rsidR="003D6C6F" w:rsidRPr="00685986">
        <w:rPr>
          <w:rFonts w:ascii="Simplified Arabic" w:eastAsiaTheme="minorEastAsia" w:hAnsi="Simplified Arabic" w:hint="cs"/>
          <w:spacing w:val="-2"/>
          <w:rtl/>
        </w:rPr>
        <w:t>ً</w:t>
      </w:r>
      <w:r w:rsidRPr="00685986">
        <w:rPr>
          <w:rFonts w:ascii="Simplified Arabic" w:eastAsiaTheme="minorEastAsia" w:hAnsi="Simplified Arabic"/>
          <w:spacing w:val="-2"/>
          <w:rtl/>
        </w:rPr>
        <w:t>.</w:t>
      </w:r>
    </w:p>
    <w:p w14:paraId="0956A71E" w14:textId="2CAB906C"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7</w:t>
      </w:r>
      <w:r w:rsidRPr="00121FB6">
        <w:rPr>
          <w:rFonts w:ascii="Simplified Arabic" w:eastAsiaTheme="minorEastAsia" w:hAnsi="Simplified Arabic"/>
          <w:rtl/>
        </w:rPr>
        <w:tab/>
        <w:t>ويرحب صاحب البلاغ بأن الدولة الطرف، خلافاً لما فعلت في بلاغات أخرى تتعلق بقضايا أخرى، لم تلجأ إلى تبرير الحرمان من الحق في جلسة استماع ثانية و/أو إلى الادعاء بأن الحماية القضائية هي سبيل انتصاف محلي. ويدفع بأن عدم عقد جلسة جنائية ثانية، بالنسبة لبعض الأشخاص الخاضعين للولاية القضائية للدولة الطرف، يشكل تمييزاً يشمل فرض قيود وحدود. ويشير صاحب البلاغ، حفاظاً على حقه في استئناف حكم إدانته، إلى السوابق القضائية للجنة في هذا الصدد</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5"/>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p>
    <w:p w14:paraId="5C55D67B" w14:textId="69F341F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8</w:t>
      </w:r>
      <w:r w:rsidRPr="00121FB6">
        <w:rPr>
          <w:rFonts w:ascii="Simplified Arabic" w:eastAsiaTheme="minorEastAsia" w:hAnsi="Simplified Arabic"/>
          <w:rtl/>
        </w:rPr>
        <w:tab/>
        <w:t xml:space="preserve">ويكرر صاحب البلاغ أن الدولة الطرف انتهكت حقوقه التي تكفلها المادة </w:t>
      </w:r>
      <w:r w:rsidRPr="007E20A0">
        <w:rPr>
          <w:rFonts w:ascii="Simplified Arabic" w:eastAsiaTheme="minorEastAsia" w:hAnsi="Simplified Arabic"/>
          <w:rtl/>
        </w:rPr>
        <w:t>3</w:t>
      </w:r>
      <w:r w:rsidRPr="00121FB6">
        <w:rPr>
          <w:rFonts w:ascii="Simplified Arabic" w:eastAsiaTheme="minorEastAsia" w:hAnsi="Simplified Arabic"/>
          <w:rtl/>
        </w:rPr>
        <w:t xml:space="preserve"> من العهد، لأنها لم</w:t>
      </w:r>
      <w:r w:rsidR="002D0873">
        <w:rPr>
          <w:rFonts w:ascii="Simplified Arabic" w:eastAsiaTheme="minorEastAsia" w:hAnsi="Simplified Arabic" w:hint="cs"/>
          <w:rtl/>
        </w:rPr>
        <w:t> </w:t>
      </w:r>
      <w:r w:rsidRPr="00121FB6">
        <w:rPr>
          <w:rFonts w:ascii="Simplified Arabic" w:eastAsiaTheme="minorEastAsia" w:hAnsi="Simplified Arabic"/>
          <w:rtl/>
        </w:rPr>
        <w:t xml:space="preserve">تكفل تمتع الرجال والنساء على قدم المساواة بجميع الحقوق المدنية والسياسية المنصوص عليها في العهد، ولا سيما المساواة في التمتع بالحق المنصوص عليه في المادة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 xml:space="preserve">). وهو يؤكد مجدداً أن الدولة الطرف، بحرمانها فئات معينة من المسؤولين الحكوميين من الحق المنصوص عليه في المادة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 xml:space="preserve">)، انتهكت أيضاً حق صاحب البلاغ في المساواة أمام القانون وفي المساواة في الحماية التي يكفلها القانون بموجب المادة </w:t>
      </w:r>
      <w:r w:rsidRPr="007E20A0">
        <w:rPr>
          <w:rFonts w:ascii="Simplified Arabic" w:eastAsiaTheme="minorEastAsia" w:hAnsi="Simplified Arabic"/>
          <w:rtl/>
        </w:rPr>
        <w:t>26</w:t>
      </w:r>
      <w:r w:rsidRPr="00121FB6">
        <w:rPr>
          <w:rFonts w:ascii="Simplified Arabic" w:eastAsiaTheme="minorEastAsia" w:hAnsi="Simplified Arabic"/>
          <w:rtl/>
        </w:rPr>
        <w:t xml:space="preserve">. </w:t>
      </w:r>
    </w:p>
    <w:p w14:paraId="64120971" w14:textId="0863C45D" w:rsidR="00121FB6" w:rsidRPr="00685986" w:rsidRDefault="00121FB6" w:rsidP="00121FB6">
      <w:pPr>
        <w:pStyle w:val="SingleTxtGA"/>
        <w:rPr>
          <w:rFonts w:ascii="Simplified Arabic" w:eastAsiaTheme="minorEastAsia" w:hAnsi="Simplified Arabic"/>
          <w:spacing w:val="-2"/>
          <w:lang w:val="en-US" w:eastAsia="zh-TW" w:bidi="en-GB"/>
        </w:rPr>
      </w:pPr>
      <w:r w:rsidRPr="00685986">
        <w:rPr>
          <w:rFonts w:ascii="Simplified Arabic" w:eastAsiaTheme="minorEastAsia" w:hAnsi="Simplified Arabic"/>
          <w:spacing w:val="-2"/>
          <w:rtl/>
        </w:rPr>
        <w:t>5-9</w:t>
      </w:r>
      <w:r w:rsidRPr="00685986">
        <w:rPr>
          <w:rFonts w:ascii="Simplified Arabic" w:eastAsiaTheme="minorEastAsia" w:hAnsi="Simplified Arabic"/>
          <w:spacing w:val="-2"/>
          <w:rtl/>
        </w:rPr>
        <w:tab/>
        <w:t xml:space="preserve">وفي 12 حزيران/يونيه 2017، ذكر صاحب البلاغ أن كبار المسؤولين في حكومة الدولة الطرف أقروا بأن حق الأشخاص الذين يتمتعون بامتيازات دستورية في محاكمة ثانية قد انتُهك. ويدفع صاحب البلاغ بأن وزير العدل، إنريكي خيل </w:t>
      </w:r>
      <w:proofErr w:type="spellStart"/>
      <w:r w:rsidRPr="00685986">
        <w:rPr>
          <w:rFonts w:ascii="Simplified Arabic" w:eastAsiaTheme="minorEastAsia" w:hAnsi="Simplified Arabic"/>
          <w:spacing w:val="-2"/>
          <w:rtl/>
        </w:rPr>
        <w:t>بوتيرو</w:t>
      </w:r>
      <w:proofErr w:type="spellEnd"/>
      <w:r w:rsidRPr="00685986">
        <w:rPr>
          <w:rFonts w:ascii="Simplified Arabic" w:eastAsiaTheme="minorEastAsia" w:hAnsi="Simplified Arabic"/>
          <w:spacing w:val="-2"/>
          <w:rtl/>
        </w:rPr>
        <w:t xml:space="preserve">، صرَّح علناً بأن ضرورة عقد جلسات استماع ثانية للأشخاص الذين يتمتعون بامتيازات دستورية "يحظى بتأييد قوي في كولومبيا، بوصفه حقاً شاملاً وثيق الارتباط بالأصول القانونية ومبدأ المساواة. </w:t>
      </w:r>
      <w:r w:rsidRPr="00685986">
        <w:rPr>
          <w:rFonts w:ascii="Simplified Arabic" w:eastAsiaTheme="minorEastAsia" w:hAnsi="Simplified Arabic"/>
          <w:spacing w:val="-2"/>
          <w:rtl/>
          <w:lang w:val="fr-CH"/>
        </w:rPr>
        <w:t>وبلدنا، بالمعايير الدولية</w:t>
      </w:r>
      <w:r w:rsidRPr="00685986">
        <w:rPr>
          <w:rFonts w:ascii="Simplified Arabic" w:eastAsiaTheme="minorEastAsia" w:hAnsi="Simplified Arabic"/>
          <w:spacing w:val="-2"/>
          <w:rtl/>
        </w:rPr>
        <w:t>، متخلف عن الركب. وتكرس المادة 8 من الاتفاقية الأمريكية لحقوق الإنسان مبدأ جلسة الاستماع الثانية. ولذلك، يجوز لمحكمة البلدان الأمريكية ونظام البلدان الأمريكية أن يطلبا إلى دولة كولومبيا تنفيذ هذا المبدأ"</w:t>
      </w:r>
      <w:r w:rsidRPr="00685986">
        <w:rPr>
          <w:rStyle w:val="FootnoteReference"/>
          <w:rFonts w:ascii="Simplified Arabic" w:eastAsiaTheme="minorEastAsia" w:hAnsi="Simplified Arabic"/>
          <w:spacing w:val="-2"/>
          <w:szCs w:val="22"/>
          <w:rtl/>
        </w:rPr>
        <w:t>(</w:t>
      </w:r>
      <w:r w:rsidRPr="00685986">
        <w:rPr>
          <w:rStyle w:val="FootnoteReference"/>
          <w:rFonts w:ascii="Simplified Arabic" w:eastAsiaTheme="minorEastAsia" w:hAnsi="Simplified Arabic"/>
          <w:spacing w:val="-2"/>
          <w:szCs w:val="22"/>
          <w:rtl/>
        </w:rPr>
        <w:footnoteReference w:id="16"/>
      </w:r>
      <w:r w:rsidRPr="00685986">
        <w:rPr>
          <w:rStyle w:val="FootnoteReference"/>
          <w:rFonts w:ascii="Simplified Arabic" w:eastAsiaTheme="minorEastAsia" w:hAnsi="Simplified Arabic"/>
          <w:spacing w:val="-2"/>
          <w:szCs w:val="22"/>
          <w:rtl/>
        </w:rPr>
        <w:t>)</w:t>
      </w:r>
      <w:r w:rsidR="003D6C6F" w:rsidRPr="00685986">
        <w:rPr>
          <w:rFonts w:ascii="Simplified Arabic" w:eastAsiaTheme="minorEastAsia" w:hAnsi="Simplified Arabic" w:hint="cs"/>
          <w:spacing w:val="-2"/>
          <w:rtl/>
        </w:rPr>
        <w:t>.</w:t>
      </w:r>
      <w:r w:rsidRPr="00685986">
        <w:rPr>
          <w:rFonts w:ascii="Simplified Arabic" w:eastAsiaTheme="minorEastAsia" w:hAnsi="Simplified Arabic"/>
          <w:spacing w:val="-2"/>
          <w:rtl/>
        </w:rPr>
        <w:t xml:space="preserve"> ويضيف صاحب البلاغ أن الوزير ذكر أن هذه الحالة تضع الأشخاص الذين يتمتعون بامتيازات دستورية في وضع غير مؤات وأنه حذر برلمان الدولة من أن "محكمة البلدان الأمريكية ستبت في المستقبل القريب في انتهاك مبدأ جلسة الاستماع الثانية، وبالتالي يمكن مراجعة الأحكام والعواقب المترتبة على هذا الانتهاك". ويشير صاحب البلاغ أيضاً إلى أن نائب وزير الداخلية، </w:t>
      </w:r>
      <w:proofErr w:type="spellStart"/>
      <w:r w:rsidRPr="00685986">
        <w:rPr>
          <w:rFonts w:ascii="Simplified Arabic" w:eastAsiaTheme="minorEastAsia" w:hAnsi="Simplified Arabic"/>
          <w:spacing w:val="-2"/>
          <w:rtl/>
        </w:rPr>
        <w:t>غييرمو</w:t>
      </w:r>
      <w:proofErr w:type="spellEnd"/>
      <w:r w:rsidRPr="00685986">
        <w:rPr>
          <w:rFonts w:ascii="Simplified Arabic" w:eastAsiaTheme="minorEastAsia" w:hAnsi="Simplified Arabic"/>
          <w:spacing w:val="-2"/>
          <w:rtl/>
        </w:rPr>
        <w:t xml:space="preserve"> ريفيرا، قال: "إن هذا ليس صدقة أو تنازلاً للكونغرس أو</w:t>
      </w:r>
      <w:r w:rsidR="00684B6A" w:rsidRPr="00685986">
        <w:rPr>
          <w:rFonts w:ascii="Simplified Arabic" w:eastAsiaTheme="minorEastAsia" w:hAnsi="Simplified Arabic" w:hint="cs"/>
          <w:spacing w:val="-2"/>
          <w:rtl/>
        </w:rPr>
        <w:t> </w:t>
      </w:r>
      <w:r w:rsidRPr="00685986">
        <w:rPr>
          <w:rFonts w:ascii="Simplified Arabic" w:eastAsiaTheme="minorEastAsia" w:hAnsi="Simplified Arabic"/>
          <w:spacing w:val="-2"/>
          <w:rtl/>
        </w:rPr>
        <w:t>للأشخاص الذين يتمتعون بامتياز دستوري، بل هو حق لم نعترف به"</w:t>
      </w:r>
      <w:r w:rsidRPr="00685986">
        <w:rPr>
          <w:rStyle w:val="FootnoteReference"/>
          <w:rFonts w:ascii="Simplified Arabic" w:eastAsiaTheme="minorEastAsia" w:hAnsi="Simplified Arabic"/>
          <w:spacing w:val="-2"/>
          <w:szCs w:val="22"/>
          <w:rtl/>
        </w:rPr>
        <w:t>(</w:t>
      </w:r>
      <w:r w:rsidRPr="00685986">
        <w:rPr>
          <w:rStyle w:val="FootnoteReference"/>
          <w:rFonts w:ascii="Simplified Arabic" w:eastAsiaTheme="minorEastAsia" w:hAnsi="Simplified Arabic"/>
          <w:spacing w:val="-2"/>
          <w:szCs w:val="22"/>
          <w:rtl/>
        </w:rPr>
        <w:footnoteReference w:id="17"/>
      </w:r>
      <w:r w:rsidRPr="00685986">
        <w:rPr>
          <w:rStyle w:val="FootnoteReference"/>
          <w:rFonts w:ascii="Simplified Arabic" w:eastAsiaTheme="minorEastAsia" w:hAnsi="Simplified Arabic"/>
          <w:spacing w:val="-2"/>
          <w:szCs w:val="22"/>
          <w:rtl/>
        </w:rPr>
        <w:t>)</w:t>
      </w:r>
      <w:r w:rsidR="003D6C6F" w:rsidRPr="00685986">
        <w:rPr>
          <w:rFonts w:ascii="Simplified Arabic" w:eastAsiaTheme="minorEastAsia" w:hAnsi="Simplified Arabic" w:hint="cs"/>
          <w:spacing w:val="-2"/>
          <w:rtl/>
        </w:rPr>
        <w:t>.</w:t>
      </w:r>
      <w:r w:rsidRPr="00685986">
        <w:rPr>
          <w:rFonts w:ascii="Simplified Arabic" w:eastAsiaTheme="minorEastAsia" w:hAnsi="Simplified Arabic"/>
          <w:spacing w:val="-2"/>
          <w:rtl/>
        </w:rPr>
        <w:t xml:space="preserve"> وقال النائب العام، </w:t>
      </w:r>
      <w:proofErr w:type="spellStart"/>
      <w:r w:rsidRPr="00685986">
        <w:rPr>
          <w:rFonts w:ascii="Simplified Arabic" w:eastAsiaTheme="minorEastAsia" w:hAnsi="Simplified Arabic"/>
          <w:spacing w:val="-2"/>
          <w:rtl/>
        </w:rPr>
        <w:t>نيستور</w:t>
      </w:r>
      <w:proofErr w:type="spellEnd"/>
      <w:r w:rsidR="00684B6A" w:rsidRPr="00685986">
        <w:rPr>
          <w:rFonts w:ascii="Simplified Arabic" w:eastAsiaTheme="minorEastAsia" w:hAnsi="Simplified Arabic" w:hint="cs"/>
          <w:spacing w:val="-2"/>
          <w:rtl/>
        </w:rPr>
        <w:t> </w:t>
      </w:r>
      <w:proofErr w:type="spellStart"/>
      <w:r w:rsidRPr="00685986">
        <w:rPr>
          <w:rFonts w:ascii="Simplified Arabic" w:eastAsiaTheme="minorEastAsia" w:hAnsi="Simplified Arabic"/>
          <w:spacing w:val="-2"/>
          <w:rtl/>
        </w:rPr>
        <w:t>هومبرتو</w:t>
      </w:r>
      <w:proofErr w:type="spellEnd"/>
      <w:r w:rsidRPr="00685986">
        <w:rPr>
          <w:rFonts w:ascii="Simplified Arabic" w:eastAsiaTheme="minorEastAsia" w:hAnsi="Simplified Arabic"/>
          <w:spacing w:val="-2"/>
          <w:rtl/>
        </w:rPr>
        <w:t xml:space="preserve"> مارتينيز: "إن عدم وجود حق في جلسة استماع ثانية يزعج العديد من الأكاديميين والقانونيين الذين يرون أن عدم عقد جلسات استماع ثانية يؤثر سلباً على نزاهة التحقيقات التي تُجرى مع أعضاء الكونغرس"</w:t>
      </w:r>
      <w:r w:rsidRPr="00685986">
        <w:rPr>
          <w:rStyle w:val="FootnoteReference"/>
          <w:rFonts w:ascii="Simplified Arabic" w:eastAsiaTheme="minorEastAsia" w:hAnsi="Simplified Arabic"/>
          <w:spacing w:val="-2"/>
          <w:szCs w:val="22"/>
          <w:rtl/>
        </w:rPr>
        <w:t>(</w:t>
      </w:r>
      <w:r w:rsidRPr="00685986">
        <w:rPr>
          <w:rStyle w:val="FootnoteReference"/>
          <w:rFonts w:ascii="Simplified Arabic" w:eastAsiaTheme="minorEastAsia" w:hAnsi="Simplified Arabic"/>
          <w:spacing w:val="-2"/>
          <w:szCs w:val="22"/>
          <w:rtl/>
        </w:rPr>
        <w:footnoteReference w:id="18"/>
      </w:r>
      <w:r w:rsidRPr="00685986">
        <w:rPr>
          <w:rStyle w:val="FootnoteReference"/>
          <w:rFonts w:ascii="Simplified Arabic" w:eastAsiaTheme="minorEastAsia" w:hAnsi="Simplified Arabic"/>
          <w:spacing w:val="-2"/>
          <w:szCs w:val="22"/>
          <w:rtl/>
        </w:rPr>
        <w:t>)</w:t>
      </w:r>
      <w:r w:rsidR="003D6C6F" w:rsidRPr="00685986">
        <w:rPr>
          <w:rFonts w:ascii="Simplified Arabic" w:eastAsiaTheme="minorEastAsia" w:hAnsi="Simplified Arabic" w:hint="cs"/>
          <w:spacing w:val="-2"/>
          <w:rtl/>
        </w:rPr>
        <w:t>.</w:t>
      </w:r>
    </w:p>
    <w:p w14:paraId="23012F4F"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10</w:t>
      </w:r>
      <w:r w:rsidRPr="00121FB6">
        <w:rPr>
          <w:rFonts w:ascii="Simplified Arabic" w:eastAsiaTheme="minorEastAsia" w:hAnsi="Simplified Arabic"/>
          <w:rtl/>
        </w:rPr>
        <w:tab/>
        <w:t xml:space="preserve">ويرى صاحب البلاغ أن هذه التصريحات </w:t>
      </w:r>
      <w:r w:rsidRPr="00121FB6">
        <w:rPr>
          <w:rFonts w:ascii="Simplified Arabic" w:eastAsiaTheme="minorEastAsia" w:hAnsi="Simplified Arabic"/>
          <w:rtl/>
          <w:lang w:val="fr-CH"/>
        </w:rPr>
        <w:t>تصل إلى درجة ال</w:t>
      </w:r>
      <w:r w:rsidRPr="00121FB6">
        <w:rPr>
          <w:rFonts w:ascii="Simplified Arabic" w:eastAsiaTheme="minorEastAsia" w:hAnsi="Simplified Arabic"/>
          <w:rtl/>
        </w:rPr>
        <w:t xml:space="preserve">اعتراف الواضح بالانتهاك المستمر للمادة </w:t>
      </w:r>
      <w:r w:rsidRPr="007E20A0">
        <w:rPr>
          <w:rFonts w:ascii="Simplified Arabic" w:eastAsiaTheme="minorEastAsia" w:hAnsi="Simplified Arabic"/>
          <w:rtl/>
        </w:rPr>
        <w:t>14</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 xml:space="preserve">) من العهد، التي تنص على الحق في مراجعة أي حكم من قِبل محكمة أعلى درجة. وليس أمام الدولة الطرف خيار سوى الاعتراف بأن نظامها القانوني المحلي لا يعترف بالحق المذكور ولا يتخذ التدابير اللازمة لضمان إعمال هذا الحق. </w:t>
      </w:r>
    </w:p>
    <w:p w14:paraId="7F80BBD1" w14:textId="77777777" w:rsidR="00121FB6" w:rsidRPr="00121FB6" w:rsidRDefault="00121FB6" w:rsidP="00121FB6">
      <w:pPr>
        <w:pStyle w:val="H23GA"/>
        <w:rPr>
          <w:rFonts w:ascii="Simplified Arabic" w:eastAsiaTheme="minorEastAsia" w:hAnsi="Simplified Arabic"/>
          <w:lang w:val="ar-SA" w:eastAsia="zh-TW" w:bidi="en-GB"/>
        </w:rPr>
      </w:pPr>
      <w:r w:rsidRPr="00121FB6">
        <w:rPr>
          <w:rFonts w:ascii="Simplified Arabic" w:eastAsiaTheme="minorEastAsia" w:hAnsi="Simplified Arabic"/>
          <w:rtl/>
        </w:rPr>
        <w:tab/>
      </w:r>
      <w:r w:rsidRPr="00121FB6">
        <w:rPr>
          <w:rFonts w:ascii="Simplified Arabic" w:eastAsiaTheme="minorEastAsia" w:hAnsi="Simplified Arabic"/>
          <w:rtl/>
        </w:rPr>
        <w:tab/>
        <w:t xml:space="preserve">ملاحظات إضافية من الدولة الطرف </w:t>
      </w:r>
    </w:p>
    <w:p w14:paraId="08B24421" w14:textId="77777777"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 xml:space="preserve">كررت الدولة الطرف، في مذكرة شفوية مؤرخة </w:t>
      </w:r>
      <w:r w:rsidRPr="007E20A0">
        <w:rPr>
          <w:rFonts w:ascii="Simplified Arabic" w:eastAsiaTheme="minorEastAsia" w:hAnsi="Simplified Arabic"/>
          <w:rtl/>
        </w:rPr>
        <w:t>14</w:t>
      </w:r>
      <w:r w:rsidRPr="00121FB6">
        <w:rPr>
          <w:rFonts w:ascii="Simplified Arabic" w:eastAsiaTheme="minorEastAsia" w:hAnsi="Simplified Arabic"/>
          <w:rtl/>
        </w:rPr>
        <w:t xml:space="preserve"> حزيران/يونيه </w:t>
      </w:r>
      <w:r w:rsidRPr="007E20A0">
        <w:rPr>
          <w:rFonts w:ascii="Simplified Arabic" w:eastAsiaTheme="minorEastAsia" w:hAnsi="Simplified Arabic"/>
          <w:rtl/>
        </w:rPr>
        <w:t>2017</w:t>
      </w:r>
      <w:r w:rsidRPr="00121FB6">
        <w:rPr>
          <w:rFonts w:ascii="Simplified Arabic" w:eastAsiaTheme="minorEastAsia" w:hAnsi="Simplified Arabic"/>
          <w:rtl/>
        </w:rPr>
        <w:t xml:space="preserve">، طلبها إلى اللجنة أن ترفض بلاغ صاحب البلاغ على أساس أنه غير مقبول بشكل واضح. وتؤكد اللجنة أن تعليقات صاحب البلاغ الأخيرة تقلل من شأن النزاع القانوني القائم. أما التلميحات إلى أن الدولة الطرف لا تتصرف بحسن نية أو تحاول تضليل اللجنة أو إخفاء معلومات عنها أو تقديم ادعاءات كاذبة فهي غير مقبولة على الإطلاق وتدل على افتقار صاحب البلاغ إلى الحجج الموضوعية. وتطلب الدولة الطرف إلى اللجنة أن تتجاهل هذه التعليقات التي تشكل إهانة لكرامة الدولة ومؤسساتها وممثليها. </w:t>
      </w:r>
    </w:p>
    <w:p w14:paraId="39EC5B90" w14:textId="77777777"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ab/>
      </w:r>
      <w:r w:rsidRPr="00684B6A">
        <w:rPr>
          <w:rFonts w:ascii="Simplified Arabic" w:eastAsiaTheme="minorEastAsia" w:hAnsi="Simplified Arabic"/>
          <w:spacing w:val="-4"/>
          <w:rtl/>
        </w:rPr>
        <w:t>وتكرر الدولة الطرف أن صاحب البلاغ سبق أن قدم شكواه إلى لجنة البلدان الأمريكية لحقوق الإنسان وإلى مجلس حقوق الإنسان. وتكرر أيضاً أن البلاغ يشكل إساءة استخدام للحق في تقديم بلاغات،</w:t>
      </w:r>
      <w:r w:rsidRPr="00121FB6">
        <w:rPr>
          <w:rFonts w:ascii="Simplified Arabic" w:eastAsiaTheme="minorEastAsia" w:hAnsi="Simplified Arabic"/>
          <w:rtl/>
        </w:rPr>
        <w:t xml:space="preserve"> لأنه قُدم إلى اللجنة بعد مرور أكثر من خمس سنوات على صدور آخر قرار قضائي ترتب عليه تقديم البلاغ. وتشير إلى أن البلاغ، وفقاً للمادة </w:t>
      </w:r>
      <w:r w:rsidRPr="007E20A0">
        <w:rPr>
          <w:rFonts w:ascii="Simplified Arabic" w:eastAsiaTheme="minorEastAsia" w:hAnsi="Simplified Arabic"/>
          <w:rtl/>
        </w:rPr>
        <w:t>99</w:t>
      </w:r>
      <w:r w:rsidRPr="00121FB6">
        <w:rPr>
          <w:rFonts w:ascii="Simplified Arabic" w:eastAsiaTheme="minorEastAsia" w:hAnsi="Simplified Arabic"/>
          <w:rtl/>
        </w:rPr>
        <w:t xml:space="preserve">(ج) من النظام الداخلي للجنة، قد يشكل إساءة استخدام للحق في تقديم بلاغات عندما يُقدم بعد مرور خمس سنوات على استنفاد صاحب البلاغ لسبل الانتصاف المحلية أو، عند الاقتضاء، بعد مرور ثلاث سنوات على اختتام إجراء آخر من إجراءات التحقيق الدولي أو التسوية الدولية، ما لم توجد أسباب تبرر هذا التأخر، مع مراعاة جميع ملابسات البلاغ. </w:t>
      </w:r>
    </w:p>
    <w:p w14:paraId="3B817848" w14:textId="7D606D35" w:rsidR="00121FB6" w:rsidRPr="00121FB6" w:rsidRDefault="00121FB6" w:rsidP="00685986">
      <w:pPr>
        <w:pStyle w:val="SingleTxtGA"/>
        <w:spacing w:line="350" w:lineRule="exact"/>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3</w:t>
      </w:r>
      <w:r w:rsidRPr="00121FB6">
        <w:rPr>
          <w:rFonts w:ascii="Simplified Arabic" w:eastAsiaTheme="minorEastAsia" w:hAnsi="Simplified Arabic"/>
          <w:rtl/>
        </w:rPr>
        <w:tab/>
        <w:t xml:space="preserve">وتشير الدولة الطرف، في مذكرة شفوية مؤرخة </w:t>
      </w:r>
      <w:r w:rsidRPr="007E20A0">
        <w:rPr>
          <w:rFonts w:ascii="Simplified Arabic" w:eastAsiaTheme="minorEastAsia" w:hAnsi="Simplified Arabic"/>
          <w:rtl/>
        </w:rPr>
        <w:t>22</w:t>
      </w:r>
      <w:r w:rsidRPr="00121FB6">
        <w:rPr>
          <w:rFonts w:ascii="Simplified Arabic" w:eastAsiaTheme="minorEastAsia" w:hAnsi="Simplified Arabic"/>
          <w:rtl/>
        </w:rPr>
        <w:t xml:space="preserve"> حزيران/يونيه </w:t>
      </w:r>
      <w:r w:rsidRPr="007E20A0">
        <w:rPr>
          <w:rFonts w:ascii="Simplified Arabic" w:eastAsiaTheme="minorEastAsia" w:hAnsi="Simplified Arabic"/>
          <w:rtl/>
        </w:rPr>
        <w:t>2017</w:t>
      </w:r>
      <w:r w:rsidRPr="00121FB6">
        <w:rPr>
          <w:rFonts w:ascii="Simplified Arabic" w:eastAsiaTheme="minorEastAsia" w:hAnsi="Simplified Arabic"/>
          <w:rtl/>
        </w:rPr>
        <w:t>، إلى أن الإجراءات الجنائية المتخذة ضد صاحب البلاغ أمام المحكمة العليا كانت مشروعة تماماً وتمت في إطار النظام القانوني الكولومبي، في امتثال صارم للدستور والقوانين والسوابق القضائية الكولومبية، ومع إيلاء الاعتبار الواجب لحقوق الإنسان المكفولة لصاحب البلاغ بوصفه مواطناً ومدعى عليه</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19"/>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p>
    <w:p w14:paraId="70F03B3E" w14:textId="7E75814A"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وفيما يتعلق بعدم عقد جلسة استماع ثانية في الدعوى المقامة ضد صاحب البلاغ، تؤكد الدولة الطرف، وفقاً للسوابق القضائية للمحكمة الدستورية، أن محاكمة كبار المسؤولين أمام المحكمة العليا اعتُبرت دائماً الضمانة القصوى للإجراءات القانونية الواجبة، لأن المحكمة العليا هي أعلى محكمة في الاختصاص القانوني وطابعها الجماعي، على حد تعبير المحكمة الدستورية، يوفر بعض المزايا، مثل تمكين المدعى عليهم من تجنب أي أخطاء قد يرتكبها قضاة المحاكم الأدنى درجة، وتمنحهم فرصة طلب إجراء مراجعة قضائية بمجرد صدور حكم تنفيذي</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20"/>
      </w:r>
      <w:r>
        <w:rPr>
          <w:rStyle w:val="FootnoteReference"/>
          <w:rFonts w:ascii="Simplified Arabic" w:eastAsiaTheme="minorEastAsia" w:hAnsi="Simplified Arabic"/>
          <w:szCs w:val="22"/>
          <w:rtl/>
        </w:rPr>
        <w:t>)</w:t>
      </w:r>
      <w:r w:rsidR="003D6C6F" w:rsidRPr="003D6C6F">
        <w:rPr>
          <w:rStyle w:val="FootnoteReference"/>
          <w:rFonts w:ascii="Simplified Arabic" w:eastAsiaTheme="minorEastAsia" w:hAnsi="Simplified Arabic" w:hint="cs"/>
          <w:szCs w:val="22"/>
          <w:vertAlign w:val="baseline"/>
          <w:rtl/>
        </w:rPr>
        <w:t>.</w:t>
      </w:r>
    </w:p>
    <w:p w14:paraId="4B1DB89A" w14:textId="62DF2CEC"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5</w:t>
      </w:r>
      <w:r w:rsidRPr="00121FB6">
        <w:rPr>
          <w:rFonts w:ascii="Simplified Arabic" w:eastAsiaTheme="minorEastAsia" w:hAnsi="Simplified Arabic"/>
          <w:rtl/>
        </w:rPr>
        <w:tab/>
        <w:t xml:space="preserve">وتؤكد الدولة الطرف أن الشعبة الجنائية التابعة للمحكمة العليا أعلنت في جلسة سابقة للمحاكمة أن بعض الجرائم التي اتُهم بها صاحب البلاغ لاغية وباطلة، وذلك بسبب انتهاك الأصول القانونية والحق في الدفاع. وألغت الشعبة أيضاً الظروف المشددة التي تبيَّن أنها تنطبق على جريمة القتل، وبذلك دحضت الادعاء التعميمي لصاحب البلاغ أن حقوقه انتُهكت بسبب هذا الوضع. وتؤكد الدولة الطرف أن القانون الإجرائي الذي كان ينظم الإجراءات الجنائية آنذاك هو القانون رقم </w:t>
      </w:r>
      <w:r w:rsidRPr="007E20A0">
        <w:rPr>
          <w:rFonts w:ascii="Simplified Arabic" w:eastAsiaTheme="minorEastAsia" w:hAnsi="Simplified Arabic"/>
          <w:rtl/>
        </w:rPr>
        <w:t>600</w:t>
      </w:r>
      <w:r w:rsidRPr="00121FB6">
        <w:rPr>
          <w:rFonts w:ascii="Simplified Arabic" w:eastAsiaTheme="minorEastAsia" w:hAnsi="Simplified Arabic"/>
          <w:rtl/>
        </w:rPr>
        <w:t xml:space="preserve"> لعام </w:t>
      </w:r>
      <w:r w:rsidRPr="007E20A0">
        <w:rPr>
          <w:rFonts w:ascii="Simplified Arabic" w:eastAsiaTheme="minorEastAsia" w:hAnsi="Simplified Arabic"/>
          <w:rtl/>
        </w:rPr>
        <w:t>2000</w:t>
      </w:r>
      <w:r w:rsidRPr="00121FB6">
        <w:rPr>
          <w:rFonts w:ascii="Simplified Arabic" w:eastAsiaTheme="minorEastAsia" w:hAnsi="Simplified Arabic"/>
          <w:rtl/>
        </w:rPr>
        <w:t>، لأن القانون رقم</w:t>
      </w:r>
      <w:r w:rsidR="00684B6A">
        <w:rPr>
          <w:rFonts w:ascii="Simplified Arabic" w:eastAsiaTheme="minorEastAsia" w:hAnsi="Simplified Arabic" w:hint="cs"/>
          <w:rtl/>
        </w:rPr>
        <w:t> </w:t>
      </w:r>
      <w:r w:rsidRPr="007E20A0">
        <w:rPr>
          <w:rFonts w:ascii="Simplified Arabic" w:eastAsiaTheme="minorEastAsia" w:hAnsi="Simplified Arabic"/>
          <w:rtl/>
        </w:rPr>
        <w:t>906</w:t>
      </w:r>
      <w:r w:rsidRPr="00121FB6">
        <w:rPr>
          <w:rFonts w:ascii="Simplified Arabic" w:eastAsiaTheme="minorEastAsia" w:hAnsi="Simplified Arabic"/>
          <w:rtl/>
        </w:rPr>
        <w:t xml:space="preserve"> لعام </w:t>
      </w:r>
      <w:r w:rsidRPr="007E20A0">
        <w:rPr>
          <w:rFonts w:ascii="Simplified Arabic" w:eastAsiaTheme="minorEastAsia" w:hAnsi="Simplified Arabic"/>
          <w:rtl/>
        </w:rPr>
        <w:t>2004</w:t>
      </w:r>
      <w:r w:rsidRPr="00121FB6">
        <w:rPr>
          <w:rFonts w:ascii="Simplified Arabic" w:eastAsiaTheme="minorEastAsia" w:hAnsi="Simplified Arabic"/>
          <w:rtl/>
        </w:rPr>
        <w:t xml:space="preserve"> لم يكن قد دخل بعد حيز النفاذ، وبصرف النظر عن أي مزايا كان من الممكن أن يوفرها القانون الأخير لصاحب البلاغ، فإن القانون رقم </w:t>
      </w:r>
      <w:r w:rsidRPr="007E20A0">
        <w:rPr>
          <w:rFonts w:ascii="Simplified Arabic" w:eastAsiaTheme="minorEastAsia" w:hAnsi="Simplified Arabic"/>
          <w:rtl/>
        </w:rPr>
        <w:t>600</w:t>
      </w:r>
      <w:r w:rsidRPr="00121FB6">
        <w:rPr>
          <w:rFonts w:ascii="Simplified Arabic" w:eastAsiaTheme="minorEastAsia" w:hAnsi="Simplified Arabic"/>
          <w:rtl/>
        </w:rPr>
        <w:t xml:space="preserve"> يدعم أيض</w:t>
      </w:r>
      <w:r w:rsidR="002D0873">
        <w:rPr>
          <w:rFonts w:ascii="Simplified Arabic" w:eastAsiaTheme="minorEastAsia" w:hAnsi="Simplified Arabic"/>
          <w:rtl/>
        </w:rPr>
        <w:t xml:space="preserve">اً </w:t>
      </w:r>
      <w:r w:rsidRPr="00121FB6">
        <w:rPr>
          <w:rFonts w:ascii="Simplified Arabic" w:eastAsiaTheme="minorEastAsia" w:hAnsi="Simplified Arabic"/>
          <w:rtl/>
        </w:rPr>
        <w:t>حقوق الإنسان والحريات الأساسية للمتهمين الجنائيين.</w:t>
      </w:r>
    </w:p>
    <w:p w14:paraId="4E3FC82E" w14:textId="656DA122"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6</w:t>
      </w:r>
      <w:r w:rsidRPr="00121FB6">
        <w:rPr>
          <w:rFonts w:ascii="Simplified Arabic" w:eastAsiaTheme="minorEastAsia" w:hAnsi="Simplified Arabic"/>
          <w:rtl/>
        </w:rPr>
        <w:tab/>
        <w:t>وتؤكد الدولة الطرف أن الحكم، خلافاً لادعاءات صاحب البلاغ، لم يستند إلى شهادة وحيدة. ويتضح من قراءة الحكم أن مجموعة من الأدلة (إفادات الشهود والوثائق وعمليات التفتيش القضائي) قُدمت أثناء التحقيق والمحاكمة وجرى تقييمها وفق</w:t>
      </w:r>
      <w:r w:rsidR="002D0873">
        <w:rPr>
          <w:rFonts w:ascii="Simplified Arabic" w:eastAsiaTheme="minorEastAsia" w:hAnsi="Simplified Arabic"/>
          <w:rtl/>
        </w:rPr>
        <w:t xml:space="preserve">اً </w:t>
      </w:r>
      <w:r w:rsidRPr="00121FB6">
        <w:rPr>
          <w:rFonts w:ascii="Simplified Arabic" w:eastAsiaTheme="minorEastAsia" w:hAnsi="Simplified Arabic"/>
          <w:rtl/>
        </w:rPr>
        <w:t>لقواعد السلطة التقديرية القضائية السليمة.</w:t>
      </w:r>
    </w:p>
    <w:p w14:paraId="7FEF7D8D" w14:textId="38B80464"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7</w:t>
      </w:r>
      <w:r w:rsidRPr="00121FB6">
        <w:rPr>
          <w:rFonts w:ascii="Simplified Arabic" w:eastAsiaTheme="minorEastAsia" w:hAnsi="Simplified Arabic"/>
          <w:rtl/>
        </w:rPr>
        <w:tab/>
        <w:t>أما التصريحات التي تفيد بأن مساعد المدعي العام، الذي عُيِّن فيم</w:t>
      </w:r>
      <w:r w:rsidR="002D0873">
        <w:rPr>
          <w:rFonts w:ascii="Simplified Arabic" w:eastAsiaTheme="minorEastAsia" w:hAnsi="Simplified Arabic"/>
          <w:rtl/>
        </w:rPr>
        <w:t xml:space="preserve">ا </w:t>
      </w:r>
      <w:r w:rsidRPr="00121FB6">
        <w:rPr>
          <w:rFonts w:ascii="Simplified Arabic" w:eastAsiaTheme="minorEastAsia" w:hAnsi="Simplified Arabic"/>
          <w:rtl/>
        </w:rPr>
        <w:t>بعد قاضي</w:t>
      </w:r>
      <w:r w:rsidR="002D0873">
        <w:rPr>
          <w:rFonts w:ascii="Simplified Arabic" w:eastAsiaTheme="minorEastAsia" w:hAnsi="Simplified Arabic"/>
          <w:rtl/>
        </w:rPr>
        <w:t xml:space="preserve">اً </w:t>
      </w:r>
      <w:r w:rsidRPr="00121FB6">
        <w:rPr>
          <w:rFonts w:ascii="Simplified Arabic" w:eastAsiaTheme="minorEastAsia" w:hAnsi="Simplified Arabic"/>
          <w:rtl/>
        </w:rPr>
        <w:t>مساعد</w:t>
      </w:r>
      <w:r w:rsidR="002D0873">
        <w:rPr>
          <w:rFonts w:ascii="Simplified Arabic" w:eastAsiaTheme="minorEastAsia" w:hAnsi="Simplified Arabic"/>
          <w:rtl/>
        </w:rPr>
        <w:t xml:space="preserve">اً </w:t>
      </w:r>
      <w:r w:rsidRPr="00121FB6">
        <w:rPr>
          <w:rFonts w:ascii="Simplified Arabic" w:eastAsiaTheme="minorEastAsia" w:hAnsi="Simplified Arabic"/>
          <w:rtl/>
        </w:rPr>
        <w:t>في الشعبة، اضطلع بدور المدعي العام ودور القاضي في آن واحد، أو أن القضاة المساعدين هم الذين يحددون نتيجة الإجراءات القضائية، فلا تفيد إلا في إثبات جهل صاحب البلاغ بالمسائل الإجرائية والدستورية المعنية، وبالديناميات التشغيلية لإدارات شعبة الاستئناف الجنائي، مع مراعاة أن القضاة المساعدين ليس لديهم ا</w:t>
      </w:r>
      <w:r w:rsidRPr="00121FB6">
        <w:rPr>
          <w:rFonts w:ascii="Simplified Arabic" w:eastAsiaTheme="minorEastAsia" w:hAnsi="Simplified Arabic"/>
          <w:rtl/>
          <w:lang w:val="fr-CH"/>
        </w:rPr>
        <w:t>لا</w:t>
      </w:r>
      <w:r w:rsidRPr="00121FB6">
        <w:rPr>
          <w:rFonts w:ascii="Simplified Arabic" w:eastAsiaTheme="minorEastAsia" w:hAnsi="Simplified Arabic"/>
          <w:rtl/>
        </w:rPr>
        <w:t>ختصاص أو الأهلية للبت في القضايا التي يتناولها حصر</w:t>
      </w:r>
      <w:r w:rsidR="002D0873">
        <w:rPr>
          <w:rFonts w:ascii="Simplified Arabic" w:eastAsiaTheme="minorEastAsia" w:hAnsi="Simplified Arabic"/>
          <w:rtl/>
        </w:rPr>
        <w:t xml:space="preserve">اً </w:t>
      </w:r>
      <w:r w:rsidRPr="00121FB6">
        <w:rPr>
          <w:rFonts w:ascii="Simplified Arabic" w:eastAsiaTheme="minorEastAsia" w:hAnsi="Simplified Arabic"/>
          <w:rtl/>
        </w:rPr>
        <w:t xml:space="preserve">المحققون والقضاة والمحاكم الجنائية في كولومبيا. وتقتصر صلاحيات القضاة المساعدين على المساعدة في تسيير الإجراءات القضائية ووضع الخطط التي يوجهها ويحددها المسؤول عن هذه المسألة، مما يؤدي إلى تصنيف هؤلاء القضاة كموظفين لا كمسؤولين قضائيين. </w:t>
      </w:r>
    </w:p>
    <w:p w14:paraId="21B07932" w14:textId="2282A724" w:rsidR="00121FB6" w:rsidRPr="003D6C6F"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8</w:t>
      </w:r>
      <w:r w:rsidRPr="00121FB6">
        <w:rPr>
          <w:rFonts w:ascii="Simplified Arabic" w:eastAsiaTheme="minorEastAsia" w:hAnsi="Simplified Arabic"/>
          <w:rtl/>
        </w:rPr>
        <w:tab/>
        <w:t xml:space="preserve">وتشير الدولة الطرف إلى أن حقوق صاحب البلاغ بموجب العهد، على النحو الذي تبينه بوضوح وثائق المحاكمة المقدمة إلى اللجنة، لم تُنتهك أثناء الإجراءات القضائية. وتؤكد الدولة الطرف أنه لدى اكتشاف مخالفات إجرائية، اتُخذت تدابير بشأن البطلان لضمان احترام الحقوق الأساسية لصاحب البلاغ. ومُنح صاحب البلاغ كل ميزة ممكنة بموجب القانون الجنائي لكولومبيا. وتشير الدولة الطرف، على سبيل المثال، إلى القرار الصادر في </w:t>
      </w:r>
      <w:r w:rsidRPr="007E20A0">
        <w:rPr>
          <w:rFonts w:ascii="Simplified Arabic" w:eastAsiaTheme="minorEastAsia" w:hAnsi="Simplified Arabic"/>
          <w:rtl/>
        </w:rPr>
        <w:t>11</w:t>
      </w:r>
      <w:r w:rsidRPr="00121FB6">
        <w:rPr>
          <w:rFonts w:ascii="Simplified Arabic" w:eastAsiaTheme="minorEastAsia" w:hAnsi="Simplified Arabic"/>
          <w:rtl/>
        </w:rPr>
        <w:t xml:space="preserve"> حزيران/يونيه </w:t>
      </w:r>
      <w:r w:rsidRPr="007E20A0">
        <w:rPr>
          <w:rFonts w:ascii="Simplified Arabic" w:eastAsiaTheme="minorEastAsia" w:hAnsi="Simplified Arabic"/>
          <w:rtl/>
        </w:rPr>
        <w:t>2008</w:t>
      </w:r>
      <w:r w:rsidRPr="00121FB6">
        <w:rPr>
          <w:rFonts w:ascii="Simplified Arabic" w:eastAsiaTheme="minorEastAsia" w:hAnsi="Simplified Arabic"/>
          <w:rtl/>
        </w:rPr>
        <w:t>، الذي قضت فيه الشعبة الجنائية التابعة للمحكمة العليا بأن الإجراءات المتخذة، اعتباراً من بداية التحقيق، لاغية وباطلة لأن موظفاً ليست له أهلية التصرف اتخذها. ونتيجة لذلك، أُلغي التدبير الأمني المعني وصدر أمر بالإفراج الفوري عن صاحب البلاغ</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21"/>
      </w:r>
      <w:r>
        <w:rPr>
          <w:rStyle w:val="FootnoteReference"/>
          <w:rFonts w:ascii="Simplified Arabic" w:eastAsiaTheme="minorEastAsia" w:hAnsi="Simplified Arabic"/>
          <w:szCs w:val="22"/>
          <w:rtl/>
        </w:rPr>
        <w:t>)</w:t>
      </w:r>
      <w:r w:rsidR="003D6C6F">
        <w:rPr>
          <w:rStyle w:val="FootnoteReference"/>
          <w:rFonts w:ascii="Simplified Arabic" w:eastAsiaTheme="minorEastAsia" w:hAnsi="Simplified Arabic" w:hint="cs"/>
          <w:szCs w:val="22"/>
          <w:vertAlign w:val="baseline"/>
          <w:rtl/>
        </w:rPr>
        <w:t>.</w:t>
      </w:r>
    </w:p>
    <w:p w14:paraId="0A262718"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9</w:t>
      </w:r>
      <w:r w:rsidRPr="00121FB6">
        <w:rPr>
          <w:rFonts w:ascii="Simplified Arabic" w:eastAsiaTheme="minorEastAsia" w:hAnsi="Simplified Arabic"/>
          <w:rtl/>
        </w:rPr>
        <w:tab/>
        <w:t xml:space="preserve">وتدعي الدولة الطرف عدم حدوث أي انتهاك للمادتين </w:t>
      </w:r>
      <w:r w:rsidRPr="007E20A0">
        <w:rPr>
          <w:rFonts w:ascii="Simplified Arabic" w:eastAsiaTheme="minorEastAsia" w:hAnsi="Simplified Arabic"/>
          <w:rtl/>
        </w:rPr>
        <w:t>2</w:t>
      </w:r>
      <w:r w:rsidRPr="00121FB6">
        <w:rPr>
          <w:rFonts w:ascii="Simplified Arabic" w:eastAsiaTheme="minorEastAsia" w:hAnsi="Simplified Arabic"/>
          <w:rtl/>
        </w:rPr>
        <w:t xml:space="preserve"> و</w:t>
      </w:r>
      <w:r w:rsidRPr="007E20A0">
        <w:rPr>
          <w:rFonts w:ascii="Simplified Arabic" w:eastAsiaTheme="minorEastAsia" w:hAnsi="Simplified Arabic"/>
          <w:rtl/>
        </w:rPr>
        <w:t>3</w:t>
      </w:r>
      <w:r w:rsidRPr="00121FB6">
        <w:rPr>
          <w:rFonts w:ascii="Simplified Arabic" w:eastAsiaTheme="minorEastAsia" w:hAnsi="Simplified Arabic"/>
          <w:rtl/>
        </w:rPr>
        <w:t xml:space="preserve"> من العهد، لأنها احترمت وصانت حقوق صاحب البلاغ التي يكفلها العهد دون تمييز من أي نوع. </w:t>
      </w:r>
    </w:p>
    <w:p w14:paraId="74B67279" w14:textId="4EB14DA3"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10</w:t>
      </w:r>
      <w:r w:rsidRPr="00121FB6">
        <w:rPr>
          <w:rFonts w:ascii="Simplified Arabic" w:eastAsiaTheme="minorEastAsia" w:hAnsi="Simplified Arabic"/>
          <w:rtl/>
        </w:rPr>
        <w:tab/>
        <w:t xml:space="preserve">وفيما يتعلق بادعاء انتهاك المادة </w:t>
      </w:r>
      <w:r w:rsidRPr="007E20A0">
        <w:rPr>
          <w:rFonts w:ascii="Simplified Arabic" w:eastAsiaTheme="minorEastAsia" w:hAnsi="Simplified Arabic"/>
          <w:rtl/>
        </w:rPr>
        <w:t>9</w:t>
      </w:r>
      <w:r w:rsidRPr="00121FB6">
        <w:rPr>
          <w:rFonts w:ascii="Simplified Arabic" w:eastAsiaTheme="minorEastAsia" w:hAnsi="Simplified Arabic"/>
          <w:rtl/>
        </w:rPr>
        <w:t xml:space="preserve"> من العهد، ترى الدولة الطرف أن من الواضح أن صاحب البلاغ حُرم من حريته على أساس الإجراءات التي ينص عليها القانون ووفقاً لها، وأن أي ادعاء خلاف ذلك لا أساس له من الصحة</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22"/>
      </w:r>
      <w:r>
        <w:rPr>
          <w:rStyle w:val="FootnoteReference"/>
          <w:rFonts w:ascii="Simplified Arabic" w:eastAsiaTheme="minorEastAsia" w:hAnsi="Simplified Arabic"/>
          <w:szCs w:val="22"/>
          <w:rtl/>
        </w:rPr>
        <w:t>)</w:t>
      </w:r>
      <w:r w:rsidR="003D6C6F">
        <w:rPr>
          <w:rFonts w:ascii="Simplified Arabic" w:eastAsiaTheme="minorEastAsia" w:hAnsi="Simplified Arabic" w:hint="cs"/>
          <w:rtl/>
        </w:rPr>
        <w:t>.</w:t>
      </w:r>
      <w:r w:rsidRPr="00121FB6">
        <w:rPr>
          <w:rFonts w:ascii="Simplified Arabic" w:eastAsiaTheme="minorEastAsia" w:hAnsi="Simplified Arabic"/>
          <w:rtl/>
        </w:rPr>
        <w:t xml:space="preserve"> وترى الدولة الطرف أيضاً عدم وجود أي أساس للادعاء بأن المادة </w:t>
      </w:r>
      <w:r w:rsidRPr="007E20A0">
        <w:rPr>
          <w:rFonts w:ascii="Simplified Arabic" w:eastAsiaTheme="minorEastAsia" w:hAnsi="Simplified Arabic"/>
          <w:rtl/>
        </w:rPr>
        <w:t>26</w:t>
      </w:r>
      <w:r w:rsidRPr="00121FB6">
        <w:rPr>
          <w:rFonts w:ascii="Simplified Arabic" w:eastAsiaTheme="minorEastAsia" w:hAnsi="Simplified Arabic"/>
          <w:rtl/>
        </w:rPr>
        <w:t xml:space="preserve"> من العهد انتُهكت، لأن صاحب البلاغ، كما يتضح من ملف القضية، حظي بمعاملة كريمة وعادلة ومنصفة أثناء الإجراءات الجنائية، دون تمييز من أي نوع. </w:t>
      </w:r>
    </w:p>
    <w:p w14:paraId="165272FC" w14:textId="4708488E" w:rsidR="00121FB6" w:rsidRPr="003D6C6F"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11</w:t>
      </w:r>
      <w:r w:rsidRPr="00121FB6">
        <w:rPr>
          <w:rFonts w:ascii="Simplified Arabic" w:eastAsiaTheme="minorEastAsia" w:hAnsi="Simplified Arabic"/>
          <w:rtl/>
        </w:rPr>
        <w:tab/>
        <w:t>وتشير الدولة الطرف إلى أن المحكمة الدستورية وصفت الإجراءات القانونية الواجبة تجاه كبار المسؤولين الذين يمثُلون أمام المحكمة العليا بالعبارات التالية: "تشكل محاكمة كبار المسؤولين من قِبَل المحكمة العليا الضمان النهائي للإجراءات القانونية الواجبة، في مجملها، للأسباب التالية: '</w:t>
      </w:r>
      <w:r w:rsidRPr="007E20A0">
        <w:rPr>
          <w:rFonts w:ascii="Simplified Arabic" w:eastAsiaTheme="minorEastAsia" w:hAnsi="Simplified Arabic"/>
          <w:rtl/>
        </w:rPr>
        <w:t>1</w:t>
      </w:r>
      <w:r w:rsidRPr="00121FB6">
        <w:rPr>
          <w:rFonts w:ascii="Simplified Arabic" w:eastAsiaTheme="minorEastAsia" w:hAnsi="Simplified Arabic"/>
          <w:rtl/>
        </w:rPr>
        <w:t xml:space="preserve">' لأنها تكفل إجراء محاكمة تتناسب مع الوضع الهرمي للمسؤول، مع مراعاة أهمية المؤسسة التي ينتمي إليها، ومسؤولياته، وأهمية منصبه. ولهذا السبب، تحدد المادة </w:t>
      </w:r>
      <w:r w:rsidRPr="007E20A0">
        <w:rPr>
          <w:rFonts w:ascii="Simplified Arabic" w:eastAsiaTheme="minorEastAsia" w:hAnsi="Simplified Arabic"/>
          <w:rtl/>
        </w:rPr>
        <w:t>235</w:t>
      </w:r>
      <w:r w:rsidRPr="00121FB6">
        <w:rPr>
          <w:rFonts w:ascii="Simplified Arabic" w:eastAsiaTheme="minorEastAsia" w:hAnsi="Simplified Arabic"/>
          <w:rtl/>
        </w:rPr>
        <w:t xml:space="preserve"> من الدستور كبار موظفي الدولة الذين </w:t>
      </w:r>
      <w:r w:rsidRPr="009C3B0C">
        <w:rPr>
          <w:rFonts w:ascii="Simplified Arabic" w:eastAsiaTheme="minorEastAsia" w:hAnsi="Simplified Arabic"/>
          <w:spacing w:val="-4"/>
          <w:rtl/>
        </w:rPr>
        <w:t xml:space="preserve">يتمتعون بهذا الامتياز؛ </w:t>
      </w:r>
      <w:r w:rsidRPr="009C3B0C">
        <w:rPr>
          <w:rFonts w:ascii="Simplified Arabic" w:eastAsiaTheme="minorEastAsia" w:hAnsi="Simplified Arabic"/>
          <w:spacing w:val="-4"/>
        </w:rPr>
        <w:t>'</w:t>
      </w:r>
      <w:r w:rsidRPr="007E20A0">
        <w:rPr>
          <w:rFonts w:ascii="Simplified Arabic" w:eastAsiaTheme="minorEastAsia" w:hAnsi="Simplified Arabic"/>
          <w:spacing w:val="-4"/>
          <w:rtl/>
        </w:rPr>
        <w:t>2</w:t>
      </w:r>
      <w:r w:rsidRPr="009C3B0C">
        <w:rPr>
          <w:rFonts w:ascii="Simplified Arabic" w:eastAsiaTheme="minorEastAsia" w:hAnsi="Simplified Arabic"/>
          <w:spacing w:val="-4"/>
          <w:rtl/>
        </w:rPr>
        <w:t>' لأن هذه المحاكمات تجري أمام هيئة تعددية، لديها معرفة متخصصة بالموضوع،</w:t>
      </w:r>
      <w:r w:rsidRPr="00121FB6">
        <w:rPr>
          <w:rFonts w:ascii="Simplified Arabic" w:eastAsiaTheme="minorEastAsia" w:hAnsi="Simplified Arabic"/>
          <w:rtl/>
        </w:rPr>
        <w:t xml:space="preserve"> تتألف من مهنيين مؤهلين لتولي مناصب القضاة في أعلى محكمة في النظام القانوني العادي؛ </w:t>
      </w:r>
      <w:r w:rsidRPr="00121FB6">
        <w:rPr>
          <w:rFonts w:ascii="Simplified Arabic" w:eastAsiaTheme="minorEastAsia" w:hAnsi="Simplified Arabic"/>
        </w:rPr>
        <w:t>'</w:t>
      </w:r>
      <w:r w:rsidRPr="007E20A0">
        <w:rPr>
          <w:rFonts w:ascii="Simplified Arabic" w:eastAsiaTheme="minorEastAsia" w:hAnsi="Simplified Arabic"/>
          <w:rtl/>
        </w:rPr>
        <w:t>3</w:t>
      </w:r>
      <w:r w:rsidRPr="00121FB6">
        <w:rPr>
          <w:rFonts w:ascii="Simplified Arabic" w:eastAsiaTheme="minorEastAsia" w:hAnsi="Simplified Arabic"/>
          <w:rtl/>
        </w:rPr>
        <w:t>' لأن هذه المحاكمات تُعقد أمام محكمة الاستئناف النهائي في النظام القانوني العادي، وهي المحكمة المسؤولة عن تفسير القانون الجنائي وإنفاذه من خلال إجراء الاستئناف"</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23"/>
      </w:r>
      <w:r>
        <w:rPr>
          <w:rStyle w:val="FootnoteReference"/>
          <w:rFonts w:ascii="Simplified Arabic" w:eastAsiaTheme="minorEastAsia" w:hAnsi="Simplified Arabic"/>
          <w:szCs w:val="22"/>
          <w:rtl/>
        </w:rPr>
        <w:t>)</w:t>
      </w:r>
      <w:r w:rsidR="003D6C6F">
        <w:rPr>
          <w:rStyle w:val="FootnoteReference"/>
          <w:rFonts w:ascii="Simplified Arabic" w:eastAsiaTheme="minorEastAsia" w:hAnsi="Simplified Arabic" w:hint="cs"/>
          <w:szCs w:val="22"/>
          <w:vertAlign w:val="baseline"/>
          <w:rtl/>
        </w:rPr>
        <w:t>.</w:t>
      </w:r>
    </w:p>
    <w:p w14:paraId="7411FE18"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6</w:t>
      </w:r>
      <w:r w:rsidRPr="00121FB6">
        <w:rPr>
          <w:rFonts w:ascii="Simplified Arabic" w:eastAsiaTheme="minorEastAsia" w:hAnsi="Simplified Arabic"/>
          <w:rtl/>
        </w:rPr>
        <w:t>-</w:t>
      </w:r>
      <w:r w:rsidRPr="007E20A0">
        <w:rPr>
          <w:rFonts w:ascii="Simplified Arabic" w:eastAsiaTheme="minorEastAsia" w:hAnsi="Simplified Arabic"/>
          <w:rtl/>
        </w:rPr>
        <w:t>12</w:t>
      </w:r>
      <w:r w:rsidRPr="00121FB6">
        <w:rPr>
          <w:rFonts w:ascii="Simplified Arabic" w:eastAsiaTheme="minorEastAsia" w:hAnsi="Simplified Arabic"/>
          <w:rtl/>
        </w:rPr>
        <w:tab/>
        <w:t xml:space="preserve">وتكرر الدولة الطرف أنه يجوز لصاحب البلاغ، من الناحية القانونية، أن يطعن في الحكم أمام نفس المحكمة، وهي أعلى محكمة في الدولة، بتقديم طلب للمراجعة القضائية للحكم، على النحو المنصوص عليه في قانون الإجراءات الجنائية. وتلاحظ الدولة الطرف ادعاء صاحب البلاغ أنه حوكم وأُدين على أساس شهادة زور، وترى أن صاحب البلاغ ينبغي له، على هذا الأساس، أن يتخذ إجراء قانونياً على المستوى المحلي للطعن في إدانته - وذلك بطلب إجراء مراجعة قضائية، وهو ما يشكل، رسمياً، سبيل الانتصاف المناسب في مثل هذه الحالات. </w:t>
      </w:r>
    </w:p>
    <w:p w14:paraId="714DC2AC" w14:textId="77777777" w:rsidR="00121FB6" w:rsidRPr="00121FB6" w:rsidRDefault="00121FB6" w:rsidP="00685986">
      <w:pPr>
        <w:pStyle w:val="H23GA"/>
        <w:rPr>
          <w:lang w:val="ar-SA" w:eastAsia="zh-TW" w:bidi="en-GB"/>
        </w:rPr>
      </w:pPr>
      <w:r w:rsidRPr="00121FB6">
        <w:rPr>
          <w:rtl/>
        </w:rPr>
        <w:tab/>
      </w:r>
      <w:r w:rsidRPr="00121FB6">
        <w:rPr>
          <w:rtl/>
        </w:rPr>
        <w:tab/>
        <w:t>القضايا والإجراءات المعروضة على اللجنة</w:t>
      </w:r>
    </w:p>
    <w:p w14:paraId="4F322650" w14:textId="77777777" w:rsidR="00121FB6" w:rsidRPr="00121FB6" w:rsidRDefault="00121FB6" w:rsidP="00685986">
      <w:pPr>
        <w:pStyle w:val="H4GA"/>
        <w:rPr>
          <w:lang w:val="ar-SA" w:eastAsia="zh-TW" w:bidi="en-GB"/>
        </w:rPr>
      </w:pPr>
      <w:r w:rsidRPr="00121FB6">
        <w:rPr>
          <w:rtl/>
        </w:rPr>
        <w:tab/>
      </w:r>
      <w:r w:rsidRPr="00121FB6">
        <w:rPr>
          <w:rtl/>
        </w:rPr>
        <w:tab/>
        <w:t>النظر في المقبولية</w:t>
      </w:r>
    </w:p>
    <w:p w14:paraId="51F49F35" w14:textId="7294859F"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7</w:t>
      </w:r>
      <w:r w:rsidRPr="00121FB6">
        <w:rPr>
          <w:rFonts w:ascii="Simplified Arabic" w:eastAsiaTheme="minorEastAsia" w:hAnsi="Simplified Arabic"/>
          <w:rtl/>
        </w:rPr>
        <w:t>-</w:t>
      </w:r>
      <w:r w:rsidRPr="007E20A0">
        <w:rPr>
          <w:rFonts w:ascii="Simplified Arabic" w:eastAsiaTheme="minorEastAsia" w:hAnsi="Simplified Arabic"/>
          <w:rtl/>
        </w:rPr>
        <w:t>1</w:t>
      </w:r>
      <w:r w:rsidRPr="00121FB6">
        <w:rPr>
          <w:rFonts w:ascii="Simplified Arabic" w:eastAsiaTheme="minorEastAsia" w:hAnsi="Simplified Arabic"/>
          <w:rtl/>
        </w:rPr>
        <w:tab/>
        <w:t>قبل النظر في أي ادعاء يرِد في بلاغ ما، يجب على اللجنة أن تقرر، وفقاً لما تقتضيه المادة</w:t>
      </w:r>
      <w:r w:rsidR="002D0873">
        <w:rPr>
          <w:rFonts w:ascii="Simplified Arabic" w:eastAsiaTheme="minorEastAsia" w:hAnsi="Simplified Arabic" w:hint="cs"/>
          <w:rtl/>
        </w:rPr>
        <w:t> </w:t>
      </w:r>
      <w:r w:rsidRPr="007E20A0">
        <w:rPr>
          <w:rFonts w:ascii="Simplified Arabic" w:eastAsiaTheme="minorEastAsia" w:hAnsi="Simplified Arabic"/>
          <w:rtl/>
        </w:rPr>
        <w:t>97</w:t>
      </w:r>
      <w:r w:rsidRPr="00121FB6">
        <w:rPr>
          <w:rFonts w:ascii="Simplified Arabic" w:eastAsiaTheme="minorEastAsia" w:hAnsi="Simplified Arabic"/>
          <w:rtl/>
        </w:rPr>
        <w:t xml:space="preserve"> من نظامها الداخلي، ما إذا كان البلاغ مقبولاً أم لا بموجب البروتوكول الاختياري.</w:t>
      </w:r>
      <w:r w:rsidRPr="00121FB6">
        <w:rPr>
          <w:rFonts w:eastAsiaTheme="minorEastAsia" w:cs="Times New Roman" w:hint="cs"/>
          <w:rtl/>
        </w:rPr>
        <w:t>‬</w:t>
      </w:r>
    </w:p>
    <w:p w14:paraId="308C8D6B" w14:textId="5DFEF0AE" w:rsidR="00121FB6" w:rsidRPr="00685986" w:rsidRDefault="00121FB6" w:rsidP="00121FB6">
      <w:pPr>
        <w:pStyle w:val="SingleTxtGA"/>
        <w:rPr>
          <w:rFonts w:ascii="Simplified Arabic" w:eastAsiaTheme="minorEastAsia" w:hAnsi="Simplified Arabic"/>
          <w:spacing w:val="-4"/>
          <w:lang w:val="ar-SA" w:eastAsia="zh-TW" w:bidi="en-GB"/>
        </w:rPr>
      </w:pPr>
      <w:r w:rsidRPr="00685986">
        <w:rPr>
          <w:rFonts w:ascii="Simplified Arabic" w:eastAsiaTheme="minorEastAsia" w:hAnsi="Simplified Arabic"/>
          <w:spacing w:val="-4"/>
          <w:rtl/>
        </w:rPr>
        <w:t>7-2</w:t>
      </w:r>
      <w:r w:rsidRPr="00685986">
        <w:rPr>
          <w:rFonts w:ascii="Simplified Arabic" w:eastAsiaTheme="minorEastAsia" w:hAnsi="Simplified Arabic"/>
          <w:spacing w:val="-4"/>
          <w:rtl/>
        </w:rPr>
        <w:tab/>
        <w:t>ويجب على اللجنة، عملاً بالفقرة 2(أ) من المادة 5 من البروتوكول الاختياري، أن تتيقن من أن المسألة ذاتها ليست قيد البحث في إطار أي إجراء آخر من إجراءات التحقيق الدولي أو التسوية الدولية. وتلاحظ اللجنة ادعاء الدولة الطرف أن صاحب البلاغ قدم في 30 أيلول/سبتمبر 2011 شكوى إلى لجنة البلدان الأمريكية لحقوق الإنسان بشأن نفس الوقائع والادعاءات الواردة في الشكوى المعروضة على اللجنة</w:t>
      </w:r>
      <w:r w:rsidRPr="00685986">
        <w:rPr>
          <w:rStyle w:val="FootnoteReference"/>
          <w:rFonts w:ascii="Simplified Arabic" w:eastAsiaTheme="minorEastAsia" w:hAnsi="Simplified Arabic"/>
          <w:spacing w:val="-4"/>
          <w:szCs w:val="22"/>
          <w:rtl/>
        </w:rPr>
        <w:t>(</w:t>
      </w:r>
      <w:r w:rsidRPr="00685986">
        <w:rPr>
          <w:rStyle w:val="FootnoteReference"/>
          <w:rFonts w:ascii="Simplified Arabic" w:eastAsiaTheme="minorEastAsia" w:hAnsi="Simplified Arabic"/>
          <w:spacing w:val="-4"/>
          <w:szCs w:val="22"/>
          <w:rtl/>
        </w:rPr>
        <w:footnoteReference w:id="24"/>
      </w:r>
      <w:r w:rsidRPr="00685986">
        <w:rPr>
          <w:rStyle w:val="FootnoteReference"/>
          <w:rFonts w:ascii="Simplified Arabic" w:eastAsiaTheme="minorEastAsia" w:hAnsi="Simplified Arabic"/>
          <w:spacing w:val="-4"/>
          <w:szCs w:val="22"/>
          <w:rtl/>
        </w:rPr>
        <w:t>)</w:t>
      </w:r>
      <w:r w:rsidR="003D6C6F" w:rsidRPr="00685986">
        <w:rPr>
          <w:rFonts w:ascii="Simplified Arabic" w:eastAsiaTheme="minorEastAsia" w:hAnsi="Simplified Arabic" w:hint="cs"/>
          <w:spacing w:val="-4"/>
          <w:rtl/>
        </w:rPr>
        <w:t>.</w:t>
      </w:r>
      <w:r w:rsidRPr="00685986">
        <w:rPr>
          <w:rFonts w:ascii="Simplified Arabic" w:eastAsiaTheme="minorEastAsia" w:hAnsi="Simplified Arabic"/>
          <w:spacing w:val="-4"/>
          <w:rtl/>
        </w:rPr>
        <w:t xml:space="preserve"> وتلاحظ اللجنة، على وجه الخصوص، من واقع ما ورد في رسالة منسق الفريق المسؤول عن متابعة قرارات الهيئات الدولية للدولة الطرف، المؤرخة 19 كانون الثاني/يناير 2017، أن وقائع القضية المعروضة على لجنة البلدان الأمريكية تتعلق بالانتهاكات المزعومة للحق في الضمانات القضائية والحماية القضائية، وبعدم الوفاء بالالتزام باعتماد أحكام بموجب القانون المحلي، وكلها تتعلق بالالتزام باحترام وضمان الحقوق المنصوص عليها في الاتفاقية الأمريكية لحقوق الإنسان، وتنبع من مخالفات مزعومة في التحقيق في سلوك صاحب البلاغ في سياق التحقيق والإجراءات الجنائية التي هي موضوع هذا البلاغ.</w:t>
      </w:r>
    </w:p>
    <w:p w14:paraId="1B1A218F"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7</w:t>
      </w:r>
      <w:r w:rsidRPr="00121FB6">
        <w:rPr>
          <w:rFonts w:ascii="Simplified Arabic" w:eastAsiaTheme="minorEastAsia" w:hAnsi="Simplified Arabic"/>
          <w:rtl/>
        </w:rPr>
        <w:t>-</w:t>
      </w:r>
      <w:r w:rsidRPr="007E20A0">
        <w:rPr>
          <w:rFonts w:ascii="Simplified Arabic" w:eastAsiaTheme="minorEastAsia" w:hAnsi="Simplified Arabic"/>
          <w:rtl/>
        </w:rPr>
        <w:t>3</w:t>
      </w:r>
      <w:r w:rsidRPr="00121FB6">
        <w:rPr>
          <w:rFonts w:ascii="Simplified Arabic" w:eastAsiaTheme="minorEastAsia" w:hAnsi="Simplified Arabic"/>
          <w:rtl/>
        </w:rPr>
        <w:tab/>
        <w:t xml:space="preserve">وتلاحظ اللجنة أن صاحب البلاغ ذكر في شكواه الأولية، عند تقديمها، أن وقائع بلاغه لم تُقدم لبحثها في إطار إجراء آخر من إجراءات التحقيق الدولي أو التسوية الدولية، وأن صاحب البلاغ أشار في تعليقاته المقدمة في </w:t>
      </w:r>
      <w:r w:rsidRPr="007E20A0">
        <w:rPr>
          <w:rFonts w:ascii="Simplified Arabic" w:eastAsiaTheme="minorEastAsia" w:hAnsi="Simplified Arabic"/>
          <w:rtl/>
        </w:rPr>
        <w:t>2</w:t>
      </w:r>
      <w:r w:rsidRPr="00121FB6">
        <w:rPr>
          <w:rFonts w:ascii="Simplified Arabic" w:eastAsiaTheme="minorEastAsia" w:hAnsi="Simplified Arabic"/>
          <w:rtl/>
        </w:rPr>
        <w:t xml:space="preserve"> نيسان/أبريل </w:t>
      </w:r>
      <w:r w:rsidRPr="007E20A0">
        <w:rPr>
          <w:rFonts w:ascii="Simplified Arabic" w:eastAsiaTheme="minorEastAsia" w:hAnsi="Simplified Arabic"/>
          <w:rtl/>
        </w:rPr>
        <w:t>2017</w:t>
      </w:r>
      <w:r w:rsidRPr="00121FB6">
        <w:rPr>
          <w:rFonts w:ascii="Simplified Arabic" w:eastAsiaTheme="minorEastAsia" w:hAnsi="Simplified Arabic"/>
          <w:rtl/>
        </w:rPr>
        <w:t xml:space="preserve"> إلى أن الالتماس الفردي المقدم إلى لجنة البلدان الأمريكية لحقوق الإنسان في أيلول/سبتمبر </w:t>
      </w:r>
      <w:r w:rsidRPr="007E20A0">
        <w:rPr>
          <w:rFonts w:ascii="Simplified Arabic" w:eastAsiaTheme="minorEastAsia" w:hAnsi="Simplified Arabic"/>
          <w:rtl/>
        </w:rPr>
        <w:t>2011</w:t>
      </w:r>
      <w:r w:rsidRPr="00121FB6">
        <w:rPr>
          <w:rFonts w:ascii="Simplified Arabic" w:eastAsiaTheme="minorEastAsia" w:hAnsi="Simplified Arabic"/>
          <w:rtl/>
        </w:rPr>
        <w:t xml:space="preserve"> يتعلق بوقائع وادعاءات مختلفة. غير أن اللجنة تلاحظ أن صاحب البلاغ لم يقدم أي معلومات محددة أو نسخة من الالتماس المقدم إلى لجنة البلدان الأمريكية لدعم ادعائه أن التماسه يتعلق بوقائع وادعاءات تختلف عن تلك المقدمة إلى اللجنة. </w:t>
      </w:r>
    </w:p>
    <w:p w14:paraId="54861CB3" w14:textId="2111D7C8"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7</w:t>
      </w:r>
      <w:r w:rsidRPr="00121FB6">
        <w:rPr>
          <w:rFonts w:ascii="Simplified Arabic" w:eastAsiaTheme="minorEastAsia" w:hAnsi="Simplified Arabic"/>
          <w:rtl/>
        </w:rPr>
        <w:t>-</w:t>
      </w:r>
      <w:r w:rsidRPr="007E20A0">
        <w:rPr>
          <w:rFonts w:ascii="Simplified Arabic" w:eastAsiaTheme="minorEastAsia" w:hAnsi="Simplified Arabic"/>
          <w:rtl/>
        </w:rPr>
        <w:t>4</w:t>
      </w:r>
      <w:r w:rsidRPr="00121FB6">
        <w:rPr>
          <w:rFonts w:ascii="Simplified Arabic" w:eastAsiaTheme="minorEastAsia" w:hAnsi="Simplified Arabic"/>
          <w:rtl/>
        </w:rPr>
        <w:tab/>
        <w:t>وتذكِّر اللجنة باجتهادها القضائي الذي رأت فيه أن "المسألة نفسها" تشير إلى التماس يتعلق بنفس الأفراد والوقائع والحقوق الموضوعية</w:t>
      </w:r>
      <w:r>
        <w:rPr>
          <w:rStyle w:val="FootnoteReference"/>
          <w:rFonts w:ascii="Simplified Arabic" w:eastAsiaTheme="minorEastAsia" w:hAnsi="Simplified Arabic"/>
          <w:szCs w:val="22"/>
          <w:rtl/>
        </w:rPr>
        <w:t>(</w:t>
      </w:r>
      <w:r w:rsidRPr="007E20A0">
        <w:rPr>
          <w:rStyle w:val="FootnoteReference"/>
          <w:rFonts w:ascii="Simplified Arabic" w:eastAsiaTheme="minorEastAsia" w:hAnsi="Simplified Arabic"/>
          <w:szCs w:val="22"/>
          <w:rtl/>
        </w:rPr>
        <w:footnoteReference w:id="25"/>
      </w:r>
      <w:r>
        <w:rPr>
          <w:rStyle w:val="FootnoteReference"/>
          <w:rFonts w:ascii="Simplified Arabic" w:eastAsiaTheme="minorEastAsia" w:hAnsi="Simplified Arabic"/>
          <w:szCs w:val="22"/>
          <w:rtl/>
        </w:rPr>
        <w:t>)</w:t>
      </w:r>
      <w:r>
        <w:rPr>
          <w:rFonts w:ascii="Simplified Arabic" w:eastAsiaTheme="minorEastAsia" w:hAnsi="Simplified Arabic" w:hint="cs"/>
          <w:rtl/>
        </w:rPr>
        <w:t>.</w:t>
      </w:r>
      <w:r w:rsidRPr="00121FB6">
        <w:rPr>
          <w:rFonts w:ascii="Simplified Arabic" w:eastAsiaTheme="minorEastAsia" w:hAnsi="Simplified Arabic"/>
          <w:rtl/>
        </w:rPr>
        <w:t xml:space="preserve"> وبما أن الدولة الطرف تؤكد أن الشكوى المقدمة إلى لجنة البلدان الأمريكية لحقوق الإنسان تشير إلى وقائع وادعاءات مماثلة لتلك التي قُدمت إلى اللجنة، وبما أن صاحب البلاغ لم يقدم أي معلومات عن المحتوى المحدد للشكوى المقدمة إلى لجنة البلدان الأمريكية يمكن أن تشكِّل تفنيداً مفصلاً لتأكيد الدولة الطرف، ترى اللجنة أنه ينبغي إيلاء الاعتبار الواجب لادعاءات الدولة الطرف. وتأسف اللجنة لأن صاحب البلاغ لم يبلغها منذ البداية بأنه قدم شكوى إلى لجنة البلدان الأمريكية، ولأنه لم يقدم بعد ذلك أي معلومات إلى اللجنة لإثبات أن شكواه مختلفة، كما يدعي. وبناءً على ذلك، وبالنظر إلى الظروف الخاصة للقضية، ترى اللجنة أن البلاغ غير مقبول بموجب المادة</w:t>
      </w:r>
      <w:r w:rsidR="003D6C6F">
        <w:rPr>
          <w:rFonts w:ascii="Simplified Arabic" w:eastAsiaTheme="minorEastAsia" w:hAnsi="Simplified Arabic" w:hint="cs"/>
          <w:rtl/>
        </w:rPr>
        <w:t> </w:t>
      </w:r>
      <w:r w:rsidRPr="007E20A0">
        <w:rPr>
          <w:rFonts w:ascii="Simplified Arabic" w:eastAsiaTheme="minorEastAsia" w:hAnsi="Simplified Arabic"/>
          <w:rtl/>
        </w:rPr>
        <w:t>5</w:t>
      </w:r>
      <w:r w:rsidRPr="00121FB6">
        <w:rPr>
          <w:rFonts w:ascii="Simplified Arabic" w:eastAsiaTheme="minorEastAsia" w:hAnsi="Simplified Arabic"/>
          <w:rtl/>
        </w:rPr>
        <w:t>(</w:t>
      </w:r>
      <w:r w:rsidRPr="007E20A0">
        <w:rPr>
          <w:rFonts w:ascii="Simplified Arabic" w:eastAsiaTheme="minorEastAsia" w:hAnsi="Simplified Arabic"/>
          <w:rtl/>
        </w:rPr>
        <w:t>2</w:t>
      </w:r>
      <w:r w:rsidRPr="00121FB6">
        <w:rPr>
          <w:rFonts w:ascii="Simplified Arabic" w:eastAsiaTheme="minorEastAsia" w:hAnsi="Simplified Arabic"/>
          <w:rtl/>
        </w:rPr>
        <w:t xml:space="preserve">)(أ) من البروتوكول الاختياري، لأن المسألة نفسها عُرضت من قبل على لجنة البلدان الأمريكية لحقوق الإنسان، التي هي هيئة إقليمية لتسوية المنازعات، وبموجب المادة </w:t>
      </w:r>
      <w:r w:rsidRPr="007E20A0">
        <w:rPr>
          <w:rFonts w:ascii="Simplified Arabic" w:eastAsiaTheme="minorEastAsia" w:hAnsi="Simplified Arabic"/>
          <w:rtl/>
        </w:rPr>
        <w:t>3</w:t>
      </w:r>
      <w:r w:rsidRPr="00121FB6">
        <w:rPr>
          <w:rFonts w:ascii="Simplified Arabic" w:eastAsiaTheme="minorEastAsia" w:hAnsi="Simplified Arabic"/>
          <w:rtl/>
        </w:rPr>
        <w:t xml:space="preserve"> من البروتوكول الاختياري، لأن عدم موافاة صاحب البلاغ اللجنة بمعلومات عن شكواه المقدمة إلى لجنة البلدان الأمريكية يشكل إساءة استخدام للحق في تقديم بلاغ.</w:t>
      </w:r>
    </w:p>
    <w:p w14:paraId="3807F03F" w14:textId="77777777" w:rsidR="00121FB6" w:rsidRPr="00121FB6" w:rsidRDefault="00121FB6" w:rsidP="00121FB6">
      <w:pPr>
        <w:pStyle w:val="SingleTxtGA"/>
        <w:rPr>
          <w:rFonts w:ascii="Simplified Arabic" w:eastAsiaTheme="minorEastAsia" w:hAnsi="Simplified Arabic"/>
          <w:lang w:val="ar-SA" w:eastAsia="zh-TW" w:bidi="en-GB"/>
        </w:rPr>
      </w:pPr>
      <w:r w:rsidRPr="007E20A0">
        <w:rPr>
          <w:rFonts w:ascii="Simplified Arabic" w:eastAsiaTheme="minorEastAsia" w:hAnsi="Simplified Arabic"/>
          <w:rtl/>
        </w:rPr>
        <w:t>8</w:t>
      </w:r>
      <w:r w:rsidRPr="00121FB6">
        <w:rPr>
          <w:rFonts w:ascii="Simplified Arabic" w:eastAsiaTheme="minorEastAsia" w:hAnsi="Simplified Arabic"/>
          <w:rtl/>
        </w:rPr>
        <w:t>-</w:t>
      </w:r>
      <w:r w:rsidRPr="00121FB6">
        <w:rPr>
          <w:rFonts w:ascii="Simplified Arabic" w:eastAsiaTheme="minorEastAsia" w:hAnsi="Simplified Arabic"/>
          <w:rtl/>
        </w:rPr>
        <w:tab/>
        <w:t>ولذلك، تقرر اللجنة المعنية بحقوق الإنسان ما يلي:</w:t>
      </w:r>
    </w:p>
    <w:p w14:paraId="239865F9" w14:textId="561A05F8" w:rsidR="00121FB6" w:rsidRPr="00121FB6" w:rsidRDefault="00A0600E" w:rsidP="00121FB6">
      <w:pPr>
        <w:pStyle w:val="SingleTxtGA"/>
        <w:rPr>
          <w:rFonts w:ascii="Simplified Arabic" w:eastAsiaTheme="minorEastAsia" w:hAnsi="Simplified Arabic"/>
          <w:lang w:val="ar-SA" w:eastAsia="zh-TW" w:bidi="en-GB"/>
        </w:rPr>
      </w:pPr>
      <w:r>
        <w:rPr>
          <w:rFonts w:ascii="Simplified Arabic" w:eastAsiaTheme="minorEastAsia" w:hAnsi="Simplified Arabic"/>
          <w:rtl/>
        </w:rPr>
        <w:tab/>
      </w:r>
      <w:r w:rsidR="003D6C6F">
        <w:rPr>
          <w:rFonts w:ascii="Simplified Arabic" w:eastAsiaTheme="minorEastAsia" w:hAnsi="Simplified Arabic"/>
          <w:rtl/>
        </w:rPr>
        <w:t>(</w:t>
      </w:r>
      <w:r w:rsidR="00121FB6" w:rsidRPr="00121FB6">
        <w:rPr>
          <w:rFonts w:ascii="Simplified Arabic" w:eastAsiaTheme="minorEastAsia" w:hAnsi="Simplified Arabic"/>
          <w:rtl/>
        </w:rPr>
        <w:t>أ)</w:t>
      </w:r>
      <w:r w:rsidR="00121FB6" w:rsidRPr="00121FB6">
        <w:rPr>
          <w:rFonts w:ascii="Simplified Arabic" w:eastAsiaTheme="minorEastAsia" w:hAnsi="Simplified Arabic"/>
          <w:rtl/>
        </w:rPr>
        <w:tab/>
        <w:t xml:space="preserve">عدم مقبولية البلاغ بموجب المادتين </w:t>
      </w:r>
      <w:r w:rsidR="00121FB6" w:rsidRPr="007E20A0">
        <w:rPr>
          <w:rFonts w:ascii="Simplified Arabic" w:eastAsiaTheme="minorEastAsia" w:hAnsi="Simplified Arabic"/>
          <w:rtl/>
        </w:rPr>
        <w:t>3</w:t>
      </w:r>
      <w:r w:rsidR="00121FB6" w:rsidRPr="00121FB6">
        <w:rPr>
          <w:rFonts w:ascii="Simplified Arabic" w:eastAsiaTheme="minorEastAsia" w:hAnsi="Simplified Arabic"/>
          <w:rtl/>
        </w:rPr>
        <w:t xml:space="preserve"> و</w:t>
      </w:r>
      <w:r w:rsidR="00121FB6" w:rsidRPr="007E20A0">
        <w:rPr>
          <w:rFonts w:ascii="Simplified Arabic" w:eastAsiaTheme="minorEastAsia" w:hAnsi="Simplified Arabic"/>
          <w:rtl/>
        </w:rPr>
        <w:t>5</w:t>
      </w:r>
      <w:r w:rsidR="00121FB6" w:rsidRPr="00121FB6">
        <w:rPr>
          <w:rFonts w:ascii="Simplified Arabic" w:eastAsiaTheme="minorEastAsia" w:hAnsi="Simplified Arabic"/>
          <w:rtl/>
        </w:rPr>
        <w:t>(</w:t>
      </w:r>
      <w:r w:rsidR="00121FB6" w:rsidRPr="007E20A0">
        <w:rPr>
          <w:rFonts w:ascii="Simplified Arabic" w:eastAsiaTheme="minorEastAsia" w:hAnsi="Simplified Arabic"/>
          <w:rtl/>
        </w:rPr>
        <w:t>2</w:t>
      </w:r>
      <w:r w:rsidR="00121FB6" w:rsidRPr="00121FB6">
        <w:rPr>
          <w:rFonts w:ascii="Simplified Arabic" w:eastAsiaTheme="minorEastAsia" w:hAnsi="Simplified Arabic"/>
          <w:rtl/>
        </w:rPr>
        <w:t>)(أ) من البروتوكول الاختياري؛</w:t>
      </w:r>
    </w:p>
    <w:p w14:paraId="288CC711" w14:textId="3F63D096" w:rsidR="00121FB6" w:rsidRDefault="00A0600E" w:rsidP="00121FB6">
      <w:pPr>
        <w:pStyle w:val="SingleTxtGA"/>
        <w:rPr>
          <w:rFonts w:ascii="Simplified Arabic" w:eastAsiaTheme="minorEastAsia" w:hAnsi="Simplified Arabic"/>
          <w:lang w:val="en-US" w:eastAsia="zh-TW" w:bidi="en-GB"/>
        </w:rPr>
      </w:pPr>
      <w:r>
        <w:rPr>
          <w:rFonts w:ascii="Simplified Arabic" w:eastAsiaTheme="minorEastAsia" w:hAnsi="Simplified Arabic"/>
          <w:rtl/>
        </w:rPr>
        <w:tab/>
      </w:r>
      <w:r w:rsidR="003D6C6F">
        <w:rPr>
          <w:rFonts w:ascii="Simplified Arabic" w:eastAsiaTheme="minorEastAsia" w:hAnsi="Simplified Arabic"/>
          <w:rtl/>
        </w:rPr>
        <w:t>(</w:t>
      </w:r>
      <w:r w:rsidR="00121FB6" w:rsidRPr="00121FB6">
        <w:rPr>
          <w:rFonts w:ascii="Simplified Arabic" w:eastAsiaTheme="minorEastAsia" w:hAnsi="Simplified Arabic"/>
          <w:rtl/>
        </w:rPr>
        <w:t>ب)</w:t>
      </w:r>
      <w:r w:rsidR="00121FB6" w:rsidRPr="00121FB6">
        <w:rPr>
          <w:rFonts w:ascii="Simplified Arabic" w:eastAsiaTheme="minorEastAsia" w:hAnsi="Simplified Arabic"/>
          <w:rtl/>
        </w:rPr>
        <w:tab/>
        <w:t>إحالة هذا القرار إلى الدولة الطرف وإلى صاحب البلاغ.</w:t>
      </w:r>
    </w:p>
    <w:p w14:paraId="009F5512" w14:textId="7B8F4BA8" w:rsidR="00121FB6" w:rsidRPr="00121FB6" w:rsidRDefault="00121FB6" w:rsidP="00121FB6">
      <w:pPr>
        <w:pStyle w:val="SingleTxtGA"/>
        <w:jc w:val="center"/>
        <w:rPr>
          <w:u w:val="single"/>
          <w:rtl/>
          <w:lang w:eastAsia="zh-TW"/>
        </w:rPr>
      </w:pPr>
      <w:r>
        <w:rPr>
          <w:u w:val="single"/>
          <w:rtl/>
          <w:lang w:eastAsia="zh-TW"/>
        </w:rPr>
        <w:tab/>
      </w:r>
      <w:r>
        <w:rPr>
          <w:u w:val="single"/>
          <w:rtl/>
          <w:lang w:eastAsia="zh-TW"/>
        </w:rPr>
        <w:tab/>
      </w:r>
      <w:r>
        <w:rPr>
          <w:u w:val="single"/>
          <w:rtl/>
          <w:lang w:eastAsia="zh-TW"/>
        </w:rPr>
        <w:tab/>
      </w:r>
    </w:p>
    <w:sectPr w:rsidR="00121FB6" w:rsidRPr="00121FB6" w:rsidSect="00D4235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CCEB" w14:textId="77777777" w:rsidR="00455E6D" w:rsidRPr="002901D9" w:rsidRDefault="00455E6D" w:rsidP="00DC4D4B">
      <w:pPr>
        <w:spacing w:after="60" w:line="240" w:lineRule="auto"/>
        <w:ind w:left="57"/>
        <w:rPr>
          <w:i/>
          <w:iCs/>
        </w:rPr>
      </w:pPr>
      <w:r>
        <w:rPr>
          <w:rFonts w:hint="cs"/>
          <w:i/>
          <w:iCs/>
          <w:rtl/>
        </w:rPr>
        <w:t>الحواشي</w:t>
      </w:r>
    </w:p>
  </w:endnote>
  <w:endnote w:type="continuationSeparator" w:id="0">
    <w:p w14:paraId="3D47591B" w14:textId="77777777" w:rsidR="00455E6D" w:rsidRDefault="00455E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009C" w14:textId="1429B71D" w:rsidR="00D42359" w:rsidRPr="00D42359" w:rsidRDefault="00D42359" w:rsidP="00D42359">
    <w:pPr>
      <w:pStyle w:val="Footer"/>
      <w:tabs>
        <w:tab w:val="right" w:pos="9638"/>
      </w:tabs>
      <w:rPr>
        <w:b/>
        <w:sz w:val="18"/>
        <w:lang w:val="en-US"/>
      </w:rPr>
    </w:pPr>
    <w:r>
      <w:rPr>
        <w:lang w:val="en-US"/>
      </w:rPr>
      <w:t>GE.</w:t>
    </w:r>
    <w:r w:rsidRPr="007E20A0">
      <w:rPr>
        <w:lang w:val="en-US"/>
      </w:rPr>
      <w:t>20</w:t>
    </w:r>
    <w:r>
      <w:rPr>
        <w:lang w:val="en-US"/>
      </w:rPr>
      <w:t>-</w:t>
    </w:r>
    <w:r w:rsidRPr="007E20A0">
      <w:rPr>
        <w:lang w:val="en-US"/>
      </w:rPr>
      <w:t>17685</w:t>
    </w:r>
    <w:r>
      <w:rPr>
        <w:lang w:val="en-US"/>
      </w:rPr>
      <w:tab/>
    </w:r>
    <w:r w:rsidRPr="00D42359">
      <w:rPr>
        <w:b/>
        <w:sz w:val="18"/>
        <w:lang w:val="en-US"/>
      </w:rPr>
      <w:fldChar w:fldCharType="begin"/>
    </w:r>
    <w:r w:rsidRPr="00D42359">
      <w:rPr>
        <w:b/>
        <w:sz w:val="18"/>
        <w:lang w:val="en-US"/>
      </w:rPr>
      <w:instrText xml:space="preserve"> PAGE  \* MERGEFORMAT </w:instrText>
    </w:r>
    <w:r w:rsidRPr="00D42359">
      <w:rPr>
        <w:b/>
        <w:sz w:val="18"/>
        <w:lang w:val="en-US"/>
      </w:rPr>
      <w:fldChar w:fldCharType="separate"/>
    </w:r>
    <w:r w:rsidRPr="007E20A0">
      <w:rPr>
        <w:b/>
        <w:noProof/>
        <w:sz w:val="18"/>
        <w:lang w:val="en-US"/>
      </w:rPr>
      <w:t>2</w:t>
    </w:r>
    <w:r w:rsidRPr="00D4235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8C0E" w14:textId="7ADABC93" w:rsidR="006959B0" w:rsidRPr="00D42359" w:rsidRDefault="00D42359" w:rsidP="00D4235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sidRPr="007E20A0">
      <w:rPr>
        <w:b/>
        <w:noProof/>
        <w:sz w:val="18"/>
        <w:lang w:val="en-US"/>
      </w:rPr>
      <w:t>3</w:t>
    </w:r>
    <w:r>
      <w:rPr>
        <w:b/>
        <w:sz w:val="18"/>
        <w:lang w:val="en-US"/>
      </w:rPr>
      <w:fldChar w:fldCharType="end"/>
    </w:r>
    <w:r>
      <w:rPr>
        <w:b/>
        <w:sz w:val="18"/>
        <w:lang w:val="en-US"/>
      </w:rPr>
      <w:tab/>
    </w:r>
    <w:r>
      <w:rPr>
        <w:lang w:val="en-US"/>
      </w:rPr>
      <w:t>GE.</w:t>
    </w:r>
    <w:r w:rsidRPr="007E20A0">
      <w:rPr>
        <w:lang w:val="en-US"/>
      </w:rPr>
      <w:t>20</w:t>
    </w:r>
    <w:r>
      <w:rPr>
        <w:lang w:val="en-US"/>
      </w:rPr>
      <w:t>-</w:t>
    </w:r>
    <w:r w:rsidRPr="007E20A0">
      <w:rPr>
        <w:lang w:val="en-US"/>
      </w:rPr>
      <w:t>17685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E639" w14:textId="62901093" w:rsidR="00DE50B1" w:rsidRPr="00D42359" w:rsidRDefault="00D42359" w:rsidP="00D42359">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263F5667" wp14:editId="6BCEBEF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sidRPr="007E20A0">
      <w:rPr>
        <w:sz w:val="20"/>
        <w:lang w:val="en-US"/>
      </w:rPr>
      <w:t>20</w:t>
    </w:r>
    <w:r>
      <w:rPr>
        <w:sz w:val="20"/>
        <w:lang w:val="en-US"/>
      </w:rPr>
      <w:t>-</w:t>
    </w:r>
    <w:r w:rsidRPr="007E20A0">
      <w:rPr>
        <w:sz w:val="20"/>
        <w:lang w:val="en-US"/>
      </w:rPr>
      <w:t>17685</w:t>
    </w:r>
    <w:r>
      <w:rPr>
        <w:sz w:val="20"/>
        <w:lang w:val="en-US"/>
      </w:rPr>
      <w:t xml:space="preserve"> (A)</w:t>
    </w:r>
    <w:r>
      <w:rPr>
        <w:noProof/>
        <w:sz w:val="20"/>
        <w:lang w:val="en-US"/>
      </w:rPr>
      <w:drawing>
        <wp:anchor distT="0" distB="0" distL="114300" distR="114300" simplePos="0" relativeHeight="251659264" behindDoc="0" locked="0" layoutInCell="1" allowOverlap="1" wp14:anchorId="5CCCBB69" wp14:editId="3C8212C2">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B8951" w14:textId="77777777" w:rsidR="00455E6D" w:rsidRPr="000437B8" w:rsidRDefault="00455E6D" w:rsidP="00F10DAB">
      <w:pPr>
        <w:pStyle w:val="Footer"/>
        <w:bidi/>
        <w:spacing w:after="80" w:line="200" w:lineRule="exact"/>
        <w:ind w:left="680"/>
      </w:pPr>
      <w:r>
        <w:rPr>
          <w:rtl/>
        </w:rPr>
        <w:t>__________</w:t>
      </w:r>
    </w:p>
  </w:footnote>
  <w:footnote w:type="continuationSeparator" w:id="0">
    <w:p w14:paraId="49C34B94" w14:textId="77777777" w:rsidR="00455E6D" w:rsidRDefault="00455E6D" w:rsidP="00656392">
      <w:pPr>
        <w:spacing w:line="240" w:lineRule="auto"/>
      </w:pPr>
      <w:r>
        <w:continuationSeparator/>
      </w:r>
    </w:p>
  </w:footnote>
  <w:footnote w:id="1">
    <w:p w14:paraId="700B1981" w14:textId="03D7E2C3" w:rsidR="00121FB6" w:rsidRPr="003D6C6F" w:rsidRDefault="00121FB6" w:rsidP="00121FB6">
      <w:pPr>
        <w:pStyle w:val="FootnoteText1"/>
        <w:rPr>
          <w:rFonts w:eastAsiaTheme="minorEastAsia"/>
          <w:rtl/>
        </w:rPr>
      </w:pPr>
      <w:r w:rsidRPr="003D6C6F">
        <w:rPr>
          <w:rFonts w:eastAsiaTheme="minorEastAsia"/>
          <w:rtl/>
        </w:rPr>
        <w:t>*</w:t>
      </w:r>
      <w:r w:rsidRPr="003D6C6F">
        <w:rPr>
          <w:rFonts w:eastAsiaTheme="minorEastAsia"/>
          <w:rtl/>
        </w:rPr>
        <w:tab/>
        <w:t xml:space="preserve">اعتمدته اللجنة في دورتها </w:t>
      </w:r>
      <w:r w:rsidRPr="007E20A0">
        <w:rPr>
          <w:rFonts w:eastAsiaTheme="minorEastAsia"/>
          <w:rtl/>
        </w:rPr>
        <w:t>129</w:t>
      </w:r>
      <w:r w:rsidRPr="003D6C6F">
        <w:rPr>
          <w:rFonts w:eastAsiaTheme="minorEastAsia"/>
          <w:rtl/>
        </w:rPr>
        <w:t xml:space="preserve"> (</w:t>
      </w:r>
      <w:r w:rsidRPr="007E20A0">
        <w:rPr>
          <w:rFonts w:eastAsiaTheme="minorEastAsia"/>
          <w:rtl/>
        </w:rPr>
        <w:t>29</w:t>
      </w:r>
      <w:r w:rsidRPr="003D6C6F">
        <w:rPr>
          <w:rFonts w:eastAsiaTheme="minorEastAsia"/>
          <w:rtl/>
        </w:rPr>
        <w:t xml:space="preserve"> حزيران/يونيه - </w:t>
      </w:r>
      <w:r w:rsidRPr="007E20A0">
        <w:rPr>
          <w:rFonts w:eastAsiaTheme="minorEastAsia"/>
          <w:rtl/>
        </w:rPr>
        <w:t>24</w:t>
      </w:r>
      <w:r w:rsidRPr="003D6C6F">
        <w:rPr>
          <w:rFonts w:eastAsiaTheme="minorEastAsia"/>
          <w:rtl/>
        </w:rPr>
        <w:t xml:space="preserve"> تموز/يوليه </w:t>
      </w:r>
      <w:r w:rsidRPr="007E20A0">
        <w:rPr>
          <w:rFonts w:eastAsiaTheme="minorEastAsia"/>
          <w:rtl/>
        </w:rPr>
        <w:t>2020</w:t>
      </w:r>
      <w:r w:rsidRPr="003D6C6F">
        <w:rPr>
          <w:rFonts w:eastAsiaTheme="minorEastAsia"/>
          <w:rtl/>
        </w:rPr>
        <w:t>).</w:t>
      </w:r>
    </w:p>
  </w:footnote>
  <w:footnote w:id="2">
    <w:p w14:paraId="3C705DF5" w14:textId="0DC22A00" w:rsidR="00121FB6" w:rsidRPr="003D6C6F" w:rsidRDefault="00121FB6" w:rsidP="00121FB6">
      <w:pPr>
        <w:pStyle w:val="FootnoteText1"/>
        <w:rPr>
          <w:rFonts w:eastAsiaTheme="minorEastAsia"/>
          <w:rtl/>
        </w:rPr>
      </w:pPr>
      <w:r w:rsidRPr="003D6C6F">
        <w:rPr>
          <w:rFonts w:eastAsiaTheme="minorEastAsia"/>
          <w:rtl/>
        </w:rPr>
        <w:t>**</w:t>
      </w:r>
      <w:r w:rsidRPr="003D6C6F">
        <w:rPr>
          <w:rFonts w:eastAsiaTheme="minorEastAsia"/>
          <w:rtl/>
        </w:rPr>
        <w:tab/>
        <w:t xml:space="preserve">شارك في دراسة هذا البلاغ أعضاء اللجنة التالية أسماؤهم: تانيا عبدو </w:t>
      </w:r>
      <w:proofErr w:type="spellStart"/>
      <w:r w:rsidRPr="003D6C6F">
        <w:rPr>
          <w:rFonts w:eastAsiaTheme="minorEastAsia"/>
          <w:rtl/>
        </w:rPr>
        <w:t>روتشول</w:t>
      </w:r>
      <w:proofErr w:type="spellEnd"/>
      <w:r w:rsidRPr="003D6C6F">
        <w:rPr>
          <w:rFonts w:eastAsiaTheme="minorEastAsia"/>
          <w:rtl/>
        </w:rPr>
        <w:t xml:space="preserve">، وعياض بن عاشور، وعارف بلقان، وأحمد أمين فتح الله، </w:t>
      </w:r>
      <w:proofErr w:type="spellStart"/>
      <w:r w:rsidRPr="003D6C6F">
        <w:rPr>
          <w:rFonts w:eastAsiaTheme="minorEastAsia"/>
          <w:rtl/>
        </w:rPr>
        <w:t>وفورويا</w:t>
      </w:r>
      <w:proofErr w:type="spellEnd"/>
      <w:r w:rsidRPr="003D6C6F">
        <w:rPr>
          <w:rFonts w:eastAsiaTheme="minorEastAsia"/>
          <w:rtl/>
        </w:rPr>
        <w:t xml:space="preserve"> </w:t>
      </w:r>
      <w:proofErr w:type="spellStart"/>
      <w:r w:rsidRPr="003D6C6F">
        <w:rPr>
          <w:rFonts w:eastAsiaTheme="minorEastAsia"/>
          <w:rtl/>
        </w:rPr>
        <w:t>شويتشي</w:t>
      </w:r>
      <w:proofErr w:type="spellEnd"/>
      <w:r w:rsidRPr="003D6C6F">
        <w:rPr>
          <w:rFonts w:eastAsiaTheme="minorEastAsia"/>
          <w:rtl/>
        </w:rPr>
        <w:t xml:space="preserve">، وكريستوف </w:t>
      </w:r>
      <w:proofErr w:type="spellStart"/>
      <w:r w:rsidRPr="003D6C6F">
        <w:rPr>
          <w:rFonts w:eastAsiaTheme="minorEastAsia"/>
          <w:rtl/>
        </w:rPr>
        <w:t>هاينز</w:t>
      </w:r>
      <w:proofErr w:type="spellEnd"/>
      <w:r w:rsidRPr="003D6C6F">
        <w:rPr>
          <w:rFonts w:eastAsiaTheme="minorEastAsia"/>
          <w:rtl/>
        </w:rPr>
        <w:t xml:space="preserve">، </w:t>
      </w:r>
      <w:proofErr w:type="spellStart"/>
      <w:r w:rsidRPr="003D6C6F">
        <w:rPr>
          <w:rFonts w:eastAsiaTheme="minorEastAsia"/>
          <w:rtl/>
        </w:rPr>
        <w:t>وبامريم</w:t>
      </w:r>
      <w:proofErr w:type="spellEnd"/>
      <w:r w:rsidRPr="003D6C6F">
        <w:rPr>
          <w:rFonts w:eastAsiaTheme="minorEastAsia"/>
          <w:rtl/>
        </w:rPr>
        <w:t xml:space="preserve"> كويتا، </w:t>
      </w:r>
      <w:proofErr w:type="spellStart"/>
      <w:r w:rsidRPr="003D6C6F">
        <w:rPr>
          <w:rFonts w:eastAsiaTheme="minorEastAsia"/>
          <w:rtl/>
        </w:rPr>
        <w:t>ودنكان</w:t>
      </w:r>
      <w:proofErr w:type="spellEnd"/>
      <w:r w:rsidRPr="003D6C6F">
        <w:rPr>
          <w:rFonts w:eastAsiaTheme="minorEastAsia"/>
          <w:rtl/>
        </w:rPr>
        <w:t xml:space="preserve"> </w:t>
      </w:r>
      <w:proofErr w:type="spellStart"/>
      <w:r w:rsidRPr="003D6C6F">
        <w:rPr>
          <w:rFonts w:eastAsiaTheme="minorEastAsia"/>
          <w:rtl/>
        </w:rPr>
        <w:t>لاكي</w:t>
      </w:r>
      <w:proofErr w:type="spellEnd"/>
      <w:r w:rsidRPr="003D6C6F">
        <w:rPr>
          <w:rFonts w:eastAsiaTheme="minorEastAsia"/>
          <w:rtl/>
        </w:rPr>
        <w:t xml:space="preserve"> </w:t>
      </w:r>
      <w:proofErr w:type="spellStart"/>
      <w:r w:rsidRPr="003D6C6F">
        <w:rPr>
          <w:rFonts w:eastAsiaTheme="minorEastAsia"/>
          <w:rtl/>
        </w:rPr>
        <w:t>موهوموزا</w:t>
      </w:r>
      <w:proofErr w:type="spellEnd"/>
      <w:r w:rsidRPr="003D6C6F">
        <w:rPr>
          <w:rFonts w:eastAsiaTheme="minorEastAsia"/>
          <w:rtl/>
        </w:rPr>
        <w:t xml:space="preserve">، وفوتيني </w:t>
      </w:r>
      <w:proofErr w:type="spellStart"/>
      <w:r w:rsidRPr="003D6C6F">
        <w:rPr>
          <w:rFonts w:eastAsiaTheme="minorEastAsia"/>
          <w:rtl/>
        </w:rPr>
        <w:t>بازارتزيس</w:t>
      </w:r>
      <w:proofErr w:type="spellEnd"/>
      <w:r w:rsidRPr="003D6C6F">
        <w:rPr>
          <w:rFonts w:eastAsiaTheme="minorEastAsia"/>
          <w:rtl/>
        </w:rPr>
        <w:t xml:space="preserve">، </w:t>
      </w:r>
      <w:proofErr w:type="spellStart"/>
      <w:r w:rsidRPr="003D6C6F">
        <w:rPr>
          <w:rFonts w:eastAsiaTheme="minorEastAsia"/>
          <w:rtl/>
        </w:rPr>
        <w:t>وهيرنان</w:t>
      </w:r>
      <w:proofErr w:type="spellEnd"/>
      <w:r w:rsidRPr="003D6C6F">
        <w:rPr>
          <w:rFonts w:eastAsiaTheme="minorEastAsia"/>
          <w:rtl/>
        </w:rPr>
        <w:t xml:space="preserve"> </w:t>
      </w:r>
      <w:proofErr w:type="spellStart"/>
      <w:r w:rsidRPr="003D6C6F">
        <w:rPr>
          <w:rFonts w:eastAsiaTheme="minorEastAsia"/>
          <w:rtl/>
        </w:rPr>
        <w:t>كيزادا</w:t>
      </w:r>
      <w:proofErr w:type="spellEnd"/>
      <w:r w:rsidRPr="003D6C6F">
        <w:rPr>
          <w:rFonts w:eastAsiaTheme="minorEastAsia"/>
          <w:rtl/>
        </w:rPr>
        <w:t xml:space="preserve"> </w:t>
      </w:r>
      <w:proofErr w:type="spellStart"/>
      <w:r w:rsidRPr="003D6C6F">
        <w:rPr>
          <w:rFonts w:eastAsiaTheme="minorEastAsia"/>
          <w:rtl/>
        </w:rPr>
        <w:t>كابريرا</w:t>
      </w:r>
      <w:proofErr w:type="spellEnd"/>
      <w:r w:rsidRPr="003D6C6F">
        <w:rPr>
          <w:rFonts w:eastAsiaTheme="minorEastAsia"/>
          <w:rtl/>
        </w:rPr>
        <w:t xml:space="preserve">، </w:t>
      </w:r>
      <w:proofErr w:type="spellStart"/>
      <w:r w:rsidRPr="003D6C6F">
        <w:rPr>
          <w:rFonts w:eastAsiaTheme="minorEastAsia"/>
          <w:rtl/>
        </w:rPr>
        <w:t>وفاسيلكا</w:t>
      </w:r>
      <w:proofErr w:type="spellEnd"/>
      <w:r w:rsidRPr="003D6C6F">
        <w:rPr>
          <w:rFonts w:eastAsiaTheme="minorEastAsia"/>
          <w:rtl/>
        </w:rPr>
        <w:t xml:space="preserve"> </w:t>
      </w:r>
      <w:proofErr w:type="spellStart"/>
      <w:r w:rsidRPr="003D6C6F">
        <w:rPr>
          <w:rFonts w:eastAsiaTheme="minorEastAsia"/>
          <w:rtl/>
        </w:rPr>
        <w:t>سانسين</w:t>
      </w:r>
      <w:proofErr w:type="spellEnd"/>
      <w:r w:rsidRPr="003D6C6F">
        <w:rPr>
          <w:rFonts w:eastAsiaTheme="minorEastAsia"/>
          <w:rtl/>
        </w:rPr>
        <w:t xml:space="preserve">، وخوسيه مانويل سانتوس </w:t>
      </w:r>
      <w:proofErr w:type="spellStart"/>
      <w:r w:rsidRPr="003D6C6F">
        <w:rPr>
          <w:rFonts w:eastAsiaTheme="minorEastAsia"/>
          <w:rtl/>
        </w:rPr>
        <w:t>بايس</w:t>
      </w:r>
      <w:proofErr w:type="spellEnd"/>
      <w:r w:rsidRPr="003D6C6F">
        <w:rPr>
          <w:rFonts w:eastAsiaTheme="minorEastAsia"/>
          <w:rtl/>
        </w:rPr>
        <w:t xml:space="preserve">، ويوفال </w:t>
      </w:r>
      <w:proofErr w:type="spellStart"/>
      <w:r w:rsidRPr="003D6C6F">
        <w:rPr>
          <w:rFonts w:eastAsiaTheme="minorEastAsia"/>
          <w:rtl/>
        </w:rPr>
        <w:t>شاني</w:t>
      </w:r>
      <w:proofErr w:type="spellEnd"/>
      <w:r w:rsidRPr="003D6C6F">
        <w:rPr>
          <w:rFonts w:eastAsiaTheme="minorEastAsia"/>
          <w:rtl/>
        </w:rPr>
        <w:t xml:space="preserve">، وإيلين </w:t>
      </w:r>
      <w:proofErr w:type="spellStart"/>
      <w:r w:rsidRPr="003D6C6F">
        <w:rPr>
          <w:rFonts w:eastAsiaTheme="minorEastAsia"/>
          <w:rtl/>
        </w:rPr>
        <w:t>تيغرودجا</w:t>
      </w:r>
      <w:proofErr w:type="spellEnd"/>
      <w:r w:rsidRPr="003D6C6F">
        <w:rPr>
          <w:rFonts w:eastAsiaTheme="minorEastAsia"/>
          <w:rtl/>
        </w:rPr>
        <w:t xml:space="preserve">، وأندرياس </w:t>
      </w:r>
      <w:proofErr w:type="spellStart"/>
      <w:r w:rsidRPr="003D6C6F">
        <w:rPr>
          <w:rFonts w:eastAsiaTheme="minorEastAsia"/>
          <w:rtl/>
        </w:rPr>
        <w:t>زيمرمان</w:t>
      </w:r>
      <w:proofErr w:type="spellEnd"/>
      <w:r w:rsidRPr="003D6C6F">
        <w:rPr>
          <w:rFonts w:eastAsiaTheme="minorEastAsia"/>
          <w:rtl/>
        </w:rPr>
        <w:t xml:space="preserve">، </w:t>
      </w:r>
      <w:proofErr w:type="spellStart"/>
      <w:r w:rsidRPr="003D6C6F">
        <w:rPr>
          <w:rFonts w:eastAsiaTheme="minorEastAsia"/>
          <w:rtl/>
        </w:rPr>
        <w:t>وجنتيان</w:t>
      </w:r>
      <w:proofErr w:type="spellEnd"/>
      <w:r w:rsidRPr="003D6C6F">
        <w:rPr>
          <w:rFonts w:eastAsiaTheme="minorEastAsia"/>
          <w:rtl/>
        </w:rPr>
        <w:t xml:space="preserve"> </w:t>
      </w:r>
      <w:proofErr w:type="spellStart"/>
      <w:r w:rsidRPr="003D6C6F">
        <w:rPr>
          <w:rFonts w:eastAsiaTheme="minorEastAsia"/>
          <w:rtl/>
        </w:rPr>
        <w:t>زيبيري</w:t>
      </w:r>
      <w:proofErr w:type="spellEnd"/>
      <w:r w:rsidRPr="003D6C6F">
        <w:rPr>
          <w:rFonts w:eastAsiaTheme="minorEastAsia"/>
          <w:rtl/>
        </w:rPr>
        <w:t>.</w:t>
      </w:r>
    </w:p>
  </w:footnote>
  <w:footnote w:id="3">
    <w:p w14:paraId="30442F9F" w14:textId="45A1A4E5"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طلب صاحب البلاغ اتخاذ تدابير مؤقتة تشمل ما يلي: (أ) قيام اللجنة برصد ومتابعة الإجراءات القضائية التي لا تزال جارية ضده والتي قرر عدم المثول أمامها؛ (ب) الوقف المؤقت للإدانة؛ (ج) تغيير مكان احتجازه من سجن لا </w:t>
      </w:r>
      <w:proofErr w:type="spellStart"/>
      <w:r w:rsidR="00121FB6" w:rsidRPr="003D6C6F">
        <w:rPr>
          <w:rFonts w:eastAsiaTheme="minorEastAsia"/>
          <w:rtl/>
        </w:rPr>
        <w:t>بيكوتا</w:t>
      </w:r>
      <w:proofErr w:type="spellEnd"/>
      <w:r w:rsidR="00121FB6" w:rsidRPr="003D6C6F">
        <w:rPr>
          <w:rFonts w:eastAsiaTheme="minorEastAsia"/>
          <w:rtl/>
        </w:rPr>
        <w:t xml:space="preserve"> في بوغوتا إلى الحامية العسكرية المعروفة باسم أكاديمية كانتون نورتي للمشاة، التي قُدم إليها طلب نقل رسمي، من أجل حماية حياته وسلامته الشخصية، المعرضتين لخطر وشيك، وللحفاظ على وحدة الأسرة المعنية؛ (د) أي تدابير مؤقتة أخرى تراها اللجنة مناسبة.</w:t>
      </w:r>
    </w:p>
  </w:footnote>
  <w:footnote w:id="4">
    <w:p w14:paraId="50BBF8BB" w14:textId="570F646B"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يوضح صاحب البلاغ أن القانون رقم </w:t>
      </w:r>
      <w:r w:rsidR="00121FB6" w:rsidRPr="007E20A0">
        <w:rPr>
          <w:rFonts w:eastAsiaTheme="minorEastAsia"/>
          <w:rtl/>
        </w:rPr>
        <w:t>600</w:t>
      </w:r>
      <w:r w:rsidR="00121FB6" w:rsidRPr="003D6C6F">
        <w:rPr>
          <w:rFonts w:eastAsiaTheme="minorEastAsia"/>
          <w:rtl/>
        </w:rPr>
        <w:t xml:space="preserve"> لعام </w:t>
      </w:r>
      <w:r w:rsidR="00121FB6" w:rsidRPr="007E20A0">
        <w:rPr>
          <w:rFonts w:eastAsiaTheme="minorEastAsia"/>
          <w:rtl/>
        </w:rPr>
        <w:t>2000</w:t>
      </w:r>
      <w:r w:rsidR="00121FB6" w:rsidRPr="003D6C6F">
        <w:rPr>
          <w:rFonts w:eastAsiaTheme="minorEastAsia"/>
          <w:rtl/>
        </w:rPr>
        <w:t xml:space="preserve">، الذي حوكم بموجبه، ينظم إجراء التحقيق الذي يجري المدعي العام بموجبه التحقيق ويُوجه التهم ويفصل في مسألة الحرمان من الحرية، بينما تصدر المحكمة حكماً فقط. ويذكر صاحب البلاغ أنه، لضمان حقوق الإنسان والحريات الأساسية للمتهمين في المحاكمات الجنائية، تم تعديل القانون رقم </w:t>
      </w:r>
      <w:r w:rsidR="00121FB6" w:rsidRPr="007E20A0">
        <w:rPr>
          <w:rFonts w:eastAsiaTheme="minorEastAsia"/>
          <w:rtl/>
        </w:rPr>
        <w:t>600</w:t>
      </w:r>
      <w:r w:rsidR="00121FB6" w:rsidRPr="003D6C6F">
        <w:rPr>
          <w:rFonts w:eastAsiaTheme="minorEastAsia"/>
          <w:rtl/>
        </w:rPr>
        <w:t xml:space="preserve"> لعام </w:t>
      </w:r>
      <w:r w:rsidR="00121FB6" w:rsidRPr="007E20A0">
        <w:rPr>
          <w:rFonts w:eastAsiaTheme="minorEastAsia"/>
          <w:rtl/>
        </w:rPr>
        <w:t>2000</w:t>
      </w:r>
      <w:r w:rsidR="00121FB6" w:rsidRPr="003D6C6F">
        <w:rPr>
          <w:rFonts w:eastAsiaTheme="minorEastAsia"/>
          <w:rtl/>
        </w:rPr>
        <w:t xml:space="preserve"> بشكل جوهري بموجب القانون رقم </w:t>
      </w:r>
      <w:r w:rsidR="00121FB6" w:rsidRPr="007E20A0">
        <w:rPr>
          <w:rFonts w:eastAsiaTheme="minorEastAsia"/>
          <w:rtl/>
        </w:rPr>
        <w:t>906</w:t>
      </w:r>
      <w:r w:rsidR="00121FB6" w:rsidRPr="003D6C6F">
        <w:rPr>
          <w:rFonts w:eastAsiaTheme="minorEastAsia"/>
          <w:rtl/>
        </w:rPr>
        <w:t xml:space="preserve"> لعام </w:t>
      </w:r>
      <w:r w:rsidR="00121FB6" w:rsidRPr="007E20A0">
        <w:rPr>
          <w:rFonts w:eastAsiaTheme="minorEastAsia"/>
          <w:rtl/>
        </w:rPr>
        <w:t>2004</w:t>
      </w:r>
      <w:r w:rsidR="00121FB6" w:rsidRPr="003D6C6F">
        <w:rPr>
          <w:rFonts w:eastAsiaTheme="minorEastAsia"/>
          <w:rtl/>
        </w:rPr>
        <w:t xml:space="preserve"> لإدراج الإجراءات العامة والشفوية والحضورية والمركزة والفورية والعاجلة في نظام </w:t>
      </w:r>
      <w:r w:rsidR="00121FB6" w:rsidRPr="007E20A0">
        <w:rPr>
          <w:rFonts w:eastAsiaTheme="minorEastAsia"/>
          <w:rtl/>
        </w:rPr>
        <w:t>العدالة الجنائية الكولومبي (وهو ما لم يفعله القانون رقم 600). غير أن البند النهائي في القانون الجديد ينص على أنه لا ينطبق إلا على الجرائم المرتكبة بعد 1 كانون الثاني/يناير 2005. ويوضح صاحب البلاغ أن القانون رقم 600 لعام 2000 تعرض لانتقادات واسعة في كتابات فقهاء القانون الكولومبيين، ويستشهد بمطبوعات مختلفة لدعم هذا الادعاء.</w:t>
      </w:r>
      <w:r w:rsidR="00121FB6" w:rsidRPr="003D6C6F">
        <w:rPr>
          <w:rFonts w:eastAsiaTheme="minorEastAsia"/>
          <w:rtl/>
        </w:rPr>
        <w:t xml:space="preserve"> </w:t>
      </w:r>
    </w:p>
  </w:footnote>
  <w:footnote w:id="5">
    <w:p w14:paraId="291306D0" w14:textId="11C8598B" w:rsidR="00121FB6" w:rsidRPr="00E4220B" w:rsidRDefault="003D6C6F" w:rsidP="003D6C6F">
      <w:pPr>
        <w:pStyle w:val="FootnoteText1"/>
        <w:textDirection w:val="tbRlV"/>
        <w:rPr>
          <w:rFonts w:eastAsiaTheme="minorEastAsia"/>
          <w:lang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ينص أمر الاحتجاز المؤرخ </w:t>
      </w:r>
      <w:r w:rsidR="00121FB6" w:rsidRPr="007E20A0">
        <w:rPr>
          <w:rFonts w:eastAsiaTheme="minorEastAsia"/>
          <w:rtl/>
        </w:rPr>
        <w:t>27</w:t>
      </w:r>
      <w:r w:rsidR="00121FB6" w:rsidRPr="003D6C6F">
        <w:rPr>
          <w:rFonts w:eastAsiaTheme="minorEastAsia"/>
          <w:rtl/>
        </w:rPr>
        <w:t xml:space="preserve"> شباط/فبراير </w:t>
      </w:r>
      <w:r w:rsidR="00121FB6" w:rsidRPr="007E20A0">
        <w:rPr>
          <w:rFonts w:eastAsiaTheme="minorEastAsia"/>
          <w:rtl/>
        </w:rPr>
        <w:t>2007</w:t>
      </w:r>
      <w:r w:rsidR="00121FB6" w:rsidRPr="003D6C6F">
        <w:rPr>
          <w:rFonts w:eastAsiaTheme="minorEastAsia"/>
          <w:rtl/>
        </w:rPr>
        <w:t xml:space="preserve"> على احتجاز صاحب البلاغ في سجن لا </w:t>
      </w:r>
      <w:proofErr w:type="spellStart"/>
      <w:r w:rsidR="00121FB6" w:rsidRPr="003D6C6F">
        <w:rPr>
          <w:rFonts w:eastAsiaTheme="minorEastAsia"/>
          <w:rtl/>
        </w:rPr>
        <w:t>بيكوتا</w:t>
      </w:r>
      <w:proofErr w:type="spellEnd"/>
      <w:r w:rsidR="00121FB6" w:rsidRPr="003D6C6F">
        <w:rPr>
          <w:rFonts w:eastAsiaTheme="minorEastAsia"/>
          <w:rtl/>
        </w:rPr>
        <w:t xml:space="preserve"> في جناح خاص يكفل</w:t>
      </w:r>
      <w:r w:rsidR="00121FB6" w:rsidRPr="003D6C6F">
        <w:rPr>
          <w:rFonts w:eastAsiaTheme="minorEastAsia"/>
          <w:rtl/>
          <w:lang w:val="fr-CH"/>
        </w:rPr>
        <w:t xml:space="preserve"> </w:t>
      </w:r>
      <w:r w:rsidR="00121FB6" w:rsidRPr="003D6C6F">
        <w:rPr>
          <w:rFonts w:eastAsiaTheme="minorEastAsia"/>
          <w:rtl/>
        </w:rPr>
        <w:t xml:space="preserve">أمنه وسلامته الشخصية. وظل بالسجن حتى </w:t>
      </w:r>
      <w:r w:rsidR="00121FB6" w:rsidRPr="007E20A0">
        <w:rPr>
          <w:rFonts w:eastAsiaTheme="minorEastAsia"/>
          <w:rtl/>
        </w:rPr>
        <w:t>23</w:t>
      </w:r>
      <w:r w:rsidR="00121FB6" w:rsidRPr="003D6C6F">
        <w:rPr>
          <w:rFonts w:eastAsiaTheme="minorEastAsia"/>
          <w:rtl/>
        </w:rPr>
        <w:t xml:space="preserve"> آذار/مارس </w:t>
      </w:r>
      <w:r w:rsidR="00121FB6" w:rsidRPr="007E20A0">
        <w:rPr>
          <w:rFonts w:eastAsiaTheme="minorEastAsia"/>
          <w:rtl/>
        </w:rPr>
        <w:t>2007</w:t>
      </w:r>
      <w:r w:rsidR="00121FB6" w:rsidRPr="003D6C6F">
        <w:rPr>
          <w:rFonts w:eastAsiaTheme="minorEastAsia"/>
          <w:rtl/>
        </w:rPr>
        <w:t xml:space="preserve">، عندما أُفرج عنه بعد تقديم طلب للمثول أمام المحكمة لأن احتجازه كان بأمر من مسؤول غير مختص بالتصرف. وفي </w:t>
      </w:r>
      <w:r w:rsidR="00121FB6" w:rsidRPr="007E20A0">
        <w:rPr>
          <w:rFonts w:eastAsiaTheme="minorEastAsia"/>
          <w:rtl/>
        </w:rPr>
        <w:t>6</w:t>
      </w:r>
      <w:r w:rsidR="00121FB6" w:rsidRPr="003D6C6F">
        <w:rPr>
          <w:rFonts w:eastAsiaTheme="minorEastAsia"/>
          <w:rtl/>
        </w:rPr>
        <w:t xml:space="preserve"> تموز/يوليه </w:t>
      </w:r>
      <w:r w:rsidR="00121FB6" w:rsidRPr="007E20A0">
        <w:rPr>
          <w:rFonts w:eastAsiaTheme="minorEastAsia"/>
          <w:rtl/>
        </w:rPr>
        <w:t>2007</w:t>
      </w:r>
      <w:r w:rsidR="00121FB6" w:rsidRPr="003D6C6F">
        <w:rPr>
          <w:rFonts w:eastAsiaTheme="minorEastAsia"/>
          <w:rtl/>
        </w:rPr>
        <w:t xml:space="preserve">، أمر مكتب المدعي العام باحتجاز صاحب البلاغ رهن المحاكمة في سجن لا </w:t>
      </w:r>
      <w:proofErr w:type="spellStart"/>
      <w:r w:rsidR="00121FB6" w:rsidRPr="003D6C6F">
        <w:rPr>
          <w:rFonts w:eastAsiaTheme="minorEastAsia"/>
          <w:rtl/>
        </w:rPr>
        <w:t>بيكوتا</w:t>
      </w:r>
      <w:proofErr w:type="spellEnd"/>
      <w:r w:rsidR="00121FB6" w:rsidRPr="003D6C6F">
        <w:rPr>
          <w:rFonts w:eastAsiaTheme="minorEastAsia"/>
          <w:rtl/>
        </w:rPr>
        <w:t xml:space="preserve">، حيث ظل حتى </w:t>
      </w:r>
      <w:r w:rsidR="00121FB6" w:rsidRPr="007E20A0">
        <w:rPr>
          <w:rFonts w:eastAsiaTheme="minorEastAsia"/>
          <w:rtl/>
        </w:rPr>
        <w:t>11</w:t>
      </w:r>
      <w:r w:rsidR="00121FB6" w:rsidRPr="003D6C6F">
        <w:rPr>
          <w:rFonts w:eastAsiaTheme="minorEastAsia"/>
          <w:rtl/>
        </w:rPr>
        <w:t xml:space="preserve"> حزيران/يونيه </w:t>
      </w:r>
      <w:r w:rsidR="00121FB6" w:rsidRPr="007E20A0">
        <w:rPr>
          <w:rFonts w:eastAsiaTheme="minorEastAsia"/>
          <w:rtl/>
        </w:rPr>
        <w:t>2008</w:t>
      </w:r>
      <w:r w:rsidR="00121FB6" w:rsidRPr="003D6C6F">
        <w:rPr>
          <w:rFonts w:eastAsiaTheme="minorEastAsia"/>
          <w:rtl/>
        </w:rPr>
        <w:t xml:space="preserve">، عندما أُلغي القرار (انظر الفقرة </w:t>
      </w:r>
      <w:r w:rsidR="00121FB6" w:rsidRPr="007E20A0">
        <w:rPr>
          <w:rFonts w:eastAsiaTheme="minorEastAsia"/>
          <w:rtl/>
        </w:rPr>
        <w:t>6</w:t>
      </w:r>
      <w:r w:rsidR="00121FB6" w:rsidRPr="003D6C6F">
        <w:rPr>
          <w:rFonts w:eastAsiaTheme="minorEastAsia"/>
          <w:rtl/>
        </w:rPr>
        <w:t>-</w:t>
      </w:r>
      <w:r w:rsidR="00121FB6" w:rsidRPr="007E20A0">
        <w:rPr>
          <w:rFonts w:eastAsiaTheme="minorEastAsia"/>
          <w:rtl/>
        </w:rPr>
        <w:t>8</w:t>
      </w:r>
      <w:r w:rsidR="00121FB6" w:rsidRPr="003D6C6F">
        <w:rPr>
          <w:rFonts w:eastAsiaTheme="minorEastAsia"/>
          <w:rtl/>
        </w:rPr>
        <w:t xml:space="preserve"> أدناه). وفي </w:t>
      </w:r>
      <w:r w:rsidR="00121FB6" w:rsidRPr="007E20A0">
        <w:rPr>
          <w:rFonts w:eastAsiaTheme="minorEastAsia"/>
          <w:rtl/>
        </w:rPr>
        <w:t>12</w:t>
      </w:r>
      <w:r w:rsidR="00121FB6" w:rsidRPr="003D6C6F">
        <w:rPr>
          <w:rFonts w:eastAsiaTheme="minorEastAsia"/>
          <w:rtl/>
        </w:rPr>
        <w:t xml:space="preserve"> كانون الأول/ديسمبر </w:t>
      </w:r>
      <w:r w:rsidR="00121FB6" w:rsidRPr="007E20A0">
        <w:rPr>
          <w:rFonts w:eastAsiaTheme="minorEastAsia"/>
          <w:rtl/>
        </w:rPr>
        <w:t>2008</w:t>
      </w:r>
      <w:r w:rsidR="00121FB6" w:rsidRPr="003D6C6F">
        <w:rPr>
          <w:rFonts w:eastAsiaTheme="minorEastAsia"/>
          <w:rtl/>
        </w:rPr>
        <w:t xml:space="preserve">، أمر مكتب المدعي العام مرة أخرى باحتجاز صاحب البلاغ رهن المحاكمة. واحتُجز في مرفق الاحتجاز التابع للمكتب حتى </w:t>
      </w:r>
      <w:r w:rsidR="00121FB6" w:rsidRPr="007E20A0">
        <w:rPr>
          <w:rFonts w:eastAsiaTheme="minorEastAsia"/>
          <w:rtl/>
        </w:rPr>
        <w:t>23</w:t>
      </w:r>
      <w:r w:rsidR="00121FB6" w:rsidRPr="003D6C6F">
        <w:rPr>
          <w:rFonts w:eastAsiaTheme="minorEastAsia"/>
          <w:rtl/>
        </w:rPr>
        <w:t xml:space="preserve"> كانون الأول/ديسمبر </w:t>
      </w:r>
      <w:r w:rsidR="00121FB6" w:rsidRPr="007E20A0">
        <w:rPr>
          <w:rFonts w:eastAsiaTheme="minorEastAsia"/>
          <w:rtl/>
        </w:rPr>
        <w:t>2008</w:t>
      </w:r>
      <w:r w:rsidR="00121FB6" w:rsidRPr="003D6C6F">
        <w:rPr>
          <w:rFonts w:eastAsiaTheme="minorEastAsia"/>
          <w:rtl/>
        </w:rPr>
        <w:t>.</w:t>
      </w:r>
    </w:p>
  </w:footnote>
  <w:footnote w:id="6">
    <w:p w14:paraId="0A4E5EA5" w14:textId="3659DB3E" w:rsidR="00121FB6" w:rsidRPr="00E4220B" w:rsidRDefault="003D6C6F" w:rsidP="003D6C6F">
      <w:pPr>
        <w:pStyle w:val="FootnoteText1"/>
        <w:textDirection w:val="tbRlV"/>
        <w:rPr>
          <w:rFonts w:eastAsiaTheme="minorEastAsia"/>
          <w:lang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r>
      <w:r w:rsidR="00121FB6" w:rsidRPr="00E4220B">
        <w:rPr>
          <w:rFonts w:eastAsiaTheme="minorEastAsia"/>
          <w:spacing w:val="-4"/>
          <w:rtl/>
        </w:rPr>
        <w:t xml:space="preserve">تنص المادة </w:t>
      </w:r>
      <w:r w:rsidR="00121FB6" w:rsidRPr="007E20A0">
        <w:rPr>
          <w:rFonts w:eastAsiaTheme="minorEastAsia"/>
          <w:spacing w:val="-4"/>
          <w:rtl/>
        </w:rPr>
        <w:t>235</w:t>
      </w:r>
      <w:r w:rsidR="00121FB6" w:rsidRPr="00E4220B">
        <w:rPr>
          <w:rFonts w:eastAsiaTheme="minorEastAsia"/>
          <w:spacing w:val="-4"/>
          <w:rtl/>
        </w:rPr>
        <w:t>(</w:t>
      </w:r>
      <w:r w:rsidR="00121FB6" w:rsidRPr="007E20A0">
        <w:rPr>
          <w:rFonts w:eastAsiaTheme="minorEastAsia"/>
          <w:spacing w:val="-4"/>
          <w:rtl/>
        </w:rPr>
        <w:t>4</w:t>
      </w:r>
      <w:r w:rsidR="00121FB6" w:rsidRPr="00E4220B">
        <w:rPr>
          <w:rFonts w:eastAsiaTheme="minorEastAsia"/>
          <w:spacing w:val="-4"/>
          <w:rtl/>
        </w:rPr>
        <w:t>) من الدستور على ما يلي: "تشمل مهام المحكمة العليا محاكمة ... وزراء الحكومة على أية جرائم يُتهمون بها".</w:t>
      </w:r>
      <w:r w:rsidR="00121FB6" w:rsidRPr="003D6C6F">
        <w:rPr>
          <w:rFonts w:eastAsiaTheme="minorEastAsia"/>
          <w:rtl/>
        </w:rPr>
        <w:t xml:space="preserve"> وهذا</w:t>
      </w:r>
      <w:r w:rsidR="00E4220B">
        <w:rPr>
          <w:rFonts w:eastAsiaTheme="minorEastAsia" w:hint="cs"/>
          <w:rtl/>
        </w:rPr>
        <w:t> </w:t>
      </w:r>
      <w:r w:rsidR="00121FB6" w:rsidRPr="003D6C6F">
        <w:rPr>
          <w:rFonts w:eastAsiaTheme="minorEastAsia"/>
          <w:rtl/>
        </w:rPr>
        <w:t xml:space="preserve">يعني أن صاحب البلاغ يخضع لترتيبات قضائية خاصة بموجب الدستور. وتنص المادة </w:t>
      </w:r>
      <w:r w:rsidR="00121FB6" w:rsidRPr="007E20A0">
        <w:rPr>
          <w:rFonts w:eastAsiaTheme="minorEastAsia"/>
          <w:rtl/>
        </w:rPr>
        <w:t>32</w:t>
      </w:r>
      <w:r w:rsidR="00121FB6" w:rsidRPr="003D6C6F">
        <w:rPr>
          <w:rFonts w:eastAsiaTheme="minorEastAsia"/>
          <w:rtl/>
        </w:rPr>
        <w:t>(</w:t>
      </w:r>
      <w:r w:rsidR="00121FB6" w:rsidRPr="007E20A0">
        <w:rPr>
          <w:rFonts w:eastAsiaTheme="minorEastAsia"/>
          <w:rtl/>
        </w:rPr>
        <w:t>6</w:t>
      </w:r>
      <w:r w:rsidR="00121FB6" w:rsidRPr="003D6C6F">
        <w:rPr>
          <w:rFonts w:eastAsiaTheme="minorEastAsia"/>
          <w:rtl/>
        </w:rPr>
        <w:t xml:space="preserve">) من قانون الإجراءات </w:t>
      </w:r>
      <w:r w:rsidR="00121FB6" w:rsidRPr="007E20A0">
        <w:rPr>
          <w:rFonts w:eastAsiaTheme="minorEastAsia"/>
          <w:rtl/>
        </w:rPr>
        <w:t>الجنائية (القانون رقم 906 لعام 2004) على ما يلي: "شعبة الاستئناف الجنائي في المحكمة العليا: ... تحاكم المسؤولين المشار إليهم في المادة 235(4) من الدستور</w:t>
      </w:r>
      <w:r w:rsidR="00121FB6" w:rsidRPr="003D6C6F">
        <w:rPr>
          <w:rFonts w:eastAsiaTheme="minorEastAsia"/>
          <w:rtl/>
        </w:rPr>
        <w:t>".</w:t>
      </w:r>
    </w:p>
  </w:footnote>
  <w:footnote w:id="7">
    <w:p w14:paraId="288D2AB5" w14:textId="3D76AF36"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يدعي صاحب البلاغ أن محاميه توقف عن تمثيله بعد أن هدده ر. غ.. وبعد استقالة المحامي الذي اختاره، مثّله عدد من المحامين الذين عينتهم المحكمة، ولم يكن لديهم وقت كاف لإعداد دفاع مناسب.</w:t>
      </w:r>
    </w:p>
  </w:footnote>
  <w:footnote w:id="8">
    <w:p w14:paraId="2DE92C5F" w14:textId="7E8C3D90"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بينما يدعي صاحب البلاغ أنه احتُجز رهن المحاكمة لمدة أربع سنوات وستة أشهر و</w:t>
      </w:r>
      <w:r w:rsidR="00121FB6" w:rsidRPr="007E20A0">
        <w:rPr>
          <w:rFonts w:eastAsiaTheme="minorEastAsia"/>
          <w:rtl/>
        </w:rPr>
        <w:t>20</w:t>
      </w:r>
      <w:r w:rsidR="00121FB6" w:rsidRPr="003D6C6F">
        <w:rPr>
          <w:rFonts w:eastAsiaTheme="minorEastAsia"/>
          <w:rtl/>
        </w:rPr>
        <w:t xml:space="preserve"> يوماً، تفيد المعلومات الواردة في ملف القضية بأنه قضى فعلياً نحو ثلاث سنوات وتسعة أشهر محتجزاً رهن المحاكمة. انظر الفقرة </w:t>
      </w:r>
      <w:r w:rsidR="00121FB6" w:rsidRPr="007E20A0">
        <w:rPr>
          <w:rFonts w:eastAsiaTheme="minorEastAsia"/>
          <w:rtl/>
        </w:rPr>
        <w:t>2</w:t>
      </w:r>
      <w:r w:rsidR="00121FB6" w:rsidRPr="003D6C6F">
        <w:rPr>
          <w:rFonts w:eastAsiaTheme="minorEastAsia"/>
          <w:rtl/>
        </w:rPr>
        <w:t>-</w:t>
      </w:r>
      <w:r w:rsidR="00121FB6" w:rsidRPr="007E20A0">
        <w:rPr>
          <w:rFonts w:eastAsiaTheme="minorEastAsia"/>
          <w:rtl/>
        </w:rPr>
        <w:t>7</w:t>
      </w:r>
      <w:r w:rsidR="00121FB6" w:rsidRPr="003D6C6F">
        <w:rPr>
          <w:rFonts w:eastAsiaTheme="minorEastAsia"/>
          <w:rtl/>
        </w:rPr>
        <w:t xml:space="preserve"> أعلاه. </w:t>
      </w:r>
    </w:p>
  </w:footnote>
  <w:footnote w:id="9">
    <w:p w14:paraId="4EE37F96" w14:textId="7F7CF1E7" w:rsidR="00121FB6" w:rsidRPr="003D6C6F" w:rsidRDefault="003D6C6F" w:rsidP="003D6C6F">
      <w:pPr>
        <w:pStyle w:val="FootnoteText1"/>
        <w:textDirection w:val="tbRlV"/>
        <w:rPr>
          <w:rFonts w:eastAsiaTheme="minorEastAsia"/>
          <w:lang w:val="ar-SA" w:eastAsia="zh-TW" w:bidi="en-GB"/>
        </w:rPr>
      </w:pPr>
      <w:r w:rsidRPr="007E20A0">
        <w:rPr>
          <w:rFonts w:eastAsiaTheme="minorEastAsia"/>
          <w:rtl/>
        </w:rPr>
        <w:t>(</w:t>
      </w:r>
      <w:r w:rsidR="00121FB6" w:rsidRPr="007E20A0">
        <w:rPr>
          <w:rStyle w:val="FootnoteReference"/>
          <w:rFonts w:eastAsiaTheme="minorEastAsia"/>
          <w:vertAlign w:val="baseline"/>
          <w:rtl/>
        </w:rPr>
        <w:footnoteRef/>
      </w:r>
      <w:r w:rsidR="00121FB6" w:rsidRPr="007E20A0">
        <w:rPr>
          <w:rStyle w:val="FootnoteReference"/>
          <w:rFonts w:eastAsiaTheme="minorEastAsia"/>
          <w:vertAlign w:val="baseline"/>
          <w:rtl/>
        </w:rPr>
        <w:t>)</w:t>
      </w:r>
      <w:r w:rsidR="00121FB6" w:rsidRPr="007E20A0">
        <w:rPr>
          <w:rFonts w:eastAsiaTheme="minorEastAsia"/>
          <w:rtl/>
        </w:rPr>
        <w:tab/>
        <w:t xml:space="preserve">المحكمة الدستورية، الحكم رقم </w:t>
      </w:r>
      <w:r w:rsidR="00121FB6" w:rsidRPr="007E20A0">
        <w:rPr>
          <w:rFonts w:eastAsiaTheme="minorEastAsia"/>
        </w:rPr>
        <w:t>C-979/05</w:t>
      </w:r>
      <w:r w:rsidR="00121FB6" w:rsidRPr="007E20A0">
        <w:rPr>
          <w:rFonts w:eastAsiaTheme="minorEastAsia"/>
          <w:rtl/>
        </w:rPr>
        <w:t>.</w:t>
      </w:r>
      <w:r w:rsidR="00121FB6" w:rsidRPr="003D6C6F">
        <w:rPr>
          <w:rFonts w:eastAsiaTheme="minorEastAsia"/>
          <w:rtl/>
        </w:rPr>
        <w:t xml:space="preserve"> </w:t>
      </w:r>
    </w:p>
  </w:footnote>
  <w:footnote w:id="10">
    <w:p w14:paraId="2BB68FF9" w14:textId="32623B63"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لم يقدم صاحب البلاغ أي معلومات إضافية عن الوقائع والادعاءات الواردة في هذا البلاغ.</w:t>
      </w:r>
    </w:p>
  </w:footnote>
  <w:footnote w:id="11">
    <w:p w14:paraId="05DA48DC" w14:textId="287F268C"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انظر الفقرة </w:t>
      </w:r>
      <w:r w:rsidR="00121FB6" w:rsidRPr="007E20A0">
        <w:rPr>
          <w:rFonts w:eastAsiaTheme="minorEastAsia"/>
          <w:rtl/>
        </w:rPr>
        <w:t>4</w:t>
      </w:r>
      <w:r w:rsidR="00121FB6" w:rsidRPr="003D6C6F">
        <w:rPr>
          <w:rFonts w:eastAsiaTheme="minorEastAsia"/>
          <w:rtl/>
        </w:rPr>
        <w:t>-</w:t>
      </w:r>
      <w:r w:rsidR="00121FB6" w:rsidRPr="007E20A0">
        <w:rPr>
          <w:rFonts w:eastAsiaTheme="minorEastAsia"/>
          <w:rtl/>
        </w:rPr>
        <w:t>2</w:t>
      </w:r>
      <w:r w:rsidR="00121FB6" w:rsidRPr="003D6C6F">
        <w:rPr>
          <w:rFonts w:eastAsiaTheme="minorEastAsia"/>
          <w:rtl/>
        </w:rPr>
        <w:t xml:space="preserve"> أعلاه. </w:t>
      </w:r>
    </w:p>
  </w:footnote>
  <w:footnote w:id="12">
    <w:p w14:paraId="0FB78981" w14:textId="3B8D6D98"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قضية </w:t>
      </w:r>
      <w:proofErr w:type="spellStart"/>
      <w:r w:rsidR="00121FB6" w:rsidRPr="003D6C6F">
        <w:rPr>
          <w:rFonts w:eastAsiaTheme="minorEastAsia"/>
          <w:i/>
          <w:iCs/>
          <w:rtl/>
        </w:rPr>
        <w:t>تشادولال</w:t>
      </w:r>
      <w:proofErr w:type="spellEnd"/>
      <w:r w:rsidR="00121FB6" w:rsidRPr="003D6C6F">
        <w:rPr>
          <w:rFonts w:eastAsiaTheme="minorEastAsia"/>
          <w:i/>
          <w:iCs/>
          <w:rtl/>
        </w:rPr>
        <w:t xml:space="preserve"> </w:t>
      </w:r>
      <w:proofErr w:type="spellStart"/>
      <w:r w:rsidR="00121FB6" w:rsidRPr="003D6C6F">
        <w:rPr>
          <w:rFonts w:eastAsiaTheme="minorEastAsia"/>
          <w:i/>
          <w:iCs/>
          <w:rtl/>
        </w:rPr>
        <w:t>تارو</w:t>
      </w:r>
      <w:proofErr w:type="spellEnd"/>
      <w:r w:rsidR="00121FB6" w:rsidRPr="003D6C6F">
        <w:rPr>
          <w:rFonts w:eastAsiaTheme="minorEastAsia"/>
          <w:i/>
          <w:iCs/>
          <w:rtl/>
        </w:rPr>
        <w:t xml:space="preserve"> وآخرون ضد نيبال</w:t>
      </w:r>
      <w:r w:rsidR="00121FB6" w:rsidRPr="003D6C6F">
        <w:rPr>
          <w:rFonts w:eastAsiaTheme="minorEastAsia"/>
          <w:rtl/>
        </w:rPr>
        <w:t xml:space="preserve"> (</w:t>
      </w:r>
      <w:r w:rsidR="00121FB6" w:rsidRPr="003D6C6F">
        <w:rPr>
          <w:rFonts w:eastAsiaTheme="minorEastAsia"/>
        </w:rPr>
        <w:t>CCPR/C/</w:t>
      </w:r>
      <w:r w:rsidR="00121FB6" w:rsidRPr="007E20A0">
        <w:rPr>
          <w:rFonts w:eastAsiaTheme="minorEastAsia"/>
        </w:rPr>
        <w:t>114</w:t>
      </w:r>
      <w:r w:rsidR="00121FB6" w:rsidRPr="003D6C6F">
        <w:rPr>
          <w:rFonts w:eastAsiaTheme="minorEastAsia"/>
        </w:rPr>
        <w:t>/D/</w:t>
      </w:r>
      <w:r w:rsidR="00121FB6" w:rsidRPr="007E20A0">
        <w:rPr>
          <w:rFonts w:eastAsiaTheme="minorEastAsia"/>
        </w:rPr>
        <w:t>2038</w:t>
      </w:r>
      <w:r w:rsidR="00121FB6" w:rsidRPr="003D6C6F">
        <w:rPr>
          <w:rFonts w:eastAsiaTheme="minorEastAsia"/>
        </w:rPr>
        <w:t>/</w:t>
      </w:r>
      <w:r w:rsidR="00121FB6" w:rsidRPr="007E20A0">
        <w:rPr>
          <w:rFonts w:eastAsiaTheme="minorEastAsia"/>
        </w:rPr>
        <w:t>2011</w:t>
      </w:r>
      <w:r w:rsidR="00121FB6" w:rsidRPr="003D6C6F">
        <w:rPr>
          <w:rFonts w:eastAsiaTheme="minorEastAsia"/>
          <w:rtl/>
        </w:rPr>
        <w:t xml:space="preserve">)، الفقرة </w:t>
      </w:r>
      <w:r w:rsidR="00121FB6" w:rsidRPr="007E20A0">
        <w:rPr>
          <w:rFonts w:eastAsiaTheme="minorEastAsia"/>
          <w:rtl/>
        </w:rPr>
        <w:t>9</w:t>
      </w:r>
      <w:r w:rsidR="00121FB6" w:rsidRPr="003D6C6F">
        <w:rPr>
          <w:rFonts w:eastAsiaTheme="minorEastAsia"/>
          <w:rtl/>
        </w:rPr>
        <w:t>-</w:t>
      </w:r>
      <w:r w:rsidR="00121FB6" w:rsidRPr="007E20A0">
        <w:rPr>
          <w:rFonts w:eastAsiaTheme="minorEastAsia"/>
          <w:rtl/>
        </w:rPr>
        <w:t>2</w:t>
      </w:r>
      <w:r w:rsidR="00121FB6" w:rsidRPr="003D6C6F">
        <w:rPr>
          <w:rFonts w:eastAsiaTheme="minorEastAsia"/>
          <w:rtl/>
        </w:rPr>
        <w:t>.</w:t>
      </w:r>
    </w:p>
  </w:footnote>
  <w:footnote w:id="13">
    <w:p w14:paraId="4CD551EB" w14:textId="6EB4F9CB"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يستشهد صاحب البلاغ، على سبيل المثال، بقضية </w:t>
      </w:r>
      <w:proofErr w:type="spellStart"/>
      <w:r w:rsidR="00121FB6" w:rsidRPr="003D6C6F">
        <w:rPr>
          <w:rFonts w:eastAsiaTheme="minorEastAsia"/>
          <w:i/>
          <w:iCs/>
          <w:rtl/>
        </w:rPr>
        <w:t>ياروسلاف</w:t>
      </w:r>
      <w:proofErr w:type="spellEnd"/>
      <w:r w:rsidR="00121FB6" w:rsidRPr="003D6C6F">
        <w:rPr>
          <w:rFonts w:eastAsiaTheme="minorEastAsia"/>
          <w:i/>
          <w:iCs/>
          <w:rtl/>
        </w:rPr>
        <w:t xml:space="preserve"> وآخرون ضد الجمهورية التشيكية</w:t>
      </w:r>
      <w:r w:rsidR="00121FB6" w:rsidRPr="003D6C6F">
        <w:rPr>
          <w:rFonts w:eastAsiaTheme="minorEastAsia"/>
          <w:rtl/>
        </w:rPr>
        <w:t xml:space="preserve"> (</w:t>
      </w:r>
      <w:r w:rsidR="00121FB6" w:rsidRPr="003D6C6F">
        <w:rPr>
          <w:rFonts w:eastAsiaTheme="minorEastAsia"/>
        </w:rPr>
        <w:t>CCPR/C/</w:t>
      </w:r>
      <w:r w:rsidR="00121FB6" w:rsidRPr="007E20A0">
        <w:rPr>
          <w:rFonts w:eastAsiaTheme="minorEastAsia"/>
        </w:rPr>
        <w:t>96</w:t>
      </w:r>
      <w:r w:rsidR="00121FB6" w:rsidRPr="003D6C6F">
        <w:rPr>
          <w:rFonts w:eastAsiaTheme="minorEastAsia"/>
        </w:rPr>
        <w:t>/D/</w:t>
      </w:r>
      <w:r w:rsidR="00121FB6" w:rsidRPr="007E20A0">
        <w:rPr>
          <w:rFonts w:eastAsiaTheme="minorEastAsia"/>
        </w:rPr>
        <w:t>1574</w:t>
      </w:r>
      <w:r w:rsidR="00121FB6" w:rsidRPr="003D6C6F">
        <w:rPr>
          <w:rFonts w:eastAsiaTheme="minorEastAsia"/>
        </w:rPr>
        <w:t>/</w:t>
      </w:r>
      <w:r w:rsidR="00121FB6" w:rsidRPr="007E20A0">
        <w:rPr>
          <w:rFonts w:eastAsiaTheme="minorEastAsia"/>
        </w:rPr>
        <w:t>2007</w:t>
      </w:r>
      <w:r w:rsidR="00121FB6" w:rsidRPr="003D6C6F">
        <w:rPr>
          <w:rFonts w:eastAsiaTheme="minorEastAsia"/>
          <w:rtl/>
        </w:rPr>
        <w:t xml:space="preserve">)، الفقرة </w:t>
      </w:r>
      <w:r w:rsidR="00121FB6" w:rsidRPr="007E20A0">
        <w:rPr>
          <w:rFonts w:eastAsiaTheme="minorEastAsia"/>
          <w:rtl/>
        </w:rPr>
        <w:t>6</w:t>
      </w:r>
      <w:r w:rsidR="00121FB6" w:rsidRPr="003D6C6F">
        <w:rPr>
          <w:rFonts w:eastAsiaTheme="minorEastAsia"/>
          <w:rtl/>
        </w:rPr>
        <w:t>-</w:t>
      </w:r>
      <w:r w:rsidR="00121FB6" w:rsidRPr="007E20A0">
        <w:rPr>
          <w:rFonts w:eastAsiaTheme="minorEastAsia"/>
          <w:rtl/>
        </w:rPr>
        <w:t>3</w:t>
      </w:r>
      <w:r w:rsidR="00121FB6" w:rsidRPr="003D6C6F">
        <w:rPr>
          <w:rFonts w:eastAsiaTheme="minorEastAsia"/>
          <w:rtl/>
        </w:rPr>
        <w:t>.</w:t>
      </w:r>
    </w:p>
  </w:footnote>
  <w:footnote w:id="14">
    <w:p w14:paraId="6A878859" w14:textId="3B80738B"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يستشهد صاحب البلاغ بالمادتين </w:t>
      </w:r>
      <w:r w:rsidR="00121FB6" w:rsidRPr="007E20A0">
        <w:rPr>
          <w:rFonts w:eastAsiaTheme="minorEastAsia"/>
          <w:rtl/>
        </w:rPr>
        <w:t>234</w:t>
      </w:r>
      <w:r w:rsidR="00121FB6" w:rsidRPr="003D6C6F">
        <w:rPr>
          <w:rFonts w:eastAsiaTheme="minorEastAsia"/>
          <w:rtl/>
        </w:rPr>
        <w:t xml:space="preserve"> و</w:t>
      </w:r>
      <w:r w:rsidR="00121FB6" w:rsidRPr="007E20A0">
        <w:rPr>
          <w:rFonts w:eastAsiaTheme="minorEastAsia"/>
          <w:rtl/>
        </w:rPr>
        <w:t>235</w:t>
      </w:r>
      <w:r w:rsidR="00121FB6" w:rsidRPr="003D6C6F">
        <w:rPr>
          <w:rFonts w:eastAsiaTheme="minorEastAsia"/>
          <w:rtl/>
        </w:rPr>
        <w:t xml:space="preserve"> من الدستور (صلاحيات المحكمة العليا). </w:t>
      </w:r>
    </w:p>
  </w:footnote>
  <w:footnote w:id="15">
    <w:p w14:paraId="708C29B0" w14:textId="4FF3D587"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قضية </w:t>
      </w:r>
      <w:proofErr w:type="spellStart"/>
      <w:r w:rsidR="00121FB6" w:rsidRPr="003D6C6F">
        <w:rPr>
          <w:rFonts w:eastAsiaTheme="minorEastAsia"/>
          <w:i/>
          <w:iCs/>
          <w:rtl/>
        </w:rPr>
        <w:t>غوماريث</w:t>
      </w:r>
      <w:proofErr w:type="spellEnd"/>
      <w:r w:rsidR="00121FB6" w:rsidRPr="003D6C6F">
        <w:rPr>
          <w:rFonts w:eastAsiaTheme="minorEastAsia"/>
          <w:i/>
          <w:iCs/>
          <w:rtl/>
        </w:rPr>
        <w:t xml:space="preserve"> فاليرا ضد إسبانيا</w:t>
      </w:r>
      <w:r w:rsidR="00121FB6" w:rsidRPr="003D6C6F">
        <w:rPr>
          <w:rFonts w:eastAsiaTheme="minorEastAsia"/>
          <w:rtl/>
        </w:rPr>
        <w:t xml:space="preserve"> (</w:t>
      </w:r>
      <w:r w:rsidR="00121FB6" w:rsidRPr="003D6C6F">
        <w:rPr>
          <w:rFonts w:eastAsiaTheme="minorEastAsia"/>
        </w:rPr>
        <w:t>CCPR/C/</w:t>
      </w:r>
      <w:r w:rsidR="00121FB6" w:rsidRPr="007E20A0">
        <w:rPr>
          <w:rFonts w:eastAsiaTheme="minorEastAsia"/>
        </w:rPr>
        <w:t>84</w:t>
      </w:r>
      <w:r w:rsidR="00121FB6" w:rsidRPr="003D6C6F">
        <w:rPr>
          <w:rFonts w:eastAsiaTheme="minorEastAsia"/>
        </w:rPr>
        <w:t>/D/</w:t>
      </w:r>
      <w:r w:rsidR="00121FB6" w:rsidRPr="007E20A0">
        <w:rPr>
          <w:rFonts w:eastAsiaTheme="minorEastAsia"/>
        </w:rPr>
        <w:t>1095</w:t>
      </w:r>
      <w:r w:rsidR="00121FB6" w:rsidRPr="003D6C6F">
        <w:rPr>
          <w:rFonts w:eastAsiaTheme="minorEastAsia"/>
        </w:rPr>
        <w:t>/</w:t>
      </w:r>
      <w:r w:rsidR="00121FB6" w:rsidRPr="007E20A0">
        <w:rPr>
          <w:rFonts w:eastAsiaTheme="minorEastAsia"/>
        </w:rPr>
        <w:t>2002</w:t>
      </w:r>
      <w:r w:rsidR="00121FB6" w:rsidRPr="003D6C6F">
        <w:rPr>
          <w:rFonts w:eastAsiaTheme="minorEastAsia"/>
          <w:rtl/>
        </w:rPr>
        <w:t xml:space="preserve">)، الفقرة </w:t>
      </w:r>
      <w:r w:rsidR="00121FB6" w:rsidRPr="007E20A0">
        <w:rPr>
          <w:rFonts w:eastAsiaTheme="minorEastAsia"/>
          <w:rtl/>
        </w:rPr>
        <w:t>7</w:t>
      </w:r>
      <w:r w:rsidR="00121FB6" w:rsidRPr="003D6C6F">
        <w:rPr>
          <w:rFonts w:eastAsiaTheme="minorEastAsia"/>
          <w:rtl/>
        </w:rPr>
        <w:t>-</w:t>
      </w:r>
      <w:r w:rsidR="00121FB6" w:rsidRPr="007E20A0">
        <w:rPr>
          <w:rFonts w:eastAsiaTheme="minorEastAsia"/>
          <w:rtl/>
        </w:rPr>
        <w:t>1</w:t>
      </w:r>
      <w:r w:rsidR="00121FB6" w:rsidRPr="003D6C6F">
        <w:rPr>
          <w:rFonts w:eastAsiaTheme="minorEastAsia"/>
          <w:rtl/>
        </w:rPr>
        <w:t>.</w:t>
      </w:r>
    </w:p>
  </w:footnote>
  <w:footnote w:id="16">
    <w:p w14:paraId="2DE03FEE" w14:textId="1BCBF04A"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r>
      <w:proofErr w:type="spellStart"/>
      <w:r w:rsidR="00121FB6" w:rsidRPr="003D6C6F">
        <w:rPr>
          <w:rFonts w:eastAsiaTheme="minorEastAsia"/>
          <w:i/>
          <w:iCs/>
        </w:rPr>
        <w:t>Vanguardia</w:t>
      </w:r>
      <w:proofErr w:type="spellEnd"/>
      <w:r>
        <w:rPr>
          <w:rFonts w:eastAsiaTheme="minorEastAsia"/>
          <w:rtl/>
        </w:rPr>
        <w:t xml:space="preserve">، </w:t>
      </w:r>
      <w:r w:rsidR="00121FB6" w:rsidRPr="007E20A0">
        <w:rPr>
          <w:rFonts w:eastAsiaTheme="minorEastAsia"/>
          <w:rtl/>
        </w:rPr>
        <w:t>7</w:t>
      </w:r>
      <w:r w:rsidR="00121FB6" w:rsidRPr="003D6C6F">
        <w:rPr>
          <w:rFonts w:eastAsiaTheme="minorEastAsia"/>
          <w:rtl/>
        </w:rPr>
        <w:t xml:space="preserve"> نيسان/أبريل </w:t>
      </w:r>
      <w:r w:rsidR="00121FB6" w:rsidRPr="007E20A0">
        <w:rPr>
          <w:rFonts w:eastAsiaTheme="minorEastAsia"/>
          <w:rtl/>
        </w:rPr>
        <w:t>2017</w:t>
      </w:r>
      <w:r w:rsidR="00121FB6" w:rsidRPr="003D6C6F">
        <w:rPr>
          <w:rFonts w:eastAsiaTheme="minorEastAsia"/>
          <w:rtl/>
        </w:rPr>
        <w:t xml:space="preserve">، متاح في: </w:t>
      </w:r>
      <w:r w:rsidR="00121FB6" w:rsidRPr="003D6C6F">
        <w:rPr>
          <w:rFonts w:eastAsiaTheme="minorEastAsia"/>
        </w:rPr>
        <w:t>https://www.vanguardia.com/politica/proyecto-de-doble-instancia-para-congresistas-sigue-avanzando-CQVL</w:t>
      </w:r>
      <w:r w:rsidR="00121FB6" w:rsidRPr="007E20A0">
        <w:rPr>
          <w:rFonts w:eastAsiaTheme="minorEastAsia"/>
        </w:rPr>
        <w:t>394204</w:t>
      </w:r>
      <w:r w:rsidR="00121FB6" w:rsidRPr="003D6C6F">
        <w:rPr>
          <w:rFonts w:eastAsiaTheme="minorEastAsia"/>
          <w:rtl/>
        </w:rPr>
        <w:t>.</w:t>
      </w:r>
    </w:p>
  </w:footnote>
  <w:footnote w:id="17">
    <w:p w14:paraId="574E1E64" w14:textId="2B36F90C"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r>
      <w:r w:rsidR="009C3B0C" w:rsidRPr="00FA5C3F">
        <w:rPr>
          <w:i/>
          <w:iCs/>
          <w:lang w:val="es-ES"/>
        </w:rPr>
        <w:t>Noticias Caracol</w:t>
      </w:r>
      <w:r>
        <w:rPr>
          <w:rFonts w:eastAsiaTheme="minorEastAsia"/>
          <w:rtl/>
        </w:rPr>
        <w:t xml:space="preserve">، </w:t>
      </w:r>
      <w:r w:rsidR="00121FB6" w:rsidRPr="007E20A0">
        <w:rPr>
          <w:rFonts w:eastAsiaTheme="minorEastAsia"/>
          <w:rtl/>
        </w:rPr>
        <w:t>21</w:t>
      </w:r>
      <w:r w:rsidR="00121FB6" w:rsidRPr="003D6C6F">
        <w:rPr>
          <w:rFonts w:eastAsiaTheme="minorEastAsia"/>
          <w:rtl/>
        </w:rPr>
        <w:t xml:space="preserve"> </w:t>
      </w:r>
      <w:r w:rsidR="009C3B0C">
        <w:rPr>
          <w:rFonts w:eastAsiaTheme="minorEastAsia" w:hint="cs"/>
          <w:rtl/>
        </w:rPr>
        <w:t>آذار/</w:t>
      </w:r>
      <w:r w:rsidR="00121FB6" w:rsidRPr="003D6C6F">
        <w:rPr>
          <w:rFonts w:eastAsiaTheme="minorEastAsia"/>
          <w:rtl/>
        </w:rPr>
        <w:t xml:space="preserve">مارس </w:t>
      </w:r>
      <w:r w:rsidR="00121FB6" w:rsidRPr="007E20A0">
        <w:rPr>
          <w:rFonts w:eastAsiaTheme="minorEastAsia"/>
          <w:rtl/>
        </w:rPr>
        <w:t>2017</w:t>
      </w:r>
      <w:r w:rsidR="00121FB6" w:rsidRPr="003D6C6F">
        <w:rPr>
          <w:rFonts w:eastAsiaTheme="minorEastAsia"/>
          <w:rtl/>
        </w:rPr>
        <w:t xml:space="preserve">، متاح في: </w:t>
      </w:r>
      <w:r w:rsidR="00121FB6" w:rsidRPr="003D6C6F">
        <w:rPr>
          <w:rFonts w:eastAsiaTheme="minorEastAsia"/>
        </w:rPr>
        <w:t>https://</w:t>
      </w:r>
      <w:proofErr w:type="spellStart"/>
      <w:r w:rsidR="00121FB6" w:rsidRPr="003D6C6F">
        <w:rPr>
          <w:rFonts w:eastAsiaTheme="minorEastAsia"/>
        </w:rPr>
        <w:t>noticias.caracoltv.com</w:t>
      </w:r>
      <w:proofErr w:type="spellEnd"/>
      <w:r w:rsidR="00121FB6" w:rsidRPr="003D6C6F">
        <w:rPr>
          <w:rFonts w:eastAsiaTheme="minorEastAsia"/>
        </w:rPr>
        <w:t>/</w:t>
      </w:r>
      <w:proofErr w:type="spellStart"/>
      <w:r w:rsidR="00121FB6" w:rsidRPr="003D6C6F">
        <w:rPr>
          <w:rFonts w:eastAsiaTheme="minorEastAsia"/>
        </w:rPr>
        <w:t>colombia</w:t>
      </w:r>
      <w:proofErr w:type="spellEnd"/>
      <w:r w:rsidR="00121FB6" w:rsidRPr="003D6C6F">
        <w:rPr>
          <w:rFonts w:eastAsiaTheme="minorEastAsia"/>
        </w:rPr>
        <w:t xml:space="preserve">/ </w:t>
      </w:r>
      <w:proofErr w:type="spellStart"/>
      <w:r w:rsidR="00121FB6" w:rsidRPr="003D6C6F">
        <w:rPr>
          <w:rFonts w:eastAsiaTheme="minorEastAsia"/>
        </w:rPr>
        <w:t>radican</w:t>
      </w:r>
      <w:proofErr w:type="spellEnd"/>
      <w:r w:rsidR="00121FB6" w:rsidRPr="003D6C6F">
        <w:rPr>
          <w:rFonts w:eastAsiaTheme="minorEastAsia"/>
        </w:rPr>
        <w:t>-</w:t>
      </w:r>
      <w:proofErr w:type="spellStart"/>
      <w:r w:rsidR="00121FB6" w:rsidRPr="003D6C6F">
        <w:rPr>
          <w:rFonts w:eastAsiaTheme="minorEastAsia"/>
        </w:rPr>
        <w:t>proyecto</w:t>
      </w:r>
      <w:proofErr w:type="spellEnd"/>
      <w:r w:rsidR="00121FB6" w:rsidRPr="003D6C6F">
        <w:rPr>
          <w:rFonts w:eastAsiaTheme="minorEastAsia"/>
        </w:rPr>
        <w:t>-para-</w:t>
      </w:r>
      <w:proofErr w:type="spellStart"/>
      <w:r w:rsidR="00121FB6" w:rsidRPr="003D6C6F">
        <w:rPr>
          <w:rFonts w:eastAsiaTheme="minorEastAsia"/>
        </w:rPr>
        <w:t>aforados</w:t>
      </w:r>
      <w:proofErr w:type="spellEnd"/>
      <w:r w:rsidR="00121FB6" w:rsidRPr="003D6C6F">
        <w:rPr>
          <w:rFonts w:eastAsiaTheme="minorEastAsia"/>
        </w:rPr>
        <w:t>-</w:t>
      </w:r>
      <w:proofErr w:type="spellStart"/>
      <w:r w:rsidR="00121FB6" w:rsidRPr="003D6C6F">
        <w:rPr>
          <w:rFonts w:eastAsiaTheme="minorEastAsia"/>
        </w:rPr>
        <w:t>tengan</w:t>
      </w:r>
      <w:proofErr w:type="spellEnd"/>
      <w:r w:rsidR="00121FB6" w:rsidRPr="003D6C6F">
        <w:rPr>
          <w:rFonts w:eastAsiaTheme="minorEastAsia"/>
        </w:rPr>
        <w:t>-doble-</w:t>
      </w:r>
      <w:proofErr w:type="spellStart"/>
      <w:r w:rsidR="00121FB6" w:rsidRPr="003D6C6F">
        <w:rPr>
          <w:rFonts w:eastAsiaTheme="minorEastAsia"/>
        </w:rPr>
        <w:t>instancia</w:t>
      </w:r>
      <w:proofErr w:type="spellEnd"/>
      <w:r w:rsidR="00121FB6" w:rsidRPr="003D6C6F">
        <w:rPr>
          <w:rFonts w:eastAsiaTheme="minorEastAsia"/>
          <w:rtl/>
        </w:rPr>
        <w:t>.</w:t>
      </w:r>
    </w:p>
  </w:footnote>
  <w:footnote w:id="18">
    <w:p w14:paraId="3584784F" w14:textId="3D8458FA" w:rsidR="00121FB6" w:rsidRPr="003D6C6F" w:rsidRDefault="00121FB6" w:rsidP="003D6C6F">
      <w:pPr>
        <w:pStyle w:val="FootnoteText1"/>
        <w:textDirection w:val="tbRlV"/>
        <w:rPr>
          <w:rFonts w:eastAsiaTheme="minorEastAsia"/>
          <w:lang w:val="ar-SA" w:eastAsia="zh-TW" w:bidi="en-GB"/>
        </w:rPr>
      </w:pPr>
      <w:r w:rsidRPr="003D6C6F">
        <w:rPr>
          <w:rStyle w:val="FootnoteReference"/>
          <w:rFonts w:eastAsiaTheme="minorEastAsia"/>
          <w:vertAlign w:val="baseline"/>
          <w:rtl/>
        </w:rPr>
        <w:t>(</w:t>
      </w:r>
      <w:r w:rsidRPr="007E20A0">
        <w:rPr>
          <w:rStyle w:val="FootnoteReference"/>
          <w:rFonts w:eastAsiaTheme="minorEastAsia"/>
          <w:vertAlign w:val="baseline"/>
          <w:rtl/>
        </w:rPr>
        <w:footnoteRef/>
      </w:r>
      <w:r w:rsidRPr="003D6C6F">
        <w:rPr>
          <w:rStyle w:val="FootnoteReference"/>
          <w:rFonts w:eastAsiaTheme="minorEastAsia"/>
          <w:vertAlign w:val="baseline"/>
          <w:rtl/>
        </w:rPr>
        <w:t>)</w:t>
      </w:r>
      <w:r w:rsidRPr="003D6C6F">
        <w:rPr>
          <w:rFonts w:eastAsiaTheme="minorEastAsia"/>
          <w:rtl/>
        </w:rPr>
        <w:tab/>
      </w:r>
      <w:r w:rsidR="009C3B0C">
        <w:rPr>
          <w:i/>
          <w:iCs/>
        </w:rPr>
        <w:t xml:space="preserve">El </w:t>
      </w:r>
      <w:proofErr w:type="spellStart"/>
      <w:r w:rsidR="009C3B0C">
        <w:rPr>
          <w:i/>
          <w:iCs/>
        </w:rPr>
        <w:t>Espectador</w:t>
      </w:r>
      <w:proofErr w:type="spellEnd"/>
      <w:r w:rsidR="003D6C6F">
        <w:rPr>
          <w:rFonts w:eastAsiaTheme="minorEastAsia"/>
          <w:rtl/>
        </w:rPr>
        <w:t xml:space="preserve">، </w:t>
      </w:r>
      <w:r w:rsidRPr="007E20A0">
        <w:rPr>
          <w:rFonts w:eastAsiaTheme="minorEastAsia"/>
          <w:rtl/>
        </w:rPr>
        <w:t>23</w:t>
      </w:r>
      <w:r w:rsidRPr="003D6C6F">
        <w:rPr>
          <w:rFonts w:eastAsiaTheme="minorEastAsia"/>
          <w:rtl/>
        </w:rPr>
        <w:t xml:space="preserve"> </w:t>
      </w:r>
      <w:r w:rsidR="009C3B0C">
        <w:rPr>
          <w:rFonts w:eastAsiaTheme="minorEastAsia" w:hint="cs"/>
          <w:rtl/>
        </w:rPr>
        <w:t>آذار/</w:t>
      </w:r>
      <w:r w:rsidRPr="003D6C6F">
        <w:rPr>
          <w:rFonts w:eastAsiaTheme="minorEastAsia"/>
          <w:rtl/>
        </w:rPr>
        <w:t xml:space="preserve">مارس </w:t>
      </w:r>
      <w:r w:rsidRPr="007E20A0">
        <w:rPr>
          <w:rFonts w:eastAsiaTheme="minorEastAsia"/>
        </w:rPr>
        <w:t>2017</w:t>
      </w:r>
      <w:r w:rsidRPr="003D6C6F">
        <w:rPr>
          <w:rFonts w:eastAsiaTheme="minorEastAsia"/>
          <w:rtl/>
        </w:rPr>
        <w:t>، متاح في:</w:t>
      </w:r>
      <w:r w:rsidRPr="003D6C6F">
        <w:rPr>
          <w:rFonts w:eastAsiaTheme="minorEastAsia"/>
          <w:rtl/>
          <w:lang w:val="fr-CH"/>
        </w:rPr>
        <w:t xml:space="preserve"> </w:t>
      </w:r>
      <w:r w:rsidRPr="003D6C6F">
        <w:rPr>
          <w:rFonts w:eastAsiaTheme="minorEastAsia"/>
        </w:rPr>
        <w:t>https://www.elespectador.com/opinion/editorial/</w:t>
      </w:r>
      <w:r w:rsidR="00CA4C66">
        <w:rPr>
          <w:rFonts w:eastAsiaTheme="minorEastAsia"/>
        </w:rPr>
        <w:br/>
      </w:r>
      <w:r w:rsidRPr="003D6C6F">
        <w:rPr>
          <w:rFonts w:eastAsiaTheme="minorEastAsia"/>
        </w:rPr>
        <w:t>welcome-the-double-instance-for-afforados-article-</w:t>
      </w:r>
      <w:r w:rsidRPr="007E20A0">
        <w:rPr>
          <w:rFonts w:eastAsiaTheme="minorEastAsia"/>
        </w:rPr>
        <w:t>685820</w:t>
      </w:r>
      <w:r w:rsidRPr="003D6C6F">
        <w:rPr>
          <w:rFonts w:eastAsiaTheme="minorEastAsia"/>
          <w:rtl/>
        </w:rPr>
        <w:t>.</w:t>
      </w:r>
    </w:p>
  </w:footnote>
  <w:footnote w:id="19">
    <w:p w14:paraId="39F9E6B2" w14:textId="127F753C"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أرفقت الدولة الطرف، في مذكرة شفوية مؤرخة </w:t>
      </w:r>
      <w:r w:rsidR="00121FB6" w:rsidRPr="007E20A0">
        <w:rPr>
          <w:rFonts w:eastAsiaTheme="minorEastAsia"/>
          <w:rtl/>
        </w:rPr>
        <w:t>11</w:t>
      </w:r>
      <w:r w:rsidR="00121FB6" w:rsidRPr="003D6C6F">
        <w:rPr>
          <w:rFonts w:eastAsiaTheme="minorEastAsia"/>
          <w:rtl/>
        </w:rPr>
        <w:t xml:space="preserve"> تموز/يوليه </w:t>
      </w:r>
      <w:r w:rsidR="00121FB6" w:rsidRPr="007E20A0">
        <w:rPr>
          <w:rFonts w:eastAsiaTheme="minorEastAsia"/>
          <w:rtl/>
        </w:rPr>
        <w:t>2017</w:t>
      </w:r>
      <w:r w:rsidR="00121FB6" w:rsidRPr="003D6C6F">
        <w:rPr>
          <w:rFonts w:eastAsiaTheme="minorEastAsia"/>
          <w:rtl/>
        </w:rPr>
        <w:t>، نسخاً رقمية من أهم وثائق المحاكمة التي فُحصت في الإجراءات القضائية من أجل إلقاء الضوء على الوقائع والتطورات الإجرائية والقرارات المتخذة في سياق تلك الإجراءات.</w:t>
      </w:r>
    </w:p>
  </w:footnote>
  <w:footnote w:id="20">
    <w:p w14:paraId="60DA013B" w14:textId="52E09AC4" w:rsidR="00121FB6" w:rsidRPr="00685986" w:rsidRDefault="003D6C6F" w:rsidP="003D6C6F">
      <w:pPr>
        <w:pStyle w:val="FootnoteText1"/>
        <w:textDirection w:val="tbRlV"/>
        <w:rPr>
          <w:rFonts w:eastAsiaTheme="minorEastAsia"/>
          <w:lang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تشير الدولة الطرف إلى الأحكام التالية للمحكمة الدستورية: رقم</w:t>
      </w:r>
      <w:r>
        <w:rPr>
          <w:rFonts w:eastAsiaTheme="minorEastAsia"/>
          <w:rtl/>
        </w:rPr>
        <w:t xml:space="preserve"> </w:t>
      </w:r>
      <w:r w:rsidR="00121FB6" w:rsidRPr="003D6C6F">
        <w:rPr>
          <w:rFonts w:eastAsiaTheme="minorEastAsia"/>
          <w:rtl/>
        </w:rPr>
        <w:t xml:space="preserve"> </w:t>
      </w:r>
      <w:r w:rsidR="00121FB6" w:rsidRPr="003D6C6F">
        <w:rPr>
          <w:rFonts w:eastAsiaTheme="minorEastAsia"/>
        </w:rPr>
        <w:t>C-</w:t>
      </w:r>
      <w:r w:rsidR="00121FB6" w:rsidRPr="007E20A0">
        <w:rPr>
          <w:rFonts w:eastAsiaTheme="minorEastAsia"/>
        </w:rPr>
        <w:t>142</w:t>
      </w:r>
      <w:r>
        <w:rPr>
          <w:rFonts w:eastAsiaTheme="minorEastAsia"/>
          <w:rtl/>
        </w:rPr>
        <w:t xml:space="preserve"> </w:t>
      </w:r>
      <w:r w:rsidR="00121FB6" w:rsidRPr="003D6C6F">
        <w:rPr>
          <w:rFonts w:eastAsiaTheme="minorEastAsia"/>
          <w:rtl/>
        </w:rPr>
        <w:t xml:space="preserve">لعام </w:t>
      </w:r>
      <w:r w:rsidR="00121FB6" w:rsidRPr="007E20A0">
        <w:rPr>
          <w:rFonts w:eastAsiaTheme="minorEastAsia"/>
          <w:rtl/>
        </w:rPr>
        <w:t>1993</w:t>
      </w:r>
      <w:r w:rsidR="00121FB6" w:rsidRPr="003D6C6F">
        <w:rPr>
          <w:rFonts w:eastAsiaTheme="minorEastAsia"/>
          <w:rtl/>
        </w:rPr>
        <w:t xml:space="preserve">، </w:t>
      </w:r>
      <w:r w:rsidR="00121FB6" w:rsidRPr="003D6C6F">
        <w:rPr>
          <w:rFonts w:eastAsiaTheme="minorEastAsia"/>
          <w:rtl/>
          <w:lang w:val="fr-CH"/>
        </w:rPr>
        <w:t>و</w:t>
      </w:r>
      <w:r w:rsidR="00121FB6" w:rsidRPr="003D6C6F">
        <w:rPr>
          <w:rFonts w:eastAsiaTheme="minorEastAsia"/>
          <w:rtl/>
        </w:rPr>
        <w:t xml:space="preserve">رقم </w:t>
      </w:r>
      <w:r w:rsidR="00121FB6" w:rsidRPr="003D6C6F">
        <w:rPr>
          <w:rFonts w:eastAsiaTheme="minorEastAsia"/>
        </w:rPr>
        <w:t>C-</w:t>
      </w:r>
      <w:r w:rsidR="00121FB6" w:rsidRPr="007E20A0">
        <w:rPr>
          <w:rFonts w:eastAsiaTheme="minorEastAsia"/>
        </w:rPr>
        <w:t>411</w:t>
      </w:r>
      <w:r w:rsidR="00121FB6" w:rsidRPr="003D6C6F">
        <w:rPr>
          <w:rFonts w:eastAsiaTheme="minorEastAsia"/>
          <w:rtl/>
        </w:rPr>
        <w:t xml:space="preserve"> لعام </w:t>
      </w:r>
      <w:r w:rsidR="00121FB6" w:rsidRPr="007E20A0">
        <w:rPr>
          <w:rFonts w:eastAsiaTheme="minorEastAsia"/>
          <w:rtl/>
        </w:rPr>
        <w:t>1997</w:t>
      </w:r>
      <w:r w:rsidR="00121FB6" w:rsidRPr="003D6C6F">
        <w:rPr>
          <w:rFonts w:eastAsiaTheme="minorEastAsia"/>
          <w:rtl/>
        </w:rPr>
        <w:t xml:space="preserve">، ورقم </w:t>
      </w:r>
      <w:r w:rsidR="00121FB6" w:rsidRPr="003D6C6F">
        <w:rPr>
          <w:rFonts w:eastAsiaTheme="minorEastAsia"/>
        </w:rPr>
        <w:t>C-</w:t>
      </w:r>
      <w:r w:rsidR="00121FB6" w:rsidRPr="007E20A0">
        <w:rPr>
          <w:rFonts w:eastAsiaTheme="minorEastAsia"/>
        </w:rPr>
        <w:t>934</w:t>
      </w:r>
      <w:r w:rsidR="00121FB6" w:rsidRPr="003D6C6F">
        <w:rPr>
          <w:rFonts w:eastAsiaTheme="minorEastAsia"/>
          <w:rtl/>
        </w:rPr>
        <w:t xml:space="preserve"> لعام </w:t>
      </w:r>
      <w:r w:rsidR="00121FB6" w:rsidRPr="007E20A0">
        <w:rPr>
          <w:rFonts w:eastAsiaTheme="minorEastAsia"/>
          <w:rtl/>
        </w:rPr>
        <w:t>2006</w:t>
      </w:r>
      <w:r w:rsidR="00121FB6" w:rsidRPr="003D6C6F">
        <w:rPr>
          <w:rFonts w:eastAsiaTheme="minorEastAsia"/>
          <w:rtl/>
        </w:rPr>
        <w:t>.</w:t>
      </w:r>
    </w:p>
  </w:footnote>
  <w:footnote w:id="21">
    <w:p w14:paraId="144448C2" w14:textId="2823C504" w:rsidR="00121FB6" w:rsidRPr="00685986" w:rsidRDefault="003D6C6F" w:rsidP="003D6C6F">
      <w:pPr>
        <w:pStyle w:val="FootnoteText1"/>
        <w:textDirection w:val="tbRlV"/>
        <w:rPr>
          <w:rFonts w:eastAsiaTheme="minorEastAsia"/>
          <w:lang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في </w:t>
      </w:r>
      <w:r w:rsidR="00121FB6" w:rsidRPr="007E20A0">
        <w:rPr>
          <w:rFonts w:eastAsiaTheme="minorEastAsia"/>
          <w:rtl/>
        </w:rPr>
        <w:t>12</w:t>
      </w:r>
      <w:r w:rsidR="00121FB6" w:rsidRPr="003D6C6F">
        <w:rPr>
          <w:rFonts w:eastAsiaTheme="minorEastAsia"/>
          <w:rtl/>
        </w:rPr>
        <w:t xml:space="preserve"> كانون الأول/ديسمبر </w:t>
      </w:r>
      <w:r w:rsidR="00121FB6" w:rsidRPr="007E20A0">
        <w:rPr>
          <w:rFonts w:eastAsiaTheme="minorEastAsia"/>
          <w:rtl/>
        </w:rPr>
        <w:t>2008</w:t>
      </w:r>
      <w:r w:rsidR="00121FB6" w:rsidRPr="003D6C6F">
        <w:rPr>
          <w:rFonts w:eastAsiaTheme="minorEastAsia"/>
          <w:rtl/>
        </w:rPr>
        <w:t xml:space="preserve">، أمر مكتب المدعي العام مرة أخرى باحتجاز صاحب البلاغ رهن المحاكمة. انظر أيضاً الفقرة </w:t>
      </w:r>
      <w:r w:rsidR="00121FB6" w:rsidRPr="007E20A0">
        <w:rPr>
          <w:rFonts w:eastAsiaTheme="minorEastAsia"/>
          <w:rtl/>
        </w:rPr>
        <w:t>2</w:t>
      </w:r>
      <w:r w:rsidR="00121FB6" w:rsidRPr="003D6C6F">
        <w:rPr>
          <w:rFonts w:eastAsiaTheme="minorEastAsia"/>
          <w:rtl/>
        </w:rPr>
        <w:t>-</w:t>
      </w:r>
      <w:r w:rsidR="00121FB6" w:rsidRPr="007E20A0">
        <w:rPr>
          <w:rFonts w:eastAsiaTheme="minorEastAsia"/>
          <w:rtl/>
        </w:rPr>
        <w:t>7</w:t>
      </w:r>
      <w:r w:rsidR="00121FB6" w:rsidRPr="003D6C6F">
        <w:rPr>
          <w:rFonts w:eastAsiaTheme="minorEastAsia"/>
          <w:rtl/>
        </w:rPr>
        <w:t xml:space="preserve"> أعلاه.</w:t>
      </w:r>
    </w:p>
  </w:footnote>
  <w:footnote w:id="22">
    <w:p w14:paraId="43E97D87" w14:textId="2CA082B4"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أدرجت الدولة الطرف نسخة من أوامر الاحتجاز الثلاثة المؤرخة </w:t>
      </w:r>
      <w:r w:rsidR="00121FB6" w:rsidRPr="007E20A0">
        <w:rPr>
          <w:rFonts w:eastAsiaTheme="minorEastAsia"/>
          <w:rtl/>
        </w:rPr>
        <w:t>27</w:t>
      </w:r>
      <w:r w:rsidR="00121FB6" w:rsidRPr="003D6C6F">
        <w:rPr>
          <w:rFonts w:eastAsiaTheme="minorEastAsia"/>
          <w:rtl/>
        </w:rPr>
        <w:t xml:space="preserve"> شباط/فبراير و</w:t>
      </w:r>
      <w:r w:rsidR="00121FB6" w:rsidRPr="007E20A0">
        <w:rPr>
          <w:rFonts w:eastAsiaTheme="minorEastAsia"/>
          <w:rtl/>
        </w:rPr>
        <w:t>6</w:t>
      </w:r>
      <w:r w:rsidR="00121FB6" w:rsidRPr="003D6C6F">
        <w:rPr>
          <w:rFonts w:eastAsiaTheme="minorEastAsia"/>
          <w:rtl/>
        </w:rPr>
        <w:t xml:space="preserve"> تموز/يوليه </w:t>
      </w:r>
      <w:r w:rsidR="00121FB6" w:rsidRPr="007E20A0">
        <w:rPr>
          <w:rFonts w:eastAsiaTheme="minorEastAsia"/>
          <w:rtl/>
        </w:rPr>
        <w:t>2007</w:t>
      </w:r>
      <w:r w:rsidR="00121FB6" w:rsidRPr="003D6C6F">
        <w:rPr>
          <w:rFonts w:eastAsiaTheme="minorEastAsia"/>
          <w:rtl/>
        </w:rPr>
        <w:t xml:space="preserve"> و</w:t>
      </w:r>
      <w:r w:rsidR="00121FB6" w:rsidRPr="007E20A0">
        <w:rPr>
          <w:rFonts w:eastAsiaTheme="minorEastAsia"/>
          <w:rtl/>
        </w:rPr>
        <w:t>12</w:t>
      </w:r>
      <w:r w:rsidR="00121FB6" w:rsidRPr="003D6C6F">
        <w:rPr>
          <w:rFonts w:eastAsiaTheme="minorEastAsia"/>
          <w:rtl/>
        </w:rPr>
        <w:t xml:space="preserve"> كانون الأول/</w:t>
      </w:r>
      <w:r w:rsidR="00553AE2">
        <w:rPr>
          <w:rFonts w:eastAsiaTheme="minorEastAsia" w:hint="cs"/>
          <w:rtl/>
        </w:rPr>
        <w:t xml:space="preserve"> </w:t>
      </w:r>
      <w:r w:rsidR="00121FB6" w:rsidRPr="003D6C6F">
        <w:rPr>
          <w:rFonts w:eastAsiaTheme="minorEastAsia"/>
          <w:rtl/>
        </w:rPr>
        <w:t xml:space="preserve">ديسمبر </w:t>
      </w:r>
      <w:r w:rsidR="00121FB6" w:rsidRPr="007E20A0">
        <w:rPr>
          <w:rFonts w:eastAsiaTheme="minorEastAsia"/>
          <w:rtl/>
        </w:rPr>
        <w:t>2008</w:t>
      </w:r>
      <w:r w:rsidR="00121FB6" w:rsidRPr="003D6C6F">
        <w:rPr>
          <w:rFonts w:eastAsiaTheme="minorEastAsia"/>
          <w:rtl/>
        </w:rPr>
        <w:t xml:space="preserve"> على التوالي. ويشير أمر الاحتجاز الأخير إلى أنه صدر بحجة أن الإفراج عن صاحب البلاغ سيعرض المجتمع للخطر، نظراً لطبيعة جريمة التآمر الجنائي المشدد، التي تشكل، وفقاً لفقه الدولة الطرف وسوابقها القضائية، جريمة خطيرة، ونظراً لعلاقة صاحب البلاغ بمجموعة الدفاع الذاتي، ولا سيما في منطقة سانتا مارتا. ويورد الأمران السابقان حججاً مماثلة.</w:t>
      </w:r>
    </w:p>
  </w:footnote>
  <w:footnote w:id="23">
    <w:p w14:paraId="139BE43A" w14:textId="0B1671F1"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المحكمة الدستورية، الحكم رقم</w:t>
      </w:r>
      <w:r>
        <w:rPr>
          <w:rFonts w:eastAsiaTheme="minorEastAsia"/>
          <w:rtl/>
        </w:rPr>
        <w:t xml:space="preserve"> </w:t>
      </w:r>
      <w:r w:rsidR="00121FB6" w:rsidRPr="003D6C6F">
        <w:rPr>
          <w:rFonts w:eastAsiaTheme="minorEastAsia"/>
        </w:rPr>
        <w:t>C-</w:t>
      </w:r>
      <w:r w:rsidR="00121FB6" w:rsidRPr="007E20A0">
        <w:rPr>
          <w:rFonts w:eastAsiaTheme="minorEastAsia"/>
        </w:rPr>
        <w:t>934</w:t>
      </w:r>
      <w:r w:rsidR="00121FB6" w:rsidRPr="003D6C6F">
        <w:rPr>
          <w:rFonts w:eastAsiaTheme="minorEastAsia"/>
        </w:rPr>
        <w:t>/</w:t>
      </w:r>
      <w:r w:rsidR="00121FB6" w:rsidRPr="007E20A0">
        <w:rPr>
          <w:rFonts w:eastAsiaTheme="minorEastAsia"/>
        </w:rPr>
        <w:t>06</w:t>
      </w:r>
      <w:r w:rsidR="00121FB6" w:rsidRPr="003D6C6F">
        <w:rPr>
          <w:rFonts w:eastAsiaTheme="minorEastAsia"/>
          <w:rtl/>
        </w:rPr>
        <w:t>.</w:t>
      </w:r>
    </w:p>
  </w:footnote>
  <w:footnote w:id="24">
    <w:p w14:paraId="32DC3E43" w14:textId="6FEF008C" w:rsidR="00121FB6" w:rsidRPr="003D6C6F" w:rsidRDefault="003D6C6F" w:rsidP="003D6C6F">
      <w:pPr>
        <w:pStyle w:val="FootnoteText1"/>
        <w:textDirection w:val="tbRlV"/>
        <w:rPr>
          <w:rFonts w:eastAsiaTheme="minorEastAsia"/>
          <w:lang w:val="ar-SA" w:eastAsia="zh-TW" w:bidi="en-GB"/>
        </w:rPr>
      </w:pPr>
      <w:r w:rsidRPr="003D6C6F">
        <w:rPr>
          <w:rFonts w:eastAsiaTheme="minorEastAsia"/>
          <w:rtl/>
        </w:rPr>
        <w:t>(</w:t>
      </w:r>
      <w:r w:rsidR="00121FB6" w:rsidRPr="007E20A0">
        <w:rPr>
          <w:rStyle w:val="FootnoteReference"/>
          <w:rFonts w:eastAsiaTheme="minorEastAsia"/>
          <w:vertAlign w:val="baseline"/>
          <w:rtl/>
        </w:rPr>
        <w:footnoteRef/>
      </w:r>
      <w:r w:rsidR="00121FB6" w:rsidRPr="003D6C6F">
        <w:rPr>
          <w:rStyle w:val="FootnoteReference"/>
          <w:rFonts w:eastAsiaTheme="minorEastAsia"/>
          <w:vertAlign w:val="baseline"/>
          <w:rtl/>
        </w:rPr>
        <w:t>)</w:t>
      </w:r>
      <w:r w:rsidR="00121FB6" w:rsidRPr="003D6C6F">
        <w:rPr>
          <w:rFonts w:eastAsiaTheme="minorEastAsia"/>
          <w:rtl/>
        </w:rPr>
        <w:tab/>
        <w:t xml:space="preserve">انظر الفقرة </w:t>
      </w:r>
      <w:r w:rsidR="00121FB6" w:rsidRPr="007E20A0">
        <w:rPr>
          <w:rFonts w:eastAsiaTheme="minorEastAsia"/>
          <w:rtl/>
        </w:rPr>
        <w:t>4</w:t>
      </w:r>
      <w:r w:rsidR="00121FB6" w:rsidRPr="003D6C6F">
        <w:rPr>
          <w:rFonts w:eastAsiaTheme="minorEastAsia"/>
          <w:rtl/>
        </w:rPr>
        <w:t>-</w:t>
      </w:r>
      <w:r w:rsidR="00121FB6" w:rsidRPr="007E20A0">
        <w:rPr>
          <w:rFonts w:eastAsiaTheme="minorEastAsia"/>
          <w:rtl/>
        </w:rPr>
        <w:t>2</w:t>
      </w:r>
      <w:r w:rsidR="00121FB6" w:rsidRPr="003D6C6F">
        <w:rPr>
          <w:rFonts w:eastAsiaTheme="minorEastAsia"/>
          <w:rtl/>
        </w:rPr>
        <w:t xml:space="preserve"> أعلاه.</w:t>
      </w:r>
    </w:p>
  </w:footnote>
  <w:footnote w:id="25">
    <w:p w14:paraId="4BD2567E" w14:textId="4C770FA9" w:rsidR="00121FB6" w:rsidRPr="003D6C6F" w:rsidRDefault="00121FB6" w:rsidP="003D6C6F">
      <w:pPr>
        <w:pStyle w:val="FootnoteText1"/>
        <w:textDirection w:val="tbRlV"/>
        <w:rPr>
          <w:rFonts w:eastAsiaTheme="minorEastAsia"/>
          <w:lang w:val="ar-SA" w:eastAsia="zh-TW" w:bidi="en-GB"/>
        </w:rPr>
      </w:pPr>
      <w:r w:rsidRPr="003D6C6F">
        <w:rPr>
          <w:rStyle w:val="FootnoteReference"/>
          <w:rFonts w:eastAsiaTheme="minorEastAsia"/>
          <w:vertAlign w:val="baseline"/>
          <w:rtl/>
        </w:rPr>
        <w:t>(</w:t>
      </w:r>
      <w:r w:rsidRPr="007E20A0">
        <w:rPr>
          <w:rStyle w:val="FootnoteReference"/>
          <w:rFonts w:eastAsiaTheme="minorEastAsia"/>
          <w:vertAlign w:val="baseline"/>
          <w:rtl/>
        </w:rPr>
        <w:footnoteRef/>
      </w:r>
      <w:r w:rsidRPr="003D6C6F">
        <w:rPr>
          <w:rStyle w:val="FootnoteReference"/>
          <w:rFonts w:eastAsiaTheme="minorEastAsia"/>
          <w:vertAlign w:val="baseline"/>
          <w:rtl/>
        </w:rPr>
        <w:t>)</w:t>
      </w:r>
      <w:r w:rsidRPr="003D6C6F">
        <w:rPr>
          <w:rFonts w:eastAsiaTheme="minorEastAsia"/>
          <w:rtl/>
        </w:rPr>
        <w:tab/>
        <w:t xml:space="preserve">انظر، على سبيل المثال، قضية </w:t>
      </w:r>
      <w:proofErr w:type="spellStart"/>
      <w:r w:rsidRPr="003D6C6F">
        <w:rPr>
          <w:rFonts w:eastAsiaTheme="minorEastAsia"/>
          <w:i/>
          <w:iCs/>
          <w:rtl/>
        </w:rPr>
        <w:t>الثامر</w:t>
      </w:r>
      <w:proofErr w:type="spellEnd"/>
      <w:r w:rsidRPr="003D6C6F">
        <w:rPr>
          <w:rFonts w:eastAsiaTheme="minorEastAsia"/>
          <w:i/>
          <w:iCs/>
          <w:rtl/>
        </w:rPr>
        <w:t xml:space="preserve"> وآخرون ضد النمسا</w:t>
      </w:r>
      <w:r w:rsidRPr="003D6C6F">
        <w:rPr>
          <w:rFonts w:eastAsiaTheme="minorEastAsia"/>
          <w:rtl/>
        </w:rPr>
        <w:t xml:space="preserve"> (</w:t>
      </w:r>
      <w:r w:rsidRPr="003D6C6F">
        <w:rPr>
          <w:rFonts w:eastAsiaTheme="minorEastAsia"/>
        </w:rPr>
        <w:t>CCPR/C/</w:t>
      </w:r>
      <w:r w:rsidRPr="007E20A0">
        <w:rPr>
          <w:rFonts w:eastAsiaTheme="minorEastAsia"/>
        </w:rPr>
        <w:t>78</w:t>
      </w:r>
      <w:r w:rsidRPr="003D6C6F">
        <w:rPr>
          <w:rFonts w:eastAsiaTheme="minorEastAsia"/>
        </w:rPr>
        <w:t>/D/</w:t>
      </w:r>
      <w:r w:rsidRPr="007E20A0">
        <w:rPr>
          <w:rFonts w:eastAsiaTheme="minorEastAsia"/>
        </w:rPr>
        <w:t>998</w:t>
      </w:r>
      <w:r w:rsidRPr="003D6C6F">
        <w:rPr>
          <w:rFonts w:eastAsiaTheme="minorEastAsia"/>
        </w:rPr>
        <w:t>/</w:t>
      </w:r>
      <w:r w:rsidRPr="007E20A0">
        <w:rPr>
          <w:rFonts w:eastAsiaTheme="minorEastAsia"/>
        </w:rPr>
        <w:t>2001</w:t>
      </w:r>
      <w:r w:rsidRPr="003D6C6F">
        <w:rPr>
          <w:rFonts w:eastAsiaTheme="minorEastAsia"/>
          <w:rtl/>
        </w:rPr>
        <w:t xml:space="preserve">)، الفقرة </w:t>
      </w:r>
      <w:r w:rsidRPr="007E20A0">
        <w:rPr>
          <w:rFonts w:eastAsiaTheme="minorEastAsia"/>
          <w:rtl/>
        </w:rPr>
        <w:t>8</w:t>
      </w:r>
      <w:r w:rsidRPr="003D6C6F">
        <w:rPr>
          <w:rFonts w:eastAsiaTheme="minorEastAsia"/>
          <w:rtl/>
        </w:rPr>
        <w:t>-</w:t>
      </w:r>
      <w:r w:rsidRPr="007E20A0">
        <w:rPr>
          <w:rFonts w:eastAsiaTheme="minorEastAsia"/>
          <w:rtl/>
        </w:rPr>
        <w:t>4</w:t>
      </w:r>
      <w:r w:rsidRPr="003D6C6F">
        <w:rPr>
          <w:rFonts w:eastAsiaTheme="minorEastAsia"/>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E671" w14:textId="34243598" w:rsidR="00D42359" w:rsidRPr="00D42359" w:rsidRDefault="00D42359" w:rsidP="00D4235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F56C3">
      <w:t>CCPR/C/129/D/2922/2016</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469" w14:textId="7333BC22" w:rsidR="00D42359" w:rsidRPr="00D42359" w:rsidRDefault="00D42359" w:rsidP="00D4235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FF56C3">
      <w:t>CCPR/C/129/D/2922/2016</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1666C4CE"/>
    <w:lvl w:ilvl="0" w:tplc="C54A57C2">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F272F0"/>
    <w:multiLevelType w:val="hybridMultilevel"/>
    <w:tmpl w:val="2902A9E0"/>
    <w:lvl w:ilvl="0" w:tplc="7E0ACF3E">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4B2370"/>
    <w:multiLevelType w:val="hybridMultilevel"/>
    <w:tmpl w:val="22E617FE"/>
    <w:lvl w:ilvl="0" w:tplc="B2B0999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5"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E32A09"/>
    <w:multiLevelType w:val="hybridMultilevel"/>
    <w:tmpl w:val="1AAA5BDA"/>
    <w:lvl w:ilvl="0" w:tplc="35CE71A0">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1"/>
  </w:num>
  <w:num w:numId="2">
    <w:abstractNumId w:val="15"/>
  </w:num>
  <w:num w:numId="3">
    <w:abstractNumId w:val="2"/>
  </w:num>
  <w:num w:numId="4">
    <w:abstractNumId w:val="14"/>
  </w:num>
  <w:num w:numId="5">
    <w:abstractNumId w:val="11"/>
  </w:num>
  <w:num w:numId="6">
    <w:abstractNumId w:val="7"/>
  </w:num>
  <w:num w:numId="7">
    <w:abstractNumId w:val="24"/>
  </w:num>
  <w:num w:numId="8">
    <w:abstractNumId w:val="2"/>
  </w:num>
  <w:num w:numId="9">
    <w:abstractNumId w:val="14"/>
  </w:num>
  <w:num w:numId="10">
    <w:abstractNumId w:val="7"/>
  </w:num>
  <w:num w:numId="11">
    <w:abstractNumId w:val="24"/>
  </w:num>
  <w:num w:numId="12">
    <w:abstractNumId w:val="2"/>
  </w:num>
  <w:num w:numId="13">
    <w:abstractNumId w:val="14"/>
  </w:num>
  <w:num w:numId="14">
    <w:abstractNumId w:val="11"/>
  </w:num>
  <w:num w:numId="15">
    <w:abstractNumId w:val="7"/>
  </w:num>
  <w:num w:numId="16">
    <w:abstractNumId w:val="24"/>
  </w:num>
  <w:num w:numId="17">
    <w:abstractNumId w:val="5"/>
  </w:num>
  <w:num w:numId="18">
    <w:abstractNumId w:val="3"/>
  </w:num>
  <w:num w:numId="19">
    <w:abstractNumId w:val="22"/>
  </w:num>
  <w:num w:numId="20">
    <w:abstractNumId w:val="16"/>
  </w:num>
  <w:num w:numId="21">
    <w:abstractNumId w:val="1"/>
  </w:num>
  <w:num w:numId="22">
    <w:abstractNumId w:val="20"/>
  </w:num>
  <w:num w:numId="23">
    <w:abstractNumId w:val="0"/>
  </w:num>
  <w:num w:numId="24">
    <w:abstractNumId w:val="12"/>
  </w:num>
  <w:num w:numId="25">
    <w:abstractNumId w:val="20"/>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9"/>
  </w:num>
  <w:num w:numId="31">
    <w:abstractNumId w:val="8"/>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8"/>
  </w:num>
  <w:num w:numId="33">
    <w:abstractNumId w:val="10"/>
  </w:num>
  <w:num w:numId="34">
    <w:abstractNumId w:val="6"/>
  </w:num>
  <w:num w:numId="35">
    <w:abstractNumId w:val="17"/>
  </w:num>
  <w:num w:numId="36">
    <w:abstractNumId w:val="18"/>
  </w:num>
  <w:num w:numId="37">
    <w:abstractNumId w:val="23"/>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evenAndOddHeaders/>
  <w:characterSpacingControl w:val="doNotCompress"/>
  <w:savePreviewPicture/>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6D"/>
    <w:rsid w:val="000076D5"/>
    <w:rsid w:val="00043663"/>
    <w:rsid w:val="000437B8"/>
    <w:rsid w:val="000505CF"/>
    <w:rsid w:val="00090639"/>
    <w:rsid w:val="000D701C"/>
    <w:rsid w:val="000E2A71"/>
    <w:rsid w:val="00121FB6"/>
    <w:rsid w:val="00145577"/>
    <w:rsid w:val="00160263"/>
    <w:rsid w:val="00181F96"/>
    <w:rsid w:val="001872B1"/>
    <w:rsid w:val="001A1371"/>
    <w:rsid w:val="001B043F"/>
    <w:rsid w:val="001B346A"/>
    <w:rsid w:val="001C055C"/>
    <w:rsid w:val="001E1CAD"/>
    <w:rsid w:val="001E290D"/>
    <w:rsid w:val="002144FA"/>
    <w:rsid w:val="0023469A"/>
    <w:rsid w:val="00243C8A"/>
    <w:rsid w:val="00267A0E"/>
    <w:rsid w:val="002901D9"/>
    <w:rsid w:val="002976C2"/>
    <w:rsid w:val="002D0873"/>
    <w:rsid w:val="003068BC"/>
    <w:rsid w:val="003260FF"/>
    <w:rsid w:val="0033221C"/>
    <w:rsid w:val="00343D95"/>
    <w:rsid w:val="00363A18"/>
    <w:rsid w:val="00374341"/>
    <w:rsid w:val="0039616D"/>
    <w:rsid w:val="003D1062"/>
    <w:rsid w:val="003D6C6F"/>
    <w:rsid w:val="00402051"/>
    <w:rsid w:val="00420D7B"/>
    <w:rsid w:val="00450B21"/>
    <w:rsid w:val="00453B63"/>
    <w:rsid w:val="00455780"/>
    <w:rsid w:val="00455E6D"/>
    <w:rsid w:val="004B0A1C"/>
    <w:rsid w:val="004B27E0"/>
    <w:rsid w:val="004D298E"/>
    <w:rsid w:val="005044B3"/>
    <w:rsid w:val="00517BC9"/>
    <w:rsid w:val="0054472E"/>
    <w:rsid w:val="00553AE2"/>
    <w:rsid w:val="005662A9"/>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27DAD"/>
    <w:rsid w:val="00652221"/>
    <w:rsid w:val="00656392"/>
    <w:rsid w:val="006645EC"/>
    <w:rsid w:val="00684B6A"/>
    <w:rsid w:val="00685986"/>
    <w:rsid w:val="0068781D"/>
    <w:rsid w:val="006959B0"/>
    <w:rsid w:val="006A28DA"/>
    <w:rsid w:val="006B2678"/>
    <w:rsid w:val="006B3E27"/>
    <w:rsid w:val="006B6507"/>
    <w:rsid w:val="006C104C"/>
    <w:rsid w:val="006C632E"/>
    <w:rsid w:val="00717FB3"/>
    <w:rsid w:val="00733704"/>
    <w:rsid w:val="0078071A"/>
    <w:rsid w:val="0078632D"/>
    <w:rsid w:val="00787022"/>
    <w:rsid w:val="00787E1E"/>
    <w:rsid w:val="007E20A0"/>
    <w:rsid w:val="00805AAA"/>
    <w:rsid w:val="00852A9A"/>
    <w:rsid w:val="008F49E1"/>
    <w:rsid w:val="0090370F"/>
    <w:rsid w:val="00914895"/>
    <w:rsid w:val="009269D2"/>
    <w:rsid w:val="00942135"/>
    <w:rsid w:val="009521B0"/>
    <w:rsid w:val="00957437"/>
    <w:rsid w:val="00982139"/>
    <w:rsid w:val="009867A8"/>
    <w:rsid w:val="00991F44"/>
    <w:rsid w:val="009A0CFB"/>
    <w:rsid w:val="009A7E9F"/>
    <w:rsid w:val="009C3B0C"/>
    <w:rsid w:val="009E5018"/>
    <w:rsid w:val="00A03700"/>
    <w:rsid w:val="00A053F2"/>
    <w:rsid w:val="00A0600E"/>
    <w:rsid w:val="00A12B37"/>
    <w:rsid w:val="00A97E1F"/>
    <w:rsid w:val="00AB512E"/>
    <w:rsid w:val="00AB6758"/>
    <w:rsid w:val="00AB727F"/>
    <w:rsid w:val="00B13763"/>
    <w:rsid w:val="00B477A4"/>
    <w:rsid w:val="00B54045"/>
    <w:rsid w:val="00B63ADD"/>
    <w:rsid w:val="00BB09A0"/>
    <w:rsid w:val="00C175A6"/>
    <w:rsid w:val="00C41DCF"/>
    <w:rsid w:val="00C42AF7"/>
    <w:rsid w:val="00C438D7"/>
    <w:rsid w:val="00C62C20"/>
    <w:rsid w:val="00C741FC"/>
    <w:rsid w:val="00C81B50"/>
    <w:rsid w:val="00C902EF"/>
    <w:rsid w:val="00CA4C66"/>
    <w:rsid w:val="00CB0011"/>
    <w:rsid w:val="00CB6622"/>
    <w:rsid w:val="00CD1801"/>
    <w:rsid w:val="00CF56F9"/>
    <w:rsid w:val="00CF65C6"/>
    <w:rsid w:val="00D00A89"/>
    <w:rsid w:val="00D03231"/>
    <w:rsid w:val="00D10EF1"/>
    <w:rsid w:val="00D42359"/>
    <w:rsid w:val="00D42810"/>
    <w:rsid w:val="00D60DD5"/>
    <w:rsid w:val="00D914A7"/>
    <w:rsid w:val="00DC4D4B"/>
    <w:rsid w:val="00DD13C3"/>
    <w:rsid w:val="00DD596E"/>
    <w:rsid w:val="00DD621E"/>
    <w:rsid w:val="00DE50B1"/>
    <w:rsid w:val="00DF0138"/>
    <w:rsid w:val="00DF0575"/>
    <w:rsid w:val="00E2228E"/>
    <w:rsid w:val="00E4220B"/>
    <w:rsid w:val="00E70E04"/>
    <w:rsid w:val="00E77E6C"/>
    <w:rsid w:val="00E83ED5"/>
    <w:rsid w:val="00EC05A7"/>
    <w:rsid w:val="00EC4B6B"/>
    <w:rsid w:val="00EC68A5"/>
    <w:rsid w:val="00ED7442"/>
    <w:rsid w:val="00EF1EE5"/>
    <w:rsid w:val="00EF5C43"/>
    <w:rsid w:val="00F10DAB"/>
    <w:rsid w:val="00F46D42"/>
    <w:rsid w:val="00F763B4"/>
    <w:rsid w:val="00F8206A"/>
    <w:rsid w:val="00F900C3"/>
    <w:rsid w:val="00FC6EDD"/>
    <w:rsid w:val="00FD46E2"/>
    <w:rsid w:val="00FE502A"/>
    <w:rsid w:val="00FF2AB2"/>
    <w:rsid w:val="00FF56C3"/>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6FFF89A"/>
  <w15:docId w15:val="{48774A43-4E90-4CC0-8A79-A0090134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2E"/>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C632E"/>
    <w:pPr>
      <w:bidi w:val="0"/>
      <w:outlineLvl w:val="0"/>
    </w:pPr>
  </w:style>
  <w:style w:type="paragraph" w:styleId="Heading2">
    <w:name w:val="heading 2"/>
    <w:basedOn w:val="Normal"/>
    <w:next w:val="Normal"/>
    <w:link w:val="Heading2Char"/>
    <w:unhideWhenUsed/>
    <w:rsid w:val="006C632E"/>
    <w:pPr>
      <w:keepNext/>
      <w:keepLines/>
      <w:spacing w:before="200"/>
      <w:outlineLvl w:val="1"/>
    </w:pPr>
    <w:rPr>
      <w:b/>
      <w:bCs/>
      <w:color w:val="4F81BD"/>
      <w:sz w:val="26"/>
      <w:szCs w:val="26"/>
    </w:rPr>
  </w:style>
  <w:style w:type="paragraph" w:styleId="Heading3">
    <w:name w:val="heading 3"/>
    <w:basedOn w:val="Normal"/>
    <w:next w:val="Normal"/>
    <w:link w:val="Heading3Char"/>
    <w:unhideWhenUsed/>
    <w:rsid w:val="006C632E"/>
    <w:pPr>
      <w:keepNext/>
      <w:keepLines/>
      <w:spacing w:before="200"/>
      <w:outlineLvl w:val="2"/>
    </w:pPr>
    <w:rPr>
      <w:b/>
      <w:bCs/>
      <w:color w:val="4F81BD"/>
    </w:rPr>
  </w:style>
  <w:style w:type="paragraph" w:styleId="Heading4">
    <w:name w:val="heading 4"/>
    <w:basedOn w:val="Normal"/>
    <w:next w:val="Normal"/>
    <w:link w:val="Heading4Char"/>
    <w:unhideWhenUsed/>
    <w:rsid w:val="006C632E"/>
    <w:pPr>
      <w:keepNext/>
      <w:keepLines/>
      <w:spacing w:before="200"/>
      <w:outlineLvl w:val="3"/>
    </w:pPr>
    <w:rPr>
      <w:b/>
      <w:bCs/>
      <w:i/>
      <w:iCs/>
      <w:color w:val="4F81BD"/>
    </w:rPr>
  </w:style>
  <w:style w:type="paragraph" w:styleId="Heading5">
    <w:name w:val="heading 5"/>
    <w:basedOn w:val="Normal"/>
    <w:next w:val="Normal"/>
    <w:link w:val="Heading5Char"/>
    <w:unhideWhenUsed/>
    <w:rsid w:val="006C632E"/>
    <w:pPr>
      <w:keepNext/>
      <w:keepLines/>
      <w:spacing w:before="200"/>
      <w:outlineLvl w:val="4"/>
    </w:pPr>
    <w:rPr>
      <w:color w:val="243F60"/>
    </w:rPr>
  </w:style>
  <w:style w:type="paragraph" w:styleId="Heading6">
    <w:name w:val="heading 6"/>
    <w:basedOn w:val="Normal"/>
    <w:next w:val="Normal"/>
    <w:link w:val="Heading6Char"/>
    <w:unhideWhenUsed/>
    <w:rsid w:val="006C632E"/>
    <w:pPr>
      <w:keepNext/>
      <w:keepLines/>
      <w:spacing w:before="200"/>
      <w:outlineLvl w:val="5"/>
    </w:pPr>
    <w:rPr>
      <w:i/>
      <w:iCs/>
      <w:color w:val="243F60"/>
    </w:rPr>
  </w:style>
  <w:style w:type="paragraph" w:styleId="Heading7">
    <w:name w:val="heading 7"/>
    <w:basedOn w:val="Normal"/>
    <w:next w:val="Normal"/>
    <w:link w:val="Heading7Char"/>
    <w:unhideWhenUsed/>
    <w:rsid w:val="006C632E"/>
    <w:pPr>
      <w:keepNext/>
      <w:keepLines/>
      <w:spacing w:before="200"/>
      <w:outlineLvl w:val="6"/>
    </w:pPr>
    <w:rPr>
      <w:i/>
      <w:iCs/>
      <w:color w:val="404040"/>
    </w:rPr>
  </w:style>
  <w:style w:type="paragraph" w:styleId="Heading8">
    <w:name w:val="heading 8"/>
    <w:basedOn w:val="Normal"/>
    <w:next w:val="Normal"/>
    <w:link w:val="Heading8Char"/>
    <w:unhideWhenUsed/>
    <w:rsid w:val="006C632E"/>
    <w:pPr>
      <w:keepNext/>
      <w:keepLines/>
      <w:spacing w:before="200"/>
      <w:outlineLvl w:val="7"/>
    </w:pPr>
    <w:rPr>
      <w:color w:val="404040"/>
      <w:szCs w:val="20"/>
    </w:rPr>
  </w:style>
  <w:style w:type="paragraph" w:styleId="Heading9">
    <w:name w:val="heading 9"/>
    <w:basedOn w:val="Normal"/>
    <w:next w:val="Normal"/>
    <w:link w:val="Heading9Char"/>
    <w:unhideWhenUsed/>
    <w:rsid w:val="006C632E"/>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C632E"/>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C632E"/>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6C632E"/>
    <w:rPr>
      <w:szCs w:val="18"/>
      <w:vertAlign w:val="superscript"/>
    </w:rPr>
  </w:style>
  <w:style w:type="paragraph" w:customStyle="1" w:styleId="HMGA">
    <w:name w:val="_ H __M_GA"/>
    <w:basedOn w:val="Normal"/>
    <w:next w:val="SingleTxtGA"/>
    <w:qFormat/>
    <w:rsid w:val="006C632E"/>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C632E"/>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C632E"/>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C632E"/>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C632E"/>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C632E"/>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C632E"/>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C632E"/>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C632E"/>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C632E"/>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C632E"/>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C632E"/>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C632E"/>
    <w:pPr>
      <w:numPr>
        <w:numId w:val="4"/>
      </w:numPr>
      <w:tabs>
        <w:tab w:val="clear" w:pos="3215"/>
        <w:tab w:val="left" w:pos="3062"/>
      </w:tabs>
      <w:suppressAutoHyphens/>
      <w:spacing w:after="120" w:line="360" w:lineRule="exact"/>
      <w:ind w:left="3062" w:right="1247" w:hanging="567"/>
    </w:pPr>
    <w:rPr>
      <w:sz w:val="22"/>
      <w:lang w:eastAsia="zh-TW"/>
    </w:rPr>
  </w:style>
  <w:style w:type="paragraph" w:customStyle="1" w:styleId="ParaNoGA">
    <w:name w:val="_ParaNo._GA"/>
    <w:basedOn w:val="SingleTxtGA"/>
    <w:qFormat/>
    <w:rsid w:val="006C632E"/>
    <w:pPr>
      <w:numPr>
        <w:numId w:val="5"/>
      </w:numPr>
      <w:bidi w:val="0"/>
    </w:pPr>
    <w:rPr>
      <w:sz w:val="20"/>
      <w:szCs w:val="28"/>
      <w:lang w:val="en-US"/>
    </w:rPr>
  </w:style>
  <w:style w:type="paragraph" w:customStyle="1" w:styleId="Roman1GA">
    <w:name w:val="_Roman 1_GA"/>
    <w:basedOn w:val="Bullet1GA"/>
    <w:qFormat/>
    <w:rsid w:val="006C632E"/>
    <w:pPr>
      <w:numPr>
        <w:numId w:val="6"/>
      </w:numPr>
    </w:pPr>
  </w:style>
  <w:style w:type="paragraph" w:customStyle="1" w:styleId="Roman2GA">
    <w:name w:val="_Roman 2_GA"/>
    <w:basedOn w:val="Bullet2GA"/>
    <w:qFormat/>
    <w:rsid w:val="006C632E"/>
    <w:pPr>
      <w:numPr>
        <w:numId w:val="7"/>
      </w:numPr>
    </w:pPr>
  </w:style>
  <w:style w:type="paragraph" w:styleId="EndnoteText">
    <w:name w:val="endnote text"/>
    <w:aliases w:val="2_ GA,2_G"/>
    <w:basedOn w:val="Normal"/>
    <w:link w:val="EndnoteTextChar"/>
    <w:qFormat/>
    <w:rsid w:val="006C632E"/>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rsid w:val="006C632E"/>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C632E"/>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C632E"/>
    <w:pPr>
      <w:suppressAutoHyphens/>
      <w:bidi w:val="0"/>
      <w:spacing w:line="240" w:lineRule="auto"/>
    </w:pPr>
    <w:rPr>
      <w:sz w:val="16"/>
      <w:lang w:val="en-GB"/>
    </w:rPr>
  </w:style>
  <w:style w:type="character" w:customStyle="1" w:styleId="FooterChar">
    <w:name w:val="Footer Char"/>
    <w:aliases w:val="3_GA Char,3_G Char"/>
    <w:link w:val="Footer"/>
    <w:rsid w:val="006C632E"/>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C632E"/>
    <w:pPr>
      <w:spacing w:after="60" w:line="280" w:lineRule="exact"/>
      <w:ind w:left="1247" w:right="1247" w:hanging="567"/>
    </w:pPr>
    <w:rPr>
      <w:sz w:val="18"/>
      <w:szCs w:val="18"/>
    </w:rPr>
  </w:style>
  <w:style w:type="paragraph" w:styleId="Header">
    <w:name w:val="header"/>
    <w:aliases w:val="6_GA,6_G"/>
    <w:basedOn w:val="Normal"/>
    <w:link w:val="HeaderChar"/>
    <w:qFormat/>
    <w:rsid w:val="006C632E"/>
    <w:pPr>
      <w:pBdr>
        <w:bottom w:val="single" w:sz="4" w:space="4" w:color="auto"/>
      </w:pBdr>
      <w:suppressAutoHyphens/>
    </w:pPr>
    <w:rPr>
      <w:b/>
      <w:bCs/>
      <w:sz w:val="18"/>
      <w:szCs w:val="18"/>
    </w:rPr>
  </w:style>
  <w:style w:type="character" w:customStyle="1" w:styleId="HeaderChar">
    <w:name w:val="Header Char"/>
    <w:aliases w:val="6_GA Char,6_G Char"/>
    <w:link w:val="Header"/>
    <w:rsid w:val="006C632E"/>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C632E"/>
    <w:rPr>
      <w:rFonts w:ascii="Times New Roman" w:eastAsia="PMingLiU" w:hAnsi="Times New Roman" w:cs="Simplified Arabic"/>
      <w:sz w:val="22"/>
      <w:szCs w:val="22"/>
      <w:lang w:val="en-GB" w:eastAsia="en-US"/>
    </w:rPr>
  </w:style>
  <w:style w:type="character" w:styleId="PageNumber">
    <w:name w:val="page number"/>
    <w:aliases w:val="7_GA,7_G"/>
    <w:qFormat/>
    <w:rsid w:val="006C632E"/>
    <w:rPr>
      <w:rFonts w:ascii="Times New Roman Bold" w:hAnsi="Times New Roman Bold"/>
      <w:b/>
      <w:i w:val="0"/>
      <w:sz w:val="18"/>
      <w:szCs w:val="18"/>
    </w:rPr>
  </w:style>
  <w:style w:type="paragraph" w:customStyle="1" w:styleId="XXLargeGA">
    <w:name w:val="XXLarge_GA"/>
    <w:basedOn w:val="Normal"/>
    <w:next w:val="SingleTxtGA"/>
    <w:qFormat/>
    <w:rsid w:val="006C632E"/>
    <w:pPr>
      <w:suppressAutoHyphens/>
      <w:spacing w:line="820" w:lineRule="exact"/>
    </w:pPr>
    <w:rPr>
      <w:spacing w:val="-8"/>
      <w:w w:val="96"/>
      <w:sz w:val="57"/>
      <w:szCs w:val="86"/>
      <w:lang w:val="en-GB"/>
    </w:rPr>
  </w:style>
  <w:style w:type="character" w:customStyle="1" w:styleId="Heading2Char">
    <w:name w:val="Heading 2 Char"/>
    <w:link w:val="Heading2"/>
    <w:rsid w:val="006C632E"/>
    <w:rPr>
      <w:rFonts w:ascii="Times New Roman" w:eastAsia="PMingLiU" w:hAnsi="Times New Roman" w:cs="Simplified Arabic"/>
      <w:b/>
      <w:bCs/>
      <w:color w:val="4F81BD"/>
      <w:sz w:val="26"/>
      <w:szCs w:val="26"/>
      <w:lang w:eastAsia="en-US"/>
    </w:rPr>
  </w:style>
  <w:style w:type="character" w:styleId="BookTitle">
    <w:name w:val="Book Title"/>
    <w:uiPriority w:val="33"/>
    <w:rsid w:val="006C632E"/>
    <w:rPr>
      <w:b/>
      <w:bCs/>
      <w:smallCaps/>
      <w:spacing w:val="5"/>
    </w:rPr>
  </w:style>
  <w:style w:type="character" w:customStyle="1" w:styleId="Heading3Char">
    <w:name w:val="Heading 3 Char"/>
    <w:link w:val="Heading3"/>
    <w:rsid w:val="006C632E"/>
    <w:rPr>
      <w:rFonts w:ascii="Times New Roman" w:eastAsia="PMingLiU" w:hAnsi="Times New Roman" w:cs="Simplified Arabic"/>
      <w:b/>
      <w:bCs/>
      <w:color w:val="4F81BD"/>
      <w:szCs w:val="22"/>
      <w:lang w:eastAsia="en-US"/>
    </w:rPr>
  </w:style>
  <w:style w:type="character" w:customStyle="1" w:styleId="Heading4Char">
    <w:name w:val="Heading 4 Char"/>
    <w:link w:val="Heading4"/>
    <w:rsid w:val="006C632E"/>
    <w:rPr>
      <w:rFonts w:ascii="Times New Roman" w:eastAsia="PMingLiU" w:hAnsi="Times New Roman" w:cs="Simplified Arabic"/>
      <w:b/>
      <w:bCs/>
      <w:i/>
      <w:iCs/>
      <w:color w:val="4F81BD"/>
      <w:szCs w:val="22"/>
      <w:lang w:eastAsia="en-US"/>
    </w:rPr>
  </w:style>
  <w:style w:type="character" w:customStyle="1" w:styleId="Heading5Char">
    <w:name w:val="Heading 5 Char"/>
    <w:link w:val="Heading5"/>
    <w:rsid w:val="006C632E"/>
    <w:rPr>
      <w:rFonts w:ascii="Times New Roman" w:eastAsia="PMingLiU" w:hAnsi="Times New Roman" w:cs="Simplified Arabic"/>
      <w:color w:val="243F60"/>
      <w:szCs w:val="22"/>
      <w:lang w:eastAsia="en-US"/>
    </w:rPr>
  </w:style>
  <w:style w:type="character" w:customStyle="1" w:styleId="Heading6Char">
    <w:name w:val="Heading 6 Char"/>
    <w:link w:val="Heading6"/>
    <w:rsid w:val="006C632E"/>
    <w:rPr>
      <w:rFonts w:ascii="Times New Roman" w:eastAsia="PMingLiU" w:hAnsi="Times New Roman" w:cs="Simplified Arabic"/>
      <w:i/>
      <w:iCs/>
      <w:color w:val="243F60"/>
      <w:szCs w:val="22"/>
      <w:lang w:eastAsia="en-US"/>
    </w:rPr>
  </w:style>
  <w:style w:type="character" w:customStyle="1" w:styleId="Heading7Char">
    <w:name w:val="Heading 7 Char"/>
    <w:link w:val="Heading7"/>
    <w:rsid w:val="006C632E"/>
    <w:rPr>
      <w:rFonts w:ascii="Times New Roman" w:eastAsia="PMingLiU" w:hAnsi="Times New Roman" w:cs="Simplified Arabic"/>
      <w:i/>
      <w:iCs/>
      <w:color w:val="404040"/>
      <w:szCs w:val="22"/>
      <w:lang w:eastAsia="en-US"/>
    </w:rPr>
  </w:style>
  <w:style w:type="character" w:customStyle="1" w:styleId="Heading8Char">
    <w:name w:val="Heading 8 Char"/>
    <w:link w:val="Heading8"/>
    <w:rsid w:val="006C632E"/>
    <w:rPr>
      <w:rFonts w:ascii="Times New Roman" w:eastAsia="PMingLiU" w:hAnsi="Times New Roman" w:cs="Simplified Arabic"/>
      <w:color w:val="404040"/>
      <w:lang w:eastAsia="en-US"/>
    </w:rPr>
  </w:style>
  <w:style w:type="character" w:customStyle="1" w:styleId="Heading9Char">
    <w:name w:val="Heading 9 Char"/>
    <w:link w:val="Heading9"/>
    <w:rsid w:val="006C632E"/>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C632E"/>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C632E"/>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C632E"/>
    <w:pPr>
      <w:numPr>
        <w:ilvl w:val="1"/>
      </w:numPr>
    </w:pPr>
    <w:rPr>
      <w:i/>
      <w:iCs/>
      <w:color w:val="4F81BD"/>
      <w:spacing w:val="15"/>
      <w:sz w:val="24"/>
      <w:szCs w:val="24"/>
    </w:rPr>
  </w:style>
  <w:style w:type="character" w:customStyle="1" w:styleId="SubtitleChar">
    <w:name w:val="Subtitle Char"/>
    <w:link w:val="Subtitle"/>
    <w:uiPriority w:val="11"/>
    <w:rsid w:val="006C632E"/>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C632E"/>
    <w:rPr>
      <w:i/>
      <w:iCs/>
      <w:color w:val="808080"/>
    </w:rPr>
  </w:style>
  <w:style w:type="table" w:styleId="ColorfulGrid-Accent6">
    <w:name w:val="Colorful Grid Accent 6"/>
    <w:basedOn w:val="TableNormal"/>
    <w:uiPriority w:val="73"/>
    <w:rsid w:val="006C632E"/>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C632E"/>
    <w:rPr>
      <w:i/>
      <w:iCs/>
    </w:rPr>
  </w:style>
  <w:style w:type="character" w:styleId="IntenseEmphasis">
    <w:name w:val="Intense Emphasis"/>
    <w:uiPriority w:val="21"/>
    <w:rsid w:val="006C632E"/>
    <w:rPr>
      <w:b/>
      <w:bCs/>
      <w:i/>
      <w:iCs/>
      <w:color w:val="4F81BD"/>
    </w:rPr>
  </w:style>
  <w:style w:type="character" w:styleId="Strong">
    <w:name w:val="Strong"/>
    <w:uiPriority w:val="22"/>
    <w:rsid w:val="006C632E"/>
    <w:rPr>
      <w:b/>
      <w:bCs/>
    </w:rPr>
  </w:style>
  <w:style w:type="paragraph" w:styleId="Quote">
    <w:name w:val="Quote"/>
    <w:basedOn w:val="Normal"/>
    <w:next w:val="Normal"/>
    <w:link w:val="QuoteChar"/>
    <w:uiPriority w:val="29"/>
    <w:rsid w:val="006C632E"/>
    <w:rPr>
      <w:i/>
      <w:iCs/>
      <w:color w:val="000000"/>
    </w:rPr>
  </w:style>
  <w:style w:type="character" w:customStyle="1" w:styleId="QuoteChar">
    <w:name w:val="Quote Char"/>
    <w:link w:val="Quote"/>
    <w:uiPriority w:val="29"/>
    <w:rsid w:val="006C632E"/>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C63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632E"/>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C632E"/>
    <w:rPr>
      <w:smallCaps/>
      <w:color w:val="C0504D"/>
      <w:u w:val="single"/>
    </w:rPr>
  </w:style>
  <w:style w:type="character" w:styleId="IntenseReference">
    <w:name w:val="Intense Reference"/>
    <w:uiPriority w:val="32"/>
    <w:rsid w:val="006C632E"/>
    <w:rPr>
      <w:b/>
      <w:bCs/>
      <w:smallCaps/>
      <w:color w:val="C0504D"/>
      <w:spacing w:val="5"/>
      <w:u w:val="single"/>
    </w:rPr>
  </w:style>
  <w:style w:type="paragraph" w:styleId="ListParagraph">
    <w:name w:val="List Paragraph"/>
    <w:basedOn w:val="Normal"/>
    <w:uiPriority w:val="34"/>
    <w:rsid w:val="006C632E"/>
    <w:pPr>
      <w:ind w:left="720"/>
      <w:contextualSpacing/>
    </w:pPr>
  </w:style>
  <w:style w:type="table" w:styleId="MediumShading1-Accent4">
    <w:name w:val="Medium Shading 1 Accent 4"/>
    <w:basedOn w:val="TableNormal"/>
    <w:uiPriority w:val="63"/>
    <w:rsid w:val="006C632E"/>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C632E"/>
    <w:rPr>
      <w:rFonts w:eastAsia="MS Mincho"/>
      <w:sz w:val="18"/>
      <w:vertAlign w:val="superscript"/>
    </w:rPr>
  </w:style>
  <w:style w:type="table" w:styleId="TableGrid">
    <w:name w:val="Table Grid"/>
    <w:basedOn w:val="TableNormal"/>
    <w:rsid w:val="006C632E"/>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32E"/>
    <w:pPr>
      <w:spacing w:line="240" w:lineRule="auto"/>
    </w:pPr>
    <w:rPr>
      <w:sz w:val="16"/>
      <w:szCs w:val="16"/>
    </w:rPr>
  </w:style>
  <w:style w:type="character" w:customStyle="1" w:styleId="BalloonTextChar">
    <w:name w:val="Balloon Text Char"/>
    <w:link w:val="BalloonText"/>
    <w:uiPriority w:val="99"/>
    <w:semiHidden/>
    <w:rsid w:val="006C632E"/>
    <w:rPr>
      <w:rFonts w:ascii="Times New Roman" w:eastAsia="PMingLiU" w:hAnsi="Times New Roman" w:cs="Simplified Arabic"/>
      <w:sz w:val="16"/>
      <w:szCs w:val="16"/>
      <w:lang w:eastAsia="en-US"/>
    </w:rPr>
  </w:style>
  <w:style w:type="character" w:styleId="Hyperlink">
    <w:name w:val="Hyperlink"/>
    <w:uiPriority w:val="99"/>
    <w:unhideWhenUsed/>
    <w:rsid w:val="006C632E"/>
    <w:rPr>
      <w:color w:val="0000FF"/>
      <w:u w:val="none"/>
    </w:rPr>
  </w:style>
  <w:style w:type="paragraph" w:styleId="TOC1">
    <w:name w:val="toc 1"/>
    <w:basedOn w:val="Normal"/>
    <w:link w:val="TOC1Char"/>
    <w:autoRedefine/>
    <w:uiPriority w:val="39"/>
    <w:unhideWhenUsed/>
    <w:rsid w:val="006C632E"/>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C632E"/>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C632E"/>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C632E"/>
    <w:rPr>
      <w:rFonts w:eastAsia="DengXian"/>
      <w:color w:val="auto"/>
      <w:sz w:val="20"/>
      <w:szCs w:val="20"/>
      <w:u w:val="none"/>
      <w:lang w:eastAsia="zh-CN" w:bidi="ar-EG"/>
    </w:rPr>
  </w:style>
  <w:style w:type="paragraph" w:styleId="TOC4">
    <w:name w:val="toc 4"/>
    <w:basedOn w:val="Normal"/>
    <w:link w:val="TOC4Char"/>
    <w:autoRedefine/>
    <w:uiPriority w:val="39"/>
    <w:unhideWhenUsed/>
    <w:rsid w:val="006C632E"/>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C632E"/>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C632E"/>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C632E"/>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C632E"/>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C632E"/>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C632E"/>
    <w:rPr>
      <w:color w:val="605E5C"/>
      <w:shd w:val="clear" w:color="auto" w:fill="E1DFDD"/>
    </w:rPr>
  </w:style>
  <w:style w:type="character" w:customStyle="1" w:styleId="TOC1Char">
    <w:name w:val="TOC 1 Char"/>
    <w:basedOn w:val="DefaultParagraphFont"/>
    <w:link w:val="TOC1"/>
    <w:uiPriority w:val="39"/>
    <w:rsid w:val="006C632E"/>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C632E"/>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C632E"/>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C632E"/>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C632E"/>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C632E"/>
    <w:rPr>
      <w:rFonts w:ascii="Times New Roman" w:eastAsia="PMingLiU" w:hAnsi="Times New Roman" w:cs="Simplified Arabic"/>
      <w:lang w:val="en-GB" w:eastAsia="en-US"/>
    </w:rPr>
  </w:style>
  <w:style w:type="paragraph" w:customStyle="1" w:styleId="SessionDate">
    <w:name w:val="Session_Date"/>
    <w:basedOn w:val="Normal"/>
    <w:qFormat/>
    <w:rsid w:val="006C632E"/>
    <w:pPr>
      <w:spacing w:before="240" w:after="240" w:line="460" w:lineRule="exact"/>
      <w:ind w:left="1247"/>
    </w:pPr>
    <w:rPr>
      <w:b/>
      <w:bCs/>
      <w:sz w:val="32"/>
      <w:szCs w:val="44"/>
    </w:rPr>
  </w:style>
  <w:style w:type="paragraph" w:customStyle="1" w:styleId="SessionNumber">
    <w:name w:val="Session_Number"/>
    <w:basedOn w:val="Normal"/>
    <w:qFormat/>
    <w:rsid w:val="006C632E"/>
    <w:pPr>
      <w:spacing w:line="480" w:lineRule="exact"/>
      <w:ind w:left="1247"/>
    </w:pPr>
    <w:rPr>
      <w:b/>
      <w:bCs/>
      <w:sz w:val="28"/>
      <w:szCs w:val="38"/>
    </w:rPr>
  </w:style>
  <w:style w:type="paragraph" w:customStyle="1" w:styleId="CityandYear">
    <w:name w:val="City and Year"/>
    <w:basedOn w:val="SingleTxtGA"/>
    <w:qFormat/>
    <w:rsid w:val="006C632E"/>
    <w:pPr>
      <w:spacing w:line="480" w:lineRule="exact"/>
    </w:pPr>
    <w:rPr>
      <w:b/>
      <w:bCs/>
      <w:sz w:val="30"/>
      <w:szCs w:val="38"/>
      <w:lang w:eastAsia="ar-SA"/>
    </w:rPr>
  </w:style>
  <w:style w:type="paragraph" w:customStyle="1" w:styleId="NormalA">
    <w:name w:val="Normal_A"/>
    <w:basedOn w:val="Normal"/>
    <w:qFormat/>
    <w:rsid w:val="006C632E"/>
  </w:style>
  <w:style w:type="paragraph" w:customStyle="1" w:styleId="H1G">
    <w:name w:val="_ H_1_G"/>
    <w:basedOn w:val="Normal"/>
    <w:next w:val="Normal"/>
    <w:qFormat/>
    <w:rsid w:val="006C632E"/>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C632E"/>
    <w:pPr>
      <w:suppressAutoHyphens/>
      <w:bidi w:val="0"/>
      <w:spacing w:after="120"/>
      <w:ind w:left="1134" w:right="1134"/>
      <w:jc w:val="both"/>
    </w:pPr>
    <w:rPr>
      <w:szCs w:val="20"/>
      <w:lang w:val="en-GB"/>
    </w:rPr>
  </w:style>
  <w:style w:type="paragraph" w:customStyle="1" w:styleId="HChG">
    <w:name w:val="_ H _Ch_G"/>
    <w:basedOn w:val="Normal"/>
    <w:next w:val="Normal"/>
    <w:qFormat/>
    <w:rsid w:val="006C632E"/>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C632E"/>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C632E"/>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C632E"/>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C632E"/>
    <w:rPr>
      <w:sz w:val="44"/>
      <w:szCs w:val="44"/>
      <w:lang w:val="en-US" w:bidi="ar-DZ"/>
    </w:rPr>
  </w:style>
  <w:style w:type="paragraph" w:customStyle="1" w:styleId="FootnoteGA0">
    <w:name w:val="Footnote_GA"/>
    <w:basedOn w:val="Normal"/>
    <w:qFormat/>
    <w:rsid w:val="006C632E"/>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C632E"/>
    <w:pPr>
      <w:keepNext/>
      <w:keepLines/>
      <w:spacing w:after="120" w:line="400" w:lineRule="exact"/>
      <w:outlineLvl w:val="0"/>
    </w:pPr>
    <w:rPr>
      <w:b/>
      <w:bCs/>
      <w:kern w:val="14"/>
      <w:sz w:val="24"/>
      <w:szCs w:val="32"/>
    </w:rPr>
  </w:style>
  <w:style w:type="paragraph" w:customStyle="1" w:styleId="HCh">
    <w:name w:val="_ H _Ch"/>
    <w:basedOn w:val="H1"/>
    <w:next w:val="SingleTxt"/>
    <w:qFormat/>
    <w:rsid w:val="006C632E"/>
    <w:pPr>
      <w:spacing w:line="440" w:lineRule="exact"/>
    </w:pPr>
    <w:rPr>
      <w:spacing w:val="-2"/>
      <w:sz w:val="28"/>
      <w:szCs w:val="36"/>
    </w:rPr>
  </w:style>
  <w:style w:type="character" w:styleId="CommentReference">
    <w:name w:val="annotation reference"/>
    <w:uiPriority w:val="99"/>
    <w:semiHidden/>
    <w:rsid w:val="006C632E"/>
    <w:rPr>
      <w:sz w:val="6"/>
      <w:szCs w:val="9"/>
    </w:rPr>
  </w:style>
  <w:style w:type="paragraph" w:customStyle="1" w:styleId="HM">
    <w:name w:val="_ H __M"/>
    <w:basedOn w:val="HCh"/>
    <w:next w:val="Normal"/>
    <w:qFormat/>
    <w:rsid w:val="006C632E"/>
    <w:pPr>
      <w:suppressAutoHyphens/>
      <w:spacing w:line="520" w:lineRule="exact"/>
    </w:pPr>
    <w:rPr>
      <w:spacing w:val="-3"/>
      <w:sz w:val="34"/>
      <w:szCs w:val="48"/>
    </w:rPr>
  </w:style>
  <w:style w:type="paragraph" w:customStyle="1" w:styleId="SingleTxt">
    <w:name w:val="__Single Txt"/>
    <w:basedOn w:val="Normal"/>
    <w:qFormat/>
    <w:rsid w:val="006C632E"/>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C632E"/>
    <w:pPr>
      <w:suppressAutoHyphens/>
      <w:spacing w:line="360" w:lineRule="exact"/>
      <w:outlineLvl w:val="1"/>
    </w:pPr>
    <w:rPr>
      <w:spacing w:val="2"/>
      <w:sz w:val="20"/>
      <w:szCs w:val="28"/>
    </w:rPr>
  </w:style>
  <w:style w:type="paragraph" w:customStyle="1" w:styleId="H4">
    <w:name w:val="_ H_4"/>
    <w:basedOn w:val="Normal"/>
    <w:next w:val="Normal"/>
    <w:qFormat/>
    <w:rsid w:val="006C632E"/>
    <w:pPr>
      <w:keepNext/>
      <w:keepLines/>
      <w:spacing w:after="120" w:line="360" w:lineRule="exact"/>
      <w:outlineLvl w:val="3"/>
    </w:pPr>
    <w:rPr>
      <w:i/>
      <w:iCs/>
      <w:kern w:val="14"/>
      <w:szCs w:val="28"/>
    </w:rPr>
  </w:style>
  <w:style w:type="paragraph" w:customStyle="1" w:styleId="H56">
    <w:name w:val="_ H_5/6"/>
    <w:basedOn w:val="Normal"/>
    <w:next w:val="Normal"/>
    <w:qFormat/>
    <w:rsid w:val="006C632E"/>
    <w:pPr>
      <w:keepNext/>
      <w:keepLines/>
      <w:spacing w:after="120" w:line="360" w:lineRule="exact"/>
      <w:outlineLvl w:val="4"/>
    </w:pPr>
    <w:rPr>
      <w:kern w:val="14"/>
      <w:szCs w:val="28"/>
    </w:rPr>
  </w:style>
  <w:style w:type="paragraph" w:customStyle="1" w:styleId="DualTxt">
    <w:name w:val="__Dual Txt"/>
    <w:basedOn w:val="Normal"/>
    <w:qFormat/>
    <w:rsid w:val="006C632E"/>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C632E"/>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C632E"/>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C632E"/>
    <w:pPr>
      <w:spacing w:after="120" w:line="440" w:lineRule="exact"/>
      <w:jc w:val="center"/>
    </w:pPr>
    <w:rPr>
      <w:b/>
      <w:bCs/>
      <w:sz w:val="25"/>
      <w:szCs w:val="38"/>
    </w:rPr>
  </w:style>
  <w:style w:type="paragraph" w:customStyle="1" w:styleId="JH1">
    <w:name w:val="J_H_1"/>
    <w:basedOn w:val="JCH"/>
    <w:qFormat/>
    <w:rsid w:val="006C632E"/>
    <w:pPr>
      <w:spacing w:line="420" w:lineRule="exact"/>
    </w:pPr>
    <w:rPr>
      <w:sz w:val="23"/>
      <w:szCs w:val="34"/>
    </w:rPr>
  </w:style>
  <w:style w:type="paragraph" w:customStyle="1" w:styleId="JH2">
    <w:name w:val="J_H_2"/>
    <w:basedOn w:val="JH1"/>
    <w:qFormat/>
    <w:rsid w:val="006C632E"/>
    <w:pPr>
      <w:spacing w:line="400" w:lineRule="exact"/>
    </w:pPr>
    <w:rPr>
      <w:sz w:val="20"/>
      <w:szCs w:val="30"/>
    </w:rPr>
  </w:style>
  <w:style w:type="paragraph" w:customStyle="1" w:styleId="JSmall">
    <w:name w:val="J_Small"/>
    <w:basedOn w:val="JSingleTxt"/>
    <w:next w:val="JSingleTxt"/>
    <w:qFormat/>
    <w:rsid w:val="006C632E"/>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C632E"/>
    <w:pPr>
      <w:tabs>
        <w:tab w:val="right" w:leader="dot" w:pos="360"/>
      </w:tabs>
      <w:spacing w:line="310" w:lineRule="exact"/>
      <w:jc w:val="right"/>
    </w:pPr>
    <w:rPr>
      <w:spacing w:val="5"/>
      <w:w w:val="104"/>
      <w:kern w:val="14"/>
      <w:sz w:val="17"/>
      <w:szCs w:val="25"/>
    </w:rPr>
  </w:style>
  <w:style w:type="character" w:styleId="LineNumber">
    <w:name w:val="line number"/>
    <w:qFormat/>
    <w:rsid w:val="006C632E"/>
    <w:rPr>
      <w:sz w:val="14"/>
      <w:szCs w:val="16"/>
    </w:rPr>
  </w:style>
  <w:style w:type="paragraph" w:customStyle="1" w:styleId="SmallX">
    <w:name w:val="SmallX"/>
    <w:basedOn w:val="Small"/>
    <w:next w:val="Normal"/>
    <w:qFormat/>
    <w:rsid w:val="006C632E"/>
    <w:pPr>
      <w:spacing w:line="240" w:lineRule="exact"/>
    </w:pPr>
    <w:rPr>
      <w:spacing w:val="6"/>
      <w:w w:val="106"/>
      <w:sz w:val="14"/>
      <w:szCs w:val="21"/>
    </w:rPr>
  </w:style>
  <w:style w:type="paragraph" w:customStyle="1" w:styleId="XLarge">
    <w:name w:val="XLarge"/>
    <w:basedOn w:val="HM"/>
    <w:qFormat/>
    <w:rsid w:val="006C632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C632E"/>
    <w:pPr>
      <w:spacing w:line="820" w:lineRule="exact"/>
    </w:pPr>
    <w:rPr>
      <w:spacing w:val="-8"/>
      <w:w w:val="96"/>
      <w:sz w:val="57"/>
      <w:szCs w:val="86"/>
    </w:rPr>
  </w:style>
  <w:style w:type="paragraph" w:customStyle="1" w:styleId="Distribution">
    <w:name w:val="Distribution"/>
    <w:basedOn w:val="Normal"/>
    <w:next w:val="Normal"/>
    <w:qFormat/>
    <w:rsid w:val="006C632E"/>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C632E"/>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C632E"/>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C632E"/>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C632E"/>
    <w:pPr>
      <w:tabs>
        <w:tab w:val="left" w:pos="662"/>
        <w:tab w:val="left" w:pos="1267"/>
        <w:tab w:val="left" w:pos="1987"/>
        <w:tab w:val="left" w:pos="2650"/>
      </w:tabs>
      <w:spacing w:after="0"/>
      <w:ind w:left="662" w:hanging="662"/>
    </w:pPr>
  </w:style>
  <w:style w:type="paragraph" w:customStyle="1" w:styleId="Committee">
    <w:name w:val="Committee"/>
    <w:basedOn w:val="H1"/>
    <w:qFormat/>
    <w:rsid w:val="006C632E"/>
    <w:pPr>
      <w:tabs>
        <w:tab w:val="left" w:pos="662"/>
        <w:tab w:val="left" w:pos="1267"/>
        <w:tab w:val="left" w:pos="1987"/>
        <w:tab w:val="left" w:pos="2650"/>
      </w:tabs>
      <w:ind w:right="1264"/>
    </w:pPr>
  </w:style>
  <w:style w:type="paragraph" w:customStyle="1" w:styleId="AgendaItemNormal">
    <w:name w:val="Agenda_Item_Normal"/>
    <w:next w:val="Normal"/>
    <w:qFormat/>
    <w:rsid w:val="006C632E"/>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C632E"/>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C632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C632E"/>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C632E"/>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C632E"/>
    <w:rPr>
      <w:i w:val="0"/>
      <w:color w:val="0000FF"/>
      <w:u w:val="none"/>
    </w:rPr>
  </w:style>
  <w:style w:type="paragraph" w:customStyle="1" w:styleId="Bullet1">
    <w:name w:val="Bullet 1"/>
    <w:basedOn w:val="Normal"/>
    <w:qFormat/>
    <w:rsid w:val="006C632E"/>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C632E"/>
    <w:pPr>
      <w:numPr>
        <w:numId w:val="19"/>
      </w:numPr>
      <w:spacing w:after="120" w:line="360" w:lineRule="exact"/>
      <w:ind w:right="1264"/>
    </w:pPr>
    <w:rPr>
      <w:kern w:val="14"/>
      <w:szCs w:val="28"/>
    </w:rPr>
  </w:style>
  <w:style w:type="paragraph" w:customStyle="1" w:styleId="Bullet3">
    <w:name w:val="Bullet 3"/>
    <w:basedOn w:val="SingleTxt"/>
    <w:qFormat/>
    <w:rsid w:val="006C632E"/>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C632E"/>
    <w:pPr>
      <w:ind w:right="5760"/>
      <w:outlineLvl w:val="1"/>
    </w:pPr>
    <w:rPr>
      <w:spacing w:val="2"/>
      <w:sz w:val="20"/>
      <w:szCs w:val="28"/>
    </w:rPr>
  </w:style>
  <w:style w:type="paragraph" w:customStyle="1" w:styleId="STitleM">
    <w:name w:val="S_Title_M"/>
    <w:basedOn w:val="Normal"/>
    <w:next w:val="Normal"/>
    <w:qFormat/>
    <w:rsid w:val="006C632E"/>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C632E"/>
    <w:pPr>
      <w:spacing w:line="600" w:lineRule="exact"/>
      <w:ind w:left="1267" w:right="1267"/>
    </w:pPr>
    <w:rPr>
      <w:w w:val="103"/>
      <w:sz w:val="60"/>
      <w:szCs w:val="60"/>
    </w:rPr>
  </w:style>
  <w:style w:type="paragraph" w:customStyle="1" w:styleId="STitleL">
    <w:name w:val="S_Title_L"/>
    <w:basedOn w:val="XLarge"/>
    <w:next w:val="Normal"/>
    <w:qFormat/>
    <w:rsid w:val="006C632E"/>
    <w:rPr>
      <w:spacing w:val="-8"/>
      <w:w w:val="96"/>
      <w:sz w:val="57"/>
    </w:rPr>
  </w:style>
  <w:style w:type="paragraph" w:styleId="CommentText">
    <w:name w:val="annotation text"/>
    <w:basedOn w:val="Normal"/>
    <w:link w:val="CommentTextChar"/>
    <w:uiPriority w:val="99"/>
    <w:semiHidden/>
    <w:unhideWhenUsed/>
    <w:rsid w:val="006C632E"/>
    <w:pPr>
      <w:spacing w:line="240" w:lineRule="auto"/>
    </w:pPr>
    <w:rPr>
      <w:kern w:val="14"/>
    </w:rPr>
  </w:style>
  <w:style w:type="character" w:customStyle="1" w:styleId="CommentTextChar">
    <w:name w:val="Comment Text Char"/>
    <w:basedOn w:val="DefaultParagraphFont"/>
    <w:link w:val="CommentText"/>
    <w:uiPriority w:val="99"/>
    <w:semiHidden/>
    <w:rsid w:val="006C632E"/>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C632E"/>
    <w:rPr>
      <w:b/>
      <w:bCs/>
    </w:rPr>
  </w:style>
  <w:style w:type="character" w:customStyle="1" w:styleId="CommentSubjectChar">
    <w:name w:val="Comment Subject Char"/>
    <w:basedOn w:val="CommentTextChar"/>
    <w:link w:val="CommentSubject"/>
    <w:uiPriority w:val="99"/>
    <w:semiHidden/>
    <w:rsid w:val="006C632E"/>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C632E"/>
    <w:pPr>
      <w:numPr>
        <w:numId w:val="21"/>
      </w:numPr>
      <w:bidi w:val="0"/>
      <w:spacing w:after="120"/>
      <w:ind w:right="1134"/>
      <w:jc w:val="both"/>
    </w:pPr>
    <w:rPr>
      <w:sz w:val="22"/>
    </w:rPr>
  </w:style>
  <w:style w:type="character" w:customStyle="1" w:styleId="SingleTxtGChar">
    <w:name w:val="_ Single Txt_G Char"/>
    <w:link w:val="SingleTxtG"/>
    <w:rsid w:val="006C632E"/>
    <w:rPr>
      <w:rFonts w:ascii="Times New Roman" w:eastAsia="PMingLiU" w:hAnsi="Times New Roman" w:cs="Simplified Arabic"/>
      <w:lang w:val="en-GB" w:eastAsia="en-US"/>
    </w:rPr>
  </w:style>
  <w:style w:type="paragraph" w:customStyle="1" w:styleId="Preparedby">
    <w:name w:val="Prepared by:"/>
    <w:basedOn w:val="H23GA"/>
    <w:qFormat/>
    <w:rsid w:val="006C632E"/>
    <w:rPr>
      <w:sz w:val="32"/>
      <w:szCs w:val="32"/>
    </w:rPr>
  </w:style>
  <w:style w:type="paragraph" w:customStyle="1" w:styleId="ParaNoG">
    <w:name w:val="_ParaNo._G"/>
    <w:basedOn w:val="SingleTxtG"/>
    <w:rsid w:val="006C632E"/>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6C632E"/>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C632E"/>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C632E"/>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C632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C632E"/>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C632E"/>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C632E"/>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C632E"/>
    <w:rPr>
      <w:rFonts w:asciiTheme="minorHAnsi" w:eastAsiaTheme="minorEastAsia" w:hAnsiTheme="minorHAnsi" w:cstheme="minorBidi"/>
      <w:sz w:val="24"/>
      <w:szCs w:val="24"/>
      <w:lang w:val="fr-FR" w:eastAsia="fr-FR"/>
    </w:rPr>
  </w:style>
  <w:style w:type="paragraph" w:customStyle="1" w:styleId="Default">
    <w:name w:val="Default"/>
    <w:semiHidden/>
    <w:rsid w:val="006C632E"/>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C632E"/>
  </w:style>
  <w:style w:type="character" w:customStyle="1" w:styleId="preferred">
    <w:name w:val="preferred"/>
    <w:basedOn w:val="DefaultParagraphFont"/>
    <w:rsid w:val="006C632E"/>
  </w:style>
  <w:style w:type="character" w:customStyle="1" w:styleId="admitted">
    <w:name w:val="admitted"/>
    <w:basedOn w:val="DefaultParagraphFont"/>
    <w:rsid w:val="006C632E"/>
  </w:style>
  <w:style w:type="numbering" w:styleId="111111">
    <w:name w:val="Outline List 2"/>
    <w:basedOn w:val="NoList"/>
    <w:semiHidden/>
    <w:rsid w:val="00121FB6"/>
    <w:pPr>
      <w:numPr>
        <w:numId w:val="39"/>
      </w:numPr>
    </w:pPr>
  </w:style>
  <w:style w:type="numbering" w:styleId="1ai">
    <w:name w:val="Outline List 1"/>
    <w:basedOn w:val="NoList"/>
    <w:semiHidden/>
    <w:rsid w:val="00121FB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81D1-57F9-4DA7-A95E-194F374A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5153</Words>
  <Characters>25510</Characters>
  <Application>Microsoft Office Word</Application>
  <DocSecurity>0</DocSecurity>
  <Lines>380</Lines>
  <Paragraphs>98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CCPR/C/129/D/2922/2016</vt:lpstr>
      <vt:lpstr>    قرار اعتمدته اللجنة بموجب المادة 5(4) من البروتوكول الاختياري بشأن البلاغ رقم </vt:lpstr>
    </vt:vector>
  </TitlesOfParts>
  <Company>DCM</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CCPR/C/129/D/2922/2016</dc:title>
  <dc:subject>GE.</dc:subject>
  <dc:creator>Muntaha BUHNAM</dc:creator>
  <cp:keywords>ODS No.</cp:keywords>
  <dc:description>Distr.: General
23 December 2020
Arabic
Original: Spanish</dc:description>
  <cp:lastModifiedBy>Ibrahim Balan</cp:lastModifiedBy>
  <cp:revision>3</cp:revision>
  <cp:lastPrinted>2021-02-10T14:26:00Z</cp:lastPrinted>
  <dcterms:created xsi:type="dcterms:W3CDTF">2021-02-10T14:26:00Z</dcterms:created>
  <dcterms:modified xsi:type="dcterms:W3CDTF">2021-02-10T14:29:00Z</dcterms:modified>
  <cp:category>Finale</cp:category>
</cp:coreProperties>
</file>