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646AD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646ADF" w:rsidP="00646ADF">
            <w:pPr>
              <w:jc w:val="right"/>
            </w:pPr>
            <w:r w:rsidRPr="00646ADF">
              <w:rPr>
                <w:sz w:val="40"/>
              </w:rPr>
              <w:t>CCPR</w:t>
            </w:r>
            <w:r>
              <w:t>/C/129/1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646ADF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46ADF" w:rsidRDefault="00646ADF" w:rsidP="00646ADF">
            <w:pPr>
              <w:spacing w:line="240" w:lineRule="exact"/>
            </w:pPr>
            <w:r>
              <w:t>26 juin 2020</w:t>
            </w:r>
          </w:p>
          <w:p w:rsidR="00646ADF" w:rsidRDefault="00646ADF" w:rsidP="00646ADF">
            <w:pPr>
              <w:spacing w:line="240" w:lineRule="exact"/>
            </w:pPr>
            <w:r>
              <w:t>Français</w:t>
            </w:r>
          </w:p>
          <w:p w:rsidR="00646ADF" w:rsidRDefault="00646ADF" w:rsidP="00646ADF">
            <w:pPr>
              <w:spacing w:line="240" w:lineRule="exact"/>
            </w:pPr>
            <w:r>
              <w:t>Original : anglais</w:t>
            </w:r>
          </w:p>
          <w:p w:rsidR="00646ADF" w:rsidRPr="00DB58B5" w:rsidRDefault="00646ADF" w:rsidP="00646ADF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646ADF" w:rsidRPr="00833200" w:rsidRDefault="00646ADF" w:rsidP="00646ADF">
      <w:pPr>
        <w:rPr>
          <w:b/>
        </w:rPr>
      </w:pPr>
      <w:r w:rsidRPr="00833200">
        <w:rPr>
          <w:b/>
        </w:rPr>
        <w:t>12</w:t>
      </w:r>
      <w:r>
        <w:rPr>
          <w:b/>
        </w:rPr>
        <w:t>9</w:t>
      </w:r>
      <w:r w:rsidRPr="00833200">
        <w:rPr>
          <w:b/>
          <w:vertAlign w:val="superscript"/>
        </w:rPr>
        <w:t>e</w:t>
      </w:r>
      <w:r w:rsidRPr="00833200">
        <w:rPr>
          <w:b/>
        </w:rPr>
        <w:t xml:space="preserve"> session</w:t>
      </w:r>
    </w:p>
    <w:p w:rsidR="00646ADF" w:rsidRPr="00833200" w:rsidRDefault="00646ADF" w:rsidP="00646ADF">
      <w:r>
        <w:t>29 juin-24 juillet 2020</w:t>
      </w:r>
    </w:p>
    <w:p w:rsidR="00646ADF" w:rsidRPr="00833200" w:rsidRDefault="00646ADF" w:rsidP="00646ADF">
      <w:r w:rsidRPr="00833200">
        <w:t>Point 1 de l</w:t>
      </w:r>
      <w:r>
        <w:t>’</w:t>
      </w:r>
      <w:r w:rsidRPr="00833200">
        <w:t>ordre du jour provisoire</w:t>
      </w:r>
    </w:p>
    <w:p w:rsidR="00646ADF" w:rsidRPr="00833200" w:rsidRDefault="00646ADF" w:rsidP="00646ADF">
      <w:pPr>
        <w:rPr>
          <w:b/>
        </w:rPr>
      </w:pPr>
      <w:r w:rsidRPr="00833200">
        <w:rPr>
          <w:b/>
        </w:rPr>
        <w:t>Adoption de l</w:t>
      </w:r>
      <w:r>
        <w:rPr>
          <w:b/>
        </w:rPr>
        <w:t>’</w:t>
      </w:r>
      <w:r w:rsidRPr="00833200">
        <w:rPr>
          <w:b/>
        </w:rPr>
        <w:t>ordre du jour</w:t>
      </w:r>
    </w:p>
    <w:p w:rsidR="00646ADF" w:rsidRPr="00833200" w:rsidRDefault="00646ADF" w:rsidP="00646ADF">
      <w:pPr>
        <w:pStyle w:val="HChG"/>
      </w:pPr>
      <w:r w:rsidRPr="00833200">
        <w:tab/>
      </w:r>
      <w:r w:rsidRPr="00833200">
        <w:tab/>
        <w:t>Ordre du jour provisoire et annotations</w:t>
      </w:r>
      <w:r w:rsidRPr="00646AD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646ADF" w:rsidRPr="00833200" w:rsidRDefault="00646ADF" w:rsidP="00646ADF">
      <w:pPr>
        <w:pStyle w:val="H1G"/>
      </w:pPr>
      <w:r w:rsidRPr="00833200">
        <w:tab/>
      </w:r>
      <w:r w:rsidRPr="00833200">
        <w:tab/>
        <w:t>Ordre du jour provisoire</w:t>
      </w:r>
    </w:p>
    <w:p w:rsidR="00646ADF" w:rsidRPr="00833200" w:rsidRDefault="00646ADF" w:rsidP="00646ADF">
      <w:pPr>
        <w:pStyle w:val="SingleTxtG"/>
        <w:jc w:val="left"/>
      </w:pPr>
      <w:r w:rsidRPr="00833200">
        <w:t>1.</w:t>
      </w:r>
      <w:r w:rsidRPr="00833200">
        <w:tab/>
        <w:t>Adoption de l</w:t>
      </w:r>
      <w:r>
        <w:t>’</w:t>
      </w:r>
      <w:r w:rsidRPr="00833200">
        <w:t>ordre du jour.</w:t>
      </w:r>
    </w:p>
    <w:p w:rsidR="00646ADF" w:rsidRPr="00833200" w:rsidRDefault="00646ADF" w:rsidP="00646ADF">
      <w:pPr>
        <w:pStyle w:val="SingleTxtG"/>
        <w:ind w:left="1701" w:hanging="567"/>
        <w:jc w:val="left"/>
      </w:pPr>
      <w:bookmarkStart w:id="0" w:name="_Hlk29554294"/>
      <w:r w:rsidRPr="00833200">
        <w:t>2.</w:t>
      </w:r>
      <w:r w:rsidRPr="00833200">
        <w:tab/>
        <w:t>Organisation des travaux et questions diverses, y compris adoption du rapport du Groupe de travail des communications.</w:t>
      </w:r>
    </w:p>
    <w:p w:rsidR="00646ADF" w:rsidRPr="00833200" w:rsidRDefault="00646ADF" w:rsidP="00646ADF">
      <w:pPr>
        <w:pStyle w:val="SingleTxtG"/>
        <w:ind w:left="1701" w:hanging="567"/>
        <w:jc w:val="left"/>
      </w:pPr>
      <w:r>
        <w:t>3</w:t>
      </w:r>
      <w:r w:rsidRPr="00833200">
        <w:t>.</w:t>
      </w:r>
      <w:r w:rsidRPr="00833200">
        <w:tab/>
        <w:t>Examen des rapports soumis par les États parties en application de l</w:t>
      </w:r>
      <w:r>
        <w:t>’</w:t>
      </w:r>
      <w:r w:rsidRPr="00833200">
        <w:t>article</w:t>
      </w:r>
      <w:r>
        <w:t> </w:t>
      </w:r>
      <w:r w:rsidRPr="00833200">
        <w:t>40 du Pacte.</w:t>
      </w:r>
    </w:p>
    <w:p w:rsidR="00646ADF" w:rsidRPr="00833200" w:rsidRDefault="00646ADF" w:rsidP="00646ADF">
      <w:pPr>
        <w:pStyle w:val="SingleTxtG"/>
        <w:ind w:left="1701" w:hanging="567"/>
        <w:jc w:val="left"/>
      </w:pPr>
      <w:r>
        <w:t>4</w:t>
      </w:r>
      <w:r w:rsidRPr="00833200">
        <w:t>.</w:t>
      </w:r>
      <w:r w:rsidRPr="00833200">
        <w:tab/>
        <w:t>Suivi des observations finales portant sur l</w:t>
      </w:r>
      <w:r>
        <w:t>’</w:t>
      </w:r>
      <w:r w:rsidRPr="00833200">
        <w:t>examen des rapports des États parties.</w:t>
      </w:r>
    </w:p>
    <w:p w:rsidR="00646ADF" w:rsidRPr="00833200" w:rsidRDefault="00646ADF" w:rsidP="00646ADF">
      <w:pPr>
        <w:pStyle w:val="SingleTxtG"/>
        <w:ind w:left="1701" w:hanging="567"/>
        <w:jc w:val="left"/>
      </w:pPr>
      <w:r>
        <w:t>5</w:t>
      </w:r>
      <w:r w:rsidRPr="00833200">
        <w:t>.</w:t>
      </w:r>
      <w:r w:rsidRPr="00833200">
        <w:tab/>
        <w:t>Suivi des constatations adoptées au titre du Protocole facultatif se rapportant au Pacte.</w:t>
      </w:r>
    </w:p>
    <w:p w:rsidR="00646ADF" w:rsidRDefault="00646ADF" w:rsidP="00646ADF">
      <w:pPr>
        <w:pStyle w:val="SingleTxtG"/>
        <w:ind w:left="1701" w:hanging="567"/>
        <w:jc w:val="left"/>
      </w:pPr>
      <w:r>
        <w:t>6</w:t>
      </w:r>
      <w:r w:rsidRPr="00833200">
        <w:t>.</w:t>
      </w:r>
      <w:r w:rsidRPr="00833200">
        <w:tab/>
        <w:t>Examen des communications présentées en vertu du premier Protocole facultatif se rapportant au Pacte.</w:t>
      </w:r>
    </w:p>
    <w:p w:rsidR="00646ADF" w:rsidRPr="00833200" w:rsidRDefault="00646ADF" w:rsidP="00646ADF">
      <w:pPr>
        <w:pStyle w:val="SingleTxtG"/>
        <w:ind w:left="1701" w:hanging="567"/>
        <w:jc w:val="left"/>
      </w:pPr>
      <w:r>
        <w:t>7.</w:t>
      </w:r>
      <w:r>
        <w:tab/>
        <w:t>Adoption du rapport annuel à l’Assemblée générale.</w:t>
      </w:r>
    </w:p>
    <w:bookmarkEnd w:id="0"/>
    <w:p w:rsidR="00646ADF" w:rsidRPr="00833200" w:rsidRDefault="00646ADF" w:rsidP="00646ADF">
      <w:pPr>
        <w:pStyle w:val="H1G"/>
      </w:pPr>
      <w:r w:rsidRPr="00833200">
        <w:tab/>
      </w:r>
      <w:r w:rsidRPr="00833200">
        <w:tab/>
        <w:t>Annotations</w:t>
      </w:r>
    </w:p>
    <w:p w:rsidR="00646ADF" w:rsidRPr="00833200" w:rsidRDefault="00646ADF" w:rsidP="00646ADF">
      <w:pPr>
        <w:pStyle w:val="H23G"/>
      </w:pPr>
      <w:r w:rsidRPr="00833200">
        <w:tab/>
        <w:t>1.</w:t>
      </w:r>
      <w:r w:rsidRPr="00833200">
        <w:tab/>
        <w:t>Adoption de l</w:t>
      </w:r>
      <w:r>
        <w:t>’</w:t>
      </w:r>
      <w:r w:rsidRPr="00833200">
        <w:t>ordre du jour</w:t>
      </w:r>
    </w:p>
    <w:p w:rsidR="00646ADF" w:rsidRPr="00833200" w:rsidRDefault="00646ADF" w:rsidP="00646ADF">
      <w:pPr>
        <w:pStyle w:val="SingleTxtG"/>
        <w:ind w:firstLine="567"/>
      </w:pPr>
      <w:r w:rsidRPr="00833200">
        <w:t>Conformément à l</w:t>
      </w:r>
      <w:r>
        <w:t>’</w:t>
      </w:r>
      <w:r w:rsidRPr="00833200">
        <w:t xml:space="preserve">article 8 du </w:t>
      </w:r>
      <w:r>
        <w:t>r</w:t>
      </w:r>
      <w:r w:rsidRPr="00833200">
        <w:t>èglement intérieur du Comité, l</w:t>
      </w:r>
      <w:r>
        <w:t>’</w:t>
      </w:r>
      <w:r w:rsidRPr="00833200">
        <w:t>adoption de l</w:t>
      </w:r>
      <w:r>
        <w:t>’</w:t>
      </w:r>
      <w:r w:rsidRPr="00833200">
        <w:t>ordre du jour constitue le premier point de l</w:t>
      </w:r>
      <w:r>
        <w:t>’</w:t>
      </w:r>
      <w:r w:rsidRPr="00833200">
        <w:t>ordre du jour provisoire de toute session, sauf s</w:t>
      </w:r>
      <w:r>
        <w:t>’</w:t>
      </w:r>
      <w:r w:rsidRPr="00833200">
        <w:t>il y a lieu d</w:t>
      </w:r>
      <w:r>
        <w:t>’</w:t>
      </w:r>
      <w:r w:rsidRPr="00833200">
        <w:t>élire les membres du Bureau conformément à l</w:t>
      </w:r>
      <w:r>
        <w:t>’</w:t>
      </w:r>
      <w:r w:rsidRPr="00833200">
        <w:t xml:space="preserve">article 16 dudit </w:t>
      </w:r>
      <w:r>
        <w:t>r</w:t>
      </w:r>
      <w:r w:rsidRPr="00833200">
        <w:t>èglement. Au titre de ce point, le Comité adoptera l</w:t>
      </w:r>
      <w:r>
        <w:t>’</w:t>
      </w:r>
      <w:r w:rsidRPr="00833200">
        <w:t>ordre du jour de la session.</w:t>
      </w:r>
    </w:p>
    <w:p w:rsidR="00646ADF" w:rsidRPr="00833200" w:rsidRDefault="00646ADF" w:rsidP="00646ADF">
      <w:pPr>
        <w:pStyle w:val="SingleTxtG"/>
        <w:ind w:firstLine="567"/>
      </w:pPr>
      <w:r w:rsidRPr="00833200">
        <w:t>Conformément à l</w:t>
      </w:r>
      <w:r>
        <w:t>’</w:t>
      </w:r>
      <w:r w:rsidRPr="00833200">
        <w:t>article 6 du règlement intérieur, le présent ordre du jour provisoire a été établi par le Secrétaire général en consultation avec le Président du Comité. Conformément à l</w:t>
      </w:r>
      <w:r>
        <w:t>’</w:t>
      </w:r>
      <w:r w:rsidRPr="00833200">
        <w:t>article 9, le Comité peut modifier son ordre du jour en cours de session et, s</w:t>
      </w:r>
      <w:r>
        <w:t>’</w:t>
      </w:r>
      <w:r w:rsidRPr="00833200">
        <w:t>il y a lieu, ajourner des points ou en supprimer.</w:t>
      </w:r>
    </w:p>
    <w:p w:rsidR="00646ADF" w:rsidRPr="00833200" w:rsidRDefault="00646ADF" w:rsidP="00646ADF">
      <w:pPr>
        <w:pStyle w:val="H23G"/>
      </w:pPr>
      <w:r w:rsidRPr="00833200">
        <w:lastRenderedPageBreak/>
        <w:tab/>
        <w:t>2.</w:t>
      </w:r>
      <w:r w:rsidRPr="00833200">
        <w:tab/>
        <w:t>Organisation des travaux et questions diverses, y compris adoption du rapport du Groupe de travail des communications</w:t>
      </w:r>
    </w:p>
    <w:p w:rsidR="00646ADF" w:rsidRPr="00833200" w:rsidRDefault="00646ADF" w:rsidP="00646ADF">
      <w:pPr>
        <w:pStyle w:val="SingleTxtG"/>
        <w:ind w:firstLine="567"/>
      </w:pPr>
      <w:r w:rsidRPr="00833200">
        <w:t>La 12</w:t>
      </w:r>
      <w:r>
        <w:t>9</w:t>
      </w:r>
      <w:r w:rsidRPr="00833200">
        <w:rPr>
          <w:vertAlign w:val="superscript"/>
        </w:rPr>
        <w:t>e</w:t>
      </w:r>
      <w:r w:rsidRPr="00833200">
        <w:t> session du Comité des droits de l</w:t>
      </w:r>
      <w:r>
        <w:t>’</w:t>
      </w:r>
      <w:r w:rsidRPr="00833200">
        <w:t xml:space="preserve">homme se tiendra </w:t>
      </w:r>
      <w:r>
        <w:t>en ligne</w:t>
      </w:r>
      <w:r w:rsidRPr="00833200">
        <w:t xml:space="preserve"> du </w:t>
      </w:r>
      <w:r>
        <w:t xml:space="preserve">29 juin </w:t>
      </w:r>
      <w:r w:rsidRPr="00833200">
        <w:t xml:space="preserve">au </w:t>
      </w:r>
      <w:r>
        <w:t>24</w:t>
      </w:r>
      <w:r>
        <w:t> </w:t>
      </w:r>
      <w:r>
        <w:t>juillet 2020</w:t>
      </w:r>
      <w:r w:rsidRPr="00833200">
        <w:t xml:space="preserve">. La première séance aura lieu le lundi </w:t>
      </w:r>
      <w:r>
        <w:t xml:space="preserve">29 juin </w:t>
      </w:r>
      <w:r w:rsidRPr="00833200">
        <w:t>à 1</w:t>
      </w:r>
      <w:r>
        <w:t>6</w:t>
      </w:r>
      <w:r w:rsidRPr="00833200">
        <w:t> heures.</w:t>
      </w:r>
    </w:p>
    <w:p w:rsidR="00646ADF" w:rsidRPr="00833200" w:rsidRDefault="00646ADF" w:rsidP="00646ADF">
      <w:pPr>
        <w:pStyle w:val="SingleTxtG"/>
        <w:ind w:firstLine="567"/>
      </w:pPr>
      <w:r w:rsidRPr="00833200">
        <w:t>Conformément à l</w:t>
      </w:r>
      <w:r>
        <w:t>’</w:t>
      </w:r>
      <w:r w:rsidRPr="00833200">
        <w:t>article 35 du règlement intérieur, les séances seront publiques, à moins que le Comité n</w:t>
      </w:r>
      <w:r>
        <w:t>’</w:t>
      </w:r>
      <w:r w:rsidRPr="00833200">
        <w:t>en décide autrement ou qu</w:t>
      </w:r>
      <w:r>
        <w:t>’</w:t>
      </w:r>
      <w:r w:rsidRPr="00833200">
        <w:t>il ne ressorte des dispositions applicables du Pacte international relatif aux droits civils et politiques ou des Protocoles facultatifs s</w:t>
      </w:r>
      <w:r>
        <w:t>’</w:t>
      </w:r>
      <w:r w:rsidRPr="00833200">
        <w:t>y rapportant qu</w:t>
      </w:r>
      <w:r>
        <w:t>’</w:t>
      </w:r>
      <w:r w:rsidRPr="00833200">
        <w:t>elles doivent être privées.</w:t>
      </w:r>
    </w:p>
    <w:p w:rsidR="00646ADF" w:rsidRPr="00833200" w:rsidRDefault="00646ADF" w:rsidP="00646ADF">
      <w:pPr>
        <w:pStyle w:val="SingleTxtG"/>
        <w:ind w:firstLine="567"/>
      </w:pPr>
      <w:r w:rsidRPr="00833200">
        <w:t>Au titre de ce point de l</w:t>
      </w:r>
      <w:r>
        <w:t>’</w:t>
      </w:r>
      <w:r w:rsidRPr="00833200">
        <w:t>ordre du jour, le Comité examinera diverses questions qui relèvent de son mandat.</w:t>
      </w:r>
    </w:p>
    <w:p w:rsidR="00646ADF" w:rsidRPr="00833200" w:rsidRDefault="00646ADF" w:rsidP="00646ADF">
      <w:pPr>
        <w:pStyle w:val="H23G"/>
      </w:pPr>
      <w:r w:rsidRPr="00833200">
        <w:tab/>
      </w:r>
      <w:r>
        <w:t>3</w:t>
      </w:r>
      <w:r w:rsidRPr="00833200">
        <w:t>.</w:t>
      </w:r>
      <w:r w:rsidRPr="00833200">
        <w:tab/>
        <w:t>Examen des rapports soumis par les États parties en application de l</w:t>
      </w:r>
      <w:r>
        <w:t>’</w:t>
      </w:r>
      <w:r w:rsidRPr="00833200">
        <w:t>article 40 du Pacte</w:t>
      </w:r>
    </w:p>
    <w:p w:rsidR="00646ADF" w:rsidRPr="00833200" w:rsidRDefault="00646ADF" w:rsidP="00646ADF">
      <w:pPr>
        <w:pStyle w:val="SingleTxtG"/>
        <w:ind w:firstLine="567"/>
      </w:pPr>
      <w:r w:rsidRPr="00833200">
        <w:t xml:space="preserve">Des équipes spéciales chargées des rapports périodiques examineront et adopteront des listes de points concernant les rapports </w:t>
      </w:r>
      <w:r>
        <w:t>de l’Arménie, du Cambodge, de la Fédération de Russie, de l’Iraq, du Panama et du Qatar ainsi que de Hong Kong (Chine) et de Macao (Chine). Elles adopteront aussi</w:t>
      </w:r>
      <w:r w:rsidRPr="00833200">
        <w:t xml:space="preserve"> des listes de points établies avant la soumission du rapport concernant </w:t>
      </w:r>
      <w:r>
        <w:t>le Burkina Faso, le Congo, le Gabon, le Guyana, l’Indonésie et la République islamique d’Iran</w:t>
      </w:r>
      <w:r w:rsidRPr="00833200">
        <w:t>.</w:t>
      </w:r>
    </w:p>
    <w:p w:rsidR="00646ADF" w:rsidRPr="00833200" w:rsidRDefault="00646ADF" w:rsidP="00646ADF">
      <w:pPr>
        <w:pStyle w:val="H23G"/>
      </w:pPr>
      <w:r w:rsidRPr="00833200">
        <w:tab/>
      </w:r>
      <w:r>
        <w:t>4</w:t>
      </w:r>
      <w:r w:rsidRPr="00833200">
        <w:t>.</w:t>
      </w:r>
      <w:r w:rsidRPr="00833200">
        <w:tab/>
        <w:t>Suivi des observations finales portant sur l</w:t>
      </w:r>
      <w:r>
        <w:t>’</w:t>
      </w:r>
      <w:r w:rsidRPr="00833200">
        <w:t>examen des rapports des États parties</w:t>
      </w:r>
    </w:p>
    <w:p w:rsidR="00646ADF" w:rsidRPr="00833200" w:rsidRDefault="00646ADF" w:rsidP="00646ADF">
      <w:pPr>
        <w:pStyle w:val="SingleTxtG"/>
        <w:ind w:firstLine="567"/>
      </w:pPr>
      <w:r w:rsidRPr="00833200">
        <w:t>L</w:t>
      </w:r>
      <w:r>
        <w:t>a</w:t>
      </w:r>
      <w:r w:rsidRPr="00833200">
        <w:t xml:space="preserve"> Rapporteu</w:t>
      </w:r>
      <w:r>
        <w:t>se</w:t>
      </w:r>
      <w:r w:rsidRPr="00833200">
        <w:t xml:space="preserve"> spécial</w:t>
      </w:r>
      <w:r>
        <w:t>e</w:t>
      </w:r>
      <w:r w:rsidRPr="00833200">
        <w:t xml:space="preserve"> chargé</w:t>
      </w:r>
      <w:r>
        <w:t>e</w:t>
      </w:r>
      <w:r w:rsidRPr="00833200">
        <w:t xml:space="preserve"> du suivi </w:t>
      </w:r>
      <w:bookmarkStart w:id="1" w:name="_GoBack"/>
      <w:bookmarkEnd w:id="1"/>
      <w:r w:rsidRPr="00833200">
        <w:t>des observations finales rendra compte de ses</w:t>
      </w:r>
      <w:r>
        <w:t xml:space="preserve"> </w:t>
      </w:r>
      <w:r w:rsidRPr="00833200">
        <w:t>activités.</w:t>
      </w:r>
    </w:p>
    <w:p w:rsidR="00646ADF" w:rsidRPr="00833200" w:rsidRDefault="00646ADF" w:rsidP="00646ADF">
      <w:pPr>
        <w:pStyle w:val="H23G"/>
      </w:pPr>
      <w:r w:rsidRPr="00833200">
        <w:tab/>
      </w:r>
      <w:r>
        <w:t>5</w:t>
      </w:r>
      <w:r w:rsidRPr="00833200">
        <w:t>.</w:t>
      </w:r>
      <w:r w:rsidRPr="00833200">
        <w:tab/>
        <w:t>Suivi des constatations adoptées au titre du Protocole facultatif se rapportant au Pacte</w:t>
      </w:r>
    </w:p>
    <w:p w:rsidR="00646ADF" w:rsidRPr="00833200" w:rsidRDefault="00646ADF" w:rsidP="00646ADF">
      <w:pPr>
        <w:pStyle w:val="SingleTxtG"/>
        <w:ind w:firstLine="567"/>
        <w:rPr>
          <w:spacing w:val="-2"/>
        </w:rPr>
      </w:pPr>
      <w:r w:rsidRPr="00833200">
        <w:rPr>
          <w:spacing w:val="-2"/>
        </w:rPr>
        <w:t>Le Rapporteur spécial chargé du suivi des constatations rendra compte de ses activités.</w:t>
      </w:r>
    </w:p>
    <w:p w:rsidR="00646ADF" w:rsidRPr="00833200" w:rsidRDefault="00646ADF" w:rsidP="00646ADF">
      <w:pPr>
        <w:pStyle w:val="H23G"/>
      </w:pPr>
      <w:r w:rsidRPr="00833200">
        <w:tab/>
      </w:r>
      <w:r>
        <w:t>6</w:t>
      </w:r>
      <w:r w:rsidRPr="00833200">
        <w:t>.</w:t>
      </w:r>
      <w:r w:rsidRPr="00833200">
        <w:tab/>
        <w:t xml:space="preserve">Examen des communications présentées en vertu du premier Protocole facultatif </w:t>
      </w:r>
      <w:r w:rsidRPr="00833200">
        <w:br/>
        <w:t>se rapportant au Pacte</w:t>
      </w:r>
    </w:p>
    <w:p w:rsidR="00646ADF" w:rsidRPr="00833200" w:rsidRDefault="00646ADF" w:rsidP="00646ADF">
      <w:pPr>
        <w:pStyle w:val="SingleTxtG"/>
        <w:ind w:firstLine="567"/>
      </w:pPr>
      <w:r w:rsidRPr="00833200">
        <w:t>Eu égard aux dispositions de l</w:t>
      </w:r>
      <w:r>
        <w:t>’</w:t>
      </w:r>
      <w:r w:rsidRPr="00833200">
        <w:t>article</w:t>
      </w:r>
      <w:r>
        <w:t xml:space="preserve"> </w:t>
      </w:r>
      <w:r w:rsidRPr="00833200">
        <w:t xml:space="preserve">107 du </w:t>
      </w:r>
      <w:r>
        <w:t>r</w:t>
      </w:r>
      <w:r w:rsidRPr="00833200">
        <w:t xml:space="preserve">èglement intérieur du Comité, le Groupe de travail des communications se réunira </w:t>
      </w:r>
      <w:r>
        <w:t xml:space="preserve">en ligne </w:t>
      </w:r>
      <w:r w:rsidRPr="00833200">
        <w:t>avant la 12</w:t>
      </w:r>
      <w:r>
        <w:t>9</w:t>
      </w:r>
      <w:r w:rsidRPr="00833200">
        <w:rPr>
          <w:vertAlign w:val="superscript"/>
        </w:rPr>
        <w:t>e</w:t>
      </w:r>
      <w:r w:rsidRPr="00833200">
        <w:t xml:space="preserve"> session, du </w:t>
      </w:r>
      <w:r>
        <w:t>22 au 26</w:t>
      </w:r>
      <w:r>
        <w:t> </w:t>
      </w:r>
      <w:r>
        <w:t xml:space="preserve">juin </w:t>
      </w:r>
      <w:r w:rsidRPr="00833200">
        <w:t>20</w:t>
      </w:r>
      <w:r>
        <w:t>20</w:t>
      </w:r>
      <w:r w:rsidRPr="00833200">
        <w:t>.</w:t>
      </w:r>
    </w:p>
    <w:p w:rsidR="00646ADF" w:rsidRPr="00833200" w:rsidRDefault="00646ADF" w:rsidP="00646ADF">
      <w:pPr>
        <w:pStyle w:val="SingleTxtG"/>
        <w:ind w:firstLine="567"/>
      </w:pPr>
      <w:r w:rsidRPr="00833200">
        <w:t xml:space="preserve">Conformément aux dispositions du chapitre XVIII du règlement intérieur, le Comité examinera les communications qui lui auront été présentées ou qui paraîtront lui avoir été présentées au </w:t>
      </w:r>
      <w:r w:rsidRPr="00CA78DA">
        <w:t>titre du premier Protoc</w:t>
      </w:r>
      <w:r w:rsidRPr="00833200">
        <w:t>ole facultatif.</w:t>
      </w:r>
    </w:p>
    <w:p w:rsidR="00646ADF" w:rsidRPr="00833200" w:rsidRDefault="00646ADF" w:rsidP="00646ADF">
      <w:pPr>
        <w:pStyle w:val="SingleTxtG"/>
        <w:ind w:firstLine="567"/>
      </w:pPr>
      <w:r w:rsidRPr="00833200">
        <w:t>Au 31</w:t>
      </w:r>
      <w:r>
        <w:t xml:space="preserve"> mai </w:t>
      </w:r>
      <w:r w:rsidRPr="00833200">
        <w:t>20</w:t>
      </w:r>
      <w:r>
        <w:t>20</w:t>
      </w:r>
      <w:r w:rsidRPr="00833200">
        <w:t>, le Comité était saisi d</w:t>
      </w:r>
      <w:r>
        <w:t>’</w:t>
      </w:r>
      <w:r w:rsidRPr="00833200">
        <w:t>un total de 1</w:t>
      </w:r>
      <w:r>
        <w:t> </w:t>
      </w:r>
      <w:r w:rsidRPr="00833200">
        <w:t>1</w:t>
      </w:r>
      <w:r>
        <w:t>78</w:t>
      </w:r>
      <w:r w:rsidRPr="00833200">
        <w:t> communications.</w:t>
      </w:r>
    </w:p>
    <w:p w:rsidR="00646ADF" w:rsidRDefault="00646ADF" w:rsidP="00646ADF">
      <w:pPr>
        <w:pStyle w:val="SingleTxtG"/>
        <w:ind w:firstLine="567"/>
      </w:pPr>
      <w:r w:rsidRPr="00833200">
        <w:t>Conformément au paragraphe 3 de l</w:t>
      </w:r>
      <w:r>
        <w:t>’</w:t>
      </w:r>
      <w:r w:rsidRPr="00833200">
        <w:t>article 5 du Protocole facultatif et à l</w:t>
      </w:r>
      <w:r>
        <w:t>’</w:t>
      </w:r>
      <w:r w:rsidRPr="00833200">
        <w:t>article</w:t>
      </w:r>
      <w:r w:rsidR="00CA78DA">
        <w:t> </w:t>
      </w:r>
      <w:r w:rsidRPr="00833200">
        <w:t xml:space="preserve">110 du </w:t>
      </w:r>
      <w:r>
        <w:t>r</w:t>
      </w:r>
      <w:r w:rsidRPr="00833200">
        <w:t>èglement intérieur du Comité, ce point de l</w:t>
      </w:r>
      <w:r>
        <w:t>’</w:t>
      </w:r>
      <w:r w:rsidRPr="00833200">
        <w:t>ordre du jour sera examiné en séances privées.</w:t>
      </w:r>
    </w:p>
    <w:p w:rsidR="00646ADF" w:rsidRDefault="00646ADF" w:rsidP="00646ADF">
      <w:pPr>
        <w:pStyle w:val="H23G"/>
      </w:pPr>
      <w:r>
        <w:tab/>
        <w:t>7.</w:t>
      </w:r>
      <w:r>
        <w:tab/>
      </w:r>
      <w:r w:rsidRPr="00D4548C">
        <w:t>Adoption</w:t>
      </w:r>
      <w:r>
        <w:t xml:space="preserve"> du rapport </w:t>
      </w:r>
      <w:r w:rsidRPr="00D4548C">
        <w:t>annu</w:t>
      </w:r>
      <w:r>
        <w:t>e</w:t>
      </w:r>
      <w:r w:rsidRPr="00D4548C">
        <w:t>l</w:t>
      </w:r>
      <w:r>
        <w:t xml:space="preserve"> à l’Assemblée générale</w:t>
      </w:r>
    </w:p>
    <w:p w:rsidR="00E85C42" w:rsidRPr="00646ADF" w:rsidRDefault="00646ADF" w:rsidP="00646A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5C42" w:rsidRPr="00646ADF" w:rsidSect="00646A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31" w:rsidRDefault="00331331" w:rsidP="00F95C08">
      <w:pPr>
        <w:spacing w:line="240" w:lineRule="auto"/>
      </w:pPr>
    </w:p>
  </w:endnote>
  <w:endnote w:type="continuationSeparator" w:id="0">
    <w:p w:rsidR="00331331" w:rsidRPr="00AC3823" w:rsidRDefault="00331331" w:rsidP="00AC3823">
      <w:pPr>
        <w:pStyle w:val="Pieddepage"/>
      </w:pPr>
    </w:p>
  </w:endnote>
  <w:endnote w:type="continuationNotice" w:id="1">
    <w:p w:rsidR="00331331" w:rsidRDefault="003313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DF" w:rsidRPr="00646ADF" w:rsidRDefault="00646ADF" w:rsidP="00646ADF">
    <w:pPr>
      <w:pStyle w:val="Pieddepage"/>
      <w:tabs>
        <w:tab w:val="right" w:pos="9638"/>
      </w:tabs>
    </w:pPr>
    <w:r w:rsidRPr="00646ADF">
      <w:rPr>
        <w:b/>
        <w:sz w:val="18"/>
      </w:rPr>
      <w:fldChar w:fldCharType="begin"/>
    </w:r>
    <w:r w:rsidRPr="00646ADF">
      <w:rPr>
        <w:b/>
        <w:sz w:val="18"/>
      </w:rPr>
      <w:instrText xml:space="preserve"> PAGE  \* MERGEFORMAT </w:instrText>
    </w:r>
    <w:r w:rsidRPr="00646ADF">
      <w:rPr>
        <w:b/>
        <w:sz w:val="18"/>
      </w:rPr>
      <w:fldChar w:fldCharType="separate"/>
    </w:r>
    <w:r w:rsidRPr="00646ADF">
      <w:rPr>
        <w:b/>
        <w:noProof/>
        <w:sz w:val="18"/>
      </w:rPr>
      <w:t>2</w:t>
    </w:r>
    <w:r w:rsidRPr="00646ADF">
      <w:rPr>
        <w:b/>
        <w:sz w:val="18"/>
      </w:rPr>
      <w:fldChar w:fldCharType="end"/>
    </w:r>
    <w:r>
      <w:rPr>
        <w:b/>
        <w:sz w:val="18"/>
      </w:rPr>
      <w:tab/>
    </w:r>
    <w:r>
      <w:t>GE.20-08396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DF" w:rsidRPr="00646ADF" w:rsidRDefault="00646ADF" w:rsidP="00646ADF">
    <w:pPr>
      <w:pStyle w:val="Pieddepage"/>
      <w:tabs>
        <w:tab w:val="right" w:pos="9638"/>
      </w:tabs>
      <w:rPr>
        <w:b/>
        <w:sz w:val="18"/>
      </w:rPr>
    </w:pPr>
    <w:r>
      <w:t>GE.20-08396</w:t>
    </w:r>
    <w:r>
      <w:tab/>
    </w:r>
    <w:r w:rsidRPr="00646ADF">
      <w:rPr>
        <w:b/>
        <w:sz w:val="18"/>
      </w:rPr>
      <w:fldChar w:fldCharType="begin"/>
    </w:r>
    <w:r w:rsidRPr="00646ADF">
      <w:rPr>
        <w:b/>
        <w:sz w:val="18"/>
      </w:rPr>
      <w:instrText xml:space="preserve"> PAGE  \* MERGEFORMAT </w:instrText>
    </w:r>
    <w:r w:rsidRPr="00646ADF">
      <w:rPr>
        <w:b/>
        <w:sz w:val="18"/>
      </w:rPr>
      <w:fldChar w:fldCharType="separate"/>
    </w:r>
    <w:r w:rsidRPr="00646ADF">
      <w:rPr>
        <w:b/>
        <w:noProof/>
        <w:sz w:val="18"/>
      </w:rPr>
      <w:t>3</w:t>
    </w:r>
    <w:r w:rsidRPr="00646A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646ADF" w:rsidRDefault="00646ADF" w:rsidP="00646ADF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20-08396  (F)    260620    260620</w:t>
    </w:r>
    <w:r>
      <w:rPr>
        <w:sz w:val="20"/>
      </w:rPr>
      <w:br/>
    </w:r>
    <w:r w:rsidRPr="00646ADF">
      <w:rPr>
        <w:rFonts w:ascii="C39T30Lfz" w:hAnsi="C39T30Lfz"/>
        <w:sz w:val="56"/>
      </w:rPr>
      <w:t></w:t>
    </w:r>
    <w:r w:rsidRPr="00646ADF">
      <w:rPr>
        <w:rFonts w:ascii="C39T30Lfz" w:hAnsi="C39T30Lfz"/>
        <w:sz w:val="56"/>
      </w:rPr>
      <w:t></w:t>
    </w:r>
    <w:r w:rsidRPr="00646ADF">
      <w:rPr>
        <w:rFonts w:ascii="C39T30Lfz" w:hAnsi="C39T30Lfz"/>
        <w:sz w:val="56"/>
      </w:rPr>
      <w:t></w:t>
    </w:r>
    <w:r w:rsidRPr="00646ADF">
      <w:rPr>
        <w:rFonts w:ascii="C39T30Lfz" w:hAnsi="C39T30Lfz"/>
        <w:sz w:val="56"/>
      </w:rPr>
      <w:t></w:t>
    </w:r>
    <w:r w:rsidRPr="00646ADF">
      <w:rPr>
        <w:rFonts w:ascii="C39T30Lfz" w:hAnsi="C39T30Lfz"/>
        <w:sz w:val="56"/>
      </w:rPr>
      <w:t></w:t>
    </w:r>
    <w:r w:rsidRPr="00646ADF">
      <w:rPr>
        <w:rFonts w:ascii="C39T30Lfz" w:hAnsi="C39T30Lfz"/>
        <w:sz w:val="56"/>
      </w:rPr>
      <w:t></w:t>
    </w:r>
    <w:r w:rsidRPr="00646ADF">
      <w:rPr>
        <w:rFonts w:ascii="C39T30Lfz" w:hAnsi="C39T30Lfz"/>
        <w:sz w:val="56"/>
      </w:rPr>
      <w:t></w:t>
    </w:r>
    <w:r w:rsidRPr="00646ADF">
      <w:rPr>
        <w:rFonts w:ascii="C39T30Lfz" w:hAnsi="C39T30Lfz"/>
        <w:sz w:val="56"/>
      </w:rPr>
      <w:t></w:t>
    </w:r>
    <w:r w:rsidRPr="00646AD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31" w:rsidRPr="00AC3823" w:rsidRDefault="0033133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1331" w:rsidRPr="00AC3823" w:rsidRDefault="0033133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1331" w:rsidRPr="00AC3823" w:rsidRDefault="00331331">
      <w:pPr>
        <w:spacing w:line="240" w:lineRule="auto"/>
        <w:rPr>
          <w:sz w:val="2"/>
          <w:szCs w:val="2"/>
        </w:rPr>
      </w:pPr>
    </w:p>
  </w:footnote>
  <w:footnote w:id="2">
    <w:p w:rsidR="00646ADF" w:rsidRPr="0079432F" w:rsidRDefault="00646ADF" w:rsidP="00646ADF">
      <w:pPr>
        <w:pStyle w:val="Notedebasdepage"/>
      </w:pPr>
      <w:r>
        <w:rPr>
          <w:rStyle w:val="Appelnotedebasdep"/>
        </w:rPr>
        <w:tab/>
      </w:r>
      <w:r w:rsidRPr="00646AD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</w:rPr>
        <w:tab/>
      </w:r>
      <w:r>
        <w:rPr>
          <w:color w:val="000000"/>
        </w:rPr>
        <w:t>Le présent document</w:t>
      </w:r>
      <w:r w:rsidRPr="00B97D97">
        <w:rPr>
          <w:color w:val="000000"/>
        </w:rPr>
        <w:t xml:space="preserve"> </w:t>
      </w:r>
      <w:r>
        <w:rPr>
          <w:color w:val="000000"/>
        </w:rPr>
        <w:t>est soumis après la date prévue pour que l’information la plus récente puisse y figurer</w:t>
      </w:r>
      <w:r w:rsidRPr="00B97D97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DF" w:rsidRPr="00646ADF" w:rsidRDefault="00646ADF">
    <w:pPr>
      <w:pStyle w:val="En-tte"/>
    </w:pPr>
    <w:fldSimple w:instr=" TITLE  \* MERGEFORMAT ">
      <w:r>
        <w:t>CCPR/C/129/1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DF" w:rsidRPr="00646ADF" w:rsidRDefault="00646ADF" w:rsidP="00646ADF">
    <w:pPr>
      <w:pStyle w:val="En-tte"/>
      <w:jc w:val="right"/>
    </w:pPr>
    <w:fldSimple w:instr=" TITLE  \* MERGEFORMAT ">
      <w:r>
        <w:t>CCPR/C/129/1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1331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31331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46ADF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8DA"/>
    <w:rsid w:val="00CA7BC4"/>
    <w:rsid w:val="00D05667"/>
    <w:rsid w:val="00D3439C"/>
    <w:rsid w:val="00D744E5"/>
    <w:rsid w:val="00D83177"/>
    <w:rsid w:val="00DB1831"/>
    <w:rsid w:val="00DC710E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526C65"/>
  <w15:docId w15:val="{3E7EEA6D-37C6-402C-AF7D-8916AFC4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2</Pages>
  <Words>656</Words>
  <Characters>3464</Characters>
  <Application>Microsoft Office Word</Application>
  <DocSecurity>0</DocSecurity>
  <Lines>78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CCPR/C/129/1</vt:lpstr>
    </vt:vector>
  </TitlesOfParts>
  <Company>DCM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CCPR/C/129/1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2020-06-26T12:19:00Z</dcterms:created>
  <dcterms:modified xsi:type="dcterms:W3CDTF">2020-06-26T12:19:00Z</dcterms:modified>
</cp:coreProperties>
</file>