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363588" w14:paraId="50D76FA1" w14:textId="77777777" w:rsidTr="00FB0220">
        <w:trPr>
          <w:trHeight w:hRule="exact" w:val="851"/>
        </w:trPr>
        <w:tc>
          <w:tcPr>
            <w:tcW w:w="1276" w:type="dxa"/>
            <w:tcBorders>
              <w:bottom w:val="single" w:sz="4" w:space="0" w:color="auto"/>
            </w:tcBorders>
          </w:tcPr>
          <w:p w14:paraId="2B7F417E" w14:textId="77777777" w:rsidR="00AF1CE8" w:rsidRPr="00DB58B5" w:rsidRDefault="00AF1CE8" w:rsidP="003F0BE7"/>
        </w:tc>
        <w:tc>
          <w:tcPr>
            <w:tcW w:w="2268" w:type="dxa"/>
            <w:tcBorders>
              <w:bottom w:val="single" w:sz="4" w:space="0" w:color="auto"/>
            </w:tcBorders>
            <w:vAlign w:val="bottom"/>
          </w:tcPr>
          <w:p w14:paraId="4C003E3D" w14:textId="77777777" w:rsidR="00AF1CE8" w:rsidRPr="00363588" w:rsidRDefault="00AF1CE8" w:rsidP="003F0BE7">
            <w:pPr>
              <w:spacing w:after="80" w:line="300" w:lineRule="exact"/>
              <w:rPr>
                <w:sz w:val="28"/>
              </w:rPr>
            </w:pPr>
            <w:r w:rsidRPr="00363588">
              <w:rPr>
                <w:sz w:val="28"/>
              </w:rPr>
              <w:t>Nations Unies</w:t>
            </w:r>
          </w:p>
        </w:tc>
        <w:tc>
          <w:tcPr>
            <w:tcW w:w="6095" w:type="dxa"/>
            <w:gridSpan w:val="2"/>
            <w:tcBorders>
              <w:bottom w:val="single" w:sz="4" w:space="0" w:color="auto"/>
            </w:tcBorders>
            <w:vAlign w:val="bottom"/>
          </w:tcPr>
          <w:p w14:paraId="40607E3B" w14:textId="5A59463A" w:rsidR="00AF1CE8" w:rsidRPr="00363588" w:rsidRDefault="00F72790" w:rsidP="00F72790">
            <w:pPr>
              <w:jc w:val="right"/>
            </w:pPr>
            <w:r w:rsidRPr="00363588">
              <w:rPr>
                <w:sz w:val="40"/>
              </w:rPr>
              <w:t>CCPR</w:t>
            </w:r>
            <w:r w:rsidRPr="00363588">
              <w:t>/C/126/D/2213/2012</w:t>
            </w:r>
          </w:p>
        </w:tc>
      </w:tr>
      <w:tr w:rsidR="00AF1CE8" w:rsidRPr="00363588" w14:paraId="16E88AFA" w14:textId="77777777" w:rsidTr="003F0BE7">
        <w:trPr>
          <w:trHeight w:hRule="exact" w:val="2835"/>
        </w:trPr>
        <w:tc>
          <w:tcPr>
            <w:tcW w:w="1276" w:type="dxa"/>
            <w:tcBorders>
              <w:top w:val="single" w:sz="4" w:space="0" w:color="auto"/>
              <w:bottom w:val="single" w:sz="12" w:space="0" w:color="auto"/>
            </w:tcBorders>
          </w:tcPr>
          <w:p w14:paraId="73E2574A" w14:textId="77777777" w:rsidR="00AF1CE8" w:rsidRPr="00363588" w:rsidRDefault="008B4A88" w:rsidP="003F0BE7">
            <w:pPr>
              <w:spacing w:before="120"/>
              <w:jc w:val="center"/>
            </w:pPr>
            <w:r w:rsidRPr="00363588">
              <w:rPr>
                <w:noProof/>
                <w:lang w:val="en-GB" w:eastAsia="en-GB"/>
              </w:rPr>
              <w:drawing>
                <wp:inline distT="0" distB="0" distL="0" distR="0" wp14:anchorId="0E08AF12" wp14:editId="7E30F60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3BAFFD" w14:textId="631C9377" w:rsidR="00AF1CE8" w:rsidRPr="00363588" w:rsidRDefault="00AF1CE8" w:rsidP="003F0BE7">
            <w:pPr>
              <w:spacing w:before="120" w:line="380" w:lineRule="exact"/>
              <w:rPr>
                <w:b/>
                <w:sz w:val="34"/>
                <w:szCs w:val="34"/>
              </w:rPr>
            </w:pPr>
            <w:r w:rsidRPr="00363588">
              <w:rPr>
                <w:b/>
                <w:sz w:val="34"/>
                <w:szCs w:val="34"/>
              </w:rPr>
              <w:t>Pacte international relatif</w:t>
            </w:r>
            <w:r w:rsidRPr="00363588">
              <w:rPr>
                <w:b/>
                <w:sz w:val="34"/>
                <w:szCs w:val="34"/>
              </w:rPr>
              <w:br/>
              <w:t>aux droits civils et politiques</w:t>
            </w:r>
          </w:p>
        </w:tc>
        <w:tc>
          <w:tcPr>
            <w:tcW w:w="2835" w:type="dxa"/>
            <w:tcBorders>
              <w:top w:val="single" w:sz="4" w:space="0" w:color="auto"/>
              <w:bottom w:val="single" w:sz="12" w:space="0" w:color="auto"/>
            </w:tcBorders>
          </w:tcPr>
          <w:p w14:paraId="05DB4B5D" w14:textId="69601B0E" w:rsidR="00AF1CE8" w:rsidRPr="00363588" w:rsidRDefault="00FB0220" w:rsidP="00FB0220">
            <w:pPr>
              <w:spacing w:before="240" w:line="240" w:lineRule="exact"/>
            </w:pPr>
            <w:proofErr w:type="spellStart"/>
            <w:r w:rsidRPr="00363588">
              <w:t>Distr</w:t>
            </w:r>
            <w:proofErr w:type="spellEnd"/>
            <w:r w:rsidRPr="00363588">
              <w:t xml:space="preserve">. </w:t>
            </w:r>
            <w:r w:rsidR="00EB115F" w:rsidRPr="00363588">
              <w:t>générale</w:t>
            </w:r>
            <w:r w:rsidR="00EB115F" w:rsidRPr="00363588">
              <w:rPr>
                <w:rStyle w:val="Appelnotedebasdep"/>
                <w:sz w:val="20"/>
                <w:vertAlign w:val="baseline"/>
              </w:rPr>
              <w:t xml:space="preserve"> </w:t>
            </w:r>
          </w:p>
          <w:p w14:paraId="48E6E914" w14:textId="059F6499" w:rsidR="00FB0220" w:rsidRPr="00363588" w:rsidRDefault="004A56D3" w:rsidP="005A0417">
            <w:pPr>
              <w:spacing w:line="240" w:lineRule="exact"/>
            </w:pPr>
            <w:r>
              <w:t>15</w:t>
            </w:r>
            <w:r w:rsidR="0048038C" w:rsidRPr="00363588">
              <w:t xml:space="preserve"> </w:t>
            </w:r>
            <w:r w:rsidR="00D77AC2" w:rsidRPr="00363588">
              <w:t>octobre</w:t>
            </w:r>
            <w:r w:rsidR="00FB0220" w:rsidRPr="00363588">
              <w:t xml:space="preserve"> 2019</w:t>
            </w:r>
          </w:p>
          <w:p w14:paraId="5D888A3E" w14:textId="77777777" w:rsidR="00FB0220" w:rsidRPr="00363588" w:rsidRDefault="00FB0220" w:rsidP="00FB0220">
            <w:pPr>
              <w:spacing w:line="240" w:lineRule="exact"/>
            </w:pPr>
          </w:p>
          <w:p w14:paraId="70CD815C" w14:textId="2B274954" w:rsidR="00B62AD2" w:rsidRPr="00363588" w:rsidRDefault="00FB0220" w:rsidP="00FB0220">
            <w:pPr>
              <w:spacing w:line="240" w:lineRule="exact"/>
            </w:pPr>
            <w:r w:rsidRPr="00363588">
              <w:t>Original : français</w:t>
            </w:r>
          </w:p>
        </w:tc>
      </w:tr>
    </w:tbl>
    <w:p w14:paraId="7EAB711B" w14:textId="77777777" w:rsidR="00BB4810" w:rsidRPr="00363588" w:rsidRDefault="00BB4810" w:rsidP="00BB4810">
      <w:pPr>
        <w:spacing w:before="120"/>
        <w:rPr>
          <w:b/>
          <w:sz w:val="24"/>
          <w:szCs w:val="24"/>
        </w:rPr>
      </w:pPr>
      <w:r w:rsidRPr="00363588">
        <w:rPr>
          <w:b/>
          <w:sz w:val="24"/>
          <w:szCs w:val="24"/>
        </w:rPr>
        <w:t>Comité des droits de l’homme</w:t>
      </w:r>
    </w:p>
    <w:p w14:paraId="45D9F004" w14:textId="0DCDFA73" w:rsidR="00FB0220" w:rsidRPr="00D101CB" w:rsidRDefault="00FB0220" w:rsidP="00BB4810">
      <w:pPr>
        <w:pStyle w:val="HChG"/>
      </w:pPr>
      <w:r w:rsidRPr="00363588">
        <w:tab/>
      </w:r>
      <w:r w:rsidRPr="00363588">
        <w:tab/>
      </w:r>
      <w:r w:rsidR="00EB115F" w:rsidRPr="00363588">
        <w:t xml:space="preserve">Constatations adoptées par le Comité au titre </w:t>
      </w:r>
      <w:r w:rsidR="00EB115F" w:rsidRPr="00363588">
        <w:br/>
        <w:t xml:space="preserve">de </w:t>
      </w:r>
      <w:r w:rsidR="00EB115F" w:rsidRPr="00363588">
        <w:rPr>
          <w:lang w:val="fr-FR"/>
        </w:rPr>
        <w:t xml:space="preserve">l’article 5 (par. 4) du Protocole facultatif, </w:t>
      </w:r>
      <w:r w:rsidR="00EB115F" w:rsidRPr="00363588">
        <w:rPr>
          <w:lang w:val="fr-FR"/>
        </w:rPr>
        <w:br/>
        <w:t>concernant la c</w:t>
      </w:r>
      <w:proofErr w:type="spellStart"/>
      <w:r w:rsidRPr="00363588">
        <w:t>ommunication</w:t>
      </w:r>
      <w:proofErr w:type="spellEnd"/>
      <w:r w:rsidRPr="00363588">
        <w:t xml:space="preserve"> n</w:t>
      </w:r>
      <w:r w:rsidRPr="00363588">
        <w:rPr>
          <w:vertAlign w:val="superscript"/>
        </w:rPr>
        <w:t>o</w:t>
      </w:r>
      <w:r w:rsidRPr="00363588">
        <w:t> 2213/2012</w:t>
      </w:r>
      <w:r w:rsidR="0048038C" w:rsidRPr="00D101CB">
        <w:rPr>
          <w:rStyle w:val="Appelnotedebasdep"/>
          <w:b w:val="0"/>
          <w:sz w:val="20"/>
          <w:vertAlign w:val="baseline"/>
        </w:rPr>
        <w:footnoteReference w:customMarkFollows="1" w:id="2"/>
        <w:t>*</w:t>
      </w:r>
      <w:r w:rsidR="0048038C" w:rsidRPr="00D101CB">
        <w:rPr>
          <w:b w:val="0"/>
          <w:position w:val="6"/>
          <w:sz w:val="20"/>
        </w:rPr>
        <w:t>,</w:t>
      </w:r>
      <w:r w:rsidR="00DC24B5" w:rsidRPr="00363588">
        <w:rPr>
          <w:b w:val="0"/>
          <w:sz w:val="20"/>
        </w:rPr>
        <w:t xml:space="preserve"> </w:t>
      </w:r>
      <w:r w:rsidRPr="00363588">
        <w:rPr>
          <w:rStyle w:val="Appelnotedebasdep"/>
          <w:b w:val="0"/>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B0220" w:rsidRPr="00363588" w14:paraId="4505774E" w14:textId="77777777" w:rsidTr="00D101CB">
        <w:tc>
          <w:tcPr>
            <w:tcW w:w="3402" w:type="dxa"/>
            <w:shd w:val="clear" w:color="auto" w:fill="auto"/>
          </w:tcPr>
          <w:p w14:paraId="7A1461CF" w14:textId="77777777" w:rsidR="00FB0220" w:rsidRPr="00363588" w:rsidRDefault="00FB0220" w:rsidP="00F973D6">
            <w:pPr>
              <w:spacing w:after="120"/>
              <w:rPr>
                <w:i/>
              </w:rPr>
            </w:pPr>
            <w:r w:rsidRPr="00363588">
              <w:rPr>
                <w:i/>
              </w:rPr>
              <w:t>Communication présentée par </w:t>
            </w:r>
            <w:r w:rsidRPr="00363588">
              <w:t>:</w:t>
            </w:r>
          </w:p>
        </w:tc>
        <w:tc>
          <w:tcPr>
            <w:tcW w:w="3969" w:type="dxa"/>
            <w:shd w:val="clear" w:color="auto" w:fill="auto"/>
          </w:tcPr>
          <w:p w14:paraId="7AF93224" w14:textId="199B5CE4" w:rsidR="00FB0220" w:rsidRPr="00363588" w:rsidRDefault="00206C3B" w:rsidP="00206C3B">
            <w:pPr>
              <w:spacing w:after="120"/>
            </w:pPr>
            <w:r w:rsidRPr="00363588">
              <w:t xml:space="preserve">Ernest </w:t>
            </w:r>
            <w:proofErr w:type="spellStart"/>
            <w:r w:rsidR="00FB0220" w:rsidRPr="00363588">
              <w:t>Fondjio</w:t>
            </w:r>
            <w:proofErr w:type="spellEnd"/>
            <w:r w:rsidR="00FB0220" w:rsidRPr="00363588">
              <w:t xml:space="preserve"> et consorts (représentés par un</w:t>
            </w:r>
            <w:r w:rsidR="00333730">
              <w:t> </w:t>
            </w:r>
            <w:r w:rsidR="00FB0220" w:rsidRPr="00363588">
              <w:t xml:space="preserve">conseil, Charles </w:t>
            </w:r>
            <w:proofErr w:type="spellStart"/>
            <w:r w:rsidR="00FB0220" w:rsidRPr="00363588">
              <w:t>Taku</w:t>
            </w:r>
            <w:proofErr w:type="spellEnd"/>
            <w:r w:rsidR="00FB0220" w:rsidRPr="00363588">
              <w:t>)</w:t>
            </w:r>
          </w:p>
        </w:tc>
      </w:tr>
      <w:tr w:rsidR="00FB0220" w:rsidRPr="00363588" w14:paraId="4E737129" w14:textId="77777777" w:rsidTr="00D101CB">
        <w:tc>
          <w:tcPr>
            <w:tcW w:w="3402" w:type="dxa"/>
            <w:shd w:val="clear" w:color="auto" w:fill="auto"/>
          </w:tcPr>
          <w:p w14:paraId="7DBEB849" w14:textId="77777777" w:rsidR="00FB0220" w:rsidRPr="00363588" w:rsidRDefault="00FB0220" w:rsidP="00F973D6">
            <w:pPr>
              <w:spacing w:after="120"/>
              <w:rPr>
                <w:i/>
              </w:rPr>
            </w:pPr>
            <w:r w:rsidRPr="00363588">
              <w:rPr>
                <w:i/>
              </w:rPr>
              <w:t>Au nom de </w:t>
            </w:r>
            <w:r w:rsidRPr="00363588">
              <w:t>:</w:t>
            </w:r>
          </w:p>
        </w:tc>
        <w:tc>
          <w:tcPr>
            <w:tcW w:w="3969" w:type="dxa"/>
            <w:shd w:val="clear" w:color="auto" w:fill="auto"/>
          </w:tcPr>
          <w:p w14:paraId="18B0B744" w14:textId="77777777" w:rsidR="00FB0220" w:rsidRPr="00363588" w:rsidRDefault="00FB0220" w:rsidP="00F973D6">
            <w:pPr>
              <w:spacing w:after="120"/>
            </w:pPr>
            <w:r w:rsidRPr="00363588">
              <w:t>Les auteurs</w:t>
            </w:r>
          </w:p>
        </w:tc>
      </w:tr>
      <w:tr w:rsidR="00FB0220" w:rsidRPr="00363588" w14:paraId="333F382A" w14:textId="77777777" w:rsidTr="00D101CB">
        <w:tc>
          <w:tcPr>
            <w:tcW w:w="3402" w:type="dxa"/>
            <w:shd w:val="clear" w:color="auto" w:fill="auto"/>
          </w:tcPr>
          <w:p w14:paraId="3DC91A58" w14:textId="77777777" w:rsidR="00FB0220" w:rsidRPr="00363588" w:rsidRDefault="00FB0220" w:rsidP="00F973D6">
            <w:pPr>
              <w:spacing w:after="120"/>
              <w:rPr>
                <w:i/>
              </w:rPr>
            </w:pPr>
            <w:r w:rsidRPr="00363588">
              <w:rPr>
                <w:i/>
              </w:rPr>
              <w:t>État partie </w:t>
            </w:r>
            <w:r w:rsidRPr="00363588">
              <w:t>:</w:t>
            </w:r>
          </w:p>
        </w:tc>
        <w:tc>
          <w:tcPr>
            <w:tcW w:w="3969" w:type="dxa"/>
            <w:shd w:val="clear" w:color="auto" w:fill="auto"/>
          </w:tcPr>
          <w:p w14:paraId="670483C0" w14:textId="77777777" w:rsidR="00FB0220" w:rsidRPr="00363588" w:rsidRDefault="00FB0220" w:rsidP="00F973D6">
            <w:pPr>
              <w:spacing w:after="120"/>
            </w:pPr>
            <w:r w:rsidRPr="00363588">
              <w:t>Cameroun</w:t>
            </w:r>
          </w:p>
        </w:tc>
      </w:tr>
      <w:tr w:rsidR="00FB0220" w:rsidRPr="00363588" w14:paraId="10C6D8D0" w14:textId="77777777" w:rsidTr="00D101CB">
        <w:tc>
          <w:tcPr>
            <w:tcW w:w="3402" w:type="dxa"/>
            <w:shd w:val="clear" w:color="auto" w:fill="auto"/>
          </w:tcPr>
          <w:p w14:paraId="1B5A6DD0" w14:textId="77777777" w:rsidR="00FB0220" w:rsidRPr="00363588" w:rsidRDefault="00FB0220" w:rsidP="00F973D6">
            <w:pPr>
              <w:spacing w:after="120"/>
              <w:rPr>
                <w:i/>
              </w:rPr>
            </w:pPr>
            <w:r w:rsidRPr="00363588">
              <w:rPr>
                <w:i/>
              </w:rPr>
              <w:t>Date de la communication </w:t>
            </w:r>
            <w:r w:rsidRPr="00363588">
              <w:t>:</w:t>
            </w:r>
          </w:p>
        </w:tc>
        <w:tc>
          <w:tcPr>
            <w:tcW w:w="3969" w:type="dxa"/>
            <w:shd w:val="clear" w:color="auto" w:fill="auto"/>
          </w:tcPr>
          <w:p w14:paraId="77339422" w14:textId="77777777" w:rsidR="00FB0220" w:rsidRPr="00363588" w:rsidRDefault="00FB0220" w:rsidP="00F973D6">
            <w:pPr>
              <w:spacing w:after="120"/>
            </w:pPr>
            <w:r w:rsidRPr="00363588">
              <w:t>8 mai 2012 (date de la lettre initiale)</w:t>
            </w:r>
          </w:p>
        </w:tc>
      </w:tr>
      <w:tr w:rsidR="00FB0220" w:rsidRPr="00363588" w14:paraId="40C73A20" w14:textId="77777777" w:rsidTr="00D101CB">
        <w:tc>
          <w:tcPr>
            <w:tcW w:w="3402" w:type="dxa"/>
            <w:shd w:val="clear" w:color="auto" w:fill="auto"/>
          </w:tcPr>
          <w:p w14:paraId="37784BCD" w14:textId="77777777" w:rsidR="00FB0220" w:rsidRPr="00363588" w:rsidRDefault="00FB0220" w:rsidP="00F973D6">
            <w:pPr>
              <w:spacing w:after="120"/>
              <w:rPr>
                <w:i/>
              </w:rPr>
            </w:pPr>
            <w:r w:rsidRPr="00363588">
              <w:rPr>
                <w:i/>
              </w:rPr>
              <w:t>Références </w:t>
            </w:r>
            <w:r w:rsidRPr="00363588">
              <w:t>:</w:t>
            </w:r>
          </w:p>
        </w:tc>
        <w:tc>
          <w:tcPr>
            <w:tcW w:w="3969" w:type="dxa"/>
            <w:shd w:val="clear" w:color="auto" w:fill="auto"/>
          </w:tcPr>
          <w:p w14:paraId="1D00BFB5" w14:textId="14538EFA" w:rsidR="00FB0220" w:rsidRPr="00363588" w:rsidRDefault="00FB0220" w:rsidP="00F122F7">
            <w:pPr>
              <w:spacing w:after="120"/>
            </w:pPr>
            <w:r w:rsidRPr="00363588">
              <w:t>Décision prise en application de l’article 97 du règlement intérieur</w:t>
            </w:r>
            <w:r w:rsidR="00206C3B" w:rsidRPr="00363588">
              <w:rPr>
                <w:rFonts w:eastAsia="Calibri"/>
              </w:rPr>
              <w:t xml:space="preserve"> du Comité (article 92 du nouveau règlement)</w:t>
            </w:r>
            <w:r w:rsidRPr="00363588">
              <w:t>, communiquée à l’État partie le</w:t>
            </w:r>
            <w:r w:rsidR="00F122F7">
              <w:t xml:space="preserve"> 24 septembre 2019</w:t>
            </w:r>
            <w:r w:rsidRPr="00363588">
              <w:t xml:space="preserve"> (non publiée sous forme de document)</w:t>
            </w:r>
          </w:p>
        </w:tc>
      </w:tr>
      <w:tr w:rsidR="00FB0220" w:rsidRPr="00363588" w14:paraId="5E90AD4B" w14:textId="77777777" w:rsidTr="00D101CB">
        <w:tc>
          <w:tcPr>
            <w:tcW w:w="3402" w:type="dxa"/>
            <w:shd w:val="clear" w:color="auto" w:fill="auto"/>
          </w:tcPr>
          <w:p w14:paraId="360DC062" w14:textId="64A0C7B6" w:rsidR="00FB0220" w:rsidRPr="00363588" w:rsidRDefault="00FB0220" w:rsidP="00206C3B">
            <w:pPr>
              <w:spacing w:after="120"/>
              <w:rPr>
                <w:i/>
              </w:rPr>
            </w:pPr>
            <w:r w:rsidRPr="00363588">
              <w:rPr>
                <w:i/>
              </w:rPr>
              <w:t>Date de</w:t>
            </w:r>
            <w:r w:rsidR="00206C3B" w:rsidRPr="00363588">
              <w:rPr>
                <w:i/>
              </w:rPr>
              <w:t>s constatations</w:t>
            </w:r>
            <w:r w:rsidRPr="00363588">
              <w:t> :</w:t>
            </w:r>
          </w:p>
        </w:tc>
        <w:tc>
          <w:tcPr>
            <w:tcW w:w="3969" w:type="dxa"/>
            <w:shd w:val="clear" w:color="auto" w:fill="auto"/>
          </w:tcPr>
          <w:p w14:paraId="489A3283" w14:textId="071A887B" w:rsidR="00FB0220" w:rsidRPr="00363588" w:rsidRDefault="0048038C" w:rsidP="00F973D6">
            <w:pPr>
              <w:spacing w:after="120"/>
            </w:pPr>
            <w:r w:rsidRPr="00363588">
              <w:t>17</w:t>
            </w:r>
            <w:r w:rsidR="004434E5" w:rsidRPr="00363588">
              <w:t xml:space="preserve"> juillet </w:t>
            </w:r>
            <w:r w:rsidR="00FB0220" w:rsidRPr="00363588">
              <w:t>2019</w:t>
            </w:r>
          </w:p>
        </w:tc>
      </w:tr>
      <w:tr w:rsidR="00FB0220" w:rsidRPr="00363588" w14:paraId="0C354C31" w14:textId="77777777" w:rsidTr="00D101CB">
        <w:tc>
          <w:tcPr>
            <w:tcW w:w="3402" w:type="dxa"/>
            <w:shd w:val="clear" w:color="auto" w:fill="auto"/>
          </w:tcPr>
          <w:p w14:paraId="6F55110D" w14:textId="77777777" w:rsidR="00FB0220" w:rsidRPr="00363588" w:rsidRDefault="00FB0220" w:rsidP="00F973D6">
            <w:pPr>
              <w:spacing w:after="120"/>
              <w:rPr>
                <w:i/>
              </w:rPr>
            </w:pPr>
            <w:r w:rsidRPr="00363588">
              <w:rPr>
                <w:i/>
              </w:rPr>
              <w:t>Objet </w:t>
            </w:r>
            <w:r w:rsidRPr="00363588">
              <w:t>:</w:t>
            </w:r>
          </w:p>
        </w:tc>
        <w:tc>
          <w:tcPr>
            <w:tcW w:w="3969" w:type="dxa"/>
            <w:shd w:val="clear" w:color="auto" w:fill="auto"/>
          </w:tcPr>
          <w:p w14:paraId="2D7C14C3" w14:textId="1FF297B9" w:rsidR="00FB0220" w:rsidRPr="00363588" w:rsidRDefault="00FB0220" w:rsidP="00206C3B">
            <w:pPr>
              <w:spacing w:after="120"/>
            </w:pPr>
            <w:r w:rsidRPr="00363588">
              <w:t>Refus d’accorder les avantages légaux liés à la fonction publique</w:t>
            </w:r>
            <w:r w:rsidR="00206C3B" w:rsidRPr="00363588">
              <w:t> ;</w:t>
            </w:r>
            <w:r w:rsidRPr="00363588">
              <w:t xml:space="preserve"> non-exécution de décisions de justice contraignantes</w:t>
            </w:r>
          </w:p>
        </w:tc>
      </w:tr>
      <w:tr w:rsidR="00FB0220" w:rsidRPr="00363588" w14:paraId="0A9E00B1" w14:textId="77777777" w:rsidTr="00D101CB">
        <w:tc>
          <w:tcPr>
            <w:tcW w:w="3402" w:type="dxa"/>
            <w:shd w:val="clear" w:color="auto" w:fill="auto"/>
          </w:tcPr>
          <w:p w14:paraId="73B8B4FC" w14:textId="77777777" w:rsidR="00FB0220" w:rsidRPr="00363588" w:rsidRDefault="00FB0220" w:rsidP="00F973D6">
            <w:pPr>
              <w:spacing w:after="120"/>
              <w:rPr>
                <w:i/>
              </w:rPr>
            </w:pPr>
            <w:r w:rsidRPr="00363588">
              <w:rPr>
                <w:i/>
              </w:rPr>
              <w:t>Question(s) de procédure </w:t>
            </w:r>
            <w:r w:rsidRPr="00363588">
              <w:t>:</w:t>
            </w:r>
          </w:p>
        </w:tc>
        <w:tc>
          <w:tcPr>
            <w:tcW w:w="3969" w:type="dxa"/>
            <w:shd w:val="clear" w:color="auto" w:fill="auto"/>
          </w:tcPr>
          <w:p w14:paraId="100428CD" w14:textId="3374BA40" w:rsidR="00FB0220" w:rsidRPr="00363588" w:rsidRDefault="00FB0220" w:rsidP="00F973D6">
            <w:pPr>
              <w:spacing w:after="120"/>
            </w:pPr>
            <w:r w:rsidRPr="00363588">
              <w:t>Épuisement des recours internes</w:t>
            </w:r>
            <w:r w:rsidR="00206C3B" w:rsidRPr="00363588">
              <w:t> </w:t>
            </w:r>
            <w:r w:rsidRPr="00363588">
              <w:t>; justification des griefs</w:t>
            </w:r>
          </w:p>
        </w:tc>
      </w:tr>
      <w:tr w:rsidR="00FB0220" w:rsidRPr="00363588" w14:paraId="17CF19D2" w14:textId="77777777" w:rsidTr="00D101CB">
        <w:tc>
          <w:tcPr>
            <w:tcW w:w="3402" w:type="dxa"/>
            <w:shd w:val="clear" w:color="auto" w:fill="auto"/>
          </w:tcPr>
          <w:p w14:paraId="6A8D2CF6" w14:textId="77777777" w:rsidR="00FB0220" w:rsidRPr="00363588" w:rsidRDefault="00FB0220" w:rsidP="00F973D6">
            <w:pPr>
              <w:spacing w:after="120"/>
              <w:rPr>
                <w:i/>
              </w:rPr>
            </w:pPr>
            <w:r w:rsidRPr="00363588">
              <w:rPr>
                <w:i/>
              </w:rPr>
              <w:t>Question(s) de fond </w:t>
            </w:r>
            <w:r w:rsidRPr="00363588">
              <w:t>:</w:t>
            </w:r>
          </w:p>
        </w:tc>
        <w:tc>
          <w:tcPr>
            <w:tcW w:w="3969" w:type="dxa"/>
            <w:shd w:val="clear" w:color="auto" w:fill="auto"/>
          </w:tcPr>
          <w:p w14:paraId="4502CF14" w14:textId="0A4CF54D" w:rsidR="00FB0220" w:rsidRPr="00363588" w:rsidRDefault="00FB0220" w:rsidP="004434E5">
            <w:pPr>
              <w:spacing w:after="120"/>
            </w:pPr>
            <w:r w:rsidRPr="00363588">
              <w:t>Droit à un recours utile</w:t>
            </w:r>
            <w:r w:rsidR="00206C3B" w:rsidRPr="00363588">
              <w:t> </w:t>
            </w:r>
            <w:r w:rsidRPr="00363588">
              <w:t>; droit à un procès équitable</w:t>
            </w:r>
            <w:r w:rsidR="00206C3B" w:rsidRPr="00363588">
              <w:t> </w:t>
            </w:r>
            <w:r w:rsidRPr="00363588">
              <w:t>; droit de participer à la vie publique</w:t>
            </w:r>
            <w:r w:rsidR="00206C3B" w:rsidRPr="00363588">
              <w:t> </w:t>
            </w:r>
            <w:r w:rsidRPr="00363588">
              <w:t>; égalité devant la loi</w:t>
            </w:r>
          </w:p>
        </w:tc>
      </w:tr>
      <w:tr w:rsidR="00FB0220" w:rsidRPr="00363588" w14:paraId="287BE53C" w14:textId="77777777" w:rsidTr="00D101CB">
        <w:tc>
          <w:tcPr>
            <w:tcW w:w="3402" w:type="dxa"/>
            <w:shd w:val="clear" w:color="auto" w:fill="auto"/>
          </w:tcPr>
          <w:p w14:paraId="7F1E41CF" w14:textId="77777777" w:rsidR="00FB0220" w:rsidRPr="00363588" w:rsidRDefault="00FB0220" w:rsidP="00F973D6">
            <w:pPr>
              <w:spacing w:after="120"/>
              <w:rPr>
                <w:i/>
              </w:rPr>
            </w:pPr>
            <w:r w:rsidRPr="00363588">
              <w:rPr>
                <w:i/>
              </w:rPr>
              <w:t>Article(s) du Pacte </w:t>
            </w:r>
            <w:r w:rsidRPr="00363588">
              <w:t>:</w:t>
            </w:r>
          </w:p>
        </w:tc>
        <w:tc>
          <w:tcPr>
            <w:tcW w:w="3969" w:type="dxa"/>
            <w:shd w:val="clear" w:color="auto" w:fill="auto"/>
          </w:tcPr>
          <w:p w14:paraId="46CFAF10" w14:textId="38B36129" w:rsidR="00FB0220" w:rsidRPr="00363588" w:rsidRDefault="00FB0220" w:rsidP="00D101CB">
            <w:pPr>
              <w:spacing w:after="120"/>
            </w:pPr>
            <w:r w:rsidRPr="00363588">
              <w:t>2 (par. 1 et 3), 3, 5, 8 (par. 3 a)</w:t>
            </w:r>
            <w:r w:rsidR="00206C3B" w:rsidRPr="00363588">
              <w:t>)</w:t>
            </w:r>
            <w:r w:rsidRPr="00363588">
              <w:t>, 14, 25</w:t>
            </w:r>
            <w:r w:rsidR="00F65C3E" w:rsidRPr="00363588">
              <w:t xml:space="preserve"> (</w:t>
            </w:r>
            <w:r w:rsidR="00206C3B" w:rsidRPr="00363588">
              <w:t>al. </w:t>
            </w:r>
            <w:r w:rsidR="00F65C3E" w:rsidRPr="00363588">
              <w:t>c)</w:t>
            </w:r>
            <w:r w:rsidR="00125085" w:rsidRPr="00363588">
              <w:t>)</w:t>
            </w:r>
            <w:r w:rsidR="00333730">
              <w:br/>
            </w:r>
            <w:r w:rsidRPr="00363588">
              <w:t>et 26</w:t>
            </w:r>
          </w:p>
        </w:tc>
      </w:tr>
      <w:tr w:rsidR="00FB0220" w:rsidRPr="00363588" w14:paraId="02BD8327" w14:textId="77777777" w:rsidTr="00D101CB">
        <w:tc>
          <w:tcPr>
            <w:tcW w:w="3402" w:type="dxa"/>
            <w:shd w:val="clear" w:color="auto" w:fill="auto"/>
          </w:tcPr>
          <w:p w14:paraId="34160245" w14:textId="77777777" w:rsidR="00FB0220" w:rsidRPr="00363588" w:rsidRDefault="00FB0220" w:rsidP="00F973D6">
            <w:pPr>
              <w:spacing w:after="120"/>
              <w:rPr>
                <w:i/>
              </w:rPr>
            </w:pPr>
            <w:r w:rsidRPr="00363588">
              <w:rPr>
                <w:i/>
              </w:rPr>
              <w:t xml:space="preserve">Article(s) du Protocole </w:t>
            </w:r>
            <w:r w:rsidRPr="00363588">
              <w:rPr>
                <w:i/>
              </w:rPr>
              <w:br/>
              <w:t>facultatif :</w:t>
            </w:r>
          </w:p>
        </w:tc>
        <w:tc>
          <w:tcPr>
            <w:tcW w:w="3969" w:type="dxa"/>
            <w:shd w:val="clear" w:color="auto" w:fill="auto"/>
          </w:tcPr>
          <w:p w14:paraId="4B61D1E1" w14:textId="2448BA77" w:rsidR="00FB0220" w:rsidRPr="005A0417" w:rsidRDefault="00FB0220" w:rsidP="00F973D6">
            <w:pPr>
              <w:spacing w:after="120"/>
            </w:pPr>
            <w:r w:rsidRPr="00363588">
              <w:t>2 et 5 (par. 2 b)</w:t>
            </w:r>
            <w:r w:rsidR="00206C3B" w:rsidRPr="00363588">
              <w:t>)</w:t>
            </w:r>
          </w:p>
        </w:tc>
      </w:tr>
    </w:tbl>
    <w:p w14:paraId="126A52D1" w14:textId="77777777" w:rsidR="00121F04" w:rsidRDefault="00121F04" w:rsidP="00121F04">
      <w:pPr>
        <w:pStyle w:val="SingleTxtG"/>
      </w:pPr>
    </w:p>
    <w:p w14:paraId="2F3BFB55" w14:textId="52C95FBA" w:rsidR="00F53553" w:rsidRPr="00363588" w:rsidRDefault="00FB0220" w:rsidP="00121F04">
      <w:pPr>
        <w:pStyle w:val="SingleTxtG"/>
      </w:pPr>
      <w:r w:rsidRPr="00363588">
        <w:t>1.1</w:t>
      </w:r>
      <w:r w:rsidRPr="00363588">
        <w:tab/>
        <w:t xml:space="preserve">Les auteurs de la communication sont Ernest </w:t>
      </w:r>
      <w:proofErr w:type="spellStart"/>
      <w:r w:rsidRPr="00363588">
        <w:t>Fondjio</w:t>
      </w:r>
      <w:proofErr w:type="spellEnd"/>
      <w:r w:rsidRPr="00363588">
        <w:t xml:space="preserve"> (</w:t>
      </w:r>
      <w:proofErr w:type="spellStart"/>
      <w:r w:rsidRPr="00363588">
        <w:t>Wandjio</w:t>
      </w:r>
      <w:proofErr w:type="spellEnd"/>
      <w:r w:rsidRPr="00363588">
        <w:t xml:space="preserve">), Théophile </w:t>
      </w:r>
      <w:proofErr w:type="spellStart"/>
      <w:r w:rsidRPr="00363588">
        <w:t>Zega</w:t>
      </w:r>
      <w:proofErr w:type="spellEnd"/>
      <w:r w:rsidRPr="00363588">
        <w:t xml:space="preserve">, Amadou </w:t>
      </w:r>
      <w:proofErr w:type="spellStart"/>
      <w:r w:rsidRPr="00363588">
        <w:t>Mouiche</w:t>
      </w:r>
      <w:proofErr w:type="spellEnd"/>
      <w:r w:rsidRPr="00363588">
        <w:t xml:space="preserve">, Herman </w:t>
      </w:r>
      <w:proofErr w:type="spellStart"/>
      <w:r w:rsidRPr="00363588">
        <w:t>Njoh</w:t>
      </w:r>
      <w:proofErr w:type="spellEnd"/>
      <w:r w:rsidRPr="00363588">
        <w:t xml:space="preserve"> </w:t>
      </w:r>
      <w:proofErr w:type="spellStart"/>
      <w:r w:rsidRPr="00363588">
        <w:t>Maka</w:t>
      </w:r>
      <w:proofErr w:type="spellEnd"/>
      <w:r w:rsidRPr="00363588">
        <w:t xml:space="preserve">, Félix </w:t>
      </w:r>
      <w:proofErr w:type="spellStart"/>
      <w:r w:rsidRPr="00363588">
        <w:t>Mbah</w:t>
      </w:r>
      <w:proofErr w:type="spellEnd"/>
      <w:r w:rsidRPr="00363588">
        <w:t xml:space="preserve"> </w:t>
      </w:r>
      <w:proofErr w:type="spellStart"/>
      <w:r w:rsidRPr="00363588">
        <w:t>Eloundou</w:t>
      </w:r>
      <w:proofErr w:type="spellEnd"/>
      <w:r w:rsidRPr="00363588">
        <w:t xml:space="preserve">, Théodore </w:t>
      </w:r>
      <w:proofErr w:type="spellStart"/>
      <w:r w:rsidRPr="00363588">
        <w:t>Mbouguela</w:t>
      </w:r>
      <w:proofErr w:type="spellEnd"/>
      <w:r w:rsidRPr="00363588">
        <w:t xml:space="preserve">, </w:t>
      </w:r>
      <w:proofErr w:type="spellStart"/>
      <w:r w:rsidRPr="00363588">
        <w:lastRenderedPageBreak/>
        <w:t>Pulcherie</w:t>
      </w:r>
      <w:proofErr w:type="spellEnd"/>
      <w:r w:rsidRPr="00363588">
        <w:t xml:space="preserve"> </w:t>
      </w:r>
      <w:proofErr w:type="spellStart"/>
      <w:r w:rsidRPr="00363588">
        <w:t>Tsogo</w:t>
      </w:r>
      <w:proofErr w:type="spellEnd"/>
      <w:r w:rsidRPr="00363588">
        <w:t xml:space="preserve"> Mbala, Thomas </w:t>
      </w:r>
      <w:proofErr w:type="spellStart"/>
      <w:r w:rsidRPr="00363588">
        <w:t>Eyambe</w:t>
      </w:r>
      <w:proofErr w:type="spellEnd"/>
      <w:r w:rsidRPr="00363588">
        <w:t xml:space="preserve">, Jean </w:t>
      </w:r>
      <w:proofErr w:type="spellStart"/>
      <w:r w:rsidRPr="00363588">
        <w:t>Mekongo</w:t>
      </w:r>
      <w:proofErr w:type="spellEnd"/>
      <w:r w:rsidR="003A1522" w:rsidRPr="00363588">
        <w:t xml:space="preserve"> (remplacé à son décès par Benedicta </w:t>
      </w:r>
      <w:proofErr w:type="spellStart"/>
      <w:r w:rsidR="003A1522" w:rsidRPr="00363588">
        <w:t>Mekongo</w:t>
      </w:r>
      <w:proofErr w:type="spellEnd"/>
      <w:r w:rsidR="003A1522" w:rsidRPr="00363588">
        <w:t>)</w:t>
      </w:r>
      <w:r w:rsidRPr="00363588">
        <w:t xml:space="preserve">, Marie Rose </w:t>
      </w:r>
      <w:proofErr w:type="spellStart"/>
      <w:r w:rsidRPr="00363588">
        <w:t>Beyokol</w:t>
      </w:r>
      <w:proofErr w:type="spellEnd"/>
      <w:r w:rsidRPr="00363588">
        <w:t xml:space="preserve">, Vincent </w:t>
      </w:r>
      <w:proofErr w:type="spellStart"/>
      <w:r w:rsidRPr="00363588">
        <w:t>Zoa</w:t>
      </w:r>
      <w:proofErr w:type="spellEnd"/>
      <w:r w:rsidRPr="00363588">
        <w:t xml:space="preserve">, Angèle </w:t>
      </w:r>
      <w:proofErr w:type="spellStart"/>
      <w:r w:rsidRPr="00363588">
        <w:t>Okala</w:t>
      </w:r>
      <w:proofErr w:type="spellEnd"/>
      <w:r w:rsidRPr="00363588">
        <w:t xml:space="preserve"> et Pierre </w:t>
      </w:r>
      <w:proofErr w:type="spellStart"/>
      <w:r w:rsidRPr="00363588">
        <w:t>Akoa</w:t>
      </w:r>
      <w:proofErr w:type="spellEnd"/>
      <w:r w:rsidRPr="00363588">
        <w:t xml:space="preserve"> </w:t>
      </w:r>
      <w:proofErr w:type="spellStart"/>
      <w:r w:rsidRPr="00363588">
        <w:t>Alega</w:t>
      </w:r>
      <w:proofErr w:type="spellEnd"/>
      <w:r w:rsidRPr="00363588">
        <w:t>, tous de nationalité camerounaise et fonctionnaires dans l’administration publique camerounaise</w:t>
      </w:r>
      <w:r w:rsidRPr="00D101CB">
        <w:rPr>
          <w:rStyle w:val="Appelnotedebasdep"/>
        </w:rPr>
        <w:footnoteReference w:id="4"/>
      </w:r>
      <w:r w:rsidRPr="00363588">
        <w:t>. Ils affirment que l’État partie a violé les droits qu’ils tiennent des articles 2 (par. 1 et 3), 3, 5, 8 (par. 3 a)</w:t>
      </w:r>
      <w:r w:rsidR="00125085" w:rsidRPr="00363588">
        <w:t>)</w:t>
      </w:r>
      <w:r w:rsidRPr="00363588">
        <w:t xml:space="preserve">, 14, 25 </w:t>
      </w:r>
      <w:r w:rsidR="007077F9" w:rsidRPr="00363588">
        <w:t>(</w:t>
      </w:r>
      <w:r w:rsidR="00B57215" w:rsidRPr="00363588">
        <w:t>al</w:t>
      </w:r>
      <w:r w:rsidR="00125085" w:rsidRPr="00363588">
        <w:t>. </w:t>
      </w:r>
      <w:r w:rsidR="007077F9" w:rsidRPr="00363588">
        <w:t>c)</w:t>
      </w:r>
      <w:r w:rsidR="00125085" w:rsidRPr="00363588">
        <w:t>)</w:t>
      </w:r>
      <w:r w:rsidR="007077F9" w:rsidRPr="00363588">
        <w:t xml:space="preserve"> </w:t>
      </w:r>
      <w:r w:rsidRPr="00363588">
        <w:t xml:space="preserve">et 26 du Pacte. Le Protocole facultatif est entré en vigueur pour </w:t>
      </w:r>
      <w:r w:rsidR="00B100DA" w:rsidRPr="00363588">
        <w:t>l’État partie</w:t>
      </w:r>
      <w:r w:rsidRPr="00363588">
        <w:t xml:space="preserve"> le 27 </w:t>
      </w:r>
      <w:r w:rsidR="00B100DA" w:rsidRPr="00363588">
        <w:t>juin</w:t>
      </w:r>
      <w:r w:rsidRPr="00363588">
        <w:t xml:space="preserve"> 1984. Les auteurs sont représentés par un conseil, Charles </w:t>
      </w:r>
      <w:proofErr w:type="spellStart"/>
      <w:r w:rsidRPr="00363588">
        <w:t>Taku</w:t>
      </w:r>
      <w:proofErr w:type="spellEnd"/>
      <w:r w:rsidRPr="00363588">
        <w:t xml:space="preserve">. </w:t>
      </w:r>
    </w:p>
    <w:p w14:paraId="4F702007" w14:textId="1FBAEAC2" w:rsidR="00FB0220" w:rsidRPr="00363588" w:rsidRDefault="00FB0220" w:rsidP="005A0417">
      <w:pPr>
        <w:pStyle w:val="SingleTxtG"/>
        <w:rPr>
          <w:sz w:val="10"/>
        </w:rPr>
      </w:pPr>
      <w:r w:rsidRPr="00363588">
        <w:rPr>
          <w:rFonts w:eastAsia="Calibri"/>
        </w:rPr>
        <w:t>1.</w:t>
      </w:r>
      <w:r w:rsidR="004434E5" w:rsidRPr="00363588">
        <w:rPr>
          <w:rFonts w:eastAsia="Calibri"/>
        </w:rPr>
        <w:t>2</w:t>
      </w:r>
      <w:r w:rsidRPr="00363588">
        <w:rPr>
          <w:rFonts w:eastAsia="Calibri"/>
        </w:rPr>
        <w:tab/>
        <w:t>L</w:t>
      </w:r>
      <w:r w:rsidRPr="00363588">
        <w:rPr>
          <w:lang w:val="fr-FR"/>
        </w:rPr>
        <w:t xml:space="preserve">es auteurs ont sollicité la jonction de la </w:t>
      </w:r>
      <w:r w:rsidR="00B100DA" w:rsidRPr="00363588">
        <w:rPr>
          <w:lang w:val="fr-FR"/>
        </w:rPr>
        <w:t xml:space="preserve">présente </w:t>
      </w:r>
      <w:r w:rsidRPr="00363588">
        <w:rPr>
          <w:lang w:val="fr-FR"/>
        </w:rPr>
        <w:t xml:space="preserve">communication </w:t>
      </w:r>
      <w:r w:rsidR="00B100DA" w:rsidRPr="00363588">
        <w:rPr>
          <w:lang w:val="fr-FR"/>
        </w:rPr>
        <w:t>à</w:t>
      </w:r>
      <w:r w:rsidRPr="00363588">
        <w:rPr>
          <w:lang w:val="fr-FR"/>
        </w:rPr>
        <w:t xml:space="preserve"> la communication </w:t>
      </w:r>
      <w:proofErr w:type="spellStart"/>
      <w:r w:rsidR="003A1522" w:rsidRPr="00D101CB">
        <w:rPr>
          <w:rFonts w:eastAsia="Calibri"/>
          <w:i/>
          <w:iCs/>
        </w:rPr>
        <w:t>Ngapna</w:t>
      </w:r>
      <w:proofErr w:type="spellEnd"/>
      <w:r w:rsidR="003A1522" w:rsidRPr="00D101CB">
        <w:rPr>
          <w:rFonts w:eastAsia="Calibri"/>
          <w:i/>
          <w:iCs/>
        </w:rPr>
        <w:t xml:space="preserve"> et consorts c. Cameroun</w:t>
      </w:r>
      <w:r w:rsidR="003A1522" w:rsidRPr="00363588">
        <w:rPr>
          <w:rFonts w:eastAsia="Calibri"/>
        </w:rPr>
        <w:t xml:space="preserve"> </w:t>
      </w:r>
      <w:r w:rsidR="003A1522" w:rsidRPr="00363588">
        <w:rPr>
          <w:lang w:val="fr-FR"/>
        </w:rPr>
        <w:t>(CCPR/C/126/D/</w:t>
      </w:r>
      <w:r w:rsidRPr="00363588">
        <w:rPr>
          <w:lang w:val="fr-FR"/>
        </w:rPr>
        <w:t>2035/2011</w:t>
      </w:r>
      <w:r w:rsidR="003A1522" w:rsidRPr="00363588">
        <w:rPr>
          <w:lang w:val="fr-FR"/>
        </w:rPr>
        <w:t>)</w:t>
      </w:r>
      <w:r w:rsidR="00B100DA" w:rsidRPr="00363588">
        <w:rPr>
          <w:lang w:val="fr-FR"/>
        </w:rPr>
        <w:t>,</w:t>
      </w:r>
      <w:r w:rsidRPr="00363588">
        <w:rPr>
          <w:lang w:val="fr-FR"/>
        </w:rPr>
        <w:t xml:space="preserve"> étant donné qu’elle</w:t>
      </w:r>
      <w:r w:rsidR="00B100DA" w:rsidRPr="00363588">
        <w:rPr>
          <w:lang w:val="fr-FR"/>
        </w:rPr>
        <w:t>s</w:t>
      </w:r>
      <w:r w:rsidRPr="00363588">
        <w:rPr>
          <w:lang w:val="fr-FR"/>
        </w:rPr>
        <w:t xml:space="preserve"> concerne</w:t>
      </w:r>
      <w:r w:rsidR="00B100DA" w:rsidRPr="00363588">
        <w:rPr>
          <w:lang w:val="fr-FR"/>
        </w:rPr>
        <w:t>nt</w:t>
      </w:r>
      <w:r w:rsidRPr="00363588">
        <w:rPr>
          <w:lang w:val="fr-FR"/>
        </w:rPr>
        <w:t xml:space="preserve"> les mêmes faits et les mêmes demandes. Le </w:t>
      </w:r>
      <w:r w:rsidR="00B100DA" w:rsidRPr="00363588">
        <w:rPr>
          <w:lang w:val="fr-FR"/>
        </w:rPr>
        <w:t xml:space="preserve">Comité, agissant par l’intermédiaire du </w:t>
      </w:r>
      <w:r w:rsidRPr="00363588">
        <w:rPr>
          <w:lang w:val="fr-FR"/>
        </w:rPr>
        <w:t xml:space="preserve">Rapporteur spécial chargé des nouvelles communications et des mesures </w:t>
      </w:r>
      <w:r w:rsidR="00B100DA" w:rsidRPr="00363588">
        <w:rPr>
          <w:lang w:val="fr-FR"/>
        </w:rPr>
        <w:t>provisoires</w:t>
      </w:r>
      <w:r w:rsidRPr="00363588">
        <w:rPr>
          <w:lang w:val="fr-FR"/>
        </w:rPr>
        <w:t>, a</w:t>
      </w:r>
      <w:r w:rsidR="00CD5F57">
        <w:rPr>
          <w:lang w:val="fr-FR"/>
        </w:rPr>
        <w:t> </w:t>
      </w:r>
      <w:r w:rsidRPr="00363588">
        <w:rPr>
          <w:lang w:val="fr-FR"/>
        </w:rPr>
        <w:t xml:space="preserve">rejeté cette demande. </w:t>
      </w:r>
      <w:r w:rsidRPr="00363588">
        <w:t xml:space="preserve">Le 22 décembre 2012, 19 auteurs supplémentaires ont présenté des mandats de représentation pour se joindre à la </w:t>
      </w:r>
      <w:r w:rsidR="00B100DA" w:rsidRPr="00363588">
        <w:t xml:space="preserve">présente </w:t>
      </w:r>
      <w:r w:rsidRPr="00363588">
        <w:t>communication</w:t>
      </w:r>
      <w:r w:rsidRPr="00D101CB">
        <w:rPr>
          <w:rStyle w:val="Appelnotedebasdep"/>
        </w:rPr>
        <w:footnoteReference w:id="5"/>
      </w:r>
      <w:r w:rsidRPr="00363588">
        <w:t xml:space="preserve">. </w:t>
      </w:r>
    </w:p>
    <w:p w14:paraId="1B898DA7" w14:textId="77777777" w:rsidR="00FB0220" w:rsidRPr="00363588" w:rsidRDefault="00FB0220" w:rsidP="00FB0220">
      <w:pPr>
        <w:pStyle w:val="H23G"/>
      </w:pPr>
      <w:r w:rsidRPr="00363588">
        <w:tab/>
      </w:r>
      <w:r w:rsidRPr="00363588">
        <w:tab/>
        <w:t>Rappel des faits présentés par les auteurs</w:t>
      </w:r>
    </w:p>
    <w:p w14:paraId="72D18936" w14:textId="2F7DDB02" w:rsidR="00FB0220" w:rsidRPr="00363588" w:rsidRDefault="00FB0220" w:rsidP="003A1522">
      <w:pPr>
        <w:pStyle w:val="SingleTxtG"/>
      </w:pPr>
      <w:r w:rsidRPr="00363588">
        <w:t>2.1</w:t>
      </w:r>
      <w:r w:rsidRPr="00363588">
        <w:tab/>
        <w:t>Les auteurs sont des fonctionnaires du Ministère des finances</w:t>
      </w:r>
      <w:r w:rsidR="00EA4DB8" w:rsidRPr="00363588">
        <w:t xml:space="preserve"> du Cameroun</w:t>
      </w:r>
      <w:r w:rsidRPr="00363588">
        <w:t xml:space="preserve">. Ils ont reçu une bourse de l’État partie pour étudier à l’École nationale des impôts de Clermont-Ferrand et à l’École nationale du Trésor de </w:t>
      </w:r>
      <w:r w:rsidR="003A1522" w:rsidRPr="00363588">
        <w:t>Noisiel</w:t>
      </w:r>
      <w:r w:rsidRPr="00363588">
        <w:t xml:space="preserve">, </w:t>
      </w:r>
      <w:r w:rsidR="003A1522" w:rsidRPr="00363588">
        <w:t xml:space="preserve">en </w:t>
      </w:r>
      <w:r w:rsidRPr="00363588">
        <w:t>France, entre 1984 et 1991. Leurs études terminées et de retour au pays, ils ont été déployés dans divers services du Ministère des finances.</w:t>
      </w:r>
    </w:p>
    <w:p w14:paraId="6B89CF2E" w14:textId="4BCF10E2" w:rsidR="00FB0220" w:rsidRPr="00363588" w:rsidRDefault="00FB0220" w:rsidP="00A6348B">
      <w:pPr>
        <w:pStyle w:val="SingleTxtG"/>
      </w:pPr>
      <w:r w:rsidRPr="00363588">
        <w:t>2.2</w:t>
      </w:r>
      <w:r w:rsidRPr="00363588">
        <w:tab/>
        <w:t xml:space="preserve">Les auteurs </w:t>
      </w:r>
      <w:r w:rsidR="00EA4DB8" w:rsidRPr="00363588">
        <w:t xml:space="preserve">font noter que </w:t>
      </w:r>
      <w:r w:rsidRPr="00363588">
        <w:t>le décret n</w:t>
      </w:r>
      <w:r w:rsidRPr="00363588">
        <w:rPr>
          <w:vertAlign w:val="superscript"/>
        </w:rPr>
        <w:t>o</w:t>
      </w:r>
      <w:r w:rsidRPr="00363588">
        <w:t> 74/611 du 1</w:t>
      </w:r>
      <w:r w:rsidRPr="00363588">
        <w:rPr>
          <w:vertAlign w:val="superscript"/>
        </w:rPr>
        <w:t>er</w:t>
      </w:r>
      <w:r w:rsidRPr="00363588">
        <w:t> juillet 1974 fixant les conditions de recrutement des licenciés titulaires des diplômes des écoles financières spécialisées étrangères</w:t>
      </w:r>
      <w:r w:rsidR="00EA4DB8" w:rsidRPr="00363588">
        <w:t xml:space="preserve"> prévoit dans son article </w:t>
      </w:r>
      <w:r w:rsidRPr="00363588">
        <w:t>premier</w:t>
      </w:r>
      <w:r w:rsidR="003A1522" w:rsidRPr="00363588">
        <w:t xml:space="preserve"> que</w:t>
      </w:r>
      <w:r w:rsidR="00571CEF" w:rsidRPr="00363588">
        <w:t xml:space="preserve"> « </w:t>
      </w:r>
      <w:r w:rsidR="003A1522" w:rsidRPr="00363588">
        <w:t>l</w:t>
      </w:r>
      <w:r w:rsidR="00571CEF" w:rsidRPr="00363588">
        <w:t xml:space="preserve">es titulaires d’une licence ou d’un diplôme académique équivalent, titulaires du diplôme de fin </w:t>
      </w:r>
      <w:r w:rsidRPr="00363588">
        <w:t xml:space="preserve">de </w:t>
      </w:r>
      <w:r w:rsidR="0033589E" w:rsidRPr="00363588">
        <w:t>stage des écoles financières spécialisées étrangères bénéficient</w:t>
      </w:r>
      <w:r w:rsidR="003A1522" w:rsidRPr="00363588">
        <w:t>,</w:t>
      </w:r>
      <w:r w:rsidR="0033589E" w:rsidRPr="00363588">
        <w:t xml:space="preserve"> à compter </w:t>
      </w:r>
      <w:r w:rsidRPr="00363588">
        <w:t>de</w:t>
      </w:r>
      <w:r w:rsidR="00064593" w:rsidRPr="00363588">
        <w:t xml:space="preserve"> </w:t>
      </w:r>
      <w:r w:rsidRPr="00363588">
        <w:t xml:space="preserve">la </w:t>
      </w:r>
      <w:r w:rsidR="0033589E" w:rsidRPr="00363588">
        <w:t>date de prise de service</w:t>
      </w:r>
      <w:r w:rsidR="003A1522" w:rsidRPr="00363588">
        <w:t>,</w:t>
      </w:r>
      <w:r w:rsidR="0033589E" w:rsidRPr="00363588">
        <w:t xml:space="preserve"> d’une mesure d’intégration</w:t>
      </w:r>
      <w:r w:rsidR="0033589E" w:rsidRPr="00363588" w:rsidDel="0033589E">
        <w:t xml:space="preserve"> </w:t>
      </w:r>
      <w:r w:rsidRPr="00363588">
        <w:t>au</w:t>
      </w:r>
      <w:r w:rsidR="00125085" w:rsidRPr="00363588">
        <w:t xml:space="preserve"> </w:t>
      </w:r>
      <w:r w:rsidR="0033589E" w:rsidRPr="00363588">
        <w:t>1</w:t>
      </w:r>
      <w:r w:rsidR="0033589E" w:rsidRPr="00363588">
        <w:rPr>
          <w:vertAlign w:val="superscript"/>
        </w:rPr>
        <w:t>er</w:t>
      </w:r>
      <w:r w:rsidR="00064593" w:rsidRPr="00363588">
        <w:t xml:space="preserve"> </w:t>
      </w:r>
      <w:r w:rsidRPr="00363588">
        <w:t>échelon de la 2</w:t>
      </w:r>
      <w:r w:rsidRPr="00363588">
        <w:rPr>
          <w:vertAlign w:val="superscript"/>
        </w:rPr>
        <w:t>e</w:t>
      </w:r>
      <w:r w:rsidRPr="00363588">
        <w:t> classe</w:t>
      </w:r>
      <w:r w:rsidR="003A1522" w:rsidRPr="00363588">
        <w:t>, catégorie</w:t>
      </w:r>
      <w:r w:rsidRPr="00363588">
        <w:t xml:space="preserve"> </w:t>
      </w:r>
      <w:r w:rsidR="003A1522" w:rsidRPr="00363588">
        <w:t>“</w:t>
      </w:r>
      <w:r w:rsidRPr="00363588">
        <w:t>A</w:t>
      </w:r>
      <w:r w:rsidR="003A1522" w:rsidRPr="00363588">
        <w:t>”</w:t>
      </w:r>
      <w:r w:rsidR="0033589E" w:rsidRPr="00363588">
        <w:t>, premier grade de la fonction publique ».</w:t>
      </w:r>
      <w:r w:rsidRPr="00363588">
        <w:t xml:space="preserve"> Or, en pratique, les autorités de l’État partie n’ont pas appliqué ces dispositions légales aux auteurs. </w:t>
      </w:r>
      <w:r w:rsidR="0033589E" w:rsidRPr="00363588">
        <w:t xml:space="preserve">En effet, les autorités camerounaises </w:t>
      </w:r>
      <w:r w:rsidRPr="00363588">
        <w:t>ont refusé d’intégrer les auteurs dans la catégorie en question, au motif que le décret n</w:t>
      </w:r>
      <w:r w:rsidRPr="00363588">
        <w:rPr>
          <w:vertAlign w:val="superscript"/>
        </w:rPr>
        <w:t>o</w:t>
      </w:r>
      <w:r w:rsidRPr="00363588">
        <w:t> 74/611 avait été abrogé par le décret n</w:t>
      </w:r>
      <w:r w:rsidRPr="00363588">
        <w:rPr>
          <w:vertAlign w:val="superscript"/>
        </w:rPr>
        <w:t>o</w:t>
      </w:r>
      <w:r w:rsidRPr="00363588">
        <w:t> 75/776 du 18 décembre 1975</w:t>
      </w:r>
      <w:r w:rsidR="003A1522" w:rsidRPr="00B7608D">
        <w:t xml:space="preserve"> portant statut particulier du corps des fonctionnaires des régies financières</w:t>
      </w:r>
      <w:r w:rsidR="003A1522" w:rsidRPr="00363588">
        <w:t>,</w:t>
      </w:r>
      <w:r w:rsidRPr="00363588">
        <w:t xml:space="preserve"> en vigueur à l’époque où les auteurs ont été affectés au Ministère des finances et qui ne prévoyait pas les mêmes avantages que le décret n</w:t>
      </w:r>
      <w:r w:rsidRPr="00363588">
        <w:rPr>
          <w:vertAlign w:val="superscript"/>
        </w:rPr>
        <w:t>o</w:t>
      </w:r>
      <w:r w:rsidRPr="00363588">
        <w:t xml:space="preserve"> 74/611. Les auteurs ont contesté cette décision, </w:t>
      </w:r>
      <w:r w:rsidR="00645194" w:rsidRPr="00363588">
        <w:t>fai</w:t>
      </w:r>
      <w:r w:rsidR="0033589E" w:rsidRPr="00363588">
        <w:t xml:space="preserve">sant </w:t>
      </w:r>
      <w:r w:rsidRPr="00363588">
        <w:t>valoir que le décret n</w:t>
      </w:r>
      <w:r w:rsidRPr="00363588">
        <w:rPr>
          <w:vertAlign w:val="superscript"/>
        </w:rPr>
        <w:t>o</w:t>
      </w:r>
      <w:r w:rsidRPr="00363588">
        <w:t> 74/611 était encore en vigueur.</w:t>
      </w:r>
    </w:p>
    <w:p w14:paraId="20DE0D93" w14:textId="6A0D5381" w:rsidR="00FB0220" w:rsidRPr="00363588" w:rsidRDefault="00FB0220" w:rsidP="001F0184">
      <w:pPr>
        <w:pStyle w:val="SingleTxtG"/>
      </w:pPr>
      <w:r w:rsidRPr="00363588">
        <w:t>2.3</w:t>
      </w:r>
      <w:r w:rsidRPr="00363588">
        <w:tab/>
        <w:t xml:space="preserve">À la suite des recours intentés par trois des auteurs de la communication </w:t>
      </w:r>
      <w:proofErr w:type="spellStart"/>
      <w:r w:rsidR="003A1522" w:rsidRPr="00363588">
        <w:rPr>
          <w:rFonts w:eastAsia="Calibri"/>
          <w:i/>
          <w:iCs/>
        </w:rPr>
        <w:t>Ngapna</w:t>
      </w:r>
      <w:proofErr w:type="spellEnd"/>
      <w:r w:rsidR="003A1522" w:rsidRPr="00363588">
        <w:rPr>
          <w:rFonts w:eastAsia="Calibri"/>
          <w:i/>
          <w:iCs/>
        </w:rPr>
        <w:t xml:space="preserve"> et consorts c. Cameroun</w:t>
      </w:r>
      <w:r w:rsidR="003A1522" w:rsidRPr="00D101CB">
        <w:rPr>
          <w:rFonts w:eastAsia="Calibri"/>
        </w:rPr>
        <w:t>,</w:t>
      </w:r>
      <w:r w:rsidRPr="00363588">
        <w:t xml:space="preserve"> </w:t>
      </w:r>
      <w:r w:rsidR="003A1522" w:rsidRPr="00363588">
        <w:t xml:space="preserve">soit </w:t>
      </w:r>
      <w:r w:rsidRPr="00363588">
        <w:t xml:space="preserve">Robert Tchamba, Emmanuel </w:t>
      </w:r>
      <w:proofErr w:type="spellStart"/>
      <w:r w:rsidRPr="00363588">
        <w:t>Wandji</w:t>
      </w:r>
      <w:proofErr w:type="spellEnd"/>
      <w:r w:rsidRPr="00363588">
        <w:t xml:space="preserve"> et Michelin </w:t>
      </w:r>
      <w:proofErr w:type="spellStart"/>
      <w:r w:rsidRPr="00363588">
        <w:t>Libam</w:t>
      </w:r>
      <w:proofErr w:type="spellEnd"/>
      <w:r w:rsidRPr="00363588">
        <w:t>, la Cour suprême du Cameroun s’est prononcée le 14 novembre 2002 (arrêts n</w:t>
      </w:r>
      <w:r w:rsidRPr="00363588">
        <w:rPr>
          <w:vertAlign w:val="superscript"/>
        </w:rPr>
        <w:t>o</w:t>
      </w:r>
      <w:r w:rsidRPr="00363588">
        <w:t> 10/A et n</w:t>
      </w:r>
      <w:r w:rsidRPr="00363588">
        <w:rPr>
          <w:vertAlign w:val="superscript"/>
        </w:rPr>
        <w:t>o</w:t>
      </w:r>
      <w:r w:rsidRPr="00363588">
        <w:t> 09/A) et le 27 mars 2003 (arrêt n</w:t>
      </w:r>
      <w:r w:rsidRPr="00363588">
        <w:rPr>
          <w:vertAlign w:val="superscript"/>
        </w:rPr>
        <w:t>o</w:t>
      </w:r>
      <w:r w:rsidRPr="00363588">
        <w:t> 17/A). Dans ces décisions, la Cour suprême a conclu que le décret n</w:t>
      </w:r>
      <w:r w:rsidRPr="00363588">
        <w:rPr>
          <w:vertAlign w:val="superscript"/>
        </w:rPr>
        <w:t>o</w:t>
      </w:r>
      <w:r w:rsidRPr="00363588">
        <w:t> 74/611 n’avait pas été abrogé par le décret n</w:t>
      </w:r>
      <w:r w:rsidRPr="00363588">
        <w:rPr>
          <w:vertAlign w:val="superscript"/>
        </w:rPr>
        <w:t>o</w:t>
      </w:r>
      <w:r w:rsidRPr="00363588">
        <w:t> 75/776</w:t>
      </w:r>
      <w:r w:rsidRPr="00D101CB">
        <w:rPr>
          <w:rStyle w:val="Appelnotedebasdep"/>
        </w:rPr>
        <w:footnoteReference w:id="6"/>
      </w:r>
      <w:r w:rsidRPr="00363588">
        <w:t>. La Cour a décidé que les auteurs devaient être intégrés, reclassés et rémunérés dans la catégorie spécifiée à l’article premier du décret</w:t>
      </w:r>
      <w:r w:rsidR="001F0184" w:rsidRPr="00363588">
        <w:t xml:space="preserve"> n</w:t>
      </w:r>
      <w:r w:rsidR="001F0184" w:rsidRPr="00363588">
        <w:rPr>
          <w:vertAlign w:val="superscript"/>
        </w:rPr>
        <w:t>o</w:t>
      </w:r>
      <w:r w:rsidR="001F0184" w:rsidRPr="00363588">
        <w:t> 74/611</w:t>
      </w:r>
      <w:r w:rsidRPr="00363588">
        <w:t xml:space="preserve"> à compter de la date de leur entrée en fonction dans les services du Ministère des finances, soit le 16 janvier 1990 pour Robert Tchamba, le 3 janvier 1989 pour </w:t>
      </w:r>
      <w:r w:rsidRPr="00363588">
        <w:lastRenderedPageBreak/>
        <w:t xml:space="preserve">Emmanuel </w:t>
      </w:r>
      <w:proofErr w:type="spellStart"/>
      <w:r w:rsidRPr="00363588">
        <w:t>Wandji</w:t>
      </w:r>
      <w:proofErr w:type="spellEnd"/>
      <w:r w:rsidRPr="00363588">
        <w:t xml:space="preserve"> et le 5 janvier 1988 pour Michelin </w:t>
      </w:r>
      <w:proofErr w:type="spellStart"/>
      <w:r w:rsidRPr="00363588">
        <w:t>Libam</w:t>
      </w:r>
      <w:proofErr w:type="spellEnd"/>
      <w:r w:rsidRPr="00D101CB">
        <w:rPr>
          <w:rStyle w:val="Appelnotedebasdep"/>
        </w:rPr>
        <w:footnoteReference w:id="7"/>
      </w:r>
      <w:r w:rsidRPr="00363588">
        <w:t xml:space="preserve">. Malgré le caractère juridiquement contraignant des arrêts de la Cour suprême et les demandes répétées des auteurs, l’État partie n’a pas </w:t>
      </w:r>
      <w:r w:rsidR="0033589E" w:rsidRPr="00363588">
        <w:t xml:space="preserve">exécuté </w:t>
      </w:r>
      <w:r w:rsidRPr="00363588">
        <w:t>ces décisions.</w:t>
      </w:r>
    </w:p>
    <w:p w14:paraId="01BB8F9B" w14:textId="1AC9BB97" w:rsidR="00FB0220" w:rsidRPr="00363588" w:rsidRDefault="00FB0220" w:rsidP="001F0184">
      <w:pPr>
        <w:pStyle w:val="SingleTxtG"/>
      </w:pPr>
      <w:r w:rsidRPr="00363588">
        <w:t>2.4</w:t>
      </w:r>
      <w:r w:rsidRPr="00363588">
        <w:tab/>
        <w:t xml:space="preserve">Le 16 février 2009, le Vice-Premier Ministre et Ministre de la justice </w:t>
      </w:r>
      <w:r w:rsidR="009C612B" w:rsidRPr="00363588">
        <w:t xml:space="preserve">camerounais </w:t>
      </w:r>
      <w:r w:rsidR="004007BD" w:rsidRPr="00363588">
        <w:t xml:space="preserve">a </w:t>
      </w:r>
      <w:r w:rsidRPr="00363588">
        <w:t xml:space="preserve">donné pour instruction au Secrétaire général des services du Premier Ministre d’exécuter </w:t>
      </w:r>
      <w:r w:rsidR="004007BD" w:rsidRPr="00363588">
        <w:t>la</w:t>
      </w:r>
      <w:r w:rsidR="009C612B" w:rsidRPr="00363588">
        <w:t xml:space="preserve"> décision </w:t>
      </w:r>
      <w:r w:rsidRPr="00363588">
        <w:t>de la Cour suprême</w:t>
      </w:r>
      <w:r w:rsidR="004007BD" w:rsidRPr="00363588">
        <w:t xml:space="preserve"> </w:t>
      </w:r>
      <w:r w:rsidR="00F97CC9" w:rsidRPr="00363588">
        <w:t>rendue</w:t>
      </w:r>
      <w:r w:rsidR="004007BD" w:rsidRPr="00363588">
        <w:t xml:space="preserve"> en faveur de Michelin </w:t>
      </w:r>
      <w:proofErr w:type="spellStart"/>
      <w:r w:rsidR="004007BD" w:rsidRPr="00363588">
        <w:t>Libam</w:t>
      </w:r>
      <w:proofErr w:type="spellEnd"/>
      <w:r w:rsidRPr="00363588">
        <w:t xml:space="preserve">, mais cette instruction est restée sans suite. </w:t>
      </w:r>
      <w:r w:rsidR="00CE1D9C" w:rsidRPr="00363588">
        <w:t>À cet égard, les auteurs expliquent que l</w:t>
      </w:r>
      <w:r w:rsidRPr="00363588">
        <w:t xml:space="preserve">e 31 mai 1995, </w:t>
      </w:r>
      <w:r w:rsidR="00A039C7" w:rsidRPr="00363588">
        <w:t xml:space="preserve">le </w:t>
      </w:r>
      <w:r w:rsidRPr="00363588">
        <w:t>Secrétaire général des services du Premier Ministre</w:t>
      </w:r>
      <w:r w:rsidR="00A039C7" w:rsidRPr="00363588">
        <w:t xml:space="preserve"> avait déjà reçu l’instruction, de la part du </w:t>
      </w:r>
      <w:r w:rsidR="001A497D" w:rsidRPr="00363588">
        <w:t>S</w:t>
      </w:r>
      <w:r w:rsidR="00A039C7" w:rsidRPr="00363588">
        <w:t xml:space="preserve">ecrétaire général de la </w:t>
      </w:r>
      <w:r w:rsidR="001A497D" w:rsidRPr="00363588">
        <w:t>p</w:t>
      </w:r>
      <w:r w:rsidR="00A039C7" w:rsidRPr="00363588">
        <w:t xml:space="preserve">résidence camerounaise, d’intégrer et de reclasser les </w:t>
      </w:r>
      <w:r w:rsidR="001A497D" w:rsidRPr="00363588">
        <w:t>d</w:t>
      </w:r>
      <w:r w:rsidR="004D1614" w:rsidRPr="00363588">
        <w:t>iplômés</w:t>
      </w:r>
      <w:r w:rsidR="00A039C7" w:rsidRPr="00363588">
        <w:t xml:space="preserve"> des</w:t>
      </w:r>
      <w:r w:rsidR="00E9739A" w:rsidRPr="00363588">
        <w:t> « </w:t>
      </w:r>
      <w:r w:rsidR="001A497D" w:rsidRPr="00363588">
        <w:t>é</w:t>
      </w:r>
      <w:r w:rsidR="00A039C7" w:rsidRPr="00363588">
        <w:t xml:space="preserve">coles </w:t>
      </w:r>
      <w:r w:rsidR="001A497D" w:rsidRPr="00363588">
        <w:t>f</w:t>
      </w:r>
      <w:r w:rsidR="004D1614" w:rsidRPr="00363588">
        <w:t>rançaises</w:t>
      </w:r>
      <w:r w:rsidR="00A039C7" w:rsidRPr="00363588">
        <w:t xml:space="preserve"> d’</w:t>
      </w:r>
      <w:r w:rsidR="001A497D" w:rsidRPr="00363588">
        <w:t>a</w:t>
      </w:r>
      <w:r w:rsidR="00A039C7" w:rsidRPr="00363588">
        <w:t xml:space="preserve">pplication </w:t>
      </w:r>
      <w:r w:rsidR="001A497D" w:rsidRPr="00363588">
        <w:t>f</w:t>
      </w:r>
      <w:r w:rsidR="00A039C7" w:rsidRPr="00363588">
        <w:t>inancière</w:t>
      </w:r>
      <w:r w:rsidR="00E9739A" w:rsidRPr="00363588">
        <w:t> »</w:t>
      </w:r>
      <w:r w:rsidR="00A841B4" w:rsidRPr="00D101CB">
        <w:rPr>
          <w:rStyle w:val="Appelnotedebasdep"/>
        </w:rPr>
        <w:footnoteReference w:id="8"/>
      </w:r>
      <w:r w:rsidRPr="00363588">
        <w:t>, mais sans résultat</w:t>
      </w:r>
      <w:r w:rsidR="00E9739A" w:rsidRPr="00363588">
        <w:t>.</w:t>
      </w:r>
      <w:r w:rsidRPr="00363588">
        <w:t xml:space="preserve"> Les auteurs font observer que le Secrétaire général des services du Premier Ministre était issu de l’École nationale d’administration et de magistrature</w:t>
      </w:r>
      <w:r w:rsidR="001A497D" w:rsidRPr="00363588">
        <w:t>, qui</w:t>
      </w:r>
      <w:r w:rsidRPr="00363588">
        <w:t xml:space="preserve"> a </w:t>
      </w:r>
      <w:r w:rsidR="001A497D" w:rsidRPr="00363588">
        <w:t xml:space="preserve">selon eux </w:t>
      </w:r>
      <w:r w:rsidRPr="00363588">
        <w:t xml:space="preserve">une grande influence sur l’administration de l’État partie et </w:t>
      </w:r>
      <w:r w:rsidR="001A497D" w:rsidRPr="00363588">
        <w:t>dont les</w:t>
      </w:r>
      <w:r w:rsidRPr="00363588">
        <w:t xml:space="preserve"> responsables ont été à l’origine du </w:t>
      </w:r>
      <w:r w:rsidR="00C06BB7" w:rsidRPr="00363588">
        <w:t>« </w:t>
      </w:r>
      <w:r w:rsidRPr="00363588">
        <w:t>blocage</w:t>
      </w:r>
      <w:r w:rsidR="00C06BB7" w:rsidRPr="00363588">
        <w:t> »</w:t>
      </w:r>
      <w:r w:rsidRPr="00363588">
        <w:t xml:space="preserve"> qui a empêché l’intégration des auteurs conformément à l’article premier du décret n</w:t>
      </w:r>
      <w:r w:rsidRPr="00363588">
        <w:rPr>
          <w:vertAlign w:val="superscript"/>
        </w:rPr>
        <w:t>o</w:t>
      </w:r>
      <w:r w:rsidRPr="00363588">
        <w:t> 74/611.</w:t>
      </w:r>
    </w:p>
    <w:p w14:paraId="1380E090" w14:textId="347E1989" w:rsidR="00FB0220" w:rsidRPr="00363588" w:rsidRDefault="00FB0220" w:rsidP="001F0184">
      <w:pPr>
        <w:pStyle w:val="SingleTxtG"/>
      </w:pPr>
      <w:r w:rsidRPr="00363588">
        <w:t>2.5</w:t>
      </w:r>
      <w:r w:rsidRPr="00363588">
        <w:tab/>
        <w:t>Les auteurs affirment que l’État partie a intégré dans la catégorie prévue par le décret n</w:t>
      </w:r>
      <w:r w:rsidRPr="00363588">
        <w:rPr>
          <w:vertAlign w:val="superscript"/>
        </w:rPr>
        <w:t>o</w:t>
      </w:r>
      <w:r w:rsidRPr="00363588">
        <w:t xml:space="preserve"> 74/611, avec les avantages qui y sont </w:t>
      </w:r>
      <w:r w:rsidR="001F0184" w:rsidRPr="00363588">
        <w:t>liés</w:t>
      </w:r>
      <w:r w:rsidRPr="00363588">
        <w:t xml:space="preserve">, au moins une personne, </w:t>
      </w:r>
      <w:r w:rsidR="003A3FDE" w:rsidRPr="00363588">
        <w:t xml:space="preserve">soit </w:t>
      </w:r>
      <w:proofErr w:type="spellStart"/>
      <w:r w:rsidRPr="00363588">
        <w:t>Teniu</w:t>
      </w:r>
      <w:proofErr w:type="spellEnd"/>
      <w:r w:rsidRPr="00363588">
        <w:t xml:space="preserve"> </w:t>
      </w:r>
      <w:proofErr w:type="spellStart"/>
      <w:r w:rsidRPr="00363588">
        <w:t>Lezuitikong</w:t>
      </w:r>
      <w:proofErr w:type="spellEnd"/>
      <w:r w:rsidRPr="00363588">
        <w:t xml:space="preserve"> Joseph, un diplômé de l’</w:t>
      </w:r>
      <w:r w:rsidR="003A3FDE" w:rsidRPr="00363588">
        <w:t>École nationale d’administration et de magistrature</w:t>
      </w:r>
      <w:r w:rsidRPr="00363588">
        <w:t xml:space="preserve"> dont </w:t>
      </w:r>
      <w:r w:rsidR="00C06BB7" w:rsidRPr="00363588">
        <w:t xml:space="preserve">la situation </w:t>
      </w:r>
      <w:r w:rsidRPr="00363588">
        <w:t xml:space="preserve">est identique </w:t>
      </w:r>
      <w:r w:rsidR="00C06BB7" w:rsidRPr="00363588">
        <w:t xml:space="preserve">à la </w:t>
      </w:r>
      <w:r w:rsidRPr="00363588">
        <w:t xml:space="preserve">leur. Par conséquent, </w:t>
      </w:r>
      <w:r w:rsidR="00C06BB7" w:rsidRPr="00363588">
        <w:t>les auteurs devraient avoir bénéficié</w:t>
      </w:r>
      <w:r w:rsidR="00C06BB7" w:rsidRPr="00363588" w:rsidDel="00C06BB7">
        <w:t xml:space="preserve"> </w:t>
      </w:r>
      <w:r w:rsidRPr="00363588">
        <w:t>du même traitement.</w:t>
      </w:r>
    </w:p>
    <w:p w14:paraId="5233B115" w14:textId="739A7E60" w:rsidR="00FB0220" w:rsidRPr="00363588" w:rsidRDefault="00FB0220" w:rsidP="003A3FDE">
      <w:pPr>
        <w:pStyle w:val="SingleTxtG"/>
      </w:pPr>
      <w:r w:rsidRPr="00363588">
        <w:t>2.6</w:t>
      </w:r>
      <w:r w:rsidRPr="00363588">
        <w:tab/>
        <w:t xml:space="preserve">Les auteurs disent avoir épuisé tous les recours internes disponibles et utiles. Ils soutiennent aussi que puisque l’État partie n’a pas donné suite aux arrêts de la Cour suprême qui réglaient </w:t>
      </w:r>
      <w:r w:rsidR="00C06BB7" w:rsidRPr="00363588">
        <w:t xml:space="preserve">leur </w:t>
      </w:r>
      <w:r w:rsidRPr="00363588">
        <w:t xml:space="preserve">cas, ils ne disposent d’aucun autre recours utile. Ils indiquent </w:t>
      </w:r>
      <w:r w:rsidR="003A3FDE" w:rsidRPr="00363588">
        <w:t>enfin</w:t>
      </w:r>
      <w:r w:rsidRPr="00363588">
        <w:t xml:space="preserve"> que la même question </w:t>
      </w:r>
      <w:r w:rsidR="003A3FDE" w:rsidRPr="00363588">
        <w:t xml:space="preserve">n’a pas été examinée et </w:t>
      </w:r>
      <w:r w:rsidRPr="00363588">
        <w:t xml:space="preserve">n’est pas en cours d’examen </w:t>
      </w:r>
      <w:r w:rsidR="003A3FDE" w:rsidRPr="00363588">
        <w:t>par</w:t>
      </w:r>
      <w:r w:rsidRPr="00363588">
        <w:t xml:space="preserve"> une autre instance internationale d’enquête ou de règlement.</w:t>
      </w:r>
    </w:p>
    <w:p w14:paraId="241D4906" w14:textId="77777777" w:rsidR="00FB0220" w:rsidRPr="00363588" w:rsidRDefault="00FB0220" w:rsidP="00FB0220">
      <w:pPr>
        <w:pStyle w:val="H23G"/>
      </w:pPr>
      <w:r w:rsidRPr="00363588">
        <w:tab/>
      </w:r>
      <w:r w:rsidRPr="00363588">
        <w:tab/>
        <w:t>Teneur de la plainte</w:t>
      </w:r>
    </w:p>
    <w:p w14:paraId="12872F38" w14:textId="08EF2BA1" w:rsidR="00FB0220" w:rsidRPr="00363588" w:rsidRDefault="00FB0220" w:rsidP="001F0184">
      <w:pPr>
        <w:pStyle w:val="SingleTxtG"/>
      </w:pPr>
      <w:r w:rsidRPr="00363588">
        <w:t>3.1</w:t>
      </w:r>
      <w:r w:rsidRPr="00363588">
        <w:tab/>
        <w:t xml:space="preserve">Les auteurs affirment être victimes de violations par </w:t>
      </w:r>
      <w:r w:rsidR="00DB1EB7" w:rsidRPr="00363588">
        <w:t>l’État partie</w:t>
      </w:r>
      <w:r w:rsidRPr="00363588">
        <w:t xml:space="preserve"> des droits qu’ils tiennent des articles 2 (par. 1 et 3), 3, 5, 8 (par. 3 a)</w:t>
      </w:r>
      <w:r w:rsidR="001F0184" w:rsidRPr="00363588">
        <w:t>)</w:t>
      </w:r>
      <w:r w:rsidRPr="00363588">
        <w:t>, 14, 25</w:t>
      </w:r>
      <w:r w:rsidR="005C3D1D" w:rsidRPr="00363588">
        <w:t xml:space="preserve"> (</w:t>
      </w:r>
      <w:r w:rsidR="00DB1EB7" w:rsidRPr="00363588">
        <w:t>al</w:t>
      </w:r>
      <w:r w:rsidR="001F0184" w:rsidRPr="00363588">
        <w:t>.</w:t>
      </w:r>
      <w:r w:rsidR="00DB1EB7" w:rsidRPr="00363588">
        <w:t> </w:t>
      </w:r>
      <w:r w:rsidR="005C3D1D" w:rsidRPr="00363588">
        <w:t>c)</w:t>
      </w:r>
      <w:r w:rsidR="001F0184" w:rsidRPr="00363588">
        <w:t>)</w:t>
      </w:r>
      <w:r w:rsidRPr="00363588">
        <w:t xml:space="preserve"> et 26 du Pacte.</w:t>
      </w:r>
    </w:p>
    <w:p w14:paraId="672B281F" w14:textId="1A3881BC" w:rsidR="00FB0220" w:rsidRPr="00363588" w:rsidRDefault="00FB0220" w:rsidP="001F0184">
      <w:pPr>
        <w:pStyle w:val="SingleTxtG"/>
      </w:pPr>
      <w:r w:rsidRPr="00363588">
        <w:t>3.2</w:t>
      </w:r>
      <w:r w:rsidRPr="00363588">
        <w:tab/>
        <w:t>Les auteurs considèrent que l’État partie, en refusant de leur accorder la catégorie et les avantages légaux auxquels ils ont droit</w:t>
      </w:r>
      <w:r w:rsidR="00DB1EB7" w:rsidRPr="00363588">
        <w:t>,</w:t>
      </w:r>
      <w:r w:rsidRPr="00363588">
        <w:t xml:space="preserve"> et en n’exécutant pas les arrêts contraignants de la Cour suprême, a violé les dispositions susvisées du Pacte. Ils ajoutent que dans leur cas, il n’existe aucun recours interne utile </w:t>
      </w:r>
      <w:r w:rsidR="00C06BB7" w:rsidRPr="00363588">
        <w:t xml:space="preserve">et </w:t>
      </w:r>
      <w:r w:rsidRPr="00363588">
        <w:t>disponi</w:t>
      </w:r>
      <w:r w:rsidR="007F2356" w:rsidRPr="00363588">
        <w:t xml:space="preserve">ble. Ils considèrent en outre </w:t>
      </w:r>
      <w:r w:rsidRPr="00363588">
        <w:t>que le fait d’accorder les avantages prévus à l’article premier du décret</w:t>
      </w:r>
      <w:r w:rsidR="00DB1EB7" w:rsidRPr="00363588">
        <w:t xml:space="preserve"> n</w:t>
      </w:r>
      <w:r w:rsidR="00DB1EB7" w:rsidRPr="00363588">
        <w:rPr>
          <w:vertAlign w:val="superscript"/>
        </w:rPr>
        <w:t>o</w:t>
      </w:r>
      <w:r w:rsidR="00DB1EB7" w:rsidRPr="00363588">
        <w:t> 74/611</w:t>
      </w:r>
      <w:r w:rsidRPr="00363588">
        <w:t xml:space="preserve"> à </w:t>
      </w:r>
      <w:proofErr w:type="spellStart"/>
      <w:r w:rsidRPr="00363588">
        <w:t>Teniu</w:t>
      </w:r>
      <w:proofErr w:type="spellEnd"/>
      <w:r w:rsidRPr="00363588">
        <w:t xml:space="preserve"> </w:t>
      </w:r>
      <w:proofErr w:type="spellStart"/>
      <w:r w:rsidRPr="00363588">
        <w:t>Lezuitikong</w:t>
      </w:r>
      <w:proofErr w:type="spellEnd"/>
      <w:r w:rsidRPr="00363588">
        <w:t xml:space="preserve"> Joseph et de les leur refuser constitue un traitement discriminatoire.</w:t>
      </w:r>
    </w:p>
    <w:p w14:paraId="7DAF109D" w14:textId="14656F97" w:rsidR="00FB0220" w:rsidRPr="00363588" w:rsidRDefault="00FB0220" w:rsidP="000D4CD3">
      <w:pPr>
        <w:pStyle w:val="SingleTxtG"/>
      </w:pPr>
      <w:r w:rsidRPr="00363588">
        <w:t>3.3</w:t>
      </w:r>
      <w:r w:rsidRPr="00363588">
        <w:tab/>
        <w:t xml:space="preserve">Les auteurs font aussi valoir que la raison d’être du décret </w:t>
      </w:r>
      <w:r w:rsidR="000D4CD3" w:rsidRPr="00363588">
        <w:t>n</w:t>
      </w:r>
      <w:r w:rsidR="000D4CD3" w:rsidRPr="00363588">
        <w:rPr>
          <w:vertAlign w:val="superscript"/>
        </w:rPr>
        <w:t>o</w:t>
      </w:r>
      <w:r w:rsidR="000D4CD3" w:rsidRPr="00363588">
        <w:t xml:space="preserve"> 74/611 </w:t>
      </w:r>
      <w:r w:rsidRPr="00363588">
        <w:t xml:space="preserve">était précisément de corriger l’inégalité existant entre des fonctionnaires qui, alors qu’ils avaient des qualifications identiques ou équivalentes, qu’ils travaillaient dans la même profession et qu’ils effectuaient le même travail, étaient rémunérés de manière inégale. Ils soutiennent </w:t>
      </w:r>
      <w:r w:rsidR="000D4CD3" w:rsidRPr="00363588">
        <w:t>qu’</w:t>
      </w:r>
      <w:r w:rsidRPr="00363588">
        <w:t xml:space="preserve">en refusant d’appliquer la législation pertinente dans leur cas et en appliquant </w:t>
      </w:r>
      <w:r w:rsidR="00C06BB7" w:rsidRPr="00363588">
        <w:t xml:space="preserve">cette législation </w:t>
      </w:r>
      <w:r w:rsidRPr="00363588">
        <w:t xml:space="preserve">de manière inégale en fonction du parcours de chacun, l’État partie </w:t>
      </w:r>
      <w:r w:rsidR="00C06BB7" w:rsidRPr="00363588">
        <w:t xml:space="preserve">a établi </w:t>
      </w:r>
      <w:r w:rsidRPr="00363588">
        <w:t xml:space="preserve">une discrimination </w:t>
      </w:r>
      <w:r w:rsidR="00DB1EB7" w:rsidRPr="00363588">
        <w:t>à leur encontre</w:t>
      </w:r>
      <w:r w:rsidRPr="00363588">
        <w:t xml:space="preserve"> </w:t>
      </w:r>
      <w:r w:rsidR="00C06BB7" w:rsidRPr="00363588">
        <w:t xml:space="preserve">et accordé un </w:t>
      </w:r>
      <w:r w:rsidRPr="00363588">
        <w:t>traitement préférentiel aux agents qui ont étudié à l’</w:t>
      </w:r>
      <w:r w:rsidR="00DB1EB7" w:rsidRPr="00363588">
        <w:t>École nationale d’administration et de magistrature</w:t>
      </w:r>
      <w:r w:rsidRPr="00363588">
        <w:t>.</w:t>
      </w:r>
    </w:p>
    <w:p w14:paraId="401D51B1" w14:textId="1F3B1E57" w:rsidR="00FB0220" w:rsidRPr="00363588" w:rsidRDefault="00FB0220" w:rsidP="00DB1EB7">
      <w:pPr>
        <w:pStyle w:val="SingleTxtG"/>
      </w:pPr>
      <w:r w:rsidRPr="00363588">
        <w:t>3.4</w:t>
      </w:r>
      <w:r w:rsidRPr="00363588">
        <w:tab/>
        <w:t>Les auteurs maintiennent que le traitement discriminatoire dont eux-mêmes et leur famille ont été victimes a été à l’origine de graves difficultés et d’une stigmatisation</w:t>
      </w:r>
      <w:r w:rsidR="00DB1EB7" w:rsidRPr="00363588">
        <w:t>,</w:t>
      </w:r>
      <w:r w:rsidRPr="00363588">
        <w:t xml:space="preserve"> et qu’ils ont dû faire face à un environnement économique et professionnel </w:t>
      </w:r>
      <w:r w:rsidR="00C06BB7" w:rsidRPr="00363588">
        <w:t>« </w:t>
      </w:r>
      <w:r w:rsidRPr="00363588">
        <w:t>très dur</w:t>
      </w:r>
      <w:r w:rsidR="00C06BB7" w:rsidRPr="00363588">
        <w:t> »</w:t>
      </w:r>
      <w:r w:rsidRPr="00363588">
        <w:t xml:space="preserve">. Ils considèrent en outre que leur niveau de formation en tant qu’inspecteurs de l’administration financière n’a pas été dûment reconnu, puisqu’ils ne peuvent travailler que comme contrôleurs. De plus, en raison des manœuvres dilatoires de l’État partie, certains des fonctionnaires qui se trouvaient dans la même situation que les auteurs et qui auraient dû bénéficier du décret en question sont décédés, à la retraite ou désormais trop découragés, appauvris ou intimidés pour </w:t>
      </w:r>
      <w:r w:rsidR="00DB1EB7" w:rsidRPr="00363588">
        <w:t>faire</w:t>
      </w:r>
      <w:r w:rsidRPr="00363588">
        <w:t xml:space="preserve"> valoir leurs droits.</w:t>
      </w:r>
    </w:p>
    <w:p w14:paraId="3FD3DA7A" w14:textId="3BAAB089" w:rsidR="00FB0220" w:rsidRPr="00363588" w:rsidRDefault="00FB0220" w:rsidP="00DB1EB7">
      <w:pPr>
        <w:pStyle w:val="SingleTxtG"/>
      </w:pPr>
      <w:r w:rsidRPr="00363588">
        <w:lastRenderedPageBreak/>
        <w:t>3.5</w:t>
      </w:r>
      <w:r w:rsidRPr="00363588">
        <w:tab/>
        <w:t xml:space="preserve">Les auteurs demandent au Comité de conclure à une violation de leurs droits et d’engager instamment </w:t>
      </w:r>
      <w:r w:rsidRPr="00363588">
        <w:rPr>
          <w:lang w:val="fr-FR"/>
        </w:rPr>
        <w:t xml:space="preserve">l’État partie à </w:t>
      </w:r>
      <w:r w:rsidRPr="00363588">
        <w:t>accorder à chaque auteur une indemnité de 100 millions de francs CFA (</w:t>
      </w:r>
      <w:r w:rsidRPr="00363588">
        <w:rPr>
          <w:lang w:val="fr-FR"/>
        </w:rPr>
        <w:t>environ 170</w:t>
      </w:r>
      <w:r w:rsidR="00DB1EB7" w:rsidRPr="00363588">
        <w:rPr>
          <w:lang w:val="fr-FR"/>
        </w:rPr>
        <w:t> </w:t>
      </w:r>
      <w:r w:rsidRPr="00363588">
        <w:rPr>
          <w:lang w:val="fr-FR"/>
        </w:rPr>
        <w:t>000</w:t>
      </w:r>
      <w:r w:rsidR="00DB1EB7" w:rsidRPr="00363588">
        <w:rPr>
          <w:lang w:val="fr-FR"/>
        </w:rPr>
        <w:t> dollars des États-Unis</w:t>
      </w:r>
      <w:r w:rsidRPr="00363588">
        <w:t>) par année de retard dans l’application du décret n</w:t>
      </w:r>
      <w:r w:rsidRPr="00363588">
        <w:rPr>
          <w:vertAlign w:val="superscript"/>
        </w:rPr>
        <w:t>o</w:t>
      </w:r>
      <w:r w:rsidRPr="00363588">
        <w:t xml:space="preserve"> 74/611 jusqu’à la date du paiement. Ils prient aussi le Comité de </w:t>
      </w:r>
      <w:r w:rsidR="009340CF" w:rsidRPr="00363588">
        <w:t xml:space="preserve">demander </w:t>
      </w:r>
      <w:r w:rsidRPr="00363588">
        <w:t>à l’État partie de veiller à l’avenir à l’application du décret n</w:t>
      </w:r>
      <w:r w:rsidRPr="00363588">
        <w:rPr>
          <w:vertAlign w:val="superscript"/>
        </w:rPr>
        <w:t>o</w:t>
      </w:r>
      <w:r w:rsidRPr="00363588">
        <w:t> 74/611.</w:t>
      </w:r>
    </w:p>
    <w:p w14:paraId="3D7158BB" w14:textId="77777777" w:rsidR="00FB0220" w:rsidRPr="00363588" w:rsidRDefault="00FB0220" w:rsidP="00FB0220">
      <w:pPr>
        <w:pStyle w:val="H23G"/>
      </w:pPr>
      <w:r w:rsidRPr="00363588">
        <w:tab/>
      </w:r>
      <w:r w:rsidRPr="00363588">
        <w:tab/>
        <w:t xml:space="preserve">Observations de l’État partie sur la recevabilité </w:t>
      </w:r>
    </w:p>
    <w:p w14:paraId="4065D2AE" w14:textId="638D676B" w:rsidR="00FB0220" w:rsidRPr="00363588" w:rsidRDefault="00FB0220" w:rsidP="0081460B">
      <w:pPr>
        <w:pStyle w:val="SingleTxtG"/>
      </w:pPr>
      <w:r w:rsidRPr="00363588">
        <w:rPr>
          <w:rFonts w:eastAsia="Calibri"/>
        </w:rPr>
        <w:t>4</w:t>
      </w:r>
      <w:r w:rsidR="00E6359D" w:rsidRPr="00363588">
        <w:rPr>
          <w:rFonts w:eastAsia="Calibri"/>
        </w:rPr>
        <w:t>.</w:t>
      </w:r>
      <w:r w:rsidRPr="00363588">
        <w:rPr>
          <w:rFonts w:eastAsia="Calibri"/>
        </w:rPr>
        <w:tab/>
        <w:t>Le 1</w:t>
      </w:r>
      <w:r w:rsidRPr="00363588">
        <w:rPr>
          <w:rFonts w:eastAsia="Calibri"/>
          <w:vertAlign w:val="superscript"/>
        </w:rPr>
        <w:t>er</w:t>
      </w:r>
      <w:r w:rsidRPr="00363588">
        <w:rPr>
          <w:rFonts w:eastAsia="Calibri"/>
        </w:rPr>
        <w:t xml:space="preserve"> avril 2014, l’État partie </w:t>
      </w:r>
      <w:r w:rsidR="005849A2" w:rsidRPr="00363588">
        <w:rPr>
          <w:rFonts w:eastAsia="Calibri"/>
        </w:rPr>
        <w:t xml:space="preserve">a </w:t>
      </w:r>
      <w:r w:rsidRPr="00363588">
        <w:rPr>
          <w:rFonts w:eastAsia="Calibri"/>
        </w:rPr>
        <w:t>informé le Comité que, depuis le 29 mai 2013, le processus de régularisation de la plupart des auteurs a</w:t>
      </w:r>
      <w:r w:rsidR="005849A2" w:rsidRPr="00363588">
        <w:rPr>
          <w:rFonts w:eastAsia="Calibri"/>
        </w:rPr>
        <w:t>vait</w:t>
      </w:r>
      <w:r w:rsidRPr="00363588">
        <w:rPr>
          <w:rFonts w:eastAsia="Calibri"/>
        </w:rPr>
        <w:t xml:space="preserve"> été enclenché</w:t>
      </w:r>
      <w:r w:rsidR="005849A2" w:rsidRPr="00363588">
        <w:rPr>
          <w:rFonts w:eastAsia="Calibri"/>
        </w:rPr>
        <w:t>.</w:t>
      </w:r>
      <w:r w:rsidRPr="00363588">
        <w:rPr>
          <w:rFonts w:eastAsia="Calibri"/>
        </w:rPr>
        <w:t xml:space="preserve"> </w:t>
      </w:r>
      <w:r w:rsidR="005849A2" w:rsidRPr="00363588">
        <w:rPr>
          <w:rFonts w:eastAsia="Calibri"/>
        </w:rPr>
        <w:t>C</w:t>
      </w:r>
      <w:r w:rsidRPr="00363588">
        <w:rPr>
          <w:rFonts w:eastAsia="Calibri"/>
        </w:rPr>
        <w:t>ertains avaient commencé à intégrer la fonction publique</w:t>
      </w:r>
      <w:r w:rsidR="005849A2" w:rsidRPr="00363588">
        <w:rPr>
          <w:rFonts w:eastAsia="Calibri"/>
        </w:rPr>
        <w:t>,</w:t>
      </w:r>
      <w:r w:rsidRPr="00363588">
        <w:rPr>
          <w:rFonts w:eastAsia="Calibri"/>
        </w:rPr>
        <w:t xml:space="preserve"> </w:t>
      </w:r>
      <w:r w:rsidR="000D4CD3" w:rsidRPr="00363588">
        <w:rPr>
          <w:rFonts w:eastAsia="Calibri"/>
        </w:rPr>
        <w:t>plusieurs dossiers</w:t>
      </w:r>
      <w:r w:rsidRPr="00363588">
        <w:rPr>
          <w:rFonts w:eastAsia="Calibri"/>
        </w:rPr>
        <w:t xml:space="preserve"> étaient en cours de traitement </w:t>
      </w:r>
      <w:r w:rsidR="000D4CD3" w:rsidRPr="00363588">
        <w:rPr>
          <w:rFonts w:eastAsia="Calibri"/>
        </w:rPr>
        <w:t>et d’autres</w:t>
      </w:r>
      <w:r w:rsidR="00363588">
        <w:rPr>
          <w:rFonts w:eastAsia="Calibri"/>
        </w:rPr>
        <w:t xml:space="preserve"> auteurs</w:t>
      </w:r>
      <w:r w:rsidRPr="00363588">
        <w:rPr>
          <w:rFonts w:eastAsia="Calibri"/>
        </w:rPr>
        <w:t xml:space="preserve"> </w:t>
      </w:r>
      <w:r w:rsidR="005849A2" w:rsidRPr="00363588">
        <w:rPr>
          <w:rFonts w:eastAsia="Calibri"/>
        </w:rPr>
        <w:t>avaient</w:t>
      </w:r>
      <w:r w:rsidRPr="00363588">
        <w:rPr>
          <w:rFonts w:eastAsia="Calibri"/>
        </w:rPr>
        <w:t xml:space="preserve"> obtenu une augmentation d’échelon et de grade. L’</w:t>
      </w:r>
      <w:r w:rsidR="005849A2" w:rsidRPr="00363588">
        <w:rPr>
          <w:rFonts w:eastAsia="Calibri"/>
        </w:rPr>
        <w:t>É</w:t>
      </w:r>
      <w:r w:rsidRPr="00363588">
        <w:rPr>
          <w:rFonts w:eastAsia="Calibri"/>
        </w:rPr>
        <w:t xml:space="preserve">tat partie </w:t>
      </w:r>
      <w:r w:rsidR="005849A2" w:rsidRPr="00363588">
        <w:rPr>
          <w:rFonts w:eastAsia="Calibri"/>
        </w:rPr>
        <w:t>précisait</w:t>
      </w:r>
      <w:r w:rsidRPr="00363588">
        <w:rPr>
          <w:rFonts w:eastAsia="Calibri"/>
        </w:rPr>
        <w:t xml:space="preserve"> que la réintégration des diplômés des écoles françaises d’administration financière était effective avant même la </w:t>
      </w:r>
      <w:r w:rsidR="0081460B" w:rsidRPr="00363588">
        <w:rPr>
          <w:rFonts w:eastAsia="Calibri"/>
        </w:rPr>
        <w:t>soumission</w:t>
      </w:r>
      <w:r w:rsidRPr="00363588">
        <w:rPr>
          <w:rFonts w:eastAsia="Calibri"/>
        </w:rPr>
        <w:t xml:space="preserve"> de la</w:t>
      </w:r>
      <w:r w:rsidR="0071794A" w:rsidRPr="00363588">
        <w:rPr>
          <w:rFonts w:eastAsia="Calibri"/>
        </w:rPr>
        <w:t xml:space="preserve"> présente</w:t>
      </w:r>
      <w:r w:rsidRPr="00363588">
        <w:rPr>
          <w:rFonts w:eastAsia="Calibri"/>
        </w:rPr>
        <w:t xml:space="preserve"> communication et qu’en conséquence, le Comité devrait déclarer </w:t>
      </w:r>
      <w:r w:rsidR="0071794A" w:rsidRPr="00363588">
        <w:rPr>
          <w:rFonts w:eastAsia="Calibri"/>
        </w:rPr>
        <w:t>cette dernière</w:t>
      </w:r>
      <w:r w:rsidRPr="00363588">
        <w:rPr>
          <w:rFonts w:eastAsia="Calibri"/>
        </w:rPr>
        <w:t xml:space="preserve"> irrecevable. Dans ses observations </w:t>
      </w:r>
      <w:r w:rsidR="005B1858" w:rsidRPr="00363588">
        <w:rPr>
          <w:rFonts w:eastAsia="Calibri"/>
        </w:rPr>
        <w:t xml:space="preserve">supplémentaires </w:t>
      </w:r>
      <w:r w:rsidRPr="00363588">
        <w:rPr>
          <w:rFonts w:eastAsia="Calibri"/>
        </w:rPr>
        <w:t xml:space="preserve">du 17 juillet 2014, l’État partie a indiqué que tous les auteurs de la communication </w:t>
      </w:r>
      <w:proofErr w:type="spellStart"/>
      <w:r w:rsidR="0071794A" w:rsidRPr="00363588">
        <w:rPr>
          <w:rFonts w:eastAsia="Calibri"/>
          <w:i/>
          <w:iCs/>
        </w:rPr>
        <w:t>Ngapna</w:t>
      </w:r>
      <w:proofErr w:type="spellEnd"/>
      <w:r w:rsidR="0071794A" w:rsidRPr="00363588">
        <w:rPr>
          <w:rFonts w:eastAsia="Calibri"/>
          <w:i/>
          <w:iCs/>
        </w:rPr>
        <w:t xml:space="preserve"> et consorts c. Cameroun</w:t>
      </w:r>
      <w:r w:rsidRPr="00363588">
        <w:rPr>
          <w:rFonts w:eastAsia="Calibri"/>
        </w:rPr>
        <w:t xml:space="preserve"> avaient reçu </w:t>
      </w:r>
      <w:r w:rsidR="0071794A" w:rsidRPr="00363588">
        <w:rPr>
          <w:rFonts w:eastAsia="Calibri"/>
        </w:rPr>
        <w:t>la</w:t>
      </w:r>
      <w:r w:rsidRPr="00363588">
        <w:rPr>
          <w:rFonts w:eastAsia="Calibri"/>
        </w:rPr>
        <w:t xml:space="preserve"> décision relative à leur intégration dans la fonction publique ainsi que le versement d’une indemnité de 12,5 millions de francs CFA (environ 20</w:t>
      </w:r>
      <w:r w:rsidR="000D4CD3" w:rsidRPr="00363588">
        <w:rPr>
          <w:rFonts w:eastAsia="Calibri"/>
        </w:rPr>
        <w:t> </w:t>
      </w:r>
      <w:r w:rsidRPr="00363588">
        <w:rPr>
          <w:rFonts w:eastAsia="Calibri"/>
        </w:rPr>
        <w:t>000</w:t>
      </w:r>
      <w:r w:rsidR="0071794A" w:rsidRPr="00363588">
        <w:rPr>
          <w:rFonts w:eastAsia="Calibri"/>
        </w:rPr>
        <w:t> dollars</w:t>
      </w:r>
      <w:r w:rsidRPr="00363588">
        <w:rPr>
          <w:rFonts w:eastAsia="Calibri"/>
        </w:rPr>
        <w:t>) en moyenne par personne.</w:t>
      </w:r>
      <w:r w:rsidRPr="00363588">
        <w:rPr>
          <w:rFonts w:eastAsia="Calibri"/>
          <w:lang w:val="fr-FR"/>
        </w:rPr>
        <w:t xml:space="preserve"> </w:t>
      </w:r>
    </w:p>
    <w:p w14:paraId="1D502166" w14:textId="42C55248" w:rsidR="00FB0220" w:rsidRPr="00363588" w:rsidRDefault="00FB0220" w:rsidP="0071794A">
      <w:pPr>
        <w:pStyle w:val="H23G"/>
        <w:rPr>
          <w:rFonts w:eastAsia="Calibri"/>
        </w:rPr>
      </w:pPr>
      <w:r w:rsidRPr="00363588">
        <w:tab/>
      </w:r>
      <w:r w:rsidRPr="00363588">
        <w:tab/>
        <w:t xml:space="preserve">Commentaires des auteurs sur </w:t>
      </w:r>
      <w:r w:rsidR="0071794A" w:rsidRPr="00363588">
        <w:t>les observations de l’État partie</w:t>
      </w:r>
      <w:r w:rsidRPr="00363588">
        <w:t xml:space="preserve"> </w:t>
      </w:r>
    </w:p>
    <w:p w14:paraId="261E04C6" w14:textId="494E42FF" w:rsidR="00FB0220" w:rsidRPr="00363588" w:rsidRDefault="00FB0220" w:rsidP="00363588">
      <w:pPr>
        <w:pStyle w:val="SingleTxtG"/>
        <w:rPr>
          <w:rFonts w:eastAsia="Calibri"/>
        </w:rPr>
      </w:pPr>
      <w:r w:rsidRPr="00363588">
        <w:rPr>
          <w:rFonts w:eastAsia="Calibri"/>
        </w:rPr>
        <w:t>5.</w:t>
      </w:r>
      <w:r w:rsidRPr="00363588">
        <w:rPr>
          <w:rFonts w:eastAsia="Calibri"/>
        </w:rPr>
        <w:tab/>
        <w:t xml:space="preserve">Le 10 juin 2014, les auteurs </w:t>
      </w:r>
      <w:r w:rsidRPr="00363588">
        <w:t xml:space="preserve">ont présenté leurs commentaires sur les observations de l’État partie. Ils ont réfuté l’argument de non-épuisement des voies de </w:t>
      </w:r>
      <w:r w:rsidRPr="00363588">
        <w:rPr>
          <w:rFonts w:eastAsia="Calibri"/>
        </w:rPr>
        <w:t xml:space="preserve">recours </w:t>
      </w:r>
      <w:r w:rsidR="009340CF" w:rsidRPr="00363588">
        <w:rPr>
          <w:rFonts w:eastAsia="Calibri"/>
        </w:rPr>
        <w:t>internes</w:t>
      </w:r>
      <w:r w:rsidR="00C82593" w:rsidRPr="00363588">
        <w:rPr>
          <w:rFonts w:eastAsia="Calibri"/>
        </w:rPr>
        <w:t>, faisant</w:t>
      </w:r>
      <w:r w:rsidR="009340CF" w:rsidRPr="00363588">
        <w:rPr>
          <w:rFonts w:eastAsia="Calibri"/>
        </w:rPr>
        <w:t xml:space="preserve"> valoir que</w:t>
      </w:r>
      <w:r w:rsidR="009340CF" w:rsidRPr="00363588" w:rsidDel="009340CF">
        <w:rPr>
          <w:rFonts w:eastAsia="Calibri"/>
        </w:rPr>
        <w:t xml:space="preserve"> </w:t>
      </w:r>
      <w:r w:rsidRPr="00363588">
        <w:rPr>
          <w:rFonts w:eastAsia="Calibri"/>
        </w:rPr>
        <w:t>l’</w:t>
      </w:r>
      <w:r w:rsidR="009340CF" w:rsidRPr="00363588">
        <w:rPr>
          <w:rFonts w:eastAsia="Calibri"/>
        </w:rPr>
        <w:t>É</w:t>
      </w:r>
      <w:r w:rsidRPr="00363588">
        <w:rPr>
          <w:rFonts w:eastAsia="Calibri"/>
        </w:rPr>
        <w:t>tat partie n’a</w:t>
      </w:r>
      <w:r w:rsidR="00D97679" w:rsidRPr="00363588">
        <w:rPr>
          <w:rFonts w:eastAsia="Calibri"/>
        </w:rPr>
        <w:t>vait</w:t>
      </w:r>
      <w:r w:rsidRPr="00363588">
        <w:rPr>
          <w:rFonts w:eastAsia="Calibri"/>
        </w:rPr>
        <w:t xml:space="preserve"> pas appliqué la décision de la Cour suprême en faveur de leurs pairs et </w:t>
      </w:r>
      <w:r w:rsidR="009340CF" w:rsidRPr="00363588">
        <w:rPr>
          <w:rFonts w:eastAsia="Calibri"/>
        </w:rPr>
        <w:t>que cette décision établi</w:t>
      </w:r>
      <w:r w:rsidR="00D97679" w:rsidRPr="00363588">
        <w:rPr>
          <w:rFonts w:eastAsia="Calibri"/>
        </w:rPr>
        <w:t>ssait</w:t>
      </w:r>
      <w:r w:rsidR="009340CF" w:rsidRPr="00363588">
        <w:rPr>
          <w:rFonts w:eastAsia="Calibri"/>
        </w:rPr>
        <w:t xml:space="preserve"> un précédent </w:t>
      </w:r>
      <w:r w:rsidRPr="00363588">
        <w:rPr>
          <w:rFonts w:eastAsia="Calibri"/>
        </w:rPr>
        <w:t>applicable à</w:t>
      </w:r>
      <w:r w:rsidR="00C82593" w:rsidRPr="00363588">
        <w:rPr>
          <w:rFonts w:eastAsia="Calibri"/>
        </w:rPr>
        <w:t xml:space="preserve"> </w:t>
      </w:r>
      <w:r w:rsidR="009340CF" w:rsidRPr="00363588">
        <w:rPr>
          <w:rFonts w:eastAsia="Calibri"/>
        </w:rPr>
        <w:t>la situation des autres auteurs</w:t>
      </w:r>
      <w:r w:rsidRPr="00363588">
        <w:rPr>
          <w:rFonts w:eastAsia="Calibri"/>
        </w:rPr>
        <w:t>. Dans leur soumission additionnelle du 19 novembre 2014, les auteurs ont fait valoir qu’aucun règlement amiable n’a</w:t>
      </w:r>
      <w:r w:rsidR="00151C96" w:rsidRPr="00363588">
        <w:rPr>
          <w:rFonts w:eastAsia="Calibri"/>
        </w:rPr>
        <w:t>vait</w:t>
      </w:r>
      <w:r w:rsidRPr="00363588">
        <w:rPr>
          <w:rFonts w:eastAsia="Calibri"/>
        </w:rPr>
        <w:t xml:space="preserve"> été conclu avec l’</w:t>
      </w:r>
      <w:r w:rsidR="00C82593" w:rsidRPr="00363588">
        <w:rPr>
          <w:rFonts w:eastAsia="Calibri"/>
        </w:rPr>
        <w:t>É</w:t>
      </w:r>
      <w:r w:rsidRPr="00363588">
        <w:rPr>
          <w:rFonts w:eastAsia="Calibri"/>
        </w:rPr>
        <w:t xml:space="preserve">tat partie. </w:t>
      </w:r>
      <w:r w:rsidR="00C82593" w:rsidRPr="00363588">
        <w:rPr>
          <w:rFonts w:eastAsia="Calibri"/>
        </w:rPr>
        <w:t>Ils</w:t>
      </w:r>
      <w:r w:rsidRPr="00363588">
        <w:rPr>
          <w:rFonts w:eastAsia="Calibri"/>
        </w:rPr>
        <w:t xml:space="preserve"> </w:t>
      </w:r>
      <w:r w:rsidR="00363588">
        <w:rPr>
          <w:rFonts w:eastAsia="Calibri"/>
        </w:rPr>
        <w:t>ont</w:t>
      </w:r>
      <w:r w:rsidRPr="00363588">
        <w:rPr>
          <w:rFonts w:eastAsia="Calibri"/>
        </w:rPr>
        <w:t xml:space="preserve"> aussi</w:t>
      </w:r>
      <w:r w:rsidR="00363588">
        <w:rPr>
          <w:rFonts w:eastAsia="Calibri"/>
        </w:rPr>
        <w:t xml:space="preserve"> indiqué</w:t>
      </w:r>
      <w:r w:rsidRPr="00363588">
        <w:rPr>
          <w:rFonts w:eastAsia="Calibri"/>
        </w:rPr>
        <w:t xml:space="preserve"> que leurs prétendues régularisation et reconstitution de carrière n’</w:t>
      </w:r>
      <w:r w:rsidR="00363588">
        <w:rPr>
          <w:rFonts w:eastAsia="Calibri"/>
        </w:rPr>
        <w:t>avaient</w:t>
      </w:r>
      <w:r w:rsidRPr="00363588">
        <w:rPr>
          <w:rFonts w:eastAsia="Calibri"/>
        </w:rPr>
        <w:t xml:space="preserve"> pas eu lieu</w:t>
      </w:r>
      <w:r w:rsidR="00C82593" w:rsidRPr="00363588">
        <w:rPr>
          <w:rFonts w:eastAsia="Calibri"/>
        </w:rPr>
        <w:t>,</w:t>
      </w:r>
      <w:r w:rsidRPr="00363588">
        <w:rPr>
          <w:rFonts w:eastAsia="Calibri"/>
        </w:rPr>
        <w:t xml:space="preserve"> et que leurs réclamations </w:t>
      </w:r>
      <w:r w:rsidR="00363588">
        <w:rPr>
          <w:rFonts w:eastAsia="Calibri"/>
        </w:rPr>
        <w:t>faisaient</w:t>
      </w:r>
      <w:r w:rsidRPr="00363588">
        <w:rPr>
          <w:rFonts w:eastAsia="Calibri"/>
        </w:rPr>
        <w:t xml:space="preserve"> suite à </w:t>
      </w:r>
      <w:r w:rsidR="00C82593" w:rsidRPr="00363588">
        <w:rPr>
          <w:rFonts w:eastAsia="Calibri"/>
        </w:rPr>
        <w:t>près de</w:t>
      </w:r>
      <w:r w:rsidRPr="00363588">
        <w:rPr>
          <w:rFonts w:eastAsia="Calibri"/>
        </w:rPr>
        <w:t xml:space="preserve"> trois décennies de violations constantes et systématiques de leurs droits. Les auteurs ont aussi excipé que</w:t>
      </w:r>
      <w:r w:rsidR="002454DE" w:rsidRPr="00363588">
        <w:rPr>
          <w:rFonts w:eastAsia="Calibri"/>
        </w:rPr>
        <w:t xml:space="preserve"> </w:t>
      </w:r>
      <w:r w:rsidRPr="00363588">
        <w:rPr>
          <w:rFonts w:eastAsia="Calibri"/>
        </w:rPr>
        <w:t>la simple reconstitution sans indemnisation adéquate ne constitu</w:t>
      </w:r>
      <w:r w:rsidR="00C82593" w:rsidRPr="00363588">
        <w:rPr>
          <w:rFonts w:eastAsia="Calibri"/>
        </w:rPr>
        <w:t>ait</w:t>
      </w:r>
      <w:r w:rsidRPr="00363588">
        <w:rPr>
          <w:rFonts w:eastAsia="Calibri"/>
        </w:rPr>
        <w:t xml:space="preserve"> pas un recours utile. Ils </w:t>
      </w:r>
      <w:r w:rsidR="00363588">
        <w:rPr>
          <w:rFonts w:eastAsia="Calibri"/>
        </w:rPr>
        <w:t>ont affirmé</w:t>
      </w:r>
      <w:r w:rsidRPr="00363588">
        <w:rPr>
          <w:rFonts w:eastAsia="Calibri"/>
        </w:rPr>
        <w:t xml:space="preserve"> que l’application du décret n</w:t>
      </w:r>
      <w:r w:rsidRPr="00D101CB">
        <w:rPr>
          <w:rFonts w:eastAsia="Calibri"/>
          <w:vertAlign w:val="superscript"/>
        </w:rPr>
        <w:t>o</w:t>
      </w:r>
      <w:r w:rsidRPr="00363588">
        <w:rPr>
          <w:rFonts w:eastAsia="Calibri"/>
        </w:rPr>
        <w:t> 74/611 n’exigeait aucune négociation comme préalable</w:t>
      </w:r>
      <w:r w:rsidR="00363588">
        <w:rPr>
          <w:rFonts w:eastAsia="Calibri"/>
        </w:rPr>
        <w:t>,</w:t>
      </w:r>
      <w:r w:rsidRPr="00363588">
        <w:rPr>
          <w:rFonts w:eastAsia="Calibri"/>
        </w:rPr>
        <w:t xml:space="preserve"> </w:t>
      </w:r>
      <w:r w:rsidR="00363588">
        <w:rPr>
          <w:rFonts w:eastAsia="Calibri"/>
        </w:rPr>
        <w:t>et ajouté</w:t>
      </w:r>
      <w:r w:rsidRPr="00363588">
        <w:rPr>
          <w:rFonts w:eastAsia="Calibri"/>
        </w:rPr>
        <w:t xml:space="preserve"> que la régularisation ultérieure de leur carrière dans la fonction publique ne saurait être un recours utile pour les violations alléguées.</w:t>
      </w:r>
      <w:r w:rsidR="002454DE" w:rsidRPr="00363588">
        <w:rPr>
          <w:rFonts w:eastAsia="Calibri"/>
        </w:rPr>
        <w:t xml:space="preserve"> </w:t>
      </w:r>
      <w:r w:rsidRPr="00363588">
        <w:rPr>
          <w:rFonts w:eastAsia="Calibri"/>
        </w:rPr>
        <w:t>Le 4 octobre 2015, les auteurs ont fait valoir que dès lors que les recours internes n’étaient ni disponibles ni utiles, car excédant des délais raisonnables</w:t>
      </w:r>
      <w:r w:rsidRPr="00D101CB">
        <w:rPr>
          <w:rStyle w:val="Appelnotedebasdep"/>
          <w:rFonts w:eastAsia="Calibri"/>
        </w:rPr>
        <w:footnoteReference w:id="9"/>
      </w:r>
      <w:r w:rsidRPr="00363588">
        <w:rPr>
          <w:rFonts w:eastAsia="Calibri"/>
        </w:rPr>
        <w:t>, leur communication devrait être déclarée recevable par le Comité</w:t>
      </w:r>
      <w:r w:rsidR="002454DE" w:rsidRPr="00363588">
        <w:rPr>
          <w:rFonts w:eastAsia="Calibri"/>
        </w:rPr>
        <w:t xml:space="preserve"> </w:t>
      </w:r>
      <w:r w:rsidRPr="00363588">
        <w:rPr>
          <w:rFonts w:eastAsia="Calibri"/>
        </w:rPr>
        <w:t xml:space="preserve">au regard </w:t>
      </w:r>
      <w:r w:rsidR="00C82593" w:rsidRPr="00363588">
        <w:rPr>
          <w:rFonts w:eastAsia="Calibri"/>
        </w:rPr>
        <w:t>de l’article 5</w:t>
      </w:r>
      <w:r w:rsidRPr="00363588">
        <w:rPr>
          <w:rFonts w:eastAsia="Calibri"/>
        </w:rPr>
        <w:t xml:space="preserve"> </w:t>
      </w:r>
      <w:r w:rsidR="00151C96" w:rsidRPr="00363588">
        <w:rPr>
          <w:rFonts w:eastAsia="Calibri"/>
        </w:rPr>
        <w:t>(</w:t>
      </w:r>
      <w:r w:rsidRPr="00363588">
        <w:rPr>
          <w:rFonts w:eastAsia="Calibri"/>
        </w:rPr>
        <w:t>par</w:t>
      </w:r>
      <w:r w:rsidR="00151C96" w:rsidRPr="00363588">
        <w:rPr>
          <w:rFonts w:eastAsia="Calibri"/>
        </w:rPr>
        <w:t>.</w:t>
      </w:r>
      <w:r w:rsidRPr="00363588">
        <w:rPr>
          <w:rFonts w:eastAsia="Calibri"/>
        </w:rPr>
        <w:t> 2) du Protocole facultatif</w:t>
      </w:r>
      <w:r w:rsidRPr="00D101CB">
        <w:rPr>
          <w:rStyle w:val="Appelnotedebasdep"/>
          <w:rFonts w:eastAsia="Calibri"/>
        </w:rPr>
        <w:footnoteReference w:id="10"/>
      </w:r>
      <w:r w:rsidRPr="00363588">
        <w:rPr>
          <w:rFonts w:eastAsia="Calibri"/>
        </w:rPr>
        <w:t xml:space="preserve">. </w:t>
      </w:r>
    </w:p>
    <w:p w14:paraId="68A9D4AD" w14:textId="2EAD060E" w:rsidR="00FB0220" w:rsidRPr="00363588" w:rsidRDefault="00FB0220" w:rsidP="00FB0220">
      <w:pPr>
        <w:pStyle w:val="H23G"/>
      </w:pPr>
      <w:r w:rsidRPr="00363588">
        <w:tab/>
      </w:r>
      <w:r w:rsidRPr="00363588">
        <w:tab/>
      </w:r>
      <w:r w:rsidR="00ED7671" w:rsidRPr="00363588">
        <w:t xml:space="preserve">Décision </w:t>
      </w:r>
      <w:r w:rsidRPr="00363588">
        <w:t>du Comité sur la recevabilité</w:t>
      </w:r>
    </w:p>
    <w:p w14:paraId="5650EC41" w14:textId="7B1DBAF8" w:rsidR="00F53553" w:rsidRPr="00363588" w:rsidRDefault="00F53553" w:rsidP="00363588">
      <w:pPr>
        <w:pStyle w:val="SingleTxtG"/>
      </w:pPr>
      <w:r w:rsidRPr="00363588">
        <w:t>6.1</w:t>
      </w:r>
      <w:r w:rsidRPr="00363588">
        <w:tab/>
        <w:t>Au cours de sa 116</w:t>
      </w:r>
      <w:r w:rsidRPr="00363588">
        <w:rPr>
          <w:vertAlign w:val="superscript"/>
        </w:rPr>
        <w:t>e</w:t>
      </w:r>
      <w:r w:rsidRPr="00363588">
        <w:t xml:space="preserve"> session, le Comité a considéré la recevabilité de la </w:t>
      </w:r>
      <w:r w:rsidR="00363588">
        <w:t xml:space="preserve">présente </w:t>
      </w:r>
      <w:r w:rsidRPr="00363588">
        <w:t>communication</w:t>
      </w:r>
      <w:r w:rsidR="009340CF" w:rsidRPr="00D101CB">
        <w:rPr>
          <w:rStyle w:val="Appelnotedebasdep"/>
        </w:rPr>
        <w:footnoteReference w:id="11"/>
      </w:r>
      <w:r w:rsidR="00AA2C70" w:rsidRPr="00363588">
        <w:t>,</w:t>
      </w:r>
      <w:r w:rsidRPr="00363588">
        <w:t xml:space="preserve"> que l’État partie </w:t>
      </w:r>
      <w:r w:rsidR="00AA2C70" w:rsidRPr="00363588">
        <w:t>contestait</w:t>
      </w:r>
      <w:r w:rsidRPr="00363588">
        <w:t xml:space="preserve"> pour deux motifs : a) seulement trois des auteurs </w:t>
      </w:r>
      <w:r w:rsidR="007E455B" w:rsidRPr="00363588">
        <w:t>d</w:t>
      </w:r>
      <w:r w:rsidR="00F13752" w:rsidRPr="00363588">
        <w:t>e</w:t>
      </w:r>
      <w:r w:rsidR="007E455B" w:rsidRPr="00363588">
        <w:t xml:space="preserve"> la communication </w:t>
      </w:r>
      <w:proofErr w:type="spellStart"/>
      <w:r w:rsidR="00AA2C70" w:rsidRPr="00363588">
        <w:rPr>
          <w:rFonts w:eastAsia="Calibri"/>
          <w:i/>
          <w:iCs/>
        </w:rPr>
        <w:t>Ngapna</w:t>
      </w:r>
      <w:proofErr w:type="spellEnd"/>
      <w:r w:rsidR="00AA2C70" w:rsidRPr="00363588">
        <w:rPr>
          <w:rFonts w:eastAsia="Calibri"/>
          <w:i/>
          <w:iCs/>
        </w:rPr>
        <w:t xml:space="preserve"> et consorts c. Cameroun</w:t>
      </w:r>
      <w:r w:rsidR="007E455B" w:rsidRPr="00363588">
        <w:t xml:space="preserve"> </w:t>
      </w:r>
      <w:r w:rsidR="00363588">
        <w:t>avaient</w:t>
      </w:r>
      <w:r w:rsidRPr="00363588">
        <w:t xml:space="preserve"> formé un recours auprès de la Cour suprême, qui a rendu des arrêts en leur faveur le 14 novembre 2002</w:t>
      </w:r>
      <w:r w:rsidRPr="00D101CB">
        <w:rPr>
          <w:rStyle w:val="Appelnotedebasdep"/>
        </w:rPr>
        <w:footnoteReference w:id="12"/>
      </w:r>
      <w:r w:rsidRPr="00363588">
        <w:t xml:space="preserve"> et le 27 mars 2003</w:t>
      </w:r>
      <w:r w:rsidRPr="00D101CB">
        <w:rPr>
          <w:rStyle w:val="Appelnotedebasdep"/>
        </w:rPr>
        <w:footnoteReference w:id="13"/>
      </w:r>
      <w:r w:rsidR="00AA2C70" w:rsidRPr="00363588">
        <w:t> </w:t>
      </w:r>
      <w:r w:rsidRPr="00363588">
        <w:t>; et b) les autres auteurs</w:t>
      </w:r>
      <w:r w:rsidR="007E455B" w:rsidRPr="00363588">
        <w:t xml:space="preserve"> –</w:t>
      </w:r>
      <w:r w:rsidR="00173C00" w:rsidRPr="00363588">
        <w:t xml:space="preserve"> </w:t>
      </w:r>
      <w:r w:rsidR="007E455B" w:rsidRPr="00363588">
        <w:t>y compris tous les auteurs d</w:t>
      </w:r>
      <w:r w:rsidR="00BE4EF7" w:rsidRPr="00363588">
        <w:t>e</w:t>
      </w:r>
      <w:r w:rsidR="007E455B" w:rsidRPr="00363588">
        <w:t xml:space="preserve"> la présente </w:t>
      </w:r>
      <w:r w:rsidR="00ED7671" w:rsidRPr="00363588">
        <w:t>communication</w:t>
      </w:r>
      <w:r w:rsidR="00173C00" w:rsidRPr="00363588">
        <w:t xml:space="preserve"> –</w:t>
      </w:r>
      <w:r w:rsidRPr="00363588">
        <w:t xml:space="preserve"> n’</w:t>
      </w:r>
      <w:r w:rsidR="00363588">
        <w:t>avaient</w:t>
      </w:r>
      <w:r w:rsidRPr="00363588">
        <w:t xml:space="preserve"> pas engagé de procédure judiciaire, et n’</w:t>
      </w:r>
      <w:r w:rsidR="00363588">
        <w:t>avaient</w:t>
      </w:r>
      <w:r w:rsidRPr="00363588">
        <w:t xml:space="preserve"> donc pas épuisé tous les recours internes disponibles.</w:t>
      </w:r>
    </w:p>
    <w:p w14:paraId="6570F014" w14:textId="7239968B" w:rsidR="00FB0220" w:rsidRPr="00363588" w:rsidRDefault="00FB0220" w:rsidP="00173C00">
      <w:pPr>
        <w:pStyle w:val="SingleTxtG"/>
      </w:pPr>
      <w:r w:rsidRPr="00363588">
        <w:lastRenderedPageBreak/>
        <w:t>6.</w:t>
      </w:r>
      <w:r w:rsidR="00F53553" w:rsidRPr="00363588">
        <w:t>2</w:t>
      </w:r>
      <w:r w:rsidRPr="00363588">
        <w:tab/>
        <w:t xml:space="preserve">Le Comité a noté que l’État partie </w:t>
      </w:r>
      <w:r w:rsidR="00173C00" w:rsidRPr="00363588">
        <w:t>contestait</w:t>
      </w:r>
      <w:r w:rsidRPr="00363588">
        <w:t xml:space="preserve"> la recevabilité de la </w:t>
      </w:r>
      <w:r w:rsidR="00173C00" w:rsidRPr="00363588">
        <w:t xml:space="preserve">présente </w:t>
      </w:r>
      <w:r w:rsidRPr="00363588">
        <w:t>communication au motif que la réintégration des diplômés des écoles françaises d’administration financière a</w:t>
      </w:r>
      <w:r w:rsidR="00173C00" w:rsidRPr="00363588">
        <w:t>vait</w:t>
      </w:r>
      <w:r w:rsidRPr="00363588">
        <w:t xml:space="preserve"> débuté le 19 avril 2012, c’est-à-dire avant la soumission de la </w:t>
      </w:r>
      <w:r w:rsidR="00173C00" w:rsidRPr="00363588">
        <w:t xml:space="preserve">présente </w:t>
      </w:r>
      <w:r w:rsidRPr="00363588">
        <w:t xml:space="preserve">communication, et qu’elle concernait notamment les auteurs. </w:t>
      </w:r>
      <w:r w:rsidR="00173C00" w:rsidRPr="00363588">
        <w:t>En proposant</w:t>
      </w:r>
      <w:r w:rsidRPr="00363588">
        <w:t xml:space="preserve"> que la présente communication soit examinée conjointement avec la communication </w:t>
      </w:r>
      <w:proofErr w:type="spellStart"/>
      <w:r w:rsidR="00173C00" w:rsidRPr="00363588">
        <w:rPr>
          <w:rFonts w:eastAsia="Calibri"/>
          <w:i/>
          <w:iCs/>
        </w:rPr>
        <w:t>Ngapna</w:t>
      </w:r>
      <w:proofErr w:type="spellEnd"/>
      <w:r w:rsidR="00173C00" w:rsidRPr="00363588">
        <w:rPr>
          <w:rFonts w:eastAsia="Calibri"/>
          <w:i/>
          <w:iCs/>
        </w:rPr>
        <w:t xml:space="preserve"> et consorts c. Cameroun</w:t>
      </w:r>
      <w:r w:rsidRPr="00363588">
        <w:t xml:space="preserve">, </w:t>
      </w:r>
      <w:r w:rsidR="00173C00" w:rsidRPr="00363588">
        <w:t>l’État partie</w:t>
      </w:r>
      <w:r w:rsidRPr="00363588">
        <w:t xml:space="preserve"> en a de facto contesté aussi la recevabilité </w:t>
      </w:r>
      <w:r w:rsidR="00173C00" w:rsidRPr="00363588">
        <w:t>pour les motifs cités au paragraphe 6.1</w:t>
      </w:r>
      <w:r w:rsidRPr="00363588">
        <w:t>.</w:t>
      </w:r>
    </w:p>
    <w:p w14:paraId="38B70BF4" w14:textId="1E6A61A6" w:rsidR="00FB0220" w:rsidRPr="00363588" w:rsidRDefault="00FB0220" w:rsidP="0081460B">
      <w:pPr>
        <w:pStyle w:val="SingleTxtG"/>
      </w:pPr>
      <w:r w:rsidRPr="00363588">
        <w:t>6.</w:t>
      </w:r>
      <w:r w:rsidR="00F53553" w:rsidRPr="00363588">
        <w:t>3</w:t>
      </w:r>
      <w:r w:rsidRPr="00363588">
        <w:tab/>
        <w:t>Le Comité a pris</w:t>
      </w:r>
      <w:r w:rsidR="002454DE" w:rsidRPr="00363588">
        <w:t xml:space="preserve"> </w:t>
      </w:r>
      <w:r w:rsidRPr="00363588">
        <w:t>note de l’argument des auteurs</w:t>
      </w:r>
      <w:r w:rsidR="00173C00" w:rsidRPr="00363588">
        <w:t>,</w:t>
      </w:r>
      <w:r w:rsidRPr="00363588">
        <w:t xml:space="preserve"> qui </w:t>
      </w:r>
      <w:r w:rsidR="00462ED2" w:rsidRPr="00363588">
        <w:t>affirmaient</w:t>
      </w:r>
      <w:r w:rsidRPr="00363588">
        <w:t xml:space="preserve"> que, compte tenu de l’absence d’accord entre les parties au différend, la reconstitution et l’indemnisation </w:t>
      </w:r>
      <w:r w:rsidR="0081460B" w:rsidRPr="00363588">
        <w:t xml:space="preserve">qui leur étaient </w:t>
      </w:r>
      <w:r w:rsidRPr="00363588">
        <w:t>proposées par l’État partie ne constitu</w:t>
      </w:r>
      <w:r w:rsidR="00173C00" w:rsidRPr="00363588">
        <w:t>ai</w:t>
      </w:r>
      <w:r w:rsidRPr="00363588">
        <w:t>ent pas un recours utile</w:t>
      </w:r>
      <w:r w:rsidR="00173C00" w:rsidRPr="00363588">
        <w:t>,</w:t>
      </w:r>
      <w:r w:rsidRPr="00363588">
        <w:t xml:space="preserve"> puisqu’elles n’</w:t>
      </w:r>
      <w:r w:rsidR="00173C00" w:rsidRPr="00363588">
        <w:t>entraînaient</w:t>
      </w:r>
      <w:r w:rsidRPr="00363588">
        <w:t xml:space="preserve"> pas la reconnaissance de leurs droits au regard du décret n</w:t>
      </w:r>
      <w:r w:rsidRPr="00363588">
        <w:rPr>
          <w:vertAlign w:val="superscript"/>
        </w:rPr>
        <w:t>o</w:t>
      </w:r>
      <w:r w:rsidRPr="00363588">
        <w:t> 74/611</w:t>
      </w:r>
      <w:r w:rsidRPr="00D101CB">
        <w:rPr>
          <w:rStyle w:val="Appelnotedebasdep"/>
        </w:rPr>
        <w:footnoteReference w:id="14"/>
      </w:r>
      <w:r w:rsidRPr="00363588">
        <w:t xml:space="preserve">. Le Comité a </w:t>
      </w:r>
      <w:r w:rsidR="00C55CBE" w:rsidRPr="00363588">
        <w:t xml:space="preserve">aussi </w:t>
      </w:r>
      <w:r w:rsidRPr="00363588">
        <w:t>noté qu’il n’a</w:t>
      </w:r>
      <w:r w:rsidR="00C55CBE" w:rsidRPr="00363588">
        <w:t>vait</w:t>
      </w:r>
      <w:r w:rsidRPr="00363588">
        <w:t xml:space="preserve"> pas été donné suite aux arrêts de la Cour suprême reconnaissant la violation des droits de certains des auteurs de la communication </w:t>
      </w:r>
      <w:proofErr w:type="spellStart"/>
      <w:r w:rsidR="00C55CBE" w:rsidRPr="00363588">
        <w:rPr>
          <w:rFonts w:eastAsia="Calibri"/>
          <w:i/>
          <w:iCs/>
        </w:rPr>
        <w:t>Ngapna</w:t>
      </w:r>
      <w:proofErr w:type="spellEnd"/>
      <w:r w:rsidR="00C55CBE" w:rsidRPr="00363588">
        <w:rPr>
          <w:rFonts w:eastAsia="Calibri"/>
          <w:i/>
          <w:iCs/>
        </w:rPr>
        <w:t xml:space="preserve"> et consorts c. Cameroun</w:t>
      </w:r>
      <w:r w:rsidRPr="00363588">
        <w:t xml:space="preserve">. </w:t>
      </w:r>
    </w:p>
    <w:p w14:paraId="61525D90" w14:textId="14E33460" w:rsidR="00FB0220" w:rsidRPr="00363588" w:rsidRDefault="00FB0220" w:rsidP="0081460B">
      <w:pPr>
        <w:pStyle w:val="SingleTxtG"/>
      </w:pPr>
      <w:r w:rsidRPr="00363588">
        <w:t>6.</w:t>
      </w:r>
      <w:r w:rsidR="00F53553" w:rsidRPr="00363588">
        <w:t>4</w:t>
      </w:r>
      <w:r w:rsidRPr="00363588">
        <w:tab/>
        <w:t>Le Comité a rappelé sa jurisprudence constante selon laquelle seuls doivent être épuisés les recours internes qui ont une chance raisonnable d’aboutir</w:t>
      </w:r>
      <w:r w:rsidRPr="00D101CB">
        <w:rPr>
          <w:rStyle w:val="Appelnotedebasdep"/>
        </w:rPr>
        <w:footnoteReference w:id="15"/>
      </w:r>
      <w:r w:rsidRPr="00363588">
        <w:t>, sans excéder des délais raisonnables</w:t>
      </w:r>
      <w:r w:rsidRPr="00D101CB">
        <w:rPr>
          <w:rStyle w:val="Appelnotedebasdep"/>
        </w:rPr>
        <w:footnoteReference w:id="16"/>
      </w:r>
      <w:r w:rsidRPr="00363588">
        <w:t xml:space="preserve">. En l’occurrence, le Comité </w:t>
      </w:r>
      <w:r w:rsidR="00C55CBE" w:rsidRPr="00363588">
        <w:t xml:space="preserve">a </w:t>
      </w:r>
      <w:r w:rsidRPr="00363588">
        <w:t>conclu que les auteurs qui n’</w:t>
      </w:r>
      <w:r w:rsidR="00C55CBE" w:rsidRPr="00363588">
        <w:t>avaient</w:t>
      </w:r>
      <w:r w:rsidRPr="00363588">
        <w:t xml:space="preserve"> pas saisi la Cour suprême avaient des raisons suffisantes de croire qu’un recours portant sur la même question que celle soulevée par certains de leurs collègues n’aurait aucune chance d’aboutir. Dans ces circonstances, le Comité a considéré que les conditions de recevabilité énoncées </w:t>
      </w:r>
      <w:r w:rsidR="00C55CBE" w:rsidRPr="00363588">
        <w:t>à l’article 5</w:t>
      </w:r>
      <w:r w:rsidRPr="00363588">
        <w:t xml:space="preserve"> </w:t>
      </w:r>
      <w:r w:rsidR="0081460B" w:rsidRPr="00363588">
        <w:t>(</w:t>
      </w:r>
      <w:r w:rsidRPr="00363588">
        <w:t>par</w:t>
      </w:r>
      <w:r w:rsidR="0081460B" w:rsidRPr="00363588">
        <w:t>.</w:t>
      </w:r>
      <w:r w:rsidRPr="00363588">
        <w:t> 2 b)</w:t>
      </w:r>
      <w:r w:rsidR="0081460B" w:rsidRPr="00363588">
        <w:t>)</w:t>
      </w:r>
      <w:r w:rsidRPr="00363588">
        <w:t xml:space="preserve"> du Protocole facultatif </w:t>
      </w:r>
      <w:r w:rsidR="00E8692A" w:rsidRPr="00363588">
        <w:t xml:space="preserve">étaient </w:t>
      </w:r>
      <w:r w:rsidRPr="00363588">
        <w:t>remplies pour tous les auteurs de la présente communication.</w:t>
      </w:r>
    </w:p>
    <w:p w14:paraId="2FDC59EB" w14:textId="5CAE1FE3" w:rsidR="00FB0220" w:rsidRPr="00363588" w:rsidRDefault="00FB0220" w:rsidP="0081460B">
      <w:pPr>
        <w:pStyle w:val="SingleTxtG"/>
      </w:pPr>
      <w:r w:rsidRPr="00B5596B">
        <w:rPr>
          <w:spacing w:val="-4"/>
        </w:rPr>
        <w:t>6.</w:t>
      </w:r>
      <w:r w:rsidR="00F53553" w:rsidRPr="00B5596B">
        <w:rPr>
          <w:spacing w:val="-4"/>
        </w:rPr>
        <w:t>5</w:t>
      </w:r>
      <w:r w:rsidRPr="00B5596B">
        <w:rPr>
          <w:spacing w:val="-4"/>
        </w:rPr>
        <w:tab/>
      </w:r>
      <w:r w:rsidR="0027487D" w:rsidRPr="00B5596B">
        <w:rPr>
          <w:spacing w:val="-4"/>
        </w:rPr>
        <w:t>Le Comité a noté le</w:t>
      </w:r>
      <w:r w:rsidRPr="00B5596B">
        <w:rPr>
          <w:spacing w:val="-4"/>
        </w:rPr>
        <w:t xml:space="preserve"> grief des auteurs</w:t>
      </w:r>
      <w:r w:rsidR="00652F4F" w:rsidRPr="00B5596B">
        <w:rPr>
          <w:spacing w:val="-4"/>
        </w:rPr>
        <w:t xml:space="preserve"> selon lequel</w:t>
      </w:r>
      <w:r w:rsidRPr="00B5596B">
        <w:rPr>
          <w:spacing w:val="-4"/>
        </w:rPr>
        <w:t xml:space="preserve"> </w:t>
      </w:r>
      <w:r w:rsidR="00652F4F" w:rsidRPr="00B5596B">
        <w:rPr>
          <w:spacing w:val="-4"/>
        </w:rPr>
        <w:t xml:space="preserve">ils ont été victimes de </w:t>
      </w:r>
      <w:r w:rsidRPr="00B5596B">
        <w:rPr>
          <w:spacing w:val="-4"/>
        </w:rPr>
        <w:t>l’application discriminatoire du décret n</w:t>
      </w:r>
      <w:r w:rsidRPr="00B5596B">
        <w:rPr>
          <w:spacing w:val="-4"/>
          <w:vertAlign w:val="superscript"/>
        </w:rPr>
        <w:t>o</w:t>
      </w:r>
      <w:r w:rsidRPr="00B5596B">
        <w:rPr>
          <w:spacing w:val="-4"/>
        </w:rPr>
        <w:t> 74/611</w:t>
      </w:r>
      <w:r w:rsidR="0027487D" w:rsidRPr="00B5596B">
        <w:rPr>
          <w:spacing w:val="-4"/>
        </w:rPr>
        <w:t>.</w:t>
      </w:r>
      <w:r w:rsidRPr="00B5596B">
        <w:rPr>
          <w:spacing w:val="-4"/>
        </w:rPr>
        <w:t xml:space="preserve"> Il a noté aussi que l’État partie a</w:t>
      </w:r>
      <w:r w:rsidR="00C55CBE" w:rsidRPr="00B5596B">
        <w:rPr>
          <w:spacing w:val="-4"/>
        </w:rPr>
        <w:t>vait</w:t>
      </w:r>
      <w:r w:rsidRPr="00B5596B">
        <w:rPr>
          <w:spacing w:val="-4"/>
        </w:rPr>
        <w:t xml:space="preserve"> indiqué avoir fait une distinction entre les diplômés des écoles françaises d’administration financière et ceux de la section d’administration financière de l’</w:t>
      </w:r>
      <w:r w:rsidR="00C55CBE" w:rsidRPr="00B5596B">
        <w:rPr>
          <w:spacing w:val="-4"/>
        </w:rPr>
        <w:t>École nationale d’administration et de magistrature du Cameroun</w:t>
      </w:r>
      <w:r w:rsidRPr="00B5596B">
        <w:rPr>
          <w:spacing w:val="-4"/>
        </w:rPr>
        <w:t>, mais que le Chef de l’État avait décidé de réintégrer les agents concernés dans la fonction publique et d’allouer à chacun d’eux un dédommagement financier d</w:t>
      </w:r>
      <w:r w:rsidR="005A5701" w:rsidRPr="00B5596B">
        <w:rPr>
          <w:spacing w:val="-4"/>
        </w:rPr>
        <w:t>’environ 20</w:t>
      </w:r>
      <w:r w:rsidR="00C55CBE" w:rsidRPr="00B5596B">
        <w:rPr>
          <w:spacing w:val="-4"/>
        </w:rPr>
        <w:t> </w:t>
      </w:r>
      <w:r w:rsidR="005A5701" w:rsidRPr="00B5596B">
        <w:rPr>
          <w:spacing w:val="-4"/>
        </w:rPr>
        <w:t>000</w:t>
      </w:r>
      <w:r w:rsidR="00C55CBE" w:rsidRPr="00B5596B">
        <w:rPr>
          <w:spacing w:val="-4"/>
        </w:rPr>
        <w:t> dollars</w:t>
      </w:r>
      <w:r w:rsidRPr="00B5596B">
        <w:rPr>
          <w:spacing w:val="-4"/>
        </w:rPr>
        <w:t xml:space="preserve">. Le Comité a noté en outre que les auteurs </w:t>
      </w:r>
      <w:r w:rsidR="00C55CBE" w:rsidRPr="00B5596B">
        <w:rPr>
          <w:spacing w:val="-4"/>
        </w:rPr>
        <w:t>s’étaient opposés</w:t>
      </w:r>
      <w:r w:rsidRPr="00B5596B">
        <w:rPr>
          <w:spacing w:val="-4"/>
        </w:rPr>
        <w:t xml:space="preserve"> à la tentative de l’État partie de considérer les arrêts de la Cour suprême comme constituant une réparation adéquate pour les violations qu’ils </w:t>
      </w:r>
      <w:r w:rsidR="00F55666" w:rsidRPr="00B5596B">
        <w:rPr>
          <w:spacing w:val="-4"/>
        </w:rPr>
        <w:t>avaient</w:t>
      </w:r>
      <w:r w:rsidRPr="00B5596B">
        <w:rPr>
          <w:spacing w:val="-4"/>
        </w:rPr>
        <w:t xml:space="preserve"> subies</w:t>
      </w:r>
      <w:r w:rsidR="00F55666" w:rsidRPr="00B5596B">
        <w:rPr>
          <w:spacing w:val="-4"/>
        </w:rPr>
        <w:t>,</w:t>
      </w:r>
      <w:r w:rsidRPr="00B5596B">
        <w:rPr>
          <w:spacing w:val="-4"/>
        </w:rPr>
        <w:t xml:space="preserve"> puisqu’il n’a été donné aucune suite aux conclusions de la Cour. Au vu des renseignements communiqués, le Comité a estimé que les faits dont il </w:t>
      </w:r>
      <w:r w:rsidR="00F55666" w:rsidRPr="00B5596B">
        <w:rPr>
          <w:spacing w:val="-4"/>
        </w:rPr>
        <w:t>avait été</w:t>
      </w:r>
      <w:r w:rsidRPr="00B5596B">
        <w:rPr>
          <w:spacing w:val="-4"/>
        </w:rPr>
        <w:t xml:space="preserve"> saisi </w:t>
      </w:r>
      <w:r w:rsidR="0054361B" w:rsidRPr="00B5596B">
        <w:rPr>
          <w:spacing w:val="-4"/>
        </w:rPr>
        <w:t xml:space="preserve">soulevaient </w:t>
      </w:r>
      <w:r w:rsidRPr="00B5596B">
        <w:rPr>
          <w:spacing w:val="-4"/>
        </w:rPr>
        <w:t>des questions au titre des articles </w:t>
      </w:r>
      <w:r w:rsidR="0054361B" w:rsidRPr="00B5596B">
        <w:rPr>
          <w:spacing w:val="-4"/>
        </w:rPr>
        <w:t>25 (</w:t>
      </w:r>
      <w:r w:rsidR="00F55666" w:rsidRPr="00B5596B">
        <w:rPr>
          <w:spacing w:val="-4"/>
        </w:rPr>
        <w:t>al</w:t>
      </w:r>
      <w:r w:rsidR="0081460B" w:rsidRPr="00B5596B">
        <w:rPr>
          <w:spacing w:val="-4"/>
        </w:rPr>
        <w:t>.</w:t>
      </w:r>
      <w:r w:rsidR="00F55666" w:rsidRPr="00B5596B">
        <w:rPr>
          <w:spacing w:val="-4"/>
        </w:rPr>
        <w:t> </w:t>
      </w:r>
      <w:r w:rsidR="0054361B" w:rsidRPr="00B5596B">
        <w:rPr>
          <w:spacing w:val="-4"/>
        </w:rPr>
        <w:t>c)</w:t>
      </w:r>
      <w:r w:rsidR="0081460B" w:rsidRPr="00B5596B">
        <w:rPr>
          <w:spacing w:val="-4"/>
        </w:rPr>
        <w:t>)</w:t>
      </w:r>
      <w:r w:rsidR="0054361B" w:rsidRPr="00B5596B">
        <w:rPr>
          <w:spacing w:val="-4"/>
        </w:rPr>
        <w:t xml:space="preserve"> </w:t>
      </w:r>
      <w:r w:rsidRPr="00B5596B">
        <w:rPr>
          <w:spacing w:val="-4"/>
        </w:rPr>
        <w:t xml:space="preserve">et 26 </w:t>
      </w:r>
      <w:r w:rsidR="0054361B" w:rsidRPr="00B5596B">
        <w:rPr>
          <w:spacing w:val="-4"/>
        </w:rPr>
        <w:t xml:space="preserve">du Pacte, ainsi que </w:t>
      </w:r>
      <w:r w:rsidR="00F55666" w:rsidRPr="00B5596B">
        <w:rPr>
          <w:spacing w:val="-4"/>
        </w:rPr>
        <w:t xml:space="preserve">de </w:t>
      </w:r>
      <w:r w:rsidR="0054361B" w:rsidRPr="00B5596B">
        <w:rPr>
          <w:spacing w:val="-4"/>
        </w:rPr>
        <w:t>l’article 25 (</w:t>
      </w:r>
      <w:r w:rsidR="0081460B" w:rsidRPr="00B5596B">
        <w:rPr>
          <w:spacing w:val="-4"/>
        </w:rPr>
        <w:t>al.</w:t>
      </w:r>
      <w:r w:rsidR="00F55666" w:rsidRPr="00B5596B">
        <w:rPr>
          <w:spacing w:val="-4"/>
        </w:rPr>
        <w:t> </w:t>
      </w:r>
      <w:r w:rsidR="0054361B" w:rsidRPr="00B5596B">
        <w:rPr>
          <w:spacing w:val="-4"/>
        </w:rPr>
        <w:t>c)</w:t>
      </w:r>
      <w:r w:rsidR="0081460B" w:rsidRPr="00B5596B">
        <w:rPr>
          <w:spacing w:val="-4"/>
        </w:rPr>
        <w:t>)</w:t>
      </w:r>
      <w:r w:rsidR="0054361B" w:rsidRPr="00B5596B">
        <w:rPr>
          <w:spacing w:val="-4"/>
        </w:rPr>
        <w:t xml:space="preserve"> lu conjointement avec l’article 2 (</w:t>
      </w:r>
      <w:r w:rsidR="00F55666" w:rsidRPr="00B5596B">
        <w:rPr>
          <w:spacing w:val="-4"/>
        </w:rPr>
        <w:t>par</w:t>
      </w:r>
      <w:r w:rsidR="0081460B" w:rsidRPr="00B5596B">
        <w:rPr>
          <w:spacing w:val="-4"/>
        </w:rPr>
        <w:t>.</w:t>
      </w:r>
      <w:r w:rsidR="00F55666" w:rsidRPr="00B5596B">
        <w:rPr>
          <w:spacing w:val="-4"/>
        </w:rPr>
        <w:t> </w:t>
      </w:r>
      <w:r w:rsidR="0054361B" w:rsidRPr="00B5596B">
        <w:rPr>
          <w:spacing w:val="-4"/>
        </w:rPr>
        <w:t>1</w:t>
      </w:r>
      <w:r w:rsidR="00F55666" w:rsidRPr="00B5596B">
        <w:rPr>
          <w:spacing w:val="-4"/>
        </w:rPr>
        <w:t xml:space="preserve"> et</w:t>
      </w:r>
      <w:r w:rsidR="0054361B" w:rsidRPr="00B5596B">
        <w:rPr>
          <w:spacing w:val="-4"/>
        </w:rPr>
        <w:t xml:space="preserve"> 3) </w:t>
      </w:r>
      <w:r w:rsidRPr="00B5596B">
        <w:rPr>
          <w:spacing w:val="-4"/>
        </w:rPr>
        <w:t xml:space="preserve">du Pacte, et que cette partie de la communication </w:t>
      </w:r>
      <w:r w:rsidR="00F55666" w:rsidRPr="00B5596B">
        <w:rPr>
          <w:spacing w:val="-4"/>
        </w:rPr>
        <w:t>était</w:t>
      </w:r>
      <w:r w:rsidRPr="00B5596B">
        <w:rPr>
          <w:spacing w:val="-4"/>
        </w:rPr>
        <w:t xml:space="preserve"> en conséquence recevable</w:t>
      </w:r>
      <w:r w:rsidRPr="00363588">
        <w:t>.</w:t>
      </w:r>
    </w:p>
    <w:p w14:paraId="337268D5" w14:textId="24C2B230" w:rsidR="00FB0220" w:rsidRPr="00363588" w:rsidRDefault="00FB0220" w:rsidP="0081460B">
      <w:pPr>
        <w:pStyle w:val="SingleTxtG"/>
      </w:pPr>
      <w:r w:rsidRPr="00363588">
        <w:t>6.</w:t>
      </w:r>
      <w:r w:rsidR="00F53553" w:rsidRPr="00363588">
        <w:t>6</w:t>
      </w:r>
      <w:r w:rsidRPr="00363588">
        <w:tab/>
        <w:t>En ce qui concerne les griefs tirés des articles 3, 8 (par 3 a</w:t>
      </w:r>
      <w:r w:rsidR="000E14F7" w:rsidRPr="00363588">
        <w:t xml:space="preserve">)) et </w:t>
      </w:r>
      <w:r w:rsidRPr="00363588">
        <w:t xml:space="preserve">14 du Pacte, le Comité a noté que les auteurs </w:t>
      </w:r>
      <w:r w:rsidR="0054361B" w:rsidRPr="00363588">
        <w:t xml:space="preserve">n’avaient pas </w:t>
      </w:r>
      <w:r w:rsidRPr="00363588">
        <w:t>fourni</w:t>
      </w:r>
      <w:r w:rsidR="0054361B" w:rsidRPr="00363588">
        <w:t xml:space="preserve"> de renseignements précis à cet égard.</w:t>
      </w:r>
      <w:r w:rsidRPr="00363588">
        <w:t xml:space="preserve"> Il a </w:t>
      </w:r>
      <w:r w:rsidR="00F55666" w:rsidRPr="00363588">
        <w:t xml:space="preserve">donc </w:t>
      </w:r>
      <w:r w:rsidRPr="00363588">
        <w:t xml:space="preserve">considéré que les auteurs </w:t>
      </w:r>
      <w:r w:rsidR="0054361B" w:rsidRPr="00363588">
        <w:t xml:space="preserve">n’avaient </w:t>
      </w:r>
      <w:r w:rsidRPr="00363588">
        <w:t>pas suffisamment étayé leurs griefs</w:t>
      </w:r>
      <w:r w:rsidR="000A7D32" w:rsidRPr="00363588">
        <w:t>,</w:t>
      </w:r>
      <w:r w:rsidRPr="00363588">
        <w:t xml:space="preserve"> et </w:t>
      </w:r>
      <w:r w:rsidR="0054361B" w:rsidRPr="00363588">
        <w:t xml:space="preserve">a déclaré </w:t>
      </w:r>
      <w:r w:rsidRPr="00363588">
        <w:t xml:space="preserve">cette partie de la communication irrecevable au </w:t>
      </w:r>
      <w:r w:rsidR="0054361B" w:rsidRPr="00363588">
        <w:t xml:space="preserve">titre </w:t>
      </w:r>
      <w:r w:rsidRPr="00363588">
        <w:t>de l’article 2</w:t>
      </w:r>
      <w:r w:rsidR="0054361B" w:rsidRPr="00363588">
        <w:t xml:space="preserve"> du Protocole facultatif. En ce qui concerne les griefs tirés de l</w:t>
      </w:r>
      <w:r w:rsidR="007408D0">
        <w:t>’</w:t>
      </w:r>
      <w:r w:rsidR="0054361B" w:rsidRPr="00363588">
        <w:t xml:space="preserve">article 5 du Pacte, le Comité a constaté que cette disposition ne </w:t>
      </w:r>
      <w:r w:rsidR="00F55666" w:rsidRPr="00363588">
        <w:t>créait</w:t>
      </w:r>
      <w:r w:rsidR="0054361B" w:rsidRPr="00363588">
        <w:t xml:space="preserve"> aucun droit individuel distinct. Ainsi, il a déclaré le grief incompatible avec le Pacte et irrecevable </w:t>
      </w:r>
      <w:r w:rsidR="00F55666" w:rsidRPr="00363588">
        <w:t>au titre</w:t>
      </w:r>
      <w:r w:rsidR="0054361B" w:rsidRPr="00363588">
        <w:t xml:space="preserve"> de l’article 3</w:t>
      </w:r>
      <w:r w:rsidRPr="00363588">
        <w:t xml:space="preserve"> du Protocole facultatif.</w:t>
      </w:r>
    </w:p>
    <w:p w14:paraId="472C92C3" w14:textId="05ADA767" w:rsidR="00FB0220" w:rsidRPr="00363588" w:rsidRDefault="0014440B" w:rsidP="00261C12">
      <w:pPr>
        <w:pStyle w:val="SingleTxtG"/>
      </w:pPr>
      <w:r w:rsidRPr="00363588">
        <w:t>6.7</w:t>
      </w:r>
      <w:r w:rsidRPr="00363588">
        <w:tab/>
        <w:t>En conséquence, le Comité a décidé que la communication était recevable en ce qu’elle soulevait des questions au regard de</w:t>
      </w:r>
      <w:r w:rsidR="00C768C4" w:rsidRPr="00363588">
        <w:t>s</w:t>
      </w:r>
      <w:r w:rsidRPr="00363588">
        <w:t xml:space="preserve"> article</w:t>
      </w:r>
      <w:r w:rsidR="00C768C4" w:rsidRPr="00363588">
        <w:t>s</w:t>
      </w:r>
      <w:r w:rsidRPr="00363588">
        <w:t xml:space="preserve"> 25 (</w:t>
      </w:r>
      <w:r w:rsidR="0081460B" w:rsidRPr="00363588">
        <w:t>al.</w:t>
      </w:r>
      <w:r w:rsidR="00C768C4" w:rsidRPr="00363588">
        <w:t> </w:t>
      </w:r>
      <w:r w:rsidRPr="00363588">
        <w:t>c)</w:t>
      </w:r>
      <w:r w:rsidR="0081460B" w:rsidRPr="00363588">
        <w:t>)</w:t>
      </w:r>
      <w:r w:rsidRPr="00363588">
        <w:t xml:space="preserve"> et 26</w:t>
      </w:r>
      <w:r w:rsidR="0081460B" w:rsidRPr="00363588">
        <w:t xml:space="preserve"> du Pacte</w:t>
      </w:r>
      <w:r w:rsidRPr="00363588">
        <w:t xml:space="preserve">, ainsi que </w:t>
      </w:r>
      <w:r w:rsidR="00C768C4" w:rsidRPr="00363588">
        <w:t xml:space="preserve">de </w:t>
      </w:r>
      <w:r w:rsidRPr="00363588">
        <w:t>l’article 25 (</w:t>
      </w:r>
      <w:r w:rsidR="00C768C4" w:rsidRPr="00363588">
        <w:t>al</w:t>
      </w:r>
      <w:r w:rsidR="0081460B" w:rsidRPr="00363588">
        <w:t>.</w:t>
      </w:r>
      <w:r w:rsidR="00C768C4" w:rsidRPr="00363588">
        <w:t> </w:t>
      </w:r>
      <w:r w:rsidRPr="00363588">
        <w:t>c)</w:t>
      </w:r>
      <w:r w:rsidR="0081460B" w:rsidRPr="00363588">
        <w:t>)</w:t>
      </w:r>
      <w:r w:rsidRPr="00363588">
        <w:t xml:space="preserve"> lu conjointement avec l’article 2 (</w:t>
      </w:r>
      <w:r w:rsidR="00C768C4" w:rsidRPr="00363588">
        <w:t>par</w:t>
      </w:r>
      <w:r w:rsidR="0081460B" w:rsidRPr="00363588">
        <w:t>.</w:t>
      </w:r>
      <w:r w:rsidR="00C768C4" w:rsidRPr="00363588">
        <w:t> </w:t>
      </w:r>
      <w:r w:rsidRPr="00363588">
        <w:t xml:space="preserve">1 et 3) du Pacte. </w:t>
      </w:r>
    </w:p>
    <w:p w14:paraId="14072573" w14:textId="77777777" w:rsidR="00FB0220" w:rsidRPr="00363588" w:rsidRDefault="00FB0220" w:rsidP="00FB0220">
      <w:pPr>
        <w:pStyle w:val="H23G"/>
      </w:pPr>
      <w:r w:rsidRPr="00363588">
        <w:tab/>
      </w:r>
      <w:r w:rsidRPr="00363588">
        <w:tab/>
        <w:t>Observations de l’État partie sur le fond</w:t>
      </w:r>
    </w:p>
    <w:p w14:paraId="713461C0" w14:textId="5F1D59D9" w:rsidR="00FB0220" w:rsidRPr="00363588" w:rsidRDefault="00FB0220" w:rsidP="00C768C4">
      <w:pPr>
        <w:pStyle w:val="SingleTxtG"/>
      </w:pPr>
      <w:r w:rsidRPr="00363588">
        <w:t>7.</w:t>
      </w:r>
      <w:r w:rsidRPr="00363588">
        <w:tab/>
        <w:t>Le 1</w:t>
      </w:r>
      <w:r w:rsidRPr="00D101CB">
        <w:rPr>
          <w:vertAlign w:val="superscript"/>
        </w:rPr>
        <w:t>er</w:t>
      </w:r>
      <w:r w:rsidRPr="00363588">
        <w:t xml:space="preserve"> avril 2014, l’État partie a présenté ses observations sur la recevabilité et le fond de la </w:t>
      </w:r>
      <w:r w:rsidR="00C768C4" w:rsidRPr="00363588">
        <w:t xml:space="preserve">présente </w:t>
      </w:r>
      <w:r w:rsidRPr="00363588">
        <w:t xml:space="preserve">communication. En ce qui concerne la demande de dédommagement de </w:t>
      </w:r>
      <w:r w:rsidRPr="00363588">
        <w:lastRenderedPageBreak/>
        <w:t xml:space="preserve">50 millions de francs CFA par personne et par année de retard, présentée par les auteurs, l’État partie insiste sur le fait que la détermination du montant définitif de l’indemnité versée aux auteurs devrait être laissée à son appréciation, </w:t>
      </w:r>
      <w:r w:rsidR="00C768C4" w:rsidRPr="00363588">
        <w:t xml:space="preserve">et </w:t>
      </w:r>
      <w:r w:rsidRPr="00363588">
        <w:t>que le Comité devrait s’abstenir de se prononcer sur les demandes financières présentées par les auteurs. L’</w:t>
      </w:r>
      <w:r w:rsidR="00C768C4" w:rsidRPr="00363588">
        <w:t>É</w:t>
      </w:r>
      <w:r w:rsidRPr="00363588">
        <w:t>tat partie soutient en outre que le processus de réintégration a été conduit conformément au décret n</w:t>
      </w:r>
      <w:r w:rsidRPr="00D101CB">
        <w:rPr>
          <w:vertAlign w:val="superscript"/>
        </w:rPr>
        <w:t>o</w:t>
      </w:r>
      <w:r w:rsidRPr="00363588">
        <w:t xml:space="preserve"> 74/611 et </w:t>
      </w:r>
      <w:r w:rsidR="004A5D54" w:rsidRPr="00363588">
        <w:t xml:space="preserve">que, </w:t>
      </w:r>
      <w:r w:rsidRPr="00363588">
        <w:t>au 29 mai 2013, des versements d’un montant de 12,5 millions de francs CFA (</w:t>
      </w:r>
      <w:r w:rsidR="005A5701" w:rsidRPr="00363588">
        <w:t>environ 20</w:t>
      </w:r>
      <w:r w:rsidR="00C768C4" w:rsidRPr="00363588">
        <w:t> </w:t>
      </w:r>
      <w:r w:rsidR="005A5701" w:rsidRPr="00363588">
        <w:t>000</w:t>
      </w:r>
      <w:r w:rsidR="00C768C4" w:rsidRPr="00363588">
        <w:t> dollars</w:t>
      </w:r>
      <w:r w:rsidRPr="00363588">
        <w:t xml:space="preserve">) par personne en moyenne </w:t>
      </w:r>
      <w:r w:rsidR="00C768C4" w:rsidRPr="00363588">
        <w:t>avaient</w:t>
      </w:r>
      <w:r w:rsidRPr="00363588">
        <w:t xml:space="preserve"> été effectués. </w:t>
      </w:r>
      <w:r w:rsidR="00C768C4" w:rsidRPr="00363588">
        <w:t>Il</w:t>
      </w:r>
      <w:r w:rsidRPr="00363588">
        <w:t xml:space="preserve"> </w:t>
      </w:r>
      <w:r w:rsidR="00C768C4" w:rsidRPr="00363588">
        <w:t>ajoute</w:t>
      </w:r>
      <w:r w:rsidRPr="00363588">
        <w:t xml:space="preserve"> que le Comité devra</w:t>
      </w:r>
      <w:r w:rsidR="00C768C4" w:rsidRPr="00363588">
        <w:t>it</w:t>
      </w:r>
      <w:r w:rsidRPr="00363588">
        <w:t xml:space="preserve"> </w:t>
      </w:r>
      <w:r w:rsidR="00C768C4" w:rsidRPr="00363588">
        <w:t>se conformer à</w:t>
      </w:r>
      <w:r w:rsidRPr="00363588">
        <w:t xml:space="preserve"> sa jurisprudence en la matière et ne </w:t>
      </w:r>
      <w:r w:rsidR="00C768C4" w:rsidRPr="00363588">
        <w:t>pas</w:t>
      </w:r>
      <w:r w:rsidRPr="00363588">
        <w:t xml:space="preserve"> donner suite aux prétentions financières des auteurs. </w:t>
      </w:r>
    </w:p>
    <w:p w14:paraId="0196ECB4" w14:textId="6B09A685" w:rsidR="00FB0220" w:rsidRPr="00363588" w:rsidRDefault="00FB0220" w:rsidP="006C537E">
      <w:pPr>
        <w:pStyle w:val="H23G"/>
      </w:pPr>
      <w:r w:rsidRPr="00363588">
        <w:tab/>
      </w:r>
      <w:r w:rsidRPr="00363588">
        <w:tab/>
        <w:t xml:space="preserve">Commentaires des auteurs sur les observations de l’État partie sur le fond </w:t>
      </w:r>
    </w:p>
    <w:p w14:paraId="1AF4E8AC" w14:textId="7662E24C" w:rsidR="00FB0220" w:rsidRPr="00363588" w:rsidRDefault="00FB0220" w:rsidP="00AE4D39">
      <w:pPr>
        <w:pStyle w:val="SingleTxtG"/>
      </w:pPr>
      <w:r w:rsidRPr="00363588">
        <w:t>8.</w:t>
      </w:r>
      <w:r w:rsidRPr="00363588">
        <w:tab/>
      </w:r>
      <w:r w:rsidR="006C537E" w:rsidRPr="00363588">
        <w:t xml:space="preserve">Le 10 juin 2014, les auteurs ont présenté leurs commentaires sur les observations de l’État partie. Ils soutiennent que ce dernier n’a pas donné suffisamment de détails sur l’affaire </w:t>
      </w:r>
      <w:proofErr w:type="spellStart"/>
      <w:r w:rsidR="006C537E" w:rsidRPr="00363588">
        <w:rPr>
          <w:rFonts w:eastAsia="Calibri"/>
          <w:i/>
          <w:iCs/>
        </w:rPr>
        <w:t>Ngapna</w:t>
      </w:r>
      <w:proofErr w:type="spellEnd"/>
      <w:r w:rsidR="006C537E" w:rsidRPr="00363588">
        <w:rPr>
          <w:rFonts w:eastAsia="Calibri"/>
          <w:i/>
          <w:iCs/>
        </w:rPr>
        <w:t xml:space="preserve"> et consorts c. Cameroun</w:t>
      </w:r>
      <w:r w:rsidR="006C537E" w:rsidRPr="00363588">
        <w:t xml:space="preserve"> et que si celle-ci n’est pas traitée, le Comité pourrait être amené à se tromper sur les délibérations dans les deux cas. Les auteurs demandent au Comité de ne pas faire droit à la demande de l’État partie quant à la connaissance du fond de la présente communication. Ils prient le Comité de demander à l’État partie de reconstituer la carrière des auteurs, tout en rappelant que les premières démarches de compensation entreprises par l’État partie ne constituent pas des recours et des réparations adéquats. Les auteurs soutiennent également que le jugement définitif de la Cour suprême est intervenu avant la décision de la présidence de la République. Ils ajoutent que le décret n</w:t>
      </w:r>
      <w:r w:rsidR="006C537E" w:rsidRPr="00D101CB">
        <w:rPr>
          <w:vertAlign w:val="superscript"/>
        </w:rPr>
        <w:t>o</w:t>
      </w:r>
      <w:r w:rsidR="006C537E" w:rsidRPr="00363588">
        <w:t> 74/611 leur accorde le droit à la régularisation de leur carrière, que sa mise en œuvre ne nécessite aucune négociation préalable et que seuls les dommages subis par les auteurs peuvent constituer des bases de discussion avec l’État partie. Les auteurs signalent que ce dernier n’a pas utilisé la discrétion qui lui est laissée de leur accorder les réparations nécessaires. Ils soutiennent que, contrairement à ce qu’avance l’État partie, la jurisprudence du Comité inclut la compensation parmi les recours effectifs. Les auteurs demandent par ailleurs la mise en œuvre par l’État partie d’un mécanisme de suivi des mesures de réparation qui seront décidées.</w:t>
      </w:r>
      <w:r w:rsidR="002454DE" w:rsidRPr="00363588">
        <w:t xml:space="preserve"> </w:t>
      </w:r>
    </w:p>
    <w:p w14:paraId="408EBD6D" w14:textId="297832BA" w:rsidR="00FB0220" w:rsidRPr="00363588" w:rsidRDefault="00FB0220" w:rsidP="00F92911">
      <w:pPr>
        <w:pStyle w:val="H23G"/>
      </w:pPr>
      <w:r w:rsidRPr="00363588">
        <w:tab/>
      </w:r>
      <w:r w:rsidRPr="00363588">
        <w:tab/>
        <w:t xml:space="preserve">Observations </w:t>
      </w:r>
      <w:r w:rsidR="005B1858" w:rsidRPr="00363588">
        <w:t xml:space="preserve">supplémentaires </w:t>
      </w:r>
      <w:r w:rsidRPr="00363588">
        <w:t>de</w:t>
      </w:r>
      <w:r w:rsidR="00B51AD1" w:rsidRPr="00363588">
        <w:t>s parties</w:t>
      </w:r>
      <w:r w:rsidRPr="00363588">
        <w:t xml:space="preserve"> </w:t>
      </w:r>
    </w:p>
    <w:p w14:paraId="3F05E3DD" w14:textId="1017EE8F" w:rsidR="00FB0220" w:rsidRPr="00363588" w:rsidRDefault="00FB0220" w:rsidP="00F92911">
      <w:pPr>
        <w:pStyle w:val="SingleTxtG"/>
      </w:pPr>
      <w:r w:rsidRPr="00363588">
        <w:t>9</w:t>
      </w:r>
      <w:r w:rsidR="00B51AD1" w:rsidRPr="00363588">
        <w:t>.1</w:t>
      </w:r>
      <w:r w:rsidRPr="00363588">
        <w:tab/>
        <w:t xml:space="preserve">Dans ses observations </w:t>
      </w:r>
      <w:r w:rsidR="005B1858" w:rsidRPr="00363588">
        <w:t xml:space="preserve">supplémentaires </w:t>
      </w:r>
      <w:r w:rsidRPr="00363588">
        <w:t>du 17 juillet 2014, l’</w:t>
      </w:r>
      <w:r w:rsidR="00D133E1" w:rsidRPr="00363588">
        <w:t>É</w:t>
      </w:r>
      <w:r w:rsidRPr="00363588">
        <w:t xml:space="preserve">tat partie </w:t>
      </w:r>
      <w:r w:rsidR="002A65DC" w:rsidRPr="00363588">
        <w:t>rappelle</w:t>
      </w:r>
      <w:r w:rsidRPr="00363588">
        <w:t xml:space="preserve"> les différentes mesures qui ont été adoptées </w:t>
      </w:r>
      <w:r w:rsidR="00D133E1" w:rsidRPr="00363588">
        <w:t>relativement à</w:t>
      </w:r>
      <w:r w:rsidRPr="00363588">
        <w:t xml:space="preserve"> la communication </w:t>
      </w:r>
      <w:proofErr w:type="spellStart"/>
      <w:r w:rsidR="00D133E1" w:rsidRPr="00363588">
        <w:rPr>
          <w:rFonts w:eastAsia="Calibri"/>
          <w:i/>
          <w:iCs/>
        </w:rPr>
        <w:t>Ngapna</w:t>
      </w:r>
      <w:proofErr w:type="spellEnd"/>
      <w:r w:rsidR="00D133E1" w:rsidRPr="00363588">
        <w:rPr>
          <w:rFonts w:eastAsia="Calibri"/>
          <w:i/>
          <w:iCs/>
        </w:rPr>
        <w:t xml:space="preserve"> et consorts c. Cameroun</w:t>
      </w:r>
      <w:r w:rsidRPr="00363588">
        <w:t xml:space="preserve"> en vue d’un règlement amiable</w:t>
      </w:r>
      <w:r w:rsidRPr="00D101CB">
        <w:rPr>
          <w:rStyle w:val="Appelnotedebasdep"/>
        </w:rPr>
        <w:footnoteReference w:id="17"/>
      </w:r>
      <w:r w:rsidRPr="00363588">
        <w:t xml:space="preserve">. </w:t>
      </w:r>
      <w:r w:rsidR="00D133E1" w:rsidRPr="00363588">
        <w:t>Il</w:t>
      </w:r>
      <w:r w:rsidRPr="00363588">
        <w:t xml:space="preserve"> souligne que les auteurs de cette </w:t>
      </w:r>
      <w:r w:rsidR="00D133E1" w:rsidRPr="00363588">
        <w:t>dernière</w:t>
      </w:r>
      <w:r w:rsidRPr="00363588">
        <w:t xml:space="preserve"> ont bénéficié de leur intégration, de l’avancement de grade et de classe nécessaire ainsi que </w:t>
      </w:r>
      <w:r w:rsidR="00D133E1" w:rsidRPr="00363588">
        <w:t>d’une</w:t>
      </w:r>
      <w:r w:rsidRPr="00363588">
        <w:t xml:space="preserve"> indemnité financière de 12,5 millions de francs CFA (</w:t>
      </w:r>
      <w:r w:rsidR="005A5701" w:rsidRPr="00363588">
        <w:t>environ 20</w:t>
      </w:r>
      <w:r w:rsidR="00D133E1" w:rsidRPr="00363588">
        <w:t> </w:t>
      </w:r>
      <w:r w:rsidR="005A5701" w:rsidRPr="00363588">
        <w:t>000</w:t>
      </w:r>
      <w:r w:rsidR="00D133E1" w:rsidRPr="00363588">
        <w:t> dollars</w:t>
      </w:r>
      <w:r w:rsidRPr="00363588">
        <w:t>) par personne bien qu’aucun accord officiel n’ait été conclu</w:t>
      </w:r>
      <w:r w:rsidR="00D133E1" w:rsidRPr="00363588">
        <w:t>, et</w:t>
      </w:r>
      <w:r w:rsidRPr="00363588">
        <w:t xml:space="preserve"> que</w:t>
      </w:r>
      <w:r w:rsidR="00D133E1" w:rsidRPr="00363588">
        <w:t>,</w:t>
      </w:r>
      <w:r w:rsidRPr="00363588">
        <w:t xml:space="preserve"> </w:t>
      </w:r>
      <w:r w:rsidR="00D133E1" w:rsidRPr="00363588">
        <w:t>dès lors</w:t>
      </w:r>
      <w:r w:rsidRPr="00363588">
        <w:t>, les revendications des auteurs étaient en cours de traitement. L’État partie signale aussi la création d’un groupe de travail réunissant les autorités concernées et des représentants des auteurs</w:t>
      </w:r>
      <w:r w:rsidR="00D133E1" w:rsidRPr="00363588">
        <w:t>,</w:t>
      </w:r>
      <w:r w:rsidRPr="00363588">
        <w:t xml:space="preserve"> en vue d’accélérer le règlement de l’affaire</w:t>
      </w:r>
      <w:r w:rsidR="00D05CC8" w:rsidRPr="00363588">
        <w:t>,</w:t>
      </w:r>
      <w:r w:rsidRPr="00363588">
        <w:t xml:space="preserve"> et se réfère à la décision du Comité de suspendre l’examen de la communication </w:t>
      </w:r>
      <w:proofErr w:type="spellStart"/>
      <w:r w:rsidR="00D05CC8" w:rsidRPr="00363588">
        <w:rPr>
          <w:rFonts w:eastAsia="Calibri"/>
          <w:i/>
          <w:iCs/>
        </w:rPr>
        <w:t>Ngapna</w:t>
      </w:r>
      <w:proofErr w:type="spellEnd"/>
      <w:r w:rsidR="00D05CC8" w:rsidRPr="00363588">
        <w:rPr>
          <w:rFonts w:eastAsia="Calibri"/>
          <w:i/>
          <w:iCs/>
        </w:rPr>
        <w:t xml:space="preserve"> et consorts c. Cameroun</w:t>
      </w:r>
      <w:r w:rsidRPr="00363588">
        <w:t xml:space="preserve"> en vue de parvenir à un règlement amiable entre les parties. L’État partie réaffirme aussi que le Comité ne devrait pas participer à la détermination des sommes à verser aux auteurs dans le cadre de l’indemnisation finale</w:t>
      </w:r>
      <w:r w:rsidRPr="00363588">
        <w:rPr>
          <w:lang w:val="fr-FR"/>
        </w:rPr>
        <w:t>.</w:t>
      </w:r>
      <w:r w:rsidRPr="00363588">
        <w:t xml:space="preserve"> </w:t>
      </w:r>
    </w:p>
    <w:p w14:paraId="532785CB" w14:textId="6A266367" w:rsidR="006C537E" w:rsidRPr="00363588" w:rsidRDefault="006C537E" w:rsidP="00F92911">
      <w:pPr>
        <w:pStyle w:val="SingleTxtG"/>
      </w:pPr>
      <w:r w:rsidRPr="00363588">
        <w:t>9.2</w:t>
      </w:r>
      <w:r w:rsidRPr="00363588">
        <w:tab/>
        <w:t xml:space="preserve">Le 19 novembre 2014, les auteurs ont contesté la bonne foi de l’État partie en ce qui concerne le processus de règlement amiable. Ils demandent au Comité de considérer les dommages qu’ils ont subis ainsi que la reconstitution de leur carrière. </w:t>
      </w:r>
    </w:p>
    <w:p w14:paraId="655935F4" w14:textId="00DA74CA" w:rsidR="00FB0220" w:rsidRPr="00363588" w:rsidRDefault="00B51AD1" w:rsidP="00F92911">
      <w:pPr>
        <w:pStyle w:val="SingleTxtG"/>
      </w:pPr>
      <w:r w:rsidRPr="00363588">
        <w:t>9.3</w:t>
      </w:r>
      <w:r w:rsidR="00FB0220" w:rsidRPr="00363588">
        <w:tab/>
        <w:t>Dans ses observations supplémentaires du 29 mai 2015, l’</w:t>
      </w:r>
      <w:r w:rsidR="00F40CBB" w:rsidRPr="00363588">
        <w:t>É</w:t>
      </w:r>
      <w:r w:rsidR="00FB0220" w:rsidRPr="00363588">
        <w:t xml:space="preserve">tat partie </w:t>
      </w:r>
      <w:r w:rsidR="00FB0220" w:rsidRPr="00363588">
        <w:rPr>
          <w:rFonts w:eastAsia="Calibri"/>
        </w:rPr>
        <w:t>défend la distinction établie entre les diplômés des écoles françaises d’administration financière et ceux de la section d’administration financière de l’École nationale d’administration</w:t>
      </w:r>
      <w:r w:rsidR="00D05CC8" w:rsidRPr="00363588">
        <w:rPr>
          <w:rFonts w:eastAsia="Calibri"/>
        </w:rPr>
        <w:t xml:space="preserve"> et de magistrature</w:t>
      </w:r>
      <w:r w:rsidR="00FB0220" w:rsidRPr="00363588">
        <w:rPr>
          <w:rFonts w:eastAsia="Calibri"/>
        </w:rPr>
        <w:t xml:space="preserve"> du Cameroun. </w:t>
      </w:r>
      <w:r w:rsidR="00D05CC8" w:rsidRPr="00363588">
        <w:rPr>
          <w:rFonts w:eastAsia="Calibri"/>
        </w:rPr>
        <w:t>À</w:t>
      </w:r>
      <w:r w:rsidR="00FB0220" w:rsidRPr="00363588">
        <w:rPr>
          <w:rFonts w:eastAsia="Calibri"/>
        </w:rPr>
        <w:t xml:space="preserve"> cet égard, </w:t>
      </w:r>
      <w:r w:rsidR="000D2F8F" w:rsidRPr="00363588">
        <w:rPr>
          <w:rFonts w:eastAsia="Calibri"/>
        </w:rPr>
        <w:t>il</w:t>
      </w:r>
      <w:r w:rsidR="00FB0220" w:rsidRPr="00363588">
        <w:rPr>
          <w:rFonts w:eastAsia="Calibri"/>
        </w:rPr>
        <w:t xml:space="preserve"> </w:t>
      </w:r>
      <w:r w:rsidR="00D05CC8" w:rsidRPr="00363588">
        <w:rPr>
          <w:rFonts w:eastAsia="Calibri"/>
        </w:rPr>
        <w:t>affirme</w:t>
      </w:r>
      <w:r w:rsidR="00FB0220" w:rsidRPr="00363588">
        <w:rPr>
          <w:rFonts w:eastAsia="Calibri"/>
        </w:rPr>
        <w:t xml:space="preserve"> que la priorité accordée aux diplômés de l’</w:t>
      </w:r>
      <w:r w:rsidR="00D05CC8" w:rsidRPr="00363588">
        <w:rPr>
          <w:rFonts w:eastAsia="Calibri"/>
        </w:rPr>
        <w:t>institution camerounaise</w:t>
      </w:r>
      <w:r w:rsidR="00FB0220" w:rsidRPr="00363588">
        <w:rPr>
          <w:rFonts w:eastAsia="Calibri"/>
        </w:rPr>
        <w:t xml:space="preserve"> visait à privilégier la formation interne des ressources humaines, ainsi qu’à réduire les coûts, étant donné que la formation des précédents diplômés des écoles françaises </w:t>
      </w:r>
      <w:r w:rsidR="00D05CC8" w:rsidRPr="00363588">
        <w:rPr>
          <w:rFonts w:eastAsia="Calibri"/>
        </w:rPr>
        <w:t>d’</w:t>
      </w:r>
      <w:r w:rsidR="00FB0220" w:rsidRPr="00363588">
        <w:rPr>
          <w:rFonts w:eastAsia="Calibri"/>
        </w:rPr>
        <w:t>administration financière était à la charge de l’État partie. L’</w:t>
      </w:r>
      <w:r w:rsidR="00D05CC8" w:rsidRPr="00363588">
        <w:rPr>
          <w:rFonts w:eastAsia="Calibri"/>
        </w:rPr>
        <w:t>É</w:t>
      </w:r>
      <w:r w:rsidR="00FB0220" w:rsidRPr="00363588">
        <w:rPr>
          <w:rFonts w:eastAsia="Calibri"/>
        </w:rPr>
        <w:t>tat partie excipe que</w:t>
      </w:r>
      <w:r w:rsidR="000D2F8F" w:rsidRPr="00363588">
        <w:rPr>
          <w:rFonts w:eastAsia="Calibri"/>
        </w:rPr>
        <w:t>,</w:t>
      </w:r>
      <w:r w:rsidR="00FB0220" w:rsidRPr="00363588">
        <w:rPr>
          <w:rFonts w:eastAsia="Calibri"/>
        </w:rPr>
        <w:t xml:space="preserve"> dès lors que la distinction avait un caractère raisonnable et objectif </w:t>
      </w:r>
      <w:r w:rsidR="00D05CC8" w:rsidRPr="00363588">
        <w:rPr>
          <w:rFonts w:eastAsia="Calibri"/>
        </w:rPr>
        <w:t>de même qu’</w:t>
      </w:r>
      <w:r w:rsidR="00FB0220" w:rsidRPr="00363588">
        <w:rPr>
          <w:rFonts w:eastAsia="Calibri"/>
        </w:rPr>
        <w:t xml:space="preserve">un but </w:t>
      </w:r>
      <w:r w:rsidR="00FB0220" w:rsidRPr="00363588">
        <w:rPr>
          <w:rFonts w:eastAsia="Calibri"/>
        </w:rPr>
        <w:lastRenderedPageBreak/>
        <w:t xml:space="preserve">légitime, elle ne constituait pas une discrimination. </w:t>
      </w:r>
      <w:r w:rsidR="00D05CC8" w:rsidRPr="00363588">
        <w:rPr>
          <w:rFonts w:eastAsia="Calibri"/>
        </w:rPr>
        <w:t>Il</w:t>
      </w:r>
      <w:r w:rsidR="00FB0220" w:rsidRPr="00363588">
        <w:rPr>
          <w:rFonts w:eastAsia="Calibri"/>
        </w:rPr>
        <w:t xml:space="preserve"> </w:t>
      </w:r>
      <w:r w:rsidR="00D05CC8" w:rsidRPr="00363588">
        <w:rPr>
          <w:rFonts w:eastAsia="Calibri"/>
        </w:rPr>
        <w:t>ajoute</w:t>
      </w:r>
      <w:r w:rsidR="00FB0220" w:rsidRPr="00363588">
        <w:rPr>
          <w:rFonts w:eastAsia="Calibri"/>
        </w:rPr>
        <w:t xml:space="preserve"> que cette procédure était conforme au décret n</w:t>
      </w:r>
      <w:r w:rsidR="00FB0220" w:rsidRPr="00D101CB">
        <w:rPr>
          <w:rFonts w:eastAsia="Calibri"/>
          <w:vertAlign w:val="superscript"/>
        </w:rPr>
        <w:t>o</w:t>
      </w:r>
      <w:r w:rsidR="00FB0220" w:rsidRPr="00363588">
        <w:rPr>
          <w:rFonts w:eastAsia="Calibri"/>
        </w:rPr>
        <w:t xml:space="preserve"> 75/776, lequel prévoit qu’il est procédé au recrutement des inspecteurs de l’administration financière, compte tenu du caractère et des besoins du service, parmi les licenciés et titulaires d’un diplôme du cycle A de la section d’administration financière de l’</w:t>
      </w:r>
      <w:r w:rsidR="00D05CC8" w:rsidRPr="00363588">
        <w:rPr>
          <w:rFonts w:eastAsia="Calibri"/>
        </w:rPr>
        <w:t xml:space="preserve">École nationale d’administration </w:t>
      </w:r>
      <w:r w:rsidR="00D05CC8" w:rsidRPr="00363588">
        <w:t>et de magistrature,</w:t>
      </w:r>
      <w:r w:rsidR="00FB0220" w:rsidRPr="00363588">
        <w:rPr>
          <w:rFonts w:eastAsia="Calibri"/>
        </w:rPr>
        <w:t xml:space="preserve"> et que l’objectif du décret </w:t>
      </w:r>
      <w:r w:rsidR="00D05CC8" w:rsidRPr="00363588">
        <w:rPr>
          <w:rFonts w:eastAsia="Calibri"/>
        </w:rPr>
        <w:t>n</w:t>
      </w:r>
      <w:r w:rsidR="00D05CC8" w:rsidRPr="00363588">
        <w:rPr>
          <w:rFonts w:eastAsia="Calibri"/>
          <w:vertAlign w:val="superscript"/>
        </w:rPr>
        <w:t>o</w:t>
      </w:r>
      <w:r w:rsidR="00D05CC8" w:rsidRPr="00363588">
        <w:rPr>
          <w:rFonts w:eastAsia="Calibri"/>
        </w:rPr>
        <w:t> 74/611 avait été</w:t>
      </w:r>
      <w:r w:rsidR="00FB0220" w:rsidRPr="00363588">
        <w:rPr>
          <w:rFonts w:eastAsia="Calibri"/>
        </w:rPr>
        <w:t xml:space="preserve"> de répondre aux besoins particuliers de l’administration qui ne pouvaient pas être satisfaits par des candidats issus de l’</w:t>
      </w:r>
      <w:r w:rsidR="00D05CC8" w:rsidRPr="00363588">
        <w:rPr>
          <w:rFonts w:eastAsia="Calibri"/>
        </w:rPr>
        <w:t>institution camerounaise</w:t>
      </w:r>
      <w:r w:rsidR="00FB0220" w:rsidRPr="00363588">
        <w:rPr>
          <w:rFonts w:eastAsia="Calibri"/>
        </w:rPr>
        <w:t>, et non d’accorder à tous ceux précédemment issus des écoles françaises d’administration financière</w:t>
      </w:r>
      <w:r w:rsidR="00D05CC8" w:rsidRPr="00363588">
        <w:rPr>
          <w:rFonts w:eastAsia="Calibri"/>
        </w:rPr>
        <w:t xml:space="preserve"> le droit d’être recrutés en tant qu’inspecteurs</w:t>
      </w:r>
      <w:r w:rsidR="00FB0220" w:rsidRPr="00363588">
        <w:rPr>
          <w:rFonts w:eastAsia="Calibri"/>
        </w:rPr>
        <w:t>.</w:t>
      </w:r>
    </w:p>
    <w:p w14:paraId="2A77C3FC" w14:textId="74B2AECB" w:rsidR="00FB0220" w:rsidRPr="00363588" w:rsidRDefault="00B51AD1" w:rsidP="00F92911">
      <w:pPr>
        <w:pStyle w:val="SingleTxtG"/>
      </w:pPr>
      <w:r w:rsidRPr="00363588">
        <w:rPr>
          <w:rFonts w:eastAsia="Calibri"/>
        </w:rPr>
        <w:t>9.4</w:t>
      </w:r>
      <w:r w:rsidR="00FB0220" w:rsidRPr="00363588">
        <w:rPr>
          <w:rFonts w:eastAsia="Calibri"/>
        </w:rPr>
        <w:tab/>
        <w:t>L’</w:t>
      </w:r>
      <w:r w:rsidR="00FA1AE3" w:rsidRPr="00363588">
        <w:rPr>
          <w:rFonts w:eastAsia="Calibri"/>
        </w:rPr>
        <w:t>É</w:t>
      </w:r>
      <w:r w:rsidR="00FB0220" w:rsidRPr="00363588">
        <w:rPr>
          <w:rFonts w:eastAsia="Calibri"/>
        </w:rPr>
        <w:t xml:space="preserve">tat partie </w:t>
      </w:r>
      <w:r w:rsidR="00AE4D39" w:rsidRPr="00363588">
        <w:rPr>
          <w:rFonts w:eastAsia="Calibri"/>
        </w:rPr>
        <w:t>indique</w:t>
      </w:r>
      <w:r w:rsidR="00FB0220" w:rsidRPr="00363588">
        <w:rPr>
          <w:rFonts w:eastAsia="Calibri"/>
        </w:rPr>
        <w:t xml:space="preserve"> que les intéressés étaient cependant recrutés dans la fonction publique en tant que contrôleurs, sans restriction injustifiée ni discrimination, conformément à l’article 25 (</w:t>
      </w:r>
      <w:r w:rsidR="00AE4D39" w:rsidRPr="00363588">
        <w:rPr>
          <w:rFonts w:eastAsia="Calibri"/>
        </w:rPr>
        <w:t>al</w:t>
      </w:r>
      <w:r w:rsidR="00261C12" w:rsidRPr="00363588">
        <w:rPr>
          <w:rFonts w:eastAsia="Calibri"/>
        </w:rPr>
        <w:t>.</w:t>
      </w:r>
      <w:r w:rsidR="00AE4D39" w:rsidRPr="00363588">
        <w:rPr>
          <w:rFonts w:eastAsia="Calibri"/>
        </w:rPr>
        <w:t> </w:t>
      </w:r>
      <w:r w:rsidR="00FB0220" w:rsidRPr="00363588">
        <w:rPr>
          <w:rFonts w:eastAsia="Calibri"/>
        </w:rPr>
        <w:t>c)</w:t>
      </w:r>
      <w:r w:rsidR="00261C12" w:rsidRPr="00363588">
        <w:rPr>
          <w:rFonts w:eastAsia="Calibri"/>
        </w:rPr>
        <w:t>)</w:t>
      </w:r>
      <w:r w:rsidR="00FB0220" w:rsidRPr="00363588">
        <w:rPr>
          <w:rFonts w:eastAsia="Calibri"/>
        </w:rPr>
        <w:t xml:space="preserve"> du Pacte. </w:t>
      </w:r>
      <w:r w:rsidR="00AE4D39" w:rsidRPr="00363588">
        <w:rPr>
          <w:rFonts w:eastAsia="Calibri"/>
        </w:rPr>
        <w:t>Il</w:t>
      </w:r>
      <w:r w:rsidR="00FB0220" w:rsidRPr="00363588">
        <w:rPr>
          <w:rFonts w:eastAsia="Calibri"/>
        </w:rPr>
        <w:t xml:space="preserve"> </w:t>
      </w:r>
      <w:r w:rsidR="00FA1AE3" w:rsidRPr="00363588">
        <w:rPr>
          <w:rFonts w:eastAsia="Calibri"/>
        </w:rPr>
        <w:t>ajoute</w:t>
      </w:r>
      <w:r w:rsidR="00FB0220" w:rsidRPr="00363588">
        <w:rPr>
          <w:rFonts w:eastAsia="Calibri"/>
        </w:rPr>
        <w:t xml:space="preserve"> que c’est pour répondre aux allégations de discrimination soulevées par les auteurs que le Chef de l’État a décidé de réintégrer les fonctionnaires concernés dans la fonction publique et de leur verser une indemnité d’environ </w:t>
      </w:r>
      <w:r w:rsidR="00E95BCF" w:rsidRPr="00363588">
        <w:rPr>
          <w:rFonts w:eastAsia="Calibri"/>
        </w:rPr>
        <w:t>20</w:t>
      </w:r>
      <w:r w:rsidR="00AE4D39" w:rsidRPr="00363588">
        <w:rPr>
          <w:rFonts w:eastAsia="Calibri"/>
        </w:rPr>
        <w:t> </w:t>
      </w:r>
      <w:r w:rsidR="00E95BCF" w:rsidRPr="00363588">
        <w:rPr>
          <w:rFonts w:eastAsia="Calibri"/>
        </w:rPr>
        <w:t>000</w:t>
      </w:r>
      <w:r w:rsidR="00AE4D39" w:rsidRPr="00363588">
        <w:rPr>
          <w:rFonts w:eastAsia="Calibri"/>
        </w:rPr>
        <w:t> dollars</w:t>
      </w:r>
      <w:r w:rsidR="00FB0220" w:rsidRPr="00363588">
        <w:rPr>
          <w:rFonts w:eastAsia="Calibri"/>
        </w:rPr>
        <w:t xml:space="preserve"> par personne.</w:t>
      </w:r>
    </w:p>
    <w:p w14:paraId="4FA65511" w14:textId="4996ADA5" w:rsidR="00FB0220" w:rsidRPr="00363588" w:rsidRDefault="00B51AD1" w:rsidP="00F92911">
      <w:pPr>
        <w:pStyle w:val="SingleTxtG"/>
      </w:pPr>
      <w:r w:rsidRPr="00363588">
        <w:rPr>
          <w:rFonts w:eastAsia="Calibri"/>
        </w:rPr>
        <w:t>9.5</w:t>
      </w:r>
      <w:r w:rsidR="00FB0220" w:rsidRPr="00363588">
        <w:rPr>
          <w:rFonts w:eastAsia="Calibri"/>
        </w:rPr>
        <w:tab/>
        <w:t xml:space="preserve">L’État partie prie le Comité, malgré l’absence d’accord formel entre les parties, de mettre fin à l’examen de la communication afin de tenir compte du consensus intervenu entre les parties sur la réparation. Si le Comité </w:t>
      </w:r>
      <w:r w:rsidR="00AE4D39" w:rsidRPr="00363588">
        <w:rPr>
          <w:rFonts w:eastAsia="Calibri"/>
        </w:rPr>
        <w:t>décide</w:t>
      </w:r>
      <w:r w:rsidR="00FB0220" w:rsidRPr="00363588">
        <w:rPr>
          <w:rFonts w:eastAsia="Calibri"/>
        </w:rPr>
        <w:t xml:space="preserve"> de poursuivre l’examen, l’État partie lui demande de constater l’absence de violation des articles 2, 25 et 26 du Pacte, et de conclure que les auteurs ont déjà reçu </w:t>
      </w:r>
      <w:r w:rsidR="00FA1AE3" w:rsidRPr="00363588">
        <w:rPr>
          <w:rFonts w:eastAsia="Calibri"/>
        </w:rPr>
        <w:t xml:space="preserve">une </w:t>
      </w:r>
      <w:r w:rsidR="00FB0220" w:rsidRPr="00363588">
        <w:rPr>
          <w:rFonts w:eastAsia="Calibri"/>
        </w:rPr>
        <w:t>réparation pour les violations alléguées. L’État partie ajoute que l’indemnité demandée de 100 millions de francs CFA par personne et par année (soit un total de 2,5 milliards de francs CFA) n’est ni raisonnable ni objective.</w:t>
      </w:r>
    </w:p>
    <w:p w14:paraId="3B1A41B2" w14:textId="22093915" w:rsidR="00FB0220" w:rsidRPr="00363588" w:rsidRDefault="00B51AD1" w:rsidP="00F92911">
      <w:pPr>
        <w:pStyle w:val="SingleTxtG"/>
      </w:pPr>
      <w:r w:rsidRPr="00363588">
        <w:t>9.6</w:t>
      </w:r>
      <w:r w:rsidR="00FB0220" w:rsidRPr="00363588">
        <w:tab/>
      </w:r>
      <w:r w:rsidR="004B7147" w:rsidRPr="00363588">
        <w:t>Dans ses observations supplémentaires du</w:t>
      </w:r>
      <w:r w:rsidR="00FB0220" w:rsidRPr="00363588">
        <w:rPr>
          <w:rFonts w:eastAsia="Calibri"/>
        </w:rPr>
        <w:t xml:space="preserve"> 18 août 2015, l’État partie réfute les allégations des auteurs</w:t>
      </w:r>
      <w:r w:rsidR="00AE4D39" w:rsidRPr="00363588">
        <w:rPr>
          <w:rFonts w:eastAsia="Calibri"/>
        </w:rPr>
        <w:t>,</w:t>
      </w:r>
      <w:r w:rsidR="00FB0220" w:rsidRPr="00363588">
        <w:rPr>
          <w:rFonts w:eastAsia="Calibri"/>
        </w:rPr>
        <w:t xml:space="preserve"> qui affirmaient que le cabinet du Premier Ministre avait bloqué le règlement de la question de leur reconstitution de carrière. L’État partie soutient que tous les auteurs de la présente communication sont vivants et que les dires des auteurs concernant les fonctionnaires décédés ne devraient pas être pris en considération</w:t>
      </w:r>
      <w:r w:rsidR="00AE4D39" w:rsidRPr="00363588">
        <w:rPr>
          <w:rFonts w:eastAsia="Calibri"/>
        </w:rPr>
        <w:t>,</w:t>
      </w:r>
      <w:r w:rsidR="00FB0220" w:rsidRPr="00363588">
        <w:rPr>
          <w:rFonts w:eastAsia="Calibri"/>
        </w:rPr>
        <w:t xml:space="preserve"> </w:t>
      </w:r>
      <w:r w:rsidR="00AE4D39" w:rsidRPr="00363588">
        <w:rPr>
          <w:rFonts w:eastAsia="Calibri"/>
        </w:rPr>
        <w:t>au</w:t>
      </w:r>
      <w:r w:rsidR="00FB0220" w:rsidRPr="00363588">
        <w:rPr>
          <w:rFonts w:eastAsia="Calibri"/>
        </w:rPr>
        <w:t xml:space="preserve"> cas où le Comité déciderait d’examiner la communication n</w:t>
      </w:r>
      <w:r w:rsidR="00FB0220" w:rsidRPr="00D101CB">
        <w:rPr>
          <w:rFonts w:eastAsia="Calibri"/>
          <w:vertAlign w:val="superscript"/>
        </w:rPr>
        <w:t>o</w:t>
      </w:r>
      <w:r w:rsidR="00FB0220" w:rsidRPr="00363588">
        <w:rPr>
          <w:rFonts w:eastAsia="Calibri"/>
        </w:rPr>
        <w:t> 2035/2011sur le fond.</w:t>
      </w:r>
    </w:p>
    <w:p w14:paraId="1E58E4C8" w14:textId="03319542" w:rsidR="00FB0220" w:rsidRPr="00363588" w:rsidRDefault="00BB4810" w:rsidP="00F92911">
      <w:pPr>
        <w:pStyle w:val="SingleTxtG"/>
      </w:pPr>
      <w:r w:rsidRPr="00363588">
        <w:rPr>
          <w:rFonts w:eastAsia="Calibri"/>
        </w:rPr>
        <w:tab/>
      </w:r>
      <w:r w:rsidR="00B51AD1" w:rsidRPr="00363588">
        <w:t>9.7</w:t>
      </w:r>
      <w:r w:rsidR="00E6359D" w:rsidRPr="00363588">
        <w:t>.</w:t>
      </w:r>
      <w:r w:rsidR="00FB0220" w:rsidRPr="00363588">
        <w:tab/>
        <w:t>Le 4 octobre 2015, les auteurs ont présenté d’autres commentaires</w:t>
      </w:r>
      <w:r w:rsidR="00B4756C" w:rsidRPr="00363588">
        <w:t>.</w:t>
      </w:r>
      <w:r w:rsidR="00FB0220" w:rsidRPr="00363588">
        <w:t xml:space="preserve"> Ils prient le Comité de conclure à la violation de</w:t>
      </w:r>
      <w:r w:rsidR="00B4756C" w:rsidRPr="00363588">
        <w:t>s</w:t>
      </w:r>
      <w:r w:rsidR="00FB0220" w:rsidRPr="00363588">
        <w:t xml:space="preserve"> article</w:t>
      </w:r>
      <w:r w:rsidR="00B4756C" w:rsidRPr="00363588">
        <w:t>s</w:t>
      </w:r>
      <w:r w:rsidR="00FB0220" w:rsidRPr="00363588">
        <w:t> 25</w:t>
      </w:r>
      <w:r w:rsidR="00B4756C" w:rsidRPr="00363588">
        <w:t xml:space="preserve"> </w:t>
      </w:r>
      <w:r w:rsidR="00261C12" w:rsidRPr="00363588">
        <w:t>(</w:t>
      </w:r>
      <w:r w:rsidR="00B4756C" w:rsidRPr="00363588">
        <w:t>al</w:t>
      </w:r>
      <w:r w:rsidR="00261C12" w:rsidRPr="00363588">
        <w:t>.</w:t>
      </w:r>
      <w:r w:rsidR="00FB0220" w:rsidRPr="00363588">
        <w:t> c)</w:t>
      </w:r>
      <w:r w:rsidR="00261C12" w:rsidRPr="00363588">
        <w:t>)</w:t>
      </w:r>
      <w:r w:rsidR="00FB0220" w:rsidRPr="00363588">
        <w:t xml:space="preserve"> et 26 du Pacte, et de leur accorder des recours appropriés, conformément </w:t>
      </w:r>
      <w:r w:rsidR="00B4756C" w:rsidRPr="00363588">
        <w:t>à l’article 2</w:t>
      </w:r>
      <w:r w:rsidR="00FB0220" w:rsidRPr="00363588">
        <w:t xml:space="preserve"> </w:t>
      </w:r>
      <w:r w:rsidR="00261C12" w:rsidRPr="00363588">
        <w:t>(</w:t>
      </w:r>
      <w:r w:rsidR="00FB0220" w:rsidRPr="00363588">
        <w:t>par</w:t>
      </w:r>
      <w:r w:rsidR="00261C12" w:rsidRPr="00363588">
        <w:t>.</w:t>
      </w:r>
      <w:r w:rsidR="00FB0220" w:rsidRPr="00363588">
        <w:t xml:space="preserve"> 3 a) du Pacte. Ils considèrent que, outre la reconstitution de leur carrière, l’État partie devrait les indemniser pour les graves préjudices qu’ils ont subis et leur accorder un dédommagement adéquat pour la violation de leurs droits durant toute leur carrière. Ils demandent que le dédommagement soit calculé à partir de 1985, année de leur retour après leurs études à l’étranger, et </w:t>
      </w:r>
      <w:r w:rsidR="00B4756C" w:rsidRPr="00363588">
        <w:t>qu’il</w:t>
      </w:r>
      <w:r w:rsidR="002454DE" w:rsidRPr="00363588">
        <w:t xml:space="preserve"> </w:t>
      </w:r>
      <w:r w:rsidR="00FB0220" w:rsidRPr="00363588">
        <w:t>tienne compte des niveaux de salaire</w:t>
      </w:r>
      <w:r w:rsidR="00B4756C" w:rsidRPr="00363588">
        <w:t>,</w:t>
      </w:r>
      <w:r w:rsidR="00FB0220" w:rsidRPr="00363588">
        <w:t xml:space="preserve"> des taux d’inflation, de la dévaluation du franc CFA</w:t>
      </w:r>
      <w:r w:rsidR="00B4756C" w:rsidRPr="00363588">
        <w:t>,</w:t>
      </w:r>
      <w:r w:rsidR="00FB0220" w:rsidRPr="00363588">
        <w:t xml:space="preserve"> de la perte d’avantages ainsi que du traumatisme psychologique subi</w:t>
      </w:r>
      <w:r w:rsidR="00FB0220" w:rsidRPr="00D101CB">
        <w:rPr>
          <w:rStyle w:val="Appelnotedebasdep"/>
        </w:rPr>
        <w:footnoteReference w:id="18"/>
      </w:r>
      <w:r w:rsidR="00FB0220" w:rsidRPr="00363588">
        <w:t>. Ils demandent aussi que l’État partie collabore avec cinq des auteurs, chargés de les représenter</w:t>
      </w:r>
      <w:r w:rsidR="00B4756C" w:rsidRPr="00363588">
        <w:t>,</w:t>
      </w:r>
      <w:r w:rsidR="00FB0220" w:rsidRPr="00363588">
        <w:t xml:space="preserve"> afin de parvenir à un consensus sur l’indemnisation et les autres réparations pour tous les auteurs.</w:t>
      </w:r>
    </w:p>
    <w:p w14:paraId="534D806E" w14:textId="77777777" w:rsidR="00FB0220" w:rsidRPr="00363588" w:rsidRDefault="00FB0220" w:rsidP="00715D4C">
      <w:pPr>
        <w:pStyle w:val="H23G"/>
      </w:pPr>
      <w:r w:rsidRPr="00363588">
        <w:tab/>
      </w:r>
      <w:r w:rsidRPr="00363588">
        <w:tab/>
        <w:t xml:space="preserve">Délibérations du Comité sur le fond </w:t>
      </w:r>
    </w:p>
    <w:p w14:paraId="71BEE921" w14:textId="0D2F5B09" w:rsidR="00FB0220" w:rsidRPr="00363588" w:rsidRDefault="00B51AD1" w:rsidP="00F92911">
      <w:pPr>
        <w:pStyle w:val="SingleTxtG"/>
      </w:pPr>
      <w:r w:rsidRPr="00363588">
        <w:t>10</w:t>
      </w:r>
      <w:r w:rsidR="00FB0220" w:rsidRPr="00363588">
        <w:t>.</w:t>
      </w:r>
      <w:r w:rsidR="00ED7671" w:rsidRPr="00363588">
        <w:t>1</w:t>
      </w:r>
      <w:r w:rsidR="00FB0220" w:rsidRPr="00363588">
        <w:tab/>
      </w:r>
      <w:r w:rsidR="00FA1AE3" w:rsidRPr="00363588">
        <w:t>Conformément à</w:t>
      </w:r>
      <w:r w:rsidR="00FB0220" w:rsidRPr="00363588">
        <w:rPr>
          <w:rFonts w:eastAsia="Calibri"/>
          <w:lang w:val="fr-FR"/>
        </w:rPr>
        <w:t xml:space="preserve"> sa décision sur la recevabilité de la </w:t>
      </w:r>
      <w:r w:rsidR="00B4756C" w:rsidRPr="00363588">
        <w:rPr>
          <w:rFonts w:eastAsia="Calibri"/>
          <w:lang w:val="fr-FR"/>
        </w:rPr>
        <w:t xml:space="preserve">présente </w:t>
      </w:r>
      <w:r w:rsidR="00FB0220" w:rsidRPr="00363588">
        <w:rPr>
          <w:rFonts w:eastAsia="Calibri"/>
          <w:lang w:val="fr-FR"/>
        </w:rPr>
        <w:t xml:space="preserve">communication, le Comité </w:t>
      </w:r>
      <w:r w:rsidR="00FA1AE3" w:rsidRPr="00363588">
        <w:rPr>
          <w:rFonts w:eastAsia="Calibri"/>
          <w:lang w:val="fr-FR"/>
        </w:rPr>
        <w:t xml:space="preserve">doit statuer </w:t>
      </w:r>
      <w:r w:rsidR="00FB0220" w:rsidRPr="00363588">
        <w:rPr>
          <w:rFonts w:eastAsia="Calibri"/>
          <w:lang w:val="fr-FR"/>
        </w:rPr>
        <w:t xml:space="preserve">sur le fond des </w:t>
      </w:r>
      <w:r w:rsidR="00FA1AE3" w:rsidRPr="00363588">
        <w:rPr>
          <w:rFonts w:eastAsia="Calibri"/>
          <w:lang w:val="fr-FR"/>
        </w:rPr>
        <w:t xml:space="preserve">allégations des auteurs, basées sur les articles </w:t>
      </w:r>
      <w:r w:rsidR="00FA1AE3" w:rsidRPr="00363588">
        <w:rPr>
          <w:rFonts w:eastAsia="Calibri"/>
        </w:rPr>
        <w:t>25 (</w:t>
      </w:r>
      <w:r w:rsidR="00B4756C" w:rsidRPr="00363588">
        <w:rPr>
          <w:rFonts w:eastAsia="Calibri"/>
        </w:rPr>
        <w:t>al</w:t>
      </w:r>
      <w:r w:rsidR="002B2A53" w:rsidRPr="00363588">
        <w:rPr>
          <w:rFonts w:eastAsia="Calibri"/>
        </w:rPr>
        <w:t>.</w:t>
      </w:r>
      <w:r w:rsidR="00B4756C" w:rsidRPr="00363588">
        <w:rPr>
          <w:rFonts w:eastAsia="Calibri"/>
        </w:rPr>
        <w:t> </w:t>
      </w:r>
      <w:r w:rsidR="00FA1AE3" w:rsidRPr="00363588">
        <w:rPr>
          <w:rFonts w:eastAsia="Calibri"/>
        </w:rPr>
        <w:t>c)</w:t>
      </w:r>
      <w:r w:rsidR="002B2A53" w:rsidRPr="00363588">
        <w:rPr>
          <w:rFonts w:eastAsia="Calibri"/>
        </w:rPr>
        <w:t>)</w:t>
      </w:r>
      <w:r w:rsidR="00FA1AE3" w:rsidRPr="00363588">
        <w:rPr>
          <w:rFonts w:eastAsia="Calibri"/>
        </w:rPr>
        <w:t xml:space="preserve"> </w:t>
      </w:r>
      <w:r w:rsidR="00B4756C" w:rsidRPr="00363588">
        <w:rPr>
          <w:rFonts w:eastAsia="Calibri"/>
        </w:rPr>
        <w:t xml:space="preserve">et </w:t>
      </w:r>
      <w:r w:rsidR="00FA1AE3" w:rsidRPr="00363588">
        <w:rPr>
          <w:rFonts w:eastAsia="Calibri"/>
        </w:rPr>
        <w:t>26</w:t>
      </w:r>
      <w:r w:rsidR="002B2A53" w:rsidRPr="00363588">
        <w:rPr>
          <w:rFonts w:eastAsia="Calibri"/>
        </w:rPr>
        <w:t xml:space="preserve"> du Pacte</w:t>
      </w:r>
      <w:r w:rsidR="00FA1AE3" w:rsidRPr="00363588">
        <w:rPr>
          <w:rFonts w:eastAsia="Calibri"/>
        </w:rPr>
        <w:t xml:space="preserve">, ainsi que </w:t>
      </w:r>
      <w:r w:rsidR="00B4756C" w:rsidRPr="00363588">
        <w:rPr>
          <w:rFonts w:eastAsia="Calibri"/>
        </w:rPr>
        <w:t xml:space="preserve">sur </w:t>
      </w:r>
      <w:r w:rsidR="00FA1AE3" w:rsidRPr="00363588">
        <w:rPr>
          <w:rFonts w:eastAsia="Calibri"/>
        </w:rPr>
        <w:t>l’article 25 (</w:t>
      </w:r>
      <w:r w:rsidR="00B4756C" w:rsidRPr="00363588">
        <w:rPr>
          <w:rFonts w:eastAsia="Calibri"/>
        </w:rPr>
        <w:t>al</w:t>
      </w:r>
      <w:r w:rsidR="002B2A53" w:rsidRPr="00363588">
        <w:rPr>
          <w:rFonts w:eastAsia="Calibri"/>
        </w:rPr>
        <w:t>.</w:t>
      </w:r>
      <w:r w:rsidR="00B4756C" w:rsidRPr="00363588">
        <w:rPr>
          <w:rFonts w:eastAsia="Calibri"/>
        </w:rPr>
        <w:t> </w:t>
      </w:r>
      <w:r w:rsidR="00FA1AE3" w:rsidRPr="00363588">
        <w:rPr>
          <w:rFonts w:eastAsia="Calibri"/>
        </w:rPr>
        <w:t>c)</w:t>
      </w:r>
      <w:r w:rsidR="002B2A53" w:rsidRPr="00363588">
        <w:rPr>
          <w:rFonts w:eastAsia="Calibri"/>
        </w:rPr>
        <w:t>)</w:t>
      </w:r>
      <w:r w:rsidR="00FA1AE3" w:rsidRPr="00363588">
        <w:rPr>
          <w:rFonts w:eastAsia="Calibri"/>
        </w:rPr>
        <w:t xml:space="preserve"> lu conjointement avec l’article 2 (</w:t>
      </w:r>
      <w:r w:rsidR="00B4756C" w:rsidRPr="00363588">
        <w:rPr>
          <w:rFonts w:eastAsia="Calibri"/>
        </w:rPr>
        <w:t>par</w:t>
      </w:r>
      <w:r w:rsidR="002B2A53" w:rsidRPr="00363588">
        <w:rPr>
          <w:rFonts w:eastAsia="Calibri"/>
        </w:rPr>
        <w:t>.</w:t>
      </w:r>
      <w:r w:rsidR="00B4756C" w:rsidRPr="00363588">
        <w:rPr>
          <w:rFonts w:eastAsia="Calibri"/>
        </w:rPr>
        <w:t> </w:t>
      </w:r>
      <w:r w:rsidR="00FA1AE3" w:rsidRPr="00363588">
        <w:rPr>
          <w:rFonts w:eastAsia="Calibri"/>
        </w:rPr>
        <w:t xml:space="preserve">1 et 3) </w:t>
      </w:r>
      <w:r w:rsidR="00FB0220" w:rsidRPr="00363588">
        <w:rPr>
          <w:rFonts w:eastAsia="Calibri"/>
        </w:rPr>
        <w:t xml:space="preserve">du Pacte, </w:t>
      </w:r>
      <w:r w:rsidR="00FB0220" w:rsidRPr="00363588">
        <w:rPr>
          <w:rFonts w:eastAsia="Calibri"/>
          <w:lang w:val="fr-FR"/>
        </w:rPr>
        <w:t xml:space="preserve">conformément </w:t>
      </w:r>
      <w:r w:rsidR="00B4756C" w:rsidRPr="00363588">
        <w:rPr>
          <w:rFonts w:eastAsia="Calibri"/>
          <w:lang w:val="fr-FR"/>
        </w:rPr>
        <w:t>à l’article </w:t>
      </w:r>
      <w:r w:rsidR="003C2000">
        <w:rPr>
          <w:rFonts w:eastAsia="Calibri"/>
          <w:lang w:val="fr-FR"/>
        </w:rPr>
        <w:t>5</w:t>
      </w:r>
      <w:r w:rsidR="00FB0220" w:rsidRPr="00363588">
        <w:rPr>
          <w:rFonts w:eastAsia="Calibri"/>
          <w:lang w:val="fr-FR"/>
        </w:rPr>
        <w:t xml:space="preserve"> </w:t>
      </w:r>
      <w:r w:rsidR="002B2A53" w:rsidRPr="00363588">
        <w:rPr>
          <w:rFonts w:eastAsia="Calibri"/>
          <w:lang w:val="fr-FR"/>
        </w:rPr>
        <w:t>(</w:t>
      </w:r>
      <w:r w:rsidR="00FB0220" w:rsidRPr="00363588">
        <w:rPr>
          <w:rFonts w:eastAsia="Calibri"/>
          <w:lang w:val="fr-FR"/>
        </w:rPr>
        <w:t>par</w:t>
      </w:r>
      <w:r w:rsidR="002B2A53" w:rsidRPr="00363588">
        <w:rPr>
          <w:rFonts w:eastAsia="Calibri"/>
          <w:lang w:val="fr-FR"/>
        </w:rPr>
        <w:t>.</w:t>
      </w:r>
      <w:r w:rsidR="00FB0220" w:rsidRPr="00363588">
        <w:rPr>
          <w:rFonts w:eastAsia="Calibri"/>
          <w:lang w:val="fr-FR"/>
        </w:rPr>
        <w:t xml:space="preserve"> </w:t>
      </w:r>
      <w:r w:rsidR="003C2000">
        <w:rPr>
          <w:rFonts w:eastAsia="Calibri"/>
          <w:lang w:val="fr-FR"/>
        </w:rPr>
        <w:t>1</w:t>
      </w:r>
      <w:r w:rsidR="002B2A53" w:rsidRPr="00363588">
        <w:rPr>
          <w:rFonts w:eastAsia="Calibri"/>
          <w:lang w:val="fr-FR"/>
        </w:rPr>
        <w:t>)</w:t>
      </w:r>
      <w:r w:rsidR="00FB0220" w:rsidRPr="00363588">
        <w:rPr>
          <w:rFonts w:eastAsia="Calibri"/>
          <w:lang w:val="fr-FR"/>
        </w:rPr>
        <w:t xml:space="preserve"> du Protocole facultatif. </w:t>
      </w:r>
    </w:p>
    <w:p w14:paraId="44028D13" w14:textId="0A1878E1" w:rsidR="00FB0220" w:rsidRPr="00363588" w:rsidRDefault="00B51AD1" w:rsidP="00F92911">
      <w:pPr>
        <w:pStyle w:val="SingleTxtG"/>
      </w:pPr>
      <w:r w:rsidRPr="00363588">
        <w:t>10</w:t>
      </w:r>
      <w:r w:rsidR="00FB0220" w:rsidRPr="00363588">
        <w:t>.</w:t>
      </w:r>
      <w:r w:rsidR="00ED7671" w:rsidRPr="00363588">
        <w:t>2</w:t>
      </w:r>
      <w:r w:rsidR="00FB0220" w:rsidRPr="00363588">
        <w:tab/>
      </w:r>
      <w:r w:rsidR="00FB0220" w:rsidRPr="00363588">
        <w:rPr>
          <w:rFonts w:eastAsia="Calibri"/>
          <w:lang w:val="fr-FR"/>
        </w:rPr>
        <w:t xml:space="preserve">Le Comité prend note des </w:t>
      </w:r>
      <w:r w:rsidR="004524B3" w:rsidRPr="00363588">
        <w:rPr>
          <w:rFonts w:eastAsia="Calibri"/>
          <w:lang w:val="fr-FR"/>
        </w:rPr>
        <w:t>allégations des auteurs</w:t>
      </w:r>
      <w:r w:rsidR="00B4756C" w:rsidRPr="00363588">
        <w:rPr>
          <w:rFonts w:eastAsia="Calibri"/>
          <w:lang w:val="fr-FR"/>
        </w:rPr>
        <w:t>,</w:t>
      </w:r>
      <w:r w:rsidR="004524B3" w:rsidRPr="00363588">
        <w:rPr>
          <w:rFonts w:eastAsia="Calibri"/>
          <w:lang w:val="fr-FR"/>
        </w:rPr>
        <w:t xml:space="preserve"> </w:t>
      </w:r>
      <w:r w:rsidR="00B4756C" w:rsidRPr="00363588">
        <w:rPr>
          <w:rFonts w:eastAsia="Calibri"/>
          <w:lang w:val="fr-FR"/>
        </w:rPr>
        <w:t>lesquels</w:t>
      </w:r>
      <w:r w:rsidR="004524B3" w:rsidRPr="00363588">
        <w:rPr>
          <w:rFonts w:eastAsia="Calibri"/>
          <w:lang w:val="fr-FR"/>
        </w:rPr>
        <w:t xml:space="preserve"> prétendent </w:t>
      </w:r>
      <w:r w:rsidR="00B4756C" w:rsidRPr="00363588">
        <w:rPr>
          <w:rFonts w:eastAsia="Calibri"/>
          <w:lang w:val="fr-FR"/>
        </w:rPr>
        <w:t>qu’</w:t>
      </w:r>
      <w:r w:rsidR="004524B3" w:rsidRPr="00363588">
        <w:rPr>
          <w:rFonts w:eastAsia="Calibri"/>
          <w:lang w:val="fr-FR"/>
        </w:rPr>
        <w:t xml:space="preserve">en leur ayant refusé pendant trente ans </w:t>
      </w:r>
      <w:r w:rsidR="00FB0220" w:rsidRPr="00363588">
        <w:rPr>
          <w:rFonts w:eastAsia="Calibri"/>
          <w:lang w:val="fr-FR"/>
        </w:rPr>
        <w:t xml:space="preserve">leur intégration dans la fonction publique, </w:t>
      </w:r>
      <w:r w:rsidR="00B4756C" w:rsidRPr="00363588">
        <w:rPr>
          <w:rFonts w:eastAsia="Calibri"/>
          <w:lang w:val="fr-FR"/>
        </w:rPr>
        <w:t>au</w:t>
      </w:r>
      <w:r w:rsidR="004524B3" w:rsidRPr="00363588">
        <w:rPr>
          <w:rFonts w:eastAsia="Calibri"/>
          <w:lang w:val="fr-FR"/>
        </w:rPr>
        <w:t xml:space="preserve"> grade prévu par </w:t>
      </w:r>
      <w:r w:rsidR="00FB0220" w:rsidRPr="00363588">
        <w:rPr>
          <w:rFonts w:eastAsia="Calibri"/>
          <w:lang w:val="fr-FR"/>
        </w:rPr>
        <w:t xml:space="preserve">l’article </w:t>
      </w:r>
      <w:r w:rsidR="00F92AAB" w:rsidRPr="00363588">
        <w:rPr>
          <w:rFonts w:eastAsia="Calibri"/>
          <w:lang w:val="fr-FR"/>
        </w:rPr>
        <w:t xml:space="preserve">premier du </w:t>
      </w:r>
      <w:r w:rsidR="00FB0220" w:rsidRPr="00363588">
        <w:rPr>
          <w:rFonts w:eastAsia="Calibri"/>
          <w:lang w:val="fr-FR"/>
        </w:rPr>
        <w:t>décret</w:t>
      </w:r>
      <w:r w:rsidR="00F92AAB" w:rsidRPr="00363588">
        <w:rPr>
          <w:rFonts w:eastAsia="Calibri"/>
          <w:lang w:val="fr-FR"/>
        </w:rPr>
        <w:t xml:space="preserve"> </w:t>
      </w:r>
      <w:r w:rsidR="00BA0644" w:rsidRPr="00363588">
        <w:rPr>
          <w:lang w:val="fr-FR"/>
        </w:rPr>
        <w:t>n</w:t>
      </w:r>
      <w:r w:rsidR="00BA0644" w:rsidRPr="004456A3">
        <w:rPr>
          <w:vertAlign w:val="superscript"/>
          <w:lang w:val="fr-FR"/>
        </w:rPr>
        <w:t>o</w:t>
      </w:r>
      <w:r w:rsidR="00BA0644">
        <w:rPr>
          <w:lang w:val="fr-FR"/>
        </w:rPr>
        <w:t> </w:t>
      </w:r>
      <w:r w:rsidR="00F92AAB" w:rsidRPr="00363588">
        <w:rPr>
          <w:rFonts w:eastAsia="Calibri"/>
          <w:lang w:val="fr-FR"/>
        </w:rPr>
        <w:t>74/611</w:t>
      </w:r>
      <w:r w:rsidR="00B4756C" w:rsidRPr="00363588">
        <w:rPr>
          <w:rFonts w:eastAsia="Calibri"/>
          <w:lang w:val="fr-FR"/>
        </w:rPr>
        <w:t>,</w:t>
      </w:r>
      <w:r w:rsidR="00FB0220" w:rsidRPr="00363588">
        <w:rPr>
          <w:rFonts w:eastAsia="Calibri"/>
          <w:lang w:val="fr-FR"/>
        </w:rPr>
        <w:t xml:space="preserve"> et </w:t>
      </w:r>
      <w:r w:rsidR="00B4756C" w:rsidRPr="00363588">
        <w:rPr>
          <w:rFonts w:eastAsia="Calibri"/>
          <w:lang w:val="fr-FR"/>
        </w:rPr>
        <w:t xml:space="preserve">les </w:t>
      </w:r>
      <w:r w:rsidR="00FB0220" w:rsidRPr="00363588">
        <w:rPr>
          <w:rFonts w:eastAsia="Calibri"/>
          <w:lang w:val="fr-FR"/>
        </w:rPr>
        <w:t xml:space="preserve">avantages </w:t>
      </w:r>
      <w:r w:rsidR="001F0184" w:rsidRPr="00363588">
        <w:rPr>
          <w:rFonts w:eastAsia="Calibri"/>
          <w:lang w:val="fr-FR"/>
        </w:rPr>
        <w:t>liés</w:t>
      </w:r>
      <w:r w:rsidR="00FB0220" w:rsidRPr="00363588">
        <w:rPr>
          <w:rFonts w:eastAsia="Calibri"/>
          <w:lang w:val="fr-FR"/>
        </w:rPr>
        <w:t xml:space="preserve"> </w:t>
      </w:r>
      <w:r w:rsidR="00F92AAB" w:rsidRPr="00363588">
        <w:rPr>
          <w:rFonts w:eastAsia="Calibri"/>
          <w:lang w:val="fr-FR"/>
        </w:rPr>
        <w:t xml:space="preserve">à ces </w:t>
      </w:r>
      <w:r w:rsidR="00FB0220" w:rsidRPr="00363588">
        <w:rPr>
          <w:rFonts w:eastAsia="Calibri"/>
          <w:lang w:val="fr-FR"/>
        </w:rPr>
        <w:t>grades</w:t>
      </w:r>
      <w:r w:rsidR="00B4756C" w:rsidRPr="00363588">
        <w:rPr>
          <w:rFonts w:eastAsia="Calibri"/>
          <w:lang w:val="fr-FR"/>
        </w:rPr>
        <w:t>,</w:t>
      </w:r>
      <w:r w:rsidR="00FB0220" w:rsidRPr="00363588">
        <w:rPr>
          <w:rFonts w:eastAsia="Calibri"/>
          <w:lang w:val="fr-FR"/>
        </w:rPr>
        <w:t xml:space="preserve"> </w:t>
      </w:r>
      <w:r w:rsidR="00F92AAB" w:rsidRPr="00363588">
        <w:rPr>
          <w:rFonts w:eastAsia="Calibri"/>
          <w:lang w:val="fr-FR"/>
        </w:rPr>
        <w:t xml:space="preserve">l’État </w:t>
      </w:r>
      <w:r w:rsidR="00FB0220" w:rsidRPr="00363588">
        <w:rPr>
          <w:rFonts w:eastAsia="Calibri"/>
          <w:lang w:val="fr-FR"/>
        </w:rPr>
        <w:t xml:space="preserve">partie </w:t>
      </w:r>
      <w:r w:rsidR="00F92AAB" w:rsidRPr="00363588">
        <w:rPr>
          <w:rFonts w:eastAsia="Calibri"/>
          <w:lang w:val="fr-FR"/>
        </w:rPr>
        <w:t xml:space="preserve">a violé leurs droits au titre des articles 25 et 26 du Pacte. Le Comité prend également </w:t>
      </w:r>
      <w:r w:rsidR="00B4756C" w:rsidRPr="00363588">
        <w:rPr>
          <w:rFonts w:eastAsia="Calibri"/>
          <w:lang w:val="fr-FR"/>
        </w:rPr>
        <w:t xml:space="preserve">note </w:t>
      </w:r>
      <w:r w:rsidR="00F92AAB" w:rsidRPr="00363588">
        <w:rPr>
          <w:rFonts w:eastAsia="Calibri"/>
          <w:lang w:val="fr-FR"/>
        </w:rPr>
        <w:t xml:space="preserve">de l’argument des auteurs </w:t>
      </w:r>
      <w:r w:rsidR="00B4756C" w:rsidRPr="00363588">
        <w:rPr>
          <w:rFonts w:eastAsia="Calibri"/>
          <w:lang w:val="fr-FR"/>
        </w:rPr>
        <w:t>selon lequel</w:t>
      </w:r>
      <w:r w:rsidR="00F92AAB" w:rsidRPr="00363588">
        <w:rPr>
          <w:rFonts w:eastAsia="Calibri"/>
          <w:lang w:val="fr-FR"/>
        </w:rPr>
        <w:t xml:space="preserve"> </w:t>
      </w:r>
      <w:r w:rsidR="00FB0220" w:rsidRPr="00363588">
        <w:rPr>
          <w:rFonts w:eastAsia="Calibri"/>
          <w:lang w:val="fr-FR"/>
        </w:rPr>
        <w:t xml:space="preserve">la reconstitution de leur carrière </w:t>
      </w:r>
      <w:r w:rsidR="00F92AAB" w:rsidRPr="00363588">
        <w:rPr>
          <w:rFonts w:eastAsia="Calibri"/>
          <w:lang w:val="fr-FR"/>
        </w:rPr>
        <w:t>n</w:t>
      </w:r>
      <w:r w:rsidR="007408D0">
        <w:rPr>
          <w:rFonts w:eastAsia="Calibri"/>
          <w:lang w:val="fr-FR"/>
        </w:rPr>
        <w:t>’</w:t>
      </w:r>
      <w:r w:rsidR="00F92AAB" w:rsidRPr="00363588">
        <w:rPr>
          <w:rFonts w:eastAsia="Calibri"/>
          <w:lang w:val="fr-FR"/>
        </w:rPr>
        <w:t xml:space="preserve">équivaut pas </w:t>
      </w:r>
      <w:r w:rsidR="00FB0220" w:rsidRPr="00363588">
        <w:rPr>
          <w:rFonts w:eastAsia="Calibri"/>
          <w:lang w:val="fr-FR"/>
        </w:rPr>
        <w:t>à une réparation</w:t>
      </w:r>
      <w:r w:rsidR="00F92AAB" w:rsidRPr="00363588">
        <w:rPr>
          <w:rFonts w:eastAsia="Calibri"/>
          <w:lang w:val="fr-FR"/>
        </w:rPr>
        <w:t xml:space="preserve"> adéquate. </w:t>
      </w:r>
      <w:r w:rsidR="00B4756C" w:rsidRPr="00363588">
        <w:rPr>
          <w:rFonts w:eastAsia="Calibri"/>
          <w:lang w:val="fr-FR"/>
        </w:rPr>
        <w:t>Il</w:t>
      </w:r>
      <w:r w:rsidR="00F92AAB" w:rsidRPr="00363588">
        <w:rPr>
          <w:rFonts w:eastAsia="Calibri"/>
          <w:lang w:val="fr-FR"/>
        </w:rPr>
        <w:t xml:space="preserve"> note</w:t>
      </w:r>
      <w:r w:rsidR="00B4756C" w:rsidRPr="00363588">
        <w:rPr>
          <w:rFonts w:eastAsia="Calibri"/>
          <w:lang w:val="fr-FR"/>
        </w:rPr>
        <w:t xml:space="preserve"> par ailleurs</w:t>
      </w:r>
      <w:r w:rsidR="00F92AAB" w:rsidRPr="00363588">
        <w:rPr>
          <w:rFonts w:eastAsia="Calibri"/>
          <w:lang w:val="fr-FR"/>
        </w:rPr>
        <w:t xml:space="preserve"> l’argument de l’État partie selon lequel </w:t>
      </w:r>
      <w:r w:rsidR="00F92AAB" w:rsidRPr="00363588">
        <w:rPr>
          <w:rFonts w:eastAsia="Calibri"/>
        </w:rPr>
        <w:t>le placement des auteurs dans la fonction publique à titre de contrôleurs était justifié</w:t>
      </w:r>
      <w:r w:rsidR="00B4756C" w:rsidRPr="00363588">
        <w:rPr>
          <w:rFonts w:eastAsia="Calibri"/>
        </w:rPr>
        <w:t>,</w:t>
      </w:r>
      <w:r w:rsidR="00F92AAB" w:rsidRPr="00363588">
        <w:rPr>
          <w:rFonts w:eastAsia="Calibri"/>
        </w:rPr>
        <w:t xml:space="preserve"> en raison de la nécessité de privilégier la formation interne des ressources humaines et de réduire les </w:t>
      </w:r>
      <w:r w:rsidR="00F92AAB" w:rsidRPr="00363588">
        <w:rPr>
          <w:rFonts w:eastAsia="Calibri"/>
        </w:rPr>
        <w:lastRenderedPageBreak/>
        <w:t>dépenses de formation engendrées par des précédents diplômés des écoles françaises d’administration financière</w:t>
      </w:r>
      <w:r w:rsidR="00B4756C" w:rsidRPr="00363588">
        <w:rPr>
          <w:rFonts w:eastAsia="Calibri"/>
        </w:rPr>
        <w:t>, dépenses</w:t>
      </w:r>
      <w:r w:rsidR="00F92AAB" w:rsidRPr="00363588">
        <w:rPr>
          <w:rFonts w:eastAsia="Calibri"/>
        </w:rPr>
        <w:t xml:space="preserve"> qui étaient à la charge de l’État partie</w:t>
      </w:r>
      <w:r w:rsidR="00FB0220" w:rsidRPr="00363588">
        <w:rPr>
          <w:rFonts w:eastAsia="Calibri"/>
          <w:lang w:val="fr-FR"/>
        </w:rPr>
        <w:t>.</w:t>
      </w:r>
    </w:p>
    <w:p w14:paraId="2E67E9F7" w14:textId="24DB64F2" w:rsidR="00F92AAB" w:rsidRPr="00363588" w:rsidRDefault="00FB0220" w:rsidP="00F92911">
      <w:pPr>
        <w:pStyle w:val="SingleTxtG"/>
        <w:rPr>
          <w:rFonts w:eastAsia="Calibri"/>
          <w:lang w:val="fr-FR"/>
        </w:rPr>
      </w:pPr>
      <w:r w:rsidRPr="00363588">
        <w:t>1</w:t>
      </w:r>
      <w:r w:rsidR="00B51AD1" w:rsidRPr="00363588">
        <w:t>0</w:t>
      </w:r>
      <w:r w:rsidRPr="00363588">
        <w:t>.</w:t>
      </w:r>
      <w:r w:rsidR="00ED7671" w:rsidRPr="00363588">
        <w:t>3</w:t>
      </w:r>
      <w:r w:rsidRPr="00363588">
        <w:tab/>
      </w:r>
      <w:r w:rsidR="00F92AAB" w:rsidRPr="00363588">
        <w:rPr>
          <w:rFonts w:eastAsia="Calibri"/>
          <w:lang w:val="fr-FR"/>
        </w:rPr>
        <w:t>Le Comité prend note des réclamations des auteurs</w:t>
      </w:r>
      <w:r w:rsidR="00B4756C" w:rsidRPr="00363588">
        <w:rPr>
          <w:rFonts w:eastAsia="Calibri"/>
          <w:lang w:val="fr-FR"/>
        </w:rPr>
        <w:t>,</w:t>
      </w:r>
      <w:r w:rsidR="00F92AAB" w:rsidRPr="00363588">
        <w:rPr>
          <w:rFonts w:eastAsia="Calibri"/>
          <w:lang w:val="fr-FR"/>
        </w:rPr>
        <w:t xml:space="preserve"> qui affirment que la réparation proposée par l’État partie ne reconna</w:t>
      </w:r>
      <w:r w:rsidR="00B4756C" w:rsidRPr="00363588">
        <w:rPr>
          <w:rFonts w:eastAsia="Calibri"/>
          <w:lang w:val="fr-FR"/>
        </w:rPr>
        <w:t>î</w:t>
      </w:r>
      <w:r w:rsidR="00F92AAB" w:rsidRPr="00363588">
        <w:rPr>
          <w:rFonts w:eastAsia="Calibri"/>
          <w:lang w:val="fr-FR"/>
        </w:rPr>
        <w:t xml:space="preserve">t pas </w:t>
      </w:r>
      <w:r w:rsidR="00F92AAB" w:rsidRPr="00363588">
        <w:rPr>
          <w:rFonts w:eastAsia="Calibri"/>
        </w:rPr>
        <w:t>leurs droits au titre du décret n</w:t>
      </w:r>
      <w:r w:rsidR="00F92AAB" w:rsidRPr="00363588">
        <w:rPr>
          <w:rFonts w:eastAsia="Calibri"/>
          <w:vertAlign w:val="superscript"/>
        </w:rPr>
        <w:t>o</w:t>
      </w:r>
      <w:r w:rsidR="00F92AAB" w:rsidRPr="00363588">
        <w:rPr>
          <w:rFonts w:eastAsia="Calibri"/>
        </w:rPr>
        <w:t xml:space="preserve"> 74/611, </w:t>
      </w:r>
      <w:r w:rsidR="00B4756C" w:rsidRPr="00363588">
        <w:rPr>
          <w:rFonts w:eastAsia="Calibri"/>
        </w:rPr>
        <w:t>et qu’</w:t>
      </w:r>
      <w:r w:rsidR="00F92AAB" w:rsidRPr="00363588">
        <w:rPr>
          <w:rFonts w:eastAsia="Calibri"/>
        </w:rPr>
        <w:t xml:space="preserve">il n’y a </w:t>
      </w:r>
      <w:r w:rsidR="00B4756C" w:rsidRPr="00363588">
        <w:rPr>
          <w:rFonts w:eastAsia="Calibri"/>
        </w:rPr>
        <w:t xml:space="preserve">donc </w:t>
      </w:r>
      <w:r w:rsidR="00F92AAB" w:rsidRPr="00363588">
        <w:rPr>
          <w:rFonts w:eastAsia="Calibri"/>
        </w:rPr>
        <w:t xml:space="preserve">pas lieu de parler de recours utile, dans la mesure où un recours extraordinaire fondé sur une décision discrétionnaire devrait rétablir les droits violés. Le Comité note néanmoins les efforts de l’État partie quant à la réparation des torts subis par les auteurs, </w:t>
      </w:r>
      <w:r w:rsidRPr="00363588">
        <w:rPr>
          <w:rFonts w:eastAsia="Calibri"/>
        </w:rPr>
        <w:t xml:space="preserve">à </w:t>
      </w:r>
      <w:r w:rsidR="00B4756C" w:rsidRPr="00363588">
        <w:rPr>
          <w:rFonts w:eastAsia="Calibri"/>
        </w:rPr>
        <w:t>savoir</w:t>
      </w:r>
      <w:r w:rsidRPr="00363588">
        <w:rPr>
          <w:rFonts w:eastAsia="Calibri"/>
        </w:rPr>
        <w:t xml:space="preserve"> la décision du Chef de l’État de réintégrer les fonctionnaires concernés dans la fonction publique et de leur verser une indemnité d’environ </w:t>
      </w:r>
      <w:r w:rsidR="00D84014" w:rsidRPr="00363588">
        <w:rPr>
          <w:rFonts w:eastAsia="Calibri"/>
        </w:rPr>
        <w:t>20</w:t>
      </w:r>
      <w:r w:rsidR="00B4756C" w:rsidRPr="00363588">
        <w:rPr>
          <w:rFonts w:eastAsia="Calibri"/>
        </w:rPr>
        <w:t> </w:t>
      </w:r>
      <w:r w:rsidR="00D84014" w:rsidRPr="00363588">
        <w:rPr>
          <w:rFonts w:eastAsia="Calibri"/>
        </w:rPr>
        <w:t>000</w:t>
      </w:r>
      <w:r w:rsidR="00B4756C" w:rsidRPr="00363588">
        <w:rPr>
          <w:rFonts w:eastAsia="Calibri"/>
        </w:rPr>
        <w:t> dollars</w:t>
      </w:r>
      <w:r w:rsidR="009C5ABD" w:rsidRPr="00363588">
        <w:rPr>
          <w:rFonts w:eastAsia="Calibri"/>
        </w:rPr>
        <w:t xml:space="preserve"> </w:t>
      </w:r>
      <w:r w:rsidRPr="00363588">
        <w:rPr>
          <w:rFonts w:eastAsia="Calibri"/>
        </w:rPr>
        <w:t>par personne.</w:t>
      </w:r>
      <w:r w:rsidRPr="00363588">
        <w:rPr>
          <w:rFonts w:eastAsia="Calibri"/>
          <w:lang w:val="fr-FR"/>
        </w:rPr>
        <w:t xml:space="preserve"> </w:t>
      </w:r>
    </w:p>
    <w:p w14:paraId="4914E1E3" w14:textId="2C936094" w:rsidR="00FB0220" w:rsidRPr="00363588" w:rsidRDefault="00F92AAB" w:rsidP="00F92911">
      <w:pPr>
        <w:pStyle w:val="SingleTxtG"/>
        <w:rPr>
          <w:rFonts w:eastAsia="Calibri"/>
        </w:rPr>
      </w:pPr>
      <w:r w:rsidRPr="00363588">
        <w:rPr>
          <w:lang w:val="fr-FR"/>
        </w:rPr>
        <w:t>10.</w:t>
      </w:r>
      <w:r w:rsidR="00ED7671" w:rsidRPr="00363588">
        <w:rPr>
          <w:lang w:val="fr-FR"/>
        </w:rPr>
        <w:t>4</w:t>
      </w:r>
      <w:r w:rsidRPr="00363588">
        <w:rPr>
          <w:lang w:val="fr-FR"/>
        </w:rPr>
        <w:tab/>
      </w:r>
      <w:r w:rsidR="00FB0220" w:rsidRPr="00363588">
        <w:rPr>
          <w:rFonts w:eastAsia="Calibri"/>
          <w:lang w:val="fr-FR"/>
        </w:rPr>
        <w:t xml:space="preserve">Le Comité prend aussi note de </w:t>
      </w:r>
      <w:r w:rsidR="00B4756C" w:rsidRPr="00363588">
        <w:rPr>
          <w:rFonts w:eastAsia="Calibri"/>
          <w:lang w:val="fr-FR"/>
        </w:rPr>
        <w:t>l’affirmation</w:t>
      </w:r>
      <w:r w:rsidR="00FB0220" w:rsidRPr="00363588">
        <w:rPr>
          <w:rFonts w:eastAsia="Calibri"/>
          <w:lang w:val="fr-FR"/>
        </w:rPr>
        <w:t xml:space="preserve"> des auteurs </w:t>
      </w:r>
      <w:r w:rsidR="00B4756C" w:rsidRPr="00363588">
        <w:rPr>
          <w:rFonts w:eastAsia="Calibri"/>
          <w:lang w:val="fr-FR"/>
        </w:rPr>
        <w:t>selon laquelle</w:t>
      </w:r>
      <w:r w:rsidR="00FB0220" w:rsidRPr="00363588">
        <w:rPr>
          <w:rFonts w:eastAsia="Calibri"/>
          <w:lang w:val="fr-FR"/>
        </w:rPr>
        <w:t xml:space="preserve"> l’</w:t>
      </w:r>
      <w:r w:rsidRPr="00363588">
        <w:rPr>
          <w:rFonts w:eastAsia="Calibri"/>
          <w:lang w:val="fr-FR"/>
        </w:rPr>
        <w:t>É</w:t>
      </w:r>
      <w:r w:rsidR="00FB0220" w:rsidRPr="00363588">
        <w:rPr>
          <w:rFonts w:eastAsia="Calibri"/>
          <w:lang w:val="fr-FR"/>
        </w:rPr>
        <w:t>tat</w:t>
      </w:r>
      <w:r w:rsidR="00B4756C" w:rsidRPr="00363588">
        <w:rPr>
          <w:rFonts w:eastAsia="Calibri"/>
          <w:lang w:val="fr-FR"/>
        </w:rPr>
        <w:t xml:space="preserve"> partie</w:t>
      </w:r>
      <w:r w:rsidR="00FB0220" w:rsidRPr="00363588">
        <w:rPr>
          <w:rFonts w:eastAsia="Calibri"/>
          <w:lang w:val="fr-FR"/>
        </w:rPr>
        <w:t xml:space="preserve">, malgré </w:t>
      </w:r>
      <w:r w:rsidR="00B4756C" w:rsidRPr="00363588">
        <w:rPr>
          <w:rFonts w:eastAsia="Calibri"/>
          <w:lang w:val="fr-FR"/>
        </w:rPr>
        <w:t xml:space="preserve">le versement de </w:t>
      </w:r>
      <w:r w:rsidR="00FB0220" w:rsidRPr="00363588">
        <w:rPr>
          <w:rFonts w:eastAsia="Calibri"/>
          <w:lang w:val="fr-FR"/>
        </w:rPr>
        <w:t>ces indemnités</w:t>
      </w:r>
      <w:r w:rsidRPr="00363588">
        <w:rPr>
          <w:rFonts w:eastAsia="Calibri"/>
          <w:color w:val="000000"/>
          <w:lang w:val="fr-FR"/>
        </w:rPr>
        <w:t xml:space="preserve">, </w:t>
      </w:r>
      <w:r w:rsidR="00FB0220" w:rsidRPr="00363588">
        <w:rPr>
          <w:rFonts w:eastAsia="Calibri"/>
          <w:lang w:val="fr-FR"/>
        </w:rPr>
        <w:t xml:space="preserve">a failli à son obligation de réparer le préjudice qu’ils ont subi et de leur garantir un recours adéquat et effectif, en </w:t>
      </w:r>
      <w:r w:rsidR="00FB0220" w:rsidRPr="00363588">
        <w:rPr>
          <w:rFonts w:eastAsia="Calibri"/>
        </w:rPr>
        <w:t xml:space="preserve">violation de l’article 2 </w:t>
      </w:r>
      <w:r w:rsidR="002B2A53" w:rsidRPr="00363588">
        <w:rPr>
          <w:rFonts w:eastAsia="Calibri"/>
        </w:rPr>
        <w:t>(</w:t>
      </w:r>
      <w:r w:rsidR="00F5501C" w:rsidRPr="00363588">
        <w:rPr>
          <w:rFonts w:eastAsia="Calibri"/>
        </w:rPr>
        <w:t>par</w:t>
      </w:r>
      <w:r w:rsidR="002B2A53" w:rsidRPr="00363588">
        <w:rPr>
          <w:rFonts w:eastAsia="Calibri"/>
        </w:rPr>
        <w:t>.</w:t>
      </w:r>
      <w:r w:rsidR="00F5501C" w:rsidRPr="00363588">
        <w:rPr>
          <w:rFonts w:eastAsia="Calibri"/>
        </w:rPr>
        <w:t> </w:t>
      </w:r>
      <w:r w:rsidR="00C27B6F" w:rsidRPr="00363588">
        <w:rPr>
          <w:rFonts w:eastAsia="Calibri"/>
          <w:color w:val="000000"/>
          <w:lang w:val="fr-FR"/>
        </w:rPr>
        <w:t xml:space="preserve">3) du Pacte. </w:t>
      </w:r>
      <w:r w:rsidR="00FB0220" w:rsidRPr="00363588">
        <w:rPr>
          <w:rFonts w:eastAsia="Calibri"/>
        </w:rPr>
        <w:t xml:space="preserve">Le Comité prend note de la </w:t>
      </w:r>
      <w:r w:rsidR="00C27B6F" w:rsidRPr="00363588">
        <w:rPr>
          <w:rFonts w:eastAsia="Calibri"/>
        </w:rPr>
        <w:t xml:space="preserve">position </w:t>
      </w:r>
      <w:r w:rsidR="00FB0220" w:rsidRPr="00363588">
        <w:rPr>
          <w:rFonts w:eastAsia="Calibri"/>
        </w:rPr>
        <w:t>de l’</w:t>
      </w:r>
      <w:r w:rsidR="00C27B6F" w:rsidRPr="00363588">
        <w:rPr>
          <w:rFonts w:eastAsia="Calibri"/>
        </w:rPr>
        <w:t>É</w:t>
      </w:r>
      <w:r w:rsidR="00FB0220" w:rsidRPr="00363588">
        <w:rPr>
          <w:rFonts w:eastAsia="Calibri"/>
        </w:rPr>
        <w:t xml:space="preserve">tat partie qui, malgré l’absence d’accord formel entre les parties, </w:t>
      </w:r>
      <w:r w:rsidR="00F5501C" w:rsidRPr="00363588">
        <w:rPr>
          <w:rFonts w:eastAsia="Calibri"/>
        </w:rPr>
        <w:t xml:space="preserve">lui demande </w:t>
      </w:r>
      <w:r w:rsidR="00FB0220" w:rsidRPr="00363588">
        <w:rPr>
          <w:rFonts w:eastAsia="Calibri"/>
        </w:rPr>
        <w:t>de mettre fin à la communication ou de constater l’absence de violation des articles 2, 25 et 26 du Pacte, et de conclure que les auteurs ont déjà reçu réparation pour les violations alléguées. Le Comité souligne que l’</w:t>
      </w:r>
      <w:r w:rsidR="00C27B6F" w:rsidRPr="00363588">
        <w:rPr>
          <w:rFonts w:eastAsia="Calibri"/>
        </w:rPr>
        <w:t>É</w:t>
      </w:r>
      <w:r w:rsidR="00FB0220" w:rsidRPr="00363588">
        <w:rPr>
          <w:rFonts w:eastAsia="Calibri"/>
        </w:rPr>
        <w:t>tat partie a fait valoir le caractère déraisonnable de l’indemnité de 100 millions de francs CFA réclamé</w:t>
      </w:r>
      <w:r w:rsidR="00F5501C" w:rsidRPr="00363588">
        <w:rPr>
          <w:rFonts w:eastAsia="Calibri"/>
        </w:rPr>
        <w:t>e</w:t>
      </w:r>
      <w:r w:rsidR="00FB0220" w:rsidRPr="00363588">
        <w:rPr>
          <w:rFonts w:eastAsia="Calibri"/>
        </w:rPr>
        <w:t xml:space="preserve"> par auteur </w:t>
      </w:r>
      <w:r w:rsidR="00F5501C" w:rsidRPr="00363588">
        <w:rPr>
          <w:rFonts w:eastAsia="Calibri"/>
        </w:rPr>
        <w:t xml:space="preserve">et </w:t>
      </w:r>
      <w:r w:rsidR="00FB0220" w:rsidRPr="00363588">
        <w:rPr>
          <w:rFonts w:eastAsia="Calibri"/>
        </w:rPr>
        <w:t xml:space="preserve">par année. </w:t>
      </w:r>
    </w:p>
    <w:p w14:paraId="48007944" w14:textId="369AD8CC" w:rsidR="000D3F47" w:rsidRPr="00363588" w:rsidRDefault="00C27B6F" w:rsidP="00F92911">
      <w:pPr>
        <w:pStyle w:val="SingleTxtG"/>
        <w:rPr>
          <w:rFonts w:eastAsia="Calibri"/>
          <w:lang w:val="fr-FR"/>
        </w:rPr>
      </w:pPr>
      <w:r w:rsidRPr="00363588">
        <w:rPr>
          <w:rFonts w:eastAsia="Calibri"/>
        </w:rPr>
        <w:t>10.</w:t>
      </w:r>
      <w:r w:rsidR="00ED7671" w:rsidRPr="00363588">
        <w:rPr>
          <w:rFonts w:eastAsia="Calibri"/>
        </w:rPr>
        <w:t>5</w:t>
      </w:r>
      <w:r w:rsidRPr="00363588">
        <w:rPr>
          <w:rFonts w:eastAsia="Calibri"/>
        </w:rPr>
        <w:tab/>
        <w:t xml:space="preserve">Quant </w:t>
      </w:r>
      <w:r w:rsidR="00FB0220" w:rsidRPr="00363588">
        <w:rPr>
          <w:rFonts w:eastAsia="Calibri"/>
        </w:rPr>
        <w:t xml:space="preserve">à </w:t>
      </w:r>
      <w:r w:rsidRPr="00363588">
        <w:rPr>
          <w:rFonts w:eastAsia="Calibri"/>
        </w:rPr>
        <w:t xml:space="preserve">l’argument </w:t>
      </w:r>
      <w:r w:rsidR="00FB0220" w:rsidRPr="00363588">
        <w:rPr>
          <w:rFonts w:eastAsia="Calibri"/>
        </w:rPr>
        <w:t xml:space="preserve">des </w:t>
      </w:r>
      <w:r w:rsidRPr="00363588">
        <w:rPr>
          <w:rFonts w:eastAsia="Calibri"/>
        </w:rPr>
        <w:t xml:space="preserve">auteurs faisant valoir que </w:t>
      </w:r>
      <w:r w:rsidR="00FB0220" w:rsidRPr="00363588">
        <w:rPr>
          <w:rFonts w:eastAsia="Calibri"/>
        </w:rPr>
        <w:t xml:space="preserve">la </w:t>
      </w:r>
      <w:r w:rsidR="00FB0220" w:rsidRPr="00363588">
        <w:rPr>
          <w:rFonts w:eastAsia="Calibri"/>
          <w:lang w:val="fr-FR"/>
        </w:rPr>
        <w:t>différence de traitement</w:t>
      </w:r>
      <w:r w:rsidRPr="00363588">
        <w:rPr>
          <w:rFonts w:eastAsia="Calibri"/>
          <w:lang w:val="fr-FR"/>
        </w:rPr>
        <w:t xml:space="preserve"> entre eux</w:t>
      </w:r>
      <w:r w:rsidR="002C3ED7" w:rsidRPr="00363588">
        <w:rPr>
          <w:rFonts w:eastAsia="Calibri"/>
          <w:lang w:val="fr-FR"/>
        </w:rPr>
        <w:t xml:space="preserve"> </w:t>
      </w:r>
      <w:r w:rsidRPr="00363588">
        <w:rPr>
          <w:rFonts w:eastAsia="Calibri"/>
        </w:rPr>
        <w:t xml:space="preserve">et </w:t>
      </w:r>
      <w:r w:rsidR="00FB0220" w:rsidRPr="00363588">
        <w:rPr>
          <w:rFonts w:eastAsia="Calibri"/>
        </w:rPr>
        <w:t>des diplômés de l’</w:t>
      </w:r>
      <w:r w:rsidR="00F5501C" w:rsidRPr="00363588">
        <w:rPr>
          <w:rFonts w:eastAsia="Calibri"/>
        </w:rPr>
        <w:t>É</w:t>
      </w:r>
      <w:r w:rsidR="00FB0220" w:rsidRPr="00363588">
        <w:rPr>
          <w:rFonts w:eastAsia="Calibri"/>
        </w:rPr>
        <w:t>cole nationale</w:t>
      </w:r>
      <w:r w:rsidR="00F5501C" w:rsidRPr="00363588">
        <w:t xml:space="preserve"> d’administration et de magistrature</w:t>
      </w:r>
      <w:r w:rsidR="00FB0220" w:rsidRPr="00363588">
        <w:rPr>
          <w:rFonts w:eastAsia="Calibri"/>
        </w:rPr>
        <w:t xml:space="preserve"> </w:t>
      </w:r>
      <w:r w:rsidR="00FB0220" w:rsidRPr="00363588">
        <w:rPr>
          <w:rFonts w:eastAsia="Calibri"/>
          <w:lang w:val="fr-FR"/>
        </w:rPr>
        <w:t>n’est pas fondée sur des critères raisonnables et objectifs</w:t>
      </w:r>
      <w:r w:rsidR="00393899" w:rsidRPr="00363588">
        <w:rPr>
          <w:rFonts w:eastAsia="Calibri"/>
        </w:rPr>
        <w:t>, le</w:t>
      </w:r>
      <w:r w:rsidR="00393899" w:rsidRPr="00363588">
        <w:rPr>
          <w:rFonts w:eastAsia="Calibri"/>
          <w:lang w:val="fr-FR"/>
        </w:rPr>
        <w:t xml:space="preserve"> Comité </w:t>
      </w:r>
      <w:r w:rsidR="002C3ED7" w:rsidRPr="00363588">
        <w:rPr>
          <w:rFonts w:eastAsia="Calibri"/>
          <w:lang w:val="fr-FR"/>
        </w:rPr>
        <w:t>note l’argument de l’</w:t>
      </w:r>
      <w:r w:rsidR="002B2A53" w:rsidRPr="00363588">
        <w:rPr>
          <w:rFonts w:eastAsia="Calibri"/>
          <w:lang w:val="fr-FR"/>
        </w:rPr>
        <w:t>É</w:t>
      </w:r>
      <w:r w:rsidR="002C3ED7" w:rsidRPr="00363588">
        <w:rPr>
          <w:rFonts w:eastAsia="Calibri"/>
          <w:lang w:val="fr-FR"/>
        </w:rPr>
        <w:t xml:space="preserve">tat partie selon lequel le placement des auteurs dans la fonction publique à titre de contrôleurs était justifié </w:t>
      </w:r>
      <w:r w:rsidR="00F5501C" w:rsidRPr="00363588">
        <w:rPr>
          <w:rFonts w:eastAsia="Calibri"/>
          <w:lang w:val="fr-FR"/>
        </w:rPr>
        <w:t>par</w:t>
      </w:r>
      <w:r w:rsidR="002C3ED7" w:rsidRPr="00363588">
        <w:rPr>
          <w:rFonts w:eastAsia="Calibri"/>
          <w:lang w:val="fr-FR"/>
        </w:rPr>
        <w:t xml:space="preserve"> la nécessité de privilégier la formation des ressources humaines </w:t>
      </w:r>
      <w:r w:rsidR="00202B19" w:rsidRPr="00363588">
        <w:rPr>
          <w:rFonts w:eastAsia="Calibri"/>
          <w:lang w:val="fr-FR"/>
        </w:rPr>
        <w:t>dans l’</w:t>
      </w:r>
      <w:r w:rsidR="00F5501C" w:rsidRPr="00363588">
        <w:rPr>
          <w:rFonts w:eastAsia="Calibri"/>
          <w:lang w:val="fr-FR"/>
        </w:rPr>
        <w:t>É</w:t>
      </w:r>
      <w:r w:rsidR="00202B19" w:rsidRPr="00363588">
        <w:rPr>
          <w:rFonts w:eastAsia="Calibri"/>
          <w:lang w:val="fr-FR"/>
        </w:rPr>
        <w:t xml:space="preserve">tat partie </w:t>
      </w:r>
      <w:r w:rsidR="002C3ED7" w:rsidRPr="00363588">
        <w:rPr>
          <w:rFonts w:eastAsia="Calibri"/>
          <w:lang w:val="fr-FR"/>
        </w:rPr>
        <w:t xml:space="preserve">et de réduire les dépenses de formation engendrées </w:t>
      </w:r>
      <w:r w:rsidR="00202B19" w:rsidRPr="00363588">
        <w:rPr>
          <w:rFonts w:eastAsia="Calibri"/>
          <w:lang w:val="fr-FR"/>
        </w:rPr>
        <w:t xml:space="preserve">par les </w:t>
      </w:r>
      <w:r w:rsidR="00F5501C" w:rsidRPr="00363588">
        <w:rPr>
          <w:rFonts w:eastAsia="Calibri"/>
          <w:lang w:val="fr-FR"/>
        </w:rPr>
        <w:t>C</w:t>
      </w:r>
      <w:r w:rsidR="00202B19" w:rsidRPr="00363588">
        <w:rPr>
          <w:rFonts w:eastAsia="Calibri"/>
          <w:lang w:val="fr-FR"/>
        </w:rPr>
        <w:t xml:space="preserve">amerounais issus </w:t>
      </w:r>
      <w:r w:rsidR="002C3ED7" w:rsidRPr="00363588">
        <w:rPr>
          <w:rFonts w:eastAsia="Calibri"/>
          <w:lang w:val="fr-FR"/>
        </w:rPr>
        <w:t>des écoles françaises d’administration financière. Le Comité note également que les auteurs n</w:t>
      </w:r>
      <w:r w:rsidR="007408D0">
        <w:rPr>
          <w:rFonts w:eastAsia="Calibri"/>
          <w:lang w:val="fr-FR"/>
        </w:rPr>
        <w:t>’</w:t>
      </w:r>
      <w:r w:rsidR="002C3ED7" w:rsidRPr="00363588">
        <w:rPr>
          <w:rFonts w:eastAsia="Calibri"/>
          <w:lang w:val="fr-FR"/>
        </w:rPr>
        <w:t>ont fourni aucune information ou preuve pour contrer les arguments avancés par l</w:t>
      </w:r>
      <w:r w:rsidR="007408D0">
        <w:rPr>
          <w:rFonts w:eastAsia="Calibri"/>
          <w:lang w:val="fr-FR"/>
        </w:rPr>
        <w:t>’</w:t>
      </w:r>
      <w:r w:rsidR="002C3ED7" w:rsidRPr="00363588">
        <w:rPr>
          <w:rFonts w:eastAsia="Calibri"/>
          <w:lang w:val="fr-FR"/>
        </w:rPr>
        <w:t>État partie concernant l</w:t>
      </w:r>
      <w:r w:rsidR="007408D0">
        <w:rPr>
          <w:rFonts w:eastAsia="Calibri"/>
          <w:lang w:val="fr-FR"/>
        </w:rPr>
        <w:t>’</w:t>
      </w:r>
      <w:r w:rsidR="002C3ED7" w:rsidRPr="00363588">
        <w:rPr>
          <w:rFonts w:eastAsia="Calibri"/>
          <w:lang w:val="fr-FR"/>
        </w:rPr>
        <w:t xml:space="preserve">objectif légitime poursuivi, ni justifié de toute autre manière que le traitement différencié constituait une discrimination. </w:t>
      </w:r>
      <w:r w:rsidR="00F5501C" w:rsidRPr="00363588">
        <w:rPr>
          <w:rFonts w:eastAsia="Calibri"/>
          <w:lang w:val="fr-FR"/>
        </w:rPr>
        <w:t>À</w:t>
      </w:r>
      <w:r w:rsidR="002C3ED7" w:rsidRPr="00363588">
        <w:rPr>
          <w:rFonts w:eastAsia="Calibri"/>
          <w:lang w:val="fr-FR"/>
        </w:rPr>
        <w:t xml:space="preserve"> cet égard, le Comité note que les auteurs ont simplement identifié un diplômé de l</w:t>
      </w:r>
      <w:r w:rsidR="007408D0">
        <w:rPr>
          <w:rFonts w:eastAsia="Calibri"/>
          <w:lang w:val="fr-FR"/>
        </w:rPr>
        <w:t>’</w:t>
      </w:r>
      <w:r w:rsidR="00F5501C" w:rsidRPr="00363588">
        <w:rPr>
          <w:rFonts w:eastAsia="Calibri"/>
        </w:rPr>
        <w:t>École nationale</w:t>
      </w:r>
      <w:r w:rsidR="00F5501C" w:rsidRPr="00363588">
        <w:t xml:space="preserve"> d’administration et de magistrature</w:t>
      </w:r>
      <w:r w:rsidR="002C3ED7" w:rsidRPr="00363588">
        <w:rPr>
          <w:rFonts w:eastAsia="Calibri"/>
          <w:lang w:val="fr-FR"/>
        </w:rPr>
        <w:t xml:space="preserve"> qui se trouverait dans la même situation et qui a été nommé dans la catégorie supérieure prévue par le décret n</w:t>
      </w:r>
      <w:r w:rsidR="00F5501C" w:rsidRPr="00D101CB">
        <w:rPr>
          <w:rFonts w:eastAsia="Calibri"/>
          <w:vertAlign w:val="superscript"/>
          <w:lang w:val="fr-FR"/>
        </w:rPr>
        <w:t>o</w:t>
      </w:r>
      <w:r w:rsidR="00F5501C" w:rsidRPr="00363588">
        <w:rPr>
          <w:rFonts w:eastAsia="Calibri"/>
          <w:lang w:val="fr-FR"/>
        </w:rPr>
        <w:t> </w:t>
      </w:r>
      <w:r w:rsidR="002C3ED7" w:rsidRPr="00363588">
        <w:rPr>
          <w:rFonts w:eastAsia="Calibri"/>
          <w:lang w:val="fr-FR"/>
        </w:rPr>
        <w:t>74/611</w:t>
      </w:r>
      <w:r w:rsidR="00A6525B" w:rsidRPr="00363588">
        <w:rPr>
          <w:rFonts w:eastAsia="Calibri"/>
          <w:lang w:val="fr-FR"/>
        </w:rPr>
        <w:t xml:space="preserve">. </w:t>
      </w:r>
      <w:r w:rsidR="00393899" w:rsidRPr="00363588">
        <w:rPr>
          <w:rFonts w:eastAsia="Calibri"/>
          <w:lang w:val="fr-FR"/>
        </w:rPr>
        <w:t xml:space="preserve">Le Comité estime qu’une simple différenciation de traitement entre individus liée à l’avancement ou à la promotion dans la fonction publique, en l’absence d’éléments supplémentaires </w:t>
      </w:r>
      <w:r w:rsidR="00F5501C" w:rsidRPr="00363588">
        <w:rPr>
          <w:rFonts w:eastAsia="Calibri"/>
          <w:lang w:val="fr-FR"/>
        </w:rPr>
        <w:t>démontrant</w:t>
      </w:r>
      <w:r w:rsidR="00393899" w:rsidRPr="00363588">
        <w:rPr>
          <w:rFonts w:eastAsia="Calibri"/>
          <w:lang w:val="fr-FR"/>
        </w:rPr>
        <w:t xml:space="preserve"> en quoi ce traitement n’est pas fondé sur des critères raisonnables et objectifs</w:t>
      </w:r>
      <w:r w:rsidR="00FB0220" w:rsidRPr="00363588">
        <w:rPr>
          <w:rFonts w:eastAsia="Calibri"/>
          <w:lang w:val="fr-FR"/>
        </w:rPr>
        <w:t xml:space="preserve"> </w:t>
      </w:r>
      <w:r w:rsidR="00393899" w:rsidRPr="00363588">
        <w:rPr>
          <w:rFonts w:eastAsia="Calibri"/>
          <w:lang w:val="fr-FR"/>
        </w:rPr>
        <w:t>ou ne poursuit pas un but légitime</w:t>
      </w:r>
      <w:r w:rsidR="00393899" w:rsidRPr="00D101CB">
        <w:rPr>
          <w:rStyle w:val="Appelnotedebasdep"/>
          <w:rFonts w:eastAsia="Calibri"/>
        </w:rPr>
        <w:footnoteReference w:id="19"/>
      </w:r>
      <w:r w:rsidR="00393899" w:rsidRPr="00363588">
        <w:rPr>
          <w:rFonts w:eastAsia="Calibri"/>
          <w:lang w:val="fr-FR"/>
        </w:rPr>
        <w:t xml:space="preserve">, ne suffit pas pour constater </w:t>
      </w:r>
      <w:r w:rsidR="00FB0220" w:rsidRPr="00363588">
        <w:rPr>
          <w:rFonts w:eastAsia="Calibri"/>
          <w:lang w:val="fr-FR"/>
        </w:rPr>
        <w:t xml:space="preserve">une discrimination </w:t>
      </w:r>
      <w:r w:rsidR="007740BE" w:rsidRPr="00363588">
        <w:rPr>
          <w:rFonts w:eastAsia="Calibri"/>
          <w:lang w:val="fr-FR"/>
        </w:rPr>
        <w:t>au</w:t>
      </w:r>
      <w:r w:rsidR="00393899" w:rsidRPr="00363588">
        <w:rPr>
          <w:rFonts w:eastAsia="Calibri"/>
          <w:lang w:val="fr-FR"/>
        </w:rPr>
        <w:t xml:space="preserve"> sens </w:t>
      </w:r>
      <w:r w:rsidR="00FB0220" w:rsidRPr="00363588">
        <w:rPr>
          <w:rFonts w:eastAsia="Calibri"/>
          <w:lang w:val="fr-FR"/>
        </w:rPr>
        <w:t>de l’article 26</w:t>
      </w:r>
      <w:r w:rsidR="00715309" w:rsidRPr="00363588">
        <w:rPr>
          <w:rFonts w:eastAsia="Calibri"/>
          <w:lang w:val="fr-FR"/>
        </w:rPr>
        <w:t xml:space="preserve"> du Pacte</w:t>
      </w:r>
      <w:r w:rsidR="00FB0220" w:rsidRPr="00363588">
        <w:rPr>
          <w:rFonts w:eastAsia="Calibri"/>
          <w:lang w:val="fr-FR"/>
        </w:rPr>
        <w:t xml:space="preserve">. </w:t>
      </w:r>
    </w:p>
    <w:p w14:paraId="1B6F472E" w14:textId="6A183E88" w:rsidR="00FB0220" w:rsidRPr="00363588" w:rsidRDefault="000D3F47" w:rsidP="00F92911">
      <w:pPr>
        <w:pStyle w:val="SingleTxtG"/>
        <w:rPr>
          <w:rFonts w:eastAsia="Calibri"/>
          <w:lang w:val="fr-FR"/>
        </w:rPr>
      </w:pPr>
      <w:r w:rsidRPr="00363588">
        <w:rPr>
          <w:rFonts w:eastAsia="Calibri"/>
          <w:lang w:val="fr-FR"/>
        </w:rPr>
        <w:t>10.</w:t>
      </w:r>
      <w:r w:rsidR="00ED7671" w:rsidRPr="00363588">
        <w:rPr>
          <w:rFonts w:eastAsia="Calibri"/>
          <w:lang w:val="fr-FR"/>
        </w:rPr>
        <w:t>6</w:t>
      </w:r>
      <w:r w:rsidRPr="00363588">
        <w:rPr>
          <w:rFonts w:eastAsia="Calibri"/>
          <w:lang w:val="fr-FR"/>
        </w:rPr>
        <w:tab/>
      </w:r>
      <w:r w:rsidR="00FB0220" w:rsidRPr="00363588">
        <w:rPr>
          <w:rFonts w:eastAsia="Calibri"/>
          <w:lang w:val="fr-FR"/>
        </w:rPr>
        <w:t xml:space="preserve">Le Comité </w:t>
      </w:r>
      <w:r w:rsidRPr="00363588">
        <w:rPr>
          <w:rFonts w:eastAsia="Calibri"/>
          <w:lang w:val="fr-FR"/>
        </w:rPr>
        <w:t xml:space="preserve">prend note des </w:t>
      </w:r>
      <w:r w:rsidR="00FB0220" w:rsidRPr="00363588">
        <w:rPr>
          <w:rFonts w:eastAsia="Calibri"/>
          <w:lang w:val="fr-FR"/>
        </w:rPr>
        <w:t xml:space="preserve">allégations soulevées </w:t>
      </w:r>
      <w:r w:rsidRPr="00363588">
        <w:rPr>
          <w:rFonts w:eastAsia="Calibri"/>
          <w:lang w:val="fr-FR"/>
        </w:rPr>
        <w:t xml:space="preserve">par les auteurs </w:t>
      </w:r>
      <w:r w:rsidR="00FB0220" w:rsidRPr="00363588">
        <w:rPr>
          <w:rFonts w:eastAsia="Calibri"/>
          <w:lang w:val="fr-FR"/>
        </w:rPr>
        <w:t xml:space="preserve">sur cette différence </w:t>
      </w:r>
      <w:r w:rsidRPr="00363588">
        <w:rPr>
          <w:rFonts w:eastAsia="Calibri"/>
          <w:lang w:val="fr-FR"/>
        </w:rPr>
        <w:t>de traitement entre les deux catégories de fonctionnaires</w:t>
      </w:r>
      <w:r w:rsidR="00F5501C" w:rsidRPr="00363588">
        <w:rPr>
          <w:rFonts w:eastAsia="Calibri"/>
          <w:lang w:val="fr-FR"/>
        </w:rPr>
        <w:t>,</w:t>
      </w:r>
      <w:r w:rsidRPr="00363588">
        <w:rPr>
          <w:rFonts w:eastAsia="Calibri"/>
          <w:lang w:val="fr-FR"/>
        </w:rPr>
        <w:t xml:space="preserve"> qui engendrerait </w:t>
      </w:r>
      <w:r w:rsidR="00FB0220" w:rsidRPr="00363588">
        <w:rPr>
          <w:rFonts w:eastAsia="Calibri"/>
          <w:lang w:val="fr-FR"/>
        </w:rPr>
        <w:t>une violation de l’article 25</w:t>
      </w:r>
      <w:r w:rsidR="00F5501C" w:rsidRPr="00363588">
        <w:rPr>
          <w:rFonts w:eastAsia="Calibri"/>
          <w:lang w:val="fr-FR"/>
        </w:rPr>
        <w:t xml:space="preserve"> </w:t>
      </w:r>
      <w:r w:rsidR="00FB0220" w:rsidRPr="00363588">
        <w:rPr>
          <w:rFonts w:eastAsia="Calibri"/>
          <w:lang w:val="fr-FR"/>
        </w:rPr>
        <w:t>(</w:t>
      </w:r>
      <w:r w:rsidR="00F5501C" w:rsidRPr="00363588">
        <w:rPr>
          <w:rFonts w:eastAsia="Calibri"/>
          <w:lang w:val="fr-FR"/>
        </w:rPr>
        <w:t>al</w:t>
      </w:r>
      <w:r w:rsidR="002B2A53" w:rsidRPr="00363588">
        <w:rPr>
          <w:rFonts w:eastAsia="Calibri"/>
          <w:lang w:val="fr-FR"/>
        </w:rPr>
        <w:t>.</w:t>
      </w:r>
      <w:r w:rsidR="00F5501C" w:rsidRPr="00363588">
        <w:rPr>
          <w:rFonts w:eastAsia="Calibri"/>
          <w:lang w:val="fr-FR"/>
        </w:rPr>
        <w:t> </w:t>
      </w:r>
      <w:r w:rsidR="00FB0220" w:rsidRPr="00363588">
        <w:rPr>
          <w:rFonts w:eastAsia="Calibri"/>
          <w:lang w:val="fr-FR"/>
        </w:rPr>
        <w:t>c)</w:t>
      </w:r>
      <w:r w:rsidR="002B2A53" w:rsidRPr="00363588">
        <w:rPr>
          <w:rFonts w:eastAsia="Calibri"/>
          <w:lang w:val="fr-FR"/>
        </w:rPr>
        <w:t>)</w:t>
      </w:r>
      <w:r w:rsidR="00FB0220" w:rsidRPr="00363588">
        <w:rPr>
          <w:rFonts w:eastAsia="Calibri"/>
          <w:lang w:val="fr-FR"/>
        </w:rPr>
        <w:t xml:space="preserve"> du Pacte, en ce sens </w:t>
      </w:r>
      <w:r w:rsidRPr="00363588">
        <w:rPr>
          <w:rFonts w:eastAsia="Calibri"/>
          <w:lang w:val="fr-FR"/>
        </w:rPr>
        <w:t xml:space="preserve">qu’ils </w:t>
      </w:r>
      <w:r w:rsidR="00FB0220" w:rsidRPr="00363588">
        <w:rPr>
          <w:rFonts w:eastAsia="Calibri"/>
          <w:lang w:val="fr-FR"/>
        </w:rPr>
        <w:t xml:space="preserve">n’ont pas </w:t>
      </w:r>
      <w:r w:rsidR="00F5501C" w:rsidRPr="00363588">
        <w:rPr>
          <w:rFonts w:eastAsia="Calibri"/>
          <w:lang w:val="fr-FR"/>
        </w:rPr>
        <w:t>eu la possibilité</w:t>
      </w:r>
      <w:r w:rsidR="00FB0220" w:rsidRPr="00363588">
        <w:rPr>
          <w:rFonts w:eastAsia="Calibri"/>
          <w:lang w:val="fr-FR"/>
        </w:rPr>
        <w:t xml:space="preserve"> d’accéder dans des conditions d’égalité à la fonction publique de leur pays.</w:t>
      </w:r>
      <w:r w:rsidR="00202B19" w:rsidRPr="00363588">
        <w:rPr>
          <w:rFonts w:eastAsia="Calibri"/>
          <w:lang w:val="fr-FR"/>
        </w:rPr>
        <w:t xml:space="preserve"> Le </w:t>
      </w:r>
      <w:r w:rsidR="00F5501C" w:rsidRPr="00363588">
        <w:rPr>
          <w:rFonts w:eastAsia="Calibri"/>
          <w:lang w:val="fr-FR"/>
        </w:rPr>
        <w:t>C</w:t>
      </w:r>
      <w:r w:rsidR="00202B19" w:rsidRPr="00363588">
        <w:rPr>
          <w:rFonts w:eastAsia="Calibri"/>
          <w:lang w:val="fr-FR"/>
        </w:rPr>
        <w:t>omité observe néanmoins que, bien qu’</w:t>
      </w:r>
      <w:r w:rsidR="00F5501C" w:rsidRPr="00363588">
        <w:rPr>
          <w:rFonts w:eastAsia="Calibri"/>
          <w:lang w:val="fr-FR"/>
        </w:rPr>
        <w:t xml:space="preserve">ils aient été </w:t>
      </w:r>
      <w:r w:rsidR="00202B19" w:rsidRPr="00363588">
        <w:rPr>
          <w:rFonts w:eastAsia="Calibri"/>
          <w:lang w:val="fr-FR"/>
        </w:rPr>
        <w:t>affectés à une catégorie inférieure à celle à laquelle ils prétendent avoir droit en vertu du droit national, les auteurs ont toutefois bien été recrutés en tant que fonctionnaires</w:t>
      </w:r>
      <w:r w:rsidR="0070349D" w:rsidRPr="00363588">
        <w:rPr>
          <w:rFonts w:eastAsia="Calibri"/>
          <w:lang w:val="fr-FR"/>
        </w:rPr>
        <w:t xml:space="preserve">. </w:t>
      </w:r>
      <w:r w:rsidR="00F5501C" w:rsidRPr="00363588">
        <w:rPr>
          <w:rFonts w:eastAsia="Calibri"/>
          <w:lang w:val="fr-FR"/>
        </w:rPr>
        <w:t>En conséquence,</w:t>
      </w:r>
      <w:r w:rsidR="0070349D" w:rsidRPr="00363588">
        <w:rPr>
          <w:rFonts w:eastAsia="Calibri"/>
          <w:lang w:val="fr-FR"/>
        </w:rPr>
        <w:t xml:space="preserve"> ayant </w:t>
      </w:r>
      <w:r w:rsidR="00F5501C" w:rsidRPr="00363588">
        <w:rPr>
          <w:rFonts w:eastAsia="Calibri"/>
          <w:lang w:val="fr-FR"/>
        </w:rPr>
        <w:t>par ailleurs déterminé</w:t>
      </w:r>
      <w:r w:rsidR="0070349D" w:rsidRPr="00363588">
        <w:rPr>
          <w:rFonts w:eastAsia="Calibri"/>
          <w:lang w:val="fr-FR"/>
        </w:rPr>
        <w:t xml:space="preserve"> que le traitement discriminatoire n’</w:t>
      </w:r>
      <w:r w:rsidR="00F5501C" w:rsidRPr="00363588">
        <w:rPr>
          <w:rFonts w:eastAsia="Calibri"/>
          <w:lang w:val="fr-FR"/>
        </w:rPr>
        <w:t>était</w:t>
      </w:r>
      <w:r w:rsidR="0070349D" w:rsidRPr="00363588">
        <w:rPr>
          <w:rFonts w:eastAsia="Calibri"/>
          <w:lang w:val="fr-FR"/>
        </w:rPr>
        <w:t xml:space="preserve"> pas établi dans le cas </w:t>
      </w:r>
      <w:r w:rsidR="00B91728" w:rsidRPr="00363588">
        <w:rPr>
          <w:rFonts w:eastAsia="Calibri"/>
          <w:lang w:val="fr-FR"/>
        </w:rPr>
        <w:t>présent</w:t>
      </w:r>
      <w:r w:rsidR="0070349D" w:rsidRPr="00363588">
        <w:rPr>
          <w:rFonts w:eastAsia="Calibri"/>
          <w:lang w:val="fr-FR"/>
        </w:rPr>
        <w:t xml:space="preserve">, le Comité </w:t>
      </w:r>
      <w:r w:rsidR="00F5501C" w:rsidRPr="00363588">
        <w:rPr>
          <w:rFonts w:eastAsia="Calibri"/>
          <w:lang w:val="fr-FR"/>
        </w:rPr>
        <w:t>est d’avis</w:t>
      </w:r>
      <w:r w:rsidR="0070349D" w:rsidRPr="00363588">
        <w:rPr>
          <w:rFonts w:eastAsia="Calibri"/>
          <w:lang w:val="fr-FR"/>
        </w:rPr>
        <w:t xml:space="preserve"> que les informations </w:t>
      </w:r>
      <w:r w:rsidR="00F5501C" w:rsidRPr="00363588">
        <w:rPr>
          <w:rFonts w:eastAsia="Calibri"/>
          <w:lang w:val="fr-FR"/>
        </w:rPr>
        <w:t>fournies</w:t>
      </w:r>
      <w:r w:rsidR="0070349D" w:rsidRPr="00363588">
        <w:rPr>
          <w:rFonts w:eastAsia="Calibri"/>
          <w:lang w:val="fr-FR"/>
        </w:rPr>
        <w:t xml:space="preserve"> ne lui permettent p</w:t>
      </w:r>
      <w:r w:rsidR="00B8750D" w:rsidRPr="00363588">
        <w:rPr>
          <w:rFonts w:eastAsia="Calibri"/>
          <w:lang w:val="fr-FR"/>
        </w:rPr>
        <w:t>as de conclure que le</w:t>
      </w:r>
      <w:r w:rsidR="00F5501C" w:rsidRPr="00363588">
        <w:rPr>
          <w:rFonts w:eastAsia="Calibri"/>
          <w:lang w:val="fr-FR"/>
        </w:rPr>
        <w:t>s</w:t>
      </w:r>
      <w:r w:rsidR="00B8750D" w:rsidRPr="00363588">
        <w:rPr>
          <w:rFonts w:eastAsia="Calibri"/>
          <w:lang w:val="fr-FR"/>
        </w:rPr>
        <w:t xml:space="preserve"> droit</w:t>
      </w:r>
      <w:r w:rsidR="00F5501C" w:rsidRPr="00363588">
        <w:rPr>
          <w:rFonts w:eastAsia="Calibri"/>
          <w:lang w:val="fr-FR"/>
        </w:rPr>
        <w:t>s</w:t>
      </w:r>
      <w:r w:rsidR="00B8750D" w:rsidRPr="00363588">
        <w:rPr>
          <w:rFonts w:eastAsia="Calibri"/>
          <w:lang w:val="fr-FR"/>
        </w:rPr>
        <w:t xml:space="preserve"> des </w:t>
      </w:r>
      <w:r w:rsidR="0070349D" w:rsidRPr="00363588">
        <w:rPr>
          <w:rFonts w:eastAsia="Calibri"/>
          <w:lang w:val="fr-FR"/>
        </w:rPr>
        <w:t>auteur</w:t>
      </w:r>
      <w:r w:rsidR="00B8750D" w:rsidRPr="00363588">
        <w:rPr>
          <w:rFonts w:eastAsia="Calibri"/>
          <w:lang w:val="fr-FR"/>
        </w:rPr>
        <w:t>s</w:t>
      </w:r>
      <w:r w:rsidR="0070349D" w:rsidRPr="00363588">
        <w:rPr>
          <w:rFonts w:eastAsia="Calibri"/>
          <w:lang w:val="fr-FR"/>
        </w:rPr>
        <w:t xml:space="preserve"> </w:t>
      </w:r>
      <w:r w:rsidR="00F5501C" w:rsidRPr="00363588">
        <w:rPr>
          <w:rFonts w:eastAsia="Calibri"/>
          <w:lang w:val="fr-FR"/>
        </w:rPr>
        <w:t>au titre</w:t>
      </w:r>
      <w:r w:rsidR="0070349D" w:rsidRPr="00363588">
        <w:rPr>
          <w:rFonts w:eastAsia="Calibri"/>
          <w:lang w:val="fr-FR"/>
        </w:rPr>
        <w:t xml:space="preserve"> de l’article 25 (</w:t>
      </w:r>
      <w:r w:rsidR="00F5501C" w:rsidRPr="00363588">
        <w:rPr>
          <w:rFonts w:eastAsia="Calibri"/>
          <w:lang w:val="fr-FR"/>
        </w:rPr>
        <w:t>al</w:t>
      </w:r>
      <w:r w:rsidR="002B2A53" w:rsidRPr="00363588">
        <w:rPr>
          <w:rFonts w:eastAsia="Calibri"/>
          <w:lang w:val="fr-FR"/>
        </w:rPr>
        <w:t>.</w:t>
      </w:r>
      <w:r w:rsidR="00F5501C" w:rsidRPr="00363588">
        <w:rPr>
          <w:rFonts w:eastAsia="Calibri"/>
          <w:lang w:val="fr-FR"/>
        </w:rPr>
        <w:t> </w:t>
      </w:r>
      <w:r w:rsidR="0070349D" w:rsidRPr="00363588">
        <w:rPr>
          <w:rFonts w:eastAsia="Calibri"/>
          <w:lang w:val="fr-FR"/>
        </w:rPr>
        <w:t>c)</w:t>
      </w:r>
      <w:r w:rsidR="002B2A53" w:rsidRPr="00363588">
        <w:rPr>
          <w:rFonts w:eastAsia="Calibri"/>
          <w:lang w:val="fr-FR"/>
        </w:rPr>
        <w:t>)</w:t>
      </w:r>
      <w:r w:rsidR="0070349D" w:rsidRPr="00363588">
        <w:rPr>
          <w:rFonts w:eastAsia="Calibri"/>
          <w:lang w:val="fr-FR"/>
        </w:rPr>
        <w:t xml:space="preserve"> du Pacte </w:t>
      </w:r>
      <w:r w:rsidR="00F5501C" w:rsidRPr="00363588">
        <w:rPr>
          <w:rFonts w:eastAsia="Calibri"/>
          <w:lang w:val="fr-FR"/>
        </w:rPr>
        <w:t>ont</w:t>
      </w:r>
      <w:r w:rsidR="00B91728" w:rsidRPr="00363588">
        <w:rPr>
          <w:rFonts w:eastAsia="Calibri"/>
          <w:lang w:val="fr-FR"/>
        </w:rPr>
        <w:t xml:space="preserve"> été</w:t>
      </w:r>
      <w:r w:rsidR="0070349D" w:rsidRPr="00363588">
        <w:rPr>
          <w:rFonts w:eastAsia="Calibri"/>
          <w:lang w:val="fr-FR"/>
        </w:rPr>
        <w:t xml:space="preserve"> violé</w:t>
      </w:r>
      <w:r w:rsidR="00F5501C" w:rsidRPr="00363588">
        <w:rPr>
          <w:rFonts w:eastAsia="Calibri"/>
          <w:lang w:val="fr-FR"/>
        </w:rPr>
        <w:t>s</w:t>
      </w:r>
      <w:r w:rsidR="0070349D" w:rsidRPr="00363588">
        <w:rPr>
          <w:rFonts w:eastAsia="Calibri"/>
          <w:lang w:val="fr-FR"/>
        </w:rPr>
        <w:t xml:space="preserve">. </w:t>
      </w:r>
    </w:p>
    <w:p w14:paraId="460352F6" w14:textId="4A1BD3A7" w:rsidR="00FB0220" w:rsidRDefault="0070349D" w:rsidP="00F92911">
      <w:pPr>
        <w:pStyle w:val="SingleTxtG"/>
        <w:rPr>
          <w:lang w:val="fr-FR"/>
        </w:rPr>
      </w:pPr>
      <w:r w:rsidRPr="00363588">
        <w:t>11</w:t>
      </w:r>
      <w:r w:rsidR="00DC24B5" w:rsidRPr="00363588">
        <w:t>.</w:t>
      </w:r>
      <w:r w:rsidR="0027460E" w:rsidRPr="00363588">
        <w:tab/>
      </w:r>
      <w:r w:rsidR="0027460E" w:rsidRPr="00363588">
        <w:rPr>
          <w:rFonts w:eastAsia="Calibri"/>
          <w:lang w:val="fr-FR"/>
        </w:rPr>
        <w:t>Le</w:t>
      </w:r>
      <w:r w:rsidR="00FB0220" w:rsidRPr="00363588">
        <w:rPr>
          <w:rFonts w:eastAsia="Calibri"/>
          <w:lang w:val="fr-FR"/>
        </w:rPr>
        <w:t xml:space="preserve"> Comité, agissant en vertu </w:t>
      </w:r>
      <w:r w:rsidR="00AD63F2" w:rsidRPr="00363588">
        <w:rPr>
          <w:rFonts w:eastAsia="Calibri"/>
          <w:lang w:val="fr-FR"/>
        </w:rPr>
        <w:t>de l’article 5</w:t>
      </w:r>
      <w:r w:rsidR="00FB0220" w:rsidRPr="00363588">
        <w:rPr>
          <w:rFonts w:eastAsia="Calibri"/>
          <w:lang w:val="fr-FR"/>
        </w:rPr>
        <w:t xml:space="preserve"> </w:t>
      </w:r>
      <w:r w:rsidR="002B2A53" w:rsidRPr="00363588">
        <w:rPr>
          <w:rFonts w:eastAsia="Calibri"/>
          <w:lang w:val="fr-FR"/>
        </w:rPr>
        <w:t>(</w:t>
      </w:r>
      <w:r w:rsidR="00FB0220" w:rsidRPr="00363588">
        <w:rPr>
          <w:rFonts w:eastAsia="Calibri"/>
          <w:lang w:val="fr-FR"/>
        </w:rPr>
        <w:t>par</w:t>
      </w:r>
      <w:r w:rsidR="002B2A53" w:rsidRPr="00363588">
        <w:rPr>
          <w:rFonts w:eastAsia="Calibri"/>
          <w:lang w:val="fr-FR"/>
        </w:rPr>
        <w:t>.</w:t>
      </w:r>
      <w:r w:rsidR="00FB0220" w:rsidRPr="00363588">
        <w:rPr>
          <w:rFonts w:eastAsia="Calibri"/>
          <w:lang w:val="fr-FR"/>
        </w:rPr>
        <w:t xml:space="preserve"> 4</w:t>
      </w:r>
      <w:r w:rsidR="002B2A53" w:rsidRPr="00363588">
        <w:rPr>
          <w:rFonts w:eastAsia="Calibri"/>
          <w:lang w:val="fr-FR"/>
        </w:rPr>
        <w:t>)</w:t>
      </w:r>
      <w:r w:rsidR="00FB0220" w:rsidRPr="00363588">
        <w:rPr>
          <w:rFonts w:eastAsia="Calibri"/>
          <w:lang w:val="fr-FR"/>
        </w:rPr>
        <w:t xml:space="preserve"> du Protocole facultatif, constate que les </w:t>
      </w:r>
      <w:r w:rsidR="0027460E" w:rsidRPr="00363588">
        <w:rPr>
          <w:rFonts w:eastAsia="Calibri"/>
          <w:lang w:val="fr-FR"/>
        </w:rPr>
        <w:t xml:space="preserve">griefs présentés par </w:t>
      </w:r>
      <w:r w:rsidR="00FB0220" w:rsidRPr="00363588">
        <w:rPr>
          <w:rFonts w:eastAsia="Calibri"/>
          <w:lang w:val="fr-FR"/>
        </w:rPr>
        <w:t xml:space="preserve">les auteurs </w:t>
      </w:r>
      <w:r w:rsidR="0027460E" w:rsidRPr="00363588">
        <w:rPr>
          <w:rFonts w:eastAsia="Calibri"/>
        </w:rPr>
        <w:t xml:space="preserve">n’ont pas donné lieu à une violation </w:t>
      </w:r>
      <w:r w:rsidR="00AD63F2" w:rsidRPr="00363588">
        <w:rPr>
          <w:rFonts w:eastAsia="Calibri"/>
        </w:rPr>
        <w:t xml:space="preserve">par l’État partie </w:t>
      </w:r>
      <w:r w:rsidR="0027460E" w:rsidRPr="00363588">
        <w:rPr>
          <w:rFonts w:eastAsia="Calibri"/>
        </w:rPr>
        <w:t xml:space="preserve">des droits qu’ils </w:t>
      </w:r>
      <w:r w:rsidR="00FB0220" w:rsidRPr="00363588">
        <w:rPr>
          <w:rFonts w:eastAsia="Calibri"/>
          <w:lang w:val="fr-FR"/>
        </w:rPr>
        <w:t>tiennent des articles 25 (</w:t>
      </w:r>
      <w:r w:rsidR="00AD63F2" w:rsidRPr="00363588">
        <w:rPr>
          <w:rFonts w:eastAsia="Calibri"/>
          <w:lang w:val="fr-FR"/>
        </w:rPr>
        <w:t>al</w:t>
      </w:r>
      <w:r w:rsidR="002B2A53" w:rsidRPr="00363588">
        <w:rPr>
          <w:rFonts w:eastAsia="Calibri"/>
          <w:lang w:val="fr-FR"/>
        </w:rPr>
        <w:t>.</w:t>
      </w:r>
      <w:r w:rsidR="00AD63F2" w:rsidRPr="00363588">
        <w:rPr>
          <w:rFonts w:eastAsia="Calibri"/>
          <w:lang w:val="fr-FR"/>
        </w:rPr>
        <w:t> </w:t>
      </w:r>
      <w:r w:rsidR="00FB0220" w:rsidRPr="00363588">
        <w:rPr>
          <w:rFonts w:eastAsia="Calibri"/>
          <w:lang w:val="fr-FR"/>
        </w:rPr>
        <w:t>c)</w:t>
      </w:r>
      <w:r w:rsidR="002B2A53" w:rsidRPr="00363588">
        <w:rPr>
          <w:rFonts w:eastAsia="Calibri"/>
          <w:lang w:val="fr-FR"/>
        </w:rPr>
        <w:t>)</w:t>
      </w:r>
      <w:r w:rsidR="0027460E" w:rsidRPr="00363588">
        <w:rPr>
          <w:rFonts w:eastAsia="Calibri"/>
          <w:lang w:val="fr-FR"/>
        </w:rPr>
        <w:t xml:space="preserve"> </w:t>
      </w:r>
      <w:r w:rsidR="00AD63F2" w:rsidRPr="00363588">
        <w:rPr>
          <w:rFonts w:eastAsia="Calibri"/>
          <w:lang w:val="fr-FR"/>
        </w:rPr>
        <w:t xml:space="preserve">et </w:t>
      </w:r>
      <w:r w:rsidR="00FB0220" w:rsidRPr="00363588">
        <w:rPr>
          <w:rFonts w:eastAsia="Calibri"/>
          <w:lang w:val="fr-FR"/>
        </w:rPr>
        <w:t>26</w:t>
      </w:r>
      <w:r w:rsidR="002B2A53" w:rsidRPr="00363588">
        <w:rPr>
          <w:rFonts w:eastAsia="Calibri"/>
          <w:lang w:val="fr-FR"/>
        </w:rPr>
        <w:t xml:space="preserve"> du Pacte</w:t>
      </w:r>
      <w:r w:rsidR="00A64E56" w:rsidRPr="00363588">
        <w:rPr>
          <w:rFonts w:eastAsia="Calibri"/>
        </w:rPr>
        <w:t xml:space="preserve">, ainsi que </w:t>
      </w:r>
      <w:r w:rsidR="00AD63F2" w:rsidRPr="00363588">
        <w:rPr>
          <w:rFonts w:eastAsia="Calibri"/>
        </w:rPr>
        <w:t xml:space="preserve">de </w:t>
      </w:r>
      <w:r w:rsidR="00A64E56" w:rsidRPr="00363588">
        <w:rPr>
          <w:rFonts w:eastAsia="Calibri"/>
        </w:rPr>
        <w:t>l’article 25 (</w:t>
      </w:r>
      <w:r w:rsidR="002B2A53" w:rsidRPr="00363588">
        <w:rPr>
          <w:rFonts w:eastAsia="Calibri"/>
        </w:rPr>
        <w:t>al.</w:t>
      </w:r>
      <w:r w:rsidR="00AD63F2" w:rsidRPr="00363588">
        <w:rPr>
          <w:rFonts w:eastAsia="Calibri"/>
        </w:rPr>
        <w:t> </w:t>
      </w:r>
      <w:r w:rsidR="00A64E56" w:rsidRPr="00363588">
        <w:rPr>
          <w:rFonts w:eastAsia="Calibri"/>
        </w:rPr>
        <w:t>c)</w:t>
      </w:r>
      <w:r w:rsidR="002B2A53" w:rsidRPr="00363588">
        <w:rPr>
          <w:rFonts w:eastAsia="Calibri"/>
        </w:rPr>
        <w:t>)</w:t>
      </w:r>
      <w:r w:rsidR="00A64E56" w:rsidRPr="00363588">
        <w:rPr>
          <w:rFonts w:eastAsia="Calibri"/>
        </w:rPr>
        <w:t xml:space="preserve"> lu conjointement avec</w:t>
      </w:r>
      <w:r w:rsidR="00FB0220" w:rsidRPr="00363588">
        <w:rPr>
          <w:rFonts w:eastAsia="Calibri"/>
          <w:lang w:val="fr-FR"/>
        </w:rPr>
        <w:t xml:space="preserve"> l’article 2</w:t>
      </w:r>
      <w:r w:rsidR="00AD63F2" w:rsidRPr="00363588">
        <w:rPr>
          <w:rFonts w:eastAsia="Calibri"/>
          <w:lang w:val="fr-FR"/>
        </w:rPr>
        <w:t xml:space="preserve"> </w:t>
      </w:r>
      <w:r w:rsidR="002B2A53" w:rsidRPr="00363588">
        <w:rPr>
          <w:rFonts w:eastAsia="Calibri"/>
          <w:lang w:val="fr-FR"/>
        </w:rPr>
        <w:t>(</w:t>
      </w:r>
      <w:r w:rsidR="00AD63F2" w:rsidRPr="00363588">
        <w:rPr>
          <w:rFonts w:eastAsia="Calibri"/>
          <w:lang w:val="fr-FR"/>
        </w:rPr>
        <w:t>par</w:t>
      </w:r>
      <w:r w:rsidR="002B2A53" w:rsidRPr="00363588">
        <w:rPr>
          <w:rFonts w:eastAsia="Calibri"/>
          <w:lang w:val="fr-FR"/>
        </w:rPr>
        <w:t>.</w:t>
      </w:r>
      <w:r w:rsidR="00FB0220" w:rsidRPr="00363588">
        <w:rPr>
          <w:rFonts w:eastAsia="Calibri"/>
          <w:lang w:val="fr-FR"/>
        </w:rPr>
        <w:t xml:space="preserve"> </w:t>
      </w:r>
      <w:r w:rsidR="00A64E56" w:rsidRPr="00363588">
        <w:rPr>
          <w:rFonts w:eastAsia="Calibri"/>
        </w:rPr>
        <w:t>1 et 3) du Pacte.</w:t>
      </w:r>
      <w:r w:rsidR="00A64E56" w:rsidRPr="000A7412">
        <w:rPr>
          <w:rFonts w:eastAsia="Calibri"/>
        </w:rPr>
        <w:t xml:space="preserve"> </w:t>
      </w:r>
    </w:p>
    <w:p w14:paraId="59B54236" w14:textId="065A678C" w:rsidR="00BB4810" w:rsidRPr="003A4E11" w:rsidRDefault="003A4E11" w:rsidP="000E4B13">
      <w:pPr>
        <w:pStyle w:val="SingleTxtG"/>
        <w:spacing w:before="240" w:after="0"/>
        <w:jc w:val="center"/>
        <w:rPr>
          <w:u w:val="single"/>
        </w:rPr>
      </w:pPr>
      <w:r>
        <w:rPr>
          <w:u w:val="single"/>
        </w:rPr>
        <w:tab/>
      </w:r>
      <w:r>
        <w:rPr>
          <w:u w:val="single"/>
        </w:rPr>
        <w:tab/>
      </w:r>
      <w:r>
        <w:rPr>
          <w:u w:val="single"/>
        </w:rPr>
        <w:tab/>
      </w:r>
      <w:r w:rsidR="00DC24B5">
        <w:rPr>
          <w:u w:val="single"/>
        </w:rPr>
        <w:tab/>
      </w:r>
      <w:bookmarkStart w:id="0" w:name="_GoBack"/>
      <w:bookmarkEnd w:id="0"/>
    </w:p>
    <w:sectPr w:rsidR="00BB4810" w:rsidRPr="003A4E11" w:rsidSect="00F60EE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FD01" w14:textId="77777777" w:rsidR="00F973D6" w:rsidRDefault="00F973D6"/>
  </w:endnote>
  <w:endnote w:type="continuationSeparator" w:id="0">
    <w:p w14:paraId="1771A924" w14:textId="77777777" w:rsidR="00F973D6" w:rsidRDefault="00F973D6"/>
  </w:endnote>
  <w:endnote w:type="continuationNotice" w:id="1">
    <w:p w14:paraId="08788B93" w14:textId="77777777" w:rsidR="00F973D6" w:rsidRDefault="00F9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52ED" w14:textId="0DF045B5" w:rsidR="00F973D6" w:rsidRPr="00FB0220" w:rsidRDefault="00F973D6" w:rsidP="00FB0220">
    <w:pPr>
      <w:pStyle w:val="Pieddepage"/>
      <w:tabs>
        <w:tab w:val="right" w:pos="9638"/>
      </w:tabs>
      <w:rPr>
        <w:sz w:val="18"/>
      </w:rPr>
    </w:pPr>
    <w:r w:rsidRPr="00FB0220">
      <w:rPr>
        <w:b/>
        <w:sz w:val="18"/>
      </w:rPr>
      <w:fldChar w:fldCharType="begin"/>
    </w:r>
    <w:r w:rsidRPr="00FB0220">
      <w:rPr>
        <w:b/>
        <w:sz w:val="18"/>
      </w:rPr>
      <w:instrText xml:space="preserve"> PAGE  \* MERGEFORMAT </w:instrText>
    </w:r>
    <w:r w:rsidRPr="00FB0220">
      <w:rPr>
        <w:b/>
        <w:sz w:val="18"/>
      </w:rPr>
      <w:fldChar w:fldCharType="separate"/>
    </w:r>
    <w:r w:rsidR="004A56D3">
      <w:rPr>
        <w:b/>
        <w:noProof/>
        <w:sz w:val="18"/>
      </w:rPr>
      <w:t>8</w:t>
    </w:r>
    <w:r w:rsidRPr="00FB022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C021" w14:textId="1B68634F" w:rsidR="00F973D6" w:rsidRPr="00FB0220" w:rsidRDefault="00F973D6" w:rsidP="00FB0220">
    <w:pPr>
      <w:pStyle w:val="Pieddepage"/>
      <w:tabs>
        <w:tab w:val="right" w:pos="9638"/>
      </w:tabs>
      <w:rPr>
        <w:b/>
        <w:sz w:val="18"/>
      </w:rPr>
    </w:pPr>
    <w:r>
      <w:tab/>
    </w:r>
    <w:r w:rsidRPr="00FB0220">
      <w:rPr>
        <w:b/>
        <w:sz w:val="18"/>
      </w:rPr>
      <w:fldChar w:fldCharType="begin"/>
    </w:r>
    <w:r w:rsidRPr="00FB0220">
      <w:rPr>
        <w:b/>
        <w:sz w:val="18"/>
      </w:rPr>
      <w:instrText xml:space="preserve"> PAGE  \* MERGEFORMAT </w:instrText>
    </w:r>
    <w:r w:rsidRPr="00FB0220">
      <w:rPr>
        <w:b/>
        <w:sz w:val="18"/>
      </w:rPr>
      <w:fldChar w:fldCharType="separate"/>
    </w:r>
    <w:r w:rsidR="004A56D3">
      <w:rPr>
        <w:b/>
        <w:noProof/>
        <w:sz w:val="18"/>
      </w:rPr>
      <w:t>7</w:t>
    </w:r>
    <w:r w:rsidRPr="00FB02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A6D" w14:textId="793B55F6" w:rsidR="00F973D6" w:rsidRPr="0042189B" w:rsidRDefault="0042189B" w:rsidP="0042189B">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2C4226A4" wp14:editId="35FC2504">
          <wp:simplePos x="0" y="0"/>
          <wp:positionH relativeFrom="margin">
            <wp:posOffset>4314881</wp:posOffset>
          </wp:positionH>
          <wp:positionV relativeFrom="margin">
            <wp:posOffset>9224387</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A2D0E4" wp14:editId="035FD09B">
          <wp:simplePos x="0" y="0"/>
          <wp:positionH relativeFrom="column">
            <wp:posOffset>5481376</wp:posOffset>
          </wp:positionH>
          <wp:positionV relativeFrom="paragraph">
            <wp:posOffset>5025</wp:posOffset>
          </wp:positionV>
          <wp:extent cx="638175" cy="638175"/>
          <wp:effectExtent l="0" t="0" r="9525" b="9525"/>
          <wp:wrapNone/>
          <wp:docPr id="3" name="Image 1" descr="https://undocs.org/m2/QRCode.ashx?DS=CCPR/C/126/D/2213/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13/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GE.19-17</w:t>
    </w:r>
    <w:r>
      <w:rPr>
        <w:sz w:val="20"/>
      </w:rPr>
      <w:t>617</w:t>
    </w:r>
    <w:r>
      <w:rPr>
        <w:sz w:val="20"/>
      </w:rPr>
      <w:t xml:space="preserve">  (F)</w:t>
    </w:r>
    <w:r>
      <w:br/>
    </w:r>
    <w:r w:rsidRPr="0042189B">
      <w:rPr>
        <w:rFonts w:ascii="C39T30Lfz" w:hAnsi="C39T30Lfz"/>
        <w:sz w:val="56"/>
      </w:rPr>
      <w:t></w:t>
    </w:r>
    <w:r w:rsidRPr="0042189B">
      <w:rPr>
        <w:rFonts w:ascii="C39T30Lfz" w:hAnsi="C39T30Lfz"/>
        <w:sz w:val="56"/>
      </w:rPr>
      <w:t></w:t>
    </w:r>
    <w:r w:rsidRPr="0042189B">
      <w:rPr>
        <w:rFonts w:ascii="C39T30Lfz" w:hAnsi="C39T30Lfz"/>
        <w:sz w:val="56"/>
      </w:rPr>
      <w:t></w:t>
    </w:r>
    <w:r w:rsidRPr="0042189B">
      <w:rPr>
        <w:rFonts w:ascii="C39T30Lfz" w:hAnsi="C39T30Lfz"/>
        <w:sz w:val="56"/>
      </w:rPr>
      <w:t></w:t>
    </w:r>
    <w:r w:rsidRPr="0042189B">
      <w:rPr>
        <w:rFonts w:ascii="C39T30Lfz" w:hAnsi="C39T30Lfz"/>
        <w:sz w:val="56"/>
      </w:rPr>
      <w:t></w:t>
    </w:r>
    <w:r w:rsidRPr="0042189B">
      <w:rPr>
        <w:rFonts w:ascii="C39T30Lfz" w:hAnsi="C39T30Lfz"/>
        <w:sz w:val="56"/>
      </w:rPr>
      <w:t></w:t>
    </w:r>
    <w:r w:rsidRPr="0042189B">
      <w:rPr>
        <w:rFonts w:ascii="C39T30Lfz" w:hAnsi="C39T30Lfz"/>
        <w:sz w:val="56"/>
      </w:rPr>
      <w:t></w:t>
    </w:r>
    <w:r w:rsidRPr="0042189B">
      <w:rPr>
        <w:rFonts w:ascii="C39T30Lfz" w:hAnsi="C39T30Lfz"/>
        <w:sz w:val="56"/>
      </w:rPr>
      <w:t></w:t>
    </w:r>
    <w:r w:rsidRPr="0042189B">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D0E5" w14:textId="77777777" w:rsidR="00F973D6" w:rsidRPr="00D27D5E" w:rsidRDefault="00F973D6" w:rsidP="00D27D5E">
      <w:pPr>
        <w:tabs>
          <w:tab w:val="right" w:pos="2155"/>
        </w:tabs>
        <w:spacing w:after="80"/>
        <w:ind w:left="680"/>
        <w:rPr>
          <w:u w:val="single"/>
        </w:rPr>
      </w:pPr>
      <w:r>
        <w:rPr>
          <w:u w:val="single"/>
        </w:rPr>
        <w:tab/>
      </w:r>
    </w:p>
  </w:footnote>
  <w:footnote w:type="continuationSeparator" w:id="0">
    <w:p w14:paraId="00DC5F68" w14:textId="77777777" w:rsidR="00F973D6" w:rsidRPr="00091505" w:rsidRDefault="00F973D6" w:rsidP="00091505">
      <w:pPr>
        <w:tabs>
          <w:tab w:val="right" w:pos="2155"/>
        </w:tabs>
        <w:spacing w:after="80"/>
        <w:ind w:left="680"/>
        <w:rPr>
          <w:u w:val="single"/>
        </w:rPr>
      </w:pPr>
      <w:r w:rsidRPr="00091505">
        <w:rPr>
          <w:u w:val="single"/>
        </w:rPr>
        <w:tab/>
      </w:r>
    </w:p>
  </w:footnote>
  <w:footnote w:type="continuationNotice" w:id="1">
    <w:p w14:paraId="68B00263" w14:textId="77777777" w:rsidR="00F973D6" w:rsidRDefault="00F973D6"/>
  </w:footnote>
  <w:footnote w:id="2">
    <w:p w14:paraId="452992F9" w14:textId="39889C54" w:rsidR="00F973D6" w:rsidRPr="00B7608D" w:rsidRDefault="00F973D6">
      <w:pPr>
        <w:pStyle w:val="Notedebasdepage"/>
        <w:rPr>
          <w:lang w:val="fr-FR"/>
        </w:rPr>
      </w:pPr>
      <w:r w:rsidRPr="00D101CB">
        <w:rPr>
          <w:rStyle w:val="Appelnotedebasdep"/>
          <w:sz w:val="20"/>
        </w:rPr>
        <w:tab/>
      </w:r>
      <w:r w:rsidRPr="00D101CB">
        <w:rPr>
          <w:rStyle w:val="Appelnotedebasdep"/>
          <w:sz w:val="20"/>
          <w:vertAlign w:val="baseline"/>
        </w:rPr>
        <w:t>*</w:t>
      </w:r>
      <w:r w:rsidRPr="00363588">
        <w:rPr>
          <w:rStyle w:val="Appelnotedebasdep"/>
          <w:sz w:val="20"/>
          <w:vertAlign w:val="baseline"/>
        </w:rPr>
        <w:tab/>
      </w:r>
      <w:r w:rsidRPr="00363588">
        <w:t>Adoptées par le Comité à sa 126</w:t>
      </w:r>
      <w:r w:rsidRPr="00363588">
        <w:rPr>
          <w:vertAlign w:val="superscript"/>
        </w:rPr>
        <w:t>e</w:t>
      </w:r>
      <w:r w:rsidRPr="00363588">
        <w:t xml:space="preserve"> session (1</w:t>
      </w:r>
      <w:r w:rsidRPr="00D101CB">
        <w:rPr>
          <w:vertAlign w:val="superscript"/>
        </w:rPr>
        <w:t>er</w:t>
      </w:r>
      <w:r w:rsidRPr="00363588">
        <w:t>-26 juillet 2019).</w:t>
      </w:r>
    </w:p>
  </w:footnote>
  <w:footnote w:id="3">
    <w:p w14:paraId="1FA03CEC" w14:textId="60984A5B" w:rsidR="00F973D6" w:rsidRPr="00363588" w:rsidRDefault="00F973D6" w:rsidP="00D101CB">
      <w:pPr>
        <w:pStyle w:val="Notedebasdepage"/>
      </w:pPr>
      <w:r w:rsidRPr="00363588">
        <w:tab/>
      </w:r>
      <w:r w:rsidRPr="00D101CB">
        <w:rPr>
          <w:rStyle w:val="Appelnotedebasdep"/>
          <w:sz w:val="20"/>
          <w:vertAlign w:val="baseline"/>
        </w:rPr>
        <w:t>**</w:t>
      </w:r>
      <w:r w:rsidRPr="00363588">
        <w:tab/>
        <w:t xml:space="preserve">Les membres du Comité dont le nom suit ont participé à l’examen de la communication : </w:t>
      </w:r>
      <w:proofErr w:type="spellStart"/>
      <w:r w:rsidRPr="00363588">
        <w:rPr>
          <w:lang w:val="fr-FR"/>
        </w:rPr>
        <w:t>Yadh</w:t>
      </w:r>
      <w:proofErr w:type="spellEnd"/>
      <w:r w:rsidRPr="00363588">
        <w:rPr>
          <w:lang w:val="fr-FR"/>
        </w:rPr>
        <w:t xml:space="preserve"> Ben Achour, </w:t>
      </w:r>
      <w:proofErr w:type="spellStart"/>
      <w:r w:rsidRPr="00363588">
        <w:rPr>
          <w:lang w:val="fr-FR"/>
        </w:rPr>
        <w:t>Ilze</w:t>
      </w:r>
      <w:proofErr w:type="spellEnd"/>
      <w:r w:rsidRPr="00363588">
        <w:rPr>
          <w:lang w:val="fr-FR"/>
        </w:rPr>
        <w:t xml:space="preserve"> Brands </w:t>
      </w:r>
      <w:proofErr w:type="spellStart"/>
      <w:r w:rsidRPr="00363588">
        <w:rPr>
          <w:lang w:val="fr-FR"/>
        </w:rPr>
        <w:t>Kehris</w:t>
      </w:r>
      <w:proofErr w:type="spellEnd"/>
      <w:r w:rsidRPr="00363588">
        <w:rPr>
          <w:lang w:val="fr-FR"/>
        </w:rPr>
        <w:t xml:space="preserve">, Arif </w:t>
      </w:r>
      <w:proofErr w:type="spellStart"/>
      <w:r w:rsidRPr="00363588">
        <w:rPr>
          <w:lang w:val="fr-FR"/>
        </w:rPr>
        <w:t>Bulkan</w:t>
      </w:r>
      <w:proofErr w:type="spellEnd"/>
      <w:r w:rsidRPr="00363588">
        <w:rPr>
          <w:lang w:val="fr-FR"/>
        </w:rPr>
        <w:t xml:space="preserve">, Ahmed Amin </w:t>
      </w:r>
      <w:proofErr w:type="spellStart"/>
      <w:r w:rsidRPr="00363588">
        <w:rPr>
          <w:lang w:val="fr-FR"/>
        </w:rPr>
        <w:t>Fathalla</w:t>
      </w:r>
      <w:proofErr w:type="spellEnd"/>
      <w:r w:rsidRPr="00363588">
        <w:rPr>
          <w:lang w:val="fr-FR"/>
        </w:rPr>
        <w:t xml:space="preserve">, </w:t>
      </w:r>
      <w:proofErr w:type="spellStart"/>
      <w:r w:rsidRPr="00363588">
        <w:rPr>
          <w:lang w:val="fr-FR"/>
        </w:rPr>
        <w:t>Shuichi</w:t>
      </w:r>
      <w:proofErr w:type="spellEnd"/>
      <w:r w:rsidRPr="00363588">
        <w:rPr>
          <w:lang w:val="fr-FR"/>
        </w:rPr>
        <w:t xml:space="preserve"> </w:t>
      </w:r>
      <w:proofErr w:type="spellStart"/>
      <w:r w:rsidRPr="00363588">
        <w:rPr>
          <w:lang w:val="fr-FR"/>
        </w:rPr>
        <w:t>Furuya</w:t>
      </w:r>
      <w:proofErr w:type="spellEnd"/>
      <w:r w:rsidRPr="00363588">
        <w:rPr>
          <w:lang w:val="fr-FR"/>
        </w:rPr>
        <w:t xml:space="preserve">, </w:t>
      </w:r>
      <w:proofErr w:type="spellStart"/>
      <w:r w:rsidRPr="00363588">
        <w:rPr>
          <w:lang w:val="fr-FR"/>
        </w:rPr>
        <w:t>Christof</w:t>
      </w:r>
      <w:proofErr w:type="spellEnd"/>
      <w:r w:rsidRPr="00363588">
        <w:rPr>
          <w:lang w:val="fr-FR"/>
        </w:rPr>
        <w:t xml:space="preserve"> </w:t>
      </w:r>
      <w:proofErr w:type="spellStart"/>
      <w:r w:rsidRPr="00363588">
        <w:rPr>
          <w:lang w:val="fr-FR"/>
        </w:rPr>
        <w:t>Heyns</w:t>
      </w:r>
      <w:proofErr w:type="spellEnd"/>
      <w:r w:rsidRPr="00363588">
        <w:rPr>
          <w:lang w:val="fr-FR"/>
        </w:rPr>
        <w:t xml:space="preserve">, </w:t>
      </w:r>
      <w:proofErr w:type="spellStart"/>
      <w:r w:rsidRPr="00363588">
        <w:rPr>
          <w:lang w:val="fr-FR"/>
        </w:rPr>
        <w:t>Bamariam</w:t>
      </w:r>
      <w:proofErr w:type="spellEnd"/>
      <w:r w:rsidRPr="00363588">
        <w:rPr>
          <w:lang w:val="fr-FR"/>
        </w:rPr>
        <w:t xml:space="preserve"> </w:t>
      </w:r>
      <w:proofErr w:type="spellStart"/>
      <w:r w:rsidRPr="00363588">
        <w:rPr>
          <w:lang w:val="fr-FR"/>
        </w:rPr>
        <w:t>Koita</w:t>
      </w:r>
      <w:proofErr w:type="spellEnd"/>
      <w:r w:rsidRPr="00363588">
        <w:rPr>
          <w:lang w:val="fr-FR"/>
        </w:rPr>
        <w:t xml:space="preserve">, Duncan Laki </w:t>
      </w:r>
      <w:proofErr w:type="spellStart"/>
      <w:r w:rsidRPr="00363588">
        <w:rPr>
          <w:lang w:val="fr-FR"/>
        </w:rPr>
        <w:t>Muhumuza</w:t>
      </w:r>
      <w:proofErr w:type="spellEnd"/>
      <w:r w:rsidRPr="00363588">
        <w:rPr>
          <w:lang w:val="fr-FR"/>
        </w:rPr>
        <w:t xml:space="preserve">, </w:t>
      </w:r>
      <w:proofErr w:type="spellStart"/>
      <w:r w:rsidRPr="00363588">
        <w:rPr>
          <w:lang w:val="fr-FR"/>
        </w:rPr>
        <w:t>Photini</w:t>
      </w:r>
      <w:proofErr w:type="spellEnd"/>
      <w:r w:rsidRPr="00363588">
        <w:rPr>
          <w:lang w:val="fr-FR"/>
        </w:rPr>
        <w:t xml:space="preserve"> </w:t>
      </w:r>
      <w:proofErr w:type="spellStart"/>
      <w:r w:rsidRPr="00363588">
        <w:rPr>
          <w:lang w:val="fr-FR"/>
        </w:rPr>
        <w:t>Pazartzis</w:t>
      </w:r>
      <w:proofErr w:type="spellEnd"/>
      <w:r w:rsidRPr="00363588">
        <w:rPr>
          <w:lang w:val="fr-FR"/>
        </w:rPr>
        <w:t xml:space="preserve">, Hernán </w:t>
      </w:r>
      <w:proofErr w:type="spellStart"/>
      <w:r w:rsidRPr="00363588">
        <w:rPr>
          <w:lang w:val="fr-FR"/>
        </w:rPr>
        <w:t>Quezada</w:t>
      </w:r>
      <w:proofErr w:type="spellEnd"/>
      <w:r w:rsidRPr="00363588">
        <w:rPr>
          <w:lang w:val="fr-FR"/>
        </w:rPr>
        <w:t xml:space="preserve"> Cabrera, </w:t>
      </w:r>
      <w:proofErr w:type="spellStart"/>
      <w:r w:rsidRPr="00363588">
        <w:rPr>
          <w:lang w:val="fr-FR"/>
        </w:rPr>
        <w:t>Vasilka</w:t>
      </w:r>
      <w:proofErr w:type="spellEnd"/>
      <w:r w:rsidR="00B92395">
        <w:rPr>
          <w:lang w:val="fr-FR"/>
        </w:rPr>
        <w:t> </w:t>
      </w:r>
      <w:proofErr w:type="spellStart"/>
      <w:r w:rsidRPr="00363588">
        <w:rPr>
          <w:lang w:val="fr-FR"/>
        </w:rPr>
        <w:t>Sancin</w:t>
      </w:r>
      <w:proofErr w:type="spellEnd"/>
      <w:r w:rsidRPr="00363588">
        <w:rPr>
          <w:lang w:val="fr-FR"/>
        </w:rPr>
        <w:t xml:space="preserve">, José Manuel Santos Pais, Yuval </w:t>
      </w:r>
      <w:proofErr w:type="spellStart"/>
      <w:r w:rsidRPr="00363588">
        <w:rPr>
          <w:lang w:val="fr-FR"/>
        </w:rPr>
        <w:t>Shany</w:t>
      </w:r>
      <w:proofErr w:type="spellEnd"/>
      <w:r w:rsidRPr="00363588">
        <w:rPr>
          <w:lang w:val="fr-FR"/>
        </w:rPr>
        <w:t xml:space="preserve">, Hélène </w:t>
      </w:r>
      <w:proofErr w:type="spellStart"/>
      <w:r w:rsidRPr="00363588">
        <w:rPr>
          <w:lang w:val="fr-FR"/>
        </w:rPr>
        <w:t>Tigroudja</w:t>
      </w:r>
      <w:proofErr w:type="spellEnd"/>
      <w:r w:rsidRPr="00363588">
        <w:rPr>
          <w:lang w:val="fr-FR"/>
        </w:rPr>
        <w:t xml:space="preserve">, </w:t>
      </w:r>
      <w:r w:rsidR="00B92395">
        <w:rPr>
          <w:lang w:val="fr-FR"/>
        </w:rPr>
        <w:br/>
      </w:r>
      <w:r w:rsidRPr="00363588">
        <w:rPr>
          <w:lang w:val="fr-FR"/>
        </w:rPr>
        <w:t xml:space="preserve">Andreas Zimmermann et </w:t>
      </w:r>
      <w:proofErr w:type="spellStart"/>
      <w:r w:rsidRPr="00363588">
        <w:rPr>
          <w:lang w:val="fr-FR"/>
        </w:rPr>
        <w:t>Gentian</w:t>
      </w:r>
      <w:proofErr w:type="spellEnd"/>
      <w:r w:rsidRPr="00363588">
        <w:rPr>
          <w:lang w:val="fr-FR"/>
        </w:rPr>
        <w:t xml:space="preserve"> </w:t>
      </w:r>
      <w:proofErr w:type="spellStart"/>
      <w:r w:rsidRPr="00363588">
        <w:rPr>
          <w:lang w:val="fr-FR"/>
        </w:rPr>
        <w:t>Zyberi</w:t>
      </w:r>
      <w:proofErr w:type="spellEnd"/>
      <w:r w:rsidRPr="00363588">
        <w:rPr>
          <w:lang w:val="fr-FR"/>
        </w:rPr>
        <w:t>.</w:t>
      </w:r>
    </w:p>
  </w:footnote>
  <w:footnote w:id="4">
    <w:p w14:paraId="614DDEEF" w14:textId="77777777" w:rsidR="00F973D6" w:rsidRPr="00363588" w:rsidRDefault="00F973D6" w:rsidP="00FB0220">
      <w:pPr>
        <w:pStyle w:val="Notedebasdepage"/>
      </w:pPr>
      <w:r w:rsidRPr="00363588">
        <w:tab/>
      </w:r>
      <w:r w:rsidRPr="00D101CB">
        <w:rPr>
          <w:rStyle w:val="Appelnotedebasdep"/>
        </w:rPr>
        <w:footnoteRef/>
      </w:r>
      <w:r w:rsidRPr="00363588">
        <w:rPr>
          <w:rStyle w:val="Appelnotedebasdep"/>
        </w:rPr>
        <w:t xml:space="preserve"> </w:t>
      </w:r>
      <w:r w:rsidRPr="00363588">
        <w:rPr>
          <w:rStyle w:val="Appelnotedebasdep"/>
        </w:rPr>
        <w:tab/>
      </w:r>
      <w:r w:rsidRPr="00363588">
        <w:t xml:space="preserve">En ce qui concerne Guillaume Vessa, Samuel </w:t>
      </w:r>
      <w:proofErr w:type="spellStart"/>
      <w:r w:rsidRPr="00363588">
        <w:t>Eloundou</w:t>
      </w:r>
      <w:proofErr w:type="spellEnd"/>
      <w:r w:rsidRPr="00363588">
        <w:t xml:space="preserve">, Jacques </w:t>
      </w:r>
      <w:proofErr w:type="spellStart"/>
      <w:r w:rsidRPr="00363588">
        <w:t>Ambassa</w:t>
      </w:r>
      <w:proofErr w:type="spellEnd"/>
      <w:r w:rsidRPr="00363588">
        <w:t xml:space="preserve"> </w:t>
      </w:r>
      <w:proofErr w:type="spellStart"/>
      <w:r w:rsidRPr="00363588">
        <w:t>Yene</w:t>
      </w:r>
      <w:proofErr w:type="spellEnd"/>
      <w:r w:rsidRPr="00363588">
        <w:t xml:space="preserve">, Janvier </w:t>
      </w:r>
      <w:proofErr w:type="spellStart"/>
      <w:r w:rsidRPr="00363588">
        <w:t>Onana</w:t>
      </w:r>
      <w:proofErr w:type="spellEnd"/>
      <w:r w:rsidRPr="00363588">
        <w:t xml:space="preserve"> et Jeannette </w:t>
      </w:r>
      <w:proofErr w:type="spellStart"/>
      <w:r w:rsidRPr="00363588">
        <w:t>Tsheho</w:t>
      </w:r>
      <w:proofErr w:type="spellEnd"/>
      <w:r w:rsidRPr="00363588">
        <w:t>, aucun mandat de représentation n’a été reçu des victimes elles-mêmes ou de leurs proches. À l’origine, ces personnes n’étaient pas enregistrées comme auteurs. Le secrétariat a demandé au conseil des auteurs de communiquer les mandats de représentation l’autorisant à agir au nom de ces personnes si elles-mêmes ou leurs proches souhaitaient ajouter leurs noms sur la liste des auteurs.</w:t>
      </w:r>
    </w:p>
  </w:footnote>
  <w:footnote w:id="5">
    <w:p w14:paraId="38E1F252" w14:textId="2CF37F0D" w:rsidR="00F973D6" w:rsidRPr="00363588" w:rsidRDefault="00F973D6" w:rsidP="003A1522">
      <w:pPr>
        <w:pStyle w:val="Notedebasdepage"/>
      </w:pPr>
      <w:r w:rsidRPr="00363588">
        <w:tab/>
      </w:r>
      <w:r w:rsidRPr="00D101CB">
        <w:rPr>
          <w:rStyle w:val="Appelnotedebasdep"/>
        </w:rPr>
        <w:footnoteRef/>
      </w:r>
      <w:r w:rsidRPr="00363588">
        <w:tab/>
      </w:r>
      <w:proofErr w:type="spellStart"/>
      <w:r w:rsidRPr="00363588">
        <w:t>Yopa</w:t>
      </w:r>
      <w:proofErr w:type="spellEnd"/>
      <w:r w:rsidRPr="00363588">
        <w:t xml:space="preserve"> Jacqueline, </w:t>
      </w:r>
      <w:proofErr w:type="spellStart"/>
      <w:r w:rsidRPr="00363588">
        <w:t>Dissake</w:t>
      </w:r>
      <w:proofErr w:type="spellEnd"/>
      <w:r w:rsidRPr="00363588">
        <w:t xml:space="preserve"> </w:t>
      </w:r>
      <w:proofErr w:type="spellStart"/>
      <w:r w:rsidRPr="00363588">
        <w:t>Nhanjo</w:t>
      </w:r>
      <w:proofErr w:type="spellEnd"/>
      <w:r w:rsidRPr="00363588">
        <w:t xml:space="preserve"> Henriette, </w:t>
      </w:r>
      <w:proofErr w:type="spellStart"/>
      <w:r w:rsidRPr="00363588">
        <w:t>Fomonyuy</w:t>
      </w:r>
      <w:proofErr w:type="spellEnd"/>
      <w:r w:rsidRPr="00363588">
        <w:t xml:space="preserve"> Ivo, Misse Monique, </w:t>
      </w:r>
      <w:proofErr w:type="spellStart"/>
      <w:r w:rsidRPr="00363588">
        <w:t>Ngosso</w:t>
      </w:r>
      <w:proofErr w:type="spellEnd"/>
      <w:r w:rsidRPr="00363588">
        <w:t xml:space="preserve"> </w:t>
      </w:r>
      <w:proofErr w:type="spellStart"/>
      <w:r w:rsidRPr="00363588">
        <w:t>Eboa</w:t>
      </w:r>
      <w:proofErr w:type="spellEnd"/>
      <w:r w:rsidRPr="00363588">
        <w:t xml:space="preserve">, </w:t>
      </w:r>
      <w:proofErr w:type="spellStart"/>
      <w:r w:rsidRPr="00363588">
        <w:t>Tatcho</w:t>
      </w:r>
      <w:proofErr w:type="spellEnd"/>
      <w:r w:rsidRPr="00363588">
        <w:t xml:space="preserve"> Maurice, </w:t>
      </w:r>
      <w:proofErr w:type="spellStart"/>
      <w:r w:rsidRPr="00363588">
        <w:t>Kwano</w:t>
      </w:r>
      <w:proofErr w:type="spellEnd"/>
      <w:r w:rsidRPr="00363588">
        <w:t xml:space="preserve"> Nan Rose, </w:t>
      </w:r>
      <w:proofErr w:type="spellStart"/>
      <w:r w:rsidRPr="00363588">
        <w:t>Ndo</w:t>
      </w:r>
      <w:proofErr w:type="spellEnd"/>
      <w:r w:rsidRPr="00363588">
        <w:t xml:space="preserve"> Georges </w:t>
      </w:r>
      <w:proofErr w:type="spellStart"/>
      <w:r w:rsidRPr="00363588">
        <w:t>Essah</w:t>
      </w:r>
      <w:proofErr w:type="spellEnd"/>
      <w:r w:rsidRPr="00363588">
        <w:t xml:space="preserve">, </w:t>
      </w:r>
      <w:proofErr w:type="spellStart"/>
      <w:r w:rsidRPr="00363588">
        <w:t>Tambong</w:t>
      </w:r>
      <w:proofErr w:type="spellEnd"/>
      <w:r w:rsidRPr="00363588">
        <w:t xml:space="preserve"> </w:t>
      </w:r>
      <w:proofErr w:type="spellStart"/>
      <w:r w:rsidRPr="00363588">
        <w:t>Orock</w:t>
      </w:r>
      <w:proofErr w:type="spellEnd"/>
      <w:r w:rsidRPr="00363588">
        <w:t xml:space="preserve"> Peter (représenté par Mme </w:t>
      </w:r>
      <w:proofErr w:type="spellStart"/>
      <w:r w:rsidRPr="00363588">
        <w:t>Orock</w:t>
      </w:r>
      <w:proofErr w:type="spellEnd"/>
      <w:r w:rsidRPr="00363588">
        <w:t xml:space="preserve"> Anastasia </w:t>
      </w:r>
      <w:proofErr w:type="spellStart"/>
      <w:r w:rsidRPr="00363588">
        <w:t>Egemene</w:t>
      </w:r>
      <w:proofErr w:type="spellEnd"/>
      <w:r w:rsidRPr="00363588">
        <w:t xml:space="preserve"> Eno), </w:t>
      </w:r>
      <w:proofErr w:type="spellStart"/>
      <w:r w:rsidRPr="00363588">
        <w:t>Tauo</w:t>
      </w:r>
      <w:proofErr w:type="spellEnd"/>
      <w:r w:rsidRPr="00363588">
        <w:t xml:space="preserve"> Charlotte (représentée par </w:t>
      </w:r>
      <w:r w:rsidRPr="005A0417">
        <w:t>N</w:t>
      </w:r>
      <w:r w:rsidR="00335726" w:rsidRPr="005A0417">
        <w:t>.</w:t>
      </w:r>
      <w:r w:rsidRPr="005A0417">
        <w:t xml:space="preserve"> Yves Bertrand), </w:t>
      </w:r>
      <w:proofErr w:type="spellStart"/>
      <w:r w:rsidRPr="005A0417">
        <w:t>Mengue</w:t>
      </w:r>
      <w:proofErr w:type="spellEnd"/>
      <w:r w:rsidRPr="005A0417">
        <w:t xml:space="preserve"> </w:t>
      </w:r>
      <w:proofErr w:type="spellStart"/>
      <w:r w:rsidRPr="005A0417">
        <w:t>Etoga</w:t>
      </w:r>
      <w:proofErr w:type="spellEnd"/>
      <w:r w:rsidRPr="005A0417">
        <w:t xml:space="preserve"> Josiane, </w:t>
      </w:r>
      <w:proofErr w:type="spellStart"/>
      <w:r w:rsidRPr="005A0417">
        <w:t>Tondji</w:t>
      </w:r>
      <w:proofErr w:type="spellEnd"/>
      <w:r w:rsidRPr="005A0417">
        <w:t xml:space="preserve"> Yvonne, </w:t>
      </w:r>
      <w:proofErr w:type="spellStart"/>
      <w:r w:rsidRPr="005A0417">
        <w:t>Fayo</w:t>
      </w:r>
      <w:proofErr w:type="spellEnd"/>
      <w:r w:rsidRPr="005A0417">
        <w:t xml:space="preserve"> Charlotte (représentée par N</w:t>
      </w:r>
      <w:r w:rsidR="00335726" w:rsidRPr="005A0417">
        <w:t>.</w:t>
      </w:r>
      <w:r w:rsidRPr="00363588">
        <w:t xml:space="preserve"> Yves Bertrand), </w:t>
      </w:r>
      <w:proofErr w:type="spellStart"/>
      <w:r w:rsidRPr="00363588">
        <w:t>Ngomi</w:t>
      </w:r>
      <w:proofErr w:type="spellEnd"/>
      <w:r w:rsidRPr="00363588">
        <w:t xml:space="preserve"> Jules, </w:t>
      </w:r>
      <w:proofErr w:type="spellStart"/>
      <w:r w:rsidRPr="00363588">
        <w:t>Wanji</w:t>
      </w:r>
      <w:proofErr w:type="spellEnd"/>
      <w:r w:rsidRPr="00363588">
        <w:t xml:space="preserve"> </w:t>
      </w:r>
      <w:proofErr w:type="spellStart"/>
      <w:r w:rsidRPr="00363588">
        <w:t>Johanes</w:t>
      </w:r>
      <w:proofErr w:type="spellEnd"/>
      <w:r w:rsidRPr="00363588">
        <w:t xml:space="preserve">, </w:t>
      </w:r>
      <w:proofErr w:type="spellStart"/>
      <w:r w:rsidRPr="00363588">
        <w:t>Tonleu</w:t>
      </w:r>
      <w:proofErr w:type="spellEnd"/>
      <w:r w:rsidRPr="00363588">
        <w:t xml:space="preserve"> Jacques, </w:t>
      </w:r>
      <w:proofErr w:type="spellStart"/>
      <w:r w:rsidRPr="00363588">
        <w:t>Alaka</w:t>
      </w:r>
      <w:proofErr w:type="spellEnd"/>
      <w:r w:rsidRPr="00363588">
        <w:t xml:space="preserve"> </w:t>
      </w:r>
      <w:proofErr w:type="spellStart"/>
      <w:r w:rsidRPr="00363588">
        <w:t>Alaka</w:t>
      </w:r>
      <w:proofErr w:type="spellEnd"/>
      <w:r w:rsidRPr="00363588">
        <w:t xml:space="preserve"> Pierre et Fon Tabi Georges ont communiqué leurs mandats de représentation qui se sont ajoutés à ceux présentés au nom des auteurs initiaux.</w:t>
      </w:r>
    </w:p>
  </w:footnote>
  <w:footnote w:id="6">
    <w:p w14:paraId="32C96AD9" w14:textId="72EA36EA" w:rsidR="00F973D6" w:rsidRPr="00363588" w:rsidRDefault="00F973D6" w:rsidP="001A497D">
      <w:pPr>
        <w:pStyle w:val="Notedebasdepage"/>
        <w:rPr>
          <w:spacing w:val="5"/>
          <w:w w:val="104"/>
        </w:rPr>
      </w:pPr>
      <w:r w:rsidRPr="00363588">
        <w:tab/>
      </w:r>
      <w:r w:rsidRPr="00D101CB">
        <w:rPr>
          <w:rStyle w:val="Appelnotedebasdep"/>
        </w:rPr>
        <w:footnoteRef/>
      </w:r>
      <w:r w:rsidRPr="00363588">
        <w:tab/>
        <w:t>Le décret n</w:t>
      </w:r>
      <w:r w:rsidRPr="00363588">
        <w:rPr>
          <w:vertAlign w:val="superscript"/>
        </w:rPr>
        <w:t>o</w:t>
      </w:r>
      <w:r w:rsidRPr="00363588">
        <w:t> 75/776 énumère les décrets relatifs à l’intégration des fonctionnaires dont il abroge les dispositions. La Cour note que le décret n</w:t>
      </w:r>
      <w:r w:rsidRPr="00363588">
        <w:rPr>
          <w:vertAlign w:val="superscript"/>
        </w:rPr>
        <w:t>o</w:t>
      </w:r>
      <w:r w:rsidRPr="00363588">
        <w:t> 74/611 n’y est pas mentionné et n’a donc pas été abrogé.</w:t>
      </w:r>
    </w:p>
  </w:footnote>
  <w:footnote w:id="7">
    <w:p w14:paraId="7414C612" w14:textId="0CCB15B7" w:rsidR="00F973D6" w:rsidRPr="00363588" w:rsidRDefault="00F973D6" w:rsidP="005A0417">
      <w:pPr>
        <w:pStyle w:val="Notedebasdepage"/>
        <w:rPr>
          <w:lang w:val="fr-FR"/>
        </w:rPr>
      </w:pPr>
      <w:r w:rsidRPr="00363588">
        <w:tab/>
      </w:r>
      <w:r w:rsidRPr="00D101CB">
        <w:rPr>
          <w:rStyle w:val="Appelnotedebasdep"/>
        </w:rPr>
        <w:footnoteRef/>
      </w:r>
      <w:r w:rsidRPr="00363588">
        <w:tab/>
        <w:t xml:space="preserve">Voir les trois arrêts de la Cour suprême à l’annexe E-E2 de la </w:t>
      </w:r>
      <w:r w:rsidR="005A0417">
        <w:t>lettre initiale</w:t>
      </w:r>
      <w:r w:rsidRPr="00363588">
        <w:t>.</w:t>
      </w:r>
    </w:p>
  </w:footnote>
  <w:footnote w:id="8">
    <w:p w14:paraId="2F702320" w14:textId="06848DAA" w:rsidR="00F973D6" w:rsidRPr="00B7608D" w:rsidRDefault="00F973D6" w:rsidP="001A497D">
      <w:pPr>
        <w:pStyle w:val="Notedebasdepage"/>
        <w:rPr>
          <w:lang w:val="fr-FR"/>
        </w:rPr>
      </w:pPr>
      <w:r w:rsidRPr="00363588">
        <w:tab/>
      </w:r>
      <w:r w:rsidRPr="00D101CB">
        <w:rPr>
          <w:rStyle w:val="Appelnotedebasdep"/>
        </w:rPr>
        <w:footnoteRef/>
      </w:r>
      <w:r w:rsidRPr="00363588">
        <w:tab/>
        <w:t xml:space="preserve">Le Comité reproduit ici les mots utilisés par les auteurs. </w:t>
      </w:r>
    </w:p>
  </w:footnote>
  <w:footnote w:id="9">
    <w:p w14:paraId="5BFF8611" w14:textId="4D5579EB" w:rsidR="00F973D6" w:rsidRPr="00363588" w:rsidRDefault="00F973D6" w:rsidP="00C82593">
      <w:pPr>
        <w:pStyle w:val="Notedebasdepage"/>
      </w:pPr>
      <w:r w:rsidRPr="00363588">
        <w:rPr>
          <w:lang w:val="fr-FR"/>
        </w:rPr>
        <w:tab/>
      </w:r>
      <w:r w:rsidRPr="00D101CB">
        <w:rPr>
          <w:rStyle w:val="Appelnotedebasdep"/>
        </w:rPr>
        <w:footnoteRef/>
      </w:r>
      <w:r w:rsidRPr="00363588">
        <w:tab/>
      </w:r>
      <w:proofErr w:type="spellStart"/>
      <w:r w:rsidRPr="00D101CB">
        <w:rPr>
          <w:i/>
          <w:iCs/>
        </w:rPr>
        <w:t>Arredondo</w:t>
      </w:r>
      <w:proofErr w:type="spellEnd"/>
      <w:r w:rsidRPr="00D101CB">
        <w:rPr>
          <w:i/>
          <w:iCs/>
        </w:rPr>
        <w:t xml:space="preserve"> c. Pérou</w:t>
      </w:r>
      <w:r w:rsidRPr="00363588">
        <w:t xml:space="preserve"> (CCPR/C/69/D/688/1996), par. 6.2.</w:t>
      </w:r>
    </w:p>
  </w:footnote>
  <w:footnote w:id="10">
    <w:p w14:paraId="74C718CF" w14:textId="3B142E2A" w:rsidR="00F973D6" w:rsidRPr="00363588" w:rsidRDefault="00F973D6" w:rsidP="00151C96">
      <w:pPr>
        <w:pStyle w:val="Notedebasdepage"/>
      </w:pPr>
      <w:r w:rsidRPr="00363588">
        <w:tab/>
      </w:r>
      <w:r w:rsidRPr="00D101CB">
        <w:rPr>
          <w:rStyle w:val="Appelnotedebasdep"/>
        </w:rPr>
        <w:footnoteRef/>
      </w:r>
      <w:r w:rsidRPr="00363588">
        <w:tab/>
      </w:r>
      <w:r w:rsidRPr="00D101CB">
        <w:rPr>
          <w:i/>
          <w:iCs/>
        </w:rPr>
        <w:t>Coronel et consorts c. Colombie</w:t>
      </w:r>
      <w:r w:rsidRPr="00363588">
        <w:t xml:space="preserve"> (CCPR/C/76/D/778/1997), par. 6.2.</w:t>
      </w:r>
    </w:p>
  </w:footnote>
  <w:footnote w:id="11">
    <w:p w14:paraId="43C8B58F" w14:textId="5207A220" w:rsidR="00F973D6" w:rsidRPr="00363588" w:rsidRDefault="00F973D6" w:rsidP="00AA2C70">
      <w:pPr>
        <w:pStyle w:val="Notedebasdepage"/>
        <w:widowControl w:val="0"/>
      </w:pPr>
      <w:r w:rsidRPr="00363588">
        <w:tab/>
      </w:r>
      <w:r w:rsidRPr="00D101CB">
        <w:rPr>
          <w:rStyle w:val="Appelnotedebasdep"/>
        </w:rPr>
        <w:footnoteRef/>
      </w:r>
      <w:r w:rsidRPr="00363588">
        <w:tab/>
        <w:t xml:space="preserve">En raison de la demande de l’État partie, en date du 15 novembre 2013, d’examiner la présente communication conjointement avec la communication </w:t>
      </w:r>
      <w:proofErr w:type="spellStart"/>
      <w:r w:rsidRPr="00363588">
        <w:rPr>
          <w:rFonts w:eastAsia="Calibri"/>
          <w:i/>
          <w:iCs/>
        </w:rPr>
        <w:t>Ngapna</w:t>
      </w:r>
      <w:proofErr w:type="spellEnd"/>
      <w:r w:rsidRPr="00363588">
        <w:rPr>
          <w:rFonts w:eastAsia="Calibri"/>
          <w:i/>
          <w:iCs/>
        </w:rPr>
        <w:t xml:space="preserve"> et consorts c. Cameroun</w:t>
      </w:r>
      <w:r w:rsidRPr="00363588">
        <w:t xml:space="preserve">, de ses réponses communes concernant les deux affaires, et tenant compte du fait que le Comité a examiné la question de la recevabilité de la communication </w:t>
      </w:r>
      <w:proofErr w:type="spellStart"/>
      <w:r w:rsidRPr="00363588">
        <w:rPr>
          <w:rFonts w:eastAsia="Calibri"/>
          <w:i/>
          <w:iCs/>
        </w:rPr>
        <w:t>Ngapna</w:t>
      </w:r>
      <w:proofErr w:type="spellEnd"/>
      <w:r w:rsidRPr="00363588">
        <w:rPr>
          <w:rFonts w:eastAsia="Calibri"/>
          <w:i/>
          <w:iCs/>
        </w:rPr>
        <w:t xml:space="preserve"> et consorts c. Cameroun</w:t>
      </w:r>
      <w:r w:rsidRPr="00363588">
        <w:t xml:space="preserve"> séparément du fond, le Comité a décidé d’adopter une décision distincte sur la recevabilité de la présente communication également. </w:t>
      </w:r>
    </w:p>
  </w:footnote>
  <w:footnote w:id="12">
    <w:p w14:paraId="150FA6DA" w14:textId="77777777" w:rsidR="00F973D6" w:rsidRPr="00363588" w:rsidRDefault="00F973D6" w:rsidP="00F53553">
      <w:pPr>
        <w:pStyle w:val="Notedebasdepage"/>
      </w:pPr>
      <w:r w:rsidRPr="00363588">
        <w:tab/>
      </w:r>
      <w:r w:rsidRPr="00D101CB">
        <w:rPr>
          <w:rStyle w:val="Appelnotedebasdep"/>
        </w:rPr>
        <w:footnoteRef/>
      </w:r>
      <w:r w:rsidRPr="00363588">
        <w:tab/>
        <w:t xml:space="preserve">Pour Emmanuel </w:t>
      </w:r>
      <w:proofErr w:type="spellStart"/>
      <w:r w:rsidRPr="00363588">
        <w:t>Wandji</w:t>
      </w:r>
      <w:proofErr w:type="spellEnd"/>
      <w:r w:rsidRPr="00363588">
        <w:t xml:space="preserve"> et Robert Tchamba.</w:t>
      </w:r>
    </w:p>
  </w:footnote>
  <w:footnote w:id="13">
    <w:p w14:paraId="1480B12B" w14:textId="77777777" w:rsidR="00F973D6" w:rsidRPr="00363588" w:rsidRDefault="00F973D6" w:rsidP="00F53553">
      <w:pPr>
        <w:pStyle w:val="Notedebasdepage"/>
      </w:pPr>
      <w:r w:rsidRPr="00363588">
        <w:tab/>
      </w:r>
      <w:r w:rsidRPr="00D101CB">
        <w:rPr>
          <w:rStyle w:val="Appelnotedebasdep"/>
        </w:rPr>
        <w:footnoteRef/>
      </w:r>
      <w:r w:rsidRPr="00363588">
        <w:rPr>
          <w:rStyle w:val="Appelnotedebasdep"/>
        </w:rPr>
        <w:tab/>
      </w:r>
      <w:r w:rsidRPr="00363588">
        <w:t xml:space="preserve">Pour Michelin </w:t>
      </w:r>
      <w:proofErr w:type="spellStart"/>
      <w:r w:rsidRPr="00363588">
        <w:t>Libam</w:t>
      </w:r>
      <w:proofErr w:type="spellEnd"/>
      <w:r w:rsidRPr="00363588">
        <w:t>.</w:t>
      </w:r>
    </w:p>
  </w:footnote>
  <w:footnote w:id="14">
    <w:p w14:paraId="6B3DC720" w14:textId="5F9BF949" w:rsidR="00F973D6" w:rsidRPr="00363588" w:rsidRDefault="00F973D6" w:rsidP="00C55CBE">
      <w:pPr>
        <w:pStyle w:val="Notedebasdepage"/>
      </w:pPr>
      <w:r w:rsidRPr="00363588">
        <w:tab/>
      </w:r>
      <w:r w:rsidRPr="00D101CB">
        <w:rPr>
          <w:rStyle w:val="Appelnotedebasdep"/>
        </w:rPr>
        <w:footnoteRef/>
      </w:r>
      <w:r w:rsidRPr="00363588">
        <w:tab/>
        <w:t xml:space="preserve">Voir, par exemple, </w:t>
      </w:r>
      <w:proofErr w:type="spellStart"/>
      <w:r w:rsidRPr="00363588">
        <w:rPr>
          <w:i/>
          <w:iCs/>
        </w:rPr>
        <w:t>Solórzano</w:t>
      </w:r>
      <w:proofErr w:type="spellEnd"/>
      <w:r w:rsidRPr="00363588">
        <w:rPr>
          <w:i/>
          <w:iCs/>
        </w:rPr>
        <w:t xml:space="preserve"> c. Venezuela</w:t>
      </w:r>
      <w:r w:rsidRPr="00363588">
        <w:t xml:space="preserve"> (CCPR/C/27/D/156/1983) et </w:t>
      </w:r>
      <w:proofErr w:type="spellStart"/>
      <w:r w:rsidRPr="00363588">
        <w:rPr>
          <w:i/>
          <w:iCs/>
        </w:rPr>
        <w:t>Peñarrieta</w:t>
      </w:r>
      <w:proofErr w:type="spellEnd"/>
      <w:r w:rsidRPr="00363588">
        <w:rPr>
          <w:i/>
          <w:iCs/>
        </w:rPr>
        <w:t xml:space="preserve"> et consorts c. Bolivie</w:t>
      </w:r>
      <w:r w:rsidRPr="00363588">
        <w:t xml:space="preserve"> (CCPR/C/31/D/176/1984), affaires dans lesquelles le Comité a poursuivi son examen bien qu’un recours interne eût été exercé entre-temps. Voir également, par exemple, </w:t>
      </w:r>
      <w:proofErr w:type="spellStart"/>
      <w:r w:rsidRPr="00D101CB">
        <w:rPr>
          <w:i/>
          <w:iCs/>
        </w:rPr>
        <w:t>Valcada</w:t>
      </w:r>
      <w:proofErr w:type="spellEnd"/>
      <w:r w:rsidRPr="00D101CB">
        <w:rPr>
          <w:i/>
          <w:iCs/>
        </w:rPr>
        <w:t xml:space="preserve"> c. Uruguay</w:t>
      </w:r>
      <w:r w:rsidRPr="00363588">
        <w:t xml:space="preserve"> (CCPR/C/8/D/9/1977).</w:t>
      </w:r>
    </w:p>
  </w:footnote>
  <w:footnote w:id="15">
    <w:p w14:paraId="3C0CF543" w14:textId="7D12060E" w:rsidR="00F973D6" w:rsidRPr="00363588" w:rsidRDefault="00F973D6" w:rsidP="00C55CBE">
      <w:pPr>
        <w:pStyle w:val="Notedebasdepage"/>
      </w:pPr>
      <w:r w:rsidRPr="00363588">
        <w:tab/>
      </w:r>
      <w:r w:rsidRPr="00D101CB">
        <w:rPr>
          <w:rStyle w:val="Appelnotedebasdep"/>
        </w:rPr>
        <w:footnoteRef/>
      </w:r>
      <w:r w:rsidRPr="00363588">
        <w:tab/>
        <w:t xml:space="preserve">Voir, par exemple, </w:t>
      </w:r>
      <w:r w:rsidRPr="00D101CB">
        <w:rPr>
          <w:i/>
          <w:iCs/>
        </w:rPr>
        <w:t>Valera c. Espagne</w:t>
      </w:r>
      <w:r w:rsidRPr="00363588">
        <w:t xml:space="preserve"> (CCPR/C/84/D/1095/2002), par. 6.4.</w:t>
      </w:r>
    </w:p>
  </w:footnote>
  <w:footnote w:id="16">
    <w:p w14:paraId="5829CEB3" w14:textId="25CB1711" w:rsidR="00F973D6" w:rsidRPr="00363588" w:rsidRDefault="00F973D6" w:rsidP="00C55CBE">
      <w:pPr>
        <w:pStyle w:val="Notedebasdepage"/>
      </w:pPr>
      <w:r w:rsidRPr="00363588">
        <w:tab/>
      </w:r>
      <w:r w:rsidRPr="00D101CB">
        <w:rPr>
          <w:rStyle w:val="Appelnotedebasdep"/>
        </w:rPr>
        <w:footnoteRef/>
      </w:r>
      <w:r w:rsidRPr="00363588">
        <w:tab/>
        <w:t xml:space="preserve">Voir, par exemple, </w:t>
      </w:r>
      <w:proofErr w:type="spellStart"/>
      <w:r w:rsidRPr="00D101CB">
        <w:rPr>
          <w:i/>
          <w:iCs/>
        </w:rPr>
        <w:t>Arredondo</w:t>
      </w:r>
      <w:proofErr w:type="spellEnd"/>
      <w:r w:rsidRPr="00D101CB">
        <w:rPr>
          <w:i/>
          <w:iCs/>
        </w:rPr>
        <w:t xml:space="preserve"> c. Pérou</w:t>
      </w:r>
      <w:r w:rsidRPr="00363588">
        <w:t>, par. 6.2.</w:t>
      </w:r>
    </w:p>
  </w:footnote>
  <w:footnote w:id="17">
    <w:p w14:paraId="25BA5CCB" w14:textId="23D7752D" w:rsidR="00F973D6" w:rsidRPr="00363588" w:rsidRDefault="00F973D6" w:rsidP="00FB0220">
      <w:pPr>
        <w:pStyle w:val="Notedebasdepage"/>
      </w:pPr>
      <w:r w:rsidRPr="00363588">
        <w:tab/>
      </w:r>
      <w:r w:rsidRPr="00D101CB">
        <w:rPr>
          <w:rStyle w:val="Appelnotedebasdep"/>
        </w:rPr>
        <w:footnoteRef/>
      </w:r>
      <w:r w:rsidRPr="00363588">
        <w:tab/>
        <w:t xml:space="preserve">Les informations sur le résultat d’un règlement amiable étaient attendues depuis </w:t>
      </w:r>
      <w:r w:rsidR="00CD5F57">
        <w:br/>
      </w:r>
      <w:r w:rsidRPr="00363588">
        <w:t>le 13 novembre 2013.</w:t>
      </w:r>
    </w:p>
  </w:footnote>
  <w:footnote w:id="18">
    <w:p w14:paraId="7986A8AA" w14:textId="12AB0A86" w:rsidR="00F973D6" w:rsidRPr="00363588" w:rsidRDefault="00F973D6" w:rsidP="00FB0220">
      <w:pPr>
        <w:pStyle w:val="Notedebasdepage"/>
      </w:pPr>
      <w:r w:rsidRPr="00363588">
        <w:tab/>
      </w:r>
      <w:r w:rsidRPr="00D101CB">
        <w:rPr>
          <w:rStyle w:val="Appelnotedebasdep"/>
        </w:rPr>
        <w:footnoteRef/>
      </w:r>
      <w:r w:rsidRPr="00363588">
        <w:tab/>
        <w:t>Selon les calculs des auteurs, le dédommagement devrait s’élever à 8,5 millions de francs CFA par personne et par an pour les vingt-six dernières années.</w:t>
      </w:r>
    </w:p>
  </w:footnote>
  <w:footnote w:id="19">
    <w:p w14:paraId="37F22D26" w14:textId="398BA9AC" w:rsidR="00F973D6" w:rsidRPr="00A47755" w:rsidRDefault="00F973D6" w:rsidP="00F5501C">
      <w:pPr>
        <w:pStyle w:val="Notedebasdepage"/>
        <w:rPr>
          <w:lang w:val="fr-FR"/>
        </w:rPr>
      </w:pPr>
      <w:r w:rsidRPr="00363588">
        <w:tab/>
      </w:r>
      <w:r w:rsidRPr="00D101CB">
        <w:rPr>
          <w:rStyle w:val="Appelnotedebasdep"/>
        </w:rPr>
        <w:footnoteRef/>
      </w:r>
      <w:r w:rsidRPr="00363588">
        <w:tab/>
      </w:r>
      <w:r w:rsidRPr="00363588">
        <w:rPr>
          <w:lang w:val="fr-FR"/>
        </w:rPr>
        <w:t>Observation générale n</w:t>
      </w:r>
      <w:r w:rsidR="00BA0644" w:rsidRPr="00D101CB">
        <w:rPr>
          <w:vertAlign w:val="superscript"/>
          <w:lang w:val="fr-FR"/>
        </w:rPr>
        <w:t>o</w:t>
      </w:r>
      <w:r w:rsidR="00BA0644">
        <w:rPr>
          <w:lang w:val="fr-FR"/>
        </w:rPr>
        <w:t> </w:t>
      </w:r>
      <w:r w:rsidRPr="00363588">
        <w:rPr>
          <w:lang w:val="fr-FR"/>
        </w:rPr>
        <w:t xml:space="preserve">18 </w:t>
      </w:r>
      <w:r w:rsidR="00F5501C" w:rsidRPr="00363588">
        <w:rPr>
          <w:lang w:val="fr-FR"/>
        </w:rPr>
        <w:t xml:space="preserve">(1989) </w:t>
      </w:r>
      <w:r w:rsidRPr="00363588">
        <w:rPr>
          <w:lang w:val="fr-FR"/>
        </w:rPr>
        <w:t xml:space="preserve">du Comité sur </w:t>
      </w:r>
      <w:r w:rsidR="00F5501C" w:rsidRPr="00363588">
        <w:rPr>
          <w:lang w:val="fr-FR"/>
        </w:rPr>
        <w:t>la non-discrimination</w:t>
      </w:r>
      <w:r w:rsidRPr="00363588">
        <w:rPr>
          <w:lang w:val="fr-FR"/>
        </w:rPr>
        <w:t>, par</w:t>
      </w:r>
      <w:r w:rsidR="00F5501C" w:rsidRPr="00363588">
        <w:rPr>
          <w:lang w:val="fr-FR"/>
        </w:rPr>
        <w:t>.</w:t>
      </w:r>
      <w:r w:rsidRPr="00363588">
        <w:rPr>
          <w:lang w:val="fr-FR"/>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735E" w14:textId="508AB0A8" w:rsidR="00F973D6" w:rsidRPr="00FB0220" w:rsidRDefault="007D4829">
    <w:pPr>
      <w:pStyle w:val="En-tte"/>
    </w:pPr>
    <w:r>
      <w:fldChar w:fldCharType="begin"/>
    </w:r>
    <w:r>
      <w:instrText xml:space="preserve"> TITLE  \* MERGEFORMAT </w:instrText>
    </w:r>
    <w:r>
      <w:fldChar w:fldCharType="separate"/>
    </w:r>
    <w:r>
      <w:t>CCPR/C/126/D/2213/2012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4779" w14:textId="0E6BB28A" w:rsidR="00F973D6" w:rsidRPr="00FB0220" w:rsidRDefault="007D4829" w:rsidP="00FB0220">
    <w:pPr>
      <w:pStyle w:val="En-tte"/>
      <w:jc w:val="right"/>
    </w:pPr>
    <w:r>
      <w:fldChar w:fldCharType="begin"/>
    </w:r>
    <w:r>
      <w:instrText xml:space="preserve"> TITLE  \* MERGEFORMAT </w:instrText>
    </w:r>
    <w:r>
      <w:fldChar w:fldCharType="separate"/>
    </w:r>
    <w:r>
      <w:t>CCPR/C/126/D/2213/2012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fr-CH" w:vendorID="64" w:dllVersion="6" w:nlCheck="1" w:checkStyle="0"/>
  <w:activeWritingStyle w:appName="MSWord" w:lang="fr-CA" w:vendorID="64" w:dllVersion="6" w:nlCheck="1" w:checkStyle="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fr-CH"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20"/>
    <w:rsid w:val="00002402"/>
    <w:rsid w:val="00016AC5"/>
    <w:rsid w:val="00024B3B"/>
    <w:rsid w:val="00052D0D"/>
    <w:rsid w:val="000531D7"/>
    <w:rsid w:val="00060AD4"/>
    <w:rsid w:val="00060F1A"/>
    <w:rsid w:val="00064593"/>
    <w:rsid w:val="00087C33"/>
    <w:rsid w:val="00091505"/>
    <w:rsid w:val="000A147A"/>
    <w:rsid w:val="000A7D32"/>
    <w:rsid w:val="000C73C9"/>
    <w:rsid w:val="000D2F8F"/>
    <w:rsid w:val="000D3F47"/>
    <w:rsid w:val="000D4CD3"/>
    <w:rsid w:val="000E14F7"/>
    <w:rsid w:val="000E4B13"/>
    <w:rsid w:val="000F41F2"/>
    <w:rsid w:val="0010279E"/>
    <w:rsid w:val="001032D8"/>
    <w:rsid w:val="00121F04"/>
    <w:rsid w:val="00125085"/>
    <w:rsid w:val="00136BBC"/>
    <w:rsid w:val="0014440B"/>
    <w:rsid w:val="00144454"/>
    <w:rsid w:val="00150E91"/>
    <w:rsid w:val="00151C96"/>
    <w:rsid w:val="001546CA"/>
    <w:rsid w:val="00160540"/>
    <w:rsid w:val="00173C00"/>
    <w:rsid w:val="00192EEB"/>
    <w:rsid w:val="001950AC"/>
    <w:rsid w:val="001A20FB"/>
    <w:rsid w:val="001A497D"/>
    <w:rsid w:val="001B102E"/>
    <w:rsid w:val="001C3080"/>
    <w:rsid w:val="001D7F8A"/>
    <w:rsid w:val="001E3FEB"/>
    <w:rsid w:val="001E4A02"/>
    <w:rsid w:val="001F0184"/>
    <w:rsid w:val="001F25C4"/>
    <w:rsid w:val="00202B19"/>
    <w:rsid w:val="00204BC7"/>
    <w:rsid w:val="00206C3B"/>
    <w:rsid w:val="00214D56"/>
    <w:rsid w:val="00225A8C"/>
    <w:rsid w:val="002454DE"/>
    <w:rsid w:val="00261C12"/>
    <w:rsid w:val="002659F1"/>
    <w:rsid w:val="0027460E"/>
    <w:rsid w:val="0027487D"/>
    <w:rsid w:val="00287042"/>
    <w:rsid w:val="00287E79"/>
    <w:rsid w:val="002928F9"/>
    <w:rsid w:val="002A1479"/>
    <w:rsid w:val="002A1558"/>
    <w:rsid w:val="002A5D07"/>
    <w:rsid w:val="002A65DC"/>
    <w:rsid w:val="002B2A53"/>
    <w:rsid w:val="002B55E6"/>
    <w:rsid w:val="002C3ED7"/>
    <w:rsid w:val="002E0222"/>
    <w:rsid w:val="002E1A7F"/>
    <w:rsid w:val="002E4536"/>
    <w:rsid w:val="002F743F"/>
    <w:rsid w:val="003016B7"/>
    <w:rsid w:val="00301913"/>
    <w:rsid w:val="00315893"/>
    <w:rsid w:val="00320BC5"/>
    <w:rsid w:val="00321B0C"/>
    <w:rsid w:val="00333730"/>
    <w:rsid w:val="00335726"/>
    <w:rsid w:val="0033589E"/>
    <w:rsid w:val="003454AB"/>
    <w:rsid w:val="003515AA"/>
    <w:rsid w:val="00352A29"/>
    <w:rsid w:val="00363588"/>
    <w:rsid w:val="00366F5B"/>
    <w:rsid w:val="003700A4"/>
    <w:rsid w:val="00374106"/>
    <w:rsid w:val="00393899"/>
    <w:rsid w:val="00396C8F"/>
    <w:rsid w:val="003976D5"/>
    <w:rsid w:val="003A1522"/>
    <w:rsid w:val="003A3FDE"/>
    <w:rsid w:val="003A4E11"/>
    <w:rsid w:val="003C2000"/>
    <w:rsid w:val="003D6C68"/>
    <w:rsid w:val="003E024E"/>
    <w:rsid w:val="003E63FD"/>
    <w:rsid w:val="003F0BE7"/>
    <w:rsid w:val="004007BD"/>
    <w:rsid w:val="00410883"/>
    <w:rsid w:val="00413931"/>
    <w:rsid w:val="004159D0"/>
    <w:rsid w:val="0042189B"/>
    <w:rsid w:val="00431257"/>
    <w:rsid w:val="00432F36"/>
    <w:rsid w:val="004434E5"/>
    <w:rsid w:val="004524B3"/>
    <w:rsid w:val="00462ED2"/>
    <w:rsid w:val="00464EEE"/>
    <w:rsid w:val="004667F3"/>
    <w:rsid w:val="0048038C"/>
    <w:rsid w:val="00491698"/>
    <w:rsid w:val="00493B69"/>
    <w:rsid w:val="00495D21"/>
    <w:rsid w:val="004A458E"/>
    <w:rsid w:val="004A56D3"/>
    <w:rsid w:val="004A5D54"/>
    <w:rsid w:val="004B7147"/>
    <w:rsid w:val="004D1614"/>
    <w:rsid w:val="004F1388"/>
    <w:rsid w:val="005114BD"/>
    <w:rsid w:val="00514728"/>
    <w:rsid w:val="00537BEC"/>
    <w:rsid w:val="0054361B"/>
    <w:rsid w:val="00543D5E"/>
    <w:rsid w:val="00545D9E"/>
    <w:rsid w:val="00565011"/>
    <w:rsid w:val="005713FC"/>
    <w:rsid w:val="00571CEF"/>
    <w:rsid w:val="00571F41"/>
    <w:rsid w:val="005849A2"/>
    <w:rsid w:val="00586099"/>
    <w:rsid w:val="005A0417"/>
    <w:rsid w:val="005A3FD3"/>
    <w:rsid w:val="005A5701"/>
    <w:rsid w:val="005B1858"/>
    <w:rsid w:val="005C0DB3"/>
    <w:rsid w:val="005C3D1D"/>
    <w:rsid w:val="005E11EA"/>
    <w:rsid w:val="005E4B46"/>
    <w:rsid w:val="005E5D1F"/>
    <w:rsid w:val="005F012C"/>
    <w:rsid w:val="005F3DD0"/>
    <w:rsid w:val="00611D43"/>
    <w:rsid w:val="00612D48"/>
    <w:rsid w:val="00616B45"/>
    <w:rsid w:val="00630D9B"/>
    <w:rsid w:val="00631599"/>
    <w:rsid w:val="00631953"/>
    <w:rsid w:val="00641896"/>
    <w:rsid w:val="006439EC"/>
    <w:rsid w:val="00645194"/>
    <w:rsid w:val="00652F4F"/>
    <w:rsid w:val="00693F08"/>
    <w:rsid w:val="0069439E"/>
    <w:rsid w:val="006B4590"/>
    <w:rsid w:val="006C340C"/>
    <w:rsid w:val="006C537E"/>
    <w:rsid w:val="006D4D52"/>
    <w:rsid w:val="006E619A"/>
    <w:rsid w:val="006F080D"/>
    <w:rsid w:val="0070347C"/>
    <w:rsid w:val="0070349D"/>
    <w:rsid w:val="007077F9"/>
    <w:rsid w:val="0071451B"/>
    <w:rsid w:val="00715309"/>
    <w:rsid w:val="00715D4C"/>
    <w:rsid w:val="007176C1"/>
    <w:rsid w:val="0071794A"/>
    <w:rsid w:val="00725DC9"/>
    <w:rsid w:val="00737DEE"/>
    <w:rsid w:val="007408D0"/>
    <w:rsid w:val="0074707A"/>
    <w:rsid w:val="007740BE"/>
    <w:rsid w:val="00775D99"/>
    <w:rsid w:val="007961B7"/>
    <w:rsid w:val="00796940"/>
    <w:rsid w:val="007C2442"/>
    <w:rsid w:val="007C7846"/>
    <w:rsid w:val="007D4829"/>
    <w:rsid w:val="007E455B"/>
    <w:rsid w:val="007F2356"/>
    <w:rsid w:val="007F55CB"/>
    <w:rsid w:val="00800109"/>
    <w:rsid w:val="0081460B"/>
    <w:rsid w:val="00815A03"/>
    <w:rsid w:val="00817DAF"/>
    <w:rsid w:val="0084154C"/>
    <w:rsid w:val="00844750"/>
    <w:rsid w:val="00850BF3"/>
    <w:rsid w:val="00866421"/>
    <w:rsid w:val="00873B3C"/>
    <w:rsid w:val="008819FA"/>
    <w:rsid w:val="00891182"/>
    <w:rsid w:val="00892241"/>
    <w:rsid w:val="008A39ED"/>
    <w:rsid w:val="008A46E2"/>
    <w:rsid w:val="008B44C4"/>
    <w:rsid w:val="008B4A88"/>
    <w:rsid w:val="008D3677"/>
    <w:rsid w:val="008E4411"/>
    <w:rsid w:val="008E7FAE"/>
    <w:rsid w:val="008F53ED"/>
    <w:rsid w:val="008F7591"/>
    <w:rsid w:val="00911BF7"/>
    <w:rsid w:val="009340CF"/>
    <w:rsid w:val="00937DCE"/>
    <w:rsid w:val="00943FFD"/>
    <w:rsid w:val="00967EC6"/>
    <w:rsid w:val="009705BF"/>
    <w:rsid w:val="00976EF4"/>
    <w:rsid w:val="00977201"/>
    <w:rsid w:val="00977EC8"/>
    <w:rsid w:val="00984C75"/>
    <w:rsid w:val="00993DE6"/>
    <w:rsid w:val="009941D7"/>
    <w:rsid w:val="0099564C"/>
    <w:rsid w:val="009C5ABD"/>
    <w:rsid w:val="009C612B"/>
    <w:rsid w:val="009D3A8C"/>
    <w:rsid w:val="009D3DB4"/>
    <w:rsid w:val="009E7956"/>
    <w:rsid w:val="00A039C7"/>
    <w:rsid w:val="00A21003"/>
    <w:rsid w:val="00A228B4"/>
    <w:rsid w:val="00A2492E"/>
    <w:rsid w:val="00A45AAD"/>
    <w:rsid w:val="00A535EF"/>
    <w:rsid w:val="00A56C5B"/>
    <w:rsid w:val="00A624A6"/>
    <w:rsid w:val="00A6348B"/>
    <w:rsid w:val="00A64E56"/>
    <w:rsid w:val="00A6525B"/>
    <w:rsid w:val="00A720C2"/>
    <w:rsid w:val="00A80232"/>
    <w:rsid w:val="00A81C1B"/>
    <w:rsid w:val="00A841B4"/>
    <w:rsid w:val="00A95C03"/>
    <w:rsid w:val="00AA2C70"/>
    <w:rsid w:val="00AA3390"/>
    <w:rsid w:val="00AB51C8"/>
    <w:rsid w:val="00AC67A1"/>
    <w:rsid w:val="00AC7977"/>
    <w:rsid w:val="00AD63F2"/>
    <w:rsid w:val="00AE352C"/>
    <w:rsid w:val="00AE4D39"/>
    <w:rsid w:val="00AF1037"/>
    <w:rsid w:val="00AF1CE8"/>
    <w:rsid w:val="00AF5D17"/>
    <w:rsid w:val="00B0107F"/>
    <w:rsid w:val="00B071D5"/>
    <w:rsid w:val="00B100DA"/>
    <w:rsid w:val="00B20AB9"/>
    <w:rsid w:val="00B30F9B"/>
    <w:rsid w:val="00B3229E"/>
    <w:rsid w:val="00B32E2D"/>
    <w:rsid w:val="00B37273"/>
    <w:rsid w:val="00B4756C"/>
    <w:rsid w:val="00B51AD1"/>
    <w:rsid w:val="00B5596B"/>
    <w:rsid w:val="00B57215"/>
    <w:rsid w:val="00B61990"/>
    <w:rsid w:val="00B62AD2"/>
    <w:rsid w:val="00B64DC3"/>
    <w:rsid w:val="00B6768D"/>
    <w:rsid w:val="00B74DF6"/>
    <w:rsid w:val="00B7608D"/>
    <w:rsid w:val="00B8750D"/>
    <w:rsid w:val="00B91728"/>
    <w:rsid w:val="00B92395"/>
    <w:rsid w:val="00B93051"/>
    <w:rsid w:val="00B94FA7"/>
    <w:rsid w:val="00BA0644"/>
    <w:rsid w:val="00BB4810"/>
    <w:rsid w:val="00BC26D4"/>
    <w:rsid w:val="00BE4EF7"/>
    <w:rsid w:val="00BF0556"/>
    <w:rsid w:val="00C06BB7"/>
    <w:rsid w:val="00C261F8"/>
    <w:rsid w:val="00C27B6F"/>
    <w:rsid w:val="00C33100"/>
    <w:rsid w:val="00C4083C"/>
    <w:rsid w:val="00C520DD"/>
    <w:rsid w:val="00C55CBE"/>
    <w:rsid w:val="00C60EDC"/>
    <w:rsid w:val="00C76707"/>
    <w:rsid w:val="00C768C4"/>
    <w:rsid w:val="00C80394"/>
    <w:rsid w:val="00C81F16"/>
    <w:rsid w:val="00C82593"/>
    <w:rsid w:val="00C9583C"/>
    <w:rsid w:val="00CA6A02"/>
    <w:rsid w:val="00CB0964"/>
    <w:rsid w:val="00CB5A09"/>
    <w:rsid w:val="00CD1A71"/>
    <w:rsid w:val="00CD1FBB"/>
    <w:rsid w:val="00CD5F57"/>
    <w:rsid w:val="00CE1D9C"/>
    <w:rsid w:val="00CF5128"/>
    <w:rsid w:val="00D016B5"/>
    <w:rsid w:val="00D0282E"/>
    <w:rsid w:val="00D034F1"/>
    <w:rsid w:val="00D03707"/>
    <w:rsid w:val="00D05CC8"/>
    <w:rsid w:val="00D101CB"/>
    <w:rsid w:val="00D133E1"/>
    <w:rsid w:val="00D16C2E"/>
    <w:rsid w:val="00D24942"/>
    <w:rsid w:val="00D27D5E"/>
    <w:rsid w:val="00D35B2D"/>
    <w:rsid w:val="00D73603"/>
    <w:rsid w:val="00D75D52"/>
    <w:rsid w:val="00D77AC2"/>
    <w:rsid w:val="00D84014"/>
    <w:rsid w:val="00D97679"/>
    <w:rsid w:val="00DA302E"/>
    <w:rsid w:val="00DB1EB7"/>
    <w:rsid w:val="00DC24B5"/>
    <w:rsid w:val="00DD2948"/>
    <w:rsid w:val="00DE00D7"/>
    <w:rsid w:val="00DE6D90"/>
    <w:rsid w:val="00DE7B08"/>
    <w:rsid w:val="00DF002F"/>
    <w:rsid w:val="00DF0AEE"/>
    <w:rsid w:val="00DF3BF1"/>
    <w:rsid w:val="00E0244D"/>
    <w:rsid w:val="00E03D0C"/>
    <w:rsid w:val="00E04E18"/>
    <w:rsid w:val="00E067BF"/>
    <w:rsid w:val="00E144C5"/>
    <w:rsid w:val="00E24C95"/>
    <w:rsid w:val="00E368FF"/>
    <w:rsid w:val="00E6359D"/>
    <w:rsid w:val="00E81E94"/>
    <w:rsid w:val="00E82607"/>
    <w:rsid w:val="00E8692A"/>
    <w:rsid w:val="00E873D5"/>
    <w:rsid w:val="00E928CF"/>
    <w:rsid w:val="00E92DF1"/>
    <w:rsid w:val="00E93401"/>
    <w:rsid w:val="00E95BCF"/>
    <w:rsid w:val="00E9739A"/>
    <w:rsid w:val="00EA1074"/>
    <w:rsid w:val="00EA4DB8"/>
    <w:rsid w:val="00EB115F"/>
    <w:rsid w:val="00EC7347"/>
    <w:rsid w:val="00ED0124"/>
    <w:rsid w:val="00ED7229"/>
    <w:rsid w:val="00ED7671"/>
    <w:rsid w:val="00EE245D"/>
    <w:rsid w:val="00F04EF5"/>
    <w:rsid w:val="00F122F7"/>
    <w:rsid w:val="00F13752"/>
    <w:rsid w:val="00F260B6"/>
    <w:rsid w:val="00F33865"/>
    <w:rsid w:val="00F35AFA"/>
    <w:rsid w:val="00F40BD3"/>
    <w:rsid w:val="00F40CBB"/>
    <w:rsid w:val="00F53553"/>
    <w:rsid w:val="00F5501C"/>
    <w:rsid w:val="00F55666"/>
    <w:rsid w:val="00F60EE6"/>
    <w:rsid w:val="00F647CC"/>
    <w:rsid w:val="00F65C3E"/>
    <w:rsid w:val="00F66D70"/>
    <w:rsid w:val="00F70C31"/>
    <w:rsid w:val="00F72790"/>
    <w:rsid w:val="00F73298"/>
    <w:rsid w:val="00F92911"/>
    <w:rsid w:val="00F92AAB"/>
    <w:rsid w:val="00F940BC"/>
    <w:rsid w:val="00F973D6"/>
    <w:rsid w:val="00F97CC9"/>
    <w:rsid w:val="00FA1AE3"/>
    <w:rsid w:val="00FA5A79"/>
    <w:rsid w:val="00FB0220"/>
    <w:rsid w:val="00FB0BFE"/>
    <w:rsid w:val="00FB4C51"/>
    <w:rsid w:val="00FC2BE8"/>
    <w:rsid w:val="00FD774C"/>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14:docId w14:val="152DC4E3"/>
  <w15:docId w15:val="{67D071D0-D667-4638-A9FA-75F5B1A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037"/>
    <w:pPr>
      <w:suppressAutoHyphens/>
      <w:spacing w:line="240" w:lineRule="atLeast"/>
    </w:pPr>
    <w:rPr>
      <w:lang w:val="fr-CH" w:eastAsia="en-US"/>
    </w:rPr>
  </w:style>
  <w:style w:type="paragraph" w:styleId="Titre1">
    <w:name w:val="heading 1"/>
    <w:aliases w:val="Table_G"/>
    <w:basedOn w:val="SingleTxtG"/>
    <w:next w:val="SingleTxtG"/>
    <w:uiPriority w:val="9"/>
    <w:qFormat/>
    <w:rsid w:val="00B93051"/>
    <w:pPr>
      <w:keepNext/>
      <w:keepLines/>
      <w:spacing w:after="0" w:line="240" w:lineRule="auto"/>
      <w:ind w:right="0"/>
      <w:jc w:val="left"/>
      <w:outlineLvl w:val="0"/>
    </w:pPr>
  </w:style>
  <w:style w:type="paragraph" w:styleId="Titre2">
    <w:name w:val="heading 2"/>
    <w:basedOn w:val="Normal"/>
    <w:next w:val="Normal"/>
    <w:uiPriority w:val="9"/>
    <w:qFormat/>
    <w:rsid w:val="008F53ED"/>
    <w:pPr>
      <w:outlineLvl w:val="1"/>
    </w:pPr>
  </w:style>
  <w:style w:type="paragraph" w:styleId="Titre3">
    <w:name w:val="heading 3"/>
    <w:basedOn w:val="Normal"/>
    <w:next w:val="Normal"/>
    <w:uiPriority w:val="9"/>
    <w:qFormat/>
    <w:rsid w:val="008F53ED"/>
    <w:pPr>
      <w:outlineLvl w:val="2"/>
    </w:pPr>
  </w:style>
  <w:style w:type="paragraph" w:styleId="Titre4">
    <w:name w:val="heading 4"/>
    <w:basedOn w:val="Normal"/>
    <w:next w:val="Normal"/>
    <w:uiPriority w:val="9"/>
    <w:qFormat/>
    <w:rsid w:val="008F53ED"/>
    <w:pPr>
      <w:outlineLvl w:val="3"/>
    </w:pPr>
  </w:style>
  <w:style w:type="paragraph" w:styleId="Titre5">
    <w:name w:val="heading 5"/>
    <w:basedOn w:val="Normal"/>
    <w:next w:val="Normal"/>
    <w:uiPriority w:val="9"/>
    <w:qFormat/>
    <w:rsid w:val="008F53ED"/>
    <w:pPr>
      <w:outlineLvl w:val="4"/>
    </w:pPr>
  </w:style>
  <w:style w:type="paragraph" w:styleId="Titre6">
    <w:name w:val="heading 6"/>
    <w:basedOn w:val="Normal"/>
    <w:next w:val="Normal"/>
    <w:uiPriority w:val="9"/>
    <w:qFormat/>
    <w:rsid w:val="008F53ED"/>
    <w:pPr>
      <w:outlineLvl w:val="5"/>
    </w:pPr>
  </w:style>
  <w:style w:type="paragraph" w:styleId="Titre7">
    <w:name w:val="heading 7"/>
    <w:basedOn w:val="Normal"/>
    <w:next w:val="Normal"/>
    <w:uiPriority w:val="9"/>
    <w:semiHidden/>
    <w:qFormat/>
    <w:rsid w:val="008F53ED"/>
    <w:pPr>
      <w:outlineLvl w:val="6"/>
    </w:pPr>
  </w:style>
  <w:style w:type="paragraph" w:styleId="Titre8">
    <w:name w:val="heading 8"/>
    <w:basedOn w:val="Normal"/>
    <w:next w:val="Normal"/>
    <w:link w:val="Titre8Car"/>
    <w:semiHidden/>
    <w:qFormat/>
    <w:rsid w:val="008F53ED"/>
    <w:pPr>
      <w:outlineLvl w:val="7"/>
    </w:pPr>
  </w:style>
  <w:style w:type="paragraph" w:styleId="Titre9">
    <w:name w:val="heading 9"/>
    <w:basedOn w:val="Normal"/>
    <w:next w:val="Normal"/>
    <w:uiPriority w:val="9"/>
    <w:semiHidden/>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F53ED"/>
    <w:pPr>
      <w:numPr>
        <w:numId w:val="1"/>
      </w:numPr>
      <w:spacing w:after="120"/>
      <w:ind w:right="1134"/>
      <w:jc w:val="both"/>
    </w:pPr>
  </w:style>
  <w:style w:type="paragraph" w:customStyle="1" w:styleId="Bullet2G">
    <w:name w:val="_Bullet 2_G"/>
    <w:basedOn w:val="Normal"/>
    <w:qFormat/>
    <w:rsid w:val="008F53ED"/>
    <w:pPr>
      <w:numPr>
        <w:numId w:val="2"/>
      </w:numPr>
      <w:spacing w:after="120"/>
      <w:ind w:right="1134"/>
      <w:jc w:val="both"/>
    </w:pPr>
  </w:style>
  <w:style w:type="character" w:styleId="Appelnotedebasdep">
    <w:name w:val="footnote reference"/>
    <w:aliases w:val="4_G"/>
    <w:basedOn w:val="Policepardfaut"/>
    <w:qFormat/>
    <w:rsid w:val="00866421"/>
    <w:rPr>
      <w:rFonts w:ascii="Times New Roman" w:hAnsi="Times New Roman"/>
      <w:sz w:val="18"/>
      <w:vertAlign w:val="superscript"/>
      <w:lang w:val="fr-CH"/>
    </w:rPr>
  </w:style>
  <w:style w:type="character" w:styleId="Appeldenotedefin">
    <w:name w:val="endnote reference"/>
    <w:aliases w:val="1_G"/>
    <w:basedOn w:val="Appelnotedebasdep"/>
    <w:qFormat/>
    <w:rsid w:val="008F53ED"/>
    <w:rPr>
      <w:rFonts w:ascii="Times New Roman" w:hAnsi="Times New Roman"/>
      <w:sz w:val="18"/>
      <w:vertAlign w:val="superscript"/>
      <w:lang w:val="fr-CH"/>
    </w:rPr>
  </w:style>
  <w:style w:type="paragraph" w:styleId="En-tte">
    <w:name w:val="header"/>
    <w:aliases w:val="6_G"/>
    <w:basedOn w:val="Normal"/>
    <w:next w:val="Normal"/>
    <w:qFormat/>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66421"/>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Notedefin">
    <w:name w:val="endnote text"/>
    <w:aliases w:val="2_G"/>
    <w:basedOn w:val="Notedebasdepage"/>
    <w:qFormat/>
    <w:rsid w:val="008F53ED"/>
  </w:style>
  <w:style w:type="character" w:styleId="Numrodepage">
    <w:name w:val="page number"/>
    <w:aliases w:val="7_G"/>
    <w:basedOn w:val="Policepardfaut"/>
    <w:qFormat/>
    <w:rsid w:val="008F53ED"/>
    <w:rPr>
      <w:rFonts w:ascii="Times New Roman" w:hAnsi="Times New Roman"/>
      <w:b/>
      <w:sz w:val="18"/>
      <w:lang w:val="fr-CH"/>
    </w:rPr>
  </w:style>
  <w:style w:type="paragraph" w:styleId="Pieddepage">
    <w:name w:val="footer"/>
    <w:aliases w:val="3_G"/>
    <w:basedOn w:val="Normal"/>
    <w:next w:val="Normal"/>
    <w:qFormat/>
    <w:rsid w:val="008F53ED"/>
    <w:pPr>
      <w:spacing w:line="240" w:lineRule="auto"/>
    </w:pPr>
    <w:rPr>
      <w:sz w:val="16"/>
    </w:rPr>
  </w:style>
  <w:style w:type="character" w:styleId="Lienhypertexte">
    <w:name w:val="Hyperlink"/>
    <w:basedOn w:val="Policepardfaut"/>
    <w:semiHidden/>
    <w:rsid w:val="00366F5B"/>
    <w:rPr>
      <w:color w:val="auto"/>
      <w:u w:val="none"/>
    </w:rPr>
  </w:style>
  <w:style w:type="character" w:styleId="Lienhypertextesuivivisit">
    <w:name w:val="FollowedHyperlink"/>
    <w:basedOn w:val="Policepardfaut"/>
    <w:semiHidden/>
    <w:rsid w:val="00366F5B"/>
    <w:rPr>
      <w:color w:val="auto"/>
      <w:u w:val="none"/>
    </w:rPr>
  </w:style>
  <w:style w:type="paragraph" w:styleId="Textedebulles">
    <w:name w:val="Balloon Text"/>
    <w:basedOn w:val="Normal"/>
    <w:link w:val="TextedebullesCar"/>
    <w:semiHidden/>
    <w:rsid w:val="00AF1037"/>
    <w:pPr>
      <w:spacing w:line="240" w:lineRule="auto"/>
    </w:pPr>
    <w:rPr>
      <w:rFonts w:ascii="Tahoma" w:hAnsi="Tahoma" w:cs="Tahoma"/>
      <w:sz w:val="16"/>
      <w:szCs w:val="16"/>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edebullesCar">
    <w:name w:val="Texte de bulles Car"/>
    <w:basedOn w:val="Policepardfaut"/>
    <w:link w:val="Textedebulles"/>
    <w:semiHidden/>
    <w:rsid w:val="00AF1037"/>
    <w:rPr>
      <w:rFonts w:ascii="Tahoma" w:hAnsi="Tahoma" w:cs="Tahoma"/>
      <w:sz w:val="16"/>
      <w:szCs w:val="16"/>
      <w:lang w:val="fr-CH" w:eastAsia="en-US"/>
    </w:rPr>
  </w:style>
  <w:style w:type="paragraph" w:customStyle="1" w:styleId="ParNoG">
    <w:name w:val="_ParNo_G"/>
    <w:basedOn w:val="SingleTxtG"/>
    <w:qFormat/>
    <w:rsid w:val="004F1388"/>
    <w:pPr>
      <w:numPr>
        <w:numId w:val="5"/>
      </w:numPr>
      <w:kinsoku w:val="0"/>
      <w:overflowPunct w:val="0"/>
      <w:autoSpaceDE w:val="0"/>
      <w:autoSpaceDN w:val="0"/>
      <w:adjustRightInd w:val="0"/>
      <w:snapToGrid w:val="0"/>
    </w:pPr>
  </w:style>
  <w:style w:type="paragraph" w:customStyle="1" w:styleId="H1">
    <w:name w:val="_ H_1"/>
    <w:basedOn w:val="Normal"/>
    <w:next w:val="Normal"/>
    <w:qFormat/>
    <w:rsid w:val="00FB0220"/>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FB0220"/>
    <w:pPr>
      <w:spacing w:line="240" w:lineRule="exact"/>
      <w:outlineLvl w:val="1"/>
    </w:pPr>
    <w:rPr>
      <w:spacing w:val="2"/>
      <w:sz w:val="20"/>
    </w:rPr>
  </w:style>
  <w:style w:type="paragraph" w:customStyle="1" w:styleId="HCH">
    <w:name w:val="_ H _CH"/>
    <w:basedOn w:val="H1"/>
    <w:next w:val="SingleTxt"/>
    <w:qFormat/>
    <w:rsid w:val="00FB0220"/>
    <w:pPr>
      <w:spacing w:line="300" w:lineRule="exact"/>
    </w:pPr>
    <w:rPr>
      <w:spacing w:val="-2"/>
      <w:sz w:val="28"/>
    </w:rPr>
  </w:style>
  <w:style w:type="paragraph" w:customStyle="1" w:styleId="SingleTxt">
    <w:name w:val="__Single Txt"/>
    <w:basedOn w:val="Normal"/>
    <w:qFormat/>
    <w:rsid w:val="00FB0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tedebasdepageCar">
    <w:name w:val="Note de bas de page Car"/>
    <w:aliases w:val="5_G Car"/>
    <w:basedOn w:val="Policepardfaut"/>
    <w:link w:val="Notedebasdepage"/>
    <w:rsid w:val="00866421"/>
    <w:rPr>
      <w:rFonts w:eastAsiaTheme="minorEastAsia"/>
      <w:sz w:val="18"/>
      <w:lang w:val="fr-CH" w:eastAsia="zh-CN"/>
    </w:rPr>
  </w:style>
  <w:style w:type="paragraph" w:customStyle="1" w:styleId="H4">
    <w:name w:val="_ H_4"/>
    <w:basedOn w:val="Normal"/>
    <w:next w:val="SingleTxt"/>
    <w:qFormat/>
    <w:rsid w:val="00FB0220"/>
    <w:pPr>
      <w:keepNext/>
      <w:keepLines/>
      <w:tabs>
        <w:tab w:val="right" w:pos="360"/>
      </w:tabs>
      <w:spacing w:line="240" w:lineRule="exact"/>
      <w:outlineLvl w:val="3"/>
    </w:pPr>
    <w:rPr>
      <w:rFonts w:eastAsiaTheme="minorHAnsi"/>
      <w:i/>
      <w:spacing w:val="3"/>
      <w:w w:val="103"/>
      <w:kern w:val="14"/>
      <w:szCs w:val="22"/>
      <w:lang w:val="fr-CA"/>
    </w:rPr>
  </w:style>
  <w:style w:type="paragraph" w:styleId="Paragraphedeliste">
    <w:name w:val="List Paragraph"/>
    <w:basedOn w:val="Normal"/>
    <w:uiPriority w:val="34"/>
    <w:rsid w:val="00FB0220"/>
    <w:pPr>
      <w:suppressAutoHyphens w:val="0"/>
      <w:spacing w:line="240" w:lineRule="exact"/>
      <w:ind w:left="720"/>
      <w:contextualSpacing/>
    </w:pPr>
    <w:rPr>
      <w:rFonts w:eastAsiaTheme="minorHAnsi"/>
      <w:spacing w:val="4"/>
      <w:w w:val="103"/>
      <w:kern w:val="14"/>
      <w:szCs w:val="22"/>
      <w:lang w:val="fr-CA"/>
    </w:rPr>
  </w:style>
  <w:style w:type="character" w:styleId="Marquedecommentaire">
    <w:name w:val="annotation reference"/>
    <w:basedOn w:val="Policepardfaut"/>
    <w:uiPriority w:val="99"/>
    <w:semiHidden/>
    <w:unhideWhenUsed/>
    <w:rsid w:val="00FB0220"/>
    <w:rPr>
      <w:sz w:val="16"/>
      <w:szCs w:val="16"/>
    </w:rPr>
  </w:style>
  <w:style w:type="paragraph" w:styleId="Commentaire">
    <w:name w:val="annotation text"/>
    <w:basedOn w:val="Normal"/>
    <w:link w:val="CommentaireCar"/>
    <w:semiHidden/>
    <w:unhideWhenUsed/>
    <w:rsid w:val="001950AC"/>
    <w:pPr>
      <w:spacing w:line="240" w:lineRule="auto"/>
    </w:pPr>
  </w:style>
  <w:style w:type="character" w:customStyle="1" w:styleId="CommentaireCar">
    <w:name w:val="Commentaire Car"/>
    <w:basedOn w:val="Policepardfaut"/>
    <w:link w:val="Commentaire"/>
    <w:semiHidden/>
    <w:rsid w:val="001950AC"/>
    <w:rPr>
      <w:lang w:val="fr-CH" w:eastAsia="en-US"/>
    </w:rPr>
  </w:style>
  <w:style w:type="paragraph" w:styleId="Objetducommentaire">
    <w:name w:val="annotation subject"/>
    <w:basedOn w:val="Commentaire"/>
    <w:next w:val="Commentaire"/>
    <w:link w:val="ObjetducommentaireCar"/>
    <w:semiHidden/>
    <w:unhideWhenUsed/>
    <w:rsid w:val="001950AC"/>
    <w:rPr>
      <w:b/>
      <w:bCs/>
    </w:rPr>
  </w:style>
  <w:style w:type="character" w:customStyle="1" w:styleId="ObjetducommentaireCar">
    <w:name w:val="Objet du commentaire Car"/>
    <w:basedOn w:val="CommentaireCar"/>
    <w:link w:val="Objetducommentaire"/>
    <w:semiHidden/>
    <w:rsid w:val="001950AC"/>
    <w:rPr>
      <w:b/>
      <w:bCs/>
      <w:lang w:val="fr-CH" w:eastAsia="en-US"/>
    </w:rPr>
  </w:style>
  <w:style w:type="paragraph" w:styleId="Rvision">
    <w:name w:val="Revision"/>
    <w:hidden/>
    <w:uiPriority w:val="99"/>
    <w:semiHidden/>
    <w:rsid w:val="00DB1EB7"/>
    <w:rPr>
      <w:lang w:val="fr-CH" w:eastAsia="en-US"/>
    </w:rPr>
  </w:style>
  <w:style w:type="character" w:customStyle="1" w:styleId="Titre8Car">
    <w:name w:val="Titre 8 Car"/>
    <w:basedOn w:val="Policepardfaut"/>
    <w:link w:val="Titre8"/>
    <w:semiHidden/>
    <w:rsid w:val="00B475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530AC46349FF2F4C9E3E6B6A1162BC11" ma:contentTypeVersion="17" ma:contentTypeDescription="" ma:contentTypeScope="" ma:versionID="db0fac188a7955c21707a22ed6599111">
  <xsd:schema xmlns:xsd="http://www.w3.org/2001/XMLSchema" xmlns:xs="http://www.w3.org/2001/XMLSchema" xmlns:p="http://schemas.microsoft.com/office/2006/metadata/properties" xmlns:ns2="843519ee-602c-4a77-9f98-e0b2d1df032d" xmlns:ns3="1bb7588e-e247-4215-aaaa-8ddb8e8e8079" xmlns:ns4="d0e6e1dd-cead-4b20-a8ab-6c17962cc4ab" xmlns:ns5="27b7a106-9d48-457f-9ac1-b59ab80e8256" targetNamespace="http://schemas.microsoft.com/office/2006/metadata/properties" ma:root="true" ma:fieldsID="a0bcb7a6cdefb07853f3035ef5a9f506" ns2:_="" ns3:_="" ns4:_="" ns5:_="">
    <xsd:import namespace="843519ee-602c-4a77-9f98-e0b2d1df032d"/>
    <xsd:import namespace="1bb7588e-e247-4215-aaaa-8ddb8e8e8079"/>
    <xsd:import namespace="d0e6e1dd-cead-4b20-a8ab-6c17962cc4ab"/>
    <xsd:import namespace="27b7a106-9d48-457f-9ac1-b59ab80e8256"/>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5:Drafts_x0020_adopted_x0020_by_x0020_the_x0020_chambers" minOccurs="0"/>
                <xsd:element ref="ns4:Discontinuance" minOccurs="0"/>
                <xsd:element ref="ns4:List_x0020_of_x0020_documents" minOccurs="0"/>
                <xsd:element ref="ns4:Repetitive" minOccurs="0"/>
                <xsd:element ref="ns4:Chamber_1" minOccurs="0"/>
                <xsd:element ref="ns4:Chamb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2"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3"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4"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5" nillable="true" ma:displayName="Follow-up" ma:default="0" ma:description="Check the box if it is a follow-up report" ma:internalName="Follow_x002d_up">
      <xsd:simpleType>
        <xsd:restriction base="dms:Boolean"/>
      </xsd:simpleType>
    </xsd:element>
    <xsd:element name="Inadmissibility" ma:index="6" nillable="true" ma:displayName="Inadmissibility" ma:default="0" ma:description="Check the box if it is Indadmissibility" ma:internalName="Inadmissibility">
      <xsd:simpleType>
        <xsd:restriction base="dms:Boolean"/>
      </xsd:simpleType>
    </xsd:element>
    <xsd:element name="Discontinuance" ma:index="8" nillable="true" ma:displayName="Discontinuance" ma:default="0" ma:description="Select the box if it is Discontinuance" ma:internalName="Discontinuance">
      <xsd:simpleType>
        <xsd:restriction base="dms:Boolean"/>
      </xsd:simpleType>
    </xsd:element>
    <xsd:element name="List_x0020_of_x0020_documents" ma:index="9" nillable="true" ma:displayName="Drafts on the merits" ma:default="0" ma:description="Select the box if it is a Draft on the merits" ma:internalName="List_x0020_of_x0020_documents">
      <xsd:simpleType>
        <xsd:restriction base="dms:Boolean"/>
      </xsd:simpleType>
    </xsd:element>
    <xsd:element name="Repetitive" ma:index="10" nillable="true" ma:displayName="Repetitive" ma:default="0" ma:description="Select the box if it is repetive" ma:internalName="Repetitive">
      <xsd:simpleType>
        <xsd:restriction base="dms:Boolean"/>
      </xsd:simpleType>
    </xsd:element>
    <xsd:element name="Chamber_1" ma:index="11" nillable="true" ma:displayName="Chamber_1" ma:default="0" ma:description="Select the box if it is Chamber 1" ma:internalName="Chamber_1">
      <xsd:simpleType>
        <xsd:restriction base="dms:Boolean"/>
      </xsd:simpleType>
    </xsd:element>
    <xsd:element name="Chamber_2" ma:index="12"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b7a106-9d48-457f-9ac1-b59ab80e8256" elementFormDefault="qualified">
    <xsd:import namespace="http://schemas.microsoft.com/office/2006/documentManagement/types"/>
    <xsd:import namespace="http://schemas.microsoft.com/office/infopath/2007/PartnerControls"/>
    <xsd:element name="Drafts_x0020_adopted_x0020_by_x0020_the_x0020_chambers" ma:index="7" nillable="true" ma:displayName="Drafts adopted by the chambers" ma:default="0" ma:internalName="Drafts_x0020_adopted_x0020_by_x0020_the_x0020_chamber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Discontinuance xmlns="d0e6e1dd-cead-4b20-a8ab-6c17962cc4ab">false</Discontinuance>
    <List_x0020_of_x0020_documents xmlns="d0e6e1dd-cead-4b20-a8ab-6c17962cc4ab">true</List_x0020_of_x0020_documents>
    <Drafts_x0020_adopted_x0020_by_x0020_the_x0020_chambers xmlns="27b7a106-9d48-457f-9ac1-b59ab80e8256">false</Drafts_x0020_adopted_x0020_by_x0020_the_x0020_chamb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7D27-6347-458A-A0DA-9AE0DF0F5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7b7a106-9d48-457f-9ac1-b59ab80e8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77513-D18A-408B-96E9-C1DAFD84318D}">
  <ds:schemaRefs>
    <ds:schemaRef ds:uri="http://schemas.microsoft.com/sharepoint/v3/contenttype/forms"/>
  </ds:schemaRefs>
</ds:datastoreItem>
</file>

<file path=customXml/itemProps3.xml><?xml version="1.0" encoding="utf-8"?>
<ds:datastoreItem xmlns:ds="http://schemas.openxmlformats.org/officeDocument/2006/customXml" ds:itemID="{C70B2D9F-E359-4855-8A45-893730D1D7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0e6e1dd-cead-4b20-a8ab-6c17962cc4ab"/>
    <ds:schemaRef ds:uri="http://schemas.openxmlformats.org/package/2006/metadata/core-properties"/>
    <ds:schemaRef ds:uri="http://purl.org/dc/terms/"/>
    <ds:schemaRef ds:uri="27b7a106-9d48-457f-9ac1-b59ab80e8256"/>
    <ds:schemaRef ds:uri="843519ee-602c-4a77-9f98-e0b2d1df032d"/>
    <ds:schemaRef ds:uri="1bb7588e-e247-4215-aaaa-8ddb8e8e8079"/>
    <ds:schemaRef ds:uri="http://www.w3.org/XML/1998/namespace"/>
    <ds:schemaRef ds:uri="http://purl.org/dc/dcmitype/"/>
  </ds:schemaRefs>
</ds:datastoreItem>
</file>

<file path=customXml/itemProps4.xml><?xml version="1.0" encoding="utf-8"?>
<ds:datastoreItem xmlns:ds="http://schemas.openxmlformats.org/officeDocument/2006/customXml" ds:itemID="{E7451546-8C33-41FD-91D5-3AE434DF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8</Pages>
  <Words>4770</Words>
  <Characters>25282</Characters>
  <Application>Microsoft Office Word</Application>
  <DocSecurity>0</DocSecurity>
  <Lines>320</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CCPR/C/126/D/2213/2012</vt:lpstr>
      <vt:lpstr>CCPR/C/126/D/2213/2012</vt:lpstr>
    </vt:vector>
  </TitlesOfParts>
  <Company>CSD</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CCPR/C/126/D/2213/2012</dc:title>
  <dc:subject>qrcode</dc:subject>
  <dc:creator>dvx</dc:creator>
  <cp:keywords/>
  <dc:description/>
  <cp:lastModifiedBy>Christine Devouassoux</cp:lastModifiedBy>
  <cp:revision>3</cp:revision>
  <cp:lastPrinted>2019-10-15T13:43:00Z</cp:lastPrinted>
  <dcterms:created xsi:type="dcterms:W3CDTF">2019-10-15T13:43:00Z</dcterms:created>
  <dcterms:modified xsi:type="dcterms:W3CDTF">2019-10-15T13:43:00Z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0x010100A70BC505B2949A43BBFACEE4A972077000530AC46349FF2F4C9E3E6B6A1162BC11</vt:lpwstr>
  </property>
</Properties>
</file>