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366F42"/>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366F42" w:rsidP="00366F42">
            <w:pPr>
              <w:jc w:val="right"/>
            </w:pPr>
            <w:r w:rsidRPr="00366F42">
              <w:rPr>
                <w:sz w:val="40"/>
              </w:rPr>
              <w:t>CCPR</w:t>
            </w:r>
            <w:r>
              <w:t>/C/126/D/2315/2013</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366F42" w:rsidP="002B7BC7">
            <w:pPr>
              <w:spacing w:before="240"/>
            </w:pPr>
            <w:proofErr w:type="spellStart"/>
            <w:r>
              <w:t>Distr</w:t>
            </w:r>
            <w:proofErr w:type="spellEnd"/>
            <w:r>
              <w:t>. générale</w:t>
            </w:r>
          </w:p>
          <w:p w:rsidR="00366F42" w:rsidRDefault="00366F42" w:rsidP="00366F42">
            <w:pPr>
              <w:spacing w:line="240" w:lineRule="exact"/>
            </w:pPr>
            <w:r>
              <w:t>10 octobre 2019</w:t>
            </w:r>
          </w:p>
          <w:p w:rsidR="00366F42" w:rsidRDefault="00366F42" w:rsidP="00366F42">
            <w:pPr>
              <w:spacing w:line="240" w:lineRule="exact"/>
            </w:pPr>
            <w:r>
              <w:t>Français</w:t>
            </w:r>
          </w:p>
          <w:p w:rsidR="00366F42" w:rsidRPr="00DB58B5" w:rsidRDefault="00366F42" w:rsidP="00366F42">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4C4080" w:rsidRPr="004C4080" w:rsidRDefault="004C4080" w:rsidP="004C4080">
      <w:pPr>
        <w:pStyle w:val="HChG"/>
        <w:rPr>
          <w:lang w:val="fr-FR"/>
        </w:rPr>
      </w:pPr>
      <w:r w:rsidRPr="00E908F4">
        <w:rPr>
          <w:lang w:val="fr-FR"/>
        </w:rPr>
        <w:tab/>
      </w:r>
      <w:r w:rsidRPr="00E908F4">
        <w:rPr>
          <w:lang w:val="fr-FR"/>
        </w:rPr>
        <w:tab/>
      </w:r>
      <w:r>
        <w:rPr>
          <w:lang w:val="fr-FR"/>
        </w:rPr>
        <w:t>Constatations adoptées par le Comité au titre de l’article</w:t>
      </w:r>
      <w:r>
        <w:rPr>
          <w:lang w:val="fr-FR"/>
        </w:rPr>
        <w:t> </w:t>
      </w:r>
      <w:r>
        <w:rPr>
          <w:lang w:val="fr-FR"/>
        </w:rPr>
        <w:t>5 (par.</w:t>
      </w:r>
      <w:r>
        <w:rPr>
          <w:lang w:val="fr-FR"/>
        </w:rPr>
        <w:t> </w:t>
      </w:r>
      <w:r>
        <w:rPr>
          <w:lang w:val="fr-FR"/>
        </w:rPr>
        <w:t>4) du Protocole facultatif, concernant la c</w:t>
      </w:r>
      <w:r w:rsidRPr="00E908F4">
        <w:rPr>
          <w:lang w:val="fr-FR"/>
        </w:rPr>
        <w:t xml:space="preserve">ommunication </w:t>
      </w:r>
      <w:r w:rsidRPr="00537E82">
        <w:rPr>
          <w:rFonts w:eastAsia="MS Mincho"/>
          <w:lang w:val="fr-FR"/>
        </w:rPr>
        <w:t>n</w:t>
      </w:r>
      <w:r w:rsidRPr="00537E82">
        <w:rPr>
          <w:rFonts w:eastAsia="MS Mincho"/>
          <w:vertAlign w:val="superscript"/>
          <w:lang w:val="fr-FR"/>
        </w:rPr>
        <w:t>o</w:t>
      </w:r>
      <w:r>
        <w:rPr>
          <w:lang w:val="fr-FR"/>
        </w:rPr>
        <w:t> </w:t>
      </w:r>
      <w:r w:rsidRPr="00E908F4">
        <w:rPr>
          <w:lang w:val="fr-FR"/>
        </w:rPr>
        <w:t>2315/2013</w:t>
      </w:r>
      <w:r w:rsidRPr="004C4080">
        <w:rPr>
          <w:rStyle w:val="Appelnotedebasdep"/>
          <w:b w:val="0"/>
          <w:sz w:val="20"/>
          <w:vertAlign w:val="baseline"/>
        </w:rPr>
        <w:footnoteReference w:customMarkFollows="1" w:id="2"/>
        <w:t>*</w:t>
      </w:r>
      <w:r w:rsidRPr="004C4080">
        <w:rPr>
          <w:b w:val="0"/>
          <w:sz w:val="20"/>
          <w:vertAlign w:val="superscript"/>
        </w:rPr>
        <w:t>,</w:t>
      </w:r>
      <w:r>
        <w:t xml:space="preserve"> </w:t>
      </w:r>
      <w:r w:rsidRPr="004C4080">
        <w:rPr>
          <w:rStyle w:val="Appelnotedebasdep"/>
          <w:b w:val="0"/>
          <w:sz w:val="20"/>
          <w:vertAlign w:val="baseline"/>
        </w:rPr>
        <w:footnoteReference w:customMarkFollows="1" w:id="3"/>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4C4080" w:rsidRPr="00B84AF3" w:rsidTr="0088032B">
        <w:tc>
          <w:tcPr>
            <w:tcW w:w="2835" w:type="dxa"/>
          </w:tcPr>
          <w:p w:rsidR="004C4080" w:rsidRPr="00B84AF3" w:rsidRDefault="004C4080" w:rsidP="004C4080">
            <w:pPr>
              <w:pStyle w:val="SingleTxtG"/>
              <w:spacing w:after="100"/>
              <w:ind w:left="0" w:right="-1"/>
              <w:jc w:val="left"/>
            </w:pPr>
            <w:r w:rsidRPr="00E908F4">
              <w:rPr>
                <w:i/>
                <w:lang w:val="fr-FR"/>
              </w:rPr>
              <w:t>Communication présentée par </w:t>
            </w:r>
            <w:r w:rsidRPr="00E908F4">
              <w:rPr>
                <w:lang w:val="fr-FR"/>
              </w:rPr>
              <w:t>:</w:t>
            </w:r>
          </w:p>
        </w:tc>
        <w:tc>
          <w:tcPr>
            <w:tcW w:w="3969" w:type="dxa"/>
          </w:tcPr>
          <w:p w:rsidR="004C4080" w:rsidRPr="008C1A09" w:rsidRDefault="004C4080" w:rsidP="004C4080">
            <w:pPr>
              <w:pStyle w:val="SingleTxtG"/>
              <w:spacing w:after="100"/>
              <w:ind w:left="57" w:right="-6"/>
              <w:jc w:val="left"/>
              <w:rPr>
                <w:lang w:val="fr-FR"/>
              </w:rPr>
            </w:pPr>
            <w:r w:rsidRPr="008C1A09">
              <w:rPr>
                <w:lang w:val="fr-FR"/>
              </w:rPr>
              <w:t xml:space="preserve">Anatoly </w:t>
            </w:r>
            <w:proofErr w:type="spellStart"/>
            <w:r w:rsidRPr="008C1A09">
              <w:rPr>
                <w:lang w:val="fr-FR"/>
              </w:rPr>
              <w:t>Bukas</w:t>
            </w:r>
            <w:proofErr w:type="spellEnd"/>
            <w:r w:rsidRPr="008C1A09">
              <w:rPr>
                <w:lang w:val="fr-FR"/>
              </w:rPr>
              <w:t xml:space="preserve"> (non représenté par un conseil)</w:t>
            </w:r>
          </w:p>
        </w:tc>
      </w:tr>
      <w:tr w:rsidR="004C4080" w:rsidRPr="00B84AF3" w:rsidTr="0088032B">
        <w:tc>
          <w:tcPr>
            <w:tcW w:w="2835" w:type="dxa"/>
          </w:tcPr>
          <w:p w:rsidR="004C4080" w:rsidRPr="008C1A09" w:rsidRDefault="004C4080" w:rsidP="004C4080">
            <w:pPr>
              <w:pStyle w:val="SingleTxtG"/>
              <w:spacing w:after="100"/>
              <w:ind w:left="0" w:right="-1"/>
              <w:jc w:val="left"/>
              <w:rPr>
                <w:lang w:val="fr-FR"/>
              </w:rPr>
            </w:pPr>
            <w:r>
              <w:rPr>
                <w:i/>
                <w:lang w:val="fr-FR"/>
              </w:rPr>
              <w:t>Victime(s) présumée(s)</w:t>
            </w:r>
            <w:r w:rsidRPr="008C1A09">
              <w:rPr>
                <w:i/>
                <w:lang w:val="fr-FR"/>
              </w:rPr>
              <w:t> </w:t>
            </w:r>
            <w:r>
              <w:rPr>
                <w:lang w:val="fr-FR"/>
              </w:rPr>
              <w:t>:</w:t>
            </w:r>
          </w:p>
        </w:tc>
        <w:tc>
          <w:tcPr>
            <w:tcW w:w="3969" w:type="dxa"/>
          </w:tcPr>
          <w:p w:rsidR="004C4080" w:rsidRPr="00B84AF3" w:rsidRDefault="004C4080" w:rsidP="004C4080">
            <w:pPr>
              <w:pStyle w:val="SingleTxtG"/>
              <w:spacing w:after="100"/>
              <w:ind w:left="57" w:right="-6"/>
              <w:jc w:val="left"/>
            </w:pPr>
            <w:r w:rsidRPr="008C1A09">
              <w:rPr>
                <w:lang w:val="fr-FR"/>
              </w:rPr>
              <w:t>L</w:t>
            </w:r>
            <w:r>
              <w:rPr>
                <w:lang w:val="fr-FR"/>
              </w:rPr>
              <w:t>’</w:t>
            </w:r>
            <w:r w:rsidRPr="008C1A09">
              <w:rPr>
                <w:lang w:val="fr-FR"/>
              </w:rPr>
              <w:t>auteur</w:t>
            </w:r>
          </w:p>
        </w:tc>
      </w:tr>
      <w:tr w:rsidR="004C4080" w:rsidRPr="00B84AF3" w:rsidTr="0088032B">
        <w:tc>
          <w:tcPr>
            <w:tcW w:w="2835" w:type="dxa"/>
          </w:tcPr>
          <w:p w:rsidR="004C4080" w:rsidRPr="00B84AF3" w:rsidRDefault="004C4080" w:rsidP="004C4080">
            <w:pPr>
              <w:pStyle w:val="SingleTxtG"/>
              <w:spacing w:after="100"/>
              <w:ind w:left="0" w:right="-1"/>
              <w:jc w:val="left"/>
            </w:pPr>
            <w:r w:rsidRPr="00E908F4">
              <w:rPr>
                <w:i/>
                <w:lang w:val="fr-FR"/>
              </w:rPr>
              <w:t>État partie </w:t>
            </w:r>
            <w:r w:rsidRPr="00E908F4">
              <w:rPr>
                <w:lang w:val="fr-FR"/>
              </w:rPr>
              <w:t>:</w:t>
            </w:r>
          </w:p>
        </w:tc>
        <w:tc>
          <w:tcPr>
            <w:tcW w:w="3969" w:type="dxa"/>
          </w:tcPr>
          <w:p w:rsidR="004C4080" w:rsidRPr="008C1A09" w:rsidRDefault="004C4080" w:rsidP="004C4080">
            <w:pPr>
              <w:pStyle w:val="SingleTxtG"/>
              <w:spacing w:after="100"/>
              <w:ind w:left="57" w:right="-6"/>
              <w:jc w:val="left"/>
              <w:rPr>
                <w:lang w:val="fr-FR"/>
              </w:rPr>
            </w:pPr>
            <w:r w:rsidRPr="008C1A09">
              <w:rPr>
                <w:lang w:val="fr-FR"/>
              </w:rPr>
              <w:t>Bélarus</w:t>
            </w:r>
          </w:p>
        </w:tc>
      </w:tr>
      <w:tr w:rsidR="004C4080" w:rsidRPr="00B84AF3" w:rsidTr="0088032B">
        <w:tc>
          <w:tcPr>
            <w:tcW w:w="2835" w:type="dxa"/>
          </w:tcPr>
          <w:p w:rsidR="004C4080" w:rsidRPr="00B84AF3" w:rsidRDefault="004C4080" w:rsidP="004C4080">
            <w:pPr>
              <w:pStyle w:val="SingleTxtG"/>
              <w:spacing w:after="100"/>
              <w:ind w:left="0" w:right="-1"/>
              <w:jc w:val="left"/>
            </w:pPr>
            <w:r w:rsidRPr="00E908F4">
              <w:rPr>
                <w:i/>
                <w:lang w:val="fr-FR"/>
              </w:rPr>
              <w:t>Date de la communication </w:t>
            </w:r>
            <w:r w:rsidRPr="00E908F4">
              <w:rPr>
                <w:lang w:val="fr-FR"/>
              </w:rPr>
              <w:t>:</w:t>
            </w:r>
          </w:p>
        </w:tc>
        <w:tc>
          <w:tcPr>
            <w:tcW w:w="3969" w:type="dxa"/>
          </w:tcPr>
          <w:p w:rsidR="004C4080" w:rsidRPr="008C1A09" w:rsidRDefault="004C4080" w:rsidP="004C4080">
            <w:pPr>
              <w:pStyle w:val="SingleTxtG"/>
              <w:spacing w:after="100"/>
              <w:ind w:left="57" w:right="-6"/>
              <w:jc w:val="left"/>
              <w:rPr>
                <w:lang w:val="fr-FR"/>
              </w:rPr>
            </w:pPr>
            <w:r w:rsidRPr="008C1A09">
              <w:rPr>
                <w:lang w:val="fr-FR"/>
              </w:rPr>
              <w:t>24 mai 2013 (date de la lettre initiale)</w:t>
            </w:r>
          </w:p>
        </w:tc>
      </w:tr>
      <w:tr w:rsidR="004C4080" w:rsidRPr="00B84AF3" w:rsidTr="0088032B">
        <w:tc>
          <w:tcPr>
            <w:tcW w:w="2835" w:type="dxa"/>
          </w:tcPr>
          <w:p w:rsidR="004C4080" w:rsidRPr="00B84AF3" w:rsidRDefault="004C4080" w:rsidP="004C4080">
            <w:pPr>
              <w:pStyle w:val="SingleTxtG"/>
              <w:spacing w:after="100"/>
              <w:ind w:left="0" w:right="-1"/>
              <w:jc w:val="left"/>
            </w:pPr>
            <w:r w:rsidRPr="00E908F4">
              <w:rPr>
                <w:i/>
                <w:lang w:val="fr-FR"/>
              </w:rPr>
              <w:t>Références</w:t>
            </w:r>
            <w:r w:rsidRPr="00E908F4">
              <w:rPr>
                <w:lang w:val="fr-FR"/>
              </w:rPr>
              <w:t> :</w:t>
            </w:r>
          </w:p>
        </w:tc>
        <w:tc>
          <w:tcPr>
            <w:tcW w:w="3969" w:type="dxa"/>
          </w:tcPr>
          <w:p w:rsidR="004C4080" w:rsidRPr="00B84AF3" w:rsidRDefault="004C4080" w:rsidP="004C4080">
            <w:pPr>
              <w:pStyle w:val="SingleTxtG"/>
              <w:spacing w:after="100"/>
              <w:ind w:left="57" w:right="-6"/>
              <w:jc w:val="left"/>
            </w:pPr>
            <w:r w:rsidRPr="00E908F4">
              <w:rPr>
                <w:lang w:val="fr-FR"/>
              </w:rPr>
              <w:t>Décision prise en application de l</w:t>
            </w:r>
            <w:r>
              <w:rPr>
                <w:lang w:val="fr-FR"/>
              </w:rPr>
              <w:t>’</w:t>
            </w:r>
            <w:r w:rsidRPr="00E908F4">
              <w:rPr>
                <w:lang w:val="fr-FR"/>
              </w:rPr>
              <w:t>article</w:t>
            </w:r>
            <w:r>
              <w:rPr>
                <w:lang w:val="fr-FR"/>
              </w:rPr>
              <w:t> </w:t>
            </w:r>
            <w:r w:rsidRPr="00E908F4">
              <w:rPr>
                <w:lang w:val="fr-FR"/>
              </w:rPr>
              <w:t xml:space="preserve">97 </w:t>
            </w:r>
            <w:r>
              <w:rPr>
                <w:lang w:val="fr-FR"/>
              </w:rPr>
              <w:t>(devenu l’article</w:t>
            </w:r>
            <w:r>
              <w:rPr>
                <w:lang w:val="fr-FR"/>
              </w:rPr>
              <w:t> </w:t>
            </w:r>
            <w:r>
              <w:rPr>
                <w:lang w:val="fr-FR"/>
              </w:rPr>
              <w:t xml:space="preserve">92) </w:t>
            </w:r>
            <w:r w:rsidRPr="00E908F4">
              <w:rPr>
                <w:lang w:val="fr-FR"/>
              </w:rPr>
              <w:t>du règlement intérieur du</w:t>
            </w:r>
            <w:r>
              <w:rPr>
                <w:lang w:val="fr-FR"/>
              </w:rPr>
              <w:t> </w:t>
            </w:r>
            <w:r w:rsidRPr="00E908F4">
              <w:rPr>
                <w:lang w:val="fr-FR"/>
              </w:rPr>
              <w:t>Comité, communiquée à l</w:t>
            </w:r>
            <w:r>
              <w:rPr>
                <w:lang w:val="fr-FR"/>
              </w:rPr>
              <w:t>’</w:t>
            </w:r>
            <w:r w:rsidRPr="00E908F4">
              <w:rPr>
                <w:lang w:val="fr-FR"/>
              </w:rPr>
              <w:t>État partie le 11</w:t>
            </w:r>
            <w:r>
              <w:rPr>
                <w:lang w:val="fr-FR"/>
              </w:rPr>
              <w:t> </w:t>
            </w:r>
            <w:r w:rsidRPr="00E908F4">
              <w:rPr>
                <w:lang w:val="fr-FR"/>
              </w:rPr>
              <w:t xml:space="preserve"> </w:t>
            </w:r>
            <w:r w:rsidRPr="00E908F4">
              <w:rPr>
                <w:lang w:val="fr-FR"/>
              </w:rPr>
              <w:t xml:space="preserve">décembre 2013 (non publiée sous forme </w:t>
            </w:r>
            <w:r>
              <w:rPr>
                <w:lang w:val="fr-FR"/>
              </w:rPr>
              <w:br/>
            </w:r>
            <w:r w:rsidRPr="00E908F4">
              <w:rPr>
                <w:lang w:val="fr-FR"/>
              </w:rPr>
              <w:t>de document)</w:t>
            </w:r>
          </w:p>
        </w:tc>
      </w:tr>
      <w:tr w:rsidR="004C4080" w:rsidRPr="00B84AF3" w:rsidTr="0088032B">
        <w:tc>
          <w:tcPr>
            <w:tcW w:w="2835" w:type="dxa"/>
          </w:tcPr>
          <w:p w:rsidR="004C4080" w:rsidRPr="00B84AF3" w:rsidRDefault="004C4080" w:rsidP="004C4080">
            <w:pPr>
              <w:pStyle w:val="SingleTxtG"/>
              <w:spacing w:after="100"/>
              <w:ind w:left="0" w:right="-1"/>
              <w:jc w:val="left"/>
              <w:rPr>
                <w:i/>
                <w:iCs/>
              </w:rPr>
            </w:pPr>
            <w:r w:rsidRPr="00E908F4">
              <w:rPr>
                <w:i/>
                <w:lang w:val="fr-FR"/>
              </w:rPr>
              <w:t>Date des constatations </w:t>
            </w:r>
            <w:r w:rsidRPr="00E908F4">
              <w:rPr>
                <w:lang w:val="fr-FR"/>
              </w:rPr>
              <w:t>:</w:t>
            </w:r>
          </w:p>
        </w:tc>
        <w:tc>
          <w:tcPr>
            <w:tcW w:w="3969" w:type="dxa"/>
          </w:tcPr>
          <w:p w:rsidR="004C4080" w:rsidRPr="00B84AF3" w:rsidRDefault="004C4080" w:rsidP="004C4080">
            <w:pPr>
              <w:pStyle w:val="SingleTxtG"/>
              <w:spacing w:after="100"/>
              <w:ind w:left="57" w:right="-6"/>
              <w:jc w:val="left"/>
            </w:pPr>
            <w:r>
              <w:rPr>
                <w:lang w:val="fr-FR"/>
              </w:rPr>
              <w:t>5 </w:t>
            </w:r>
            <w:r w:rsidRPr="00E908F4">
              <w:rPr>
                <w:lang w:val="fr-FR"/>
              </w:rPr>
              <w:t xml:space="preserve"> </w:t>
            </w:r>
            <w:r w:rsidRPr="00E908F4">
              <w:rPr>
                <w:lang w:val="fr-FR"/>
              </w:rPr>
              <w:t>juillet 2019</w:t>
            </w:r>
          </w:p>
        </w:tc>
      </w:tr>
      <w:tr w:rsidR="004C4080" w:rsidRPr="00B84AF3" w:rsidTr="0088032B">
        <w:tc>
          <w:tcPr>
            <w:tcW w:w="2835" w:type="dxa"/>
          </w:tcPr>
          <w:p w:rsidR="004C4080" w:rsidRPr="00B84AF3" w:rsidRDefault="004C4080" w:rsidP="004C4080">
            <w:pPr>
              <w:pStyle w:val="SingleTxtG"/>
              <w:spacing w:after="100"/>
              <w:ind w:left="0" w:right="-1"/>
              <w:jc w:val="left"/>
              <w:rPr>
                <w:i/>
                <w:iCs/>
              </w:rPr>
            </w:pPr>
            <w:r w:rsidRPr="00E908F4">
              <w:rPr>
                <w:i/>
                <w:iCs/>
                <w:lang w:val="fr-FR"/>
              </w:rPr>
              <w:t>Objet </w:t>
            </w:r>
            <w:r w:rsidRPr="00E908F4">
              <w:rPr>
                <w:iCs/>
                <w:lang w:val="fr-FR"/>
              </w:rPr>
              <w:t>:</w:t>
            </w:r>
          </w:p>
        </w:tc>
        <w:tc>
          <w:tcPr>
            <w:tcW w:w="3969" w:type="dxa"/>
          </w:tcPr>
          <w:p w:rsidR="004C4080" w:rsidRPr="00B84AF3" w:rsidRDefault="004C4080" w:rsidP="004C4080">
            <w:pPr>
              <w:pStyle w:val="SingleTxtG"/>
              <w:spacing w:after="100"/>
              <w:ind w:left="57" w:right="-6"/>
              <w:jc w:val="left"/>
            </w:pPr>
            <w:r w:rsidRPr="00E908F4">
              <w:rPr>
                <w:lang w:val="fr-FR"/>
              </w:rPr>
              <w:t>Refus des tribunaux d</w:t>
            </w:r>
            <w:r>
              <w:rPr>
                <w:lang w:val="fr-FR"/>
              </w:rPr>
              <w:t>’</w:t>
            </w:r>
            <w:r w:rsidRPr="00E908F4">
              <w:rPr>
                <w:lang w:val="fr-FR"/>
              </w:rPr>
              <w:t>examiner la demande de</w:t>
            </w:r>
            <w:r>
              <w:rPr>
                <w:lang w:val="fr-FR"/>
              </w:rPr>
              <w:t> </w:t>
            </w:r>
            <w:r w:rsidRPr="00E908F4">
              <w:rPr>
                <w:lang w:val="fr-FR"/>
              </w:rPr>
              <w:t>l</w:t>
            </w:r>
            <w:r>
              <w:rPr>
                <w:lang w:val="fr-FR"/>
              </w:rPr>
              <w:t>’</w:t>
            </w:r>
            <w:r w:rsidRPr="00E908F4">
              <w:rPr>
                <w:lang w:val="fr-FR"/>
              </w:rPr>
              <w:t>auteur</w:t>
            </w:r>
          </w:p>
        </w:tc>
      </w:tr>
      <w:tr w:rsidR="004C4080" w:rsidRPr="00B84AF3" w:rsidTr="0088032B">
        <w:tc>
          <w:tcPr>
            <w:tcW w:w="2835" w:type="dxa"/>
          </w:tcPr>
          <w:p w:rsidR="004C4080" w:rsidRPr="00B84AF3" w:rsidRDefault="004C4080" w:rsidP="004C4080">
            <w:pPr>
              <w:pStyle w:val="SingleTxtG"/>
              <w:spacing w:after="100"/>
              <w:ind w:left="0" w:right="-1"/>
              <w:jc w:val="left"/>
            </w:pPr>
            <w:r w:rsidRPr="00E908F4">
              <w:rPr>
                <w:i/>
                <w:iCs/>
                <w:lang w:val="fr-FR"/>
              </w:rPr>
              <w:t>Question(s) de procédure </w:t>
            </w:r>
            <w:r w:rsidRPr="00E908F4">
              <w:rPr>
                <w:iCs/>
                <w:lang w:val="fr-FR"/>
              </w:rPr>
              <w:t>:</w:t>
            </w:r>
          </w:p>
        </w:tc>
        <w:tc>
          <w:tcPr>
            <w:tcW w:w="3969" w:type="dxa"/>
          </w:tcPr>
          <w:p w:rsidR="004C4080" w:rsidRPr="00B84AF3" w:rsidRDefault="004C4080" w:rsidP="004C4080">
            <w:pPr>
              <w:pStyle w:val="SingleTxtG"/>
              <w:spacing w:after="100"/>
              <w:ind w:left="57" w:right="-6"/>
              <w:jc w:val="left"/>
            </w:pPr>
            <w:r w:rsidRPr="00E908F4">
              <w:rPr>
                <w:iCs/>
                <w:lang w:val="fr-FR"/>
              </w:rPr>
              <w:t>Défaut de coopération de l</w:t>
            </w:r>
            <w:r>
              <w:rPr>
                <w:iCs/>
                <w:lang w:val="fr-FR"/>
              </w:rPr>
              <w:t>’</w:t>
            </w:r>
            <w:r w:rsidRPr="00E908F4">
              <w:rPr>
                <w:iCs/>
                <w:lang w:val="fr-FR"/>
              </w:rPr>
              <w:t>État partie</w:t>
            </w:r>
          </w:p>
        </w:tc>
      </w:tr>
      <w:tr w:rsidR="004C4080" w:rsidRPr="00B84AF3" w:rsidTr="0088032B">
        <w:tc>
          <w:tcPr>
            <w:tcW w:w="2835" w:type="dxa"/>
          </w:tcPr>
          <w:p w:rsidR="004C4080" w:rsidRPr="00B84AF3" w:rsidRDefault="004C4080" w:rsidP="004C4080">
            <w:pPr>
              <w:pStyle w:val="SingleTxtG"/>
              <w:spacing w:after="100"/>
              <w:ind w:left="0" w:right="-1"/>
              <w:jc w:val="left"/>
            </w:pPr>
            <w:r w:rsidRPr="00E908F4">
              <w:rPr>
                <w:i/>
                <w:iCs/>
                <w:lang w:val="fr-FR"/>
              </w:rPr>
              <w:t>Question(s) de fond :</w:t>
            </w:r>
          </w:p>
        </w:tc>
        <w:tc>
          <w:tcPr>
            <w:tcW w:w="3969" w:type="dxa"/>
          </w:tcPr>
          <w:p w:rsidR="004C4080" w:rsidRPr="00B84AF3" w:rsidRDefault="004C4080" w:rsidP="004C4080">
            <w:pPr>
              <w:pStyle w:val="SingleTxtG"/>
              <w:spacing w:after="100"/>
              <w:ind w:left="57" w:right="-6"/>
              <w:jc w:val="left"/>
            </w:pPr>
            <w:r w:rsidRPr="00E908F4">
              <w:rPr>
                <w:iCs/>
                <w:lang w:val="fr-FR"/>
              </w:rPr>
              <w:t>Droit à un procès équitable</w:t>
            </w:r>
            <w:r>
              <w:rPr>
                <w:iCs/>
                <w:lang w:val="fr-FR"/>
              </w:rPr>
              <w:t> ;</w:t>
            </w:r>
            <w:r w:rsidRPr="00E908F4">
              <w:rPr>
                <w:iCs/>
                <w:lang w:val="fr-FR"/>
              </w:rPr>
              <w:t xml:space="preserve"> droit d</w:t>
            </w:r>
            <w:r>
              <w:rPr>
                <w:iCs/>
                <w:lang w:val="fr-FR"/>
              </w:rPr>
              <w:t>’</w:t>
            </w:r>
            <w:r w:rsidRPr="00E908F4">
              <w:rPr>
                <w:iCs/>
                <w:lang w:val="fr-FR"/>
              </w:rPr>
              <w:t>être</w:t>
            </w:r>
            <w:r w:rsidRPr="00E908F4">
              <w:rPr>
                <w:i/>
                <w:iCs/>
                <w:lang w:val="fr-FR"/>
              </w:rPr>
              <w:t xml:space="preserve"> </w:t>
            </w:r>
            <w:r w:rsidRPr="00E908F4">
              <w:rPr>
                <w:iCs/>
                <w:lang w:val="fr-FR"/>
              </w:rPr>
              <w:t>élu</w:t>
            </w:r>
          </w:p>
        </w:tc>
      </w:tr>
      <w:tr w:rsidR="004C4080" w:rsidRPr="00B84AF3" w:rsidTr="0088032B">
        <w:tc>
          <w:tcPr>
            <w:tcW w:w="2835" w:type="dxa"/>
          </w:tcPr>
          <w:p w:rsidR="004C4080" w:rsidRPr="00B84AF3" w:rsidRDefault="004C4080" w:rsidP="004C4080">
            <w:pPr>
              <w:pStyle w:val="SingleTxtG"/>
              <w:spacing w:after="100"/>
              <w:ind w:left="0" w:right="-1"/>
              <w:jc w:val="left"/>
            </w:pPr>
            <w:r w:rsidRPr="00E908F4">
              <w:rPr>
                <w:i/>
                <w:iCs/>
                <w:lang w:val="fr-FR"/>
              </w:rPr>
              <w:t>Article(s) du Pacte </w:t>
            </w:r>
            <w:r w:rsidRPr="00E908F4">
              <w:rPr>
                <w:iCs/>
                <w:lang w:val="fr-FR"/>
              </w:rPr>
              <w:t>:</w:t>
            </w:r>
          </w:p>
        </w:tc>
        <w:tc>
          <w:tcPr>
            <w:tcW w:w="3969" w:type="dxa"/>
          </w:tcPr>
          <w:p w:rsidR="004C4080" w:rsidRPr="00B84AF3" w:rsidRDefault="004C4080" w:rsidP="004C4080">
            <w:pPr>
              <w:pStyle w:val="SingleTxtG"/>
              <w:spacing w:after="100"/>
              <w:ind w:left="57" w:right="-6"/>
              <w:jc w:val="left"/>
            </w:pPr>
            <w:r w:rsidRPr="00E908F4">
              <w:rPr>
                <w:lang w:val="fr-FR"/>
              </w:rPr>
              <w:t>14 (par. 1)</w:t>
            </w:r>
          </w:p>
        </w:tc>
      </w:tr>
      <w:tr w:rsidR="004C4080" w:rsidRPr="00B84AF3" w:rsidTr="0088032B">
        <w:tc>
          <w:tcPr>
            <w:tcW w:w="2835" w:type="dxa"/>
          </w:tcPr>
          <w:p w:rsidR="004C4080" w:rsidRPr="00B84AF3" w:rsidRDefault="004C4080" w:rsidP="004C4080">
            <w:pPr>
              <w:pStyle w:val="SingleTxtG"/>
              <w:spacing w:after="100"/>
              <w:ind w:left="0" w:right="-1"/>
              <w:jc w:val="left"/>
            </w:pPr>
            <w:r w:rsidRPr="00E908F4">
              <w:rPr>
                <w:i/>
                <w:iCs/>
                <w:lang w:val="fr-FR"/>
              </w:rPr>
              <w:t>Article(s) du Protocole facultatif </w:t>
            </w:r>
            <w:r w:rsidRPr="00E908F4">
              <w:rPr>
                <w:iCs/>
                <w:lang w:val="fr-FR"/>
              </w:rPr>
              <w:t>:</w:t>
            </w:r>
          </w:p>
        </w:tc>
        <w:tc>
          <w:tcPr>
            <w:tcW w:w="3969" w:type="dxa"/>
          </w:tcPr>
          <w:p w:rsidR="004C4080" w:rsidRPr="00B84AF3" w:rsidRDefault="004C4080" w:rsidP="004C4080">
            <w:pPr>
              <w:pStyle w:val="SingleTxtG"/>
              <w:spacing w:after="100"/>
              <w:ind w:left="57" w:right="-6"/>
            </w:pPr>
            <w:r w:rsidRPr="00E908F4">
              <w:rPr>
                <w:iCs/>
                <w:lang w:val="fr-FR"/>
              </w:rPr>
              <w:t>Aucun</w:t>
            </w:r>
          </w:p>
        </w:tc>
      </w:tr>
    </w:tbl>
    <w:p w:rsidR="004C4080" w:rsidRPr="00E908F4" w:rsidRDefault="004C4080" w:rsidP="004C4080">
      <w:pPr>
        <w:pStyle w:val="SingleTxtG"/>
        <w:spacing w:before="120"/>
        <w:rPr>
          <w:lang w:val="fr-FR"/>
        </w:rPr>
      </w:pPr>
      <w:r w:rsidRPr="00E908F4">
        <w:rPr>
          <w:lang w:val="fr-FR"/>
        </w:rPr>
        <w:t>1.</w:t>
      </w:r>
      <w:r w:rsidRPr="00E908F4">
        <w:rPr>
          <w:lang w:val="fr-FR"/>
        </w:rPr>
        <w:tab/>
        <w:t>L</w:t>
      </w:r>
      <w:r>
        <w:rPr>
          <w:lang w:val="fr-FR"/>
        </w:rPr>
        <w:t>’</w:t>
      </w:r>
      <w:r w:rsidRPr="00E908F4">
        <w:rPr>
          <w:lang w:val="fr-FR"/>
        </w:rPr>
        <w:t xml:space="preserve">auteur de la communication est Anatoly </w:t>
      </w:r>
      <w:proofErr w:type="spellStart"/>
      <w:r w:rsidRPr="00E908F4">
        <w:rPr>
          <w:lang w:val="fr-FR"/>
        </w:rPr>
        <w:t>Bukas</w:t>
      </w:r>
      <w:proofErr w:type="spellEnd"/>
      <w:r w:rsidRPr="00E908F4">
        <w:rPr>
          <w:lang w:val="fr-FR"/>
        </w:rPr>
        <w:t xml:space="preserve">, de nationalité bélarussienne, né en 1956. Il </w:t>
      </w:r>
      <w:r>
        <w:rPr>
          <w:lang w:val="fr-FR"/>
        </w:rPr>
        <w:t>affirme que</w:t>
      </w:r>
      <w:r w:rsidRPr="00E908F4">
        <w:rPr>
          <w:lang w:val="fr-FR"/>
        </w:rPr>
        <w:t xml:space="preserve"> l</w:t>
      </w:r>
      <w:r>
        <w:rPr>
          <w:lang w:val="fr-FR"/>
        </w:rPr>
        <w:t>’</w:t>
      </w:r>
      <w:r w:rsidRPr="00E908F4">
        <w:rPr>
          <w:lang w:val="fr-FR"/>
        </w:rPr>
        <w:t xml:space="preserve">État partie </w:t>
      </w:r>
      <w:r>
        <w:rPr>
          <w:lang w:val="fr-FR"/>
        </w:rPr>
        <w:t>a violé l</w:t>
      </w:r>
      <w:r w:rsidRPr="00E908F4">
        <w:rPr>
          <w:lang w:val="fr-FR"/>
        </w:rPr>
        <w:t>es droits qu</w:t>
      </w:r>
      <w:r>
        <w:rPr>
          <w:lang w:val="fr-FR"/>
        </w:rPr>
        <w:t>’</w:t>
      </w:r>
      <w:r w:rsidRPr="00E908F4">
        <w:rPr>
          <w:lang w:val="fr-FR"/>
        </w:rPr>
        <w:t>il tient du paragraphe</w:t>
      </w:r>
      <w:r>
        <w:rPr>
          <w:lang w:val="fr-FR"/>
        </w:rPr>
        <w:t> </w:t>
      </w:r>
      <w:r w:rsidRPr="00E908F4">
        <w:rPr>
          <w:lang w:val="fr-FR"/>
        </w:rPr>
        <w:t>1 de l</w:t>
      </w:r>
      <w:r>
        <w:rPr>
          <w:lang w:val="fr-FR"/>
        </w:rPr>
        <w:t>’</w:t>
      </w:r>
      <w:r w:rsidRPr="00E908F4">
        <w:rPr>
          <w:lang w:val="fr-FR"/>
        </w:rPr>
        <w:t>article</w:t>
      </w:r>
      <w:r>
        <w:rPr>
          <w:lang w:val="fr-FR"/>
        </w:rPr>
        <w:t> </w:t>
      </w:r>
      <w:r w:rsidRPr="00E908F4">
        <w:rPr>
          <w:lang w:val="fr-FR"/>
        </w:rPr>
        <w:t>14 du Pacte. Le Protocole facultatif est entré en vigueur pour l</w:t>
      </w:r>
      <w:r>
        <w:rPr>
          <w:lang w:val="fr-FR"/>
        </w:rPr>
        <w:t>’</w:t>
      </w:r>
      <w:r w:rsidRPr="00E908F4">
        <w:rPr>
          <w:lang w:val="fr-FR"/>
        </w:rPr>
        <w:t>État partie le 30</w:t>
      </w:r>
      <w:r>
        <w:rPr>
          <w:lang w:val="fr-FR"/>
        </w:rPr>
        <w:t> </w:t>
      </w:r>
      <w:r w:rsidRPr="00E908F4">
        <w:rPr>
          <w:lang w:val="fr-FR"/>
        </w:rPr>
        <w:t>décembre 1992. L</w:t>
      </w:r>
      <w:r>
        <w:rPr>
          <w:lang w:val="fr-FR"/>
        </w:rPr>
        <w:t>’</w:t>
      </w:r>
      <w:r w:rsidRPr="00E908F4">
        <w:rPr>
          <w:lang w:val="fr-FR"/>
        </w:rPr>
        <w:t>auteur n</w:t>
      </w:r>
      <w:r>
        <w:rPr>
          <w:lang w:val="fr-FR"/>
        </w:rPr>
        <w:t>’</w:t>
      </w:r>
      <w:r w:rsidRPr="00E908F4">
        <w:rPr>
          <w:lang w:val="fr-FR"/>
        </w:rPr>
        <w:t>est pas représenté par un conseil.</w:t>
      </w:r>
    </w:p>
    <w:p w:rsidR="004C4080" w:rsidRPr="00E908F4" w:rsidRDefault="004C4080" w:rsidP="004C4080">
      <w:pPr>
        <w:pStyle w:val="H23G"/>
        <w:rPr>
          <w:lang w:val="fr-FR"/>
        </w:rPr>
      </w:pPr>
      <w:r>
        <w:rPr>
          <w:lang w:val="fr-FR"/>
        </w:rPr>
        <w:tab/>
      </w:r>
      <w:r>
        <w:rPr>
          <w:lang w:val="fr-FR"/>
        </w:rPr>
        <w:tab/>
      </w:r>
      <w:r w:rsidRPr="00E908F4">
        <w:rPr>
          <w:lang w:val="fr-FR"/>
        </w:rPr>
        <w:t>Exposé des faits</w:t>
      </w:r>
      <w:r w:rsidRPr="004C4080">
        <w:rPr>
          <w:rStyle w:val="Appelnotedebasdep"/>
          <w:b w:val="0"/>
        </w:rPr>
        <w:footnoteReference w:id="4"/>
      </w:r>
    </w:p>
    <w:p w:rsidR="004C4080" w:rsidRPr="00E908F4" w:rsidRDefault="004C4080" w:rsidP="004C4080">
      <w:pPr>
        <w:pStyle w:val="SingleTxtG"/>
        <w:rPr>
          <w:lang w:val="fr-FR"/>
        </w:rPr>
      </w:pPr>
      <w:r w:rsidRPr="00E908F4">
        <w:rPr>
          <w:lang w:val="fr-FR"/>
        </w:rPr>
        <w:t>2.1</w:t>
      </w:r>
      <w:r w:rsidRPr="00E908F4">
        <w:rPr>
          <w:lang w:val="fr-FR"/>
        </w:rPr>
        <w:tab/>
        <w:t>Le 23</w:t>
      </w:r>
      <w:r>
        <w:rPr>
          <w:lang w:val="fr-FR"/>
        </w:rPr>
        <w:t> </w:t>
      </w:r>
      <w:r w:rsidRPr="00E908F4">
        <w:rPr>
          <w:lang w:val="fr-FR"/>
        </w:rPr>
        <w:t>août 2012, la Commission électorale de district de la circonscription électorale de la ville de Borisov (62</w:t>
      </w:r>
      <w:r w:rsidRPr="00E908F4">
        <w:rPr>
          <w:vertAlign w:val="superscript"/>
          <w:lang w:val="fr-FR"/>
        </w:rPr>
        <w:t>e</w:t>
      </w:r>
      <w:r>
        <w:rPr>
          <w:lang w:val="fr-FR"/>
        </w:rPr>
        <w:t> </w:t>
      </w:r>
      <w:r w:rsidRPr="00E908F4">
        <w:rPr>
          <w:lang w:val="fr-FR"/>
        </w:rPr>
        <w:t>circonscription) a rendu une décision par laquelle elle enregistrait la candidature de l</w:t>
      </w:r>
      <w:r>
        <w:rPr>
          <w:lang w:val="fr-FR"/>
        </w:rPr>
        <w:t>’</w:t>
      </w:r>
      <w:r w:rsidRPr="00E908F4">
        <w:rPr>
          <w:lang w:val="fr-FR"/>
        </w:rPr>
        <w:t>auteur à la Chambre des représentants de l</w:t>
      </w:r>
      <w:r>
        <w:rPr>
          <w:lang w:val="fr-FR"/>
        </w:rPr>
        <w:t>’</w:t>
      </w:r>
      <w:r w:rsidRPr="00E908F4">
        <w:rPr>
          <w:lang w:val="fr-FR"/>
        </w:rPr>
        <w:t xml:space="preserve">Assemblée </w:t>
      </w:r>
      <w:r w:rsidRPr="00E908F4">
        <w:rPr>
          <w:lang w:val="fr-FR"/>
        </w:rPr>
        <w:lastRenderedPageBreak/>
        <w:t>nationale du Bélarus pour les élections parlementaires à venir. Le 27</w:t>
      </w:r>
      <w:r>
        <w:rPr>
          <w:lang w:val="fr-FR"/>
        </w:rPr>
        <w:t> </w:t>
      </w:r>
      <w:r w:rsidRPr="00E908F4">
        <w:rPr>
          <w:lang w:val="fr-FR"/>
        </w:rPr>
        <w:t>août 2012, elle est revenue sur cette décision en se fondant sur le paragraphe</w:t>
      </w:r>
      <w:r>
        <w:rPr>
          <w:lang w:val="fr-FR"/>
        </w:rPr>
        <w:t> </w:t>
      </w:r>
      <w:r w:rsidRPr="00E908F4">
        <w:rPr>
          <w:lang w:val="fr-FR"/>
        </w:rPr>
        <w:t>7 de l</w:t>
      </w:r>
      <w:r>
        <w:rPr>
          <w:lang w:val="fr-FR"/>
        </w:rPr>
        <w:t>’</w:t>
      </w:r>
      <w:r w:rsidRPr="00E908F4">
        <w:rPr>
          <w:lang w:val="fr-FR"/>
        </w:rPr>
        <w:t>article</w:t>
      </w:r>
      <w:r>
        <w:rPr>
          <w:lang w:val="fr-FR"/>
        </w:rPr>
        <w:t> </w:t>
      </w:r>
      <w:r w:rsidRPr="00E908F4">
        <w:rPr>
          <w:lang w:val="fr-FR"/>
        </w:rPr>
        <w:t>68 du Code électoral bélarussien, qui dispose que la Commission a le droit d</w:t>
      </w:r>
      <w:r>
        <w:rPr>
          <w:lang w:val="fr-FR"/>
        </w:rPr>
        <w:t>’</w:t>
      </w:r>
      <w:r w:rsidRPr="00E908F4">
        <w:rPr>
          <w:lang w:val="fr-FR"/>
        </w:rPr>
        <w:t>annuler l</w:t>
      </w:r>
      <w:r>
        <w:rPr>
          <w:lang w:val="fr-FR"/>
        </w:rPr>
        <w:t>’</w:t>
      </w:r>
      <w:r w:rsidRPr="00E908F4">
        <w:rPr>
          <w:lang w:val="fr-FR"/>
        </w:rPr>
        <w:t>inscription d</w:t>
      </w:r>
      <w:r>
        <w:rPr>
          <w:lang w:val="fr-FR"/>
        </w:rPr>
        <w:t>’</w:t>
      </w:r>
      <w:r w:rsidRPr="00E908F4">
        <w:rPr>
          <w:lang w:val="fr-FR"/>
        </w:rPr>
        <w:t>un candidat lorsque celui-ci a soumis des informations inexactes sur ses revenus et son patrimoine dans la déclaration préalable à l</w:t>
      </w:r>
      <w:r>
        <w:rPr>
          <w:lang w:val="fr-FR"/>
        </w:rPr>
        <w:t>’</w:t>
      </w:r>
      <w:r w:rsidRPr="00E908F4">
        <w:rPr>
          <w:lang w:val="fr-FR"/>
        </w:rPr>
        <w:t>enregistrement de sa candidature et que les inexactitudes portent sur des éléments essentiels.</w:t>
      </w:r>
    </w:p>
    <w:p w:rsidR="004C4080" w:rsidRPr="00E908F4" w:rsidRDefault="004C4080" w:rsidP="004C4080">
      <w:pPr>
        <w:pStyle w:val="SingleTxtG"/>
        <w:rPr>
          <w:lang w:val="fr-FR"/>
        </w:rPr>
      </w:pPr>
      <w:r w:rsidRPr="00E908F4">
        <w:rPr>
          <w:lang w:val="fr-FR"/>
        </w:rPr>
        <w:t>2.2</w:t>
      </w:r>
      <w:r w:rsidRPr="00E908F4">
        <w:rPr>
          <w:lang w:val="fr-FR"/>
        </w:rPr>
        <w:tab/>
        <w:t>La Commission électorale de district a indiqué dans sa décision qu</w:t>
      </w:r>
      <w:r>
        <w:rPr>
          <w:lang w:val="fr-FR"/>
        </w:rPr>
        <w:t>’en 2011,</w:t>
      </w:r>
      <w:r w:rsidRPr="00E908F4">
        <w:rPr>
          <w:lang w:val="fr-FR"/>
        </w:rPr>
        <w:t xml:space="preserve"> l</w:t>
      </w:r>
      <w:r>
        <w:rPr>
          <w:lang w:val="fr-FR"/>
        </w:rPr>
        <w:t>’</w:t>
      </w:r>
      <w:r w:rsidRPr="00E908F4">
        <w:rPr>
          <w:lang w:val="fr-FR"/>
        </w:rPr>
        <w:t>auteur avait omis de déclarer qu</w:t>
      </w:r>
      <w:r>
        <w:rPr>
          <w:lang w:val="fr-FR"/>
        </w:rPr>
        <w:t>’</w:t>
      </w:r>
      <w:r w:rsidRPr="00E908F4">
        <w:rPr>
          <w:lang w:val="fr-FR"/>
        </w:rPr>
        <w:t>il avait vendu un véhicule qu</w:t>
      </w:r>
      <w:r>
        <w:rPr>
          <w:lang w:val="fr-FR"/>
        </w:rPr>
        <w:t>’</w:t>
      </w:r>
      <w:r w:rsidRPr="00E908F4">
        <w:rPr>
          <w:lang w:val="fr-FR"/>
        </w:rPr>
        <w:t>il possédait, et d</w:t>
      </w:r>
      <w:r>
        <w:rPr>
          <w:lang w:val="fr-FR"/>
        </w:rPr>
        <w:t>’</w:t>
      </w:r>
      <w:r w:rsidRPr="00E908F4">
        <w:rPr>
          <w:lang w:val="fr-FR"/>
        </w:rPr>
        <w:t>indiquer le montant de cette transaction. Elle a présenté un certificat</w:t>
      </w:r>
      <w:r w:rsidRPr="00BF03F7">
        <w:rPr>
          <w:rStyle w:val="Appelnotedebasdep"/>
        </w:rPr>
        <w:footnoteReference w:id="5"/>
      </w:r>
      <w:r>
        <w:rPr>
          <w:lang w:val="fr-FR"/>
        </w:rPr>
        <w:t>,</w:t>
      </w:r>
      <w:r w:rsidRPr="00E908F4">
        <w:rPr>
          <w:lang w:val="fr-FR"/>
        </w:rPr>
        <w:t xml:space="preserve"> établi par </w:t>
      </w:r>
      <w:r>
        <w:rPr>
          <w:lang w:val="fr-FR"/>
        </w:rPr>
        <w:t xml:space="preserve">une </w:t>
      </w:r>
      <w:r w:rsidRPr="00E908F4">
        <w:rPr>
          <w:lang w:val="fr-FR"/>
        </w:rPr>
        <w:t>société</w:t>
      </w:r>
      <w:r>
        <w:rPr>
          <w:lang w:val="fr-FR"/>
        </w:rPr>
        <w:t xml:space="preserve"> privée,</w:t>
      </w:r>
      <w:r w:rsidRPr="00E908F4">
        <w:rPr>
          <w:lang w:val="fr-FR"/>
        </w:rPr>
        <w:t xml:space="preserve"> selon lequel le véhicule avait été vendu en 2011 pour 10</w:t>
      </w:r>
      <w:r>
        <w:rPr>
          <w:lang w:val="fr-FR"/>
        </w:rPr>
        <w:t> </w:t>
      </w:r>
      <w:r w:rsidRPr="00E908F4">
        <w:rPr>
          <w:lang w:val="fr-FR"/>
        </w:rPr>
        <w:t>millions de roubles bélarussiens. L</w:t>
      </w:r>
      <w:r>
        <w:rPr>
          <w:lang w:val="fr-FR"/>
        </w:rPr>
        <w:t>’</w:t>
      </w:r>
      <w:r w:rsidRPr="00E908F4">
        <w:rPr>
          <w:lang w:val="fr-FR"/>
        </w:rPr>
        <w:t>auteur avait indiqué un revenu annuel de 23 373</w:t>
      </w:r>
      <w:r>
        <w:rPr>
          <w:lang w:val="fr-FR"/>
        </w:rPr>
        <w:t> </w:t>
      </w:r>
      <w:r w:rsidRPr="00E908F4">
        <w:rPr>
          <w:lang w:val="fr-FR"/>
        </w:rPr>
        <w:t>859</w:t>
      </w:r>
      <w:r>
        <w:rPr>
          <w:lang w:val="fr-FR"/>
        </w:rPr>
        <w:t> </w:t>
      </w:r>
      <w:r w:rsidRPr="00E908F4">
        <w:rPr>
          <w:lang w:val="fr-FR"/>
        </w:rPr>
        <w:t>roubles bélarussiens</w:t>
      </w:r>
      <w:r>
        <w:rPr>
          <w:lang w:val="fr-FR"/>
        </w:rPr>
        <w:t>.</w:t>
      </w:r>
    </w:p>
    <w:p w:rsidR="004C4080" w:rsidRPr="00E908F4" w:rsidRDefault="004C4080" w:rsidP="004C4080">
      <w:pPr>
        <w:pStyle w:val="SingleTxtG"/>
        <w:rPr>
          <w:lang w:val="fr-FR"/>
        </w:rPr>
      </w:pPr>
      <w:r w:rsidRPr="00E908F4">
        <w:rPr>
          <w:lang w:val="fr-FR"/>
        </w:rPr>
        <w:t>2.3</w:t>
      </w:r>
      <w:r w:rsidRPr="00E908F4">
        <w:rPr>
          <w:lang w:val="fr-FR"/>
        </w:rPr>
        <w:tab/>
        <w:t>L</w:t>
      </w:r>
      <w:r>
        <w:rPr>
          <w:lang w:val="fr-FR"/>
        </w:rPr>
        <w:t>’</w:t>
      </w:r>
      <w:r w:rsidRPr="00E908F4">
        <w:rPr>
          <w:lang w:val="fr-FR"/>
        </w:rPr>
        <w:t>auteur a fait appel de l</w:t>
      </w:r>
      <w:r>
        <w:rPr>
          <w:lang w:val="fr-FR"/>
        </w:rPr>
        <w:t>’</w:t>
      </w:r>
      <w:r w:rsidRPr="00E908F4">
        <w:rPr>
          <w:lang w:val="fr-FR"/>
        </w:rPr>
        <w:t>annulation de sa candidature auprès de la Commission électorale centrale, conformément au paragraphe</w:t>
      </w:r>
      <w:r>
        <w:rPr>
          <w:lang w:val="fr-FR"/>
        </w:rPr>
        <w:t> </w:t>
      </w:r>
      <w:r w:rsidRPr="00E908F4">
        <w:rPr>
          <w:lang w:val="fr-FR"/>
        </w:rPr>
        <w:t>16 de l</w:t>
      </w:r>
      <w:r>
        <w:rPr>
          <w:lang w:val="fr-FR"/>
        </w:rPr>
        <w:t>’</w:t>
      </w:r>
      <w:r w:rsidRPr="00E908F4">
        <w:rPr>
          <w:lang w:val="fr-FR"/>
        </w:rPr>
        <w:t>article</w:t>
      </w:r>
      <w:r>
        <w:rPr>
          <w:lang w:val="fr-FR"/>
        </w:rPr>
        <w:t> </w:t>
      </w:r>
      <w:r w:rsidRPr="00E908F4">
        <w:rPr>
          <w:lang w:val="fr-FR"/>
        </w:rPr>
        <w:t>68 du Code électoral. Il a indiqué qu</w:t>
      </w:r>
      <w:r>
        <w:rPr>
          <w:lang w:val="fr-FR"/>
        </w:rPr>
        <w:t>’</w:t>
      </w:r>
      <w:r w:rsidRPr="00E908F4">
        <w:rPr>
          <w:lang w:val="fr-FR"/>
        </w:rPr>
        <w:t>il avait bien vendu l</w:t>
      </w:r>
      <w:r>
        <w:rPr>
          <w:lang w:val="fr-FR"/>
        </w:rPr>
        <w:t>e véhicule</w:t>
      </w:r>
      <w:r w:rsidRPr="00E908F4">
        <w:rPr>
          <w:lang w:val="fr-FR"/>
        </w:rPr>
        <w:t xml:space="preserve"> en question en 2011, mais pour 3,5</w:t>
      </w:r>
      <w:r>
        <w:rPr>
          <w:lang w:val="fr-FR"/>
        </w:rPr>
        <w:t> </w:t>
      </w:r>
      <w:r w:rsidRPr="00E908F4">
        <w:rPr>
          <w:lang w:val="fr-FR"/>
        </w:rPr>
        <w:t xml:space="preserve">millions de roubles. </w:t>
      </w:r>
      <w:r>
        <w:rPr>
          <w:lang w:val="fr-FR"/>
        </w:rPr>
        <w:t xml:space="preserve">Il l’avait </w:t>
      </w:r>
      <w:r w:rsidRPr="00E908F4">
        <w:rPr>
          <w:lang w:val="fr-FR"/>
        </w:rPr>
        <w:t>vendu pour pièces détachées, à la suite d</w:t>
      </w:r>
      <w:r>
        <w:rPr>
          <w:lang w:val="fr-FR"/>
        </w:rPr>
        <w:t>’</w:t>
      </w:r>
      <w:r w:rsidRPr="00E908F4">
        <w:rPr>
          <w:lang w:val="fr-FR"/>
        </w:rPr>
        <w:t>un grave accident survenu à une date non précisée. Le montant de la vente représentant moins de 20</w:t>
      </w:r>
      <w:r>
        <w:rPr>
          <w:lang w:val="fr-FR"/>
        </w:rPr>
        <w:t> </w:t>
      </w:r>
      <w:r w:rsidRPr="00E908F4">
        <w:rPr>
          <w:lang w:val="fr-FR"/>
        </w:rPr>
        <w:t xml:space="preserve">% des revenus </w:t>
      </w:r>
      <w:r>
        <w:rPr>
          <w:lang w:val="fr-FR"/>
        </w:rPr>
        <w:t xml:space="preserve">qu’il avait </w:t>
      </w:r>
      <w:r w:rsidRPr="00E908F4">
        <w:rPr>
          <w:lang w:val="fr-FR"/>
        </w:rPr>
        <w:t xml:space="preserve">déclarés </w:t>
      </w:r>
      <w:r>
        <w:rPr>
          <w:lang w:val="fr-FR"/>
        </w:rPr>
        <w:t>pour l’année</w:t>
      </w:r>
      <w:r w:rsidRPr="00E908F4">
        <w:rPr>
          <w:lang w:val="fr-FR"/>
        </w:rPr>
        <w:t xml:space="preserve">, </w:t>
      </w:r>
      <w:r>
        <w:rPr>
          <w:lang w:val="fr-FR"/>
        </w:rPr>
        <w:t xml:space="preserve">il estimait que </w:t>
      </w:r>
      <w:r w:rsidRPr="00E908F4">
        <w:rPr>
          <w:lang w:val="fr-FR"/>
        </w:rPr>
        <w:t>l</w:t>
      </w:r>
      <w:r>
        <w:rPr>
          <w:lang w:val="fr-FR"/>
        </w:rPr>
        <w:t>’</w:t>
      </w:r>
      <w:r w:rsidRPr="00E908F4">
        <w:rPr>
          <w:lang w:val="fr-FR"/>
        </w:rPr>
        <w:t xml:space="preserve">écart ne saurait être considéré comme </w:t>
      </w:r>
      <w:r>
        <w:rPr>
          <w:lang w:val="fr-FR"/>
        </w:rPr>
        <w:t>important</w:t>
      </w:r>
      <w:r w:rsidRPr="00E908F4">
        <w:rPr>
          <w:lang w:val="fr-FR"/>
        </w:rPr>
        <w:t xml:space="preserve"> et constituer un motif de disqualification. En outre, dans sa décision initiale du 23</w:t>
      </w:r>
      <w:r>
        <w:rPr>
          <w:lang w:val="fr-FR"/>
        </w:rPr>
        <w:t> </w:t>
      </w:r>
      <w:r w:rsidRPr="00E908F4">
        <w:rPr>
          <w:lang w:val="fr-FR"/>
        </w:rPr>
        <w:t>août 2012, la Commission électorale de district avait déjà examiné les informations données par l</w:t>
      </w:r>
      <w:r>
        <w:rPr>
          <w:lang w:val="fr-FR"/>
        </w:rPr>
        <w:t>’</w:t>
      </w:r>
      <w:r w:rsidRPr="00E908F4">
        <w:rPr>
          <w:lang w:val="fr-FR"/>
        </w:rPr>
        <w:t>auteur et estimé qu</w:t>
      </w:r>
      <w:r>
        <w:rPr>
          <w:lang w:val="fr-FR"/>
        </w:rPr>
        <w:t>’</w:t>
      </w:r>
      <w:r w:rsidRPr="00E908F4">
        <w:rPr>
          <w:lang w:val="fr-FR"/>
        </w:rPr>
        <w:t xml:space="preserve">elles </w:t>
      </w:r>
      <w:r>
        <w:rPr>
          <w:lang w:val="fr-FR"/>
        </w:rPr>
        <w:t>répondaient aux prescriptions relatives aux</w:t>
      </w:r>
      <w:r w:rsidRPr="00E908F4">
        <w:rPr>
          <w:lang w:val="fr-FR"/>
        </w:rPr>
        <w:t xml:space="preserve"> dépôt</w:t>
      </w:r>
      <w:r>
        <w:rPr>
          <w:lang w:val="fr-FR"/>
        </w:rPr>
        <w:t>s</w:t>
      </w:r>
      <w:r w:rsidRPr="00E908F4">
        <w:rPr>
          <w:lang w:val="fr-FR"/>
        </w:rPr>
        <w:t xml:space="preserve"> de candidature.</w:t>
      </w:r>
    </w:p>
    <w:p w:rsidR="004C4080" w:rsidRPr="00E908F4" w:rsidRDefault="004C4080" w:rsidP="004C4080">
      <w:pPr>
        <w:pStyle w:val="SingleTxtG"/>
        <w:rPr>
          <w:lang w:val="fr-FR"/>
        </w:rPr>
      </w:pPr>
      <w:r w:rsidRPr="00E908F4">
        <w:rPr>
          <w:lang w:val="fr-FR"/>
        </w:rPr>
        <w:t>2.4</w:t>
      </w:r>
      <w:r w:rsidRPr="00E908F4">
        <w:rPr>
          <w:lang w:val="fr-FR"/>
        </w:rPr>
        <w:tab/>
        <w:t>Le 30</w:t>
      </w:r>
      <w:r>
        <w:rPr>
          <w:lang w:val="fr-FR"/>
        </w:rPr>
        <w:t> </w:t>
      </w:r>
      <w:r w:rsidRPr="00E908F4">
        <w:rPr>
          <w:lang w:val="fr-FR"/>
        </w:rPr>
        <w:t>août 2012, la Commission électorale centrale a rejeté l</w:t>
      </w:r>
      <w:r>
        <w:rPr>
          <w:lang w:val="fr-FR"/>
        </w:rPr>
        <w:t>’</w:t>
      </w:r>
      <w:r w:rsidRPr="00E908F4">
        <w:rPr>
          <w:lang w:val="fr-FR"/>
        </w:rPr>
        <w:t>appel de l</w:t>
      </w:r>
      <w:r>
        <w:rPr>
          <w:lang w:val="fr-FR"/>
        </w:rPr>
        <w:t>’</w:t>
      </w:r>
      <w:r w:rsidRPr="00E908F4">
        <w:rPr>
          <w:lang w:val="fr-FR"/>
        </w:rPr>
        <w:t>auteur. Celui-ci a saisi la Cour suprême de la décision de la Commission électorale de district et de celle de la Commission électorale centrale. La Cour suprême a refusé de connaître de l</w:t>
      </w:r>
      <w:r>
        <w:rPr>
          <w:lang w:val="fr-FR"/>
        </w:rPr>
        <w:t>’</w:t>
      </w:r>
      <w:r w:rsidRPr="00E908F4">
        <w:rPr>
          <w:lang w:val="fr-FR"/>
        </w:rPr>
        <w:t>affaire, arguant que le Code électoral prévoyait une procédure permettant de contester un refus d</w:t>
      </w:r>
      <w:r>
        <w:rPr>
          <w:lang w:val="fr-FR"/>
        </w:rPr>
        <w:t>’</w:t>
      </w:r>
      <w:r w:rsidRPr="00E908F4">
        <w:rPr>
          <w:lang w:val="fr-FR"/>
        </w:rPr>
        <w:t>enregistrement de candidature mais pas une annulation d</w:t>
      </w:r>
      <w:r>
        <w:rPr>
          <w:lang w:val="fr-FR"/>
        </w:rPr>
        <w:t>’</w:t>
      </w:r>
      <w:r w:rsidRPr="00E908F4">
        <w:rPr>
          <w:lang w:val="fr-FR"/>
        </w:rPr>
        <w:t>enregistrement, de sorte que l</w:t>
      </w:r>
      <w:r>
        <w:rPr>
          <w:lang w:val="fr-FR"/>
        </w:rPr>
        <w:t>’</w:t>
      </w:r>
      <w:r w:rsidRPr="00E908F4">
        <w:rPr>
          <w:lang w:val="fr-FR"/>
        </w:rPr>
        <w:t>auteur ne pouvait pas former de recours.</w:t>
      </w:r>
    </w:p>
    <w:p w:rsidR="004C4080" w:rsidRPr="00E908F4" w:rsidRDefault="004C4080" w:rsidP="004C4080">
      <w:pPr>
        <w:pStyle w:val="H23G"/>
        <w:rPr>
          <w:lang w:val="fr-FR"/>
        </w:rPr>
      </w:pPr>
      <w:r>
        <w:rPr>
          <w:lang w:val="fr-FR"/>
        </w:rPr>
        <w:tab/>
      </w:r>
      <w:r>
        <w:rPr>
          <w:lang w:val="fr-FR"/>
        </w:rPr>
        <w:tab/>
      </w:r>
      <w:r w:rsidRPr="00E908F4">
        <w:rPr>
          <w:lang w:val="fr-FR"/>
        </w:rPr>
        <w:t>Teneur de la plainte</w:t>
      </w:r>
    </w:p>
    <w:p w:rsidR="004C4080" w:rsidRPr="00E908F4" w:rsidRDefault="004C4080" w:rsidP="004C4080">
      <w:pPr>
        <w:pStyle w:val="SingleTxtG"/>
        <w:rPr>
          <w:lang w:val="fr-FR"/>
        </w:rPr>
      </w:pPr>
      <w:r w:rsidRPr="00E908F4">
        <w:rPr>
          <w:lang w:val="fr-FR"/>
        </w:rPr>
        <w:t>3.1</w:t>
      </w:r>
      <w:r w:rsidRPr="00E908F4">
        <w:rPr>
          <w:lang w:val="fr-FR"/>
        </w:rPr>
        <w:tab/>
        <w:t>L</w:t>
      </w:r>
      <w:r>
        <w:rPr>
          <w:lang w:val="fr-FR"/>
        </w:rPr>
        <w:t>’</w:t>
      </w:r>
      <w:r w:rsidRPr="00E908F4">
        <w:rPr>
          <w:lang w:val="fr-FR"/>
        </w:rPr>
        <w:t>auteur affirme que le refus de la Cour suprême de l</w:t>
      </w:r>
      <w:r>
        <w:rPr>
          <w:lang w:val="fr-FR"/>
        </w:rPr>
        <w:t>’</w:t>
      </w:r>
      <w:r w:rsidRPr="00E908F4">
        <w:rPr>
          <w:lang w:val="fr-FR"/>
        </w:rPr>
        <w:t>autoriser à se pourvoir constitue une violation des droits qu</w:t>
      </w:r>
      <w:r>
        <w:rPr>
          <w:lang w:val="fr-FR"/>
        </w:rPr>
        <w:t>’</w:t>
      </w:r>
      <w:r w:rsidRPr="00E908F4">
        <w:rPr>
          <w:lang w:val="fr-FR"/>
        </w:rPr>
        <w:t>il tient du paragraphe</w:t>
      </w:r>
      <w:r w:rsidR="002D34EC">
        <w:rPr>
          <w:lang w:val="fr-FR"/>
        </w:rPr>
        <w:t> </w:t>
      </w:r>
      <w:r w:rsidRPr="00E908F4">
        <w:rPr>
          <w:lang w:val="fr-FR"/>
        </w:rPr>
        <w:t>1 de l</w:t>
      </w:r>
      <w:r>
        <w:rPr>
          <w:lang w:val="fr-FR"/>
        </w:rPr>
        <w:t>’</w:t>
      </w:r>
      <w:r w:rsidRPr="00E908F4">
        <w:rPr>
          <w:lang w:val="fr-FR"/>
        </w:rPr>
        <w:t>article</w:t>
      </w:r>
      <w:r w:rsidR="002D34EC">
        <w:rPr>
          <w:lang w:val="fr-FR"/>
        </w:rPr>
        <w:t> </w:t>
      </w:r>
      <w:r w:rsidRPr="00E908F4">
        <w:rPr>
          <w:lang w:val="fr-FR"/>
        </w:rPr>
        <w:t>14 du Pacte. Il</w:t>
      </w:r>
      <w:r>
        <w:rPr>
          <w:lang w:val="fr-FR"/>
        </w:rPr>
        <w:t> </w:t>
      </w:r>
      <w:r w:rsidRPr="00E908F4">
        <w:rPr>
          <w:lang w:val="fr-FR"/>
        </w:rPr>
        <w:t>affirme que la Cour suprême est compétente, en vertu des articles</w:t>
      </w:r>
      <w:r w:rsidR="002D34EC">
        <w:rPr>
          <w:lang w:val="fr-FR"/>
        </w:rPr>
        <w:t> </w:t>
      </w:r>
      <w:r w:rsidRPr="00E908F4">
        <w:rPr>
          <w:lang w:val="fr-FR"/>
        </w:rPr>
        <w:t>335 et 341 à 343 du Code de procédure civile et du paragraphe</w:t>
      </w:r>
      <w:r w:rsidR="002D34EC">
        <w:rPr>
          <w:lang w:val="fr-FR"/>
        </w:rPr>
        <w:t> </w:t>
      </w:r>
      <w:r w:rsidRPr="00E908F4">
        <w:rPr>
          <w:lang w:val="fr-FR"/>
        </w:rPr>
        <w:t>16 de l</w:t>
      </w:r>
      <w:r>
        <w:rPr>
          <w:lang w:val="fr-FR"/>
        </w:rPr>
        <w:t>’</w:t>
      </w:r>
      <w:r w:rsidRPr="00E908F4">
        <w:rPr>
          <w:lang w:val="fr-FR"/>
        </w:rPr>
        <w:t>article</w:t>
      </w:r>
      <w:r w:rsidR="002D34EC">
        <w:rPr>
          <w:lang w:val="fr-FR"/>
        </w:rPr>
        <w:t> </w:t>
      </w:r>
      <w:r w:rsidRPr="00E908F4">
        <w:rPr>
          <w:lang w:val="fr-FR"/>
        </w:rPr>
        <w:t xml:space="preserve">68 du Code électoral, pour contrôler les décisions de la Commission électorale centrale. Il </w:t>
      </w:r>
      <w:r>
        <w:rPr>
          <w:lang w:val="fr-FR"/>
        </w:rPr>
        <w:t>indique</w:t>
      </w:r>
      <w:r w:rsidRPr="00E908F4">
        <w:rPr>
          <w:lang w:val="fr-FR"/>
        </w:rPr>
        <w:t xml:space="preserve"> toutefois que </w:t>
      </w:r>
      <w:r>
        <w:rPr>
          <w:lang w:val="fr-FR"/>
        </w:rPr>
        <w:t>la</w:t>
      </w:r>
      <w:r w:rsidRPr="00E908F4">
        <w:rPr>
          <w:lang w:val="fr-FR"/>
        </w:rPr>
        <w:t xml:space="preserve"> procédure d</w:t>
      </w:r>
      <w:r>
        <w:rPr>
          <w:lang w:val="fr-FR"/>
        </w:rPr>
        <w:t>’</w:t>
      </w:r>
      <w:r w:rsidRPr="00E908F4">
        <w:rPr>
          <w:lang w:val="fr-FR"/>
        </w:rPr>
        <w:t xml:space="preserve">appel </w:t>
      </w:r>
      <w:r>
        <w:rPr>
          <w:lang w:val="fr-FR"/>
        </w:rPr>
        <w:t>prévue par le Code électoral concerne l</w:t>
      </w:r>
      <w:r w:rsidRPr="00E908F4">
        <w:rPr>
          <w:lang w:val="fr-FR"/>
        </w:rPr>
        <w:t>e refus d</w:t>
      </w:r>
      <w:r>
        <w:rPr>
          <w:lang w:val="fr-FR"/>
        </w:rPr>
        <w:t>’</w:t>
      </w:r>
      <w:r w:rsidRPr="00E908F4">
        <w:rPr>
          <w:lang w:val="fr-FR"/>
        </w:rPr>
        <w:t>enregistrement d</w:t>
      </w:r>
      <w:r>
        <w:rPr>
          <w:lang w:val="fr-FR"/>
        </w:rPr>
        <w:t>’</w:t>
      </w:r>
      <w:r w:rsidRPr="00E908F4">
        <w:rPr>
          <w:lang w:val="fr-FR"/>
        </w:rPr>
        <w:t>une candidature</w:t>
      </w:r>
      <w:r>
        <w:rPr>
          <w:lang w:val="fr-FR"/>
        </w:rPr>
        <w:t xml:space="preserve"> mais non </w:t>
      </w:r>
      <w:r w:rsidRPr="00E908F4">
        <w:rPr>
          <w:lang w:val="fr-FR"/>
        </w:rPr>
        <w:t>l</w:t>
      </w:r>
      <w:r>
        <w:rPr>
          <w:lang w:val="fr-FR"/>
        </w:rPr>
        <w:t>’</w:t>
      </w:r>
      <w:r w:rsidRPr="00E908F4">
        <w:rPr>
          <w:lang w:val="fr-FR"/>
        </w:rPr>
        <w:t>annulation d</w:t>
      </w:r>
      <w:r>
        <w:rPr>
          <w:lang w:val="fr-FR"/>
        </w:rPr>
        <w:t>’</w:t>
      </w:r>
      <w:r w:rsidRPr="00E908F4">
        <w:rPr>
          <w:lang w:val="fr-FR"/>
        </w:rPr>
        <w:t>une candidature. Ce vide juridique permet aux autorités d</w:t>
      </w:r>
      <w:r>
        <w:rPr>
          <w:lang w:val="fr-FR"/>
        </w:rPr>
        <w:t>’</w:t>
      </w:r>
      <w:r w:rsidRPr="00E908F4">
        <w:rPr>
          <w:lang w:val="fr-FR"/>
        </w:rPr>
        <w:t>exclure les candidats de l</w:t>
      </w:r>
      <w:r>
        <w:rPr>
          <w:lang w:val="fr-FR"/>
        </w:rPr>
        <w:t>’</w:t>
      </w:r>
      <w:r w:rsidRPr="00E908F4">
        <w:rPr>
          <w:lang w:val="fr-FR"/>
        </w:rPr>
        <w:t>opposition du processus électoral.</w:t>
      </w:r>
    </w:p>
    <w:p w:rsidR="004C4080" w:rsidRPr="00E908F4" w:rsidRDefault="004C4080" w:rsidP="004C4080">
      <w:pPr>
        <w:pStyle w:val="SingleTxtG"/>
        <w:rPr>
          <w:lang w:val="fr-FR"/>
        </w:rPr>
      </w:pPr>
      <w:r w:rsidRPr="00E908F4">
        <w:rPr>
          <w:lang w:val="fr-FR"/>
        </w:rPr>
        <w:t>3.2</w:t>
      </w:r>
      <w:r w:rsidRPr="00E908F4">
        <w:rPr>
          <w:lang w:val="fr-FR"/>
        </w:rPr>
        <w:tab/>
        <w:t>L</w:t>
      </w:r>
      <w:r>
        <w:rPr>
          <w:lang w:val="fr-FR"/>
        </w:rPr>
        <w:t>’</w:t>
      </w:r>
      <w:r w:rsidRPr="00E908F4">
        <w:rPr>
          <w:lang w:val="fr-FR"/>
        </w:rPr>
        <w:t>auteur dit qu</w:t>
      </w:r>
      <w:r>
        <w:rPr>
          <w:lang w:val="fr-FR"/>
        </w:rPr>
        <w:t>’</w:t>
      </w:r>
      <w:r w:rsidRPr="00E908F4">
        <w:rPr>
          <w:lang w:val="fr-FR"/>
        </w:rPr>
        <w:t xml:space="preserve">il est le rédacteur </w:t>
      </w:r>
      <w:r>
        <w:rPr>
          <w:lang w:val="fr-FR"/>
        </w:rPr>
        <w:t xml:space="preserve">en chef du journal indépendant </w:t>
      </w:r>
      <w:proofErr w:type="spellStart"/>
      <w:r w:rsidRPr="00FF7E56">
        <w:rPr>
          <w:i/>
          <w:lang w:val="fr-FR"/>
        </w:rPr>
        <w:t>Borisovskie</w:t>
      </w:r>
      <w:proofErr w:type="spellEnd"/>
      <w:r w:rsidRPr="00FF7E56">
        <w:rPr>
          <w:i/>
          <w:lang w:val="fr-FR"/>
        </w:rPr>
        <w:t xml:space="preserve"> </w:t>
      </w:r>
      <w:proofErr w:type="spellStart"/>
      <w:r w:rsidRPr="00FF7E56">
        <w:rPr>
          <w:i/>
          <w:lang w:val="fr-FR"/>
        </w:rPr>
        <w:t>Novosti</w:t>
      </w:r>
      <w:proofErr w:type="spellEnd"/>
      <w:r w:rsidRPr="00E908F4">
        <w:rPr>
          <w:lang w:val="fr-FR"/>
        </w:rPr>
        <w:t>, qui critique souvent les autorités, et est convaincu que la décision d</w:t>
      </w:r>
      <w:r>
        <w:rPr>
          <w:lang w:val="fr-FR"/>
        </w:rPr>
        <w:t>’</w:t>
      </w:r>
      <w:r w:rsidRPr="00E908F4">
        <w:rPr>
          <w:lang w:val="fr-FR"/>
        </w:rPr>
        <w:t>annuler sa candidature a été prise afin de l</w:t>
      </w:r>
      <w:r>
        <w:rPr>
          <w:lang w:val="fr-FR"/>
        </w:rPr>
        <w:t>’</w:t>
      </w:r>
      <w:r w:rsidRPr="00E908F4">
        <w:rPr>
          <w:lang w:val="fr-FR"/>
        </w:rPr>
        <w:t>empêcher de se présenter à l</w:t>
      </w:r>
      <w:r>
        <w:rPr>
          <w:lang w:val="fr-FR"/>
        </w:rPr>
        <w:t>’</w:t>
      </w:r>
      <w:r w:rsidRPr="00E908F4">
        <w:rPr>
          <w:lang w:val="fr-FR"/>
        </w:rPr>
        <w:t>élection et de devenir membre de l</w:t>
      </w:r>
      <w:r>
        <w:rPr>
          <w:lang w:val="fr-FR"/>
        </w:rPr>
        <w:t>’</w:t>
      </w:r>
      <w:r w:rsidRPr="00E908F4">
        <w:rPr>
          <w:lang w:val="fr-FR"/>
        </w:rPr>
        <w:t>Assemblée nationale. Les lois électorales bélarussiennes ont été critiquées par le passé par des organisations internationales telles que l</w:t>
      </w:r>
      <w:r>
        <w:rPr>
          <w:lang w:val="fr-FR"/>
        </w:rPr>
        <w:t>’</w:t>
      </w:r>
      <w:r w:rsidRPr="00E908F4">
        <w:rPr>
          <w:lang w:val="fr-FR"/>
        </w:rPr>
        <w:t>O</w:t>
      </w:r>
      <w:r>
        <w:rPr>
          <w:lang w:val="fr-FR"/>
        </w:rPr>
        <w:t>rganisation pour la sécurité et la coopération en Europe</w:t>
      </w:r>
      <w:r w:rsidRPr="00E908F4">
        <w:rPr>
          <w:lang w:val="fr-FR"/>
        </w:rPr>
        <w:t>. Aucun membre de l</w:t>
      </w:r>
      <w:r>
        <w:rPr>
          <w:lang w:val="fr-FR"/>
        </w:rPr>
        <w:t>’</w:t>
      </w:r>
      <w:r w:rsidRPr="00E908F4">
        <w:rPr>
          <w:lang w:val="fr-FR"/>
        </w:rPr>
        <w:t>opposition n</w:t>
      </w:r>
      <w:r>
        <w:rPr>
          <w:lang w:val="fr-FR"/>
        </w:rPr>
        <w:t>’</w:t>
      </w:r>
      <w:r w:rsidRPr="00E908F4">
        <w:rPr>
          <w:lang w:val="fr-FR"/>
        </w:rPr>
        <w:t>a été élu à l</w:t>
      </w:r>
      <w:r>
        <w:rPr>
          <w:lang w:val="fr-FR"/>
        </w:rPr>
        <w:t>’</w:t>
      </w:r>
      <w:r w:rsidRPr="00E908F4">
        <w:rPr>
          <w:lang w:val="fr-FR"/>
        </w:rPr>
        <w:t>Assemblée nationale au cours des dix dernières années. L</w:t>
      </w:r>
      <w:r>
        <w:rPr>
          <w:lang w:val="fr-FR"/>
        </w:rPr>
        <w:t>’</w:t>
      </w:r>
      <w:r w:rsidRPr="00E908F4">
        <w:rPr>
          <w:lang w:val="fr-FR"/>
        </w:rPr>
        <w:t>auteur demande au Comité de conclure à une violation par le Bélarus du paragraphe</w:t>
      </w:r>
      <w:r w:rsidR="002D34EC">
        <w:rPr>
          <w:lang w:val="fr-FR"/>
        </w:rPr>
        <w:t> </w:t>
      </w:r>
      <w:r w:rsidRPr="00E908F4">
        <w:rPr>
          <w:lang w:val="fr-FR"/>
        </w:rPr>
        <w:t>1 de l</w:t>
      </w:r>
      <w:r>
        <w:rPr>
          <w:lang w:val="fr-FR"/>
        </w:rPr>
        <w:t>’</w:t>
      </w:r>
      <w:r w:rsidRPr="00E908F4">
        <w:rPr>
          <w:lang w:val="fr-FR"/>
        </w:rPr>
        <w:t>article</w:t>
      </w:r>
      <w:r>
        <w:rPr>
          <w:lang w:val="fr-FR"/>
        </w:rPr>
        <w:t> </w:t>
      </w:r>
      <w:r w:rsidRPr="00E908F4">
        <w:rPr>
          <w:lang w:val="fr-FR"/>
        </w:rPr>
        <w:t>14 du Pacte.</w:t>
      </w:r>
    </w:p>
    <w:p w:rsidR="004C4080" w:rsidRPr="00E908F4" w:rsidRDefault="004C4080" w:rsidP="002D34EC">
      <w:pPr>
        <w:pStyle w:val="H23G"/>
        <w:rPr>
          <w:lang w:val="fr-FR"/>
        </w:rPr>
      </w:pPr>
      <w:r w:rsidRPr="00E908F4">
        <w:rPr>
          <w:lang w:val="fr-FR"/>
        </w:rPr>
        <w:tab/>
      </w:r>
      <w:r w:rsidRPr="00E908F4">
        <w:rPr>
          <w:lang w:val="fr-FR"/>
        </w:rPr>
        <w:tab/>
        <w:t>Défaut de coopération de l</w:t>
      </w:r>
      <w:r>
        <w:rPr>
          <w:lang w:val="fr-FR"/>
        </w:rPr>
        <w:t>’</w:t>
      </w:r>
      <w:r w:rsidRPr="00E908F4">
        <w:rPr>
          <w:lang w:val="fr-FR"/>
        </w:rPr>
        <w:t>État partie</w:t>
      </w:r>
    </w:p>
    <w:p w:rsidR="004C4080" w:rsidRPr="00E908F4" w:rsidRDefault="004C4080" w:rsidP="002D34EC">
      <w:pPr>
        <w:pStyle w:val="SingleTxtG"/>
        <w:rPr>
          <w:lang w:val="fr-FR"/>
        </w:rPr>
      </w:pPr>
      <w:r w:rsidRPr="00E908F4">
        <w:rPr>
          <w:lang w:val="fr-FR"/>
        </w:rPr>
        <w:t>4.</w:t>
      </w:r>
      <w:r w:rsidRPr="00E908F4">
        <w:rPr>
          <w:lang w:val="fr-FR"/>
        </w:rPr>
        <w:tab/>
        <w:t>Le Comité note que l</w:t>
      </w:r>
      <w:r>
        <w:rPr>
          <w:lang w:val="fr-FR"/>
        </w:rPr>
        <w:t>’</w:t>
      </w:r>
      <w:r w:rsidRPr="00E908F4">
        <w:rPr>
          <w:lang w:val="fr-FR"/>
        </w:rPr>
        <w:t>État partie n</w:t>
      </w:r>
      <w:r>
        <w:rPr>
          <w:lang w:val="fr-FR"/>
        </w:rPr>
        <w:t>’</w:t>
      </w:r>
      <w:r w:rsidRPr="00E908F4">
        <w:rPr>
          <w:lang w:val="fr-FR"/>
        </w:rPr>
        <w:t>a pas fait part de ses observations sur la recevabilité et le fond de la communication</w:t>
      </w:r>
      <w:r w:rsidRPr="00BF03F7">
        <w:rPr>
          <w:rStyle w:val="Appelnotedebasdep"/>
        </w:rPr>
        <w:footnoteReference w:id="6"/>
      </w:r>
      <w:r w:rsidRPr="00E908F4">
        <w:rPr>
          <w:lang w:val="fr-FR"/>
        </w:rPr>
        <w:t>. Il regrette que l</w:t>
      </w:r>
      <w:r>
        <w:rPr>
          <w:lang w:val="fr-FR"/>
        </w:rPr>
        <w:t>’</w:t>
      </w:r>
      <w:r w:rsidRPr="00E908F4">
        <w:rPr>
          <w:lang w:val="fr-FR"/>
        </w:rPr>
        <w:t>État partie n</w:t>
      </w:r>
      <w:r>
        <w:rPr>
          <w:lang w:val="fr-FR"/>
        </w:rPr>
        <w:t>’</w:t>
      </w:r>
      <w:r w:rsidRPr="00E908F4">
        <w:rPr>
          <w:lang w:val="fr-FR"/>
        </w:rPr>
        <w:t>ait apporté aucune information sur la recevabilité ou sur le fond des griefs de l</w:t>
      </w:r>
      <w:r>
        <w:rPr>
          <w:lang w:val="fr-FR"/>
        </w:rPr>
        <w:t>’</w:t>
      </w:r>
      <w:r w:rsidRPr="00E908F4">
        <w:rPr>
          <w:lang w:val="fr-FR"/>
        </w:rPr>
        <w:t xml:space="preserve">auteur. </w:t>
      </w:r>
      <w:r w:rsidRPr="00E908F4">
        <w:t>Il rappelle que le paragraphe</w:t>
      </w:r>
      <w:r w:rsidR="002D34EC">
        <w:rPr>
          <w:lang w:val="fr-FR"/>
        </w:rPr>
        <w:t> </w:t>
      </w:r>
      <w:r w:rsidRPr="00E908F4">
        <w:t>2 de l</w:t>
      </w:r>
      <w:r>
        <w:t>’</w:t>
      </w:r>
      <w:r w:rsidRPr="00E908F4">
        <w:t>article</w:t>
      </w:r>
      <w:r w:rsidR="002D34EC">
        <w:rPr>
          <w:lang w:val="fr-FR"/>
        </w:rPr>
        <w:t> </w:t>
      </w:r>
      <w:r w:rsidRPr="00E908F4">
        <w:t xml:space="preserve">4 du Protocole facultatif oblige </w:t>
      </w:r>
      <w:r>
        <w:t xml:space="preserve">implicitement </w:t>
      </w:r>
      <w:r w:rsidRPr="00E908F4">
        <w:t xml:space="preserve">les États parties à examiner de bonne foi toutes les allégations portées contre eux et à communiquer au </w:t>
      </w:r>
      <w:r w:rsidRPr="00E908F4">
        <w:lastRenderedPageBreak/>
        <w:t>Comité toutes les informations dont ils disposent. En l</w:t>
      </w:r>
      <w:r>
        <w:t>’</w:t>
      </w:r>
      <w:r w:rsidRPr="00E908F4">
        <w:t>absence de réponse de l</w:t>
      </w:r>
      <w:r>
        <w:t>’</w:t>
      </w:r>
      <w:r w:rsidRPr="00E908F4">
        <w:t>État partie, il y a lieu d</w:t>
      </w:r>
      <w:r>
        <w:t>’</w:t>
      </w:r>
      <w:r w:rsidRPr="00E908F4">
        <w:t>accorder le crédit voulu aux allégations de l</w:t>
      </w:r>
      <w:r>
        <w:t>’</w:t>
      </w:r>
      <w:r w:rsidRPr="00E908F4">
        <w:t>auteur, pour autant qu</w:t>
      </w:r>
      <w:r>
        <w:t>’</w:t>
      </w:r>
      <w:r w:rsidRPr="00E908F4">
        <w:t>elles aient été suffisamment étayées</w:t>
      </w:r>
      <w:r w:rsidRPr="00BF03F7">
        <w:rPr>
          <w:rStyle w:val="Appelnotedebasdep"/>
        </w:rPr>
        <w:footnoteReference w:id="7"/>
      </w:r>
      <w:r w:rsidRPr="00E908F4">
        <w:t>.</w:t>
      </w:r>
    </w:p>
    <w:p w:rsidR="004C4080" w:rsidRPr="00E908F4" w:rsidRDefault="004C4080" w:rsidP="002D34EC">
      <w:pPr>
        <w:pStyle w:val="H23G"/>
        <w:rPr>
          <w:lang w:val="fr-FR"/>
        </w:rPr>
      </w:pPr>
      <w:r w:rsidRPr="00E908F4">
        <w:rPr>
          <w:lang w:val="fr-FR"/>
        </w:rPr>
        <w:tab/>
      </w:r>
      <w:r w:rsidRPr="00E908F4">
        <w:rPr>
          <w:lang w:val="fr-FR"/>
        </w:rPr>
        <w:tab/>
        <w:t>Délibérations du Comité</w:t>
      </w:r>
    </w:p>
    <w:p w:rsidR="004C4080" w:rsidRPr="00E908F4" w:rsidRDefault="004C4080" w:rsidP="002D34EC">
      <w:pPr>
        <w:pStyle w:val="H4G"/>
        <w:rPr>
          <w:b/>
          <w:lang w:val="fr-FR"/>
        </w:rPr>
      </w:pPr>
      <w:r>
        <w:rPr>
          <w:lang w:val="fr-FR"/>
        </w:rPr>
        <w:tab/>
      </w:r>
      <w:r w:rsidRPr="00E908F4">
        <w:rPr>
          <w:lang w:val="fr-FR"/>
        </w:rPr>
        <w:tab/>
        <w:t>Examen de la recevabilité</w:t>
      </w:r>
    </w:p>
    <w:p w:rsidR="004C4080" w:rsidRPr="00E908F4" w:rsidRDefault="004C4080" w:rsidP="002D34EC">
      <w:pPr>
        <w:pStyle w:val="SingleTxtG"/>
        <w:rPr>
          <w:lang w:val="fr-FR"/>
        </w:rPr>
      </w:pPr>
      <w:r w:rsidRPr="00E908F4">
        <w:rPr>
          <w:lang w:val="fr-FR"/>
        </w:rPr>
        <w:t>5.1</w:t>
      </w:r>
      <w:r w:rsidRPr="00E908F4">
        <w:rPr>
          <w:lang w:val="fr-FR"/>
        </w:rPr>
        <w:tab/>
        <w:t>Avant d</w:t>
      </w:r>
      <w:r>
        <w:rPr>
          <w:lang w:val="fr-FR"/>
        </w:rPr>
        <w:t>’</w:t>
      </w:r>
      <w:r w:rsidRPr="00E908F4">
        <w:rPr>
          <w:lang w:val="fr-FR"/>
        </w:rPr>
        <w:t xml:space="preserve">examiner </w:t>
      </w:r>
      <w:r>
        <w:rPr>
          <w:lang w:val="fr-FR"/>
        </w:rPr>
        <w:t>les</w:t>
      </w:r>
      <w:r w:rsidRPr="00E908F4">
        <w:rPr>
          <w:lang w:val="fr-FR"/>
        </w:rPr>
        <w:t xml:space="preserve"> grief</w:t>
      </w:r>
      <w:r>
        <w:rPr>
          <w:lang w:val="fr-FR"/>
        </w:rPr>
        <w:t>s</w:t>
      </w:r>
      <w:r w:rsidRPr="00E908F4">
        <w:rPr>
          <w:lang w:val="fr-FR"/>
        </w:rPr>
        <w:t xml:space="preserve"> formulé</w:t>
      </w:r>
      <w:r>
        <w:rPr>
          <w:lang w:val="fr-FR"/>
        </w:rPr>
        <w:t>s</w:t>
      </w:r>
      <w:r w:rsidRPr="00E908F4">
        <w:rPr>
          <w:lang w:val="fr-FR"/>
        </w:rPr>
        <w:t xml:space="preserve"> dans une communication, le Comité doit, conformément à l</w:t>
      </w:r>
      <w:r>
        <w:rPr>
          <w:lang w:val="fr-FR"/>
        </w:rPr>
        <w:t>’</w:t>
      </w:r>
      <w:r w:rsidRPr="00E908F4">
        <w:rPr>
          <w:lang w:val="fr-FR"/>
        </w:rPr>
        <w:t>article</w:t>
      </w:r>
      <w:r w:rsidR="002D34EC">
        <w:rPr>
          <w:lang w:val="fr-FR"/>
        </w:rPr>
        <w:t> </w:t>
      </w:r>
      <w:r w:rsidRPr="00E908F4">
        <w:rPr>
          <w:lang w:val="fr-FR"/>
        </w:rPr>
        <w:t>9</w:t>
      </w:r>
      <w:r>
        <w:rPr>
          <w:lang w:val="fr-FR"/>
        </w:rPr>
        <w:t>7</w:t>
      </w:r>
      <w:r w:rsidRPr="00E908F4">
        <w:rPr>
          <w:lang w:val="fr-FR"/>
        </w:rPr>
        <w:t xml:space="preserve"> de son règlement intérieur, déterminer si la communication est recevable au regard du Protocole facultatif.</w:t>
      </w:r>
    </w:p>
    <w:p w:rsidR="004C4080" w:rsidRPr="00E908F4" w:rsidRDefault="004C4080" w:rsidP="002D34EC">
      <w:pPr>
        <w:pStyle w:val="SingleTxtG"/>
        <w:rPr>
          <w:lang w:val="fr-FR"/>
        </w:rPr>
      </w:pPr>
      <w:r w:rsidRPr="00E908F4">
        <w:rPr>
          <w:lang w:val="fr-FR"/>
        </w:rPr>
        <w:t>5.2</w:t>
      </w:r>
      <w:r w:rsidRPr="00E908F4">
        <w:rPr>
          <w:lang w:val="fr-FR"/>
        </w:rPr>
        <w:tab/>
      </w:r>
      <w:r w:rsidRPr="00E908F4">
        <w:t>Le Comité s</w:t>
      </w:r>
      <w:r>
        <w:t>’</w:t>
      </w:r>
      <w:r w:rsidRPr="00E908F4">
        <w:t xml:space="preserve">est assuré, comme </w:t>
      </w:r>
      <w:r>
        <w:t>le prévoit le</w:t>
      </w:r>
      <w:r w:rsidRPr="00E908F4">
        <w:t xml:space="preserve"> paragraphe</w:t>
      </w:r>
      <w:r>
        <w:t> </w:t>
      </w:r>
      <w:r w:rsidRPr="00E908F4">
        <w:t>2</w:t>
      </w:r>
      <w:r>
        <w:t> </w:t>
      </w:r>
      <w:r w:rsidRPr="00E908F4">
        <w:t>a) de l</w:t>
      </w:r>
      <w:r>
        <w:t>’</w:t>
      </w:r>
      <w:r w:rsidRPr="00E908F4">
        <w:t>article</w:t>
      </w:r>
      <w:r w:rsidR="002D34EC">
        <w:t> </w:t>
      </w:r>
      <w:r w:rsidRPr="00E908F4">
        <w:t>5 du Protocole facultatif, que la même question n</w:t>
      </w:r>
      <w:r>
        <w:t>’</w:t>
      </w:r>
      <w:r w:rsidRPr="00E908F4">
        <w:t>était pas déjà en cours d</w:t>
      </w:r>
      <w:r>
        <w:t>’</w:t>
      </w:r>
      <w:r w:rsidRPr="00E908F4">
        <w:t>examen devant une autre instance internationale d</w:t>
      </w:r>
      <w:r>
        <w:t>’</w:t>
      </w:r>
      <w:r w:rsidRPr="00E908F4">
        <w:t>enquête ou de règlement.</w:t>
      </w:r>
    </w:p>
    <w:p w:rsidR="004C4080" w:rsidRPr="00E908F4" w:rsidRDefault="004C4080" w:rsidP="002D34EC">
      <w:pPr>
        <w:pStyle w:val="SingleTxtG"/>
        <w:rPr>
          <w:lang w:val="fr-FR"/>
        </w:rPr>
      </w:pPr>
      <w:r w:rsidRPr="00E908F4">
        <w:rPr>
          <w:lang w:val="fr-FR"/>
        </w:rPr>
        <w:t>5.3</w:t>
      </w:r>
      <w:r w:rsidRPr="00E908F4">
        <w:rPr>
          <w:lang w:val="fr-FR"/>
        </w:rPr>
        <w:tab/>
        <w:t>Le Comité note</w:t>
      </w:r>
      <w:r>
        <w:rPr>
          <w:lang w:val="fr-FR"/>
        </w:rPr>
        <w:t xml:space="preserve"> que</w:t>
      </w:r>
      <w:r w:rsidRPr="00E908F4">
        <w:rPr>
          <w:lang w:val="fr-FR"/>
        </w:rPr>
        <w:t xml:space="preserve"> l</w:t>
      </w:r>
      <w:r>
        <w:rPr>
          <w:lang w:val="fr-FR"/>
        </w:rPr>
        <w:t>’</w:t>
      </w:r>
      <w:r w:rsidRPr="00E908F4">
        <w:rPr>
          <w:lang w:val="fr-FR"/>
        </w:rPr>
        <w:t>auteur</w:t>
      </w:r>
      <w:r>
        <w:rPr>
          <w:lang w:val="fr-FR"/>
        </w:rPr>
        <w:t xml:space="preserve"> affirme</w:t>
      </w:r>
      <w:r w:rsidRPr="00E908F4">
        <w:rPr>
          <w:lang w:val="fr-FR"/>
        </w:rPr>
        <w:t xml:space="preserve"> avoir épuisé tous les recours internes utiles </w:t>
      </w:r>
      <w:r>
        <w:rPr>
          <w:lang w:val="fr-FR"/>
        </w:rPr>
        <w:t>dont il disposait</w:t>
      </w:r>
      <w:r w:rsidRPr="00E908F4">
        <w:rPr>
          <w:lang w:val="fr-FR"/>
        </w:rPr>
        <w:t xml:space="preserve">. </w:t>
      </w:r>
      <w:r>
        <w:rPr>
          <w:lang w:val="fr-FR"/>
        </w:rPr>
        <w:t>Malgré</w:t>
      </w:r>
      <w:r w:rsidRPr="00E908F4">
        <w:rPr>
          <w:lang w:val="fr-FR"/>
        </w:rPr>
        <w:t xml:space="preserve"> l</w:t>
      </w:r>
      <w:r>
        <w:rPr>
          <w:lang w:val="fr-FR"/>
        </w:rPr>
        <w:t>’</w:t>
      </w:r>
      <w:r w:rsidRPr="00E908F4">
        <w:rPr>
          <w:lang w:val="fr-FR"/>
        </w:rPr>
        <w:t>absence d</w:t>
      </w:r>
      <w:r>
        <w:rPr>
          <w:lang w:val="fr-FR"/>
        </w:rPr>
        <w:t>’</w:t>
      </w:r>
      <w:r w:rsidRPr="00E908F4">
        <w:rPr>
          <w:lang w:val="fr-FR"/>
        </w:rPr>
        <w:t>observations écrites de l</w:t>
      </w:r>
      <w:r>
        <w:rPr>
          <w:lang w:val="fr-FR"/>
        </w:rPr>
        <w:t>’</w:t>
      </w:r>
      <w:r w:rsidRPr="00E908F4">
        <w:rPr>
          <w:lang w:val="fr-FR"/>
        </w:rPr>
        <w:t xml:space="preserve">État partie, il </w:t>
      </w:r>
      <w:bookmarkStart w:id="0" w:name="_Hlk45291218"/>
      <w:r w:rsidRPr="00E908F4">
        <w:rPr>
          <w:lang w:val="fr-FR"/>
        </w:rPr>
        <w:t>estime que</w:t>
      </w:r>
      <w:r>
        <w:rPr>
          <w:lang w:val="fr-FR"/>
        </w:rPr>
        <w:t xml:space="preserve"> les dispositions du</w:t>
      </w:r>
      <w:r w:rsidRPr="00E908F4">
        <w:rPr>
          <w:lang w:val="fr-FR"/>
        </w:rPr>
        <w:t xml:space="preserve"> paragraphe</w:t>
      </w:r>
      <w:r w:rsidR="002D34EC">
        <w:rPr>
          <w:lang w:val="fr-FR"/>
        </w:rPr>
        <w:t> </w:t>
      </w:r>
      <w:r w:rsidRPr="00E908F4">
        <w:rPr>
          <w:lang w:val="fr-FR"/>
        </w:rPr>
        <w:t>2</w:t>
      </w:r>
      <w:r w:rsidR="002D34EC">
        <w:rPr>
          <w:lang w:val="fr-FR"/>
        </w:rPr>
        <w:t> </w:t>
      </w:r>
      <w:r w:rsidRPr="00E908F4">
        <w:rPr>
          <w:lang w:val="fr-FR"/>
        </w:rPr>
        <w:t>b) de l</w:t>
      </w:r>
      <w:r>
        <w:rPr>
          <w:lang w:val="fr-FR"/>
        </w:rPr>
        <w:t>’</w:t>
      </w:r>
      <w:r w:rsidRPr="00E908F4">
        <w:rPr>
          <w:lang w:val="fr-FR"/>
        </w:rPr>
        <w:t>article</w:t>
      </w:r>
      <w:r w:rsidR="002D34EC">
        <w:rPr>
          <w:lang w:val="fr-FR"/>
        </w:rPr>
        <w:t> </w:t>
      </w:r>
      <w:r w:rsidRPr="00E908F4">
        <w:rPr>
          <w:lang w:val="fr-FR"/>
        </w:rPr>
        <w:t xml:space="preserve">5 </w:t>
      </w:r>
      <w:r>
        <w:rPr>
          <w:lang w:val="fr-FR"/>
        </w:rPr>
        <w:t>ne l’empêchent pas d’examiner la communication.</w:t>
      </w:r>
    </w:p>
    <w:bookmarkEnd w:id="0"/>
    <w:p w:rsidR="004C4080" w:rsidRPr="00E908F4" w:rsidRDefault="004C4080" w:rsidP="002D34EC">
      <w:pPr>
        <w:pStyle w:val="SingleTxtG"/>
        <w:rPr>
          <w:lang w:val="fr-FR"/>
        </w:rPr>
      </w:pPr>
      <w:r w:rsidRPr="00E908F4">
        <w:rPr>
          <w:lang w:val="fr-FR"/>
        </w:rPr>
        <w:t>5.4</w:t>
      </w:r>
      <w:r w:rsidRPr="00E908F4">
        <w:rPr>
          <w:lang w:val="fr-FR"/>
        </w:rPr>
        <w:tab/>
        <w:t>Le Comité estime qu</w:t>
      </w:r>
      <w:r>
        <w:rPr>
          <w:lang w:val="fr-FR"/>
        </w:rPr>
        <w:t>’</w:t>
      </w:r>
      <w:r w:rsidRPr="00E908F4">
        <w:rPr>
          <w:lang w:val="fr-FR"/>
        </w:rPr>
        <w:t>aux fins de la recevabilité, l</w:t>
      </w:r>
      <w:r>
        <w:rPr>
          <w:lang w:val="fr-FR"/>
        </w:rPr>
        <w:t>’</w:t>
      </w:r>
      <w:r w:rsidRPr="00E908F4">
        <w:rPr>
          <w:lang w:val="fr-FR"/>
        </w:rPr>
        <w:t>auteur a suffisamment étayé les griefs qu</w:t>
      </w:r>
      <w:r>
        <w:rPr>
          <w:lang w:val="fr-FR"/>
        </w:rPr>
        <w:t>’il tire</w:t>
      </w:r>
      <w:r w:rsidRPr="00E908F4">
        <w:rPr>
          <w:lang w:val="fr-FR"/>
        </w:rPr>
        <w:t xml:space="preserve"> du paragraphe</w:t>
      </w:r>
      <w:r w:rsidR="002D34EC">
        <w:rPr>
          <w:lang w:val="fr-FR"/>
        </w:rPr>
        <w:t> </w:t>
      </w:r>
      <w:r w:rsidRPr="00E908F4">
        <w:rPr>
          <w:lang w:val="fr-FR"/>
        </w:rPr>
        <w:t>1 de l</w:t>
      </w:r>
      <w:r>
        <w:rPr>
          <w:lang w:val="fr-FR"/>
        </w:rPr>
        <w:t>’</w:t>
      </w:r>
      <w:r w:rsidRPr="00E908F4">
        <w:rPr>
          <w:lang w:val="fr-FR"/>
        </w:rPr>
        <w:t>article</w:t>
      </w:r>
      <w:r w:rsidR="002D34EC">
        <w:rPr>
          <w:lang w:val="fr-FR"/>
        </w:rPr>
        <w:t> </w:t>
      </w:r>
      <w:r w:rsidRPr="00E908F4">
        <w:rPr>
          <w:lang w:val="fr-FR"/>
        </w:rPr>
        <w:t xml:space="preserve">14 du Pacte. Il déclare donc </w:t>
      </w:r>
      <w:r>
        <w:rPr>
          <w:lang w:val="fr-FR"/>
        </w:rPr>
        <w:t>la communication</w:t>
      </w:r>
      <w:r w:rsidRPr="00E908F4">
        <w:rPr>
          <w:lang w:val="fr-FR"/>
        </w:rPr>
        <w:t xml:space="preserve"> recevable et procè</w:t>
      </w:r>
      <w:r>
        <w:rPr>
          <w:lang w:val="fr-FR"/>
        </w:rPr>
        <w:t>de à leur examen quant au fond.</w:t>
      </w:r>
    </w:p>
    <w:p w:rsidR="004C4080" w:rsidRPr="00E908F4" w:rsidRDefault="004C4080" w:rsidP="002D34EC">
      <w:pPr>
        <w:pStyle w:val="H4G"/>
        <w:rPr>
          <w:lang w:val="fr-FR"/>
        </w:rPr>
      </w:pPr>
      <w:r w:rsidRPr="00E908F4">
        <w:rPr>
          <w:lang w:val="fr-FR"/>
        </w:rPr>
        <w:tab/>
      </w:r>
      <w:r w:rsidRPr="00E908F4">
        <w:rPr>
          <w:lang w:val="fr-FR"/>
        </w:rPr>
        <w:tab/>
        <w:t>Examen au fond</w:t>
      </w:r>
    </w:p>
    <w:p w:rsidR="004C4080" w:rsidRPr="00E908F4" w:rsidRDefault="004C4080" w:rsidP="004C4080">
      <w:pPr>
        <w:pStyle w:val="SingleTxtG"/>
        <w:rPr>
          <w:lang w:val="fr-FR"/>
        </w:rPr>
      </w:pPr>
      <w:r w:rsidRPr="00E908F4">
        <w:rPr>
          <w:lang w:val="fr-FR"/>
        </w:rPr>
        <w:t>6.1</w:t>
      </w:r>
      <w:r w:rsidRPr="00E908F4">
        <w:rPr>
          <w:lang w:val="fr-FR"/>
        </w:rPr>
        <w:tab/>
        <w:t>Conformément au paragraphe</w:t>
      </w:r>
      <w:r w:rsidR="002D34EC">
        <w:rPr>
          <w:lang w:val="fr-FR"/>
        </w:rPr>
        <w:t> </w:t>
      </w:r>
      <w:r w:rsidRPr="00E908F4">
        <w:rPr>
          <w:lang w:val="fr-FR"/>
        </w:rPr>
        <w:t>1 de l</w:t>
      </w:r>
      <w:r>
        <w:rPr>
          <w:lang w:val="fr-FR"/>
        </w:rPr>
        <w:t>’</w:t>
      </w:r>
      <w:r w:rsidRPr="00E908F4">
        <w:rPr>
          <w:lang w:val="fr-FR"/>
        </w:rPr>
        <w:t>article</w:t>
      </w:r>
      <w:r w:rsidR="002D34EC">
        <w:rPr>
          <w:lang w:val="fr-FR"/>
        </w:rPr>
        <w:t> </w:t>
      </w:r>
      <w:r w:rsidRPr="00E908F4">
        <w:rPr>
          <w:lang w:val="fr-FR"/>
        </w:rPr>
        <w:t>5 du Protocole facultatif, le Comité</w:t>
      </w:r>
      <w:r>
        <w:rPr>
          <w:lang w:val="fr-FR"/>
        </w:rPr>
        <w:t xml:space="preserve"> </w:t>
      </w:r>
      <w:r w:rsidRPr="00E908F4">
        <w:rPr>
          <w:lang w:val="fr-FR"/>
        </w:rPr>
        <w:t>a examiné la communication en tenant compte de toutes les informations que lui ont communiquées les parties.</w:t>
      </w:r>
    </w:p>
    <w:p w:rsidR="004C4080" w:rsidRPr="00E908F4" w:rsidRDefault="004C4080" w:rsidP="004C4080">
      <w:pPr>
        <w:pStyle w:val="SingleTxtG"/>
        <w:rPr>
          <w:lang w:val="fr-FR"/>
        </w:rPr>
      </w:pPr>
      <w:r w:rsidRPr="00E908F4">
        <w:rPr>
          <w:lang w:val="fr-FR"/>
        </w:rPr>
        <w:t>6.2</w:t>
      </w:r>
      <w:r w:rsidRPr="00E908F4">
        <w:rPr>
          <w:lang w:val="fr-FR"/>
        </w:rPr>
        <w:tab/>
        <w:t xml:space="preserve">Le Comité note </w:t>
      </w:r>
      <w:r>
        <w:rPr>
          <w:lang w:val="fr-FR"/>
        </w:rPr>
        <w:t>que, selon</w:t>
      </w:r>
      <w:r w:rsidRPr="00E908F4">
        <w:rPr>
          <w:lang w:val="fr-FR"/>
        </w:rPr>
        <w:t xml:space="preserve"> l</w:t>
      </w:r>
      <w:r>
        <w:rPr>
          <w:lang w:val="fr-FR"/>
        </w:rPr>
        <w:t>’</w:t>
      </w:r>
      <w:r w:rsidRPr="00E908F4">
        <w:rPr>
          <w:lang w:val="fr-FR"/>
        </w:rPr>
        <w:t>auteur, en refusant d</w:t>
      </w:r>
      <w:r>
        <w:rPr>
          <w:lang w:val="fr-FR"/>
        </w:rPr>
        <w:t>’</w:t>
      </w:r>
      <w:r w:rsidRPr="00E908F4">
        <w:rPr>
          <w:lang w:val="fr-FR"/>
        </w:rPr>
        <w:t>examiner la requête par laquelle il contestait la décision de la Commission électorale centrale, la Cour suprême a violé son droit de voir sa cause entendue par un tribunal, garanti par le paragraphe</w:t>
      </w:r>
      <w:r w:rsidR="002D34EC">
        <w:rPr>
          <w:lang w:val="fr-FR"/>
        </w:rPr>
        <w:t> </w:t>
      </w:r>
      <w:r w:rsidRPr="00E908F4">
        <w:rPr>
          <w:lang w:val="fr-FR"/>
        </w:rPr>
        <w:t>1 de l</w:t>
      </w:r>
      <w:r>
        <w:rPr>
          <w:lang w:val="fr-FR"/>
        </w:rPr>
        <w:t>’</w:t>
      </w:r>
      <w:r w:rsidRPr="00E908F4">
        <w:rPr>
          <w:lang w:val="fr-FR"/>
        </w:rPr>
        <w:t>article</w:t>
      </w:r>
      <w:r w:rsidR="002D34EC">
        <w:rPr>
          <w:lang w:val="fr-FR"/>
        </w:rPr>
        <w:t> </w:t>
      </w:r>
      <w:r w:rsidRPr="00E908F4">
        <w:rPr>
          <w:lang w:val="fr-FR"/>
        </w:rPr>
        <w:t xml:space="preserve">14 du Pacte. </w:t>
      </w:r>
      <w:bookmarkStart w:id="1" w:name="_Hlk45525922"/>
      <w:r w:rsidRPr="00F21D6A">
        <w:rPr>
          <w:lang w:val="fr-FR"/>
        </w:rPr>
        <w:t xml:space="preserve">Le Comité rappelle que le droit de chacun à ce que sa cause soit entendue équitablement et publiquement par un tribunal compétent, indépendant et impartial établi par la loi </w:t>
      </w:r>
      <w:r w:rsidR="00F21D6A" w:rsidRPr="00F21D6A">
        <w:rPr>
          <w:lang w:val="fr-FR"/>
        </w:rPr>
        <w:t xml:space="preserve">est garanti </w:t>
      </w:r>
      <w:r w:rsidRPr="00F21D6A">
        <w:rPr>
          <w:lang w:val="fr-FR"/>
        </w:rPr>
        <w:t>par la deuxième phrase du paragraphe</w:t>
      </w:r>
      <w:r w:rsidR="002D34EC" w:rsidRPr="00F21D6A">
        <w:rPr>
          <w:lang w:val="fr-FR"/>
        </w:rPr>
        <w:t> </w:t>
      </w:r>
      <w:r w:rsidRPr="00F21D6A">
        <w:rPr>
          <w:lang w:val="fr-FR"/>
        </w:rPr>
        <w:t>1 de l’article</w:t>
      </w:r>
      <w:r w:rsidR="002D34EC" w:rsidRPr="00F21D6A">
        <w:rPr>
          <w:lang w:val="fr-FR"/>
        </w:rPr>
        <w:t> </w:t>
      </w:r>
      <w:r w:rsidRPr="00F21D6A">
        <w:rPr>
          <w:lang w:val="fr-FR"/>
        </w:rPr>
        <w:t>14 du Pacte dans les procédures concernant soit une accusation pénale dirigée contre l’intéressé, soit, comme en l’espèce, une contestation relative à des droits et obligations de caractère civil.</w:t>
      </w:r>
      <w:bookmarkStart w:id="2" w:name="_GoBack"/>
      <w:bookmarkEnd w:id="1"/>
      <w:bookmarkEnd w:id="2"/>
      <w:r w:rsidRPr="00E908F4">
        <w:rPr>
          <w:lang w:val="fr-FR"/>
        </w:rPr>
        <w:t xml:space="preserve"> Il rappelle également que dans </w:t>
      </w:r>
      <w:r>
        <w:rPr>
          <w:lang w:val="fr-FR"/>
        </w:rPr>
        <w:t>l</w:t>
      </w:r>
      <w:r w:rsidRPr="00E908F4">
        <w:rPr>
          <w:lang w:val="fr-FR"/>
        </w:rPr>
        <w:t>es contestations relatives aux droits et obligations de caractère civil</w:t>
      </w:r>
      <w:r>
        <w:rPr>
          <w:lang w:val="fr-FR"/>
        </w:rPr>
        <w:t>, toute décision</w:t>
      </w:r>
      <w:r w:rsidRPr="00E908F4">
        <w:rPr>
          <w:lang w:val="fr-FR"/>
        </w:rPr>
        <w:t xml:space="preserve"> doit être rendue à un stade</w:t>
      </w:r>
      <w:r>
        <w:rPr>
          <w:lang w:val="fr-FR"/>
        </w:rPr>
        <w:t xml:space="preserve"> au moins de la procédure par un « tribunal »</w:t>
      </w:r>
      <w:r w:rsidRPr="00E908F4">
        <w:rPr>
          <w:lang w:val="fr-FR"/>
        </w:rPr>
        <w:t xml:space="preserve"> au sens de cette disposition.</w:t>
      </w:r>
      <w:r w:rsidRPr="00E908F4">
        <w:t xml:space="preserve"> </w:t>
      </w:r>
      <w:r w:rsidRPr="00E908F4">
        <w:rPr>
          <w:lang w:val="fr-FR"/>
        </w:rPr>
        <w:t>L</w:t>
      </w:r>
      <w:r>
        <w:rPr>
          <w:lang w:val="fr-FR"/>
        </w:rPr>
        <w:t>’</w:t>
      </w:r>
      <w:r w:rsidRPr="00E908F4">
        <w:rPr>
          <w:lang w:val="fr-FR"/>
        </w:rPr>
        <w:t>État partie qui ne permet pas à une personne de saisir un tel tribunal dans une affaire donnée déroge à l</w:t>
      </w:r>
      <w:r>
        <w:rPr>
          <w:lang w:val="fr-FR"/>
        </w:rPr>
        <w:t>’</w:t>
      </w:r>
      <w:r w:rsidRPr="00E908F4">
        <w:rPr>
          <w:lang w:val="fr-FR"/>
        </w:rPr>
        <w:t>article</w:t>
      </w:r>
      <w:r w:rsidR="002D34EC">
        <w:rPr>
          <w:lang w:val="fr-FR"/>
        </w:rPr>
        <w:t> </w:t>
      </w:r>
      <w:r w:rsidRPr="00E908F4">
        <w:rPr>
          <w:lang w:val="fr-FR"/>
        </w:rPr>
        <w:t>14 si les restrictions ne sont pas fondées dans le droit interne et ne sont pas nécessaires à la poursuite de buts légitimes tels que la bonn</w:t>
      </w:r>
      <w:r>
        <w:rPr>
          <w:lang w:val="fr-FR"/>
        </w:rPr>
        <w:t>e administration de la justice.</w:t>
      </w:r>
    </w:p>
    <w:p w:rsidR="004C4080" w:rsidRPr="00E908F4" w:rsidRDefault="004C4080" w:rsidP="004C4080">
      <w:pPr>
        <w:pStyle w:val="SingleTxtG"/>
        <w:rPr>
          <w:lang w:val="fr-FR"/>
        </w:rPr>
      </w:pPr>
      <w:r w:rsidRPr="00E908F4">
        <w:rPr>
          <w:lang w:val="fr-FR"/>
        </w:rPr>
        <w:t>6.3</w:t>
      </w:r>
      <w:r w:rsidRPr="00E908F4">
        <w:rPr>
          <w:lang w:val="fr-FR"/>
        </w:rPr>
        <w:tab/>
        <w:t>En l</w:t>
      </w:r>
      <w:r>
        <w:rPr>
          <w:lang w:val="fr-FR"/>
        </w:rPr>
        <w:t>’</w:t>
      </w:r>
      <w:r w:rsidRPr="00E908F4">
        <w:rPr>
          <w:lang w:val="fr-FR"/>
        </w:rPr>
        <w:t>espèce, l</w:t>
      </w:r>
      <w:r>
        <w:rPr>
          <w:lang w:val="fr-FR"/>
        </w:rPr>
        <w:t>’</w:t>
      </w:r>
      <w:r w:rsidRPr="00E908F4">
        <w:rPr>
          <w:lang w:val="fr-FR"/>
        </w:rPr>
        <w:t>État partie n</w:t>
      </w:r>
      <w:r>
        <w:rPr>
          <w:lang w:val="fr-FR"/>
        </w:rPr>
        <w:t>’</w:t>
      </w:r>
      <w:r w:rsidRPr="00E908F4">
        <w:rPr>
          <w:lang w:val="fr-FR"/>
        </w:rPr>
        <w:t>a pas formulé d</w:t>
      </w:r>
      <w:r>
        <w:rPr>
          <w:lang w:val="fr-FR"/>
        </w:rPr>
        <w:t>’</w:t>
      </w:r>
      <w:r w:rsidRPr="00E908F4">
        <w:rPr>
          <w:lang w:val="fr-FR"/>
        </w:rPr>
        <w:t>observations écrites permettant de savoir si son refus d</w:t>
      </w:r>
      <w:r>
        <w:rPr>
          <w:lang w:val="fr-FR"/>
        </w:rPr>
        <w:t>’</w:t>
      </w:r>
      <w:r w:rsidRPr="00E908F4">
        <w:rPr>
          <w:lang w:val="fr-FR"/>
        </w:rPr>
        <w:t>autoriser l</w:t>
      </w:r>
      <w:r>
        <w:rPr>
          <w:lang w:val="fr-FR"/>
        </w:rPr>
        <w:t>’</w:t>
      </w:r>
      <w:r w:rsidRPr="00E908F4">
        <w:rPr>
          <w:lang w:val="fr-FR"/>
        </w:rPr>
        <w:t>auteur à saisir un tribunal au sens de la deuxième phrase du paragraphe</w:t>
      </w:r>
      <w:r w:rsidR="002D34EC">
        <w:rPr>
          <w:lang w:val="fr-FR"/>
        </w:rPr>
        <w:t> </w:t>
      </w:r>
      <w:r w:rsidRPr="00E908F4">
        <w:rPr>
          <w:lang w:val="fr-FR"/>
        </w:rPr>
        <w:t>1 de l</w:t>
      </w:r>
      <w:r>
        <w:rPr>
          <w:lang w:val="fr-FR"/>
        </w:rPr>
        <w:t>’</w:t>
      </w:r>
      <w:r w:rsidRPr="00E908F4">
        <w:rPr>
          <w:lang w:val="fr-FR"/>
        </w:rPr>
        <w:t>article</w:t>
      </w:r>
      <w:r w:rsidR="002D34EC">
        <w:rPr>
          <w:lang w:val="fr-FR"/>
        </w:rPr>
        <w:t> </w:t>
      </w:r>
      <w:r w:rsidRPr="00E908F4">
        <w:rPr>
          <w:lang w:val="fr-FR"/>
        </w:rPr>
        <w:t>14 du Pacte</w:t>
      </w:r>
      <w:r>
        <w:rPr>
          <w:lang w:val="fr-FR"/>
        </w:rPr>
        <w:t>, même s’il</w:t>
      </w:r>
      <w:r w:rsidRPr="00E908F4">
        <w:rPr>
          <w:lang w:val="fr-FR"/>
        </w:rPr>
        <w:t xml:space="preserve"> était fondé dans le droit interne</w:t>
      </w:r>
      <w:r>
        <w:rPr>
          <w:lang w:val="fr-FR"/>
        </w:rPr>
        <w:t>, était</w:t>
      </w:r>
      <w:r w:rsidRPr="00E908F4">
        <w:rPr>
          <w:lang w:val="fr-FR"/>
        </w:rPr>
        <w:t xml:space="preserve"> nécessaire à la poursuite d</w:t>
      </w:r>
      <w:r>
        <w:rPr>
          <w:lang w:val="fr-FR"/>
        </w:rPr>
        <w:t>’</w:t>
      </w:r>
      <w:r w:rsidRPr="00E908F4">
        <w:rPr>
          <w:lang w:val="fr-FR"/>
        </w:rPr>
        <w:t>un but légitime. Au vu des faits décrits par l</w:t>
      </w:r>
      <w:r>
        <w:rPr>
          <w:lang w:val="fr-FR"/>
        </w:rPr>
        <w:t>’</w:t>
      </w:r>
      <w:r w:rsidRPr="00E908F4">
        <w:rPr>
          <w:lang w:val="fr-FR"/>
        </w:rPr>
        <w:t>auteur, et en l</w:t>
      </w:r>
      <w:r>
        <w:rPr>
          <w:lang w:val="fr-FR"/>
        </w:rPr>
        <w:t>’</w:t>
      </w:r>
      <w:r w:rsidRPr="00E908F4">
        <w:rPr>
          <w:lang w:val="fr-FR"/>
        </w:rPr>
        <w:t>absence d</w:t>
      </w:r>
      <w:r>
        <w:rPr>
          <w:lang w:val="fr-FR"/>
        </w:rPr>
        <w:t>’</w:t>
      </w:r>
      <w:r w:rsidRPr="00E908F4">
        <w:rPr>
          <w:lang w:val="fr-FR"/>
        </w:rPr>
        <w:t>observations écrites de l</w:t>
      </w:r>
      <w:r>
        <w:rPr>
          <w:lang w:val="fr-FR"/>
        </w:rPr>
        <w:t>’</w:t>
      </w:r>
      <w:r w:rsidRPr="00E908F4">
        <w:rPr>
          <w:lang w:val="fr-FR"/>
        </w:rPr>
        <w:t>État partie, le Comité considère que l</w:t>
      </w:r>
      <w:r>
        <w:rPr>
          <w:lang w:val="fr-FR"/>
        </w:rPr>
        <w:t>’</w:t>
      </w:r>
      <w:r w:rsidRPr="00E908F4">
        <w:rPr>
          <w:lang w:val="fr-FR"/>
        </w:rPr>
        <w:t>État partie a violé les droits que l</w:t>
      </w:r>
      <w:r>
        <w:rPr>
          <w:lang w:val="fr-FR"/>
        </w:rPr>
        <w:t>’</w:t>
      </w:r>
      <w:r w:rsidRPr="00E908F4">
        <w:rPr>
          <w:lang w:val="fr-FR"/>
        </w:rPr>
        <w:t>auteur tient du paragraphe</w:t>
      </w:r>
      <w:r w:rsidR="002D34EC">
        <w:rPr>
          <w:lang w:val="fr-FR"/>
        </w:rPr>
        <w:t> </w:t>
      </w:r>
      <w:r w:rsidRPr="00E908F4">
        <w:rPr>
          <w:lang w:val="fr-FR"/>
        </w:rPr>
        <w:t>1 de l</w:t>
      </w:r>
      <w:r>
        <w:rPr>
          <w:lang w:val="fr-FR"/>
        </w:rPr>
        <w:t>’article</w:t>
      </w:r>
      <w:r w:rsidR="002D34EC">
        <w:rPr>
          <w:lang w:val="fr-FR"/>
        </w:rPr>
        <w:t> </w:t>
      </w:r>
      <w:r>
        <w:rPr>
          <w:lang w:val="fr-FR"/>
        </w:rPr>
        <w:t>14 du Pacte.</w:t>
      </w:r>
    </w:p>
    <w:p w:rsidR="004C4080" w:rsidRPr="00E908F4" w:rsidRDefault="004C4080" w:rsidP="004C4080">
      <w:pPr>
        <w:pStyle w:val="SingleTxtG"/>
        <w:rPr>
          <w:lang w:val="fr-FR"/>
        </w:rPr>
      </w:pPr>
      <w:r w:rsidRPr="00E908F4">
        <w:rPr>
          <w:lang w:val="fr-FR"/>
        </w:rPr>
        <w:t>7.</w:t>
      </w:r>
      <w:r w:rsidRPr="00E908F4">
        <w:rPr>
          <w:lang w:val="fr-FR"/>
        </w:rPr>
        <w:tab/>
      </w:r>
      <w:r>
        <w:rPr>
          <w:lang w:val="fr-FR"/>
        </w:rPr>
        <w:t>A</w:t>
      </w:r>
      <w:r w:rsidRPr="00E908F4">
        <w:rPr>
          <w:lang w:val="fr-FR"/>
        </w:rPr>
        <w:t>gissant en vertu du paragraphe</w:t>
      </w:r>
      <w:r w:rsidR="002D34EC">
        <w:rPr>
          <w:lang w:val="fr-FR"/>
        </w:rPr>
        <w:t> </w:t>
      </w:r>
      <w:r w:rsidRPr="00E908F4">
        <w:rPr>
          <w:lang w:val="fr-FR"/>
        </w:rPr>
        <w:t>4 de l</w:t>
      </w:r>
      <w:r>
        <w:rPr>
          <w:lang w:val="fr-FR"/>
        </w:rPr>
        <w:t>’</w:t>
      </w:r>
      <w:r w:rsidRPr="00E908F4">
        <w:rPr>
          <w:lang w:val="fr-FR"/>
        </w:rPr>
        <w:t>article</w:t>
      </w:r>
      <w:r w:rsidR="002D34EC">
        <w:rPr>
          <w:lang w:val="fr-FR"/>
        </w:rPr>
        <w:t> </w:t>
      </w:r>
      <w:r w:rsidRPr="00E908F4">
        <w:rPr>
          <w:lang w:val="fr-FR"/>
        </w:rPr>
        <w:t xml:space="preserve">5 du Protocole facultatif, </w:t>
      </w:r>
      <w:r>
        <w:rPr>
          <w:lang w:val="fr-FR"/>
        </w:rPr>
        <w:t xml:space="preserve">le Comité </w:t>
      </w:r>
      <w:r w:rsidRPr="00E908F4">
        <w:rPr>
          <w:lang w:val="fr-FR"/>
        </w:rPr>
        <w:t xml:space="preserve">constate que </w:t>
      </w:r>
      <w:r w:rsidRPr="00E908F4">
        <w:t xml:space="preserve">les faits dont il est saisi font apparaître une violation </w:t>
      </w:r>
      <w:r>
        <w:t>par l’</w:t>
      </w:r>
      <w:r w:rsidR="0016005E">
        <w:t>É</w:t>
      </w:r>
      <w:r>
        <w:t xml:space="preserve">tat partie </w:t>
      </w:r>
      <w:r w:rsidRPr="00E908F4">
        <w:t xml:space="preserve">des </w:t>
      </w:r>
      <w:r>
        <w:rPr>
          <w:lang w:val="fr-FR"/>
        </w:rPr>
        <w:t>dispositions du</w:t>
      </w:r>
      <w:r w:rsidRPr="00E908F4">
        <w:t xml:space="preserve"> paragraphe</w:t>
      </w:r>
      <w:r w:rsidR="002D34EC">
        <w:rPr>
          <w:lang w:val="fr-FR"/>
        </w:rPr>
        <w:t> </w:t>
      </w:r>
      <w:r w:rsidRPr="00E908F4">
        <w:t>1 de l</w:t>
      </w:r>
      <w:r>
        <w:t>’</w:t>
      </w:r>
      <w:r w:rsidRPr="00E908F4">
        <w:t>article</w:t>
      </w:r>
      <w:r w:rsidR="002D34EC">
        <w:rPr>
          <w:lang w:val="fr-FR"/>
        </w:rPr>
        <w:t> </w:t>
      </w:r>
      <w:r w:rsidRPr="00E908F4">
        <w:t>14 du Pacte.</w:t>
      </w:r>
    </w:p>
    <w:p w:rsidR="004C4080" w:rsidRPr="00E908F4" w:rsidRDefault="004C4080" w:rsidP="004C4080">
      <w:pPr>
        <w:pStyle w:val="SingleTxtG"/>
        <w:rPr>
          <w:lang w:val="fr-FR"/>
        </w:rPr>
      </w:pPr>
      <w:r w:rsidRPr="00E908F4">
        <w:rPr>
          <w:lang w:val="fr-FR"/>
        </w:rPr>
        <w:t>8.</w:t>
      </w:r>
      <w:r w:rsidRPr="00E908F4">
        <w:rPr>
          <w:lang w:val="fr-FR"/>
        </w:rPr>
        <w:tab/>
      </w:r>
      <w:r w:rsidRPr="00E908F4">
        <w:t>Conformément au paragraphe</w:t>
      </w:r>
      <w:r w:rsidR="002D34EC">
        <w:rPr>
          <w:lang w:val="fr-FR"/>
        </w:rPr>
        <w:t> </w:t>
      </w:r>
      <w:r w:rsidRPr="00E908F4">
        <w:t>3</w:t>
      </w:r>
      <w:r w:rsidR="002D34EC">
        <w:rPr>
          <w:lang w:val="fr-FR"/>
        </w:rPr>
        <w:t> </w:t>
      </w:r>
      <w:r w:rsidRPr="00E908F4">
        <w:t>a) de l</w:t>
      </w:r>
      <w:r>
        <w:t>’</w:t>
      </w:r>
      <w:r w:rsidRPr="00E908F4">
        <w:t>article</w:t>
      </w:r>
      <w:r w:rsidR="002D34EC">
        <w:rPr>
          <w:lang w:val="fr-FR"/>
        </w:rPr>
        <w:t> </w:t>
      </w:r>
      <w:r w:rsidRPr="00E908F4">
        <w:t>2</w:t>
      </w:r>
      <w:r w:rsidR="002D34EC">
        <w:t xml:space="preserve"> </w:t>
      </w:r>
      <w:r w:rsidRPr="00E908F4">
        <w:t>du Pacte, l</w:t>
      </w:r>
      <w:r>
        <w:t>’</w:t>
      </w:r>
      <w:r w:rsidRPr="00E908F4">
        <w:t>État partie est tenu d</w:t>
      </w:r>
      <w:r>
        <w:t>’</w:t>
      </w:r>
      <w:r w:rsidRPr="00E908F4">
        <w:t>assurer à l</w:t>
      </w:r>
      <w:r>
        <w:t>’</w:t>
      </w:r>
      <w:r w:rsidRPr="00E908F4">
        <w:t>auteur un recours utile. Il a l</w:t>
      </w:r>
      <w:r>
        <w:t>’</w:t>
      </w:r>
      <w:r w:rsidRPr="00E908F4">
        <w:t>obligation d</w:t>
      </w:r>
      <w:r>
        <w:t>’</w:t>
      </w:r>
      <w:r w:rsidRPr="00E908F4">
        <w:t>accorder une réparation intégrale aux individus dont les droits garantis par le Pacte ont été violés. En conséquence, l</w:t>
      </w:r>
      <w:r>
        <w:t>’</w:t>
      </w:r>
      <w:r w:rsidRPr="00E908F4">
        <w:t xml:space="preserve">État </w:t>
      </w:r>
      <w:r w:rsidRPr="00E908F4">
        <w:lastRenderedPageBreak/>
        <w:t>partie est tenu, entre autres, d</w:t>
      </w:r>
      <w:r>
        <w:t xml:space="preserve">e prendre les mesures voulues pour </w:t>
      </w:r>
      <w:r w:rsidRPr="00E908F4">
        <w:t>accorder à l</w:t>
      </w:r>
      <w:r>
        <w:t>’</w:t>
      </w:r>
      <w:r w:rsidRPr="00E908F4">
        <w:t>auteur une réparation appropriée pour les violations qu</w:t>
      </w:r>
      <w:r>
        <w:t>’</w:t>
      </w:r>
      <w:r w:rsidRPr="00E908F4">
        <w:t>il a subies. Il est également tenu de veiller à ce que des violations analogues ne se reproduisent pas.</w:t>
      </w:r>
    </w:p>
    <w:p w:rsidR="00E85C42" w:rsidRDefault="004C4080" w:rsidP="004C4080">
      <w:pPr>
        <w:pStyle w:val="SingleTxtG"/>
      </w:pPr>
      <w:r w:rsidRPr="00E908F4">
        <w:rPr>
          <w:lang w:val="fr-FR"/>
        </w:rPr>
        <w:t>9.</w:t>
      </w:r>
      <w:r w:rsidRPr="00E908F4">
        <w:rPr>
          <w:lang w:val="fr-FR"/>
        </w:rPr>
        <w:tab/>
      </w:r>
      <w:r w:rsidRPr="00E908F4">
        <w:t>Étant donné qu</w:t>
      </w:r>
      <w:r>
        <w:t>’</w:t>
      </w:r>
      <w:r w:rsidRPr="00E908F4">
        <w:t>en adhérant au Protocole facultatif, l</w:t>
      </w:r>
      <w:r>
        <w:t>’</w:t>
      </w:r>
      <w:r w:rsidRPr="00E908F4">
        <w:t>État partie a reconnu que le Comité a compétence pour déterminer s</w:t>
      </w:r>
      <w:r>
        <w:t>’</w:t>
      </w:r>
      <w:r w:rsidRPr="00E908F4">
        <w:t xml:space="preserve">il y a ou non violation du Pacte et que, </w:t>
      </w:r>
      <w:r>
        <w:t xml:space="preserve">selon </w:t>
      </w:r>
      <w:r w:rsidRPr="00E908F4">
        <w:t>l</w:t>
      </w:r>
      <w:r>
        <w:t>’</w:t>
      </w:r>
      <w:r w:rsidRPr="00E908F4">
        <w:t>article</w:t>
      </w:r>
      <w:r w:rsidR="00C30456">
        <w:t> </w:t>
      </w:r>
      <w:r w:rsidRPr="00E908F4">
        <w:t>2 du Pacte, il s</w:t>
      </w:r>
      <w:r>
        <w:t>’</w:t>
      </w:r>
      <w:r w:rsidRPr="00E908F4">
        <w:t>est engagé à garantir à tous les individus se trouvant sur son territoire et relevant de sa juridiction les droits reconnus dans le Pacte et à assurer un recours utile lorsqu</w:t>
      </w:r>
      <w:r>
        <w:t>’</w:t>
      </w:r>
      <w:r w:rsidRPr="00E908F4">
        <w:t>une violation a été établie, le Comité souhaite recevoir de l</w:t>
      </w:r>
      <w:r>
        <w:t>’</w:t>
      </w:r>
      <w:r w:rsidRPr="00E908F4">
        <w:t>État partie, dans un délai de cent</w:t>
      </w:r>
      <w:r>
        <w:t xml:space="preserve"> </w:t>
      </w:r>
      <w:r w:rsidRPr="00E908F4">
        <w:t>quatre-vingt</w:t>
      </w:r>
      <w:r>
        <w:t>s</w:t>
      </w:r>
      <w:r w:rsidRPr="00E908F4">
        <w:t> jours, des renseignements sur les mesures prises pour donner effet aux présentes constatations. L</w:t>
      </w:r>
      <w:r>
        <w:t>’</w:t>
      </w:r>
      <w:r w:rsidRPr="00E908F4">
        <w:t>État partie est invité en outre à rendre celles-ci publiques et à les diffuser largement dans ses langues officielles.</w:t>
      </w:r>
    </w:p>
    <w:p w:rsidR="004C4080" w:rsidRPr="004C4080" w:rsidRDefault="004C4080" w:rsidP="004C4080">
      <w:pPr>
        <w:pStyle w:val="SingleTxtG"/>
        <w:spacing w:before="240" w:after="0"/>
        <w:jc w:val="center"/>
        <w:rPr>
          <w:u w:val="single"/>
        </w:rPr>
      </w:pPr>
      <w:r>
        <w:rPr>
          <w:u w:val="single"/>
        </w:rPr>
        <w:tab/>
      </w:r>
      <w:r>
        <w:rPr>
          <w:u w:val="single"/>
        </w:rPr>
        <w:tab/>
      </w:r>
      <w:r>
        <w:rPr>
          <w:u w:val="single"/>
        </w:rPr>
        <w:tab/>
      </w:r>
    </w:p>
    <w:sectPr w:rsidR="004C4080" w:rsidRPr="004C4080" w:rsidSect="00366F4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B73" w:rsidRDefault="00D24B73" w:rsidP="00F95C08">
      <w:pPr>
        <w:spacing w:line="240" w:lineRule="auto"/>
      </w:pPr>
    </w:p>
  </w:endnote>
  <w:endnote w:type="continuationSeparator" w:id="0">
    <w:p w:rsidR="00D24B73" w:rsidRPr="00AC3823" w:rsidRDefault="00D24B73" w:rsidP="00AC3823">
      <w:pPr>
        <w:pStyle w:val="Pieddepage"/>
      </w:pPr>
    </w:p>
  </w:endnote>
  <w:endnote w:type="continuationNotice" w:id="1">
    <w:p w:rsidR="00D24B73" w:rsidRDefault="00D24B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F42" w:rsidRPr="00366F42" w:rsidRDefault="00366F42" w:rsidP="00366F42">
    <w:pPr>
      <w:pStyle w:val="Pieddepage"/>
      <w:tabs>
        <w:tab w:val="right" w:pos="9638"/>
      </w:tabs>
    </w:pPr>
    <w:r w:rsidRPr="00366F42">
      <w:rPr>
        <w:b/>
        <w:sz w:val="18"/>
      </w:rPr>
      <w:fldChar w:fldCharType="begin"/>
    </w:r>
    <w:r w:rsidRPr="00366F42">
      <w:rPr>
        <w:b/>
        <w:sz w:val="18"/>
      </w:rPr>
      <w:instrText xml:space="preserve"> PAGE  \* MERGEFORMAT </w:instrText>
    </w:r>
    <w:r w:rsidRPr="00366F42">
      <w:rPr>
        <w:b/>
        <w:sz w:val="18"/>
      </w:rPr>
      <w:fldChar w:fldCharType="separate"/>
    </w:r>
    <w:r w:rsidRPr="00366F42">
      <w:rPr>
        <w:b/>
        <w:noProof/>
        <w:sz w:val="18"/>
      </w:rPr>
      <w:t>2</w:t>
    </w:r>
    <w:r w:rsidRPr="00366F42">
      <w:rPr>
        <w:b/>
        <w:sz w:val="18"/>
      </w:rPr>
      <w:fldChar w:fldCharType="end"/>
    </w:r>
    <w:r>
      <w:rPr>
        <w:b/>
        <w:sz w:val="18"/>
      </w:rPr>
      <w:tab/>
    </w:r>
    <w:r>
      <w:t>GE.19-17481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F42" w:rsidRPr="00366F42" w:rsidRDefault="00366F42" w:rsidP="00366F42">
    <w:pPr>
      <w:pStyle w:val="Pieddepage"/>
      <w:tabs>
        <w:tab w:val="right" w:pos="9638"/>
      </w:tabs>
      <w:rPr>
        <w:b/>
        <w:sz w:val="18"/>
      </w:rPr>
    </w:pPr>
    <w:r>
      <w:t>GE.19-17481</w:t>
    </w:r>
    <w:r>
      <w:tab/>
    </w:r>
    <w:r w:rsidRPr="00366F42">
      <w:rPr>
        <w:b/>
        <w:sz w:val="18"/>
      </w:rPr>
      <w:fldChar w:fldCharType="begin"/>
    </w:r>
    <w:r w:rsidRPr="00366F42">
      <w:rPr>
        <w:b/>
        <w:sz w:val="18"/>
      </w:rPr>
      <w:instrText xml:space="preserve"> PAGE  \* MERGEFORMAT </w:instrText>
    </w:r>
    <w:r w:rsidRPr="00366F42">
      <w:rPr>
        <w:b/>
        <w:sz w:val="18"/>
      </w:rPr>
      <w:fldChar w:fldCharType="separate"/>
    </w:r>
    <w:r w:rsidRPr="00366F42">
      <w:rPr>
        <w:b/>
        <w:noProof/>
        <w:sz w:val="18"/>
      </w:rPr>
      <w:t>3</w:t>
    </w:r>
    <w:r w:rsidRPr="00366F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366F42" w:rsidRDefault="00366F42" w:rsidP="00366F42">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19-17481  (F)    100720    130720</w:t>
    </w:r>
    <w:r>
      <w:rPr>
        <w:sz w:val="20"/>
      </w:rPr>
      <w:br/>
    </w:r>
    <w:r w:rsidRPr="00366F42">
      <w:rPr>
        <w:rFonts w:ascii="C39T30Lfz" w:hAnsi="C39T30Lfz"/>
        <w:sz w:val="56"/>
      </w:rPr>
      <w:t></w:t>
    </w:r>
    <w:r w:rsidRPr="00366F42">
      <w:rPr>
        <w:rFonts w:ascii="C39T30Lfz" w:hAnsi="C39T30Lfz"/>
        <w:sz w:val="56"/>
      </w:rPr>
      <w:t></w:t>
    </w:r>
    <w:r w:rsidRPr="00366F42">
      <w:rPr>
        <w:rFonts w:ascii="C39T30Lfz" w:hAnsi="C39T30Lfz"/>
        <w:sz w:val="56"/>
      </w:rPr>
      <w:t></w:t>
    </w:r>
    <w:r w:rsidRPr="00366F42">
      <w:rPr>
        <w:rFonts w:ascii="C39T30Lfz" w:hAnsi="C39T30Lfz"/>
        <w:sz w:val="56"/>
      </w:rPr>
      <w:t></w:t>
    </w:r>
    <w:r w:rsidRPr="00366F42">
      <w:rPr>
        <w:rFonts w:ascii="C39T30Lfz" w:hAnsi="C39T30Lfz"/>
        <w:sz w:val="56"/>
      </w:rPr>
      <w:t></w:t>
    </w:r>
    <w:r w:rsidRPr="00366F42">
      <w:rPr>
        <w:rFonts w:ascii="C39T30Lfz" w:hAnsi="C39T30Lfz"/>
        <w:sz w:val="56"/>
      </w:rPr>
      <w:t></w:t>
    </w:r>
    <w:r w:rsidRPr="00366F42">
      <w:rPr>
        <w:rFonts w:ascii="C39T30Lfz" w:hAnsi="C39T30Lfz"/>
        <w:sz w:val="56"/>
      </w:rPr>
      <w:t></w:t>
    </w:r>
    <w:r w:rsidRPr="00366F42">
      <w:rPr>
        <w:rFonts w:ascii="C39T30Lfz" w:hAnsi="C39T30Lfz"/>
        <w:sz w:val="56"/>
      </w:rPr>
      <w:t></w:t>
    </w:r>
    <w:r w:rsidRPr="00366F42">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6/D/2315/20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315/20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B73" w:rsidRPr="00AC3823" w:rsidRDefault="00D24B73" w:rsidP="00AC3823">
      <w:pPr>
        <w:pStyle w:val="Pieddepage"/>
        <w:tabs>
          <w:tab w:val="right" w:pos="2155"/>
        </w:tabs>
        <w:spacing w:after="80" w:line="240" w:lineRule="atLeast"/>
        <w:ind w:left="680"/>
        <w:rPr>
          <w:u w:val="single"/>
        </w:rPr>
      </w:pPr>
      <w:r>
        <w:rPr>
          <w:u w:val="single"/>
        </w:rPr>
        <w:tab/>
      </w:r>
    </w:p>
  </w:footnote>
  <w:footnote w:type="continuationSeparator" w:id="0">
    <w:p w:rsidR="00D24B73" w:rsidRPr="00AC3823" w:rsidRDefault="00D24B73" w:rsidP="00AC3823">
      <w:pPr>
        <w:pStyle w:val="Pieddepage"/>
        <w:tabs>
          <w:tab w:val="right" w:pos="2155"/>
        </w:tabs>
        <w:spacing w:after="80" w:line="240" w:lineRule="atLeast"/>
        <w:ind w:left="680"/>
        <w:rPr>
          <w:u w:val="single"/>
        </w:rPr>
      </w:pPr>
      <w:r>
        <w:rPr>
          <w:u w:val="single"/>
        </w:rPr>
        <w:tab/>
      </w:r>
    </w:p>
  </w:footnote>
  <w:footnote w:type="continuationNotice" w:id="1">
    <w:p w:rsidR="00D24B73" w:rsidRPr="00AC3823" w:rsidRDefault="00D24B73">
      <w:pPr>
        <w:spacing w:line="240" w:lineRule="auto"/>
        <w:rPr>
          <w:sz w:val="2"/>
          <w:szCs w:val="2"/>
        </w:rPr>
      </w:pPr>
    </w:p>
  </w:footnote>
  <w:footnote w:id="2">
    <w:p w:rsidR="004C4080" w:rsidRPr="00BF03F7" w:rsidRDefault="004C4080" w:rsidP="004C4080">
      <w:pPr>
        <w:pStyle w:val="Notedebasdepage"/>
        <w:rPr>
          <w:lang w:val="fr-FR"/>
        </w:rPr>
      </w:pPr>
      <w:r>
        <w:tab/>
      </w:r>
      <w:r w:rsidRPr="004C4080">
        <w:rPr>
          <w:rStyle w:val="Appelnotedebasdep"/>
          <w:sz w:val="20"/>
          <w:vertAlign w:val="baseline"/>
        </w:rPr>
        <w:t>*</w:t>
      </w:r>
      <w:r>
        <w:tab/>
      </w:r>
      <w:r>
        <w:rPr>
          <w:lang w:val="fr-FR"/>
        </w:rPr>
        <w:t>Adoptée par le Comité à sa 126</w:t>
      </w:r>
      <w:r w:rsidRPr="00BF03F7">
        <w:rPr>
          <w:vertAlign w:val="superscript"/>
          <w:lang w:val="fr-FR"/>
        </w:rPr>
        <w:t>e</w:t>
      </w:r>
      <w:r>
        <w:rPr>
          <w:lang w:val="fr-FR"/>
        </w:rPr>
        <w:t> session (1</w:t>
      </w:r>
      <w:r w:rsidRPr="00BF03F7">
        <w:rPr>
          <w:vertAlign w:val="superscript"/>
          <w:lang w:val="fr-FR"/>
        </w:rPr>
        <w:t>er</w:t>
      </w:r>
      <w:r>
        <w:rPr>
          <w:lang w:val="fr-FR"/>
        </w:rPr>
        <w:t>-26 juillet 2019).</w:t>
      </w:r>
    </w:p>
  </w:footnote>
  <w:footnote w:id="3">
    <w:p w:rsidR="004C4080" w:rsidRPr="00BF03F7" w:rsidRDefault="004C4080" w:rsidP="004C4080">
      <w:pPr>
        <w:pStyle w:val="Notedebasdepage"/>
        <w:rPr>
          <w:lang w:val="fr-FR"/>
        </w:rPr>
      </w:pPr>
      <w:r>
        <w:tab/>
      </w:r>
      <w:r w:rsidRPr="004C4080">
        <w:rPr>
          <w:rStyle w:val="Appelnotedebasdep"/>
          <w:sz w:val="20"/>
          <w:vertAlign w:val="baseline"/>
        </w:rPr>
        <w:t>**</w:t>
      </w:r>
      <w:r>
        <w:tab/>
      </w:r>
      <w:r>
        <w:rPr>
          <w:lang w:val="fr-FR"/>
        </w:rPr>
        <w:t xml:space="preserve">Les membres du Comité dont le nom suit ont participé à l’examen de la communication : </w:t>
      </w:r>
      <w:r>
        <w:t xml:space="preserve">Tania María Abdo </w:t>
      </w:r>
      <w:proofErr w:type="spellStart"/>
      <w:r>
        <w:t>Rocholl</w:t>
      </w:r>
      <w:proofErr w:type="spellEnd"/>
      <w:r>
        <w:t xml:space="preserve">, </w:t>
      </w:r>
      <w:proofErr w:type="spellStart"/>
      <w:r w:rsidRPr="00DF6B8C">
        <w:t>Yadh</w:t>
      </w:r>
      <w:proofErr w:type="spellEnd"/>
      <w:r w:rsidRPr="00DF6B8C">
        <w:t xml:space="preserve"> Ben Achour, </w:t>
      </w:r>
      <w:proofErr w:type="spellStart"/>
      <w:r w:rsidRPr="00DF6B8C">
        <w:t>Ilze</w:t>
      </w:r>
      <w:proofErr w:type="spellEnd"/>
      <w:r w:rsidRPr="00DF6B8C">
        <w:t xml:space="preserve"> Brands </w:t>
      </w:r>
      <w:proofErr w:type="spellStart"/>
      <w:r w:rsidRPr="00DF6B8C">
        <w:t>Kehris</w:t>
      </w:r>
      <w:proofErr w:type="spellEnd"/>
      <w:r w:rsidRPr="00DF6B8C">
        <w:t xml:space="preserve">, </w:t>
      </w:r>
      <w:r>
        <w:t xml:space="preserve">Arif </w:t>
      </w:r>
      <w:proofErr w:type="spellStart"/>
      <w:r>
        <w:t>Bulkan</w:t>
      </w:r>
      <w:proofErr w:type="spellEnd"/>
      <w:r>
        <w:t xml:space="preserve">, </w:t>
      </w:r>
      <w:r w:rsidRPr="00DF6B8C">
        <w:t xml:space="preserve">Ahmed Amin </w:t>
      </w:r>
      <w:proofErr w:type="spellStart"/>
      <w:r w:rsidRPr="00DF6B8C">
        <w:t>Fathalla</w:t>
      </w:r>
      <w:proofErr w:type="spellEnd"/>
      <w:r w:rsidRPr="00DF6B8C">
        <w:t>,</w:t>
      </w:r>
      <w:r>
        <w:t xml:space="preserve"> </w:t>
      </w:r>
      <w:proofErr w:type="spellStart"/>
      <w:r>
        <w:t>Shuichi</w:t>
      </w:r>
      <w:proofErr w:type="spellEnd"/>
      <w:r>
        <w:t xml:space="preserve"> </w:t>
      </w:r>
      <w:proofErr w:type="spellStart"/>
      <w:r>
        <w:t>Furuya</w:t>
      </w:r>
      <w:proofErr w:type="spellEnd"/>
      <w:r>
        <w:t xml:space="preserve">, </w:t>
      </w:r>
      <w:proofErr w:type="spellStart"/>
      <w:r>
        <w:t>Christof</w:t>
      </w:r>
      <w:proofErr w:type="spellEnd"/>
      <w:r>
        <w:t xml:space="preserve"> </w:t>
      </w:r>
      <w:proofErr w:type="spellStart"/>
      <w:r>
        <w:t>Heyns</w:t>
      </w:r>
      <w:proofErr w:type="spellEnd"/>
      <w:r>
        <w:t xml:space="preserve">, </w:t>
      </w:r>
      <w:proofErr w:type="spellStart"/>
      <w:r w:rsidRPr="0098434E">
        <w:t>Bamariam</w:t>
      </w:r>
      <w:proofErr w:type="spellEnd"/>
      <w:r w:rsidRPr="0098434E">
        <w:t xml:space="preserve"> </w:t>
      </w:r>
      <w:proofErr w:type="spellStart"/>
      <w:r w:rsidRPr="0098434E">
        <w:t>Koita</w:t>
      </w:r>
      <w:proofErr w:type="spellEnd"/>
      <w:r w:rsidRPr="0098434E">
        <w:t>,</w:t>
      </w:r>
      <w:r w:rsidRPr="008922F2">
        <w:t xml:space="preserve"> </w:t>
      </w:r>
      <w:r w:rsidRPr="00DC7076">
        <w:t>Mar</w:t>
      </w:r>
      <w:r>
        <w:t>c</w:t>
      </w:r>
      <w:r w:rsidRPr="00DC7076">
        <w:t>ia V.</w:t>
      </w:r>
      <w:r>
        <w:t>J.</w:t>
      </w:r>
      <w:r w:rsidRPr="00DC7076">
        <w:t xml:space="preserve"> </w:t>
      </w:r>
      <w:proofErr w:type="spellStart"/>
      <w:r w:rsidRPr="00DC7076">
        <w:t>Kran</w:t>
      </w:r>
      <w:proofErr w:type="spellEnd"/>
      <w:r>
        <w:t>,</w:t>
      </w:r>
      <w:r w:rsidRPr="000C0942">
        <w:t xml:space="preserve"> </w:t>
      </w:r>
      <w:r>
        <w:t xml:space="preserve">Duncan Laki </w:t>
      </w:r>
      <w:proofErr w:type="spellStart"/>
      <w:r>
        <w:t>Muhumuza</w:t>
      </w:r>
      <w:proofErr w:type="spellEnd"/>
      <w:r>
        <w:t xml:space="preserve">, </w:t>
      </w:r>
      <w:proofErr w:type="spellStart"/>
      <w:r>
        <w:t>Photini</w:t>
      </w:r>
      <w:proofErr w:type="spellEnd"/>
      <w:r>
        <w:t xml:space="preserve"> </w:t>
      </w:r>
      <w:proofErr w:type="spellStart"/>
      <w:r>
        <w:t>Pazartzis</w:t>
      </w:r>
      <w:proofErr w:type="spellEnd"/>
      <w:r>
        <w:t xml:space="preserve">, </w:t>
      </w:r>
      <w:proofErr w:type="spellStart"/>
      <w:r>
        <w:t>Hern</w:t>
      </w:r>
      <w:proofErr w:type="spellEnd"/>
      <w:r>
        <w:rPr>
          <w:lang w:val="cs-CZ"/>
        </w:rPr>
        <w:t xml:space="preserve">án Quezada Cabrera, Vasilka Sancin, </w:t>
      </w:r>
      <w:r w:rsidRPr="0098434E">
        <w:t xml:space="preserve">José Manuel </w:t>
      </w:r>
      <w:r>
        <w:t xml:space="preserve">Santos Pais, Yuval </w:t>
      </w:r>
      <w:proofErr w:type="spellStart"/>
      <w:r>
        <w:t>Shany</w:t>
      </w:r>
      <w:proofErr w:type="spellEnd"/>
      <w:r>
        <w:t xml:space="preserve">, Hélène </w:t>
      </w:r>
      <w:proofErr w:type="spellStart"/>
      <w:r>
        <w:t>Tigroudja</w:t>
      </w:r>
      <w:proofErr w:type="spellEnd"/>
      <w:r>
        <w:t xml:space="preserve">, Andreas Zimmermann et </w:t>
      </w:r>
      <w:proofErr w:type="spellStart"/>
      <w:r>
        <w:t>Gentian</w:t>
      </w:r>
      <w:proofErr w:type="spellEnd"/>
      <w:r>
        <w:t xml:space="preserve"> </w:t>
      </w:r>
      <w:proofErr w:type="spellStart"/>
      <w:r>
        <w:t>Zyberi</w:t>
      </w:r>
      <w:proofErr w:type="spellEnd"/>
      <w:r>
        <w:t xml:space="preserve">. </w:t>
      </w:r>
    </w:p>
  </w:footnote>
  <w:footnote w:id="4">
    <w:p w:rsidR="004C4080" w:rsidRPr="00722895" w:rsidRDefault="004C4080" w:rsidP="004C4080">
      <w:pPr>
        <w:pStyle w:val="Notedebasdepage"/>
        <w:rPr>
          <w:lang w:val="fr-FR"/>
        </w:rPr>
      </w:pPr>
      <w:r w:rsidRPr="00F3199B">
        <w:rPr>
          <w:lang w:val="fr-FR"/>
        </w:rPr>
        <w:tab/>
      </w:r>
      <w:r w:rsidRPr="00BF03F7">
        <w:rPr>
          <w:rStyle w:val="Appelnotedebasdep"/>
        </w:rPr>
        <w:footnoteRef/>
      </w:r>
      <w:r w:rsidRPr="00CF6C11">
        <w:rPr>
          <w:lang w:val="fr-FR"/>
        </w:rPr>
        <w:tab/>
      </w:r>
      <w:r>
        <w:rPr>
          <w:lang w:val="fr-FR"/>
        </w:rPr>
        <w:t>L’exposé des faits repose sur des renseignements détaillés fournis par l’auteur. L’</w:t>
      </w:r>
      <w:r>
        <w:rPr>
          <w:lang w:val="fr-FR"/>
        </w:rPr>
        <w:t>É</w:t>
      </w:r>
      <w:r>
        <w:rPr>
          <w:lang w:val="fr-FR"/>
        </w:rPr>
        <w:t xml:space="preserve">tat partie n’a pas présenté de réponse. </w:t>
      </w:r>
    </w:p>
  </w:footnote>
  <w:footnote w:id="5">
    <w:p w:rsidR="004C4080" w:rsidRPr="005F6DAA" w:rsidRDefault="004C4080" w:rsidP="004C4080">
      <w:pPr>
        <w:pStyle w:val="Notedebasdepage"/>
        <w:rPr>
          <w:lang w:val="fr-FR"/>
        </w:rPr>
      </w:pPr>
      <w:r w:rsidRPr="00E1532E">
        <w:rPr>
          <w:lang w:val="fr-FR"/>
        </w:rPr>
        <w:tab/>
      </w:r>
      <w:r w:rsidRPr="00BF03F7">
        <w:rPr>
          <w:rStyle w:val="Appelnotedebasdep"/>
        </w:rPr>
        <w:footnoteRef/>
      </w:r>
      <w:r w:rsidRPr="005F6DAA">
        <w:rPr>
          <w:lang w:val="fr-FR"/>
        </w:rPr>
        <w:tab/>
        <w:t>L</w:t>
      </w:r>
      <w:r>
        <w:rPr>
          <w:lang w:val="fr-FR"/>
        </w:rPr>
        <w:t>’</w:t>
      </w:r>
      <w:r w:rsidRPr="005F6DAA">
        <w:rPr>
          <w:lang w:val="fr-FR"/>
        </w:rPr>
        <w:t>auteur affirme qu</w:t>
      </w:r>
      <w:r>
        <w:rPr>
          <w:lang w:val="fr-FR"/>
        </w:rPr>
        <w:t>’</w:t>
      </w:r>
      <w:r w:rsidRPr="005F6DAA">
        <w:rPr>
          <w:lang w:val="fr-FR"/>
        </w:rPr>
        <w:t xml:space="preserve">on ne lui a jamais montré ce </w:t>
      </w:r>
      <w:r>
        <w:rPr>
          <w:lang w:val="fr-FR"/>
        </w:rPr>
        <w:t>certificat</w:t>
      </w:r>
      <w:r w:rsidRPr="005F6DAA">
        <w:rPr>
          <w:lang w:val="fr-FR"/>
        </w:rPr>
        <w:t>, qu</w:t>
      </w:r>
      <w:r>
        <w:rPr>
          <w:lang w:val="fr-FR"/>
        </w:rPr>
        <w:t>’</w:t>
      </w:r>
      <w:r w:rsidRPr="005F6DAA">
        <w:rPr>
          <w:lang w:val="fr-FR"/>
        </w:rPr>
        <w:t>il</w:t>
      </w:r>
      <w:r>
        <w:rPr>
          <w:lang w:val="fr-FR"/>
        </w:rPr>
        <w:t xml:space="preserve"> juge douteux car il n’a jamais signé de document relatif à la vente d’un véhicule.</w:t>
      </w:r>
    </w:p>
  </w:footnote>
  <w:footnote w:id="6">
    <w:p w:rsidR="004C4080" w:rsidRPr="00B60BBF" w:rsidRDefault="004C4080" w:rsidP="004C4080">
      <w:pPr>
        <w:pStyle w:val="Notedebasdepage"/>
      </w:pPr>
      <w:r w:rsidRPr="008652A2">
        <w:rPr>
          <w:lang w:val="fr-FR"/>
        </w:rPr>
        <w:tab/>
      </w:r>
      <w:r w:rsidRPr="00BF03F7">
        <w:rPr>
          <w:rStyle w:val="Appelnotedebasdep"/>
        </w:rPr>
        <w:footnoteRef/>
      </w:r>
      <w:r w:rsidRPr="00954A96">
        <w:rPr>
          <w:lang w:val="fr-FR"/>
        </w:rPr>
        <w:tab/>
      </w:r>
      <w:proofErr w:type="spellStart"/>
      <w:r w:rsidRPr="00954A96">
        <w:rPr>
          <w:i/>
          <w:lang w:val="fr-FR"/>
        </w:rPr>
        <w:t>Sannikov</w:t>
      </w:r>
      <w:proofErr w:type="spellEnd"/>
      <w:r w:rsidRPr="00954A96">
        <w:rPr>
          <w:i/>
          <w:lang w:val="fr-FR"/>
        </w:rPr>
        <w:t xml:space="preserve"> c. Bélarus</w:t>
      </w:r>
      <w:r w:rsidRPr="00954A96">
        <w:rPr>
          <w:lang w:val="fr-FR"/>
        </w:rPr>
        <w:t xml:space="preserve"> (C</w:t>
      </w:r>
      <w:r>
        <w:rPr>
          <w:lang w:val="fr-FR"/>
        </w:rPr>
        <w:t>CPR/C/122/D/2212/2012), par.</w:t>
      </w:r>
      <w:r w:rsidR="002D34EC">
        <w:rPr>
          <w:lang w:val="fr-FR"/>
        </w:rPr>
        <w:t> </w:t>
      </w:r>
      <w:r>
        <w:rPr>
          <w:lang w:val="fr-FR"/>
        </w:rPr>
        <w:t>4.</w:t>
      </w:r>
    </w:p>
  </w:footnote>
  <w:footnote w:id="7">
    <w:p w:rsidR="004C4080" w:rsidRPr="008F6A45" w:rsidRDefault="004C4080" w:rsidP="004C4080">
      <w:pPr>
        <w:pStyle w:val="Notedebasdepage"/>
      </w:pPr>
      <w:r w:rsidRPr="00954A96">
        <w:rPr>
          <w:lang w:val="fr-FR"/>
        </w:rPr>
        <w:tab/>
      </w:r>
      <w:r w:rsidRPr="00BF03F7">
        <w:rPr>
          <w:rStyle w:val="Appelnotedebasdep"/>
        </w:rPr>
        <w:footnoteRef/>
      </w:r>
      <w:r w:rsidRPr="00954A96">
        <w:rPr>
          <w:lang w:val="fr-FR"/>
        </w:rPr>
        <w:tab/>
      </w:r>
      <w:proofErr w:type="spellStart"/>
      <w:r w:rsidRPr="00954A96">
        <w:rPr>
          <w:i/>
          <w:lang w:val="fr-FR"/>
        </w:rPr>
        <w:t>Samathanan</w:t>
      </w:r>
      <w:proofErr w:type="spellEnd"/>
      <w:r w:rsidRPr="00954A96">
        <w:rPr>
          <w:i/>
          <w:lang w:val="fr-FR"/>
        </w:rPr>
        <w:t xml:space="preserve"> c. Sri Lanka</w:t>
      </w:r>
      <w:r>
        <w:rPr>
          <w:lang w:val="fr-FR"/>
        </w:rPr>
        <w:t xml:space="preserve"> (CCPR/C/118/D/2412/2014), par</w:t>
      </w:r>
      <w:r w:rsidRPr="00954A96">
        <w:rPr>
          <w:lang w:val="fr-FR"/>
        </w:rPr>
        <w:t>.</w:t>
      </w:r>
      <w:r w:rsidR="0016005E">
        <w:rPr>
          <w:lang w:val="fr-FR"/>
        </w:rPr>
        <w:t> </w:t>
      </w:r>
      <w:r w:rsidRPr="00954A96">
        <w:rPr>
          <w:lang w:val="fr-FR"/>
        </w:rPr>
        <w:t>4.2</w:t>
      </w:r>
      <w:r>
        <w:rPr>
          <w:lang w:val="fr-FR"/>
        </w:rPr>
        <w:t xml:space="preserve">, et </w:t>
      </w:r>
      <w:proofErr w:type="spellStart"/>
      <w:r w:rsidRPr="00954A96">
        <w:rPr>
          <w:i/>
          <w:iCs/>
          <w:lang w:val="fr-FR"/>
        </w:rPr>
        <w:t>Diergaardt</w:t>
      </w:r>
      <w:proofErr w:type="spellEnd"/>
      <w:r w:rsidRPr="00954A96">
        <w:rPr>
          <w:i/>
          <w:iCs/>
          <w:lang w:val="fr-FR"/>
        </w:rPr>
        <w:t xml:space="preserve"> et </w:t>
      </w:r>
      <w:r>
        <w:rPr>
          <w:i/>
          <w:iCs/>
          <w:lang w:val="fr-FR"/>
        </w:rPr>
        <w:t>consorts c</w:t>
      </w:r>
      <w:r w:rsidRPr="00954A96">
        <w:rPr>
          <w:i/>
          <w:iCs/>
          <w:lang w:val="fr-FR"/>
        </w:rPr>
        <w:t>.</w:t>
      </w:r>
      <w:r w:rsidR="0016005E">
        <w:rPr>
          <w:i/>
          <w:iCs/>
          <w:lang w:val="fr-FR"/>
        </w:rPr>
        <w:t> </w:t>
      </w:r>
      <w:r w:rsidRPr="00954A96">
        <w:rPr>
          <w:i/>
          <w:iCs/>
          <w:lang w:val="fr-FR"/>
        </w:rPr>
        <w:t>Namibi</w:t>
      </w:r>
      <w:r>
        <w:rPr>
          <w:i/>
          <w:iCs/>
          <w:lang w:val="fr-FR"/>
        </w:rPr>
        <w:t>e</w:t>
      </w:r>
      <w:r w:rsidRPr="00954A96">
        <w:rPr>
          <w:i/>
          <w:iCs/>
          <w:lang w:val="fr-FR"/>
        </w:rPr>
        <w:t xml:space="preserve"> </w:t>
      </w:r>
      <w:r w:rsidRPr="00954A96">
        <w:rPr>
          <w:iCs/>
          <w:lang w:val="fr-FR"/>
        </w:rPr>
        <w:t>(CCPR/C/69/D/760/1997), par.</w:t>
      </w:r>
      <w:r w:rsidR="0016005E">
        <w:rPr>
          <w:iCs/>
          <w:lang w:val="fr-FR"/>
        </w:rPr>
        <w:t> </w:t>
      </w:r>
      <w:r>
        <w:rPr>
          <w:iCs/>
        </w:rPr>
        <w:t>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F42" w:rsidRPr="00366F42" w:rsidRDefault="00366F42">
    <w:pPr>
      <w:pStyle w:val="En-tte"/>
    </w:pPr>
    <w:fldSimple w:instr=" TITLE  \* MERGEFORMAT ">
      <w:r>
        <w:t>CCPR/C/126/D/2315/2013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F42" w:rsidRPr="00366F42" w:rsidRDefault="00366F42" w:rsidP="00366F42">
    <w:pPr>
      <w:pStyle w:val="En-tte"/>
      <w:jc w:val="right"/>
    </w:pPr>
    <w:fldSimple w:instr=" TITLE  \* MERGEFORMAT ">
      <w:r>
        <w:t>CCPR/C/126/D/2315/2013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4B73"/>
    <w:rsid w:val="00017F94"/>
    <w:rsid w:val="00023842"/>
    <w:rsid w:val="000334F9"/>
    <w:rsid w:val="0007796D"/>
    <w:rsid w:val="000B7790"/>
    <w:rsid w:val="000C2225"/>
    <w:rsid w:val="00111F2F"/>
    <w:rsid w:val="0014365E"/>
    <w:rsid w:val="0016005E"/>
    <w:rsid w:val="00176178"/>
    <w:rsid w:val="001B379B"/>
    <w:rsid w:val="001F525A"/>
    <w:rsid w:val="00223272"/>
    <w:rsid w:val="0024779E"/>
    <w:rsid w:val="002B7BC7"/>
    <w:rsid w:val="002D34EC"/>
    <w:rsid w:val="002E2D46"/>
    <w:rsid w:val="0032225A"/>
    <w:rsid w:val="003402F1"/>
    <w:rsid w:val="00351332"/>
    <w:rsid w:val="00366F42"/>
    <w:rsid w:val="003A6E96"/>
    <w:rsid w:val="00446FE5"/>
    <w:rsid w:val="00452396"/>
    <w:rsid w:val="004C4080"/>
    <w:rsid w:val="005505B7"/>
    <w:rsid w:val="00573BE5"/>
    <w:rsid w:val="00586ED3"/>
    <w:rsid w:val="00596AA9"/>
    <w:rsid w:val="006F7144"/>
    <w:rsid w:val="006F71EA"/>
    <w:rsid w:val="0071601D"/>
    <w:rsid w:val="00774180"/>
    <w:rsid w:val="00793E85"/>
    <w:rsid w:val="007A611C"/>
    <w:rsid w:val="007A62E6"/>
    <w:rsid w:val="007E2032"/>
    <w:rsid w:val="0080684C"/>
    <w:rsid w:val="008560DB"/>
    <w:rsid w:val="00871C75"/>
    <w:rsid w:val="008776DC"/>
    <w:rsid w:val="00912523"/>
    <w:rsid w:val="009705C8"/>
    <w:rsid w:val="009B1E6C"/>
    <w:rsid w:val="009E2C6A"/>
    <w:rsid w:val="00A9151D"/>
    <w:rsid w:val="00AA6A35"/>
    <w:rsid w:val="00AC3823"/>
    <w:rsid w:val="00AE323C"/>
    <w:rsid w:val="00B00181"/>
    <w:rsid w:val="00B765F7"/>
    <w:rsid w:val="00BA0CA9"/>
    <w:rsid w:val="00C01ACF"/>
    <w:rsid w:val="00C02897"/>
    <w:rsid w:val="00C30456"/>
    <w:rsid w:val="00C80046"/>
    <w:rsid w:val="00CA7BC4"/>
    <w:rsid w:val="00D05667"/>
    <w:rsid w:val="00D24B73"/>
    <w:rsid w:val="00D3439C"/>
    <w:rsid w:val="00D744E5"/>
    <w:rsid w:val="00D83177"/>
    <w:rsid w:val="00DB1831"/>
    <w:rsid w:val="00DD3BFD"/>
    <w:rsid w:val="00DF6678"/>
    <w:rsid w:val="00E85C42"/>
    <w:rsid w:val="00EC30D5"/>
    <w:rsid w:val="00EE1BD4"/>
    <w:rsid w:val="00F12152"/>
    <w:rsid w:val="00F21D6A"/>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4D2AE2"/>
  <w15:docId w15:val="{E8ACAF02-8604-4C93-93D6-BDD3E978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BVI fnr,16 Point,Superscript 6 Point,Footnote,Footnote symbol,Footnote Refernece,Texto de nota al pie,Fußnotenzeichen_Raxen,referencia nota al pie"/>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Char, 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Char Car, 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4C408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4</Pages>
  <Words>1517</Words>
  <Characters>8894</Characters>
  <Application>Microsoft Office Word</Application>
  <DocSecurity>0</DocSecurity>
  <Lines>808</Lines>
  <Paragraphs>347</Paragraphs>
  <ScaleCrop>false</ScaleCrop>
  <HeadingPairs>
    <vt:vector size="2" baseType="variant">
      <vt:variant>
        <vt:lpstr>Titre</vt:lpstr>
      </vt:variant>
      <vt:variant>
        <vt:i4>1</vt:i4>
      </vt:variant>
    </vt:vector>
  </HeadingPairs>
  <TitlesOfParts>
    <vt:vector size="1" baseType="lpstr">
      <vt:lpstr>CCPR/C/126/D/2315/2013</vt:lpstr>
    </vt:vector>
  </TitlesOfParts>
  <Company>DCM</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CCPR/C/126/D/2315/2013</dc:title>
  <dc:subject/>
  <dc:creator>Nathalie VITTOZ</dc:creator>
  <cp:keywords/>
  <cp:lastModifiedBy>Nathalie Vittoz</cp:lastModifiedBy>
  <cp:revision>2</cp:revision>
  <cp:lastPrinted>2014-05-14T10:59:00Z</cp:lastPrinted>
  <dcterms:created xsi:type="dcterms:W3CDTF">2020-07-13T07:55:00Z</dcterms:created>
  <dcterms:modified xsi:type="dcterms:W3CDTF">2020-07-13T07:55:00Z</dcterms:modified>
</cp:coreProperties>
</file>