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FE709E" w:rsidRDefault="006B3E27" w:rsidP="009867A8">
            <w:pPr>
              <w:jc w:val="center"/>
              <w:rPr>
                <w:rFonts w:eastAsia="PMingLiU" w:hint="cs"/>
                <w:sz w:val="56"/>
                <w:szCs w:val="56"/>
                <w:rtl/>
                <w:lang w:eastAsia="zh-TW"/>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FE709E" w:rsidP="00A05A00">
            <w:pPr>
              <w:bidi w:val="0"/>
              <w:spacing w:after="20"/>
              <w:jc w:val="left"/>
              <w:rPr>
                <w:szCs w:val="20"/>
              </w:rPr>
            </w:pPr>
            <w:r w:rsidRPr="00FE709E">
              <w:rPr>
                <w:sz w:val="40"/>
                <w:szCs w:val="20"/>
              </w:rPr>
              <w:t>CCPR</w:t>
            </w:r>
            <w:r>
              <w:rPr>
                <w:szCs w:val="20"/>
              </w:rPr>
              <w:t>/C/126/D/2315/2013</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A05A00" w:rsidP="00A05A00">
            <w:pPr>
              <w:bidi w:val="0"/>
              <w:spacing w:before="240"/>
              <w:jc w:val="left"/>
              <w:rPr>
                <w:szCs w:val="20"/>
              </w:rPr>
            </w:pPr>
            <w:r>
              <w:rPr>
                <w:szCs w:val="20"/>
              </w:rPr>
              <w:t>Distr.: General</w:t>
            </w:r>
          </w:p>
          <w:p w:rsidR="00A05A00" w:rsidRDefault="00A05A00" w:rsidP="00A05A00">
            <w:pPr>
              <w:bidi w:val="0"/>
              <w:jc w:val="left"/>
              <w:rPr>
                <w:szCs w:val="20"/>
              </w:rPr>
            </w:pPr>
            <w:r>
              <w:rPr>
                <w:szCs w:val="20"/>
              </w:rPr>
              <w:t>10 October 2019</w:t>
            </w:r>
          </w:p>
          <w:p w:rsidR="00A05A00" w:rsidRDefault="00A05A00" w:rsidP="00A05A00">
            <w:pPr>
              <w:bidi w:val="0"/>
              <w:jc w:val="left"/>
              <w:rPr>
                <w:szCs w:val="20"/>
              </w:rPr>
            </w:pPr>
            <w:r>
              <w:rPr>
                <w:szCs w:val="20"/>
              </w:rPr>
              <w:t>Arabic</w:t>
            </w:r>
          </w:p>
          <w:p w:rsidR="00A05A00" w:rsidRPr="00CB6622" w:rsidRDefault="00A05A00" w:rsidP="00A05A00">
            <w:pPr>
              <w:bidi w:val="0"/>
              <w:jc w:val="left"/>
              <w:rPr>
                <w:szCs w:val="20"/>
              </w:rPr>
            </w:pPr>
            <w:r>
              <w:rPr>
                <w:szCs w:val="20"/>
              </w:rPr>
              <w:t>Original: English</w:t>
            </w:r>
          </w:p>
        </w:tc>
      </w:tr>
    </w:tbl>
    <w:p w:rsidR="00A05A00" w:rsidRPr="00A05A00" w:rsidRDefault="00A05A00" w:rsidP="00A05A00">
      <w:pPr>
        <w:spacing w:before="120" w:line="380" w:lineRule="exact"/>
        <w:textDirection w:val="tbRlV"/>
        <w:rPr>
          <w:b/>
          <w:sz w:val="30"/>
          <w:szCs w:val="36"/>
          <w:rtl/>
          <w:lang w:val="ar-SA" w:eastAsia="zh-TW"/>
        </w:rPr>
      </w:pPr>
      <w:r w:rsidRPr="00A05A00">
        <w:rPr>
          <w:b/>
          <w:bCs/>
          <w:sz w:val="26"/>
          <w:szCs w:val="36"/>
          <w:rtl/>
        </w:rPr>
        <w:t>اللجنة المعنية بحقوق الإنسان</w:t>
      </w:r>
    </w:p>
    <w:p w:rsidR="00A05A00" w:rsidRPr="00306B00" w:rsidRDefault="00A05A00" w:rsidP="00A05A00">
      <w:pPr>
        <w:pStyle w:val="HChGA"/>
        <w:rPr>
          <w:sz w:val="20"/>
          <w:rtl/>
          <w:lang w:val="ar-SA" w:eastAsia="zh-TW"/>
        </w:rPr>
      </w:pPr>
      <w:r>
        <w:tab/>
      </w:r>
      <w:r w:rsidRPr="00306B00">
        <w:tab/>
      </w:r>
      <w:r w:rsidRPr="00306B00">
        <w:rPr>
          <w:rtl/>
        </w:rPr>
        <w:t>الآراء التي اعتمدتها اللجنة بموجب ال</w:t>
      </w:r>
      <w:bookmarkStart w:id="0" w:name="_GoBack"/>
      <w:bookmarkEnd w:id="0"/>
      <w:r w:rsidRPr="00306B00">
        <w:rPr>
          <w:rtl/>
        </w:rPr>
        <w:t>مادة ٥(٤) من البروتوكول الاختياري، بشأن البلاغ رقم ٢٣١٥/٢٠١٣</w:t>
      </w:r>
      <w:r w:rsidRPr="00A05A00">
        <w:rPr>
          <w:rStyle w:val="FootnoteReference"/>
          <w:sz w:val="20"/>
          <w:vertAlign w:val="baseline"/>
          <w:rtl/>
          <w:lang w:val="ar-SA" w:eastAsia="zh-TW"/>
        </w:rPr>
        <w:footnoteReference w:customMarkFollows="1" w:id="1"/>
        <w:t>*</w:t>
      </w:r>
      <w:r>
        <w:rPr>
          <w:rFonts w:hint="cs"/>
          <w:sz w:val="20"/>
          <w:rtl/>
          <w:lang w:val="ar-SA" w:eastAsia="zh-TW"/>
        </w:rPr>
        <w:t xml:space="preserve"> </w:t>
      </w:r>
      <w:r w:rsidRPr="00A05A00">
        <w:rPr>
          <w:rStyle w:val="FootnoteReference"/>
          <w:sz w:val="20"/>
          <w:vertAlign w:val="baseline"/>
          <w:rtl/>
          <w:lang w:val="ar-SA" w:eastAsia="zh-TW"/>
        </w:rPr>
        <w:footnoteReference w:customMarkFollows="1" w:id="2"/>
        <w:t>**</w:t>
      </w:r>
    </w:p>
    <w:p w:rsidR="00A05A00" w:rsidRPr="00A070BF" w:rsidRDefault="00A05A00" w:rsidP="00B96404">
      <w:pPr>
        <w:pStyle w:val="SingleTxtGA"/>
        <w:tabs>
          <w:tab w:val="clear" w:pos="1928"/>
          <w:tab w:val="clear" w:pos="2608"/>
          <w:tab w:val="clear" w:pos="3289"/>
          <w:tab w:val="clear" w:pos="3969"/>
          <w:tab w:val="clear" w:pos="4649"/>
          <w:tab w:val="left" w:pos="4277"/>
        </w:tabs>
        <w:spacing w:after="100" w:line="360" w:lineRule="exact"/>
        <w:ind w:left="4292" w:hanging="2364"/>
        <w:rPr>
          <w:rtl/>
          <w:lang w:val="ar-SA" w:eastAsia="zh-TW"/>
        </w:rPr>
      </w:pPr>
      <w:r>
        <w:rPr>
          <w:i/>
          <w:iCs/>
          <w:rtl/>
        </w:rPr>
        <w:t>بلاغ مقدم من:</w:t>
      </w:r>
      <w:r>
        <w:rPr>
          <w:rtl/>
        </w:rPr>
        <w:tab/>
      </w:r>
      <w:proofErr w:type="spellStart"/>
      <w:r>
        <w:rPr>
          <w:rtl/>
        </w:rPr>
        <w:t>أناتولي</w:t>
      </w:r>
      <w:proofErr w:type="spellEnd"/>
      <w:r>
        <w:rPr>
          <w:rtl/>
        </w:rPr>
        <w:t xml:space="preserve"> </w:t>
      </w:r>
      <w:proofErr w:type="spellStart"/>
      <w:r>
        <w:rPr>
          <w:rtl/>
        </w:rPr>
        <w:t>بوكاس</w:t>
      </w:r>
      <w:proofErr w:type="spellEnd"/>
      <w:r>
        <w:rPr>
          <w:rtl/>
        </w:rPr>
        <w:t xml:space="preserve"> (لا يمثله محام)</w:t>
      </w:r>
    </w:p>
    <w:p w:rsidR="00A05A00" w:rsidRPr="00A070BF" w:rsidRDefault="00A05A00" w:rsidP="00B96404">
      <w:pPr>
        <w:pStyle w:val="SingleTxtGA"/>
        <w:tabs>
          <w:tab w:val="clear" w:pos="1928"/>
          <w:tab w:val="clear" w:pos="2608"/>
          <w:tab w:val="clear" w:pos="3289"/>
          <w:tab w:val="clear" w:pos="3969"/>
          <w:tab w:val="clear" w:pos="4649"/>
          <w:tab w:val="left" w:pos="4277"/>
        </w:tabs>
        <w:spacing w:after="100" w:line="360" w:lineRule="exact"/>
        <w:ind w:left="4292" w:hanging="2364"/>
        <w:rPr>
          <w:rtl/>
          <w:lang w:val="ar-SA" w:eastAsia="zh-TW"/>
        </w:rPr>
      </w:pPr>
      <w:r>
        <w:rPr>
          <w:i/>
          <w:iCs/>
          <w:rtl/>
        </w:rPr>
        <w:t>الشخص المدعى أنه ضحية:</w:t>
      </w:r>
      <w:r>
        <w:rPr>
          <w:rtl/>
        </w:rPr>
        <w:tab/>
        <w:t>صاحب البلاغ</w:t>
      </w:r>
    </w:p>
    <w:p w:rsidR="00A05A00" w:rsidRPr="00A070BF" w:rsidRDefault="00A05A00" w:rsidP="00B96404">
      <w:pPr>
        <w:pStyle w:val="SingleTxtGA"/>
        <w:tabs>
          <w:tab w:val="clear" w:pos="1928"/>
          <w:tab w:val="clear" w:pos="2608"/>
          <w:tab w:val="clear" w:pos="3289"/>
          <w:tab w:val="clear" w:pos="3969"/>
          <w:tab w:val="clear" w:pos="4649"/>
          <w:tab w:val="left" w:pos="4277"/>
        </w:tabs>
        <w:spacing w:after="100" w:line="360" w:lineRule="exact"/>
        <w:ind w:left="4292" w:hanging="2364"/>
        <w:rPr>
          <w:rtl/>
          <w:lang w:val="ar-SA" w:eastAsia="zh-TW"/>
        </w:rPr>
      </w:pPr>
      <w:r w:rsidRPr="00306B00">
        <w:rPr>
          <w:i/>
          <w:iCs/>
          <w:rtl/>
          <w:lang w:bidi="ar-DZ"/>
        </w:rPr>
        <w:t>الدولة الطرف:</w:t>
      </w:r>
      <w:r>
        <w:rPr>
          <w:rtl/>
        </w:rPr>
        <w:tab/>
        <w:t>بيلاروس</w:t>
      </w:r>
    </w:p>
    <w:p w:rsidR="00A05A00" w:rsidRPr="00A070BF" w:rsidRDefault="00A05A00" w:rsidP="00B96404">
      <w:pPr>
        <w:pStyle w:val="SingleTxtGA"/>
        <w:tabs>
          <w:tab w:val="clear" w:pos="1928"/>
          <w:tab w:val="clear" w:pos="2608"/>
          <w:tab w:val="clear" w:pos="3289"/>
          <w:tab w:val="clear" w:pos="3969"/>
          <w:tab w:val="clear" w:pos="4649"/>
          <w:tab w:val="left" w:pos="4277"/>
        </w:tabs>
        <w:spacing w:after="100" w:line="360" w:lineRule="exact"/>
        <w:ind w:left="4292" w:hanging="2364"/>
        <w:rPr>
          <w:rtl/>
          <w:lang w:val="ar-SA" w:eastAsia="zh-TW"/>
        </w:rPr>
      </w:pPr>
      <w:r w:rsidRPr="00306B00">
        <w:rPr>
          <w:i/>
          <w:iCs/>
          <w:rtl/>
          <w:lang w:bidi="ar-DZ"/>
        </w:rPr>
        <w:t>تاريخ تقديم البلاغ:</w:t>
      </w:r>
      <w:r>
        <w:rPr>
          <w:rtl/>
        </w:rPr>
        <w:tab/>
        <w:t>٢٤ أيار/مايو ٢٠١٣ (الرسالة الأولى)</w:t>
      </w:r>
    </w:p>
    <w:p w:rsidR="00A05A00" w:rsidRPr="00A05A00" w:rsidRDefault="00A05A00" w:rsidP="00B96404">
      <w:pPr>
        <w:pStyle w:val="SingleTxtGA"/>
        <w:tabs>
          <w:tab w:val="clear" w:pos="1928"/>
          <w:tab w:val="clear" w:pos="2608"/>
          <w:tab w:val="clear" w:pos="3289"/>
          <w:tab w:val="clear" w:pos="3969"/>
          <w:tab w:val="clear" w:pos="4649"/>
          <w:tab w:val="left" w:pos="4277"/>
        </w:tabs>
        <w:spacing w:after="100" w:line="360" w:lineRule="exact"/>
        <w:ind w:left="4292" w:hanging="2364"/>
        <w:rPr>
          <w:spacing w:val="-4"/>
          <w:rtl/>
          <w:lang w:val="ar-SA" w:eastAsia="zh-TW"/>
        </w:rPr>
      </w:pPr>
      <w:r w:rsidRPr="00A05A00">
        <w:rPr>
          <w:i/>
          <w:iCs/>
          <w:spacing w:val="-4"/>
          <w:rtl/>
        </w:rPr>
        <w:t>الوثائق المرجعية:</w:t>
      </w:r>
      <w:r w:rsidRPr="00A05A00">
        <w:rPr>
          <w:spacing w:val="-4"/>
          <w:rtl/>
        </w:rPr>
        <w:tab/>
        <w:t>القرار المتخذ عملاً بالمادة 97 من النظام الداخلي للجنة (المادة 92 حالياً)، المحال إلى الدولة الطرف في ١١ كانون الأول/ديسمبر ٢٠١٣ (لم يصدر في شكل وثيقة)</w:t>
      </w:r>
    </w:p>
    <w:p w:rsidR="00A05A00" w:rsidRPr="00A070BF" w:rsidRDefault="00A05A00" w:rsidP="00B96404">
      <w:pPr>
        <w:pStyle w:val="SingleTxtGA"/>
        <w:tabs>
          <w:tab w:val="clear" w:pos="1928"/>
          <w:tab w:val="clear" w:pos="2608"/>
          <w:tab w:val="clear" w:pos="3289"/>
          <w:tab w:val="clear" w:pos="3969"/>
          <w:tab w:val="clear" w:pos="4649"/>
          <w:tab w:val="left" w:pos="4277"/>
        </w:tabs>
        <w:spacing w:after="100" w:line="360" w:lineRule="exact"/>
        <w:ind w:left="4292" w:hanging="2364"/>
        <w:rPr>
          <w:rtl/>
          <w:lang w:val="ar-SA" w:eastAsia="zh-TW"/>
        </w:rPr>
      </w:pPr>
      <w:r>
        <w:rPr>
          <w:i/>
          <w:iCs/>
          <w:rtl/>
        </w:rPr>
        <w:t>تاريخ اعتماد الآراء:</w:t>
      </w:r>
      <w:r>
        <w:rPr>
          <w:rtl/>
        </w:rPr>
        <w:tab/>
        <w:t>٥ تموز/يوليه ٢٠١٩</w:t>
      </w:r>
    </w:p>
    <w:p w:rsidR="00A05A00" w:rsidRPr="00A070BF" w:rsidRDefault="00A05A00" w:rsidP="00B96404">
      <w:pPr>
        <w:pStyle w:val="SingleTxtGA"/>
        <w:tabs>
          <w:tab w:val="clear" w:pos="1928"/>
          <w:tab w:val="clear" w:pos="2608"/>
          <w:tab w:val="clear" w:pos="3289"/>
          <w:tab w:val="clear" w:pos="3969"/>
          <w:tab w:val="clear" w:pos="4649"/>
          <w:tab w:val="left" w:pos="4277"/>
        </w:tabs>
        <w:spacing w:after="100" w:line="360" w:lineRule="exact"/>
        <w:ind w:left="4292" w:hanging="2364"/>
        <w:rPr>
          <w:rtl/>
          <w:lang w:val="ar-SA" w:eastAsia="zh-TW"/>
        </w:rPr>
      </w:pPr>
      <w:r>
        <w:rPr>
          <w:i/>
          <w:iCs/>
          <w:rtl/>
        </w:rPr>
        <w:t>الموضوع:</w:t>
      </w:r>
      <w:r>
        <w:rPr>
          <w:rtl/>
        </w:rPr>
        <w:tab/>
      </w:r>
      <w:r>
        <w:rPr>
          <w:rtl/>
          <w:lang w:bidi="ar-DZ"/>
        </w:rPr>
        <w:t>رفض</w:t>
      </w:r>
      <w:r>
        <w:rPr>
          <w:rtl/>
        </w:rPr>
        <w:t xml:space="preserve"> المحاكم النظر في شكوى صاحب البلاغ</w:t>
      </w:r>
    </w:p>
    <w:p w:rsidR="00A05A00" w:rsidRPr="00A070BF" w:rsidRDefault="00A05A00" w:rsidP="00B96404">
      <w:pPr>
        <w:pStyle w:val="SingleTxtGA"/>
        <w:tabs>
          <w:tab w:val="clear" w:pos="1928"/>
          <w:tab w:val="clear" w:pos="2608"/>
          <w:tab w:val="clear" w:pos="3289"/>
          <w:tab w:val="clear" w:pos="3969"/>
          <w:tab w:val="clear" w:pos="4649"/>
          <w:tab w:val="left" w:pos="4277"/>
        </w:tabs>
        <w:spacing w:after="100" w:line="360" w:lineRule="exact"/>
        <w:ind w:left="4292" w:hanging="2364"/>
        <w:rPr>
          <w:rtl/>
          <w:lang w:val="ar-SA" w:eastAsia="zh-TW"/>
        </w:rPr>
      </w:pPr>
      <w:r>
        <w:rPr>
          <w:i/>
          <w:iCs/>
          <w:rtl/>
        </w:rPr>
        <w:t>المسألة الإجرائية:</w:t>
      </w:r>
      <w:r>
        <w:rPr>
          <w:rtl/>
        </w:rPr>
        <w:t xml:space="preserve"> </w:t>
      </w:r>
      <w:r>
        <w:rPr>
          <w:rtl/>
        </w:rPr>
        <w:tab/>
        <w:t>عدم تعاون الدولة الطرف</w:t>
      </w:r>
    </w:p>
    <w:p w:rsidR="00A05A00" w:rsidRPr="00A070BF" w:rsidRDefault="00A05A00" w:rsidP="00B96404">
      <w:pPr>
        <w:pStyle w:val="SingleTxtGA"/>
        <w:tabs>
          <w:tab w:val="clear" w:pos="1928"/>
          <w:tab w:val="clear" w:pos="2608"/>
          <w:tab w:val="clear" w:pos="3289"/>
          <w:tab w:val="clear" w:pos="3969"/>
          <w:tab w:val="clear" w:pos="4649"/>
          <w:tab w:val="left" w:pos="4277"/>
        </w:tabs>
        <w:spacing w:after="100" w:line="360" w:lineRule="exact"/>
        <w:ind w:left="4292" w:hanging="2364"/>
        <w:rPr>
          <w:rtl/>
          <w:lang w:val="ar-SA" w:eastAsia="zh-TW"/>
        </w:rPr>
      </w:pPr>
      <w:r>
        <w:rPr>
          <w:i/>
          <w:iCs/>
          <w:rtl/>
        </w:rPr>
        <w:t>المسائل الموضوعية:</w:t>
      </w:r>
      <w:r>
        <w:rPr>
          <w:rtl/>
        </w:rPr>
        <w:t xml:space="preserve"> </w:t>
      </w:r>
      <w:r>
        <w:rPr>
          <w:rtl/>
        </w:rPr>
        <w:tab/>
        <w:t>المحاكمة العادلة؛ حق</w:t>
      </w:r>
      <w:r>
        <w:rPr>
          <w:rtl/>
          <w:lang w:bidi="ar-DZ"/>
        </w:rPr>
        <w:t xml:space="preserve"> الفرد</w:t>
      </w:r>
      <w:r>
        <w:rPr>
          <w:rtl/>
        </w:rPr>
        <w:t xml:space="preserve"> في أن يُنتخب</w:t>
      </w:r>
    </w:p>
    <w:p w:rsidR="00A05A00" w:rsidRPr="00A070BF" w:rsidRDefault="00A05A00" w:rsidP="00B96404">
      <w:pPr>
        <w:pStyle w:val="SingleTxtGA"/>
        <w:tabs>
          <w:tab w:val="clear" w:pos="1928"/>
          <w:tab w:val="clear" w:pos="2608"/>
          <w:tab w:val="clear" w:pos="3289"/>
          <w:tab w:val="clear" w:pos="3969"/>
          <w:tab w:val="clear" w:pos="4649"/>
          <w:tab w:val="left" w:pos="4277"/>
        </w:tabs>
        <w:spacing w:after="100" w:line="360" w:lineRule="exact"/>
        <w:ind w:left="4292" w:hanging="2364"/>
        <w:rPr>
          <w:rtl/>
          <w:lang w:val="ar-SA" w:eastAsia="zh-TW"/>
        </w:rPr>
      </w:pPr>
      <w:r>
        <w:rPr>
          <w:i/>
          <w:iCs/>
          <w:rtl/>
        </w:rPr>
        <w:t>مادة العهد:</w:t>
      </w:r>
      <w:r>
        <w:rPr>
          <w:rtl/>
        </w:rPr>
        <w:t xml:space="preserve"> </w:t>
      </w:r>
      <w:r>
        <w:rPr>
          <w:rtl/>
        </w:rPr>
        <w:tab/>
        <w:t>المادة 14(1)</w:t>
      </w:r>
      <w:r w:rsidR="00B20074">
        <w:rPr>
          <w:rFonts w:hint="cs"/>
          <w:rtl/>
          <w:lang w:val="ar-SA" w:eastAsia="zh-TW"/>
        </w:rPr>
        <w:t xml:space="preserve"> </w:t>
      </w:r>
    </w:p>
    <w:p w:rsidR="00A05A00" w:rsidRPr="00A070BF" w:rsidRDefault="00A05A00" w:rsidP="00B96404">
      <w:pPr>
        <w:pStyle w:val="SingleTxtGA"/>
        <w:tabs>
          <w:tab w:val="clear" w:pos="1928"/>
          <w:tab w:val="clear" w:pos="2608"/>
          <w:tab w:val="clear" w:pos="3289"/>
          <w:tab w:val="clear" w:pos="3969"/>
          <w:tab w:val="clear" w:pos="4649"/>
          <w:tab w:val="left" w:pos="4277"/>
        </w:tabs>
        <w:spacing w:line="360" w:lineRule="exact"/>
        <w:ind w:left="4291" w:hanging="2363"/>
        <w:rPr>
          <w:rFonts w:hint="cs"/>
          <w:rtl/>
          <w:lang w:val="ar-SA" w:eastAsia="zh-TW"/>
        </w:rPr>
      </w:pPr>
      <w:r>
        <w:rPr>
          <w:i/>
          <w:iCs/>
          <w:rtl/>
        </w:rPr>
        <w:t>مادة البروتوكول الاختياري:</w:t>
      </w:r>
      <w:r>
        <w:rPr>
          <w:rtl/>
        </w:rPr>
        <w:tab/>
        <w:t>لا يوجد</w:t>
      </w:r>
    </w:p>
    <w:p w:rsidR="00A05A00" w:rsidRPr="00A070BF" w:rsidRDefault="00A05A00" w:rsidP="00B96404">
      <w:pPr>
        <w:pStyle w:val="SingleTxtGA"/>
        <w:spacing w:line="360" w:lineRule="exact"/>
        <w:rPr>
          <w:rtl/>
          <w:lang w:val="ar-SA" w:eastAsia="zh-TW"/>
        </w:rPr>
      </w:pPr>
      <w:r>
        <w:rPr>
          <w:rtl/>
        </w:rPr>
        <w:t>١-</w:t>
      </w:r>
      <w:r>
        <w:tab/>
      </w:r>
      <w:r>
        <w:rPr>
          <w:rtl/>
          <w:lang w:bidi="ar-DZ"/>
        </w:rPr>
        <w:t>يُدعى ص</w:t>
      </w:r>
      <w:r>
        <w:rPr>
          <w:rtl/>
        </w:rPr>
        <w:t xml:space="preserve">احب البلاغ </w:t>
      </w:r>
      <w:proofErr w:type="spellStart"/>
      <w:r>
        <w:rPr>
          <w:rtl/>
        </w:rPr>
        <w:t>أناتولي</w:t>
      </w:r>
      <w:proofErr w:type="spellEnd"/>
      <w:r>
        <w:rPr>
          <w:rtl/>
        </w:rPr>
        <w:t xml:space="preserve"> </w:t>
      </w:r>
      <w:proofErr w:type="spellStart"/>
      <w:r>
        <w:rPr>
          <w:rtl/>
        </w:rPr>
        <w:t>بوكاس</w:t>
      </w:r>
      <w:proofErr w:type="spellEnd"/>
      <w:r>
        <w:rPr>
          <w:rtl/>
        </w:rPr>
        <w:t xml:space="preserve">، وهو مواطن بيلاروسي من مواليد عام 1956. يدَّعي أن الدولة الطرف انتهكت حقوقه المكفولة بموجب المادة 14(1) من العهد. وقد بدأ نفاذ البروتوكول الاختياري بالنسبة للدولة الطرف في ٣٠ كانون الأول/ديسمبر ١٩٩٢. ولا يمثل صاحب البلاغ محامٍ. </w:t>
      </w:r>
    </w:p>
    <w:p w:rsidR="00A05A00" w:rsidRPr="00A070BF" w:rsidRDefault="00A05A00" w:rsidP="00B96404">
      <w:pPr>
        <w:pStyle w:val="H23GA"/>
        <w:rPr>
          <w:rtl/>
          <w:lang w:val="ar-SA" w:eastAsia="zh-TW"/>
        </w:rPr>
      </w:pPr>
      <w:r>
        <w:rPr>
          <w:rtl/>
        </w:rPr>
        <w:lastRenderedPageBreak/>
        <w:tab/>
      </w:r>
      <w:r>
        <w:rPr>
          <w:rtl/>
        </w:rPr>
        <w:tab/>
        <w:t xml:space="preserve">الوقائع </w:t>
      </w:r>
      <w:proofErr w:type="gramStart"/>
      <w:r>
        <w:rPr>
          <w:rtl/>
        </w:rPr>
        <w:t>المعروضة</w:t>
      </w:r>
      <w:r w:rsidR="00B96404" w:rsidRPr="00B96404">
        <w:rPr>
          <w:b w:val="0"/>
          <w:bCs w:val="0"/>
          <w:sz w:val="30"/>
          <w:vertAlign w:val="superscript"/>
          <w:rtl/>
        </w:rPr>
        <w:t>(</w:t>
      </w:r>
      <w:proofErr w:type="gramEnd"/>
      <w:r w:rsidRPr="00B96404">
        <w:rPr>
          <w:rStyle w:val="FootnoteReference"/>
          <w:b/>
          <w:bCs w:val="0"/>
          <w:sz w:val="30"/>
          <w:szCs w:val="30"/>
          <w:rtl/>
        </w:rPr>
        <w:footnoteReference w:id="3"/>
      </w:r>
      <w:r w:rsidR="00B96404" w:rsidRPr="00B96404">
        <w:rPr>
          <w:b w:val="0"/>
          <w:bCs w:val="0"/>
          <w:sz w:val="30"/>
          <w:vertAlign w:val="superscript"/>
          <w:rtl/>
        </w:rPr>
        <w:t>)</w:t>
      </w:r>
    </w:p>
    <w:p w:rsidR="00A05A00" w:rsidRPr="00D30D0E" w:rsidRDefault="00A05A00" w:rsidP="00D30D0E">
      <w:pPr>
        <w:pStyle w:val="SingleTxtGA"/>
        <w:spacing w:line="370" w:lineRule="exact"/>
        <w:rPr>
          <w:rtl/>
        </w:rPr>
      </w:pPr>
      <w:r w:rsidRPr="00D30D0E">
        <w:rPr>
          <w:spacing w:val="-2"/>
          <w:rtl/>
        </w:rPr>
        <w:t>2-1</w:t>
      </w:r>
      <w:r w:rsidRPr="00D30D0E">
        <w:rPr>
          <w:spacing w:val="-2"/>
        </w:rPr>
        <w:tab/>
      </w:r>
      <w:r w:rsidRPr="00D30D0E">
        <w:rPr>
          <w:spacing w:val="-2"/>
          <w:rtl/>
        </w:rPr>
        <w:t xml:space="preserve">في ٢٣ آب/أغسطس ٢٠١٢، </w:t>
      </w:r>
      <w:r w:rsidRPr="00D30D0E">
        <w:rPr>
          <w:spacing w:val="-2"/>
          <w:rtl/>
          <w:lang w:bidi="ar-DZ"/>
        </w:rPr>
        <w:t xml:space="preserve">أصدرت </w:t>
      </w:r>
      <w:r w:rsidRPr="00D30D0E">
        <w:rPr>
          <w:spacing w:val="-2"/>
          <w:rtl/>
        </w:rPr>
        <w:t xml:space="preserve">اللجنة الانتخابية للمقاطعة - الدائرة الانتخابية الثانية والستون لمدينة </w:t>
      </w:r>
      <w:proofErr w:type="spellStart"/>
      <w:r w:rsidRPr="00D30D0E">
        <w:rPr>
          <w:spacing w:val="-2"/>
          <w:rtl/>
        </w:rPr>
        <w:t>بوريسوف</w:t>
      </w:r>
      <w:proofErr w:type="spellEnd"/>
      <w:r w:rsidRPr="00D30D0E">
        <w:rPr>
          <w:spacing w:val="-2"/>
          <w:rtl/>
        </w:rPr>
        <w:t xml:space="preserve"> - قراراً بتسجيل صاحب البلاغ مرشحاً لعضوية مجلس النواب بالجمعية الوطنية لبيلاروس في الانتخابات البرلمانية المقبلة. وفي ٢٧ آب/أغسطس ٢٠١٢، </w:t>
      </w:r>
      <w:r w:rsidRPr="00D30D0E">
        <w:rPr>
          <w:rtl/>
        </w:rPr>
        <w:t>نقضت اللجنة قرارها بنفسها على أساس المادة ٦٨(٧) من قانون الانتخابات في بيلاروس، التي تنص على أن للَّجنة الحق في أن تلغي تسجيل المرشحين الذين وفروا، في بيان مقدم قبل التسجيل، معلومات خاطئة عن دخلهم وممتلكاتهم العقارية، وعندما يبلغ تشويه الحقائق حداً</w:t>
      </w:r>
      <w:r w:rsidR="00D30D0E">
        <w:rPr>
          <w:rFonts w:hint="cs"/>
          <w:rtl/>
        </w:rPr>
        <w:t> </w:t>
      </w:r>
      <w:r w:rsidRPr="00D30D0E">
        <w:rPr>
          <w:rtl/>
        </w:rPr>
        <w:t>كبيراً.</w:t>
      </w:r>
    </w:p>
    <w:p w:rsidR="00A05A00" w:rsidRPr="00A070BF" w:rsidRDefault="00A05A00" w:rsidP="00D30D0E">
      <w:pPr>
        <w:pStyle w:val="SingleTxtGA"/>
        <w:spacing w:line="370" w:lineRule="exact"/>
        <w:rPr>
          <w:rtl/>
          <w:lang w:val="ar-SA" w:eastAsia="zh-TW"/>
        </w:rPr>
      </w:pPr>
      <w:r>
        <w:rPr>
          <w:rtl/>
        </w:rPr>
        <w:t>2-2</w:t>
      </w:r>
      <w:r>
        <w:rPr>
          <w:rtl/>
        </w:rPr>
        <w:tab/>
        <w:t>وأشارت اللجنة الانتخابية للمقاطعة في قرارها إلى أن صاحب البلاغ</w:t>
      </w:r>
      <w:r>
        <w:rPr>
          <w:rtl/>
          <w:lang w:bidi="ar-DZ"/>
        </w:rPr>
        <w:t xml:space="preserve"> باع</w:t>
      </w:r>
      <w:r>
        <w:rPr>
          <w:rtl/>
        </w:rPr>
        <w:t xml:space="preserve"> في عام</w:t>
      </w:r>
      <w:r w:rsidR="00D30D0E">
        <w:rPr>
          <w:rFonts w:hint="cs"/>
          <w:rtl/>
        </w:rPr>
        <w:t> </w:t>
      </w:r>
      <w:r>
        <w:rPr>
          <w:rtl/>
        </w:rPr>
        <w:t xml:space="preserve">٢٠١١ مركبة يملكها، ولم يُعلن عن عملية البيع والإيرادات التي تلقاها من ذلك. ودعماً لهذا الادعاء، قدمت اللجنة </w:t>
      </w:r>
      <w:proofErr w:type="gramStart"/>
      <w:r>
        <w:rPr>
          <w:rtl/>
        </w:rPr>
        <w:t>شهادة</w:t>
      </w:r>
      <w:r w:rsidR="00D30D0E" w:rsidRPr="00D30D0E">
        <w:rPr>
          <w:rFonts w:hint="cs"/>
          <w:sz w:val="30"/>
          <w:vertAlign w:val="superscript"/>
          <w:rtl/>
        </w:rPr>
        <w:t>(</w:t>
      </w:r>
      <w:proofErr w:type="gramEnd"/>
      <w:r w:rsidRPr="00D30D0E">
        <w:rPr>
          <w:rStyle w:val="FootnoteReference"/>
          <w:sz w:val="30"/>
          <w:szCs w:val="30"/>
          <w:rtl/>
        </w:rPr>
        <w:footnoteReference w:id="4"/>
      </w:r>
      <w:r w:rsidR="00D30D0E" w:rsidRPr="00D30D0E">
        <w:rPr>
          <w:rFonts w:hint="cs"/>
          <w:sz w:val="30"/>
          <w:vertAlign w:val="superscript"/>
          <w:rtl/>
        </w:rPr>
        <w:t>)</w:t>
      </w:r>
      <w:r>
        <w:rPr>
          <w:rtl/>
        </w:rPr>
        <w:t xml:space="preserve"> صادرة عن شركة خاصة تشير إلى أن المركبة بيعت في عام</w:t>
      </w:r>
      <w:r w:rsidR="00D30D0E">
        <w:rPr>
          <w:rFonts w:hint="cs"/>
          <w:rtl/>
        </w:rPr>
        <w:t> </w:t>
      </w:r>
      <w:r>
        <w:rPr>
          <w:rtl/>
        </w:rPr>
        <w:t>٢٠١١ ل</w:t>
      </w:r>
      <w:r>
        <w:rPr>
          <w:rtl/>
          <w:lang w:bidi="ar-DZ"/>
        </w:rPr>
        <w:t>قاء</w:t>
      </w:r>
      <w:r>
        <w:rPr>
          <w:rtl/>
        </w:rPr>
        <w:t xml:space="preserve"> ١٠ ملايين روبل بيلاروسي.</w:t>
      </w:r>
      <w:r w:rsidR="009E237A">
        <w:rPr>
          <w:rFonts w:hint="cs"/>
          <w:rtl/>
        </w:rPr>
        <w:t xml:space="preserve"> </w:t>
      </w:r>
      <w:r>
        <w:rPr>
          <w:rtl/>
          <w:lang w:bidi="ar-DZ"/>
        </w:rPr>
        <w:t xml:space="preserve">وأعلن صاحب البلاغ عن </w:t>
      </w:r>
      <w:r>
        <w:rPr>
          <w:rtl/>
        </w:rPr>
        <w:t xml:space="preserve">مبلغ إجمالي لدخله السنوي بقدر 859 373 23 روبلاً بيلاروسياً. </w:t>
      </w:r>
    </w:p>
    <w:p w:rsidR="00A05A00" w:rsidRPr="0055219C" w:rsidRDefault="00A05A00" w:rsidP="00D30D0E">
      <w:pPr>
        <w:pStyle w:val="SingleTxtGA"/>
        <w:spacing w:line="370" w:lineRule="exact"/>
        <w:rPr>
          <w:rtl/>
        </w:rPr>
      </w:pPr>
      <w:r>
        <w:rPr>
          <w:rtl/>
        </w:rPr>
        <w:t>2-3</w:t>
      </w:r>
      <w:r>
        <w:rPr>
          <w:rtl/>
        </w:rPr>
        <w:tab/>
        <w:t>واستأنف صاحب البلاغ قرار إلغاء تسجيله أمام اللجنة المركزية للانتخابات في بيلاروس وفقا</w:t>
      </w:r>
      <w:r w:rsidR="00B20074">
        <w:rPr>
          <w:rFonts w:hint="cs"/>
          <w:rtl/>
        </w:rPr>
        <w:t>ً</w:t>
      </w:r>
      <w:r>
        <w:rPr>
          <w:rtl/>
        </w:rPr>
        <w:t xml:space="preserve"> للمادة ٦٨(١٦) من قانون الانتخابات. وفي طلب الاستئناف الذي قدمه، أشار إلى أنه باع المركبة المذكورة بالفعل في عام 2011، إنما لقاء 3,5 ملايين روبل. وادَّعى صاحب البلاغ أنه باع المركبة في شكل قطع غيار، نظراً إلى أنها قد تعرضت في تاريخ لم يحدده إلى حادث خطير. وبما أن الإيرادات المتأتية من عملية البيع بلغت أقل من ٢٠ في المائة من المبلغ المشار إليه في بيانه عن دخله السنوي، فإن الفرق لا يُعتبر ذا أهمية في الجوهر، ومن ثم لا يمكن استخدامه أساساً لإسقاط أهليته. وعلاوة على ذلك، كانت</w:t>
      </w:r>
      <w:r w:rsidRPr="0055219C">
        <w:rPr>
          <w:rtl/>
        </w:rPr>
        <w:t xml:space="preserve"> </w:t>
      </w:r>
      <w:r>
        <w:rPr>
          <w:rtl/>
        </w:rPr>
        <w:t xml:space="preserve">اللجنة الانتخابية للمقاطعة في قرارها الأولي المؤرخ ٢٣ آب/أغسطس ٢٠١٢ قد نظرت في المعلومات المقدمة من صاحب البلاغ ووجدت أنها متوائمة مع متطلبات عملية تقديم طلبات المرشحين. </w:t>
      </w:r>
    </w:p>
    <w:p w:rsidR="00A05A00" w:rsidRPr="0055219C" w:rsidRDefault="00A05A00" w:rsidP="00D30D0E">
      <w:pPr>
        <w:pStyle w:val="SingleTxtGA"/>
        <w:spacing w:line="370" w:lineRule="exact"/>
        <w:rPr>
          <w:rtl/>
        </w:rPr>
      </w:pPr>
      <w:r>
        <w:rPr>
          <w:rtl/>
        </w:rPr>
        <w:t>2-4</w:t>
      </w:r>
      <w:r>
        <w:rPr>
          <w:rtl/>
        </w:rPr>
        <w:tab/>
        <w:t>وفي ٣٠ آب/أغسطس ٢٠١٢، رفضت اللجنة المركزية للانتخابات طلب الاستئناف المقدم من صاحب البلاغ.</w:t>
      </w:r>
      <w:r>
        <w:rPr>
          <w:rtl/>
          <w:lang w:bidi="ar-DZ"/>
        </w:rPr>
        <w:t xml:space="preserve"> واستأنف</w:t>
      </w:r>
      <w:r>
        <w:rPr>
          <w:rtl/>
        </w:rPr>
        <w:t xml:space="preserve"> صاحب البلاغ قرار اللجنة الانتخابية للمقاطعة والحكم الصادر عن اللجنة المركزية للانتخابات لدى المحكمة العليا. ورفضت المحكمة العليا فتح قضية على إثر طلب الاستئناف المقدم من صاحب البلاغ، مشيرة إلى أن قانون الانتخابات ينص على إجراءٍ للطعن في رفض التسجيل، ولكنه لا يتضمن إجراءً للطعن في إلغاء التسجيل. ولذلك، لم يكن لصاحب البلاغ الحق في تقديم طلب استئناف. </w:t>
      </w:r>
    </w:p>
    <w:p w:rsidR="00A05A00" w:rsidRPr="00A070BF" w:rsidRDefault="00A05A00" w:rsidP="00A05A00">
      <w:pPr>
        <w:pStyle w:val="H23G"/>
        <w:bidi/>
        <w:textDirection w:val="tbRlV"/>
        <w:rPr>
          <w:rFonts w:hint="default"/>
          <w:rtl/>
          <w:lang w:val="ar-SA" w:eastAsia="zh-TW"/>
        </w:rPr>
      </w:pPr>
      <w:r>
        <w:rPr>
          <w:rtl/>
        </w:rPr>
        <w:tab/>
      </w:r>
      <w:r>
        <w:rPr>
          <w:rtl/>
        </w:rPr>
        <w:tab/>
      </w:r>
      <w:r>
        <w:rPr>
          <w:bCs/>
          <w:rtl/>
        </w:rPr>
        <w:t>الشكوى</w:t>
      </w:r>
    </w:p>
    <w:p w:rsidR="00A05A00" w:rsidRPr="00D30D0E" w:rsidRDefault="00A05A00" w:rsidP="00A05A00">
      <w:pPr>
        <w:pStyle w:val="SingleTxtGA"/>
        <w:rPr>
          <w:spacing w:val="-2"/>
          <w:rtl/>
          <w:lang w:val="ar-SA" w:eastAsia="zh-TW"/>
        </w:rPr>
      </w:pPr>
      <w:r w:rsidRPr="00D30D0E">
        <w:rPr>
          <w:spacing w:val="-2"/>
          <w:rtl/>
        </w:rPr>
        <w:t>3-1</w:t>
      </w:r>
      <w:r w:rsidRPr="00D30D0E">
        <w:rPr>
          <w:spacing w:val="-2"/>
          <w:rtl/>
        </w:rPr>
        <w:tab/>
        <w:t>يؤكد صاحب البلاغ أن رفض المحكمة العليا طلب</w:t>
      </w:r>
      <w:r w:rsidRPr="00D30D0E">
        <w:rPr>
          <w:spacing w:val="-2"/>
          <w:rtl/>
          <w:lang w:bidi="ar-DZ"/>
        </w:rPr>
        <w:t xml:space="preserve"> </w:t>
      </w:r>
      <w:r w:rsidRPr="00D30D0E">
        <w:rPr>
          <w:spacing w:val="-2"/>
          <w:rtl/>
        </w:rPr>
        <w:t xml:space="preserve">استئنافه ينتهك حقوقه المكفولة بموجب المادة ١٤(١) من العهد. ويدَّعي صاحب البلاغ أن المواد 335 </w:t>
      </w:r>
      <w:proofErr w:type="spellStart"/>
      <w:r w:rsidRPr="00D30D0E">
        <w:rPr>
          <w:spacing w:val="-2"/>
          <w:rtl/>
        </w:rPr>
        <w:t>و341</w:t>
      </w:r>
      <w:proofErr w:type="spellEnd"/>
      <w:r w:rsidRPr="00D30D0E">
        <w:rPr>
          <w:spacing w:val="-2"/>
          <w:rtl/>
        </w:rPr>
        <w:t xml:space="preserve"> إلى 343 من قانون الإجراءات المدنية والمادة ٦٨(١٦) من قانون الانتخابات تمنح المحكمة العليا سلطة مراجعة </w:t>
      </w:r>
      <w:r w:rsidRPr="00D30D0E">
        <w:rPr>
          <w:spacing w:val="-2"/>
          <w:rtl/>
        </w:rPr>
        <w:lastRenderedPageBreak/>
        <w:t xml:space="preserve">القرارات الصادرة عن اللجنة المركزية للانتخابات. ويشير إلى أن الإجراءات المتعلقة بطلبات الطعن الواردة في قانون الانتخابات الحالي تغطي رفض تسجيل المرشح، لا مسألة إلغاء التسجيل. وتتيح هذه الثغرة الإجرائية للسلطات استبعاد مرشحي المعارضة من العملية الانتخابية. </w:t>
      </w:r>
    </w:p>
    <w:p w:rsidR="00A05A00" w:rsidRPr="00D30D0E" w:rsidRDefault="00A05A00" w:rsidP="00A05A00">
      <w:pPr>
        <w:pStyle w:val="SingleTxtGA"/>
        <w:rPr>
          <w:spacing w:val="-2"/>
          <w:rtl/>
          <w:lang w:val="ar-SA" w:eastAsia="zh-TW"/>
        </w:rPr>
      </w:pPr>
      <w:r w:rsidRPr="00D30D0E">
        <w:rPr>
          <w:spacing w:val="-2"/>
          <w:rtl/>
          <w:lang w:bidi="ar-DZ"/>
        </w:rPr>
        <w:t>3-2</w:t>
      </w:r>
      <w:r w:rsidRPr="00D30D0E">
        <w:rPr>
          <w:spacing w:val="-2"/>
          <w:rtl/>
        </w:rPr>
        <w:tab/>
        <w:t xml:space="preserve">ويذكر صاحب البلاغ أنه يعمل رئيساً لتحرير صحيفة مستقلة </w:t>
      </w:r>
      <w:r w:rsidRPr="00D30D0E">
        <w:rPr>
          <w:i/>
          <w:iCs/>
          <w:spacing w:val="-2"/>
          <w:rtl/>
        </w:rPr>
        <w:t>(</w:t>
      </w:r>
      <w:proofErr w:type="spellStart"/>
      <w:r w:rsidRPr="00D30D0E">
        <w:rPr>
          <w:rFonts w:asciiTheme="majorBidi" w:hAnsiTheme="majorBidi" w:cstheme="majorBidi"/>
          <w:i/>
          <w:iCs/>
          <w:spacing w:val="-2"/>
          <w:szCs w:val="20"/>
          <w:rtl/>
        </w:rPr>
        <w:t>Borisovskie</w:t>
      </w:r>
      <w:proofErr w:type="spellEnd"/>
      <w:r w:rsidRPr="00D30D0E">
        <w:rPr>
          <w:rFonts w:asciiTheme="majorBidi" w:hAnsiTheme="majorBidi" w:cstheme="majorBidi"/>
          <w:i/>
          <w:iCs/>
          <w:spacing w:val="-2"/>
          <w:szCs w:val="20"/>
          <w:rtl/>
        </w:rPr>
        <w:t xml:space="preserve"> </w:t>
      </w:r>
      <w:proofErr w:type="spellStart"/>
      <w:r w:rsidRPr="00D30D0E">
        <w:rPr>
          <w:rFonts w:asciiTheme="majorBidi" w:hAnsiTheme="majorBidi" w:cstheme="majorBidi"/>
          <w:i/>
          <w:iCs/>
          <w:spacing w:val="-2"/>
          <w:szCs w:val="20"/>
          <w:rtl/>
        </w:rPr>
        <w:t>Novosti</w:t>
      </w:r>
      <w:proofErr w:type="spellEnd"/>
      <w:r w:rsidRPr="00D30D0E">
        <w:rPr>
          <w:i/>
          <w:iCs/>
          <w:spacing w:val="-2"/>
          <w:rtl/>
        </w:rPr>
        <w:t>)</w:t>
      </w:r>
      <w:r>
        <w:rPr>
          <w:rtl/>
        </w:rPr>
        <w:t xml:space="preserve"> </w:t>
      </w:r>
      <w:r w:rsidRPr="00D30D0E">
        <w:rPr>
          <w:spacing w:val="-2"/>
          <w:rtl/>
        </w:rPr>
        <w:t xml:space="preserve">كثيراً ما تنتقد سلطات بيلاروس، ويرى أن قرار إلغاء تسجيله اتُخذ بهدف منعه من الترشح للانتخابات والانضمام إلى عضوية الجمعية الوطنية. </w:t>
      </w:r>
      <w:r w:rsidRPr="00D30D0E">
        <w:rPr>
          <w:spacing w:val="-2"/>
          <w:rtl/>
          <w:lang w:bidi="ar-DZ"/>
        </w:rPr>
        <w:t xml:space="preserve">وأضاف أن </w:t>
      </w:r>
      <w:r w:rsidRPr="00D30D0E">
        <w:rPr>
          <w:spacing w:val="-2"/>
          <w:rtl/>
        </w:rPr>
        <w:t xml:space="preserve">قوانين بيلاروس الانتخابية سبق أن كانت موضع انتقاد من جانب المنظمات الدولية، بما في ذلك منظمة الأمن والتعاون في أوروبا. وخلال العقد الماضي، لم يُنتخب أي مرشح من تيار المعارضة عضواً في الجمعية الوطنية. ويطلب صاحب البلاغ إلى اللجنة أن تخلص إلى أن بيلاروس انتهكت المادة ١٤(1) من العهد. </w:t>
      </w:r>
    </w:p>
    <w:p w:rsidR="00A05A00" w:rsidRPr="00A070BF" w:rsidRDefault="00A05A00" w:rsidP="00D30D0E">
      <w:pPr>
        <w:pStyle w:val="H23GA"/>
        <w:rPr>
          <w:rtl/>
          <w:lang w:val="ar-SA" w:eastAsia="zh-TW"/>
        </w:rPr>
      </w:pPr>
      <w:r>
        <w:rPr>
          <w:rtl/>
        </w:rPr>
        <w:tab/>
      </w:r>
      <w:r>
        <w:rPr>
          <w:rtl/>
        </w:rPr>
        <w:tab/>
        <w:t>عدم تعاون الدولة الطرف</w:t>
      </w:r>
    </w:p>
    <w:p w:rsidR="00A05A00" w:rsidRPr="00A070BF" w:rsidRDefault="00A05A00" w:rsidP="00A05A00">
      <w:pPr>
        <w:pStyle w:val="SingleTxtGA"/>
        <w:rPr>
          <w:rtl/>
          <w:lang w:val="ar-SA" w:eastAsia="zh-TW"/>
        </w:rPr>
      </w:pPr>
      <w:r>
        <w:rPr>
          <w:rtl/>
        </w:rPr>
        <w:t>٤-</w:t>
      </w:r>
      <w:r>
        <w:rPr>
          <w:rtl/>
        </w:rPr>
        <w:tab/>
        <w:t xml:space="preserve">تحيط اللجنة علماً بأن الدولة الطرف لم تقدم ملاحظاتها بشأن مقبولية هذا البلاغ وأسسه </w:t>
      </w:r>
      <w:proofErr w:type="gramStart"/>
      <w:r>
        <w:rPr>
          <w:rtl/>
        </w:rPr>
        <w:t>الموضوعية</w:t>
      </w:r>
      <w:r w:rsidR="00D30D0E" w:rsidRPr="00D30D0E">
        <w:rPr>
          <w:rFonts w:hint="cs"/>
          <w:sz w:val="30"/>
          <w:vertAlign w:val="superscript"/>
          <w:rtl/>
        </w:rPr>
        <w:t>(</w:t>
      </w:r>
      <w:proofErr w:type="gramEnd"/>
      <w:r w:rsidRPr="00D30D0E">
        <w:rPr>
          <w:rStyle w:val="FootnoteReference"/>
          <w:sz w:val="30"/>
          <w:szCs w:val="30"/>
          <w:rtl/>
        </w:rPr>
        <w:footnoteReference w:id="5"/>
      </w:r>
      <w:r w:rsidR="00D30D0E" w:rsidRPr="00D30D0E">
        <w:rPr>
          <w:rFonts w:hint="cs"/>
          <w:sz w:val="30"/>
          <w:vertAlign w:val="superscript"/>
          <w:rtl/>
        </w:rPr>
        <w:t>)</w:t>
      </w:r>
      <w:r w:rsidR="00D30D0E">
        <w:rPr>
          <w:rFonts w:hint="cs"/>
          <w:rtl/>
        </w:rPr>
        <w:t>.</w:t>
      </w:r>
      <w:r>
        <w:rPr>
          <w:rtl/>
        </w:rPr>
        <w:t xml:space="preserve"> وتعرب اللجنة عن أسفها لأن الدولة الطرف لم تقدم أي معلومات بشأن مقبولية ادعاءات صاحب البلاغ أو أسسها الموضوعية. وتشير اللجنة إلى أن المادة 4(2) من البروتوكول الاختياري تلزم الدول الأط</w:t>
      </w:r>
      <w:r w:rsidRPr="00A36B08">
        <w:rPr>
          <w:rtl/>
        </w:rPr>
        <w:t>راف ضمن</w:t>
      </w:r>
      <w:r>
        <w:rPr>
          <w:rtl/>
        </w:rPr>
        <w:t>ي</w:t>
      </w:r>
      <w:r w:rsidRPr="00A36B08">
        <w:rPr>
          <w:rtl/>
        </w:rPr>
        <w:t>اً</w:t>
      </w:r>
      <w:r>
        <w:rPr>
          <w:rtl/>
        </w:rPr>
        <w:t xml:space="preserve"> بأن تنظر بحسن نية في جميع الادعاءات المقدَّمة ضدها، وبأن تتيح للجنة كلّ ما لديها من معلومات. وفي ظل عدم ورود ردّ من الدولة الطرف، يجب إيلاء الاعتبار الواجب إلى ادعاءات صاحب البلاغ بقدر ما تكون هذه الادعاءات قد دُعمت بالأدلة على النحو </w:t>
      </w:r>
      <w:proofErr w:type="gramStart"/>
      <w:r>
        <w:rPr>
          <w:rtl/>
        </w:rPr>
        <w:t>المناسب</w:t>
      </w:r>
      <w:r w:rsidR="00D30D0E" w:rsidRPr="00D30D0E">
        <w:rPr>
          <w:rFonts w:hint="cs"/>
          <w:sz w:val="30"/>
          <w:vertAlign w:val="superscript"/>
          <w:rtl/>
        </w:rPr>
        <w:t>(</w:t>
      </w:r>
      <w:proofErr w:type="gramEnd"/>
      <w:r w:rsidRPr="00D30D0E">
        <w:rPr>
          <w:rStyle w:val="FootnoteReference"/>
          <w:sz w:val="30"/>
          <w:szCs w:val="30"/>
          <w:rtl/>
        </w:rPr>
        <w:footnoteReference w:id="6"/>
      </w:r>
      <w:r w:rsidR="00D30D0E" w:rsidRPr="00D30D0E">
        <w:rPr>
          <w:rFonts w:hint="cs"/>
          <w:sz w:val="30"/>
          <w:vertAlign w:val="superscript"/>
          <w:rtl/>
        </w:rPr>
        <w:t>)</w:t>
      </w:r>
      <w:r w:rsidR="00D30D0E">
        <w:rPr>
          <w:rFonts w:hint="cs"/>
          <w:rtl/>
        </w:rPr>
        <w:t>.</w:t>
      </w:r>
    </w:p>
    <w:p w:rsidR="00A05A00" w:rsidRPr="00A070BF" w:rsidRDefault="00A05A00" w:rsidP="00D30D0E">
      <w:pPr>
        <w:pStyle w:val="H23GA"/>
        <w:rPr>
          <w:rtl/>
          <w:lang w:val="ar-SA" w:eastAsia="zh-TW"/>
        </w:rPr>
      </w:pPr>
      <w:r>
        <w:rPr>
          <w:rtl/>
        </w:rPr>
        <w:tab/>
      </w:r>
      <w:r>
        <w:rPr>
          <w:rtl/>
        </w:rPr>
        <w:tab/>
        <w:t>القضايا والإجراءات المعروضة على اللجنة</w:t>
      </w:r>
    </w:p>
    <w:p w:rsidR="00A05A00" w:rsidRPr="00A070BF" w:rsidRDefault="00A05A00" w:rsidP="00D30D0E">
      <w:pPr>
        <w:pStyle w:val="H4GA"/>
        <w:rPr>
          <w:rtl/>
          <w:lang w:val="ar-SA" w:eastAsia="zh-TW"/>
        </w:rPr>
      </w:pPr>
      <w:r>
        <w:rPr>
          <w:rtl/>
        </w:rPr>
        <w:tab/>
      </w:r>
      <w:r>
        <w:rPr>
          <w:rtl/>
        </w:rPr>
        <w:tab/>
        <w:t>النظر في المقبولية</w:t>
      </w:r>
    </w:p>
    <w:p w:rsidR="00A05A00" w:rsidRPr="00A070BF" w:rsidRDefault="00A05A00" w:rsidP="00A05A00">
      <w:pPr>
        <w:pStyle w:val="SingleTxtGA"/>
        <w:rPr>
          <w:rtl/>
          <w:lang w:val="ar-SA" w:eastAsia="zh-TW"/>
        </w:rPr>
      </w:pPr>
      <w:r w:rsidRPr="00D30D0E">
        <w:rPr>
          <w:spacing w:val="-4"/>
          <w:rtl/>
        </w:rPr>
        <w:t>5-1</w:t>
      </w:r>
      <w:r w:rsidRPr="00D30D0E">
        <w:rPr>
          <w:spacing w:val="-4"/>
          <w:rtl/>
        </w:rPr>
        <w:tab/>
        <w:t>قبل النظر في أي ادعاءات ترد في بلاغ ما، يجب على اللجنة أن تقرر، وفقاً للمادة 97</w:t>
      </w:r>
      <w:r>
        <w:rPr>
          <w:rtl/>
        </w:rPr>
        <w:t xml:space="preserve"> من نظامها الداخلي، ما إذا كان البلاغ مقبولاً أم لا بموجب البروتوكول الاختياري.</w:t>
      </w:r>
    </w:p>
    <w:p w:rsidR="00A05A00" w:rsidRPr="00A070BF" w:rsidRDefault="00A05A00" w:rsidP="00D30D0E">
      <w:pPr>
        <w:pStyle w:val="SingleTxtGA"/>
        <w:rPr>
          <w:rtl/>
          <w:lang w:val="ar-SA" w:eastAsia="zh-TW"/>
        </w:rPr>
      </w:pPr>
      <w:r>
        <w:rPr>
          <w:rtl/>
        </w:rPr>
        <w:t>5-2</w:t>
      </w:r>
      <w:r>
        <w:rPr>
          <w:rtl/>
        </w:rPr>
        <w:tab/>
        <w:t xml:space="preserve">وقد تأكدت اللجنة، وفقاً لما تنص عليه المادة </w:t>
      </w:r>
      <w:r>
        <w:rPr>
          <w:rtl/>
          <w:lang w:val="fr-CH" w:bidi="ar-DZ"/>
        </w:rPr>
        <w:t>5</w:t>
      </w:r>
      <w:r>
        <w:rPr>
          <w:rtl/>
        </w:rPr>
        <w:t xml:space="preserve">(2)(أ) من البروتوكول الاختياري، من أن المسألة نفسها ليست قيد البحث في إطار أي إجراء آخر من إجراءات التحقيق الدولي أو التسوية الدولية. </w:t>
      </w:r>
    </w:p>
    <w:p w:rsidR="00A05A00" w:rsidRPr="00A070BF" w:rsidRDefault="00A05A00" w:rsidP="00A05A00">
      <w:pPr>
        <w:pStyle w:val="SingleTxtGA"/>
        <w:rPr>
          <w:rtl/>
          <w:lang w:val="ar-SA" w:eastAsia="zh-TW"/>
        </w:rPr>
      </w:pPr>
      <w:r>
        <w:rPr>
          <w:rtl/>
        </w:rPr>
        <w:t>5-3</w:t>
      </w:r>
      <w:r>
        <w:rPr>
          <w:rtl/>
        </w:rPr>
        <w:tab/>
        <w:t>وتحيط اللجنة علماً بادعاء صاحب البلاغ أنه استنفد جميع سبل الانتصاف المحلية الفعالة المتاحة له. ورغم عدم ورود معلومات خطية من الدولة الطرف، ترى اللجنة أن ليس هناك ما يمنعها من النظر في البلاغ بموجب المادة 5(2)(ب) من البروتوكول الاختياري.</w:t>
      </w:r>
      <w:r>
        <w:rPr>
          <w:rtl/>
        </w:rPr>
        <w:t>‬</w:t>
      </w:r>
    </w:p>
    <w:p w:rsidR="00D30D0E" w:rsidRDefault="00A05A00" w:rsidP="00A05A00">
      <w:pPr>
        <w:pStyle w:val="SingleTxtGA"/>
        <w:rPr>
          <w:rtl/>
        </w:rPr>
      </w:pPr>
      <w:r>
        <w:rPr>
          <w:rtl/>
        </w:rPr>
        <w:t>5-4</w:t>
      </w:r>
      <w:r>
        <w:rPr>
          <w:rtl/>
        </w:rPr>
        <w:tab/>
        <w:t>وترى اللجنة أن صاحب البلاغ قدم أدلة كافية لدعم ادعاءاته في إطار المادة 14(1) من العهد لأغراض المقبولية. ومن ثم، تعلن اللجنة أن البلاغ مقبول وتشرع في النظر في أسسه الموضوعية.</w:t>
      </w:r>
    </w:p>
    <w:p w:rsidR="00A05A00" w:rsidRPr="00A070BF" w:rsidRDefault="00A05A00" w:rsidP="00D30D0E">
      <w:pPr>
        <w:pStyle w:val="H4GA"/>
        <w:rPr>
          <w:rtl/>
          <w:lang w:val="ar-SA" w:eastAsia="zh-TW"/>
        </w:rPr>
      </w:pPr>
      <w:r>
        <w:rPr>
          <w:rFonts w:cs="Times New Roman" w:hint="cs"/>
          <w:rtl/>
        </w:rPr>
        <w:lastRenderedPageBreak/>
        <w:t>‬</w:t>
      </w:r>
      <w:r>
        <w:rPr>
          <w:rtl/>
        </w:rPr>
        <w:t xml:space="preserve"> </w:t>
      </w:r>
      <w:r>
        <w:rPr>
          <w:rFonts w:cs="Times New Roman" w:hint="cs"/>
          <w:rtl/>
        </w:rPr>
        <w:t>‬</w:t>
      </w:r>
      <w:r>
        <w:rPr>
          <w:rtl/>
        </w:rPr>
        <w:tab/>
      </w:r>
      <w:r>
        <w:rPr>
          <w:rtl/>
        </w:rPr>
        <w:tab/>
        <w:t>النظر في الأسس الموضوعية</w:t>
      </w:r>
    </w:p>
    <w:p w:rsidR="00A05A00" w:rsidRPr="00A070BF" w:rsidRDefault="00A05A00" w:rsidP="00A05A00">
      <w:pPr>
        <w:pStyle w:val="SingleTxtGA"/>
        <w:rPr>
          <w:rtl/>
          <w:lang w:val="ar-SA" w:eastAsia="zh-TW"/>
        </w:rPr>
      </w:pPr>
      <w:r>
        <w:rPr>
          <w:rtl/>
          <w:lang w:bidi="ar-DZ"/>
        </w:rPr>
        <w:t>6-1</w:t>
      </w:r>
      <w:r>
        <w:rPr>
          <w:rtl/>
        </w:rPr>
        <w:tab/>
        <w:t>نظرت اللجنة في البلاغ على ضوء جميع المعلومات التي أتاحها لها الطرفان، وفقاً للمادة 5(1) من البروتوكول الاختياري.</w:t>
      </w:r>
    </w:p>
    <w:p w:rsidR="00A05A00" w:rsidRPr="00324B62" w:rsidRDefault="00A05A00" w:rsidP="00A05A00">
      <w:pPr>
        <w:pStyle w:val="SingleTxtGA"/>
        <w:rPr>
          <w:rtl/>
        </w:rPr>
      </w:pPr>
      <w:r>
        <w:rPr>
          <w:rtl/>
        </w:rPr>
        <w:t>6-2</w:t>
      </w:r>
      <w:r>
        <w:rPr>
          <w:rtl/>
        </w:rPr>
        <w:tab/>
        <w:t xml:space="preserve">وتحيط اللجنة علماً بادعاء صاحب البلاغ أن المحكمة العليا، برفضها النظر في شكواه التي تطعن في قرار اللجنة المركزية للانتخابات، قد انتهكت حقوقه في اللجوء إلى المحاكم بموجب المادة ١٤(١) من العهد. </w:t>
      </w:r>
      <w:r>
        <w:rPr>
          <w:rtl/>
          <w:lang w:bidi="ar-DZ"/>
        </w:rPr>
        <w:t>وتشير اللجنة إلى أن ا</w:t>
      </w:r>
      <w:r>
        <w:rPr>
          <w:rtl/>
        </w:rPr>
        <w:t>لحق في محاكمة عادلة وعلنية أمام هيئة قضائية مختصة ومستقلة ونزيهة منشأة بموجب القانون هو حق مكفول، وفقاً للجملة الثانية المنصوص عليها في المادة 14(1)، في القضايا المتعلقة بالفصل في التهم الجنائية الموجهة ضد أفراد أو لدى الفصل، كم</w:t>
      </w:r>
      <w:r>
        <w:rPr>
          <w:rtl/>
          <w:lang w:bidi="ar-DZ"/>
        </w:rPr>
        <w:t>ا</w:t>
      </w:r>
      <w:r>
        <w:rPr>
          <w:rtl/>
        </w:rPr>
        <w:t xml:space="preserve"> هو الحال هنا، في </w:t>
      </w:r>
      <w:r w:rsidRPr="00091B68">
        <w:rPr>
          <w:rtl/>
        </w:rPr>
        <w:t>حقوقهم والتزاماتهم في دعوى مدنية</w:t>
      </w:r>
      <w:r>
        <w:rPr>
          <w:rtl/>
        </w:rPr>
        <w:t xml:space="preserve">. </w:t>
      </w:r>
      <w:r>
        <w:rPr>
          <w:rtl/>
          <w:lang w:bidi="ar-DZ"/>
        </w:rPr>
        <w:t>كما تشير اللجنة إلى أنه كلما يجري الفصل في</w:t>
      </w:r>
      <w:r>
        <w:rPr>
          <w:rtl/>
        </w:rPr>
        <w:t xml:space="preserve"> الحقوق والالتزامات في إطار دعوى مدنية، لا بد من أن يتم ذلك، في واحدة على الأقل من مراحل الإجراءات، في هيئة قضائية تستوفي مدلول الجملة الثانية من المادة</w:t>
      </w:r>
      <w:r w:rsidR="00D30D0E">
        <w:rPr>
          <w:rFonts w:hint="cs"/>
          <w:rtl/>
        </w:rPr>
        <w:t> </w:t>
      </w:r>
      <w:r>
        <w:rPr>
          <w:rtl/>
        </w:rPr>
        <w:t>14(1). ويُعتبر عدم سماح الدولة الطرف باللجوء إلى هيئة قضائية مماثلة في حالات معينة انتهاكا</w:t>
      </w:r>
      <w:r w:rsidR="00B20074">
        <w:rPr>
          <w:rFonts w:hint="cs"/>
          <w:rtl/>
        </w:rPr>
        <w:t>ً</w:t>
      </w:r>
      <w:r>
        <w:rPr>
          <w:rtl/>
        </w:rPr>
        <w:t xml:space="preserve"> للمادة ١٤، إذا كانت القيود المفروضة لا تستند إلى التشريعات المحلية و/أو إذا كانت غير ضرورية في السعي إلى تحقيق غرض مشروع، مثل إقامة العدل على نحو سليم.</w:t>
      </w:r>
    </w:p>
    <w:p w:rsidR="00A05A00" w:rsidRPr="00D30D0E" w:rsidRDefault="00A05A00" w:rsidP="00A05A00">
      <w:pPr>
        <w:pStyle w:val="SingleTxtGA"/>
        <w:rPr>
          <w:spacing w:val="-2"/>
          <w:rtl/>
          <w:lang w:val="ar-SA" w:eastAsia="zh-TW"/>
        </w:rPr>
      </w:pPr>
      <w:r w:rsidRPr="00D30D0E">
        <w:rPr>
          <w:spacing w:val="-2"/>
          <w:rtl/>
        </w:rPr>
        <w:t>6-3</w:t>
      </w:r>
      <w:r w:rsidRPr="00D30D0E">
        <w:rPr>
          <w:spacing w:val="-2"/>
          <w:rtl/>
        </w:rPr>
        <w:tab/>
        <w:t xml:space="preserve">وفي هذه القضية، لم تقدم الدولة الطرف تعليقات خطية لتوضيح ما إذا كان عدم سماحها باللجوء إلى هيئة قضائية حسب مدلول الجملة الثانية من المادة ١٤(١) ضرورياً في السعي إلى تحقيق غرض مشروع، حتى إذا كان مسار عملها يستند إلى التشريعات المحلية. وفي الظروف التي وصفها صاحب البلاغ، وفي غياب رسائل خطية مقدمة من الدولة الطرف، تعتبر اللجنة أن الدولة الطرف انتهكت حقوق صاحب البلاغ المكفولة بموجب المادة ١٤(١) من العهد. </w:t>
      </w:r>
    </w:p>
    <w:p w:rsidR="00A05A00" w:rsidRPr="00A070BF" w:rsidRDefault="00A05A00" w:rsidP="00A05A00">
      <w:pPr>
        <w:pStyle w:val="SingleTxtGA"/>
        <w:rPr>
          <w:rtl/>
          <w:lang w:val="ar-SA" w:eastAsia="zh-TW"/>
        </w:rPr>
      </w:pPr>
      <w:r>
        <w:rPr>
          <w:rtl/>
        </w:rPr>
        <w:t>٧-</w:t>
      </w:r>
      <w:r>
        <w:rPr>
          <w:rtl/>
        </w:rPr>
        <w:tab/>
        <w:t>وترى اللجنة، وهي تتصرف بموجب المادة ٥(٤) من البروتوكول الاختياري، أن الوقائع المعروضة عليها تكشف انتهاك الدولة الطرف للمادة 14(1) من العهد.</w:t>
      </w:r>
    </w:p>
    <w:p w:rsidR="00A05A00" w:rsidRPr="00A070BF" w:rsidRDefault="00A05A00" w:rsidP="00A05A00">
      <w:pPr>
        <w:pStyle w:val="SingleTxtGA"/>
        <w:rPr>
          <w:rtl/>
          <w:lang w:val="ar-SA" w:eastAsia="zh-TW"/>
        </w:rPr>
      </w:pPr>
      <w:r>
        <w:rPr>
          <w:rtl/>
        </w:rPr>
        <w:t>٨-</w:t>
      </w:r>
      <w:r>
        <w:rPr>
          <w:rtl/>
        </w:rPr>
        <w:tab/>
        <w:t>وعملاً بأحكام المادة 2(3)(أ) من العهد، يقع على عاتق الدولة الطرف التزام بتوفير سبيل انتصاف فعال لصاحب البلاغ. وهذا يتطلب منها أن تمنح الأشخاص الذين انتُهكت حقوقهم المكفولة بموجب العهد تعويضاً كاملاً. ووفقاً لذلك، فإن الدولة الطرف ملزمة، في جملة أمور، باتخاذ الخطوات المناسبة لتقديم تعويض كافٍ لصاحب البلاغ عن الانتهاكات التي تعرض لها. ويقع أيضاً على عاتق الدولة الطرف التزام باتخاذ جميع الخطوات اللازمة لمنع وقوع انتهاكات مماثلة في المستقبل.</w:t>
      </w:r>
    </w:p>
    <w:p w:rsidR="00A05A00" w:rsidRDefault="00A05A00" w:rsidP="00A05A00">
      <w:pPr>
        <w:pStyle w:val="SingleTxtGA"/>
        <w:rPr>
          <w:rtl/>
          <w:lang w:val="ar-SA" w:eastAsia="zh-TW"/>
        </w:rPr>
      </w:pPr>
      <w:r>
        <w:rPr>
          <w:rtl/>
        </w:rPr>
        <w:t>٩-</w:t>
      </w:r>
      <w:r>
        <w:rPr>
          <w:rtl/>
        </w:rPr>
        <w:tab/>
        <w:t xml:space="preserve">وإذ تضع اللجنة في اعتبارها أن الدولة الطرف بانضمامها إلى البروتوكول الاختياري قد اعترفت باختصاص اللجنة بالبتّ في مسألة وقوع انتهاك لأحكام العهد من عدمه، وأنها تعهدت، عملاً بالمادة 2 منه، بأن تكفل تمتع جميع الأفراد المقيمين في إقليمها والخاضعين لولايتها بالحقوق المعترف بها في العهد وتوفر لهم سبل انتصاف فعالة في حال استنتاج وقوع انتهاك، تودّ أن تتلقى من الدولة الطرف، في غضون 180 يوماً، معلومات عن التدابير المتخذة لإنفاذ آراء اللجنة. كما يُطلب إلى الدولة الطرف أن تنشر هذه الآراء وتعممها على نطاق واسع بلغاتها الرسمية. </w:t>
      </w:r>
    </w:p>
    <w:p w:rsidR="00A05A00" w:rsidRPr="00A05A00" w:rsidRDefault="00A05A00" w:rsidP="00A05A00">
      <w:pPr>
        <w:spacing w:before="120"/>
        <w:jc w:val="center"/>
        <w:rPr>
          <w:u w:val="single"/>
          <w:rtl/>
          <w:lang w:val="ar-SA" w:eastAsia="zh-TW"/>
        </w:rPr>
      </w:pPr>
      <w:r>
        <w:rPr>
          <w:u w:val="single"/>
          <w:rtl/>
          <w:lang w:val="ar-SA" w:eastAsia="zh-TW"/>
        </w:rPr>
        <w:tab/>
      </w:r>
      <w:r>
        <w:rPr>
          <w:u w:val="single"/>
          <w:rtl/>
          <w:lang w:val="ar-SA" w:eastAsia="zh-TW"/>
        </w:rPr>
        <w:tab/>
      </w:r>
      <w:r>
        <w:rPr>
          <w:u w:val="single"/>
          <w:rtl/>
          <w:lang w:val="ar-SA" w:eastAsia="zh-TW"/>
        </w:rPr>
        <w:tab/>
      </w:r>
    </w:p>
    <w:sectPr w:rsidR="00A05A00" w:rsidRPr="00A05A00" w:rsidSect="00FE709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CBD" w:rsidRPr="002901D9" w:rsidRDefault="00384CBD" w:rsidP="002901D9">
      <w:pPr>
        <w:spacing w:after="60" w:line="240" w:lineRule="auto"/>
        <w:rPr>
          <w:i/>
          <w:iCs/>
        </w:rPr>
      </w:pPr>
      <w:r>
        <w:rPr>
          <w:rFonts w:hint="cs"/>
          <w:i/>
          <w:iCs/>
          <w:rtl/>
        </w:rPr>
        <w:t>الحواشي</w:t>
      </w:r>
    </w:p>
  </w:endnote>
  <w:endnote w:type="continuationSeparator" w:id="0">
    <w:p w:rsidR="00384CBD" w:rsidRDefault="00384CB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09E" w:rsidRPr="00A05A00" w:rsidRDefault="00A05A00" w:rsidP="00A05A00">
    <w:pPr>
      <w:pStyle w:val="Footer"/>
      <w:tabs>
        <w:tab w:val="right" w:pos="9598"/>
      </w:tabs>
      <w:rPr>
        <w:sz w:val="17"/>
      </w:rPr>
    </w:pPr>
    <w:r>
      <w:rPr>
        <w:sz w:val="17"/>
      </w:rPr>
      <w:t>GE.19-17481</w:t>
    </w:r>
    <w:r>
      <w:rPr>
        <w:sz w:val="17"/>
      </w:rPr>
      <w:tab/>
    </w:r>
    <w:r w:rsidRPr="00A05A00">
      <w:rPr>
        <w:b/>
        <w:sz w:val="18"/>
      </w:rPr>
      <w:fldChar w:fldCharType="begin"/>
    </w:r>
    <w:r w:rsidRPr="00A05A00">
      <w:rPr>
        <w:b/>
        <w:sz w:val="18"/>
      </w:rPr>
      <w:instrText xml:space="preserve"> PAGE  \* MERGEFORMAT </w:instrText>
    </w:r>
    <w:r w:rsidRPr="00A05A00">
      <w:rPr>
        <w:b/>
        <w:sz w:val="18"/>
      </w:rPr>
      <w:fldChar w:fldCharType="separate"/>
    </w:r>
    <w:r>
      <w:rPr>
        <w:b/>
        <w:sz w:val="18"/>
      </w:rPr>
      <w:t>2</w:t>
    </w:r>
    <w:r w:rsidRPr="00A05A0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A05A00" w:rsidRDefault="00A05A00" w:rsidP="006959B0">
    <w:pPr>
      <w:pStyle w:val="Footer"/>
      <w:tabs>
        <w:tab w:val="right" w:pos="9599"/>
      </w:tabs>
      <w:jc w:val="left"/>
      <w:rPr>
        <w:b/>
        <w:sz w:val="18"/>
        <w:lang w:val="en-US"/>
      </w:rPr>
    </w:pPr>
    <w:r w:rsidRPr="00A05A00">
      <w:rPr>
        <w:b/>
        <w:sz w:val="18"/>
        <w:lang w:val="en-US"/>
      </w:rPr>
      <w:fldChar w:fldCharType="begin"/>
    </w:r>
    <w:r w:rsidRPr="00A05A00">
      <w:rPr>
        <w:b/>
        <w:sz w:val="18"/>
        <w:lang w:val="en-US"/>
      </w:rPr>
      <w:instrText xml:space="preserve"> PAGE  \* MERGEFORMAT </w:instrText>
    </w:r>
    <w:r w:rsidRPr="00A05A00">
      <w:rPr>
        <w:b/>
        <w:sz w:val="18"/>
        <w:lang w:val="en-US"/>
      </w:rPr>
      <w:fldChar w:fldCharType="separate"/>
    </w:r>
    <w:r w:rsidRPr="00A05A00">
      <w:rPr>
        <w:b/>
        <w:noProof/>
        <w:sz w:val="18"/>
        <w:lang w:val="en-US"/>
      </w:rPr>
      <w:t>3</w:t>
    </w:r>
    <w:r w:rsidRPr="00A05A00">
      <w:rPr>
        <w:b/>
        <w:sz w:val="18"/>
        <w:lang w:val="en-US"/>
      </w:rPr>
      <w:fldChar w:fldCharType="end"/>
    </w:r>
    <w:r>
      <w:rPr>
        <w:b/>
        <w:sz w:val="18"/>
        <w:lang w:val="en-US"/>
      </w:rPr>
      <w:tab/>
    </w:r>
    <w:r>
      <w:rPr>
        <w:sz w:val="17"/>
        <w:lang w:val="en-US"/>
      </w:rPr>
      <w:t>GE.19-17481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0B1" w:rsidRDefault="00FE709E" w:rsidP="00982139">
    <w:pPr>
      <w:pStyle w:val="Footer"/>
      <w:spacing w:before="360"/>
      <w:jc w:val="right"/>
      <w:rPr>
        <w:sz w:val="20"/>
        <w:szCs w:val="20"/>
      </w:rPr>
    </w:pPr>
    <w:r>
      <w:rPr>
        <w:sz w:val="20"/>
        <w:szCs w:val="20"/>
      </w:rPr>
      <w:t>GE.19-17481</w:t>
    </w:r>
    <w:r w:rsidR="00DE50B1">
      <w:rPr>
        <w:noProof/>
        <w:lang w:val="en-US"/>
      </w:rPr>
      <w:drawing>
        <wp:anchor distT="0" distB="0" distL="114300" distR="114300" simplePos="0" relativeHeight="251665408"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FE709E" w:rsidRPr="00FE709E" w:rsidRDefault="00FE709E" w:rsidP="00FE709E">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CBD" w:rsidRDefault="00384CBD" w:rsidP="000437B8">
      <w:pPr>
        <w:pStyle w:val="Footer"/>
        <w:bidi/>
        <w:spacing w:after="80" w:line="200" w:lineRule="exact"/>
        <w:ind w:left="680"/>
      </w:pPr>
      <w:r>
        <w:rPr>
          <w:rtl/>
        </w:rPr>
        <w:t>__________</w:t>
      </w:r>
    </w:p>
  </w:footnote>
  <w:footnote w:type="continuationSeparator" w:id="0">
    <w:p w:rsidR="00384CBD" w:rsidRDefault="00384CBD" w:rsidP="00656392">
      <w:pPr>
        <w:spacing w:line="240" w:lineRule="auto"/>
      </w:pPr>
      <w:r>
        <w:continuationSeparator/>
      </w:r>
    </w:p>
  </w:footnote>
  <w:footnote w:id="1">
    <w:p w:rsidR="00A05A00" w:rsidRPr="00B20074" w:rsidRDefault="00A05A00" w:rsidP="00A05A00">
      <w:pPr>
        <w:pStyle w:val="FootnoteText1"/>
        <w:rPr>
          <w:rtl/>
        </w:rPr>
      </w:pPr>
      <w:r w:rsidRPr="00B20074">
        <w:rPr>
          <w:rtl/>
        </w:rPr>
        <w:t>*</w:t>
      </w:r>
      <w:r w:rsidRPr="00B20074">
        <w:rPr>
          <w:rtl/>
        </w:rPr>
        <w:tab/>
        <w:t>اعتمدتها اللجنة في دورتها ١٢٦ (١</w:t>
      </w:r>
      <w:r w:rsidR="00B96404" w:rsidRPr="00B20074">
        <w:rPr>
          <w:rFonts w:hint="cs"/>
          <w:rtl/>
        </w:rPr>
        <w:t>-</w:t>
      </w:r>
      <w:r w:rsidRPr="00B20074">
        <w:rPr>
          <w:rtl/>
        </w:rPr>
        <w:t>٢٦ تموز/يوليه ٢٠١٩)</w:t>
      </w:r>
      <w:r w:rsidRPr="00B20074">
        <w:rPr>
          <w:rtl/>
          <w:lang w:val="ar-SA" w:eastAsia="zh-TW"/>
        </w:rPr>
        <w:t>.</w:t>
      </w:r>
    </w:p>
  </w:footnote>
  <w:footnote w:id="2">
    <w:p w:rsidR="00A05A00" w:rsidRPr="00B20074" w:rsidRDefault="00A05A00" w:rsidP="00A05A00">
      <w:pPr>
        <w:pStyle w:val="FootnoteText1"/>
        <w:rPr>
          <w:rtl/>
        </w:rPr>
      </w:pPr>
      <w:r w:rsidRPr="00B20074">
        <w:rPr>
          <w:rtl/>
        </w:rPr>
        <w:t>**</w:t>
      </w:r>
      <w:r w:rsidRPr="00B20074">
        <w:rPr>
          <w:rtl/>
        </w:rPr>
        <w:tab/>
        <w:t xml:space="preserve">شارك أعضاء اللجنة التالية أسماؤهم في دراسة هذا البلاغ: تانيا ماريا عبدو </w:t>
      </w:r>
      <w:proofErr w:type="spellStart"/>
      <w:r w:rsidRPr="00B20074">
        <w:rPr>
          <w:rtl/>
        </w:rPr>
        <w:t>روشول</w:t>
      </w:r>
      <w:proofErr w:type="spellEnd"/>
      <w:r w:rsidRPr="00B20074">
        <w:rPr>
          <w:rtl/>
        </w:rPr>
        <w:t xml:space="preserve">، عياض بن عاشور، </w:t>
      </w:r>
      <w:proofErr w:type="spellStart"/>
      <w:r w:rsidRPr="00B20074">
        <w:rPr>
          <w:rtl/>
          <w:lang w:eastAsia="zh-TW"/>
        </w:rPr>
        <w:t>إيلزي</w:t>
      </w:r>
      <w:proofErr w:type="spellEnd"/>
      <w:r w:rsidRPr="00B20074">
        <w:rPr>
          <w:rtl/>
          <w:lang w:eastAsia="zh-TW"/>
        </w:rPr>
        <w:t xml:space="preserve"> </w:t>
      </w:r>
      <w:proofErr w:type="spellStart"/>
      <w:r w:rsidRPr="00B20074">
        <w:rPr>
          <w:rtl/>
          <w:lang w:eastAsia="zh-TW"/>
        </w:rPr>
        <w:t>براندس</w:t>
      </w:r>
      <w:proofErr w:type="spellEnd"/>
      <w:r w:rsidRPr="00B20074">
        <w:rPr>
          <w:rtl/>
          <w:lang w:eastAsia="zh-TW"/>
        </w:rPr>
        <w:t xml:space="preserve"> كهريس</w:t>
      </w:r>
      <w:r w:rsidRPr="00B20074">
        <w:rPr>
          <w:rtl/>
        </w:rPr>
        <w:t>،</w:t>
      </w:r>
      <w:r w:rsidRPr="00B20074">
        <w:rPr>
          <w:rtl/>
          <w:lang w:eastAsia="zh-TW"/>
        </w:rPr>
        <w:t xml:space="preserve"> عارف </w:t>
      </w:r>
      <w:proofErr w:type="spellStart"/>
      <w:r w:rsidRPr="00B20074">
        <w:rPr>
          <w:rtl/>
          <w:lang w:eastAsia="zh-TW"/>
        </w:rPr>
        <w:t>بولكان</w:t>
      </w:r>
      <w:proofErr w:type="spellEnd"/>
      <w:r w:rsidRPr="00B20074">
        <w:rPr>
          <w:rtl/>
        </w:rPr>
        <w:t xml:space="preserve">، أحمد أمين فتح الله، </w:t>
      </w:r>
      <w:proofErr w:type="spellStart"/>
      <w:r w:rsidRPr="00B20074">
        <w:rPr>
          <w:rtl/>
          <w:lang w:eastAsia="zh-TW"/>
        </w:rPr>
        <w:t>شويتشي</w:t>
      </w:r>
      <w:proofErr w:type="spellEnd"/>
      <w:r w:rsidRPr="00B20074">
        <w:rPr>
          <w:rtl/>
          <w:lang w:eastAsia="zh-TW"/>
        </w:rPr>
        <w:t xml:space="preserve"> </w:t>
      </w:r>
      <w:proofErr w:type="spellStart"/>
      <w:r w:rsidRPr="00B20074">
        <w:rPr>
          <w:rtl/>
          <w:lang w:eastAsia="zh-TW"/>
        </w:rPr>
        <w:t>فورويا</w:t>
      </w:r>
      <w:proofErr w:type="spellEnd"/>
      <w:r w:rsidRPr="00B20074">
        <w:rPr>
          <w:rtl/>
          <w:lang w:eastAsia="zh-TW"/>
        </w:rPr>
        <w:t xml:space="preserve">، </w:t>
      </w:r>
      <w:r w:rsidRPr="00B20074">
        <w:rPr>
          <w:rtl/>
        </w:rPr>
        <w:t xml:space="preserve">كريستوف </w:t>
      </w:r>
      <w:proofErr w:type="spellStart"/>
      <w:r w:rsidRPr="00B20074">
        <w:rPr>
          <w:rtl/>
        </w:rPr>
        <w:t>هاينس</w:t>
      </w:r>
      <w:proofErr w:type="spellEnd"/>
      <w:r w:rsidRPr="00B20074">
        <w:rPr>
          <w:rtl/>
        </w:rPr>
        <w:t xml:space="preserve">، </w:t>
      </w:r>
      <w:proofErr w:type="spellStart"/>
      <w:r w:rsidRPr="00B20074">
        <w:rPr>
          <w:rtl/>
          <w:lang w:eastAsia="zh-TW"/>
        </w:rPr>
        <w:t>بامريم</w:t>
      </w:r>
      <w:proofErr w:type="spellEnd"/>
      <w:r w:rsidRPr="00B20074">
        <w:rPr>
          <w:rtl/>
          <w:lang w:eastAsia="zh-TW"/>
        </w:rPr>
        <w:t xml:space="preserve"> </w:t>
      </w:r>
      <w:proofErr w:type="spellStart"/>
      <w:r w:rsidRPr="00B20074">
        <w:rPr>
          <w:rtl/>
          <w:lang w:eastAsia="zh-TW"/>
        </w:rPr>
        <w:t>كواتا</w:t>
      </w:r>
      <w:proofErr w:type="spellEnd"/>
      <w:r w:rsidRPr="00B20074">
        <w:rPr>
          <w:rtl/>
          <w:lang w:eastAsia="zh-TW"/>
        </w:rPr>
        <w:t xml:space="preserve">، </w:t>
      </w:r>
      <w:proofErr w:type="spellStart"/>
      <w:r w:rsidRPr="00B20074">
        <w:rPr>
          <w:rtl/>
          <w:lang w:eastAsia="zh-TW"/>
        </w:rPr>
        <w:t>مارسيا</w:t>
      </w:r>
      <w:proofErr w:type="spellEnd"/>
      <w:r w:rsidRPr="00B20074">
        <w:rPr>
          <w:rtl/>
          <w:lang w:eastAsia="zh-TW"/>
        </w:rPr>
        <w:t xml:space="preserve"> ف. ج. كران</w:t>
      </w:r>
      <w:r w:rsidRPr="00B20074">
        <w:rPr>
          <w:rtl/>
        </w:rPr>
        <w:t xml:space="preserve">، </w:t>
      </w:r>
      <w:proofErr w:type="spellStart"/>
      <w:r w:rsidRPr="00B20074">
        <w:rPr>
          <w:rtl/>
          <w:lang w:eastAsia="zh-TW"/>
        </w:rPr>
        <w:t>دنكان</w:t>
      </w:r>
      <w:proofErr w:type="spellEnd"/>
      <w:r w:rsidRPr="00B20074">
        <w:rPr>
          <w:rtl/>
          <w:lang w:eastAsia="zh-TW"/>
        </w:rPr>
        <w:t xml:space="preserve"> </w:t>
      </w:r>
      <w:proofErr w:type="spellStart"/>
      <w:r w:rsidRPr="00B20074">
        <w:rPr>
          <w:rtl/>
          <w:lang w:eastAsia="zh-TW"/>
        </w:rPr>
        <w:t>لاكي</w:t>
      </w:r>
      <w:proofErr w:type="spellEnd"/>
      <w:r w:rsidRPr="00B20074">
        <w:rPr>
          <w:rtl/>
          <w:lang w:eastAsia="zh-TW"/>
        </w:rPr>
        <w:t xml:space="preserve"> </w:t>
      </w:r>
      <w:proofErr w:type="spellStart"/>
      <w:r w:rsidRPr="00B20074">
        <w:rPr>
          <w:rtl/>
          <w:lang w:eastAsia="zh-TW"/>
        </w:rPr>
        <w:t>موهوموزا</w:t>
      </w:r>
      <w:proofErr w:type="spellEnd"/>
      <w:r w:rsidRPr="00B20074">
        <w:rPr>
          <w:rtl/>
          <w:lang w:eastAsia="zh-TW"/>
        </w:rPr>
        <w:t xml:space="preserve">، فوتيني </w:t>
      </w:r>
      <w:proofErr w:type="spellStart"/>
      <w:r w:rsidRPr="00B20074">
        <w:rPr>
          <w:rtl/>
          <w:lang w:eastAsia="zh-TW"/>
        </w:rPr>
        <w:t>بازارتزيس</w:t>
      </w:r>
      <w:proofErr w:type="spellEnd"/>
      <w:r w:rsidRPr="00B20074">
        <w:rPr>
          <w:rtl/>
          <w:lang w:eastAsia="zh-TW"/>
        </w:rPr>
        <w:t xml:space="preserve">، </w:t>
      </w:r>
      <w:proofErr w:type="spellStart"/>
      <w:r w:rsidRPr="00B20074">
        <w:rPr>
          <w:rtl/>
          <w:lang w:eastAsia="zh-TW"/>
        </w:rPr>
        <w:t>هرنان</w:t>
      </w:r>
      <w:proofErr w:type="spellEnd"/>
      <w:r w:rsidRPr="00B20074">
        <w:rPr>
          <w:rtl/>
          <w:lang w:eastAsia="zh-TW"/>
        </w:rPr>
        <w:t xml:space="preserve"> </w:t>
      </w:r>
      <w:proofErr w:type="spellStart"/>
      <w:r w:rsidRPr="00B20074">
        <w:rPr>
          <w:rtl/>
          <w:lang w:eastAsia="zh-TW"/>
        </w:rPr>
        <w:t>كيسادا</w:t>
      </w:r>
      <w:proofErr w:type="spellEnd"/>
      <w:r w:rsidRPr="00B20074">
        <w:rPr>
          <w:rtl/>
          <w:lang w:eastAsia="zh-TW"/>
        </w:rPr>
        <w:t xml:space="preserve"> </w:t>
      </w:r>
      <w:proofErr w:type="spellStart"/>
      <w:r w:rsidRPr="00B20074">
        <w:rPr>
          <w:rtl/>
          <w:lang w:eastAsia="zh-TW"/>
        </w:rPr>
        <w:t>كابريرا</w:t>
      </w:r>
      <w:proofErr w:type="spellEnd"/>
      <w:r w:rsidRPr="00B20074">
        <w:rPr>
          <w:rtl/>
          <w:lang w:eastAsia="zh-TW"/>
        </w:rPr>
        <w:t xml:space="preserve">، </w:t>
      </w:r>
      <w:proofErr w:type="spellStart"/>
      <w:r w:rsidRPr="00B20074">
        <w:rPr>
          <w:rtl/>
          <w:lang w:eastAsia="zh-TW" w:bidi="ar-DZ"/>
        </w:rPr>
        <w:t>فازيلكا</w:t>
      </w:r>
      <w:proofErr w:type="spellEnd"/>
      <w:r w:rsidRPr="00B20074">
        <w:rPr>
          <w:rtl/>
          <w:lang w:eastAsia="zh-TW" w:bidi="ar-DZ"/>
        </w:rPr>
        <w:t xml:space="preserve"> </w:t>
      </w:r>
      <w:proofErr w:type="spellStart"/>
      <w:r w:rsidRPr="00B20074">
        <w:rPr>
          <w:rtl/>
          <w:lang w:eastAsia="zh-TW" w:bidi="ar-DZ"/>
        </w:rPr>
        <w:t>سانسين</w:t>
      </w:r>
      <w:proofErr w:type="spellEnd"/>
      <w:r w:rsidRPr="00B20074">
        <w:rPr>
          <w:rtl/>
          <w:lang w:bidi="ar-DZ"/>
        </w:rPr>
        <w:t>،</w:t>
      </w:r>
      <w:r w:rsidRPr="00B20074">
        <w:rPr>
          <w:rtl/>
          <w:lang w:eastAsia="zh-TW"/>
        </w:rPr>
        <w:t xml:space="preserve"> خوسيه مانويل سانتوس </w:t>
      </w:r>
      <w:proofErr w:type="spellStart"/>
      <w:r w:rsidRPr="00B20074">
        <w:rPr>
          <w:rtl/>
          <w:lang w:eastAsia="zh-TW"/>
        </w:rPr>
        <w:t>باييس</w:t>
      </w:r>
      <w:proofErr w:type="spellEnd"/>
      <w:r w:rsidRPr="00B20074">
        <w:rPr>
          <w:rtl/>
          <w:lang w:eastAsia="zh-TW"/>
        </w:rPr>
        <w:t xml:space="preserve">، يوفال </w:t>
      </w:r>
      <w:proofErr w:type="spellStart"/>
      <w:r w:rsidRPr="00B20074">
        <w:rPr>
          <w:rtl/>
          <w:lang w:eastAsia="zh-TW"/>
        </w:rPr>
        <w:t>شاني</w:t>
      </w:r>
      <w:proofErr w:type="spellEnd"/>
      <w:r w:rsidRPr="00B20074">
        <w:rPr>
          <w:rtl/>
          <w:lang w:eastAsia="zh-TW"/>
        </w:rPr>
        <w:t xml:space="preserve">، هيلين </w:t>
      </w:r>
      <w:proofErr w:type="spellStart"/>
      <w:r w:rsidRPr="00B20074">
        <w:rPr>
          <w:rtl/>
          <w:lang w:eastAsia="zh-TW"/>
        </w:rPr>
        <w:t>تيغرودجا</w:t>
      </w:r>
      <w:proofErr w:type="spellEnd"/>
      <w:r w:rsidRPr="00B20074">
        <w:rPr>
          <w:rtl/>
          <w:lang w:eastAsia="zh-TW"/>
        </w:rPr>
        <w:t xml:space="preserve">، أندرياس </w:t>
      </w:r>
      <w:proofErr w:type="spellStart"/>
      <w:r w:rsidRPr="00B20074">
        <w:rPr>
          <w:rtl/>
          <w:lang w:eastAsia="zh-TW"/>
        </w:rPr>
        <w:t>زيمرمان</w:t>
      </w:r>
      <w:proofErr w:type="spellEnd"/>
      <w:r w:rsidRPr="00B20074">
        <w:rPr>
          <w:rtl/>
          <w:lang w:eastAsia="zh-TW"/>
        </w:rPr>
        <w:t>،</w:t>
      </w:r>
      <w:r w:rsidRPr="00B20074">
        <w:rPr>
          <w:rtl/>
        </w:rPr>
        <w:t xml:space="preserve"> </w:t>
      </w:r>
      <w:proofErr w:type="spellStart"/>
      <w:r w:rsidRPr="00B20074">
        <w:rPr>
          <w:rtl/>
          <w:lang w:eastAsia="zh-TW"/>
        </w:rPr>
        <w:t>جينتيان</w:t>
      </w:r>
      <w:proofErr w:type="spellEnd"/>
      <w:r w:rsidRPr="00B20074">
        <w:rPr>
          <w:rtl/>
          <w:lang w:eastAsia="zh-TW"/>
        </w:rPr>
        <w:t xml:space="preserve"> زبيري.</w:t>
      </w:r>
    </w:p>
  </w:footnote>
  <w:footnote w:id="3">
    <w:p w:rsidR="00A05A00" w:rsidRPr="00D30D0E" w:rsidRDefault="00B96404" w:rsidP="00B96404">
      <w:pPr>
        <w:pStyle w:val="FootnoteText1"/>
        <w:textDirection w:val="tbRlV"/>
        <w:rPr>
          <w:rtl/>
          <w:lang w:val="ar-SA" w:eastAsia="zh-TW"/>
        </w:rPr>
      </w:pPr>
      <w:r w:rsidRPr="00D30D0E">
        <w:rPr>
          <w:rtl/>
        </w:rPr>
        <w:t>(</w:t>
      </w:r>
      <w:r w:rsidRPr="00D30D0E">
        <w:rPr>
          <w:rStyle w:val="FootnoteReference"/>
          <w:szCs w:val="26"/>
          <w:vertAlign w:val="baseline"/>
        </w:rPr>
        <w:footnoteRef/>
      </w:r>
      <w:r w:rsidRPr="00D30D0E">
        <w:rPr>
          <w:rtl/>
        </w:rPr>
        <w:t>)</w:t>
      </w:r>
      <w:r w:rsidRPr="00D30D0E">
        <w:rPr>
          <w:rtl/>
        </w:rPr>
        <w:tab/>
      </w:r>
      <w:r w:rsidR="00A05A00" w:rsidRPr="00D30D0E">
        <w:rPr>
          <w:rtl/>
          <w:lang w:bidi="ar-DZ"/>
        </w:rPr>
        <w:t>تشمل ال</w:t>
      </w:r>
      <w:r w:rsidR="00A05A00" w:rsidRPr="00D30D0E">
        <w:rPr>
          <w:rtl/>
        </w:rPr>
        <w:t>معلومات الأساسية الواردة هنا المعلومات المفصلة التي قدمها صاحب البلاغ. ولم تقدم الدولة الطرف رداً عليها.</w:t>
      </w:r>
    </w:p>
  </w:footnote>
  <w:footnote w:id="4">
    <w:p w:rsidR="00A05A00" w:rsidRPr="00D30D0E" w:rsidRDefault="00B96404" w:rsidP="00B96404">
      <w:pPr>
        <w:pStyle w:val="FootnoteText1"/>
        <w:textDirection w:val="tbRlV"/>
        <w:rPr>
          <w:rtl/>
          <w:lang w:val="ar-SA" w:eastAsia="zh-TW"/>
        </w:rPr>
      </w:pPr>
      <w:r w:rsidRPr="00D30D0E">
        <w:rPr>
          <w:rtl/>
        </w:rPr>
        <w:t>(</w:t>
      </w:r>
      <w:r w:rsidRPr="00D30D0E">
        <w:rPr>
          <w:rStyle w:val="FootnoteReference"/>
          <w:szCs w:val="26"/>
          <w:vertAlign w:val="baseline"/>
        </w:rPr>
        <w:footnoteRef/>
      </w:r>
      <w:r w:rsidRPr="00D30D0E">
        <w:rPr>
          <w:rtl/>
        </w:rPr>
        <w:t>)</w:t>
      </w:r>
      <w:r w:rsidRPr="00D30D0E">
        <w:rPr>
          <w:rtl/>
        </w:rPr>
        <w:tab/>
      </w:r>
      <w:r w:rsidR="00A05A00" w:rsidRPr="00D30D0E">
        <w:rPr>
          <w:rtl/>
        </w:rPr>
        <w:t xml:space="preserve">يدَّعي صاحب البلاغ أنه لم يجر إبراز هذه الشهادة له، ويرى أن هذا أمر مريب لأنه لم يوقّع على أي اتفاق لبيع المركبة. </w:t>
      </w:r>
    </w:p>
  </w:footnote>
  <w:footnote w:id="5">
    <w:p w:rsidR="00A05A00" w:rsidRPr="00D30D0E" w:rsidRDefault="00B96404" w:rsidP="00B96404">
      <w:pPr>
        <w:pStyle w:val="FootnoteText1"/>
        <w:textDirection w:val="tbRlV"/>
        <w:rPr>
          <w:rtl/>
          <w:lang w:val="ar-SA" w:eastAsia="zh-TW"/>
        </w:rPr>
      </w:pPr>
      <w:r w:rsidRPr="00D30D0E">
        <w:rPr>
          <w:rtl/>
        </w:rPr>
        <w:t>(</w:t>
      </w:r>
      <w:r w:rsidRPr="00D30D0E">
        <w:rPr>
          <w:rStyle w:val="FootnoteReference"/>
          <w:szCs w:val="26"/>
          <w:vertAlign w:val="baseline"/>
        </w:rPr>
        <w:footnoteRef/>
      </w:r>
      <w:r w:rsidRPr="00D30D0E">
        <w:rPr>
          <w:rtl/>
        </w:rPr>
        <w:t>)</w:t>
      </w:r>
      <w:r w:rsidRPr="00D30D0E">
        <w:rPr>
          <w:rtl/>
        </w:rPr>
        <w:tab/>
      </w:r>
      <w:r w:rsidR="00A05A00" w:rsidRPr="00D30D0E">
        <w:rPr>
          <w:rtl/>
        </w:rPr>
        <w:t xml:space="preserve">انظر قضية </w:t>
      </w:r>
      <w:proofErr w:type="spellStart"/>
      <w:r w:rsidR="00A05A00" w:rsidRPr="00D30D0E">
        <w:rPr>
          <w:i/>
          <w:iCs/>
          <w:rtl/>
        </w:rPr>
        <w:t>سانّيكوف</w:t>
      </w:r>
      <w:proofErr w:type="spellEnd"/>
      <w:r w:rsidR="00A05A00" w:rsidRPr="00D30D0E">
        <w:rPr>
          <w:i/>
          <w:iCs/>
          <w:rtl/>
        </w:rPr>
        <w:t xml:space="preserve"> ضد بيلاروس</w:t>
      </w:r>
      <w:r w:rsidR="00A05A00" w:rsidRPr="00D30D0E">
        <w:rPr>
          <w:rtl/>
        </w:rPr>
        <w:t xml:space="preserve"> (</w:t>
      </w:r>
      <w:r w:rsidR="00A05A00" w:rsidRPr="00D30D0E">
        <w:rPr>
          <w:lang w:val="es-ES"/>
        </w:rPr>
        <w:t>CCPR/C/122/D/2212/2012</w:t>
      </w:r>
      <w:r w:rsidR="00A05A00" w:rsidRPr="00D30D0E">
        <w:rPr>
          <w:rtl/>
        </w:rPr>
        <w:t xml:space="preserve">)، الفقرة 4. </w:t>
      </w:r>
    </w:p>
  </w:footnote>
  <w:footnote w:id="6">
    <w:p w:rsidR="00A05A00" w:rsidRPr="00D30D0E" w:rsidRDefault="00B96404" w:rsidP="00B96404">
      <w:pPr>
        <w:pStyle w:val="FootnoteText1"/>
        <w:textDirection w:val="tbRlV"/>
        <w:rPr>
          <w:rtl/>
          <w:lang w:val="es-ES" w:eastAsia="zh-TW"/>
        </w:rPr>
      </w:pPr>
      <w:r w:rsidRPr="00D30D0E">
        <w:rPr>
          <w:rtl/>
        </w:rPr>
        <w:t>(</w:t>
      </w:r>
      <w:r w:rsidRPr="00D30D0E">
        <w:rPr>
          <w:rStyle w:val="FootnoteReference"/>
          <w:szCs w:val="26"/>
          <w:vertAlign w:val="baseline"/>
        </w:rPr>
        <w:footnoteRef/>
      </w:r>
      <w:r w:rsidRPr="00D30D0E">
        <w:rPr>
          <w:rtl/>
        </w:rPr>
        <w:t>)</w:t>
      </w:r>
      <w:r w:rsidRPr="00D30D0E">
        <w:rPr>
          <w:rtl/>
        </w:rPr>
        <w:tab/>
      </w:r>
      <w:r w:rsidR="00A05A00" w:rsidRPr="00D30D0E">
        <w:rPr>
          <w:rtl/>
        </w:rPr>
        <w:t xml:space="preserve">انظر قضية </w:t>
      </w:r>
      <w:proofErr w:type="spellStart"/>
      <w:r w:rsidR="00A05A00" w:rsidRPr="00D30D0E">
        <w:rPr>
          <w:i/>
          <w:iCs/>
          <w:rtl/>
        </w:rPr>
        <w:t>ساماثانام</w:t>
      </w:r>
      <w:proofErr w:type="spellEnd"/>
      <w:r w:rsidR="00A05A00" w:rsidRPr="00D30D0E">
        <w:rPr>
          <w:i/>
          <w:iCs/>
          <w:rtl/>
          <w:lang w:val="ar-SA" w:eastAsia="zh-TW"/>
        </w:rPr>
        <w:t xml:space="preserve"> ضد سري لانكا</w:t>
      </w:r>
      <w:r w:rsidR="00A05A00" w:rsidRPr="00D30D0E">
        <w:rPr>
          <w:rtl/>
          <w:lang w:val="ar-SA" w:eastAsia="zh-TW"/>
        </w:rPr>
        <w:t xml:space="preserve"> (</w:t>
      </w:r>
      <w:r w:rsidR="00A05A00" w:rsidRPr="00D30D0E">
        <w:rPr>
          <w:lang w:val="es-ES"/>
        </w:rPr>
        <w:t>CCPR/C/118/D/2412/2014</w:t>
      </w:r>
      <w:r w:rsidR="00A05A00" w:rsidRPr="00D30D0E">
        <w:rPr>
          <w:rtl/>
          <w:lang w:val="es-ES" w:eastAsia="zh-TW"/>
        </w:rPr>
        <w:t xml:space="preserve">)، الفقرة 4-2؛ وقضية </w:t>
      </w:r>
      <w:proofErr w:type="spellStart"/>
      <w:r w:rsidR="00A05A00" w:rsidRPr="00D30D0E">
        <w:rPr>
          <w:i/>
          <w:iCs/>
          <w:rtl/>
          <w:lang w:val="es-ES" w:eastAsia="zh-TW"/>
        </w:rPr>
        <w:t>دييرغاردت</w:t>
      </w:r>
      <w:proofErr w:type="spellEnd"/>
      <w:r w:rsidR="00A05A00" w:rsidRPr="00D30D0E">
        <w:rPr>
          <w:i/>
          <w:iCs/>
          <w:rtl/>
          <w:lang w:val="es-ES" w:eastAsia="zh-TW"/>
        </w:rPr>
        <w:t xml:space="preserve"> وآخرون ضد ناميبيا</w:t>
      </w:r>
      <w:r w:rsidR="00A05A00" w:rsidRPr="00D30D0E">
        <w:rPr>
          <w:rtl/>
          <w:lang w:val="es-ES" w:eastAsia="zh-TW"/>
        </w:rPr>
        <w:t xml:space="preserve"> (</w:t>
      </w:r>
      <w:r w:rsidR="00A05A00" w:rsidRPr="00D30D0E">
        <w:rPr>
          <w:iCs/>
          <w:lang w:val="es-ES"/>
        </w:rPr>
        <w:t>CCPR/C/69/D/760/1997</w:t>
      </w:r>
      <w:r w:rsidR="00A05A00" w:rsidRPr="00D30D0E">
        <w:rPr>
          <w:rtl/>
          <w:lang w:val="es-ES" w:eastAsia="zh-TW"/>
        </w:rPr>
        <w:t>)، الفقرة 10-2.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09E" w:rsidRPr="00A05A00" w:rsidRDefault="00A05A00" w:rsidP="00A05A00">
    <w:pPr>
      <w:pStyle w:val="Header"/>
      <w:jc w:val="right"/>
    </w:pPr>
    <w:r w:rsidRPr="00A05A00">
      <w:t>CCPR/C/126/D/2315/2013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09E" w:rsidRPr="00A05A00" w:rsidRDefault="00A05A00" w:rsidP="00A05A00">
    <w:pPr>
      <w:pStyle w:val="Header"/>
      <w:jc w:val="left"/>
    </w:pPr>
    <w:r w:rsidRPr="00A05A00">
      <w:t>CCPR/C/126/D/2315/2013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384CBD"/>
    <w:rsid w:val="000076D5"/>
    <w:rsid w:val="00043663"/>
    <w:rsid w:val="000437B8"/>
    <w:rsid w:val="000505CF"/>
    <w:rsid w:val="000D701C"/>
    <w:rsid w:val="000E2A71"/>
    <w:rsid w:val="00160263"/>
    <w:rsid w:val="00181F96"/>
    <w:rsid w:val="001A1371"/>
    <w:rsid w:val="001B346A"/>
    <w:rsid w:val="001E1CAD"/>
    <w:rsid w:val="001E290D"/>
    <w:rsid w:val="002144FA"/>
    <w:rsid w:val="0023469A"/>
    <w:rsid w:val="00243C8A"/>
    <w:rsid w:val="00267A0E"/>
    <w:rsid w:val="002901D9"/>
    <w:rsid w:val="002976C2"/>
    <w:rsid w:val="003260FF"/>
    <w:rsid w:val="00343D95"/>
    <w:rsid w:val="00363A18"/>
    <w:rsid w:val="00374341"/>
    <w:rsid w:val="00384CBD"/>
    <w:rsid w:val="003D1062"/>
    <w:rsid w:val="00420D7B"/>
    <w:rsid w:val="00450B21"/>
    <w:rsid w:val="00453B63"/>
    <w:rsid w:val="00455780"/>
    <w:rsid w:val="004A509D"/>
    <w:rsid w:val="004B0A1C"/>
    <w:rsid w:val="004D298E"/>
    <w:rsid w:val="00517BC9"/>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87E1E"/>
    <w:rsid w:val="00852A9A"/>
    <w:rsid w:val="00862F59"/>
    <w:rsid w:val="008F49E1"/>
    <w:rsid w:val="0090370F"/>
    <w:rsid w:val="009269D2"/>
    <w:rsid w:val="00942135"/>
    <w:rsid w:val="009521B0"/>
    <w:rsid w:val="00982139"/>
    <w:rsid w:val="009867A8"/>
    <w:rsid w:val="009A7E9F"/>
    <w:rsid w:val="009B7C02"/>
    <w:rsid w:val="009E237A"/>
    <w:rsid w:val="009E5018"/>
    <w:rsid w:val="00A05A00"/>
    <w:rsid w:val="00A12B37"/>
    <w:rsid w:val="00AB6758"/>
    <w:rsid w:val="00B13763"/>
    <w:rsid w:val="00B20074"/>
    <w:rsid w:val="00B477A4"/>
    <w:rsid w:val="00B54045"/>
    <w:rsid w:val="00B96404"/>
    <w:rsid w:val="00C438D7"/>
    <w:rsid w:val="00C81B50"/>
    <w:rsid w:val="00CB6622"/>
    <w:rsid w:val="00CD1801"/>
    <w:rsid w:val="00CF65C6"/>
    <w:rsid w:val="00D10EF1"/>
    <w:rsid w:val="00D30D0E"/>
    <w:rsid w:val="00D42810"/>
    <w:rsid w:val="00D914A7"/>
    <w:rsid w:val="00DD13C3"/>
    <w:rsid w:val="00DD596E"/>
    <w:rsid w:val="00DD621E"/>
    <w:rsid w:val="00DE50B1"/>
    <w:rsid w:val="00DF0575"/>
    <w:rsid w:val="00E44A08"/>
    <w:rsid w:val="00E70E04"/>
    <w:rsid w:val="00EC05A7"/>
    <w:rsid w:val="00EC4B6B"/>
    <w:rsid w:val="00ED7442"/>
    <w:rsid w:val="00EF1EE5"/>
    <w:rsid w:val="00F763B4"/>
    <w:rsid w:val="00F900C3"/>
    <w:rsid w:val="00FC6EDD"/>
    <w:rsid w:val="00FE709E"/>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A3C5C7"/>
  <w15:docId w15:val="{1AB2DDB6-1A7D-4FE5-9E72-04A85FF5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A05A00"/>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23G">
    <w:name w:val="_ H_2/3_G"/>
    <w:basedOn w:val="Normal"/>
    <w:next w:val="Normal"/>
    <w:qFormat/>
    <w:rsid w:val="00A05A00"/>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H4G">
    <w:name w:val="_ H_4_G"/>
    <w:basedOn w:val="Normal"/>
    <w:next w:val="Normal"/>
    <w:qFormat/>
    <w:rsid w:val="00A05A00"/>
    <w:pPr>
      <w:keepNext/>
      <w:keepLines/>
      <w:tabs>
        <w:tab w:val="right" w:pos="851"/>
      </w:tabs>
      <w:bidi w:val="0"/>
      <w:spacing w:before="240" w:after="120" w:line="240" w:lineRule="exact"/>
      <w:ind w:left="1134" w:right="1134" w:hanging="1134"/>
      <w:jc w:val="left"/>
    </w:pPr>
    <w:rPr>
      <w:rFonts w:eastAsia="SimSun" w:hAnsiTheme="minorHAnsi" w:hint="cs"/>
      <w:i/>
      <w:lang w:val="en-GB" w:eastAsia="zh-CN"/>
    </w:rPr>
  </w:style>
  <w:style w:type="paragraph" w:customStyle="1" w:styleId="SingleTxtG">
    <w:name w:val="_ Single Txt_G"/>
    <w:basedOn w:val="Normal"/>
    <w:qFormat/>
    <w:rsid w:val="00A05A00"/>
    <w:pPr>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871B2-4C36-4352-99B7-CD042FF6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4</Pages>
  <Words>1378</Words>
  <Characters>6836</Characters>
  <Application>Microsoft Office Word</Application>
  <DocSecurity>0</DocSecurity>
  <Lines>128</Lines>
  <Paragraphs>52</Paragraphs>
  <ScaleCrop>false</ScaleCrop>
  <HeadingPairs>
    <vt:vector size="2" baseType="variant">
      <vt:variant>
        <vt:lpstr>Title</vt:lpstr>
      </vt:variant>
      <vt:variant>
        <vt:i4>1</vt:i4>
      </vt:variant>
    </vt:vector>
  </HeadingPairs>
  <TitlesOfParts>
    <vt:vector size="1" baseType="lpstr">
      <vt:lpstr>CCPR/C/126/D/2315/2013</vt:lpstr>
    </vt:vector>
  </TitlesOfParts>
  <Company>DCM</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CCPR/C/126/D/2315/2013</dc:title>
  <dc:subject>GE. 1917481A</dc:subject>
  <dc:creator>IBAL</dc:creator>
  <cp:keywords>ODS No.</cp:keywords>
  <dc:description>Distribution: General_x000d_
Original: English_x000d_
Date: 10 October 2019</dc:description>
  <cp:lastModifiedBy>Ibrahim Balan</cp:lastModifiedBy>
  <cp:revision>2</cp:revision>
  <dcterms:created xsi:type="dcterms:W3CDTF">2020-01-14T16:11:00Z</dcterms:created>
  <dcterms:modified xsi:type="dcterms:W3CDTF">2020-01-14T16:11:00Z</dcterms:modified>
  <cp:category>Finale</cp:category>
</cp:coreProperties>
</file>