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C153735" w14:textId="77777777" w:rsidTr="002B7BC7">
        <w:trPr>
          <w:trHeight w:hRule="exact" w:val="851"/>
        </w:trPr>
        <w:tc>
          <w:tcPr>
            <w:tcW w:w="1276" w:type="dxa"/>
            <w:tcBorders>
              <w:bottom w:val="single" w:sz="4" w:space="0" w:color="auto"/>
            </w:tcBorders>
          </w:tcPr>
          <w:p w14:paraId="18A2DC14" w14:textId="77777777" w:rsidR="006F71EA" w:rsidRPr="00DB58B5" w:rsidRDefault="006F71EA" w:rsidP="00857FD7"/>
        </w:tc>
        <w:tc>
          <w:tcPr>
            <w:tcW w:w="2268" w:type="dxa"/>
            <w:tcBorders>
              <w:bottom w:val="single" w:sz="4" w:space="0" w:color="auto"/>
            </w:tcBorders>
            <w:vAlign w:val="bottom"/>
          </w:tcPr>
          <w:p w14:paraId="3AE1A0B1"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DE6D54" w14:textId="77777777" w:rsidR="006F71EA" w:rsidRPr="00DB58B5" w:rsidRDefault="00857FD7" w:rsidP="00857FD7">
            <w:pPr>
              <w:jc w:val="right"/>
            </w:pPr>
            <w:r w:rsidRPr="00857FD7">
              <w:rPr>
                <w:sz w:val="40"/>
              </w:rPr>
              <w:t>CCPR</w:t>
            </w:r>
            <w:r>
              <w:t>/C/128/D/2057/2011</w:t>
            </w:r>
          </w:p>
        </w:tc>
      </w:tr>
      <w:tr w:rsidR="006F71EA" w:rsidRPr="00DB58B5" w14:paraId="6947D8C2" w14:textId="77777777" w:rsidTr="002B7BC7">
        <w:trPr>
          <w:trHeight w:hRule="exact" w:val="2835"/>
        </w:trPr>
        <w:tc>
          <w:tcPr>
            <w:tcW w:w="1276" w:type="dxa"/>
            <w:tcBorders>
              <w:top w:val="single" w:sz="4" w:space="0" w:color="auto"/>
              <w:bottom w:val="single" w:sz="12" w:space="0" w:color="auto"/>
            </w:tcBorders>
          </w:tcPr>
          <w:p w14:paraId="54F3EAA8" w14:textId="77777777" w:rsidR="006F71EA" w:rsidRPr="00DB58B5" w:rsidRDefault="006F71EA" w:rsidP="002B7BC7">
            <w:pPr>
              <w:spacing w:before="120"/>
              <w:jc w:val="center"/>
            </w:pPr>
            <w:r>
              <w:rPr>
                <w:noProof/>
                <w:lang w:eastAsia="fr-CH"/>
              </w:rPr>
              <w:drawing>
                <wp:inline distT="0" distB="0" distL="0" distR="0" wp14:anchorId="1DC0FFB1" wp14:editId="101DF8C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7E195B"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C9F883A" w14:textId="77777777" w:rsidR="006F71EA" w:rsidRDefault="00857FD7" w:rsidP="002B7BC7">
            <w:pPr>
              <w:spacing w:before="240"/>
            </w:pPr>
            <w:r>
              <w:t>Distr. générale</w:t>
            </w:r>
          </w:p>
          <w:p w14:paraId="0F3A26EA" w14:textId="77777777" w:rsidR="00857FD7" w:rsidRDefault="00857FD7" w:rsidP="00857FD7">
            <w:pPr>
              <w:spacing w:line="240" w:lineRule="exact"/>
            </w:pPr>
            <w:r>
              <w:t>21 mai 2020</w:t>
            </w:r>
          </w:p>
          <w:p w14:paraId="44F38CA4" w14:textId="77777777" w:rsidR="00857FD7" w:rsidRDefault="00857FD7" w:rsidP="00857FD7">
            <w:pPr>
              <w:spacing w:line="240" w:lineRule="exact"/>
            </w:pPr>
            <w:r>
              <w:t>Français</w:t>
            </w:r>
          </w:p>
          <w:p w14:paraId="4E673ACE" w14:textId="77777777" w:rsidR="00857FD7" w:rsidRPr="00DB58B5" w:rsidRDefault="00857FD7" w:rsidP="00857FD7">
            <w:pPr>
              <w:spacing w:line="240" w:lineRule="exact"/>
            </w:pPr>
            <w:r>
              <w:t>Original : anglais</w:t>
            </w:r>
          </w:p>
        </w:tc>
      </w:tr>
    </w:tbl>
    <w:p w14:paraId="04538836" w14:textId="77777777" w:rsidR="006F71EA" w:rsidRDefault="006F71EA" w:rsidP="006F71EA">
      <w:pPr>
        <w:spacing w:before="120"/>
        <w:rPr>
          <w:b/>
          <w:sz w:val="24"/>
          <w:szCs w:val="24"/>
        </w:rPr>
      </w:pPr>
      <w:r w:rsidRPr="00DF3BF1">
        <w:rPr>
          <w:b/>
          <w:sz w:val="24"/>
          <w:szCs w:val="24"/>
        </w:rPr>
        <w:t>Comité des droits de l</w:t>
      </w:r>
      <w:r w:rsidR="00857FD7">
        <w:rPr>
          <w:b/>
          <w:sz w:val="24"/>
          <w:szCs w:val="24"/>
        </w:rPr>
        <w:t>’</w:t>
      </w:r>
      <w:r w:rsidRPr="00DF3BF1">
        <w:rPr>
          <w:b/>
          <w:sz w:val="24"/>
          <w:szCs w:val="24"/>
        </w:rPr>
        <w:t>homme</w:t>
      </w:r>
    </w:p>
    <w:p w14:paraId="139D2B27" w14:textId="77777777" w:rsidR="00857FD7" w:rsidRPr="00D628AB" w:rsidRDefault="00857FD7" w:rsidP="00857FD7">
      <w:pPr>
        <w:pStyle w:val="HChG"/>
      </w:pPr>
      <w:r>
        <w:rPr>
          <w:lang w:val="fr-FR"/>
        </w:rPr>
        <w:tab/>
      </w:r>
      <w:r>
        <w:rPr>
          <w:lang w:val="fr-FR"/>
        </w:rPr>
        <w:tab/>
        <w:t>Décision adoptée par le Comité en vertu du Protocole facultatif, concernant la c</w:t>
      </w:r>
      <w:r w:rsidRPr="00D628AB">
        <w:rPr>
          <w:lang w:val="fr-FR"/>
        </w:rPr>
        <w:t>ommunication n</w:t>
      </w:r>
      <w:r w:rsidRPr="00BE6A36">
        <w:rPr>
          <w:vertAlign w:val="superscript"/>
          <w:lang w:val="fr-FR"/>
        </w:rPr>
        <w:t>o</w:t>
      </w:r>
      <w:r>
        <w:rPr>
          <w:lang w:val="fr-FR"/>
        </w:rPr>
        <w:t> </w:t>
      </w:r>
      <w:r w:rsidRPr="00D628AB">
        <w:rPr>
          <w:lang w:val="fr-FR"/>
        </w:rPr>
        <w:t>2057/2011</w:t>
      </w:r>
      <w:r w:rsidRPr="00857FD7">
        <w:rPr>
          <w:rStyle w:val="Appelnotedebasdep"/>
          <w:b w:val="0"/>
          <w:bCs/>
          <w:sz w:val="20"/>
          <w:vertAlign w:val="baseline"/>
        </w:rPr>
        <w:footnoteReference w:customMarkFollows="1" w:id="2"/>
        <w:t>*</w:t>
      </w:r>
      <w:r w:rsidRPr="00857FD7">
        <w:rPr>
          <w:b w:val="0"/>
          <w:bCs/>
          <w:sz w:val="20"/>
          <w:vertAlign w:val="superscript"/>
        </w:rPr>
        <w:t xml:space="preserve">, </w:t>
      </w:r>
      <w:r w:rsidRPr="00857FD7">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857FD7" w14:paraId="6758C593" w14:textId="77777777" w:rsidTr="00857FD7">
        <w:tc>
          <w:tcPr>
            <w:tcW w:w="2835" w:type="dxa"/>
          </w:tcPr>
          <w:p w14:paraId="0F8D3F1A" w14:textId="77777777" w:rsidR="00857FD7" w:rsidRDefault="00857FD7" w:rsidP="005C6FB9">
            <w:pPr>
              <w:pStyle w:val="SingleTxtG"/>
              <w:ind w:left="0" w:right="0"/>
              <w:jc w:val="left"/>
              <w:rPr>
                <w:i/>
              </w:rPr>
            </w:pPr>
            <w:r>
              <w:rPr>
                <w:i/>
              </w:rPr>
              <w:t>Communication présentée par</w:t>
            </w:r>
            <w:r>
              <w:t> :</w:t>
            </w:r>
          </w:p>
        </w:tc>
        <w:tc>
          <w:tcPr>
            <w:tcW w:w="3970" w:type="dxa"/>
          </w:tcPr>
          <w:p w14:paraId="38BA8A4F" w14:textId="77777777" w:rsidR="00857FD7" w:rsidRDefault="00857FD7" w:rsidP="005C6FB9">
            <w:pPr>
              <w:pStyle w:val="SingleTxtG"/>
              <w:ind w:left="0" w:right="0"/>
              <w:jc w:val="left"/>
            </w:pPr>
            <w:bookmarkStart w:id="0" w:name="_GoBack"/>
            <w:r w:rsidRPr="00B83C5C">
              <w:t>V.</w:t>
            </w:r>
            <w:bookmarkEnd w:id="0"/>
            <w:r>
              <w:t> </w:t>
            </w:r>
            <w:r w:rsidRPr="00B83C5C">
              <w:t>P.</w:t>
            </w:r>
          </w:p>
        </w:tc>
      </w:tr>
      <w:tr w:rsidR="00857FD7" w14:paraId="0490F539" w14:textId="77777777" w:rsidTr="00857FD7">
        <w:tc>
          <w:tcPr>
            <w:tcW w:w="2835" w:type="dxa"/>
          </w:tcPr>
          <w:p w14:paraId="53A0802D" w14:textId="77777777" w:rsidR="00857FD7" w:rsidRDefault="00857FD7" w:rsidP="005C6FB9">
            <w:pPr>
              <w:pStyle w:val="SingleTxtG"/>
              <w:ind w:left="0" w:right="0"/>
              <w:jc w:val="left"/>
              <w:rPr>
                <w:i/>
              </w:rPr>
            </w:pPr>
            <w:r>
              <w:rPr>
                <w:i/>
              </w:rPr>
              <w:t>Victime(s) présumée(s) :</w:t>
            </w:r>
          </w:p>
        </w:tc>
        <w:tc>
          <w:tcPr>
            <w:tcW w:w="3970" w:type="dxa"/>
          </w:tcPr>
          <w:p w14:paraId="4F622E24" w14:textId="77777777" w:rsidR="00857FD7" w:rsidRDefault="00857FD7" w:rsidP="005C6FB9">
            <w:pPr>
              <w:pStyle w:val="SingleTxtG"/>
              <w:ind w:left="0" w:right="0"/>
              <w:jc w:val="left"/>
            </w:pPr>
            <w:r>
              <w:t>L</w:t>
            </w:r>
            <w:r>
              <w:t>’</w:t>
            </w:r>
            <w:r>
              <w:t>auteur</w:t>
            </w:r>
          </w:p>
        </w:tc>
      </w:tr>
      <w:tr w:rsidR="00857FD7" w14:paraId="1B3BDD01" w14:textId="77777777" w:rsidTr="00857FD7">
        <w:tc>
          <w:tcPr>
            <w:tcW w:w="2835" w:type="dxa"/>
          </w:tcPr>
          <w:p w14:paraId="481C2C87" w14:textId="77777777" w:rsidR="00857FD7" w:rsidRDefault="00857FD7" w:rsidP="005C6FB9">
            <w:pPr>
              <w:pStyle w:val="SingleTxtG"/>
              <w:ind w:left="0" w:right="0"/>
              <w:jc w:val="left"/>
              <w:rPr>
                <w:i/>
              </w:rPr>
            </w:pPr>
            <w:r>
              <w:rPr>
                <w:i/>
              </w:rPr>
              <w:t>État partie</w:t>
            </w:r>
            <w:r>
              <w:t> :</w:t>
            </w:r>
          </w:p>
        </w:tc>
        <w:tc>
          <w:tcPr>
            <w:tcW w:w="3970" w:type="dxa"/>
          </w:tcPr>
          <w:p w14:paraId="7BE4FFF2" w14:textId="77777777" w:rsidR="00857FD7" w:rsidRDefault="00857FD7" w:rsidP="005C6FB9">
            <w:pPr>
              <w:pStyle w:val="SingleTxtG"/>
              <w:ind w:left="0" w:right="0"/>
              <w:jc w:val="left"/>
            </w:pPr>
            <w:r w:rsidRPr="00B83C5C">
              <w:t>Bélarus</w:t>
            </w:r>
          </w:p>
        </w:tc>
      </w:tr>
      <w:tr w:rsidR="00857FD7" w14:paraId="5363E3D0" w14:textId="77777777" w:rsidTr="00857FD7">
        <w:tc>
          <w:tcPr>
            <w:tcW w:w="2835" w:type="dxa"/>
          </w:tcPr>
          <w:p w14:paraId="629A2D07" w14:textId="77777777" w:rsidR="00857FD7" w:rsidRDefault="00857FD7" w:rsidP="005C6FB9">
            <w:pPr>
              <w:pStyle w:val="SingleTxtG"/>
              <w:ind w:left="0" w:right="0"/>
              <w:jc w:val="left"/>
              <w:rPr>
                <w:i/>
              </w:rPr>
            </w:pPr>
            <w:r w:rsidRPr="00B83C5C">
              <w:rPr>
                <w:i/>
              </w:rPr>
              <w:t>Date de la communication</w:t>
            </w:r>
            <w:r>
              <w:rPr>
                <w:i/>
              </w:rPr>
              <w:t> </w:t>
            </w:r>
            <w:r>
              <w:t>:</w:t>
            </w:r>
          </w:p>
        </w:tc>
        <w:tc>
          <w:tcPr>
            <w:tcW w:w="3970" w:type="dxa"/>
          </w:tcPr>
          <w:p w14:paraId="4FBE5230" w14:textId="77777777" w:rsidR="00857FD7" w:rsidRDefault="00857FD7" w:rsidP="005C6FB9">
            <w:pPr>
              <w:pStyle w:val="SingleTxtG"/>
              <w:ind w:left="0" w:right="0"/>
              <w:jc w:val="left"/>
            </w:pPr>
            <w:r w:rsidRPr="00B83C5C">
              <w:t xml:space="preserve">17 </w:t>
            </w:r>
            <w:r>
              <w:t>mai</w:t>
            </w:r>
            <w:r w:rsidRPr="00B83C5C">
              <w:t xml:space="preserve"> 2010 (lettre initiale)</w:t>
            </w:r>
          </w:p>
        </w:tc>
      </w:tr>
      <w:tr w:rsidR="00857FD7" w14:paraId="1319A554" w14:textId="77777777" w:rsidTr="00857FD7">
        <w:tc>
          <w:tcPr>
            <w:tcW w:w="2835" w:type="dxa"/>
          </w:tcPr>
          <w:p w14:paraId="3A277D60" w14:textId="77777777" w:rsidR="00857FD7" w:rsidRDefault="00857FD7" w:rsidP="005C6FB9">
            <w:pPr>
              <w:pStyle w:val="SingleTxtG"/>
              <w:ind w:left="0" w:right="0"/>
              <w:jc w:val="left"/>
              <w:rPr>
                <w:i/>
              </w:rPr>
            </w:pPr>
            <w:r w:rsidRPr="00FB1D2E">
              <w:rPr>
                <w:i/>
              </w:rPr>
              <w:t>Références</w:t>
            </w:r>
            <w:r>
              <w:rPr>
                <w:i/>
              </w:rPr>
              <w:t> </w:t>
            </w:r>
            <w:r>
              <w:t>:</w:t>
            </w:r>
          </w:p>
        </w:tc>
        <w:tc>
          <w:tcPr>
            <w:tcW w:w="3970" w:type="dxa"/>
            <w:vAlign w:val="bottom"/>
          </w:tcPr>
          <w:p w14:paraId="1801AB69" w14:textId="77777777" w:rsidR="00857FD7" w:rsidRDefault="00857FD7" w:rsidP="005C6FB9">
            <w:pPr>
              <w:pStyle w:val="SingleTxtG"/>
              <w:ind w:left="0" w:right="0"/>
              <w:jc w:val="left"/>
            </w:pPr>
            <w:r w:rsidRPr="00FB1D2E">
              <w:t>Décision prise en application de l</w:t>
            </w:r>
            <w:r>
              <w:t>’</w:t>
            </w:r>
            <w:r w:rsidRPr="00FB1D2E">
              <w:t>article</w:t>
            </w:r>
            <w:r>
              <w:t> </w:t>
            </w:r>
            <w:r w:rsidRPr="00FB1D2E">
              <w:t xml:space="preserve">92 du </w:t>
            </w:r>
            <w:r>
              <w:t>r</w:t>
            </w:r>
            <w:r w:rsidRPr="00FB1D2E">
              <w:t>èglement intérieur</w:t>
            </w:r>
            <w:r>
              <w:t xml:space="preserve"> du Comité</w:t>
            </w:r>
            <w:r w:rsidRPr="00FB1D2E">
              <w:t>, communiquée à l</w:t>
            </w:r>
            <w:r>
              <w:t>’</w:t>
            </w:r>
            <w:r w:rsidRPr="00FB1D2E">
              <w:t>État partie le 2</w:t>
            </w:r>
            <w:r>
              <w:t> </w:t>
            </w:r>
            <w:r w:rsidRPr="00FB1D2E">
              <w:t>mai 2011 (non</w:t>
            </w:r>
            <w:r>
              <w:t> </w:t>
            </w:r>
            <w:r w:rsidRPr="00FB1D2E">
              <w:t>publiée sous forme de document)</w:t>
            </w:r>
          </w:p>
        </w:tc>
      </w:tr>
      <w:tr w:rsidR="00857FD7" w14:paraId="15792A26" w14:textId="77777777" w:rsidTr="00857FD7">
        <w:tc>
          <w:tcPr>
            <w:tcW w:w="2835" w:type="dxa"/>
          </w:tcPr>
          <w:p w14:paraId="59E8343F" w14:textId="77777777" w:rsidR="00857FD7" w:rsidRPr="00FB1D2E" w:rsidRDefault="00857FD7" w:rsidP="005C6FB9">
            <w:pPr>
              <w:pStyle w:val="SingleTxtG"/>
              <w:ind w:left="0" w:right="0"/>
              <w:jc w:val="left"/>
            </w:pPr>
            <w:r w:rsidRPr="00FB1D2E">
              <w:rPr>
                <w:i/>
              </w:rPr>
              <w:t xml:space="preserve">Date </w:t>
            </w:r>
            <w:r>
              <w:rPr>
                <w:i/>
              </w:rPr>
              <w:t>de la décision</w:t>
            </w:r>
            <w:r>
              <w:t> :</w:t>
            </w:r>
          </w:p>
        </w:tc>
        <w:tc>
          <w:tcPr>
            <w:tcW w:w="3970" w:type="dxa"/>
            <w:vAlign w:val="bottom"/>
          </w:tcPr>
          <w:p w14:paraId="3C293F96" w14:textId="77777777" w:rsidR="00857FD7" w:rsidRPr="00FB1D2E" w:rsidRDefault="00857FD7" w:rsidP="005C6FB9">
            <w:pPr>
              <w:pStyle w:val="SingleTxtG"/>
              <w:ind w:left="0" w:right="0"/>
              <w:jc w:val="left"/>
            </w:pPr>
            <w:r>
              <w:t>13 mars</w:t>
            </w:r>
            <w:r w:rsidRPr="00FB1D2E">
              <w:t xml:space="preserve"> 2020</w:t>
            </w:r>
          </w:p>
        </w:tc>
      </w:tr>
      <w:tr w:rsidR="00857FD7" w14:paraId="475D9493" w14:textId="77777777" w:rsidTr="00857FD7">
        <w:tc>
          <w:tcPr>
            <w:tcW w:w="2835" w:type="dxa"/>
          </w:tcPr>
          <w:p w14:paraId="6452A04F" w14:textId="77777777" w:rsidR="00857FD7" w:rsidRDefault="00857FD7" w:rsidP="005C6FB9">
            <w:pPr>
              <w:pStyle w:val="SingleTxtG"/>
              <w:ind w:left="0" w:right="0"/>
              <w:jc w:val="left"/>
            </w:pPr>
            <w:r>
              <w:rPr>
                <w:i/>
              </w:rPr>
              <w:t>Objet</w:t>
            </w:r>
            <w:r>
              <w:t> :</w:t>
            </w:r>
          </w:p>
        </w:tc>
        <w:tc>
          <w:tcPr>
            <w:tcW w:w="3970" w:type="dxa"/>
            <w:vAlign w:val="bottom"/>
          </w:tcPr>
          <w:p w14:paraId="50DCF2DB" w14:textId="77777777" w:rsidR="00857FD7" w:rsidRDefault="00857FD7" w:rsidP="005C6FB9">
            <w:pPr>
              <w:pStyle w:val="SingleTxtG"/>
              <w:ind w:left="0" w:right="0"/>
              <w:jc w:val="left"/>
            </w:pPr>
            <w:r w:rsidRPr="00FB1D2E">
              <w:t>Impossibilité de faire appel de la décision d</w:t>
            </w:r>
            <w:r>
              <w:t>’</w:t>
            </w:r>
            <w:r w:rsidRPr="00FB1D2E">
              <w:t>un tribunal de première instance dans le cadre d</w:t>
            </w:r>
            <w:r>
              <w:t>’</w:t>
            </w:r>
            <w:r w:rsidRPr="00FB1D2E">
              <w:t>un contentieux électoral</w:t>
            </w:r>
            <w:r>
              <w:t> </w:t>
            </w:r>
            <w:r w:rsidRPr="00FB1D2E">
              <w:t>; non-respect du droit à un procès équitable et absence de recours utile</w:t>
            </w:r>
          </w:p>
        </w:tc>
      </w:tr>
      <w:tr w:rsidR="00857FD7" w14:paraId="1E836484" w14:textId="77777777" w:rsidTr="00857FD7">
        <w:tc>
          <w:tcPr>
            <w:tcW w:w="2835" w:type="dxa"/>
          </w:tcPr>
          <w:p w14:paraId="6C199D26" w14:textId="77777777" w:rsidR="00857FD7" w:rsidRDefault="00857FD7" w:rsidP="005C6FB9">
            <w:pPr>
              <w:pStyle w:val="SingleTxtG"/>
              <w:ind w:left="0" w:right="0"/>
              <w:jc w:val="left"/>
            </w:pPr>
            <w:r>
              <w:rPr>
                <w:i/>
              </w:rPr>
              <w:t>Question(s) de procédure</w:t>
            </w:r>
            <w:r>
              <w:t> :</w:t>
            </w:r>
          </w:p>
        </w:tc>
        <w:tc>
          <w:tcPr>
            <w:tcW w:w="3970" w:type="dxa"/>
            <w:vAlign w:val="bottom"/>
          </w:tcPr>
          <w:p w14:paraId="2DAE9B2A" w14:textId="77777777" w:rsidR="00857FD7" w:rsidRDefault="00857FD7" w:rsidP="005C6FB9">
            <w:pPr>
              <w:pStyle w:val="SingleTxtG"/>
              <w:ind w:left="0" w:right="0"/>
              <w:jc w:val="left"/>
            </w:pPr>
            <w:r w:rsidRPr="00FB1D2E">
              <w:t>Épuisement des recours internes</w:t>
            </w:r>
            <w:r>
              <w:t> </w:t>
            </w:r>
            <w:r w:rsidRPr="00FB1D2E">
              <w:t>; fondement des griefs</w:t>
            </w:r>
            <w:r>
              <w:t> </w:t>
            </w:r>
            <w:r w:rsidRPr="00FB1D2E">
              <w:t xml:space="preserve">; recevabilité </w:t>
            </w:r>
            <w:r w:rsidRPr="00685519">
              <w:rPr>
                <w:i/>
              </w:rPr>
              <w:t>ratione personae</w:t>
            </w:r>
          </w:p>
        </w:tc>
      </w:tr>
      <w:tr w:rsidR="00857FD7" w14:paraId="500BDDEA" w14:textId="77777777" w:rsidTr="00857FD7">
        <w:tc>
          <w:tcPr>
            <w:tcW w:w="2835" w:type="dxa"/>
          </w:tcPr>
          <w:p w14:paraId="31B3CFA8" w14:textId="77777777" w:rsidR="00857FD7" w:rsidRDefault="00857FD7" w:rsidP="005C6FB9">
            <w:pPr>
              <w:pStyle w:val="SingleTxtG"/>
              <w:ind w:left="0" w:right="0"/>
              <w:jc w:val="left"/>
            </w:pPr>
            <w:r>
              <w:rPr>
                <w:i/>
              </w:rPr>
              <w:t>Question(s) de fond</w:t>
            </w:r>
            <w:r>
              <w:t> :</w:t>
            </w:r>
          </w:p>
        </w:tc>
        <w:tc>
          <w:tcPr>
            <w:tcW w:w="3970" w:type="dxa"/>
            <w:vAlign w:val="bottom"/>
          </w:tcPr>
          <w:p w14:paraId="5A32203E" w14:textId="77777777" w:rsidR="00857FD7" w:rsidRDefault="00857FD7" w:rsidP="005C6FB9">
            <w:pPr>
              <w:pStyle w:val="SingleTxtG"/>
              <w:ind w:left="0" w:right="0"/>
              <w:jc w:val="left"/>
            </w:pPr>
            <w:r w:rsidRPr="00FB1D2E">
              <w:t>Droit à un procès équitable</w:t>
            </w:r>
            <w:r>
              <w:t> </w:t>
            </w:r>
            <w:r w:rsidRPr="00FB1D2E">
              <w:t>; recours utile</w:t>
            </w:r>
          </w:p>
        </w:tc>
      </w:tr>
      <w:tr w:rsidR="00857FD7" w14:paraId="311E8EB6" w14:textId="77777777" w:rsidTr="00857FD7">
        <w:tc>
          <w:tcPr>
            <w:tcW w:w="2835" w:type="dxa"/>
          </w:tcPr>
          <w:p w14:paraId="724D295B" w14:textId="77777777" w:rsidR="00857FD7" w:rsidRDefault="00857FD7" w:rsidP="005C6FB9">
            <w:pPr>
              <w:pStyle w:val="SingleTxtG"/>
              <w:ind w:left="0" w:right="0"/>
              <w:jc w:val="left"/>
            </w:pPr>
            <w:r w:rsidRPr="00FB1D2E">
              <w:rPr>
                <w:i/>
              </w:rPr>
              <w:t>Article(s) du Pacte</w:t>
            </w:r>
            <w:r>
              <w:rPr>
                <w:i/>
              </w:rPr>
              <w:t> </w:t>
            </w:r>
            <w:r>
              <w:t>:</w:t>
            </w:r>
          </w:p>
        </w:tc>
        <w:tc>
          <w:tcPr>
            <w:tcW w:w="3970" w:type="dxa"/>
            <w:vAlign w:val="bottom"/>
          </w:tcPr>
          <w:p w14:paraId="15386F9D" w14:textId="77777777" w:rsidR="00857FD7" w:rsidRDefault="00857FD7" w:rsidP="005C6FB9">
            <w:pPr>
              <w:pStyle w:val="SingleTxtG"/>
              <w:ind w:left="0" w:right="0"/>
              <w:jc w:val="left"/>
            </w:pPr>
            <w:r w:rsidRPr="00FB1D2E">
              <w:t>2 (par. 2 et 3) et 14 (par. 1)</w:t>
            </w:r>
          </w:p>
        </w:tc>
      </w:tr>
      <w:tr w:rsidR="00857FD7" w14:paraId="26125A7B" w14:textId="77777777" w:rsidTr="00857FD7">
        <w:tc>
          <w:tcPr>
            <w:tcW w:w="2835" w:type="dxa"/>
          </w:tcPr>
          <w:p w14:paraId="7C55AA30" w14:textId="77777777" w:rsidR="00857FD7" w:rsidRPr="00FB1D2E" w:rsidRDefault="00857FD7" w:rsidP="005C6FB9">
            <w:pPr>
              <w:pStyle w:val="SingleTxtG"/>
              <w:ind w:left="0" w:right="0"/>
              <w:jc w:val="left"/>
            </w:pPr>
            <w:r w:rsidRPr="00FB1D2E">
              <w:rPr>
                <w:i/>
              </w:rPr>
              <w:t>Article(s) du Protocole facultatif</w:t>
            </w:r>
            <w:r>
              <w:t> :</w:t>
            </w:r>
          </w:p>
        </w:tc>
        <w:tc>
          <w:tcPr>
            <w:tcW w:w="3970" w:type="dxa"/>
            <w:vAlign w:val="bottom"/>
          </w:tcPr>
          <w:p w14:paraId="7D6EFDFA" w14:textId="77777777" w:rsidR="00857FD7" w:rsidRPr="00FB1D2E" w:rsidRDefault="00857FD7" w:rsidP="005C6FB9">
            <w:pPr>
              <w:pStyle w:val="SingleTxtG"/>
              <w:ind w:left="0" w:right="0"/>
              <w:jc w:val="left"/>
            </w:pPr>
            <w:r w:rsidRPr="00FB1D2E">
              <w:t>2, 3 et 5 (par. 2 b))</w:t>
            </w:r>
          </w:p>
        </w:tc>
      </w:tr>
    </w:tbl>
    <w:p w14:paraId="2925E180" w14:textId="6316C92F" w:rsidR="00857FD7" w:rsidRPr="00D628AB" w:rsidRDefault="00857FD7" w:rsidP="00857FD7">
      <w:pPr>
        <w:pStyle w:val="SingleTxtG"/>
      </w:pPr>
      <w:r w:rsidRPr="00D628AB">
        <w:rPr>
          <w:lang w:val="fr-FR"/>
        </w:rPr>
        <w:t>1.</w:t>
      </w:r>
      <w:r w:rsidRPr="00D628AB">
        <w:rPr>
          <w:lang w:val="fr-FR"/>
        </w:rPr>
        <w:tab/>
        <w:t>L</w:t>
      </w:r>
      <w:r>
        <w:rPr>
          <w:lang w:val="fr-FR"/>
        </w:rPr>
        <w:t>’</w:t>
      </w:r>
      <w:r w:rsidRPr="00D628AB">
        <w:rPr>
          <w:lang w:val="fr-FR"/>
        </w:rPr>
        <w:t>auteur de la communication est V.</w:t>
      </w:r>
      <w:r>
        <w:rPr>
          <w:lang w:val="fr-FR"/>
        </w:rPr>
        <w:t> </w:t>
      </w:r>
      <w:r w:rsidRPr="00D628AB">
        <w:rPr>
          <w:lang w:val="fr-FR"/>
        </w:rPr>
        <w:t>P</w:t>
      </w:r>
      <w:r w:rsidR="00552FA8">
        <w:rPr>
          <w:lang w:val="fr-FR"/>
        </w:rPr>
        <w:t>.</w:t>
      </w:r>
      <w:r w:rsidRPr="00D628AB">
        <w:rPr>
          <w:lang w:val="fr-FR"/>
        </w:rPr>
        <w:t>, de nationalité bélarussienne, né en 1969. Il affirme être victime d</w:t>
      </w:r>
      <w:r>
        <w:rPr>
          <w:lang w:val="fr-FR"/>
        </w:rPr>
        <w:t>’</w:t>
      </w:r>
      <w:r w:rsidRPr="00D628AB">
        <w:rPr>
          <w:lang w:val="fr-FR"/>
        </w:rPr>
        <w:t>une violation par le Bélarus des droits qu</w:t>
      </w:r>
      <w:r>
        <w:rPr>
          <w:lang w:val="fr-FR"/>
        </w:rPr>
        <w:t>’</w:t>
      </w:r>
      <w:r w:rsidRPr="00D628AB">
        <w:rPr>
          <w:lang w:val="fr-FR"/>
        </w:rPr>
        <w:t>il tient du paragraphe</w:t>
      </w:r>
      <w:r>
        <w:rPr>
          <w:lang w:val="fr-FR"/>
        </w:rPr>
        <w:t> </w:t>
      </w:r>
      <w:r w:rsidRPr="00D628AB">
        <w:rPr>
          <w:lang w:val="fr-FR"/>
        </w:rPr>
        <w:t>1 de l</w:t>
      </w:r>
      <w:r>
        <w:rPr>
          <w:lang w:val="fr-FR"/>
        </w:rPr>
        <w:t>’</w:t>
      </w:r>
      <w:r w:rsidRPr="00D628AB">
        <w:rPr>
          <w:lang w:val="fr-FR"/>
        </w:rPr>
        <w:t>article</w:t>
      </w:r>
      <w:r>
        <w:rPr>
          <w:lang w:val="fr-FR"/>
        </w:rPr>
        <w:t> </w:t>
      </w:r>
      <w:r w:rsidRPr="00D628AB">
        <w:rPr>
          <w:lang w:val="fr-FR"/>
        </w:rPr>
        <w:t>14, lu conjointement avec les paragraphes</w:t>
      </w:r>
      <w:r>
        <w:rPr>
          <w:lang w:val="fr-FR"/>
        </w:rPr>
        <w:t> </w:t>
      </w:r>
      <w:r w:rsidRPr="00D628AB">
        <w:rPr>
          <w:lang w:val="fr-FR"/>
        </w:rPr>
        <w:t>2 et 3</w:t>
      </w:r>
      <w:r>
        <w:rPr>
          <w:lang w:val="fr-FR"/>
        </w:rPr>
        <w:t> </w:t>
      </w:r>
      <w:r w:rsidRPr="00D628AB">
        <w:rPr>
          <w:lang w:val="fr-FR"/>
        </w:rPr>
        <w:t>b) de l</w:t>
      </w:r>
      <w:r>
        <w:rPr>
          <w:lang w:val="fr-FR"/>
        </w:rPr>
        <w:t>’</w:t>
      </w:r>
      <w:r w:rsidRPr="00D628AB">
        <w:rPr>
          <w:lang w:val="fr-FR"/>
        </w:rPr>
        <w:t>article</w:t>
      </w:r>
      <w:r>
        <w:rPr>
          <w:lang w:val="fr-FR"/>
        </w:rPr>
        <w:t> </w:t>
      </w:r>
      <w:r w:rsidRPr="00D628AB">
        <w:rPr>
          <w:lang w:val="fr-FR"/>
        </w:rPr>
        <w:t>2 du Pacte. Le Protocole facultatif est entré en vigueur pour l</w:t>
      </w:r>
      <w:r>
        <w:rPr>
          <w:lang w:val="fr-FR"/>
        </w:rPr>
        <w:t>’</w:t>
      </w:r>
      <w:r w:rsidRPr="00D628AB">
        <w:rPr>
          <w:lang w:val="fr-FR"/>
        </w:rPr>
        <w:t>État partie le 30</w:t>
      </w:r>
      <w:r>
        <w:rPr>
          <w:lang w:val="fr-FR"/>
        </w:rPr>
        <w:t> </w:t>
      </w:r>
      <w:r w:rsidRPr="00D628AB">
        <w:rPr>
          <w:lang w:val="fr-FR"/>
        </w:rPr>
        <w:t>décembre 1992. L</w:t>
      </w:r>
      <w:r>
        <w:rPr>
          <w:lang w:val="fr-FR"/>
        </w:rPr>
        <w:t>’</w:t>
      </w:r>
      <w:r w:rsidRPr="00D628AB">
        <w:rPr>
          <w:lang w:val="fr-FR"/>
        </w:rPr>
        <w:t>auteur n</w:t>
      </w:r>
      <w:r>
        <w:rPr>
          <w:lang w:val="fr-FR"/>
        </w:rPr>
        <w:t>’</w:t>
      </w:r>
      <w:r w:rsidRPr="00D628AB">
        <w:rPr>
          <w:lang w:val="fr-FR"/>
        </w:rPr>
        <w:t>est pas représenté par un conseil.</w:t>
      </w:r>
    </w:p>
    <w:p w14:paraId="2D48A38C" w14:textId="77777777" w:rsidR="00857FD7" w:rsidRPr="00D628AB" w:rsidRDefault="00857FD7" w:rsidP="00857FD7">
      <w:pPr>
        <w:pStyle w:val="H23G"/>
      </w:pPr>
      <w:r w:rsidRPr="00D628AB">
        <w:rPr>
          <w:lang w:val="fr-FR"/>
        </w:rPr>
        <w:tab/>
      </w:r>
      <w:r w:rsidRPr="00D628AB">
        <w:rPr>
          <w:lang w:val="fr-FR"/>
        </w:rPr>
        <w:tab/>
        <w:t>Rappel des faits présentés par l</w:t>
      </w:r>
      <w:r>
        <w:rPr>
          <w:lang w:val="fr-FR"/>
        </w:rPr>
        <w:t>’</w:t>
      </w:r>
      <w:r w:rsidRPr="00D628AB">
        <w:rPr>
          <w:lang w:val="fr-FR"/>
        </w:rPr>
        <w:t>auteur</w:t>
      </w:r>
    </w:p>
    <w:p w14:paraId="56B7069A" w14:textId="77777777" w:rsidR="00857FD7" w:rsidRPr="00D628AB" w:rsidRDefault="00857FD7" w:rsidP="00857FD7">
      <w:pPr>
        <w:pStyle w:val="SingleTxtG"/>
      </w:pPr>
      <w:r w:rsidRPr="00D628AB">
        <w:rPr>
          <w:lang w:val="fr-FR"/>
        </w:rPr>
        <w:t>2</w:t>
      </w:r>
      <w:r>
        <w:rPr>
          <w:lang w:val="fr-FR"/>
        </w:rPr>
        <w:t>.</w:t>
      </w:r>
      <w:r w:rsidRPr="00D628AB">
        <w:rPr>
          <w:lang w:val="fr-FR"/>
        </w:rPr>
        <w:t>1</w:t>
      </w:r>
      <w:r w:rsidRPr="00D628AB">
        <w:rPr>
          <w:lang w:val="fr-FR"/>
        </w:rPr>
        <w:tab/>
        <w:t>L</w:t>
      </w:r>
      <w:r>
        <w:rPr>
          <w:lang w:val="fr-FR"/>
        </w:rPr>
        <w:t>’</w:t>
      </w:r>
      <w:r w:rsidRPr="00D628AB">
        <w:rPr>
          <w:lang w:val="fr-FR"/>
        </w:rPr>
        <w:t xml:space="preserve">auteur est membre du Parti </w:t>
      </w:r>
      <w:r>
        <w:rPr>
          <w:lang w:val="fr-FR"/>
        </w:rPr>
        <w:t>civique</w:t>
      </w:r>
      <w:r w:rsidRPr="00D628AB">
        <w:rPr>
          <w:lang w:val="fr-FR"/>
        </w:rPr>
        <w:t xml:space="preserve"> uni et </w:t>
      </w:r>
      <w:r>
        <w:rPr>
          <w:lang w:val="fr-FR"/>
        </w:rPr>
        <w:t>p</w:t>
      </w:r>
      <w:r w:rsidRPr="00D628AB">
        <w:rPr>
          <w:lang w:val="fr-FR"/>
        </w:rPr>
        <w:t xml:space="preserve">résident de la section régionale de Gomel de ce parti. En 2010, la section régionale de Gomel du Parti </w:t>
      </w:r>
      <w:r>
        <w:rPr>
          <w:lang w:val="fr-FR"/>
        </w:rPr>
        <w:t>civique</w:t>
      </w:r>
      <w:r w:rsidRPr="00D628AB">
        <w:rPr>
          <w:lang w:val="fr-FR"/>
        </w:rPr>
        <w:t xml:space="preserve"> uni a élu </w:t>
      </w:r>
      <w:r>
        <w:rPr>
          <w:lang w:val="fr-FR"/>
        </w:rPr>
        <w:t xml:space="preserve">la </w:t>
      </w:r>
      <w:r>
        <w:rPr>
          <w:lang w:val="fr-FR"/>
        </w:rPr>
        <w:lastRenderedPageBreak/>
        <w:t>personne dont elle proposerait qu</w:t>
      </w:r>
      <w:r>
        <w:rPr>
          <w:lang w:val="fr-FR"/>
        </w:rPr>
        <w:t>’</w:t>
      </w:r>
      <w:r>
        <w:rPr>
          <w:lang w:val="fr-FR"/>
        </w:rPr>
        <w:t>elle siège</w:t>
      </w:r>
      <w:r w:rsidRPr="00D628AB">
        <w:rPr>
          <w:lang w:val="fr-FR"/>
        </w:rPr>
        <w:t xml:space="preserve"> à la </w:t>
      </w:r>
      <w:r>
        <w:rPr>
          <w:lang w:val="fr-FR"/>
        </w:rPr>
        <w:t>C</w:t>
      </w:r>
      <w:r w:rsidRPr="00D628AB">
        <w:rPr>
          <w:lang w:val="fr-FR"/>
        </w:rPr>
        <w:t xml:space="preserve">ommission électorale de district, qui était en cours de constitution, en prévision des élections au conseil local de 2010. </w:t>
      </w:r>
      <w:r>
        <w:rPr>
          <w:lang w:val="fr-FR"/>
        </w:rPr>
        <w:t>L</w:t>
      </w:r>
      <w:r>
        <w:rPr>
          <w:lang w:val="fr-FR"/>
        </w:rPr>
        <w:t>’</w:t>
      </w:r>
      <w:r>
        <w:rPr>
          <w:lang w:val="fr-FR"/>
        </w:rPr>
        <w:t xml:space="preserve">auteur soutient que sur les 13 membres de la Commission, 5 devaient être des représentants de partis politiques. </w:t>
      </w:r>
      <w:r w:rsidRPr="00701F80">
        <w:t>Seuls quatre candidats avaient été proposés par</w:t>
      </w:r>
      <w:r>
        <w:t xml:space="preserve"> d</w:t>
      </w:r>
      <w:r w:rsidRPr="00701F80">
        <w:t>es partis politiques, dont l</w:t>
      </w:r>
      <w:r>
        <w:t>’</w:t>
      </w:r>
      <w:r w:rsidRPr="00701F80">
        <w:t xml:space="preserve">auteur, proposé par le Parti </w:t>
      </w:r>
      <w:r>
        <w:t>civique</w:t>
      </w:r>
      <w:r w:rsidRPr="00701F80">
        <w:t xml:space="preserve"> uni.</w:t>
      </w:r>
      <w:r w:rsidRPr="00701F80">
        <w:rPr>
          <w:lang w:val="fr-FR"/>
        </w:rPr>
        <w:t xml:space="preserve"> </w:t>
      </w:r>
      <w:r w:rsidRPr="00D628AB">
        <w:rPr>
          <w:lang w:val="fr-FR"/>
        </w:rPr>
        <w:t>Le 28</w:t>
      </w:r>
      <w:r>
        <w:rPr>
          <w:lang w:val="fr-FR"/>
        </w:rPr>
        <w:t> </w:t>
      </w:r>
      <w:r w:rsidRPr="00D628AB">
        <w:rPr>
          <w:lang w:val="fr-FR"/>
        </w:rPr>
        <w:t>janvier 2010, le Présidium du Conseil des députés du district de Gomel et le Comité exécutif de Gomel ont pris une décision concernant la composition de la Commission, laquelle ne prévoyait pas qu</w:t>
      </w:r>
      <w:r>
        <w:rPr>
          <w:lang w:val="fr-FR"/>
        </w:rPr>
        <w:t>e le</w:t>
      </w:r>
      <w:r w:rsidRPr="00D628AB">
        <w:rPr>
          <w:lang w:val="fr-FR"/>
        </w:rPr>
        <w:t xml:space="preserve"> représentant du Parti </w:t>
      </w:r>
      <w:r>
        <w:rPr>
          <w:lang w:val="fr-FR"/>
        </w:rPr>
        <w:t>civique</w:t>
      </w:r>
      <w:r w:rsidRPr="00D628AB">
        <w:rPr>
          <w:lang w:val="fr-FR"/>
        </w:rPr>
        <w:t xml:space="preserve"> uni y siège. </w:t>
      </w:r>
    </w:p>
    <w:p w14:paraId="46852C7E" w14:textId="77777777" w:rsidR="00857FD7" w:rsidRPr="00D628AB" w:rsidRDefault="00857FD7" w:rsidP="00857FD7">
      <w:pPr>
        <w:pStyle w:val="SingleTxtG"/>
      </w:pPr>
      <w:r w:rsidRPr="00D628AB">
        <w:rPr>
          <w:lang w:val="fr-FR"/>
        </w:rPr>
        <w:t>2</w:t>
      </w:r>
      <w:r>
        <w:rPr>
          <w:lang w:val="fr-FR"/>
        </w:rPr>
        <w:t>.</w:t>
      </w:r>
      <w:r w:rsidRPr="00D628AB">
        <w:rPr>
          <w:lang w:val="fr-FR"/>
        </w:rPr>
        <w:t>2</w:t>
      </w:r>
      <w:r w:rsidRPr="00D628AB">
        <w:rPr>
          <w:lang w:val="fr-FR"/>
        </w:rPr>
        <w:tab/>
        <w:t>Le 30</w:t>
      </w:r>
      <w:r>
        <w:rPr>
          <w:lang w:val="fr-FR"/>
        </w:rPr>
        <w:t> </w:t>
      </w:r>
      <w:r w:rsidRPr="00D628AB">
        <w:rPr>
          <w:lang w:val="fr-FR"/>
        </w:rPr>
        <w:t xml:space="preserve">janvier 2010, en sa qualité de </w:t>
      </w:r>
      <w:r>
        <w:rPr>
          <w:lang w:val="fr-FR"/>
        </w:rPr>
        <w:t>p</w:t>
      </w:r>
      <w:r w:rsidRPr="00D628AB">
        <w:rPr>
          <w:lang w:val="fr-FR"/>
        </w:rPr>
        <w:t>résident de la section régionale du parti de Gomel, l</w:t>
      </w:r>
      <w:r>
        <w:rPr>
          <w:lang w:val="fr-FR"/>
        </w:rPr>
        <w:t>’</w:t>
      </w:r>
      <w:r w:rsidRPr="00D628AB">
        <w:rPr>
          <w:lang w:val="fr-FR"/>
        </w:rPr>
        <w:t>auteur</w:t>
      </w:r>
      <w:r>
        <w:rPr>
          <w:lang w:val="fr-FR"/>
        </w:rPr>
        <w:t xml:space="preserve"> a, au nom du </w:t>
      </w:r>
      <w:r w:rsidRPr="00D628AB">
        <w:rPr>
          <w:lang w:val="fr-FR"/>
        </w:rPr>
        <w:t xml:space="preserve">Parti </w:t>
      </w:r>
      <w:r>
        <w:rPr>
          <w:lang w:val="fr-FR"/>
        </w:rPr>
        <w:t>civique</w:t>
      </w:r>
      <w:r w:rsidRPr="00D628AB">
        <w:rPr>
          <w:lang w:val="fr-FR"/>
        </w:rPr>
        <w:t xml:space="preserve"> uni</w:t>
      </w:r>
      <w:r>
        <w:rPr>
          <w:lang w:val="fr-FR"/>
        </w:rPr>
        <w:t>,</w:t>
      </w:r>
      <w:r w:rsidRPr="00D628AB">
        <w:rPr>
          <w:lang w:val="fr-FR"/>
        </w:rPr>
        <w:t xml:space="preserve"> saisi le tribunal de district de Gomel d</w:t>
      </w:r>
      <w:r>
        <w:rPr>
          <w:lang w:val="fr-FR"/>
        </w:rPr>
        <w:t>’</w:t>
      </w:r>
      <w:r w:rsidRPr="00D628AB">
        <w:rPr>
          <w:lang w:val="fr-FR"/>
        </w:rPr>
        <w:t xml:space="preserve">une plainte concernant la décision du Conseil des députés et du Comité exécutif. </w:t>
      </w:r>
      <w:r>
        <w:rPr>
          <w:lang w:val="fr-FR"/>
        </w:rPr>
        <w:t>Il y affirmait que les droits du Parti avaient été violés car son représentant n</w:t>
      </w:r>
      <w:r>
        <w:rPr>
          <w:lang w:val="fr-FR"/>
        </w:rPr>
        <w:t>’</w:t>
      </w:r>
      <w:r>
        <w:rPr>
          <w:lang w:val="fr-FR"/>
        </w:rPr>
        <w:t>avait pas été nommé à la Commission électorale de district. Il soutenait également que l</w:t>
      </w:r>
      <w:r>
        <w:rPr>
          <w:lang w:val="fr-FR"/>
        </w:rPr>
        <w:t>’</w:t>
      </w:r>
      <w:r>
        <w:rPr>
          <w:lang w:val="fr-FR"/>
        </w:rPr>
        <w:t>absence d</w:t>
      </w:r>
      <w:r>
        <w:rPr>
          <w:lang w:val="fr-FR"/>
        </w:rPr>
        <w:t>’</w:t>
      </w:r>
      <w:r>
        <w:rPr>
          <w:lang w:val="fr-FR"/>
        </w:rPr>
        <w:t>un représentant d</w:t>
      </w:r>
      <w:r>
        <w:rPr>
          <w:lang w:val="fr-FR"/>
        </w:rPr>
        <w:t>’</w:t>
      </w:r>
      <w:r>
        <w:rPr>
          <w:lang w:val="fr-FR"/>
        </w:rPr>
        <w:t xml:space="preserve">un parti démocratique à la Commission électorale compromettrait le processus électoral. </w:t>
      </w:r>
      <w:r w:rsidRPr="00D628AB">
        <w:rPr>
          <w:lang w:val="fr-FR"/>
        </w:rPr>
        <w:t>Sa plainte a été rejetée le 4</w:t>
      </w:r>
      <w:r>
        <w:rPr>
          <w:lang w:val="fr-FR"/>
        </w:rPr>
        <w:t> </w:t>
      </w:r>
      <w:r w:rsidRPr="00D628AB">
        <w:rPr>
          <w:lang w:val="fr-FR"/>
        </w:rPr>
        <w:t xml:space="preserve">février 2010. Le tribunal de district a conclu que la décision du Conseil des députés et du Comité exécutif avait été prise conformément à la loi. </w:t>
      </w:r>
    </w:p>
    <w:p w14:paraId="7E08C2D9" w14:textId="77777777" w:rsidR="00857FD7" w:rsidRPr="00D628AB" w:rsidRDefault="00857FD7" w:rsidP="00857FD7">
      <w:pPr>
        <w:pStyle w:val="SingleTxtG"/>
      </w:pPr>
      <w:r w:rsidRPr="00D628AB">
        <w:rPr>
          <w:lang w:val="fr-FR"/>
        </w:rPr>
        <w:t>2</w:t>
      </w:r>
      <w:r>
        <w:rPr>
          <w:lang w:val="fr-FR"/>
        </w:rPr>
        <w:t>.</w:t>
      </w:r>
      <w:r w:rsidRPr="00D628AB">
        <w:rPr>
          <w:lang w:val="fr-FR"/>
        </w:rPr>
        <w:t>3</w:t>
      </w:r>
      <w:r w:rsidRPr="00D628AB">
        <w:rPr>
          <w:lang w:val="fr-FR"/>
        </w:rPr>
        <w:tab/>
        <w:t>Le 5</w:t>
      </w:r>
      <w:r>
        <w:rPr>
          <w:lang w:val="fr-FR"/>
        </w:rPr>
        <w:t> </w:t>
      </w:r>
      <w:r w:rsidRPr="00D628AB">
        <w:rPr>
          <w:lang w:val="fr-FR"/>
        </w:rPr>
        <w:t>février 2010, l</w:t>
      </w:r>
      <w:r>
        <w:rPr>
          <w:lang w:val="fr-FR"/>
        </w:rPr>
        <w:t>’</w:t>
      </w:r>
      <w:r w:rsidRPr="00D628AB">
        <w:rPr>
          <w:lang w:val="fr-FR"/>
        </w:rPr>
        <w:t>auteur a formé un recours en cassation devant la chambre civile de la Cour suprême. Le 10</w:t>
      </w:r>
      <w:r>
        <w:rPr>
          <w:lang w:val="fr-FR"/>
        </w:rPr>
        <w:t> </w:t>
      </w:r>
      <w:r w:rsidRPr="00D628AB">
        <w:rPr>
          <w:lang w:val="fr-FR"/>
        </w:rPr>
        <w:t>février 2010, le tribunal régional de Gomel l</w:t>
      </w:r>
      <w:r>
        <w:rPr>
          <w:lang w:val="fr-FR"/>
        </w:rPr>
        <w:t>’</w:t>
      </w:r>
      <w:r w:rsidRPr="00D628AB">
        <w:rPr>
          <w:lang w:val="fr-FR"/>
        </w:rPr>
        <w:t>a informé par lettre que la décision du tribunal de district n</w:t>
      </w:r>
      <w:r>
        <w:rPr>
          <w:lang w:val="fr-FR"/>
        </w:rPr>
        <w:t>’</w:t>
      </w:r>
      <w:r w:rsidRPr="00D628AB">
        <w:rPr>
          <w:lang w:val="fr-FR"/>
        </w:rPr>
        <w:t>était pas susceptible de recours en cassation, conformément à l</w:t>
      </w:r>
      <w:r>
        <w:rPr>
          <w:lang w:val="fr-FR"/>
        </w:rPr>
        <w:t>’</w:t>
      </w:r>
      <w:r w:rsidRPr="00D628AB">
        <w:rPr>
          <w:lang w:val="fr-FR"/>
        </w:rPr>
        <w:t>article</w:t>
      </w:r>
      <w:r>
        <w:rPr>
          <w:lang w:val="fr-FR"/>
        </w:rPr>
        <w:t> </w:t>
      </w:r>
      <w:r w:rsidRPr="00D628AB">
        <w:rPr>
          <w:lang w:val="fr-FR"/>
        </w:rPr>
        <w:t>343 du Code de procédure civile et à l</w:t>
      </w:r>
      <w:r>
        <w:rPr>
          <w:lang w:val="fr-FR"/>
        </w:rPr>
        <w:t>’</w:t>
      </w:r>
      <w:r w:rsidRPr="00D628AB">
        <w:rPr>
          <w:lang w:val="fr-FR"/>
        </w:rPr>
        <w:t>article</w:t>
      </w:r>
      <w:r>
        <w:rPr>
          <w:lang w:val="fr-FR"/>
        </w:rPr>
        <w:t> </w:t>
      </w:r>
      <w:r w:rsidRPr="00D628AB">
        <w:rPr>
          <w:lang w:val="fr-FR"/>
        </w:rPr>
        <w:t>34 du Code électoral, qui disposent que la décision d</w:t>
      </w:r>
      <w:r>
        <w:rPr>
          <w:lang w:val="fr-FR"/>
        </w:rPr>
        <w:t>’</w:t>
      </w:r>
      <w:r w:rsidRPr="00D628AB">
        <w:rPr>
          <w:lang w:val="fr-FR"/>
        </w:rPr>
        <w:t xml:space="preserve">un tribunal de première instance concernant </w:t>
      </w:r>
      <w:r>
        <w:rPr>
          <w:lang w:val="fr-FR"/>
        </w:rPr>
        <w:t>la</w:t>
      </w:r>
      <w:r w:rsidRPr="00D628AB">
        <w:rPr>
          <w:lang w:val="fr-FR"/>
        </w:rPr>
        <w:t xml:space="preserve"> décision d</w:t>
      </w:r>
      <w:r>
        <w:rPr>
          <w:lang w:val="fr-FR"/>
        </w:rPr>
        <w:t>’</w:t>
      </w:r>
      <w:r w:rsidRPr="00D628AB">
        <w:rPr>
          <w:lang w:val="fr-FR"/>
        </w:rPr>
        <w:t>un organe chargé de constituer une commission électorale passe immédiatement en force de chose jugée et n</w:t>
      </w:r>
      <w:r>
        <w:rPr>
          <w:lang w:val="fr-FR"/>
        </w:rPr>
        <w:t>’</w:t>
      </w:r>
      <w:r w:rsidRPr="00D628AB">
        <w:rPr>
          <w:lang w:val="fr-FR"/>
        </w:rPr>
        <w:t xml:space="preserve">est pas susceptible de recours. </w:t>
      </w:r>
    </w:p>
    <w:p w14:paraId="3128004F" w14:textId="77777777" w:rsidR="00857FD7" w:rsidRPr="00D628AB" w:rsidRDefault="00857FD7" w:rsidP="00857FD7">
      <w:pPr>
        <w:pStyle w:val="SingleTxtG"/>
      </w:pPr>
      <w:r w:rsidRPr="00D628AB">
        <w:rPr>
          <w:lang w:val="fr-FR"/>
        </w:rPr>
        <w:t>2</w:t>
      </w:r>
      <w:r>
        <w:rPr>
          <w:lang w:val="fr-FR"/>
        </w:rPr>
        <w:t>.</w:t>
      </w:r>
      <w:r w:rsidRPr="00D628AB">
        <w:rPr>
          <w:lang w:val="fr-FR"/>
        </w:rPr>
        <w:t>4</w:t>
      </w:r>
      <w:r w:rsidRPr="00D628AB">
        <w:rPr>
          <w:lang w:val="fr-FR"/>
        </w:rPr>
        <w:tab/>
        <w:t>Le 1</w:t>
      </w:r>
      <w:r w:rsidRPr="00FB2B9B">
        <w:rPr>
          <w:vertAlign w:val="superscript"/>
          <w:lang w:val="fr-FR"/>
        </w:rPr>
        <w:t>er</w:t>
      </w:r>
      <w:r>
        <w:rPr>
          <w:lang w:val="fr-FR"/>
        </w:rPr>
        <w:t> </w:t>
      </w:r>
      <w:r w:rsidRPr="00D628AB">
        <w:rPr>
          <w:lang w:val="fr-FR"/>
        </w:rPr>
        <w:t>ma</w:t>
      </w:r>
      <w:r>
        <w:rPr>
          <w:lang w:val="fr-FR"/>
        </w:rPr>
        <w:t>rs</w:t>
      </w:r>
      <w:r w:rsidRPr="00D628AB">
        <w:rPr>
          <w:lang w:val="fr-FR"/>
        </w:rPr>
        <w:t xml:space="preserve"> 2010, l</w:t>
      </w:r>
      <w:r>
        <w:rPr>
          <w:lang w:val="fr-FR"/>
        </w:rPr>
        <w:t>’</w:t>
      </w:r>
      <w:r w:rsidRPr="00D628AB">
        <w:rPr>
          <w:lang w:val="fr-FR"/>
        </w:rPr>
        <w:t>auteur a saisi le Président de la Cour suprême d</w:t>
      </w:r>
      <w:r>
        <w:rPr>
          <w:lang w:val="fr-FR"/>
        </w:rPr>
        <w:t>’</w:t>
      </w:r>
      <w:r w:rsidRPr="00D628AB">
        <w:rPr>
          <w:lang w:val="fr-FR"/>
        </w:rPr>
        <w:t>un recours au titre de la procédure de contrôle. Son recours a été rejeté le 19</w:t>
      </w:r>
      <w:r>
        <w:rPr>
          <w:lang w:val="fr-FR"/>
        </w:rPr>
        <w:t> </w:t>
      </w:r>
      <w:r w:rsidRPr="00D628AB">
        <w:rPr>
          <w:lang w:val="fr-FR"/>
        </w:rPr>
        <w:t>mars 2010. Après avoir examiné les griefs soulevés dans sa plainte, le Vice-Président de la Cour suprême a conclu qu</w:t>
      </w:r>
      <w:r>
        <w:rPr>
          <w:lang w:val="fr-FR"/>
        </w:rPr>
        <w:t>’</w:t>
      </w:r>
      <w:r w:rsidRPr="00D628AB">
        <w:rPr>
          <w:lang w:val="fr-FR"/>
        </w:rPr>
        <w:t>il n</w:t>
      </w:r>
      <w:r>
        <w:rPr>
          <w:lang w:val="fr-FR"/>
        </w:rPr>
        <w:t>’</w:t>
      </w:r>
      <w:r w:rsidRPr="00D628AB">
        <w:rPr>
          <w:lang w:val="fr-FR"/>
        </w:rPr>
        <w:t>y</w:t>
      </w:r>
      <w:r>
        <w:rPr>
          <w:lang w:val="fr-FR"/>
        </w:rPr>
        <w:t> </w:t>
      </w:r>
      <w:r w:rsidRPr="00D628AB">
        <w:rPr>
          <w:lang w:val="fr-FR"/>
        </w:rPr>
        <w:t>avait pas de motif d</w:t>
      </w:r>
      <w:r>
        <w:rPr>
          <w:lang w:val="fr-FR"/>
        </w:rPr>
        <w:t>e contester</w:t>
      </w:r>
      <w:r w:rsidRPr="00D628AB">
        <w:rPr>
          <w:lang w:val="fr-FR"/>
        </w:rPr>
        <w:t xml:space="preserve"> la décision du tribunal de district au titre de la procédure de contrôle. Le 23</w:t>
      </w:r>
      <w:r>
        <w:rPr>
          <w:lang w:val="fr-FR"/>
        </w:rPr>
        <w:t> </w:t>
      </w:r>
      <w:r w:rsidRPr="00D628AB">
        <w:rPr>
          <w:lang w:val="fr-FR"/>
        </w:rPr>
        <w:t>mars 2010, l</w:t>
      </w:r>
      <w:r>
        <w:rPr>
          <w:lang w:val="fr-FR"/>
        </w:rPr>
        <w:t>’</w:t>
      </w:r>
      <w:r w:rsidRPr="00D628AB">
        <w:rPr>
          <w:lang w:val="fr-FR"/>
        </w:rPr>
        <w:t>auteur a soumis une plainte à la Cour constitutionnelle. Cette plainte a été rejetée le 5</w:t>
      </w:r>
      <w:r>
        <w:rPr>
          <w:lang w:val="fr-FR"/>
        </w:rPr>
        <w:t> </w:t>
      </w:r>
      <w:r w:rsidRPr="00D628AB">
        <w:rPr>
          <w:lang w:val="fr-FR"/>
        </w:rPr>
        <w:t>avril 2010 au motif que le Conseil constitutionnel ne connaît pas de</w:t>
      </w:r>
      <w:r>
        <w:rPr>
          <w:lang w:val="fr-FR"/>
        </w:rPr>
        <w:t>s</w:t>
      </w:r>
      <w:r w:rsidRPr="00D628AB">
        <w:rPr>
          <w:lang w:val="fr-FR"/>
        </w:rPr>
        <w:t xml:space="preserve"> plaintes soumises par </w:t>
      </w:r>
      <w:r>
        <w:rPr>
          <w:lang w:val="fr-FR"/>
        </w:rPr>
        <w:t>l</w:t>
      </w:r>
      <w:r w:rsidRPr="00D628AB">
        <w:rPr>
          <w:lang w:val="fr-FR"/>
        </w:rPr>
        <w:t>es particuliers.</w:t>
      </w:r>
    </w:p>
    <w:p w14:paraId="66A0ABBE" w14:textId="77777777" w:rsidR="00857FD7" w:rsidRPr="00D628AB" w:rsidRDefault="00857FD7" w:rsidP="00857FD7">
      <w:pPr>
        <w:pStyle w:val="H23G"/>
      </w:pPr>
      <w:r w:rsidRPr="00D628AB">
        <w:rPr>
          <w:lang w:val="fr-FR"/>
        </w:rPr>
        <w:tab/>
      </w:r>
      <w:r w:rsidRPr="00D628AB">
        <w:rPr>
          <w:lang w:val="fr-FR"/>
        </w:rPr>
        <w:tab/>
        <w:t>Teneur de la plainte</w:t>
      </w:r>
    </w:p>
    <w:p w14:paraId="3CE97815" w14:textId="77777777" w:rsidR="00857FD7" w:rsidRPr="00D628AB" w:rsidRDefault="00857FD7" w:rsidP="00857FD7">
      <w:pPr>
        <w:pStyle w:val="SingleTxtG"/>
        <w:rPr>
          <w:color w:val="000000"/>
        </w:rPr>
      </w:pPr>
      <w:r w:rsidRPr="00D628AB">
        <w:rPr>
          <w:lang w:val="fr-FR"/>
        </w:rPr>
        <w:t>3.</w:t>
      </w:r>
      <w:r w:rsidRPr="00D628AB">
        <w:rPr>
          <w:lang w:val="fr-FR"/>
        </w:rPr>
        <w:tab/>
        <w:t>L</w:t>
      </w:r>
      <w:r>
        <w:rPr>
          <w:lang w:val="fr-FR"/>
        </w:rPr>
        <w:t>’</w:t>
      </w:r>
      <w:r w:rsidRPr="00D628AB">
        <w:rPr>
          <w:lang w:val="fr-FR"/>
        </w:rPr>
        <w:t>auteur affirme que le refus des tribunaux internes d</w:t>
      </w:r>
      <w:r>
        <w:rPr>
          <w:lang w:val="fr-FR"/>
        </w:rPr>
        <w:t>’</w:t>
      </w:r>
      <w:r w:rsidRPr="00D628AB">
        <w:rPr>
          <w:lang w:val="fr-FR"/>
        </w:rPr>
        <w:t>examiner son recours en cassation contre la décision du tribunal de première instance viole son droit à ce que sa cause civile soit entendue équitablement et publiquement par un tribunal de cassation compétent, indépendant et impartial, conformément au paragraphe</w:t>
      </w:r>
      <w:r>
        <w:rPr>
          <w:lang w:val="fr-FR"/>
        </w:rPr>
        <w:t> </w:t>
      </w:r>
      <w:r w:rsidRPr="00D628AB">
        <w:rPr>
          <w:lang w:val="fr-FR"/>
        </w:rPr>
        <w:t>1 de l</w:t>
      </w:r>
      <w:r>
        <w:rPr>
          <w:lang w:val="fr-FR"/>
        </w:rPr>
        <w:t>’</w:t>
      </w:r>
      <w:r w:rsidRPr="00D628AB">
        <w:rPr>
          <w:lang w:val="fr-FR"/>
        </w:rPr>
        <w:t>article</w:t>
      </w:r>
      <w:r>
        <w:rPr>
          <w:lang w:val="fr-FR"/>
        </w:rPr>
        <w:t> </w:t>
      </w:r>
      <w:r w:rsidRPr="00D628AB">
        <w:rPr>
          <w:lang w:val="fr-FR"/>
        </w:rPr>
        <w:t>14, lu conjointement avec les paragraphes</w:t>
      </w:r>
      <w:r>
        <w:rPr>
          <w:lang w:val="fr-FR"/>
        </w:rPr>
        <w:t> </w:t>
      </w:r>
      <w:r w:rsidRPr="00D628AB">
        <w:rPr>
          <w:lang w:val="fr-FR"/>
        </w:rPr>
        <w:t>2 et 3 de l</w:t>
      </w:r>
      <w:r>
        <w:rPr>
          <w:lang w:val="fr-FR"/>
        </w:rPr>
        <w:t>’</w:t>
      </w:r>
      <w:r w:rsidRPr="00D628AB">
        <w:rPr>
          <w:lang w:val="fr-FR"/>
        </w:rPr>
        <w:t>article</w:t>
      </w:r>
      <w:r>
        <w:rPr>
          <w:lang w:val="fr-FR"/>
        </w:rPr>
        <w:t> </w:t>
      </w:r>
      <w:r w:rsidRPr="00D628AB">
        <w:rPr>
          <w:lang w:val="fr-FR"/>
        </w:rPr>
        <w:t xml:space="preserve">2 du Pacte. </w:t>
      </w:r>
    </w:p>
    <w:p w14:paraId="63B09239" w14:textId="77777777" w:rsidR="00857FD7" w:rsidRPr="00D628AB" w:rsidRDefault="00857FD7" w:rsidP="00857FD7">
      <w:pPr>
        <w:pStyle w:val="H23G"/>
      </w:pPr>
      <w:r w:rsidRPr="00D628AB">
        <w:rPr>
          <w:lang w:val="fr-FR"/>
        </w:rPr>
        <w:tab/>
      </w:r>
      <w:r w:rsidRPr="00D628AB">
        <w:rPr>
          <w:lang w:val="fr-FR"/>
        </w:rPr>
        <w:tab/>
        <w:t>Observations de l</w:t>
      </w:r>
      <w:r>
        <w:rPr>
          <w:lang w:val="fr-FR"/>
        </w:rPr>
        <w:t>’</w:t>
      </w:r>
      <w:r w:rsidRPr="00D628AB">
        <w:rPr>
          <w:lang w:val="fr-FR"/>
        </w:rPr>
        <w:t>État partie sur la recevabilité et sur le fond</w:t>
      </w:r>
    </w:p>
    <w:p w14:paraId="07E67152" w14:textId="77777777" w:rsidR="00857FD7" w:rsidRPr="00D628AB" w:rsidRDefault="00857FD7" w:rsidP="00857FD7">
      <w:pPr>
        <w:pStyle w:val="SingleTxtG"/>
        <w:rPr>
          <w:color w:val="000000"/>
        </w:rPr>
      </w:pPr>
      <w:r w:rsidRPr="00D628AB">
        <w:rPr>
          <w:lang w:val="fr-FR"/>
        </w:rPr>
        <w:t>4</w:t>
      </w:r>
      <w:r>
        <w:rPr>
          <w:lang w:val="fr-FR"/>
        </w:rPr>
        <w:t>.</w:t>
      </w:r>
      <w:r w:rsidRPr="00D628AB">
        <w:rPr>
          <w:lang w:val="fr-FR"/>
        </w:rPr>
        <w:t>1</w:t>
      </w:r>
      <w:r w:rsidRPr="00D628AB">
        <w:rPr>
          <w:lang w:val="fr-FR"/>
        </w:rPr>
        <w:tab/>
        <w:t>Par une note verbale du 28</w:t>
      </w:r>
      <w:r>
        <w:rPr>
          <w:lang w:val="fr-FR"/>
        </w:rPr>
        <w:t> </w:t>
      </w:r>
      <w:r w:rsidRPr="00D628AB">
        <w:rPr>
          <w:lang w:val="fr-FR"/>
        </w:rPr>
        <w:t>décembre 2018, l</w:t>
      </w:r>
      <w:r>
        <w:rPr>
          <w:lang w:val="fr-FR"/>
        </w:rPr>
        <w:t>’</w:t>
      </w:r>
      <w:r w:rsidRPr="00D628AB">
        <w:rPr>
          <w:lang w:val="fr-FR"/>
        </w:rPr>
        <w:t>État partie a soumis ses observations, dans lesquelles il affirme que l</w:t>
      </w:r>
      <w:r>
        <w:rPr>
          <w:lang w:val="fr-FR"/>
        </w:rPr>
        <w:t>’</w:t>
      </w:r>
      <w:r w:rsidRPr="00D628AB">
        <w:rPr>
          <w:lang w:val="fr-FR"/>
        </w:rPr>
        <w:t>auteur n</w:t>
      </w:r>
      <w:r>
        <w:rPr>
          <w:lang w:val="fr-FR"/>
        </w:rPr>
        <w:t>’</w:t>
      </w:r>
      <w:r w:rsidRPr="00D628AB">
        <w:rPr>
          <w:lang w:val="fr-FR"/>
        </w:rPr>
        <w:t>a pas épuisé les recours internes car il n</w:t>
      </w:r>
      <w:r>
        <w:rPr>
          <w:lang w:val="fr-FR"/>
        </w:rPr>
        <w:t>’</w:t>
      </w:r>
      <w:r w:rsidRPr="00D628AB">
        <w:rPr>
          <w:lang w:val="fr-FR"/>
        </w:rPr>
        <w:t>a pas soumis de demande de contrôle au Bureau du Procureur, et que ses griefs sont irrecevables au regard des articles</w:t>
      </w:r>
      <w:r>
        <w:rPr>
          <w:lang w:val="fr-FR"/>
        </w:rPr>
        <w:t> </w:t>
      </w:r>
      <w:r w:rsidRPr="00D628AB">
        <w:rPr>
          <w:lang w:val="fr-FR"/>
        </w:rPr>
        <w:t xml:space="preserve">2 et 3 du Protocole facultatif. </w:t>
      </w:r>
      <w:r>
        <w:rPr>
          <w:lang w:val="fr-FR"/>
        </w:rPr>
        <w:t>L</w:t>
      </w:r>
      <w:r>
        <w:rPr>
          <w:lang w:val="fr-FR"/>
        </w:rPr>
        <w:t>’</w:t>
      </w:r>
      <w:r>
        <w:rPr>
          <w:lang w:val="fr-FR"/>
        </w:rPr>
        <w:t xml:space="preserve">État partie fait valoir que, </w:t>
      </w:r>
      <w:r w:rsidRPr="00D628AB">
        <w:rPr>
          <w:lang w:val="fr-FR"/>
        </w:rPr>
        <w:t xml:space="preserve">bien que </w:t>
      </w:r>
      <w:r>
        <w:rPr>
          <w:lang w:val="fr-FR"/>
        </w:rPr>
        <w:t>selon</w:t>
      </w:r>
      <w:r w:rsidRPr="00D628AB">
        <w:rPr>
          <w:lang w:val="fr-FR"/>
        </w:rPr>
        <w:t xml:space="preserve"> la législation en vigueur à l</w:t>
      </w:r>
      <w:r>
        <w:rPr>
          <w:lang w:val="fr-FR"/>
        </w:rPr>
        <w:t>’</w:t>
      </w:r>
      <w:r w:rsidRPr="00D628AB">
        <w:rPr>
          <w:lang w:val="fr-FR"/>
        </w:rPr>
        <w:t>époque, la décision du Conseil des députés et du Comité exécutif en date du 28</w:t>
      </w:r>
      <w:r>
        <w:rPr>
          <w:lang w:val="fr-FR"/>
        </w:rPr>
        <w:t> </w:t>
      </w:r>
      <w:r w:rsidRPr="00D628AB">
        <w:rPr>
          <w:lang w:val="fr-FR"/>
        </w:rPr>
        <w:t>janvier 2010 n</w:t>
      </w:r>
      <w:r>
        <w:rPr>
          <w:lang w:val="fr-FR"/>
        </w:rPr>
        <w:t>’</w:t>
      </w:r>
      <w:r w:rsidRPr="00D628AB">
        <w:rPr>
          <w:lang w:val="fr-FR"/>
        </w:rPr>
        <w:t>était pas susceptible de recours en cassation, elle pouvait faire l</w:t>
      </w:r>
      <w:r>
        <w:rPr>
          <w:lang w:val="fr-FR"/>
        </w:rPr>
        <w:t>’</w:t>
      </w:r>
      <w:r w:rsidRPr="00D628AB">
        <w:rPr>
          <w:lang w:val="fr-FR"/>
        </w:rPr>
        <w:t>objet d</w:t>
      </w:r>
      <w:r>
        <w:rPr>
          <w:lang w:val="fr-FR"/>
        </w:rPr>
        <w:t>’</w:t>
      </w:r>
      <w:r w:rsidRPr="00D628AB">
        <w:rPr>
          <w:lang w:val="fr-FR"/>
        </w:rPr>
        <w:t>un recours au titre de la procédure de contrôle.</w:t>
      </w:r>
      <w:r>
        <w:rPr>
          <w:lang w:val="fr-FR"/>
        </w:rPr>
        <w:t xml:space="preserve"> Il affirme</w:t>
      </w:r>
      <w:r w:rsidRPr="00D628AB">
        <w:rPr>
          <w:lang w:val="fr-FR"/>
        </w:rPr>
        <w:t xml:space="preserve"> qu</w:t>
      </w:r>
      <w:r>
        <w:rPr>
          <w:lang w:val="fr-FR"/>
        </w:rPr>
        <w:t>’</w:t>
      </w:r>
      <w:r w:rsidRPr="00D628AB">
        <w:rPr>
          <w:lang w:val="fr-FR"/>
        </w:rPr>
        <w:t>au cours des neuf premiers mois de 2018, le Bureau du Procureur a soumis 180 contestations au titre de la procédure de contrôle, dont</w:t>
      </w:r>
      <w:r>
        <w:rPr>
          <w:lang w:val="fr-FR"/>
        </w:rPr>
        <w:t> </w:t>
      </w:r>
      <w:r w:rsidRPr="00D628AB">
        <w:rPr>
          <w:lang w:val="fr-FR"/>
        </w:rPr>
        <w:t>173 ont été examinées par les tribunaux. Les tribunaux ont fait droit à 129</w:t>
      </w:r>
      <w:r>
        <w:rPr>
          <w:lang w:val="fr-FR"/>
        </w:rPr>
        <w:t> </w:t>
      </w:r>
      <w:r w:rsidRPr="00D628AB">
        <w:rPr>
          <w:lang w:val="fr-FR"/>
        </w:rPr>
        <w:t>demandes de contrôle (74,5</w:t>
      </w:r>
      <w:r>
        <w:rPr>
          <w:lang w:val="fr-FR"/>
        </w:rPr>
        <w:t> </w:t>
      </w:r>
      <w:r w:rsidRPr="00D628AB">
        <w:rPr>
          <w:lang w:val="fr-FR"/>
        </w:rPr>
        <w:t>%).</w:t>
      </w:r>
    </w:p>
    <w:p w14:paraId="2E961DBF" w14:textId="77777777" w:rsidR="00857FD7" w:rsidRPr="00D628AB" w:rsidRDefault="00857FD7" w:rsidP="00857FD7">
      <w:pPr>
        <w:pStyle w:val="SingleTxtG"/>
      </w:pPr>
      <w:r w:rsidRPr="00D628AB">
        <w:rPr>
          <w:lang w:val="fr-FR"/>
        </w:rPr>
        <w:t>4</w:t>
      </w:r>
      <w:r>
        <w:rPr>
          <w:lang w:val="fr-FR"/>
        </w:rPr>
        <w:t>.</w:t>
      </w:r>
      <w:r w:rsidRPr="00D628AB">
        <w:rPr>
          <w:lang w:val="fr-FR"/>
        </w:rPr>
        <w:t>2</w:t>
      </w:r>
      <w:r w:rsidRPr="00D628AB">
        <w:rPr>
          <w:lang w:val="fr-FR"/>
        </w:rPr>
        <w:tab/>
      </w:r>
      <w:r>
        <w:rPr>
          <w:lang w:val="fr-FR"/>
        </w:rPr>
        <w:t>E</w:t>
      </w:r>
      <w:r w:rsidRPr="00D628AB">
        <w:rPr>
          <w:lang w:val="fr-FR"/>
        </w:rPr>
        <w:t xml:space="preserve">n tant que représentant du Parti </w:t>
      </w:r>
      <w:r>
        <w:rPr>
          <w:lang w:val="fr-FR"/>
        </w:rPr>
        <w:t>civique</w:t>
      </w:r>
      <w:r w:rsidRPr="00D628AB">
        <w:rPr>
          <w:lang w:val="fr-FR"/>
        </w:rPr>
        <w:t xml:space="preserve"> uni, </w:t>
      </w:r>
      <w:r>
        <w:rPr>
          <w:lang w:val="fr-FR"/>
        </w:rPr>
        <w:t>l</w:t>
      </w:r>
      <w:r>
        <w:rPr>
          <w:lang w:val="fr-FR"/>
        </w:rPr>
        <w:t>’</w:t>
      </w:r>
      <w:r>
        <w:rPr>
          <w:lang w:val="fr-FR"/>
        </w:rPr>
        <w:t xml:space="preserve">auteur </w:t>
      </w:r>
      <w:r w:rsidRPr="00D628AB">
        <w:rPr>
          <w:lang w:val="fr-FR"/>
        </w:rPr>
        <w:t>a saisi la Cour suprême d</w:t>
      </w:r>
      <w:r>
        <w:rPr>
          <w:lang w:val="fr-FR"/>
        </w:rPr>
        <w:t>’</w:t>
      </w:r>
      <w:r w:rsidRPr="00D628AB">
        <w:rPr>
          <w:lang w:val="fr-FR"/>
        </w:rPr>
        <w:t>une telle demande de contrôle. Le 19</w:t>
      </w:r>
      <w:r>
        <w:rPr>
          <w:lang w:val="fr-FR"/>
        </w:rPr>
        <w:t> </w:t>
      </w:r>
      <w:r w:rsidRPr="00D628AB">
        <w:rPr>
          <w:lang w:val="fr-FR"/>
        </w:rPr>
        <w:t>mars 2010, après avoir vérifié que la décision du tribunal de première instance éta</w:t>
      </w:r>
      <w:r>
        <w:rPr>
          <w:lang w:val="fr-FR"/>
        </w:rPr>
        <w:t>i</w:t>
      </w:r>
      <w:r w:rsidRPr="00D628AB">
        <w:rPr>
          <w:lang w:val="fr-FR"/>
        </w:rPr>
        <w:t xml:space="preserve">t légale et justifiée, </w:t>
      </w:r>
      <w:r>
        <w:rPr>
          <w:lang w:val="fr-FR"/>
        </w:rPr>
        <w:t xml:space="preserve">la Cour suprême </w:t>
      </w:r>
      <w:r w:rsidRPr="00D628AB">
        <w:rPr>
          <w:lang w:val="fr-FR"/>
        </w:rPr>
        <w:t>a rejeté cette demande. L</w:t>
      </w:r>
      <w:r>
        <w:rPr>
          <w:lang w:val="fr-FR"/>
        </w:rPr>
        <w:t>’</w:t>
      </w:r>
      <w:r w:rsidRPr="00D628AB">
        <w:rPr>
          <w:lang w:val="fr-FR"/>
        </w:rPr>
        <w:t>État partie conclut que l</w:t>
      </w:r>
      <w:r>
        <w:rPr>
          <w:lang w:val="fr-FR"/>
        </w:rPr>
        <w:t>’</w:t>
      </w:r>
      <w:r w:rsidRPr="00D628AB">
        <w:rPr>
          <w:lang w:val="fr-FR"/>
        </w:rPr>
        <w:t>auteur a bien eu la possibilité d</w:t>
      </w:r>
      <w:r>
        <w:rPr>
          <w:lang w:val="fr-FR"/>
        </w:rPr>
        <w:t>’</w:t>
      </w:r>
      <w:r w:rsidRPr="00D628AB">
        <w:rPr>
          <w:lang w:val="fr-FR"/>
        </w:rPr>
        <w:t>être entendu équitablement et que les griefs qu</w:t>
      </w:r>
      <w:r>
        <w:rPr>
          <w:lang w:val="fr-FR"/>
        </w:rPr>
        <w:t>’</w:t>
      </w:r>
      <w:r w:rsidRPr="00D628AB">
        <w:rPr>
          <w:lang w:val="fr-FR"/>
        </w:rPr>
        <w:t>il soulève au titre du paragraphe</w:t>
      </w:r>
      <w:r>
        <w:rPr>
          <w:lang w:val="fr-FR"/>
        </w:rPr>
        <w:t> </w:t>
      </w:r>
      <w:r w:rsidRPr="00D628AB">
        <w:rPr>
          <w:lang w:val="fr-FR"/>
        </w:rPr>
        <w:t>1 de l</w:t>
      </w:r>
      <w:r>
        <w:rPr>
          <w:lang w:val="fr-FR"/>
        </w:rPr>
        <w:t>’</w:t>
      </w:r>
      <w:r w:rsidRPr="00D628AB">
        <w:rPr>
          <w:lang w:val="fr-FR"/>
        </w:rPr>
        <w:t>article</w:t>
      </w:r>
      <w:r>
        <w:rPr>
          <w:lang w:val="fr-FR"/>
        </w:rPr>
        <w:t> </w:t>
      </w:r>
      <w:r w:rsidRPr="00D628AB">
        <w:rPr>
          <w:lang w:val="fr-FR"/>
        </w:rPr>
        <w:t>14, lu conjointement avec les paragraphes</w:t>
      </w:r>
      <w:r>
        <w:rPr>
          <w:lang w:val="fr-FR"/>
        </w:rPr>
        <w:t> </w:t>
      </w:r>
      <w:r w:rsidRPr="00D628AB">
        <w:rPr>
          <w:lang w:val="fr-FR"/>
        </w:rPr>
        <w:t>2 et 3 de l</w:t>
      </w:r>
      <w:r>
        <w:rPr>
          <w:lang w:val="fr-FR"/>
        </w:rPr>
        <w:t>’</w:t>
      </w:r>
      <w:r w:rsidRPr="00D628AB">
        <w:rPr>
          <w:lang w:val="fr-FR"/>
        </w:rPr>
        <w:t>article</w:t>
      </w:r>
      <w:r>
        <w:rPr>
          <w:lang w:val="fr-FR"/>
        </w:rPr>
        <w:t> </w:t>
      </w:r>
      <w:r w:rsidRPr="00D628AB">
        <w:rPr>
          <w:lang w:val="fr-FR"/>
        </w:rPr>
        <w:t>3 du Pacte</w:t>
      </w:r>
      <w:r>
        <w:rPr>
          <w:lang w:val="fr-FR"/>
        </w:rPr>
        <w:t>,</w:t>
      </w:r>
      <w:r w:rsidRPr="00D628AB">
        <w:rPr>
          <w:lang w:val="fr-FR"/>
        </w:rPr>
        <w:t xml:space="preserve"> ne sont pas fondés. </w:t>
      </w:r>
    </w:p>
    <w:p w14:paraId="500002C0" w14:textId="77777777" w:rsidR="00857FD7" w:rsidRPr="00D628AB" w:rsidRDefault="00857FD7" w:rsidP="00857FD7">
      <w:pPr>
        <w:pStyle w:val="H23G"/>
      </w:pPr>
      <w:r w:rsidRPr="00D628AB">
        <w:rPr>
          <w:lang w:val="fr-FR"/>
        </w:rPr>
        <w:lastRenderedPageBreak/>
        <w:tab/>
      </w:r>
      <w:r w:rsidRPr="00D628AB">
        <w:rPr>
          <w:lang w:val="fr-FR"/>
        </w:rPr>
        <w:tab/>
        <w:t>Commentaires de l</w:t>
      </w:r>
      <w:r>
        <w:rPr>
          <w:lang w:val="fr-FR"/>
        </w:rPr>
        <w:t>’</w:t>
      </w:r>
      <w:r w:rsidRPr="00D628AB">
        <w:rPr>
          <w:lang w:val="fr-FR"/>
        </w:rPr>
        <w:t>auteur sur les observations de l</w:t>
      </w:r>
      <w:r>
        <w:rPr>
          <w:lang w:val="fr-FR"/>
        </w:rPr>
        <w:t>’</w:t>
      </w:r>
      <w:r w:rsidRPr="00D628AB">
        <w:rPr>
          <w:lang w:val="fr-FR"/>
        </w:rPr>
        <w:t>État partie</w:t>
      </w:r>
    </w:p>
    <w:p w14:paraId="2B765BD7" w14:textId="77777777" w:rsidR="00857FD7" w:rsidRPr="00D628AB" w:rsidRDefault="00857FD7" w:rsidP="00857FD7">
      <w:pPr>
        <w:pStyle w:val="SingleTxtG"/>
      </w:pPr>
      <w:r w:rsidRPr="00D628AB">
        <w:rPr>
          <w:lang w:val="fr-FR"/>
        </w:rPr>
        <w:t>5.</w:t>
      </w:r>
      <w:r w:rsidRPr="00D628AB">
        <w:rPr>
          <w:lang w:val="fr-FR"/>
        </w:rPr>
        <w:tab/>
      </w:r>
      <w:r>
        <w:rPr>
          <w:lang w:val="fr-FR"/>
        </w:rPr>
        <w:t>Le</w:t>
      </w:r>
      <w:r w:rsidRPr="00D628AB">
        <w:rPr>
          <w:lang w:val="fr-FR"/>
        </w:rPr>
        <w:t xml:space="preserve"> 15</w:t>
      </w:r>
      <w:r>
        <w:rPr>
          <w:lang w:val="fr-FR"/>
        </w:rPr>
        <w:t> avril</w:t>
      </w:r>
      <w:r w:rsidRPr="00D628AB">
        <w:rPr>
          <w:lang w:val="fr-FR"/>
        </w:rPr>
        <w:t xml:space="preserve"> 201</w:t>
      </w:r>
      <w:r>
        <w:rPr>
          <w:lang w:val="fr-FR"/>
        </w:rPr>
        <w:t>9</w:t>
      </w:r>
      <w:r w:rsidRPr="00D628AB">
        <w:rPr>
          <w:lang w:val="fr-FR"/>
        </w:rPr>
        <w:t>, l</w:t>
      </w:r>
      <w:r>
        <w:rPr>
          <w:lang w:val="fr-FR"/>
        </w:rPr>
        <w:t>’</w:t>
      </w:r>
      <w:r w:rsidRPr="00D628AB">
        <w:rPr>
          <w:lang w:val="fr-FR"/>
        </w:rPr>
        <w:t xml:space="preserve">auteur a soumis ses commentaires au sujet des observations </w:t>
      </w:r>
      <w:r>
        <w:rPr>
          <w:lang w:val="fr-FR"/>
        </w:rPr>
        <w:t>de</w:t>
      </w:r>
      <w:r w:rsidRPr="00D628AB">
        <w:rPr>
          <w:lang w:val="fr-FR"/>
        </w:rPr>
        <w:t xml:space="preserve"> l</w:t>
      </w:r>
      <w:r>
        <w:rPr>
          <w:lang w:val="fr-FR"/>
        </w:rPr>
        <w:t>’</w:t>
      </w:r>
      <w:r w:rsidRPr="00D628AB">
        <w:rPr>
          <w:lang w:val="fr-FR"/>
        </w:rPr>
        <w:t>État partie sur la recevabilité et le fond de la communication. En ce qui concerne l</w:t>
      </w:r>
      <w:r>
        <w:rPr>
          <w:lang w:val="fr-FR"/>
        </w:rPr>
        <w:t>’</w:t>
      </w:r>
      <w:r w:rsidRPr="00D628AB">
        <w:rPr>
          <w:lang w:val="fr-FR"/>
        </w:rPr>
        <w:t>observation de l</w:t>
      </w:r>
      <w:r>
        <w:rPr>
          <w:lang w:val="fr-FR"/>
        </w:rPr>
        <w:t>’</w:t>
      </w:r>
      <w:r w:rsidRPr="00D628AB">
        <w:rPr>
          <w:lang w:val="fr-FR"/>
        </w:rPr>
        <w:t>État partie selon laquelle il n</w:t>
      </w:r>
      <w:r>
        <w:rPr>
          <w:lang w:val="fr-FR"/>
        </w:rPr>
        <w:t>’</w:t>
      </w:r>
      <w:r w:rsidRPr="00D628AB">
        <w:rPr>
          <w:lang w:val="fr-FR"/>
        </w:rPr>
        <w:t>a pas soumis de demande de contrôle au Bureau du Procureur, il fait valoir que, selon la jurisprudence du Comité, cette procédure a un caractère discrétionnaire et n</w:t>
      </w:r>
      <w:r>
        <w:rPr>
          <w:lang w:val="fr-FR"/>
        </w:rPr>
        <w:t>’</w:t>
      </w:r>
      <w:r w:rsidRPr="00D628AB">
        <w:rPr>
          <w:lang w:val="fr-FR"/>
        </w:rPr>
        <w:t>est pas considérée comme un recours utile. L</w:t>
      </w:r>
      <w:r>
        <w:rPr>
          <w:lang w:val="fr-FR"/>
        </w:rPr>
        <w:t>’</w:t>
      </w:r>
      <w:r w:rsidRPr="00D628AB">
        <w:rPr>
          <w:lang w:val="fr-FR"/>
        </w:rPr>
        <w:t>auteur souligne qu</w:t>
      </w:r>
      <w:r>
        <w:rPr>
          <w:lang w:val="fr-FR"/>
        </w:rPr>
        <w:t>’</w:t>
      </w:r>
      <w:r w:rsidRPr="00D628AB">
        <w:rPr>
          <w:lang w:val="fr-FR"/>
        </w:rPr>
        <w:t>il a bien soumis une demande de contrôle au Président de la Cour suprême. Il souligne également que les données statistiques fournies par l</w:t>
      </w:r>
      <w:r>
        <w:rPr>
          <w:lang w:val="fr-FR"/>
        </w:rPr>
        <w:t>’</w:t>
      </w:r>
      <w:r w:rsidRPr="00D628AB">
        <w:rPr>
          <w:lang w:val="fr-FR"/>
        </w:rPr>
        <w:t>État partie n</w:t>
      </w:r>
      <w:r>
        <w:rPr>
          <w:lang w:val="fr-FR"/>
        </w:rPr>
        <w:t>’</w:t>
      </w:r>
      <w:r w:rsidRPr="00D628AB">
        <w:rPr>
          <w:lang w:val="fr-FR"/>
        </w:rPr>
        <w:t>indiquent pas le nombre de contestations soumises par le Bureau du Procureur ou par le Président de la Cour suprême au titre de la procédure de contrôle dans des affaires civiles concernant la protection des droits civils et politiques. L</w:t>
      </w:r>
      <w:r>
        <w:rPr>
          <w:lang w:val="fr-FR"/>
        </w:rPr>
        <w:t>’</w:t>
      </w:r>
      <w:r w:rsidRPr="00D628AB">
        <w:rPr>
          <w:lang w:val="fr-FR"/>
        </w:rPr>
        <w:t xml:space="preserve">auteur indique </w:t>
      </w:r>
      <w:r>
        <w:rPr>
          <w:lang w:val="fr-FR"/>
        </w:rPr>
        <w:t>qu</w:t>
      </w:r>
      <w:r>
        <w:rPr>
          <w:lang w:val="fr-FR"/>
        </w:rPr>
        <w:t>’</w:t>
      </w:r>
      <w:r w:rsidRPr="00D628AB">
        <w:rPr>
          <w:lang w:val="fr-FR"/>
        </w:rPr>
        <w:t>il n</w:t>
      </w:r>
      <w:r>
        <w:rPr>
          <w:lang w:val="fr-FR"/>
        </w:rPr>
        <w:t>’</w:t>
      </w:r>
      <w:r w:rsidRPr="00D628AB">
        <w:rPr>
          <w:lang w:val="fr-FR"/>
        </w:rPr>
        <w:t>a pas connaissance de tel cas.</w:t>
      </w:r>
    </w:p>
    <w:p w14:paraId="76AE03A5" w14:textId="77777777" w:rsidR="00857FD7" w:rsidRPr="00D628AB" w:rsidRDefault="00857FD7" w:rsidP="00857FD7">
      <w:pPr>
        <w:pStyle w:val="H23G"/>
      </w:pPr>
      <w:r w:rsidRPr="00D628AB">
        <w:rPr>
          <w:lang w:val="fr-FR"/>
        </w:rPr>
        <w:tab/>
      </w:r>
      <w:r w:rsidRPr="00D628AB">
        <w:rPr>
          <w:lang w:val="fr-FR"/>
        </w:rPr>
        <w:tab/>
        <w:t>Délibérations du Comité</w:t>
      </w:r>
    </w:p>
    <w:p w14:paraId="0CCEC828" w14:textId="77777777" w:rsidR="00857FD7" w:rsidRPr="00D628AB" w:rsidRDefault="00857FD7" w:rsidP="00857FD7">
      <w:pPr>
        <w:pStyle w:val="H4G"/>
      </w:pPr>
      <w:r w:rsidRPr="00D628AB">
        <w:rPr>
          <w:lang w:val="fr-FR"/>
        </w:rPr>
        <w:tab/>
      </w:r>
      <w:r w:rsidRPr="00D628AB">
        <w:rPr>
          <w:lang w:val="fr-FR"/>
        </w:rPr>
        <w:tab/>
        <w:t>Examen de la recevabilité</w:t>
      </w:r>
    </w:p>
    <w:p w14:paraId="73E159B4" w14:textId="77777777" w:rsidR="00857FD7" w:rsidRPr="00D628AB" w:rsidRDefault="00857FD7" w:rsidP="00857FD7">
      <w:pPr>
        <w:pStyle w:val="SingleTxtG"/>
      </w:pPr>
      <w:r w:rsidRPr="00D628AB">
        <w:rPr>
          <w:lang w:val="fr-FR"/>
        </w:rPr>
        <w:t>6</w:t>
      </w:r>
      <w:r>
        <w:rPr>
          <w:lang w:val="fr-FR"/>
        </w:rPr>
        <w:t>.</w:t>
      </w:r>
      <w:r w:rsidRPr="00D628AB">
        <w:rPr>
          <w:lang w:val="fr-FR"/>
        </w:rPr>
        <w:t>1</w:t>
      </w:r>
      <w:r w:rsidRPr="00D628AB">
        <w:rPr>
          <w:lang w:val="fr-FR"/>
        </w:rPr>
        <w:tab/>
        <w:t>Avant d</w:t>
      </w:r>
      <w:r>
        <w:rPr>
          <w:lang w:val="fr-FR"/>
        </w:rPr>
        <w:t>’</w:t>
      </w:r>
      <w:r w:rsidRPr="00D628AB">
        <w:rPr>
          <w:lang w:val="fr-FR"/>
        </w:rPr>
        <w:t>examiner tout grief formulé dans une communication, le Comité doit, conformément à l</w:t>
      </w:r>
      <w:r>
        <w:rPr>
          <w:lang w:val="fr-FR"/>
        </w:rPr>
        <w:t>’</w:t>
      </w:r>
      <w:r w:rsidRPr="00D628AB">
        <w:rPr>
          <w:lang w:val="fr-FR"/>
        </w:rPr>
        <w:t>article</w:t>
      </w:r>
      <w:r>
        <w:rPr>
          <w:lang w:val="fr-FR"/>
        </w:rPr>
        <w:t> </w:t>
      </w:r>
      <w:r w:rsidRPr="00D628AB">
        <w:rPr>
          <w:lang w:val="fr-FR"/>
        </w:rPr>
        <w:t>97 de son règlement intérieur, déterminer si la communication est recevable au regard du Protocole facultatif.</w:t>
      </w:r>
    </w:p>
    <w:p w14:paraId="273B50EB" w14:textId="77777777" w:rsidR="00857FD7" w:rsidRPr="00D628AB" w:rsidRDefault="00857FD7" w:rsidP="00857FD7">
      <w:pPr>
        <w:pStyle w:val="SingleTxtG"/>
      </w:pPr>
      <w:r w:rsidRPr="00D628AB">
        <w:rPr>
          <w:lang w:val="fr-FR"/>
        </w:rPr>
        <w:t>6</w:t>
      </w:r>
      <w:r>
        <w:rPr>
          <w:lang w:val="fr-FR"/>
        </w:rPr>
        <w:t>.</w:t>
      </w:r>
      <w:r w:rsidRPr="00D628AB">
        <w:rPr>
          <w:lang w:val="fr-FR"/>
        </w:rPr>
        <w:t>2</w:t>
      </w:r>
      <w:r w:rsidRPr="00D628AB">
        <w:rPr>
          <w:lang w:val="fr-FR"/>
        </w:rPr>
        <w:tab/>
      </w:r>
      <w:r>
        <w:rPr>
          <w:lang w:val="fr-FR"/>
        </w:rPr>
        <w:t>C</w:t>
      </w:r>
      <w:r w:rsidRPr="00D628AB">
        <w:rPr>
          <w:lang w:val="fr-FR"/>
        </w:rPr>
        <w:t xml:space="preserve">omme </w:t>
      </w:r>
      <w:r>
        <w:rPr>
          <w:lang w:val="fr-FR"/>
        </w:rPr>
        <w:t>le prévoit le</w:t>
      </w:r>
      <w:r w:rsidRPr="00D628AB">
        <w:rPr>
          <w:lang w:val="fr-FR"/>
        </w:rPr>
        <w:t xml:space="preserve"> paragraphe</w:t>
      </w:r>
      <w:r>
        <w:rPr>
          <w:lang w:val="fr-FR"/>
        </w:rPr>
        <w:t> </w:t>
      </w:r>
      <w:r w:rsidRPr="00D628AB">
        <w:rPr>
          <w:lang w:val="fr-FR"/>
        </w:rPr>
        <w:t>2</w:t>
      </w:r>
      <w:r>
        <w:rPr>
          <w:lang w:val="fr-FR"/>
        </w:rPr>
        <w:t> </w:t>
      </w:r>
      <w:r w:rsidRPr="00D628AB">
        <w:rPr>
          <w:lang w:val="fr-FR"/>
        </w:rPr>
        <w:t>a) de l</w:t>
      </w:r>
      <w:r>
        <w:rPr>
          <w:lang w:val="fr-FR"/>
        </w:rPr>
        <w:t>’</w:t>
      </w:r>
      <w:r w:rsidRPr="00D628AB">
        <w:rPr>
          <w:lang w:val="fr-FR"/>
        </w:rPr>
        <w:t>article</w:t>
      </w:r>
      <w:r>
        <w:rPr>
          <w:lang w:val="fr-FR"/>
        </w:rPr>
        <w:t> </w:t>
      </w:r>
      <w:r w:rsidRPr="00D628AB">
        <w:rPr>
          <w:lang w:val="fr-FR"/>
        </w:rPr>
        <w:t xml:space="preserve">5 du Protocole facultatif, </w:t>
      </w:r>
      <w:r>
        <w:rPr>
          <w:lang w:val="fr-FR"/>
        </w:rPr>
        <w:t>l</w:t>
      </w:r>
      <w:r w:rsidRPr="00D628AB">
        <w:rPr>
          <w:lang w:val="fr-FR"/>
        </w:rPr>
        <w:t>e Comité s</w:t>
      </w:r>
      <w:r>
        <w:rPr>
          <w:lang w:val="fr-FR"/>
        </w:rPr>
        <w:t>’</w:t>
      </w:r>
      <w:r w:rsidRPr="00D628AB">
        <w:rPr>
          <w:lang w:val="fr-FR"/>
        </w:rPr>
        <w:t>est assuré</w:t>
      </w:r>
      <w:r>
        <w:rPr>
          <w:lang w:val="fr-FR"/>
        </w:rPr>
        <w:t xml:space="preserve"> </w:t>
      </w:r>
      <w:r w:rsidRPr="00D628AB">
        <w:rPr>
          <w:lang w:val="fr-FR"/>
        </w:rPr>
        <w:t>que la même question n</w:t>
      </w:r>
      <w:r>
        <w:rPr>
          <w:lang w:val="fr-FR"/>
        </w:rPr>
        <w:t>’</w:t>
      </w:r>
      <w:r w:rsidRPr="00D628AB">
        <w:rPr>
          <w:lang w:val="fr-FR"/>
        </w:rPr>
        <w:t>était pas déjà en cours d</w:t>
      </w:r>
      <w:r>
        <w:rPr>
          <w:lang w:val="fr-FR"/>
        </w:rPr>
        <w:t>’</w:t>
      </w:r>
      <w:r w:rsidRPr="00D628AB">
        <w:rPr>
          <w:lang w:val="fr-FR"/>
        </w:rPr>
        <w:t>examen devant une autre instance internationale d</w:t>
      </w:r>
      <w:r>
        <w:rPr>
          <w:lang w:val="fr-FR"/>
        </w:rPr>
        <w:t>’</w:t>
      </w:r>
      <w:r w:rsidRPr="00D628AB">
        <w:rPr>
          <w:lang w:val="fr-FR"/>
        </w:rPr>
        <w:t>enquête ou de règlement.</w:t>
      </w:r>
    </w:p>
    <w:p w14:paraId="299C0B08" w14:textId="77777777" w:rsidR="00857FD7" w:rsidRPr="00D628AB" w:rsidRDefault="00857FD7" w:rsidP="00857FD7">
      <w:pPr>
        <w:pStyle w:val="SingleTxtG"/>
      </w:pPr>
      <w:r w:rsidRPr="00D628AB">
        <w:rPr>
          <w:lang w:val="fr-FR"/>
        </w:rPr>
        <w:t>6</w:t>
      </w:r>
      <w:r>
        <w:rPr>
          <w:lang w:val="fr-FR"/>
        </w:rPr>
        <w:t>.</w:t>
      </w:r>
      <w:r w:rsidRPr="00D628AB">
        <w:rPr>
          <w:lang w:val="fr-FR"/>
        </w:rPr>
        <w:t>3</w:t>
      </w:r>
      <w:r w:rsidRPr="00D628AB">
        <w:rPr>
          <w:lang w:val="fr-FR"/>
        </w:rPr>
        <w:tab/>
        <w:t>Le Comité prend note de l</w:t>
      </w:r>
      <w:r>
        <w:rPr>
          <w:lang w:val="fr-FR"/>
        </w:rPr>
        <w:t>’</w:t>
      </w:r>
      <w:r w:rsidRPr="00D628AB">
        <w:rPr>
          <w:lang w:val="fr-FR"/>
        </w:rPr>
        <w:t>affirmation de l</w:t>
      </w:r>
      <w:r>
        <w:rPr>
          <w:lang w:val="fr-FR"/>
        </w:rPr>
        <w:t>’</w:t>
      </w:r>
      <w:r w:rsidRPr="00D628AB">
        <w:rPr>
          <w:lang w:val="fr-FR"/>
        </w:rPr>
        <w:t>auteur selon laquelle il a été victime d</w:t>
      </w:r>
      <w:r>
        <w:rPr>
          <w:lang w:val="fr-FR"/>
        </w:rPr>
        <w:t>’</w:t>
      </w:r>
      <w:r w:rsidRPr="00D628AB">
        <w:rPr>
          <w:lang w:val="fr-FR"/>
        </w:rPr>
        <w:t>une violation du droit qu</w:t>
      </w:r>
      <w:r>
        <w:rPr>
          <w:lang w:val="fr-FR"/>
        </w:rPr>
        <w:t>’</w:t>
      </w:r>
      <w:r w:rsidRPr="00D628AB">
        <w:rPr>
          <w:lang w:val="fr-FR"/>
        </w:rPr>
        <w:t>il tient du paragraphe</w:t>
      </w:r>
      <w:r>
        <w:rPr>
          <w:lang w:val="fr-FR"/>
        </w:rPr>
        <w:t> </w:t>
      </w:r>
      <w:r w:rsidRPr="00D628AB">
        <w:rPr>
          <w:lang w:val="fr-FR"/>
        </w:rPr>
        <w:t>1 de l</w:t>
      </w:r>
      <w:r>
        <w:rPr>
          <w:lang w:val="fr-FR"/>
        </w:rPr>
        <w:t>’</w:t>
      </w:r>
      <w:r w:rsidRPr="00D628AB">
        <w:rPr>
          <w:lang w:val="fr-FR"/>
        </w:rPr>
        <w:t>article</w:t>
      </w:r>
      <w:r>
        <w:rPr>
          <w:lang w:val="fr-FR"/>
        </w:rPr>
        <w:t> </w:t>
      </w:r>
      <w:r w:rsidRPr="00D628AB">
        <w:rPr>
          <w:lang w:val="fr-FR"/>
        </w:rPr>
        <w:t>14, lu conjointement avec les paragraphes</w:t>
      </w:r>
      <w:r>
        <w:rPr>
          <w:lang w:val="fr-FR"/>
        </w:rPr>
        <w:t> </w:t>
      </w:r>
      <w:r w:rsidRPr="00D628AB">
        <w:rPr>
          <w:lang w:val="fr-FR"/>
        </w:rPr>
        <w:t>2 et 3 de l</w:t>
      </w:r>
      <w:r>
        <w:rPr>
          <w:lang w:val="fr-FR"/>
        </w:rPr>
        <w:t>’</w:t>
      </w:r>
      <w:r w:rsidRPr="00D628AB">
        <w:rPr>
          <w:lang w:val="fr-FR"/>
        </w:rPr>
        <w:t>article</w:t>
      </w:r>
      <w:r>
        <w:rPr>
          <w:lang w:val="fr-FR"/>
        </w:rPr>
        <w:t> </w:t>
      </w:r>
      <w:r w:rsidRPr="00D628AB">
        <w:rPr>
          <w:lang w:val="fr-FR"/>
        </w:rPr>
        <w:t>2 du Pacte parce qu</w:t>
      </w:r>
      <w:r>
        <w:rPr>
          <w:lang w:val="fr-FR"/>
        </w:rPr>
        <w:t>’</w:t>
      </w:r>
      <w:r w:rsidRPr="00D628AB">
        <w:rPr>
          <w:lang w:val="fr-FR"/>
        </w:rPr>
        <w:t>il n</w:t>
      </w:r>
      <w:r>
        <w:rPr>
          <w:lang w:val="fr-FR"/>
        </w:rPr>
        <w:t>’</w:t>
      </w:r>
      <w:r w:rsidRPr="00D628AB">
        <w:rPr>
          <w:lang w:val="fr-FR"/>
        </w:rPr>
        <w:t>a pas eu accès à la juridiction de cassation. Le Comité constate toutefois, s</w:t>
      </w:r>
      <w:r>
        <w:rPr>
          <w:lang w:val="fr-FR"/>
        </w:rPr>
        <w:t>’</w:t>
      </w:r>
      <w:r w:rsidRPr="00D628AB">
        <w:rPr>
          <w:lang w:val="fr-FR"/>
        </w:rPr>
        <w:t>agissant des procédures internes menées, que l</w:t>
      </w:r>
      <w:r>
        <w:rPr>
          <w:lang w:val="fr-FR"/>
        </w:rPr>
        <w:t>’</w:t>
      </w:r>
      <w:r w:rsidRPr="00D628AB">
        <w:rPr>
          <w:lang w:val="fr-FR"/>
        </w:rPr>
        <w:t xml:space="preserve">auteur a engagé une action civile devant les tribunaux au nom du Parti </w:t>
      </w:r>
      <w:r>
        <w:rPr>
          <w:lang w:val="fr-FR"/>
        </w:rPr>
        <w:t>civique</w:t>
      </w:r>
      <w:r w:rsidRPr="00D628AB">
        <w:rPr>
          <w:lang w:val="fr-FR"/>
        </w:rPr>
        <w:t xml:space="preserve"> uni, qui possède une personnalité juridique propre</w:t>
      </w:r>
      <w:r>
        <w:rPr>
          <w:lang w:val="fr-FR"/>
        </w:rPr>
        <w:t>, affirmant qu</w:t>
      </w:r>
      <w:r>
        <w:rPr>
          <w:lang w:val="fr-FR"/>
        </w:rPr>
        <w:t>’</w:t>
      </w:r>
      <w:r>
        <w:rPr>
          <w:lang w:val="fr-FR"/>
        </w:rPr>
        <w:t>il y avait eu une violation des droits du Parti</w:t>
      </w:r>
      <w:r w:rsidRPr="00D628AB">
        <w:rPr>
          <w:lang w:val="fr-FR"/>
        </w:rPr>
        <w:t>. L</w:t>
      </w:r>
      <w:r>
        <w:rPr>
          <w:lang w:val="fr-FR"/>
        </w:rPr>
        <w:t>’</w:t>
      </w:r>
      <w:r w:rsidRPr="00D628AB">
        <w:rPr>
          <w:lang w:val="fr-FR"/>
        </w:rPr>
        <w:t>auteur n</w:t>
      </w:r>
      <w:r>
        <w:rPr>
          <w:lang w:val="fr-FR"/>
        </w:rPr>
        <w:t>’</w:t>
      </w:r>
      <w:r w:rsidRPr="00D628AB">
        <w:rPr>
          <w:lang w:val="fr-FR"/>
        </w:rPr>
        <w:t xml:space="preserve">explique pas en quoi les droits que lui-même tient </w:t>
      </w:r>
      <w:r>
        <w:rPr>
          <w:lang w:val="fr-FR"/>
        </w:rPr>
        <w:t>du Pacte</w:t>
      </w:r>
      <w:r w:rsidRPr="00D628AB">
        <w:rPr>
          <w:lang w:val="fr-FR"/>
        </w:rPr>
        <w:t xml:space="preserve"> ont été violés</w:t>
      </w:r>
      <w:r>
        <w:rPr>
          <w:lang w:val="fr-FR"/>
        </w:rPr>
        <w:t>, et n</w:t>
      </w:r>
      <w:r>
        <w:rPr>
          <w:lang w:val="fr-FR"/>
        </w:rPr>
        <w:t>’</w:t>
      </w:r>
      <w:r>
        <w:rPr>
          <w:lang w:val="fr-FR"/>
        </w:rPr>
        <w:t>indique pas non plus quelles lacunes précises dans la procédure menée devant le tribunal de district de Gomel seraient constitutives d</w:t>
      </w:r>
      <w:r>
        <w:rPr>
          <w:lang w:val="fr-FR"/>
        </w:rPr>
        <w:t>’</w:t>
      </w:r>
      <w:r>
        <w:rPr>
          <w:lang w:val="fr-FR"/>
        </w:rPr>
        <w:t>une violation du paragraphe 1 de l</w:t>
      </w:r>
      <w:r>
        <w:rPr>
          <w:lang w:val="fr-FR"/>
        </w:rPr>
        <w:t>’</w:t>
      </w:r>
      <w:r>
        <w:rPr>
          <w:lang w:val="fr-FR"/>
        </w:rPr>
        <w:t>article 14</w:t>
      </w:r>
      <w:r w:rsidRPr="00D628AB">
        <w:rPr>
          <w:lang w:val="fr-FR"/>
        </w:rPr>
        <w:t xml:space="preserve">. En conséquence, </w:t>
      </w:r>
      <w:r>
        <w:rPr>
          <w:lang w:val="fr-FR"/>
        </w:rPr>
        <w:t>le Comité</w:t>
      </w:r>
      <w:r w:rsidRPr="00D628AB">
        <w:rPr>
          <w:lang w:val="fr-FR"/>
        </w:rPr>
        <w:t xml:space="preserve"> considère que l</w:t>
      </w:r>
      <w:r>
        <w:rPr>
          <w:lang w:val="fr-FR"/>
        </w:rPr>
        <w:t>a présente communication n</w:t>
      </w:r>
      <w:r>
        <w:rPr>
          <w:lang w:val="fr-FR"/>
        </w:rPr>
        <w:t>’</w:t>
      </w:r>
      <w:r>
        <w:rPr>
          <w:lang w:val="fr-FR"/>
        </w:rPr>
        <w:t>est pas suffisamment étayée et qu</w:t>
      </w:r>
      <w:r>
        <w:rPr>
          <w:lang w:val="fr-FR"/>
        </w:rPr>
        <w:t>’</w:t>
      </w:r>
      <w:r>
        <w:rPr>
          <w:lang w:val="fr-FR"/>
        </w:rPr>
        <w:t>elle est donc irrecevable au regard de l</w:t>
      </w:r>
      <w:r>
        <w:rPr>
          <w:lang w:val="fr-FR"/>
        </w:rPr>
        <w:t>’</w:t>
      </w:r>
      <w:r>
        <w:rPr>
          <w:lang w:val="fr-FR"/>
        </w:rPr>
        <w:t xml:space="preserve">article 2 </w:t>
      </w:r>
      <w:r w:rsidRPr="00D628AB">
        <w:rPr>
          <w:lang w:val="fr-FR"/>
        </w:rPr>
        <w:t xml:space="preserve">du Protocole facultatif. </w:t>
      </w:r>
    </w:p>
    <w:p w14:paraId="62600C91" w14:textId="77777777" w:rsidR="00857FD7" w:rsidRPr="00D628AB" w:rsidRDefault="00857FD7" w:rsidP="00857FD7">
      <w:pPr>
        <w:pStyle w:val="SingleTxtG"/>
        <w:keepNext/>
        <w:keepLines/>
      </w:pPr>
      <w:r w:rsidRPr="00D628AB">
        <w:rPr>
          <w:lang w:val="fr-FR"/>
        </w:rPr>
        <w:t>7.</w:t>
      </w:r>
      <w:r w:rsidRPr="00D628AB">
        <w:rPr>
          <w:lang w:val="fr-FR"/>
        </w:rPr>
        <w:tab/>
        <w:t>En conséquence, le Comité</w:t>
      </w:r>
      <w:r>
        <w:rPr>
          <w:lang w:val="fr-FR"/>
        </w:rPr>
        <w:t xml:space="preserve"> </w:t>
      </w:r>
      <w:r w:rsidRPr="00D628AB">
        <w:rPr>
          <w:lang w:val="fr-FR"/>
        </w:rPr>
        <w:t>décide</w:t>
      </w:r>
      <w:r>
        <w:rPr>
          <w:lang w:val="fr-FR"/>
        </w:rPr>
        <w:t> </w:t>
      </w:r>
      <w:r w:rsidRPr="00D628AB">
        <w:rPr>
          <w:lang w:val="fr-FR"/>
        </w:rPr>
        <w:t>:</w:t>
      </w:r>
    </w:p>
    <w:p w14:paraId="19CF0EA3" w14:textId="77777777" w:rsidR="00857FD7" w:rsidRPr="00D628AB" w:rsidRDefault="00857FD7" w:rsidP="00857FD7">
      <w:pPr>
        <w:pStyle w:val="SingleTxtG"/>
        <w:ind w:firstLine="567"/>
      </w:pPr>
      <w:r w:rsidRPr="00D628AB">
        <w:rPr>
          <w:lang w:val="fr-FR"/>
        </w:rPr>
        <w:t>a)</w:t>
      </w:r>
      <w:r w:rsidRPr="00D628AB">
        <w:rPr>
          <w:lang w:val="fr-FR"/>
        </w:rPr>
        <w:tab/>
        <w:t>Que la communication est irrecevable au regard de l</w:t>
      </w:r>
      <w:r>
        <w:rPr>
          <w:lang w:val="fr-FR"/>
        </w:rPr>
        <w:t>’</w:t>
      </w:r>
      <w:r w:rsidRPr="00D628AB">
        <w:rPr>
          <w:lang w:val="fr-FR"/>
        </w:rPr>
        <w:t xml:space="preserve">article </w:t>
      </w:r>
      <w:r>
        <w:rPr>
          <w:lang w:val="fr-FR"/>
        </w:rPr>
        <w:t>2</w:t>
      </w:r>
      <w:r w:rsidRPr="00D628AB">
        <w:rPr>
          <w:lang w:val="fr-FR"/>
        </w:rPr>
        <w:t xml:space="preserve"> du Protocole facultatif</w:t>
      </w:r>
      <w:r>
        <w:rPr>
          <w:lang w:val="fr-FR"/>
        </w:rPr>
        <w:t> </w:t>
      </w:r>
      <w:r w:rsidRPr="00D628AB">
        <w:rPr>
          <w:lang w:val="fr-FR"/>
        </w:rPr>
        <w:t>;</w:t>
      </w:r>
    </w:p>
    <w:p w14:paraId="377155A3" w14:textId="77777777" w:rsidR="00857FD7" w:rsidRDefault="00857FD7" w:rsidP="00857FD7">
      <w:pPr>
        <w:pStyle w:val="SingleTxtG"/>
        <w:ind w:firstLine="567"/>
        <w:rPr>
          <w:lang w:val="fr-FR"/>
        </w:rPr>
      </w:pPr>
      <w:r w:rsidRPr="00D628AB">
        <w:rPr>
          <w:lang w:val="fr-FR"/>
        </w:rPr>
        <w:t>b)</w:t>
      </w:r>
      <w:r w:rsidRPr="00D628AB">
        <w:rPr>
          <w:lang w:val="fr-FR"/>
        </w:rPr>
        <w:tab/>
        <w:t>Que la présente décision sera communiquée à l</w:t>
      </w:r>
      <w:r>
        <w:rPr>
          <w:lang w:val="fr-FR"/>
        </w:rPr>
        <w:t>’</w:t>
      </w:r>
      <w:r w:rsidRPr="00D628AB">
        <w:rPr>
          <w:lang w:val="fr-FR"/>
        </w:rPr>
        <w:t>État partie et à l</w:t>
      </w:r>
      <w:r>
        <w:rPr>
          <w:lang w:val="fr-FR"/>
        </w:rPr>
        <w:t>’</w:t>
      </w:r>
      <w:r w:rsidRPr="00D628AB">
        <w:rPr>
          <w:lang w:val="fr-FR"/>
        </w:rPr>
        <w:t>auteur.</w:t>
      </w:r>
    </w:p>
    <w:p w14:paraId="11EF2090" w14:textId="77777777" w:rsidR="00E85C42" w:rsidRPr="00857FD7" w:rsidRDefault="00857FD7" w:rsidP="00857FD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857FD7" w:rsidSect="00857F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D002" w14:textId="77777777" w:rsidR="00E9122C" w:rsidRDefault="00E9122C" w:rsidP="00F95C08">
      <w:pPr>
        <w:spacing w:line="240" w:lineRule="auto"/>
      </w:pPr>
    </w:p>
  </w:endnote>
  <w:endnote w:type="continuationSeparator" w:id="0">
    <w:p w14:paraId="16015894" w14:textId="77777777" w:rsidR="00E9122C" w:rsidRPr="00AC3823" w:rsidRDefault="00E9122C" w:rsidP="00AC3823">
      <w:pPr>
        <w:pStyle w:val="Pieddepage"/>
      </w:pPr>
    </w:p>
  </w:endnote>
  <w:endnote w:type="continuationNotice" w:id="1">
    <w:p w14:paraId="132ABA4F" w14:textId="77777777" w:rsidR="00E9122C" w:rsidRDefault="00E912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B108" w14:textId="77777777" w:rsidR="00857FD7" w:rsidRPr="00857FD7" w:rsidRDefault="00857FD7" w:rsidP="00857FD7">
    <w:pPr>
      <w:pStyle w:val="Pieddepage"/>
      <w:tabs>
        <w:tab w:val="right" w:pos="9638"/>
      </w:tabs>
    </w:pPr>
    <w:r w:rsidRPr="00857FD7">
      <w:rPr>
        <w:b/>
        <w:sz w:val="18"/>
      </w:rPr>
      <w:fldChar w:fldCharType="begin"/>
    </w:r>
    <w:r w:rsidRPr="00857FD7">
      <w:rPr>
        <w:b/>
        <w:sz w:val="18"/>
      </w:rPr>
      <w:instrText xml:space="preserve"> PAGE  \* MERGEFORMAT </w:instrText>
    </w:r>
    <w:r w:rsidRPr="00857FD7">
      <w:rPr>
        <w:b/>
        <w:sz w:val="18"/>
      </w:rPr>
      <w:fldChar w:fldCharType="separate"/>
    </w:r>
    <w:r w:rsidRPr="00857FD7">
      <w:rPr>
        <w:b/>
        <w:noProof/>
        <w:sz w:val="18"/>
      </w:rPr>
      <w:t>2</w:t>
    </w:r>
    <w:r w:rsidRPr="00857FD7">
      <w:rPr>
        <w:b/>
        <w:sz w:val="18"/>
      </w:rPr>
      <w:fldChar w:fldCharType="end"/>
    </w:r>
    <w:r>
      <w:rPr>
        <w:b/>
        <w:sz w:val="18"/>
      </w:rPr>
      <w:tab/>
    </w:r>
    <w:r>
      <w:t>GE.20-06887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6BE1" w14:textId="77777777" w:rsidR="00857FD7" w:rsidRPr="00857FD7" w:rsidRDefault="00857FD7" w:rsidP="00857FD7">
    <w:pPr>
      <w:pStyle w:val="Pieddepage"/>
      <w:tabs>
        <w:tab w:val="right" w:pos="9638"/>
      </w:tabs>
      <w:rPr>
        <w:b/>
        <w:sz w:val="18"/>
      </w:rPr>
    </w:pPr>
    <w:r>
      <w:t>GE.20-06887</w:t>
    </w:r>
    <w:r>
      <w:tab/>
    </w:r>
    <w:r w:rsidRPr="00857FD7">
      <w:rPr>
        <w:b/>
        <w:sz w:val="18"/>
      </w:rPr>
      <w:fldChar w:fldCharType="begin"/>
    </w:r>
    <w:r w:rsidRPr="00857FD7">
      <w:rPr>
        <w:b/>
        <w:sz w:val="18"/>
      </w:rPr>
      <w:instrText xml:space="preserve"> PAGE  \* MERGEFORMAT </w:instrText>
    </w:r>
    <w:r w:rsidRPr="00857FD7">
      <w:rPr>
        <w:b/>
        <w:sz w:val="18"/>
      </w:rPr>
      <w:fldChar w:fldCharType="separate"/>
    </w:r>
    <w:r w:rsidRPr="00857FD7">
      <w:rPr>
        <w:b/>
        <w:noProof/>
        <w:sz w:val="18"/>
      </w:rPr>
      <w:t>3</w:t>
    </w:r>
    <w:r w:rsidRPr="00857F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1B35" w14:textId="77777777" w:rsidR="001B379B" w:rsidRPr="00857FD7" w:rsidRDefault="00857FD7" w:rsidP="00857FD7">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BC94A26" wp14:editId="461560D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20-06887  (F)    130720    130720</w:t>
    </w:r>
    <w:r>
      <w:rPr>
        <w:sz w:val="20"/>
      </w:rPr>
      <w:br/>
    </w:r>
    <w:r w:rsidRPr="00857FD7">
      <w:rPr>
        <w:rFonts w:ascii="C39T30Lfz" w:hAnsi="C39T30Lfz"/>
        <w:sz w:val="56"/>
      </w:rPr>
      <w:t></w:t>
    </w:r>
    <w:r w:rsidRPr="00857FD7">
      <w:rPr>
        <w:rFonts w:ascii="C39T30Lfz" w:hAnsi="C39T30Lfz"/>
        <w:sz w:val="56"/>
      </w:rPr>
      <w:t></w:t>
    </w:r>
    <w:r w:rsidRPr="00857FD7">
      <w:rPr>
        <w:rFonts w:ascii="C39T30Lfz" w:hAnsi="C39T30Lfz"/>
        <w:sz w:val="56"/>
      </w:rPr>
      <w:t></w:t>
    </w:r>
    <w:r w:rsidRPr="00857FD7">
      <w:rPr>
        <w:rFonts w:ascii="C39T30Lfz" w:hAnsi="C39T30Lfz"/>
        <w:sz w:val="56"/>
      </w:rPr>
      <w:t></w:t>
    </w:r>
    <w:r w:rsidRPr="00857FD7">
      <w:rPr>
        <w:rFonts w:ascii="C39T30Lfz" w:hAnsi="C39T30Lfz"/>
        <w:sz w:val="56"/>
      </w:rPr>
      <w:t></w:t>
    </w:r>
    <w:r w:rsidRPr="00857FD7">
      <w:rPr>
        <w:rFonts w:ascii="C39T30Lfz" w:hAnsi="C39T30Lfz"/>
        <w:sz w:val="56"/>
      </w:rPr>
      <w:t></w:t>
    </w:r>
    <w:r w:rsidRPr="00857FD7">
      <w:rPr>
        <w:rFonts w:ascii="C39T30Lfz" w:hAnsi="C39T30Lfz"/>
        <w:sz w:val="56"/>
      </w:rPr>
      <w:t></w:t>
    </w:r>
    <w:r w:rsidRPr="00857FD7">
      <w:rPr>
        <w:rFonts w:ascii="C39T30Lfz" w:hAnsi="C39T30Lfz"/>
        <w:sz w:val="56"/>
      </w:rPr>
      <w:t></w:t>
    </w:r>
    <w:r w:rsidRPr="00857FD7">
      <w:rPr>
        <w:rFonts w:ascii="C39T30Lfz" w:hAnsi="C39T30Lfz"/>
        <w:sz w:val="56"/>
      </w:rPr>
      <w:t></w:t>
    </w:r>
    <w:r>
      <w:rPr>
        <w:noProof/>
        <w:sz w:val="20"/>
      </w:rPr>
      <w:drawing>
        <wp:anchor distT="0" distB="0" distL="114300" distR="114300" simplePos="0" relativeHeight="251658240" behindDoc="0" locked="0" layoutInCell="1" allowOverlap="1" wp14:anchorId="1CEBF8B8" wp14:editId="3D30BE2B">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B3DE3" w14:textId="77777777" w:rsidR="00E9122C" w:rsidRPr="00AC3823" w:rsidRDefault="00E9122C" w:rsidP="00AC3823">
      <w:pPr>
        <w:pStyle w:val="Pieddepage"/>
        <w:tabs>
          <w:tab w:val="right" w:pos="2155"/>
        </w:tabs>
        <w:spacing w:after="80" w:line="240" w:lineRule="atLeast"/>
        <w:ind w:left="680"/>
        <w:rPr>
          <w:u w:val="single"/>
        </w:rPr>
      </w:pPr>
      <w:r>
        <w:rPr>
          <w:u w:val="single"/>
        </w:rPr>
        <w:tab/>
      </w:r>
    </w:p>
  </w:footnote>
  <w:footnote w:type="continuationSeparator" w:id="0">
    <w:p w14:paraId="3B684F4F" w14:textId="77777777" w:rsidR="00E9122C" w:rsidRPr="00AC3823" w:rsidRDefault="00E9122C" w:rsidP="00AC3823">
      <w:pPr>
        <w:pStyle w:val="Pieddepage"/>
        <w:tabs>
          <w:tab w:val="right" w:pos="2155"/>
        </w:tabs>
        <w:spacing w:after="80" w:line="240" w:lineRule="atLeast"/>
        <w:ind w:left="680"/>
        <w:rPr>
          <w:u w:val="single"/>
        </w:rPr>
      </w:pPr>
      <w:r>
        <w:rPr>
          <w:u w:val="single"/>
        </w:rPr>
        <w:tab/>
      </w:r>
    </w:p>
  </w:footnote>
  <w:footnote w:type="continuationNotice" w:id="1">
    <w:p w14:paraId="33A7FB65" w14:textId="77777777" w:rsidR="00E9122C" w:rsidRPr="00AC3823" w:rsidRDefault="00E9122C">
      <w:pPr>
        <w:spacing w:line="240" w:lineRule="auto"/>
        <w:rPr>
          <w:sz w:val="2"/>
          <w:szCs w:val="2"/>
        </w:rPr>
      </w:pPr>
    </w:p>
  </w:footnote>
  <w:footnote w:id="2">
    <w:p w14:paraId="6B252BCA" w14:textId="77777777" w:rsidR="00857FD7" w:rsidRPr="00A2770A" w:rsidRDefault="00857FD7" w:rsidP="00857FD7">
      <w:pPr>
        <w:pStyle w:val="Notedebasdepage"/>
        <w:rPr>
          <w:lang w:val="fr-FR"/>
        </w:rPr>
      </w:pPr>
      <w:r>
        <w:tab/>
      </w:r>
      <w:r w:rsidRPr="00857FD7">
        <w:rPr>
          <w:rStyle w:val="Appelnotedebasdep"/>
          <w:sz w:val="20"/>
          <w:vertAlign w:val="baseline"/>
        </w:rPr>
        <w:t>*</w:t>
      </w:r>
      <w:r>
        <w:tab/>
      </w:r>
      <w:r>
        <w:rPr>
          <w:lang w:val="fr-FR"/>
        </w:rPr>
        <w:t>Adoptée par le Comité à sa 128</w:t>
      </w:r>
      <w:r w:rsidRPr="00A2770A">
        <w:rPr>
          <w:vertAlign w:val="superscript"/>
          <w:lang w:val="fr-FR"/>
        </w:rPr>
        <w:t>e</w:t>
      </w:r>
      <w:r>
        <w:rPr>
          <w:lang w:val="fr-FR"/>
        </w:rPr>
        <w:t xml:space="preserve"> session (2-27 mars 2020).</w:t>
      </w:r>
    </w:p>
  </w:footnote>
  <w:footnote w:id="3">
    <w:p w14:paraId="0C0DCDE3" w14:textId="77777777" w:rsidR="00857FD7" w:rsidRPr="00A2770A" w:rsidRDefault="00857FD7" w:rsidP="00857FD7">
      <w:pPr>
        <w:pStyle w:val="Notedebasdepage"/>
        <w:rPr>
          <w:lang w:val="fr-FR"/>
        </w:rPr>
      </w:pPr>
      <w:r w:rsidRPr="00857FD7">
        <w:rPr>
          <w:rStyle w:val="Appelnotedebasdep"/>
          <w:sz w:val="20"/>
          <w:vertAlign w:val="baseline"/>
        </w:rPr>
        <w:tab/>
        <w:t>**</w:t>
      </w:r>
      <w:r>
        <w:tab/>
      </w:r>
      <w:r>
        <w:rPr>
          <w:lang w:val="fr-FR"/>
        </w:rPr>
        <w:t xml:space="preserve">Les membres du Comité dont le nom suit ont participé à l’examen de la communication : </w:t>
      </w:r>
      <w:r>
        <w:rPr>
          <w:lang w:val="fr-FR"/>
        </w:rPr>
        <w:br/>
      </w:r>
      <w:r>
        <w:rPr>
          <w:spacing w:val="-1"/>
          <w:szCs w:val="18"/>
        </w:rPr>
        <w:t xml:space="preserve">Yadh Ben Achour, </w:t>
      </w:r>
      <w:r w:rsidRPr="00CA1FA1">
        <w:rPr>
          <w:spacing w:val="-1"/>
          <w:szCs w:val="18"/>
        </w:rPr>
        <w:t xml:space="preserve">Arif Bulkan, Ahmed Amin Fathalla, </w:t>
      </w:r>
      <w:r>
        <w:rPr>
          <w:spacing w:val="-1"/>
          <w:szCs w:val="18"/>
        </w:rPr>
        <w:t xml:space="preserve">Christof Heyns, </w:t>
      </w:r>
      <w:r w:rsidRPr="00CA1FA1">
        <w:rPr>
          <w:spacing w:val="-1"/>
          <w:szCs w:val="18"/>
        </w:rPr>
        <w:t xml:space="preserve">Bamariam Koita, </w:t>
      </w:r>
      <w:r>
        <w:rPr>
          <w:spacing w:val="-1"/>
          <w:szCs w:val="18"/>
        </w:rPr>
        <w:t>Marcia</w:t>
      </w:r>
      <w:r>
        <w:rPr>
          <w:spacing w:val="-1"/>
          <w:szCs w:val="18"/>
        </w:rPr>
        <w:t> </w:t>
      </w:r>
      <w:r>
        <w:rPr>
          <w:spacing w:val="-1"/>
          <w:szCs w:val="18"/>
        </w:rPr>
        <w:t>V.</w:t>
      </w:r>
      <w:r>
        <w:rPr>
          <w:spacing w:val="-1"/>
          <w:szCs w:val="18"/>
        </w:rPr>
        <w:t> </w:t>
      </w:r>
      <w:r>
        <w:rPr>
          <w:spacing w:val="-1"/>
          <w:szCs w:val="18"/>
        </w:rPr>
        <w:t>J.</w:t>
      </w:r>
      <w:r>
        <w:rPr>
          <w:spacing w:val="-1"/>
          <w:szCs w:val="18"/>
        </w:rPr>
        <w:t> </w:t>
      </w:r>
      <w:r>
        <w:rPr>
          <w:spacing w:val="-1"/>
          <w:szCs w:val="18"/>
        </w:rPr>
        <w:t xml:space="preserve">Kran, </w:t>
      </w:r>
      <w:r w:rsidRPr="00CA1FA1">
        <w:rPr>
          <w:spacing w:val="-1"/>
          <w:szCs w:val="18"/>
        </w:rPr>
        <w:t xml:space="preserve">Duncan </w:t>
      </w:r>
      <w:r>
        <w:rPr>
          <w:spacing w:val="-1"/>
          <w:szCs w:val="18"/>
        </w:rPr>
        <w:t xml:space="preserve">Laki </w:t>
      </w:r>
      <w:r w:rsidRPr="00CA1FA1">
        <w:rPr>
          <w:spacing w:val="-1"/>
          <w:szCs w:val="18"/>
        </w:rPr>
        <w:t xml:space="preserve">Muhumuza, Photini Pazartzis, </w:t>
      </w:r>
      <w:r w:rsidRPr="00CA1FA1">
        <w:t>Hernán</w:t>
      </w:r>
      <w:r w:rsidRPr="00CA1FA1">
        <w:rPr>
          <w:spacing w:val="-1"/>
          <w:szCs w:val="18"/>
        </w:rPr>
        <w:t xml:space="preserve"> Quezada Cabrera, Vasilka</w:t>
      </w:r>
      <w:r>
        <w:rPr>
          <w:spacing w:val="-1"/>
          <w:szCs w:val="18"/>
        </w:rPr>
        <w:t> </w:t>
      </w:r>
      <w:r w:rsidRPr="00CA1FA1">
        <w:rPr>
          <w:spacing w:val="-1"/>
          <w:szCs w:val="18"/>
        </w:rPr>
        <w:t xml:space="preserve">Sancin, </w:t>
      </w:r>
      <w:r w:rsidRPr="00CA1FA1">
        <w:rPr>
          <w:spacing w:val="-1"/>
        </w:rPr>
        <w:t xml:space="preserve">José Manuel Santos Pais, </w:t>
      </w:r>
      <w:r w:rsidRPr="00CA1FA1">
        <w:t xml:space="preserve">Yuval Shany, Hélène Tigroudja, </w:t>
      </w:r>
      <w:r w:rsidRPr="00CA1FA1">
        <w:rPr>
          <w:spacing w:val="-1"/>
          <w:szCs w:val="18"/>
        </w:rPr>
        <w:t xml:space="preserve">Andreas Zimmermann </w:t>
      </w:r>
      <w:r>
        <w:rPr>
          <w:spacing w:val="-1"/>
          <w:szCs w:val="18"/>
        </w:rPr>
        <w:br/>
      </w:r>
      <w:r>
        <w:rPr>
          <w:spacing w:val="-1"/>
          <w:szCs w:val="18"/>
        </w:rPr>
        <w:t>et</w:t>
      </w:r>
      <w:r w:rsidRPr="00CA1FA1">
        <w:rPr>
          <w:spacing w:val="-1"/>
          <w:szCs w:val="18"/>
        </w:rPr>
        <w:t xml:space="preserve"> Gentian Zyberi</w:t>
      </w:r>
      <w:r w:rsidRPr="00CA1FA1">
        <w:rPr>
          <w:spacing w:val="-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5DB3" w14:textId="5E5E970F" w:rsidR="00857FD7" w:rsidRPr="00857FD7" w:rsidRDefault="00857FD7">
    <w:pPr>
      <w:pStyle w:val="En-tte"/>
    </w:pPr>
    <w:fldSimple w:instr=" TITLE  \* MERGEFORMAT ">
      <w:r w:rsidR="00CE3BE6">
        <w:t>CCPR/C/128/D/2057/2011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DDD7" w14:textId="480E9E41" w:rsidR="00857FD7" w:rsidRPr="00857FD7" w:rsidRDefault="00857FD7" w:rsidP="00857FD7">
    <w:pPr>
      <w:pStyle w:val="En-tte"/>
      <w:jc w:val="right"/>
    </w:pPr>
    <w:fldSimple w:instr=" TITLE  \* MERGEFORMAT ">
      <w:r w:rsidR="00CE3BE6">
        <w:t>CCPR/C/128/D/2057/2011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122C"/>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5505B7"/>
    <w:rsid w:val="00552FA8"/>
    <w:rsid w:val="00573BE5"/>
    <w:rsid w:val="00586ED3"/>
    <w:rsid w:val="00596AA9"/>
    <w:rsid w:val="006F7144"/>
    <w:rsid w:val="006F71EA"/>
    <w:rsid w:val="0071601D"/>
    <w:rsid w:val="00793E85"/>
    <w:rsid w:val="007A611C"/>
    <w:rsid w:val="007A62E6"/>
    <w:rsid w:val="007E2032"/>
    <w:rsid w:val="0080684C"/>
    <w:rsid w:val="008560DB"/>
    <w:rsid w:val="00857FD7"/>
    <w:rsid w:val="00871C75"/>
    <w:rsid w:val="008776DC"/>
    <w:rsid w:val="009705C8"/>
    <w:rsid w:val="009B1E6C"/>
    <w:rsid w:val="009E2C6A"/>
    <w:rsid w:val="00A049BC"/>
    <w:rsid w:val="00A9151D"/>
    <w:rsid w:val="00AA6A35"/>
    <w:rsid w:val="00AC3823"/>
    <w:rsid w:val="00AE323C"/>
    <w:rsid w:val="00B00181"/>
    <w:rsid w:val="00B765F7"/>
    <w:rsid w:val="00BA0CA9"/>
    <w:rsid w:val="00C01ACF"/>
    <w:rsid w:val="00C02897"/>
    <w:rsid w:val="00CA7BC4"/>
    <w:rsid w:val="00CE3BE6"/>
    <w:rsid w:val="00CE46D6"/>
    <w:rsid w:val="00D05667"/>
    <w:rsid w:val="00D3439C"/>
    <w:rsid w:val="00D744E5"/>
    <w:rsid w:val="00D83177"/>
    <w:rsid w:val="00DB1831"/>
    <w:rsid w:val="00DD3BFD"/>
    <w:rsid w:val="00DF6678"/>
    <w:rsid w:val="00E85C42"/>
    <w:rsid w:val="00E9122C"/>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77BB34"/>
  <w15:docId w15:val="{981848BC-6205-4707-A112-BB280D0F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857FD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Pages>
  <Words>1480</Words>
  <Characters>7450</Characters>
  <Application>Microsoft Office Word</Application>
  <DocSecurity>0</DocSecurity>
  <Lines>143</Lines>
  <Paragraphs>62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CCPR/C/128/D/2057/2011</dc:title>
  <dc:subject/>
  <dc:creator>Sandrine CLERE</dc:creator>
  <cp:keywords/>
  <cp:lastModifiedBy>Sandrine CLERE</cp:lastModifiedBy>
  <cp:revision>3</cp:revision>
  <cp:lastPrinted>2020-07-13T12:37:00Z</cp:lastPrinted>
  <dcterms:created xsi:type="dcterms:W3CDTF">2020-07-13T12:37:00Z</dcterms:created>
  <dcterms:modified xsi:type="dcterms:W3CDTF">2020-07-13T12:37:00Z</dcterms:modified>
</cp:coreProperties>
</file>