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6F71EA" w:rsidRPr="00DB58B5" w:rsidTr="002B7BC7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6F71EA" w:rsidRPr="00DB58B5" w:rsidRDefault="006F71EA" w:rsidP="00284BE0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F71EA" w:rsidRPr="00DB58B5" w:rsidRDefault="006F71EA" w:rsidP="002B7BC7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6F71EA" w:rsidRPr="00DB58B5" w:rsidRDefault="00284BE0" w:rsidP="00284BE0">
            <w:pPr>
              <w:jc w:val="right"/>
            </w:pPr>
            <w:r w:rsidRPr="00284BE0">
              <w:rPr>
                <w:sz w:val="40"/>
              </w:rPr>
              <w:t>CCPR</w:t>
            </w:r>
            <w:r>
              <w:t>/C/128/D/2391/2014</w:t>
            </w:r>
          </w:p>
        </w:tc>
      </w:tr>
      <w:tr w:rsidR="006F71EA" w:rsidRPr="00DB58B5" w:rsidTr="002B7BC7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6F71EA" w:rsidRPr="00DB58B5" w:rsidRDefault="006F71EA" w:rsidP="002B7BC7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9130B62" wp14:editId="1AA895D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F71EA" w:rsidRPr="00AB51C8" w:rsidRDefault="006F71EA" w:rsidP="002B7BC7">
            <w:pPr>
              <w:spacing w:before="120" w:line="380" w:lineRule="exact"/>
              <w:rPr>
                <w:b/>
                <w:sz w:val="34"/>
                <w:szCs w:val="34"/>
              </w:rPr>
            </w:pPr>
            <w:r w:rsidRPr="00AB51C8">
              <w:rPr>
                <w:b/>
                <w:sz w:val="34"/>
                <w:szCs w:val="34"/>
              </w:rPr>
              <w:t>Pacte international relatif</w:t>
            </w:r>
            <w:r w:rsidRPr="00AB51C8">
              <w:rPr>
                <w:b/>
                <w:sz w:val="34"/>
                <w:szCs w:val="34"/>
              </w:rPr>
              <w:br/>
              <w:t>aux droits civils et politiques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6F71EA" w:rsidRDefault="00284BE0" w:rsidP="002B7BC7">
            <w:pPr>
              <w:spacing w:before="240"/>
            </w:pPr>
            <w:r>
              <w:t>Distr. générale</w:t>
            </w:r>
          </w:p>
          <w:p w:rsidR="00284BE0" w:rsidRDefault="00284BE0" w:rsidP="00284BE0">
            <w:pPr>
              <w:spacing w:line="240" w:lineRule="exact"/>
            </w:pPr>
            <w:r>
              <w:t>9 juin 2020</w:t>
            </w:r>
          </w:p>
          <w:p w:rsidR="00284BE0" w:rsidRDefault="00284BE0" w:rsidP="00284BE0">
            <w:pPr>
              <w:spacing w:line="240" w:lineRule="exact"/>
            </w:pPr>
            <w:r>
              <w:t>Français</w:t>
            </w:r>
          </w:p>
          <w:p w:rsidR="00284BE0" w:rsidRPr="00DB58B5" w:rsidRDefault="00284BE0" w:rsidP="00284BE0">
            <w:pPr>
              <w:spacing w:line="240" w:lineRule="exact"/>
            </w:pPr>
            <w:r>
              <w:t>Original</w:t>
            </w:r>
            <w:r w:rsidR="000E5700">
              <w:t> :</w:t>
            </w:r>
            <w:r>
              <w:t xml:space="preserve"> anglais</w:t>
            </w:r>
          </w:p>
        </w:tc>
      </w:tr>
    </w:tbl>
    <w:p w:rsidR="006F71EA" w:rsidRDefault="006F71EA" w:rsidP="006F71EA">
      <w:pPr>
        <w:spacing w:before="120"/>
        <w:rPr>
          <w:b/>
          <w:sz w:val="24"/>
          <w:szCs w:val="24"/>
        </w:rPr>
      </w:pPr>
      <w:r w:rsidRPr="00DF3BF1">
        <w:rPr>
          <w:b/>
          <w:sz w:val="24"/>
          <w:szCs w:val="24"/>
        </w:rPr>
        <w:t>Comité des droits de l’homme</w:t>
      </w:r>
    </w:p>
    <w:p w:rsidR="000E5700" w:rsidRPr="006D452F" w:rsidRDefault="000E5700" w:rsidP="000E5700">
      <w:pPr>
        <w:pStyle w:val="HChG"/>
      </w:pPr>
      <w:r>
        <w:tab/>
      </w:r>
      <w:r>
        <w:tab/>
        <w:t xml:space="preserve">Constatations adoptées par le Comité au titre de l’article 5 (par. 4) du Protocole facultatif, concernant la communication </w:t>
      </w:r>
      <w:r w:rsidRPr="006D452F">
        <w:t>n</w:t>
      </w:r>
      <w:r w:rsidRPr="006D452F">
        <w:rPr>
          <w:vertAlign w:val="superscript"/>
        </w:rPr>
        <w:t>o</w:t>
      </w:r>
      <w:r>
        <w:t> </w:t>
      </w:r>
      <w:r w:rsidRPr="005F670D">
        <w:rPr>
          <w:szCs w:val="28"/>
          <w:lang w:val="fr-FR"/>
        </w:rPr>
        <w:t>2391/2014</w:t>
      </w:r>
      <w:r w:rsidRPr="000E5700">
        <w:rPr>
          <w:rStyle w:val="Appelnotedebasdep"/>
          <w:rFonts w:eastAsia="MS Mincho"/>
          <w:b w:val="0"/>
          <w:sz w:val="20"/>
          <w:vertAlign w:val="baseline"/>
          <w:lang w:val="fr-FR"/>
        </w:rPr>
        <w:footnoteReference w:customMarkFollows="1" w:id="2"/>
        <w:t>*</w:t>
      </w:r>
      <w:r w:rsidRPr="000E5700">
        <w:rPr>
          <w:rFonts w:eastAsia="MS Mincho"/>
          <w:b w:val="0"/>
          <w:position w:val="6"/>
          <w:sz w:val="20"/>
          <w:lang w:val="fr-FR"/>
        </w:rPr>
        <w:t>,</w:t>
      </w:r>
      <w:r w:rsidRPr="000E5700">
        <w:rPr>
          <w:rFonts w:eastAsia="MS Mincho"/>
          <w:b w:val="0"/>
          <w:sz w:val="20"/>
          <w:lang w:val="fr-FR"/>
        </w:rPr>
        <w:t xml:space="preserve"> </w:t>
      </w:r>
      <w:r w:rsidR="00DC24DE" w:rsidRPr="00DC24DE">
        <w:rPr>
          <w:rStyle w:val="Appelnotedebasdep"/>
          <w:rFonts w:eastAsia="MS Mincho"/>
          <w:b w:val="0"/>
          <w:sz w:val="20"/>
          <w:vertAlign w:val="baseline"/>
        </w:rPr>
        <w:footnoteReference w:customMarkFollows="1" w:id="3"/>
        <w:t>**</w:t>
      </w:r>
    </w:p>
    <w:tbl>
      <w:tblPr>
        <w:tblStyle w:val="Grilledutableau"/>
        <w:tblW w:w="680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969"/>
      </w:tblGrid>
      <w:tr w:rsidR="000E5700" w:rsidRPr="006D452F" w:rsidTr="000E5700">
        <w:tc>
          <w:tcPr>
            <w:tcW w:w="2835" w:type="dxa"/>
          </w:tcPr>
          <w:p w:rsidR="000E5700" w:rsidRPr="006D452F" w:rsidRDefault="000E5700" w:rsidP="000E5700">
            <w:pPr>
              <w:spacing w:after="120"/>
            </w:pPr>
            <w:r w:rsidRPr="006D452F">
              <w:rPr>
                <w:i/>
              </w:rPr>
              <w:t>Communication</w:t>
            </w:r>
            <w:r>
              <w:rPr>
                <w:i/>
              </w:rPr>
              <w:t xml:space="preserve"> </w:t>
            </w:r>
            <w:r w:rsidRPr="006D452F">
              <w:rPr>
                <w:i/>
              </w:rPr>
              <w:t>présentée</w:t>
            </w:r>
            <w:r>
              <w:rPr>
                <w:i/>
              </w:rPr>
              <w:t xml:space="preserve"> </w:t>
            </w:r>
            <w:r w:rsidRPr="006D452F">
              <w:rPr>
                <w:i/>
              </w:rPr>
              <w:t>par</w:t>
            </w:r>
            <w:r>
              <w:t> :</w:t>
            </w:r>
          </w:p>
        </w:tc>
        <w:tc>
          <w:tcPr>
            <w:tcW w:w="3969" w:type="dxa"/>
          </w:tcPr>
          <w:p w:rsidR="000E5700" w:rsidRPr="006D452F" w:rsidRDefault="000E5700" w:rsidP="000E5700">
            <w:pPr>
              <w:spacing w:after="120"/>
            </w:pPr>
            <w:r w:rsidRPr="005F670D">
              <w:rPr>
                <w:lang w:val="fr-FR"/>
              </w:rPr>
              <w:t>Leonid</w:t>
            </w:r>
            <w:r>
              <w:rPr>
                <w:lang w:val="fr-FR"/>
              </w:rPr>
              <w:t xml:space="preserve"> </w:t>
            </w:r>
            <w:proofErr w:type="spellStart"/>
            <w:r w:rsidRPr="005F670D">
              <w:rPr>
                <w:lang w:val="fr-FR"/>
              </w:rPr>
              <w:t>Zdrestov</w:t>
            </w:r>
            <w:proofErr w:type="spellEnd"/>
            <w:r>
              <w:rPr>
                <w:lang w:val="fr-FR"/>
              </w:rPr>
              <w:t xml:space="preserve"> </w:t>
            </w:r>
            <w:r w:rsidRPr="005F670D">
              <w:rPr>
                <w:lang w:val="fr-FR"/>
              </w:rPr>
              <w:t>(non</w:t>
            </w:r>
            <w:r>
              <w:rPr>
                <w:lang w:val="fr-FR"/>
              </w:rPr>
              <w:t xml:space="preserve"> </w:t>
            </w:r>
            <w:r w:rsidRPr="005F670D">
              <w:rPr>
                <w:lang w:val="fr-FR"/>
              </w:rPr>
              <w:t>représenté</w:t>
            </w:r>
            <w:r>
              <w:rPr>
                <w:lang w:val="fr-FR"/>
              </w:rPr>
              <w:t xml:space="preserve"> </w:t>
            </w:r>
            <w:r w:rsidRPr="005F670D">
              <w:rPr>
                <w:lang w:val="fr-FR"/>
              </w:rPr>
              <w:t>par</w:t>
            </w:r>
            <w:r>
              <w:rPr>
                <w:lang w:val="fr-FR"/>
              </w:rPr>
              <w:t xml:space="preserve"> </w:t>
            </w:r>
            <w:r w:rsidRPr="005F670D">
              <w:rPr>
                <w:lang w:val="fr-FR"/>
              </w:rPr>
              <w:t>un</w:t>
            </w:r>
            <w:r>
              <w:rPr>
                <w:lang w:val="fr-FR"/>
              </w:rPr>
              <w:t xml:space="preserve"> </w:t>
            </w:r>
            <w:r w:rsidRPr="005F670D">
              <w:rPr>
                <w:lang w:val="fr-FR"/>
              </w:rPr>
              <w:t>co</w:t>
            </w:r>
            <w:r>
              <w:rPr>
                <w:lang w:val="fr-FR"/>
              </w:rPr>
              <w:t>nseil</w:t>
            </w:r>
            <w:r w:rsidRPr="005F670D">
              <w:rPr>
                <w:lang w:val="fr-FR"/>
              </w:rPr>
              <w:t>)</w:t>
            </w:r>
          </w:p>
        </w:tc>
      </w:tr>
      <w:tr w:rsidR="000E5700" w:rsidRPr="006D452F" w:rsidTr="000E5700">
        <w:tc>
          <w:tcPr>
            <w:tcW w:w="2835" w:type="dxa"/>
          </w:tcPr>
          <w:p w:rsidR="000E5700" w:rsidRPr="006D452F" w:rsidRDefault="000E5700" w:rsidP="000E5700">
            <w:pPr>
              <w:spacing w:after="120"/>
            </w:pPr>
            <w:r>
              <w:rPr>
                <w:i/>
              </w:rPr>
              <w:t>Victime(s) présumée(s)</w:t>
            </w:r>
            <w:r>
              <w:t> :</w:t>
            </w:r>
          </w:p>
        </w:tc>
        <w:tc>
          <w:tcPr>
            <w:tcW w:w="3969" w:type="dxa"/>
          </w:tcPr>
          <w:p w:rsidR="000E5700" w:rsidRPr="006D452F" w:rsidRDefault="000E5700" w:rsidP="000E5700">
            <w:pPr>
              <w:spacing w:after="120"/>
            </w:pPr>
            <w:r w:rsidRPr="005F670D">
              <w:rPr>
                <w:lang w:val="fr-FR"/>
              </w:rPr>
              <w:t>L</w:t>
            </w:r>
            <w:r>
              <w:rPr>
                <w:lang w:val="fr-FR"/>
              </w:rPr>
              <w:t>’auteur</w:t>
            </w:r>
          </w:p>
        </w:tc>
      </w:tr>
      <w:tr w:rsidR="000E5700" w:rsidRPr="006D452F" w:rsidTr="000E5700">
        <w:tc>
          <w:tcPr>
            <w:tcW w:w="2835" w:type="dxa"/>
          </w:tcPr>
          <w:p w:rsidR="000E5700" w:rsidRPr="006D452F" w:rsidRDefault="000E5700" w:rsidP="000E5700">
            <w:pPr>
              <w:spacing w:after="120"/>
            </w:pPr>
            <w:r w:rsidRPr="006D452F">
              <w:rPr>
                <w:i/>
              </w:rPr>
              <w:t>État</w:t>
            </w:r>
            <w:r>
              <w:rPr>
                <w:i/>
              </w:rPr>
              <w:t xml:space="preserve"> </w:t>
            </w:r>
            <w:r w:rsidRPr="006D452F">
              <w:rPr>
                <w:i/>
              </w:rPr>
              <w:t>partie</w:t>
            </w:r>
            <w:r>
              <w:t> :</w:t>
            </w:r>
          </w:p>
        </w:tc>
        <w:tc>
          <w:tcPr>
            <w:tcW w:w="3969" w:type="dxa"/>
          </w:tcPr>
          <w:p w:rsidR="000E5700" w:rsidRPr="006D452F" w:rsidRDefault="000E5700" w:rsidP="000E5700">
            <w:pPr>
              <w:spacing w:after="120"/>
            </w:pPr>
            <w:r w:rsidRPr="005F670D">
              <w:rPr>
                <w:lang w:val="fr-FR"/>
              </w:rPr>
              <w:t>Bélarus</w:t>
            </w:r>
          </w:p>
        </w:tc>
      </w:tr>
      <w:tr w:rsidR="000E5700" w:rsidRPr="006D452F" w:rsidTr="000E5700">
        <w:tc>
          <w:tcPr>
            <w:tcW w:w="2835" w:type="dxa"/>
          </w:tcPr>
          <w:p w:rsidR="000E5700" w:rsidRPr="006D452F" w:rsidRDefault="000E5700" w:rsidP="000E5700">
            <w:pPr>
              <w:spacing w:after="120"/>
            </w:pPr>
            <w:r w:rsidRPr="006D452F">
              <w:rPr>
                <w:i/>
              </w:rPr>
              <w:t>Date</w:t>
            </w:r>
            <w:r>
              <w:rPr>
                <w:i/>
              </w:rPr>
              <w:t xml:space="preserve"> </w:t>
            </w:r>
            <w:r w:rsidRPr="006D452F">
              <w:rPr>
                <w:i/>
              </w:rPr>
              <w:t>de</w:t>
            </w:r>
            <w:r>
              <w:rPr>
                <w:i/>
              </w:rPr>
              <w:t xml:space="preserve"> </w:t>
            </w:r>
            <w:r w:rsidRPr="006D452F">
              <w:rPr>
                <w:i/>
              </w:rPr>
              <w:t>la</w:t>
            </w:r>
            <w:r>
              <w:rPr>
                <w:i/>
              </w:rPr>
              <w:t xml:space="preserve"> </w:t>
            </w:r>
            <w:r w:rsidRPr="006D452F">
              <w:rPr>
                <w:i/>
              </w:rPr>
              <w:t>communication</w:t>
            </w:r>
            <w:r>
              <w:t> :</w:t>
            </w:r>
          </w:p>
        </w:tc>
        <w:tc>
          <w:tcPr>
            <w:tcW w:w="3969" w:type="dxa"/>
          </w:tcPr>
          <w:p w:rsidR="000E5700" w:rsidRPr="006D452F" w:rsidRDefault="000E5700" w:rsidP="000E5700">
            <w:pPr>
              <w:spacing w:after="120"/>
            </w:pPr>
            <w:r w:rsidRPr="005F670D">
              <w:rPr>
                <w:lang w:val="fr-FR"/>
              </w:rPr>
              <w:t>21</w:t>
            </w:r>
            <w:r>
              <w:rPr>
                <w:lang w:val="fr-FR"/>
              </w:rPr>
              <w:t> mars 2</w:t>
            </w:r>
            <w:r w:rsidRPr="005F670D">
              <w:rPr>
                <w:lang w:val="fr-FR"/>
              </w:rPr>
              <w:t>014</w:t>
            </w:r>
            <w:r>
              <w:rPr>
                <w:lang w:val="fr-FR"/>
              </w:rPr>
              <w:t xml:space="preserve"> </w:t>
            </w:r>
            <w:r w:rsidRPr="005F670D">
              <w:rPr>
                <w:lang w:val="fr-FR"/>
              </w:rPr>
              <w:t>(</w:t>
            </w:r>
            <w:r>
              <w:rPr>
                <w:lang w:val="fr-FR"/>
              </w:rPr>
              <w:t xml:space="preserve">date de la lettre </w:t>
            </w:r>
            <w:r w:rsidRPr="005F670D">
              <w:rPr>
                <w:lang w:val="fr-FR"/>
              </w:rPr>
              <w:t>initial</w:t>
            </w:r>
            <w:r>
              <w:rPr>
                <w:lang w:val="fr-FR"/>
              </w:rPr>
              <w:t>e</w:t>
            </w:r>
            <w:r w:rsidRPr="005F670D">
              <w:rPr>
                <w:lang w:val="fr-FR"/>
              </w:rPr>
              <w:t>)</w:t>
            </w:r>
          </w:p>
        </w:tc>
      </w:tr>
      <w:tr w:rsidR="000E5700" w:rsidRPr="006D452F" w:rsidTr="000E5700">
        <w:tc>
          <w:tcPr>
            <w:tcW w:w="2835" w:type="dxa"/>
          </w:tcPr>
          <w:p w:rsidR="000E5700" w:rsidRPr="006D452F" w:rsidRDefault="000E5700" w:rsidP="000E5700">
            <w:pPr>
              <w:spacing w:after="120"/>
            </w:pPr>
            <w:r w:rsidRPr="006D452F">
              <w:rPr>
                <w:i/>
              </w:rPr>
              <w:t>Références</w:t>
            </w:r>
            <w:r>
              <w:t> :</w:t>
            </w:r>
          </w:p>
        </w:tc>
        <w:tc>
          <w:tcPr>
            <w:tcW w:w="3969" w:type="dxa"/>
          </w:tcPr>
          <w:p w:rsidR="000E5700" w:rsidRPr="006D452F" w:rsidRDefault="000E5700" w:rsidP="000E5700">
            <w:pPr>
              <w:spacing w:after="120"/>
            </w:pPr>
            <w:r w:rsidRPr="00783087">
              <w:rPr>
                <w:lang w:val="fr-FR"/>
              </w:rPr>
              <w:t>Décision</w:t>
            </w:r>
            <w:r>
              <w:rPr>
                <w:lang w:val="fr-FR"/>
              </w:rPr>
              <w:t xml:space="preserve"> </w:t>
            </w:r>
            <w:r w:rsidRPr="00783087">
              <w:rPr>
                <w:lang w:val="fr-FR"/>
              </w:rPr>
              <w:t>prise</w:t>
            </w:r>
            <w:r>
              <w:rPr>
                <w:lang w:val="fr-FR"/>
              </w:rPr>
              <w:t xml:space="preserve"> en </w:t>
            </w:r>
            <w:r w:rsidRPr="00783087">
              <w:rPr>
                <w:lang w:val="fr-FR"/>
              </w:rPr>
              <w:t>application</w:t>
            </w:r>
            <w:r>
              <w:rPr>
                <w:lang w:val="fr-FR"/>
              </w:rPr>
              <w:t xml:space="preserve"> </w:t>
            </w:r>
            <w:r w:rsidRPr="00783087">
              <w:rPr>
                <w:lang w:val="fr-FR"/>
              </w:rPr>
              <w:t>de</w:t>
            </w:r>
            <w:r>
              <w:rPr>
                <w:lang w:val="fr-FR"/>
              </w:rPr>
              <w:t xml:space="preserve"> </w:t>
            </w:r>
            <w:r w:rsidRPr="00783087">
              <w:rPr>
                <w:lang w:val="fr-FR"/>
              </w:rPr>
              <w:t>l</w:t>
            </w:r>
            <w:r>
              <w:rPr>
                <w:lang w:val="fr-FR"/>
              </w:rPr>
              <w:t>’</w:t>
            </w:r>
            <w:r w:rsidRPr="00783087">
              <w:rPr>
                <w:lang w:val="fr-FR"/>
              </w:rPr>
              <w:t>article</w:t>
            </w:r>
            <w:r>
              <w:rPr>
                <w:lang w:val="fr-FR"/>
              </w:rPr>
              <w:t xml:space="preserve"> </w:t>
            </w:r>
            <w:r w:rsidRPr="00783087">
              <w:rPr>
                <w:lang w:val="fr-FR"/>
              </w:rPr>
              <w:t>92</w:t>
            </w:r>
            <w:r>
              <w:rPr>
                <w:lang w:val="fr-FR"/>
              </w:rPr>
              <w:t xml:space="preserve"> </w:t>
            </w:r>
            <w:r w:rsidRPr="00783087">
              <w:rPr>
                <w:lang w:val="fr-FR"/>
              </w:rPr>
              <w:t>du</w:t>
            </w:r>
            <w:r>
              <w:rPr>
                <w:lang w:val="fr-FR"/>
              </w:rPr>
              <w:t xml:space="preserve"> </w:t>
            </w:r>
            <w:r w:rsidRPr="00783087">
              <w:rPr>
                <w:lang w:val="fr-FR"/>
              </w:rPr>
              <w:t>Règlement</w:t>
            </w:r>
            <w:r>
              <w:rPr>
                <w:lang w:val="fr-FR"/>
              </w:rPr>
              <w:t xml:space="preserve"> </w:t>
            </w:r>
            <w:r w:rsidRPr="00783087">
              <w:rPr>
                <w:lang w:val="fr-FR"/>
              </w:rPr>
              <w:t>intérieur</w:t>
            </w:r>
            <w:r>
              <w:rPr>
                <w:lang w:val="fr-FR"/>
              </w:rPr>
              <w:t xml:space="preserve"> </w:t>
            </w:r>
            <w:r w:rsidRPr="00783087">
              <w:rPr>
                <w:lang w:val="fr-FR"/>
              </w:rPr>
              <w:t>du</w:t>
            </w:r>
            <w:r>
              <w:rPr>
                <w:lang w:val="fr-FR"/>
              </w:rPr>
              <w:t xml:space="preserve"> </w:t>
            </w:r>
            <w:r w:rsidRPr="00783087">
              <w:rPr>
                <w:lang w:val="fr-FR"/>
              </w:rPr>
              <w:t>Comité,</w:t>
            </w:r>
            <w:r>
              <w:rPr>
                <w:lang w:val="fr-FR"/>
              </w:rPr>
              <w:t xml:space="preserve"> </w:t>
            </w:r>
            <w:r w:rsidRPr="00783087">
              <w:rPr>
                <w:lang w:val="fr-FR"/>
              </w:rPr>
              <w:t>communiquée</w:t>
            </w:r>
            <w:r>
              <w:rPr>
                <w:lang w:val="fr-FR"/>
              </w:rPr>
              <w:t xml:space="preserve"> </w:t>
            </w:r>
            <w:r w:rsidRPr="00783087">
              <w:rPr>
                <w:lang w:val="fr-FR"/>
              </w:rPr>
              <w:t>à</w:t>
            </w:r>
            <w:r>
              <w:rPr>
                <w:lang w:val="fr-FR"/>
              </w:rPr>
              <w:t> </w:t>
            </w:r>
            <w:r w:rsidRPr="00783087">
              <w:rPr>
                <w:lang w:val="fr-FR"/>
              </w:rPr>
              <w:t>l</w:t>
            </w:r>
            <w:r>
              <w:rPr>
                <w:lang w:val="fr-FR"/>
              </w:rPr>
              <w:t>’</w:t>
            </w:r>
            <w:r w:rsidRPr="00783087">
              <w:rPr>
                <w:lang w:val="fr-FR"/>
              </w:rPr>
              <w:t>État</w:t>
            </w:r>
            <w:r>
              <w:rPr>
                <w:lang w:val="fr-FR"/>
              </w:rPr>
              <w:t xml:space="preserve"> </w:t>
            </w:r>
            <w:r w:rsidRPr="00783087">
              <w:rPr>
                <w:lang w:val="fr-FR"/>
              </w:rPr>
              <w:t>partie</w:t>
            </w:r>
            <w:r>
              <w:rPr>
                <w:lang w:val="fr-FR"/>
              </w:rPr>
              <w:t xml:space="preserve"> </w:t>
            </w:r>
            <w:r w:rsidRPr="00783087">
              <w:rPr>
                <w:lang w:val="fr-FR"/>
              </w:rPr>
              <w:t>le</w:t>
            </w:r>
            <w:r>
              <w:rPr>
                <w:lang w:val="fr-FR"/>
              </w:rPr>
              <w:t xml:space="preserve"> 19 mai 2014 </w:t>
            </w:r>
            <w:r w:rsidRPr="00783087">
              <w:rPr>
                <w:lang w:val="fr-FR"/>
              </w:rPr>
              <w:t>(non</w:t>
            </w:r>
            <w:r>
              <w:rPr>
                <w:lang w:val="fr-FR"/>
              </w:rPr>
              <w:t xml:space="preserve"> </w:t>
            </w:r>
            <w:r w:rsidRPr="00783087">
              <w:rPr>
                <w:lang w:val="fr-FR"/>
              </w:rPr>
              <w:t>publiée</w:t>
            </w:r>
            <w:r>
              <w:rPr>
                <w:lang w:val="fr-FR"/>
              </w:rPr>
              <w:t xml:space="preserve"> </w:t>
            </w:r>
            <w:r w:rsidRPr="00783087">
              <w:rPr>
                <w:lang w:val="fr-FR"/>
              </w:rPr>
              <w:t>sous</w:t>
            </w:r>
            <w:r>
              <w:rPr>
                <w:lang w:val="fr-FR"/>
              </w:rPr>
              <w:t xml:space="preserve"> </w:t>
            </w:r>
            <w:r w:rsidRPr="00783087">
              <w:rPr>
                <w:lang w:val="fr-FR"/>
              </w:rPr>
              <w:t>forme</w:t>
            </w:r>
            <w:r>
              <w:rPr>
                <w:lang w:val="fr-FR"/>
              </w:rPr>
              <w:t xml:space="preserve"> </w:t>
            </w:r>
            <w:r w:rsidRPr="00783087">
              <w:rPr>
                <w:lang w:val="fr-FR"/>
              </w:rPr>
              <w:t>de</w:t>
            </w:r>
            <w:r>
              <w:rPr>
                <w:lang w:val="fr-FR"/>
              </w:rPr>
              <w:t xml:space="preserve"> </w:t>
            </w:r>
            <w:r w:rsidRPr="00783087">
              <w:rPr>
                <w:lang w:val="fr-FR"/>
              </w:rPr>
              <w:t>document)</w:t>
            </w:r>
          </w:p>
        </w:tc>
      </w:tr>
      <w:tr w:rsidR="000E5700" w:rsidRPr="006D452F" w:rsidTr="000E5700">
        <w:tc>
          <w:tcPr>
            <w:tcW w:w="2835" w:type="dxa"/>
          </w:tcPr>
          <w:p w:rsidR="000E5700" w:rsidRPr="006D452F" w:rsidRDefault="000E5700" w:rsidP="000E5700">
            <w:pPr>
              <w:spacing w:after="120"/>
            </w:pPr>
            <w:r w:rsidRPr="006D452F">
              <w:rPr>
                <w:i/>
              </w:rPr>
              <w:t>Date</w:t>
            </w:r>
            <w:r>
              <w:rPr>
                <w:i/>
              </w:rPr>
              <w:t xml:space="preserve"> </w:t>
            </w:r>
            <w:r w:rsidRPr="006D452F">
              <w:rPr>
                <w:i/>
              </w:rPr>
              <w:t>d</w:t>
            </w:r>
            <w:r>
              <w:rPr>
                <w:i/>
              </w:rPr>
              <w:t>es constatations</w:t>
            </w:r>
            <w:r w:rsidRPr="000E5700">
              <w:rPr>
                <w:iCs/>
              </w:rPr>
              <w:t> :</w:t>
            </w:r>
          </w:p>
        </w:tc>
        <w:tc>
          <w:tcPr>
            <w:tcW w:w="3969" w:type="dxa"/>
          </w:tcPr>
          <w:p w:rsidR="000E5700" w:rsidRPr="006D452F" w:rsidRDefault="000E5700" w:rsidP="000E5700">
            <w:pPr>
              <w:spacing w:after="120"/>
            </w:pPr>
            <w:r>
              <w:t>13 mars 2020</w:t>
            </w:r>
          </w:p>
        </w:tc>
      </w:tr>
      <w:tr w:rsidR="000E5700" w:rsidRPr="006D452F" w:rsidTr="000E5700">
        <w:tc>
          <w:tcPr>
            <w:tcW w:w="2835" w:type="dxa"/>
          </w:tcPr>
          <w:p w:rsidR="000E5700" w:rsidRPr="00792FC6" w:rsidRDefault="000E5700" w:rsidP="000E5700">
            <w:pPr>
              <w:spacing w:after="120"/>
            </w:pPr>
            <w:r w:rsidRPr="00792FC6">
              <w:rPr>
                <w:i/>
                <w:iCs/>
              </w:rPr>
              <w:t>Objet</w:t>
            </w:r>
            <w:r>
              <w:t> :</w:t>
            </w:r>
          </w:p>
        </w:tc>
        <w:tc>
          <w:tcPr>
            <w:tcW w:w="3969" w:type="dxa"/>
          </w:tcPr>
          <w:p w:rsidR="000E5700" w:rsidRPr="00792FC6" w:rsidRDefault="000E5700" w:rsidP="000E5700">
            <w:pPr>
              <w:spacing w:after="120"/>
            </w:pPr>
            <w:r w:rsidRPr="00792FC6">
              <w:rPr>
                <w:lang w:val="fr-FR"/>
              </w:rPr>
              <w:t>Refus</w:t>
            </w:r>
            <w:r>
              <w:rPr>
                <w:lang w:val="fr-FR"/>
              </w:rPr>
              <w:t xml:space="preserve"> </w:t>
            </w:r>
            <w:r w:rsidRPr="00792FC6">
              <w:rPr>
                <w:lang w:val="fr-FR"/>
              </w:rPr>
              <w:t>d</w:t>
            </w:r>
            <w:r>
              <w:rPr>
                <w:lang w:val="fr-FR"/>
              </w:rPr>
              <w:t>’</w:t>
            </w:r>
            <w:r w:rsidRPr="00792FC6">
              <w:rPr>
                <w:lang w:val="fr-FR"/>
              </w:rPr>
              <w:t>autoriser</w:t>
            </w:r>
            <w:r>
              <w:rPr>
                <w:lang w:val="fr-FR"/>
              </w:rPr>
              <w:t xml:space="preserve"> </w:t>
            </w:r>
            <w:r w:rsidRPr="00792FC6">
              <w:rPr>
                <w:lang w:val="fr-FR"/>
              </w:rPr>
              <w:t>la</w:t>
            </w:r>
            <w:r>
              <w:rPr>
                <w:lang w:val="fr-FR"/>
              </w:rPr>
              <w:t xml:space="preserve"> </w:t>
            </w:r>
            <w:r w:rsidRPr="00792FC6">
              <w:rPr>
                <w:lang w:val="fr-FR"/>
              </w:rPr>
              <w:t>tenue</w:t>
            </w:r>
            <w:r>
              <w:rPr>
                <w:lang w:val="fr-FR"/>
              </w:rPr>
              <w:t xml:space="preserve"> </w:t>
            </w:r>
            <w:r w:rsidRPr="00792FC6">
              <w:rPr>
                <w:lang w:val="fr-FR"/>
              </w:rPr>
              <w:t>d</w:t>
            </w:r>
            <w:r>
              <w:rPr>
                <w:lang w:val="fr-FR"/>
              </w:rPr>
              <w:t>’</w:t>
            </w:r>
            <w:r w:rsidRPr="00792FC6">
              <w:rPr>
                <w:lang w:val="fr-FR"/>
              </w:rPr>
              <w:t>une</w:t>
            </w:r>
            <w:r>
              <w:rPr>
                <w:lang w:val="fr-FR"/>
              </w:rPr>
              <w:t xml:space="preserve"> </w:t>
            </w:r>
            <w:r w:rsidRPr="00792FC6">
              <w:rPr>
                <w:lang w:val="fr-FR"/>
              </w:rPr>
              <w:t>réunion</w:t>
            </w:r>
            <w:r>
              <w:rPr>
                <w:lang w:val="fr-FR"/>
              </w:rPr>
              <w:t xml:space="preserve"> </w:t>
            </w:r>
            <w:r w:rsidRPr="00792FC6">
              <w:rPr>
                <w:lang w:val="fr-FR"/>
              </w:rPr>
              <w:t>pacifique</w:t>
            </w:r>
            <w:r>
              <w:rPr>
                <w:lang w:val="fr-FR"/>
              </w:rPr>
              <w:t xml:space="preserve"> ; </w:t>
            </w:r>
            <w:r w:rsidRPr="00792FC6">
              <w:rPr>
                <w:lang w:val="fr-FR"/>
              </w:rPr>
              <w:t>liberté</w:t>
            </w:r>
            <w:r>
              <w:rPr>
                <w:lang w:val="fr-FR"/>
              </w:rPr>
              <w:t xml:space="preserve"> </w:t>
            </w:r>
            <w:r w:rsidRPr="00792FC6">
              <w:rPr>
                <w:lang w:val="fr-FR"/>
              </w:rPr>
              <w:t>d</w:t>
            </w:r>
            <w:r>
              <w:rPr>
                <w:lang w:val="fr-FR"/>
              </w:rPr>
              <w:t>’</w:t>
            </w:r>
            <w:r w:rsidRPr="00792FC6">
              <w:rPr>
                <w:lang w:val="fr-FR"/>
              </w:rPr>
              <w:t>expression</w:t>
            </w:r>
          </w:p>
        </w:tc>
      </w:tr>
      <w:tr w:rsidR="000E5700" w:rsidRPr="006D452F" w:rsidTr="000E5700">
        <w:tc>
          <w:tcPr>
            <w:tcW w:w="2835" w:type="dxa"/>
          </w:tcPr>
          <w:p w:rsidR="000E5700" w:rsidRPr="00792FC6" w:rsidRDefault="000E5700" w:rsidP="000E5700">
            <w:pPr>
              <w:spacing w:after="120"/>
            </w:pPr>
            <w:r w:rsidRPr="00792FC6">
              <w:rPr>
                <w:i/>
                <w:iCs/>
              </w:rPr>
              <w:t>Question(s)</w:t>
            </w:r>
            <w:r>
              <w:rPr>
                <w:i/>
                <w:iCs/>
              </w:rPr>
              <w:t xml:space="preserve"> </w:t>
            </w:r>
            <w:r w:rsidRPr="00792FC6">
              <w:rPr>
                <w:i/>
                <w:iCs/>
              </w:rPr>
              <w:t>de</w:t>
            </w:r>
            <w:r>
              <w:rPr>
                <w:i/>
                <w:iCs/>
              </w:rPr>
              <w:t xml:space="preserve"> </w:t>
            </w:r>
            <w:r w:rsidRPr="00792FC6">
              <w:rPr>
                <w:i/>
                <w:iCs/>
              </w:rPr>
              <w:t>procédure</w:t>
            </w:r>
            <w:r>
              <w:t> :</w:t>
            </w:r>
          </w:p>
        </w:tc>
        <w:tc>
          <w:tcPr>
            <w:tcW w:w="3969" w:type="dxa"/>
          </w:tcPr>
          <w:p w:rsidR="000E5700" w:rsidRPr="00792FC6" w:rsidRDefault="000E5700" w:rsidP="000E5700">
            <w:pPr>
              <w:spacing w:after="120"/>
            </w:pPr>
            <w:r w:rsidRPr="007C1DD6">
              <w:rPr>
                <w:iCs/>
                <w:lang w:val="fr-FR"/>
              </w:rPr>
              <w:t>Épuisement</w:t>
            </w:r>
            <w:r>
              <w:rPr>
                <w:iCs/>
                <w:lang w:val="fr-FR"/>
              </w:rPr>
              <w:t xml:space="preserve"> </w:t>
            </w:r>
            <w:r w:rsidRPr="007C1DD6">
              <w:rPr>
                <w:iCs/>
                <w:lang w:val="fr-FR"/>
              </w:rPr>
              <w:t>des</w:t>
            </w:r>
            <w:r>
              <w:rPr>
                <w:iCs/>
                <w:lang w:val="fr-FR"/>
              </w:rPr>
              <w:t xml:space="preserve"> </w:t>
            </w:r>
            <w:r w:rsidRPr="007C1DD6">
              <w:rPr>
                <w:iCs/>
                <w:lang w:val="fr-FR"/>
              </w:rPr>
              <w:t>recours</w:t>
            </w:r>
            <w:r>
              <w:rPr>
                <w:iCs/>
                <w:lang w:val="fr-FR"/>
              </w:rPr>
              <w:t xml:space="preserve"> </w:t>
            </w:r>
            <w:r w:rsidRPr="007C1DD6">
              <w:rPr>
                <w:iCs/>
                <w:lang w:val="fr-FR"/>
              </w:rPr>
              <w:t>internes</w:t>
            </w:r>
          </w:p>
        </w:tc>
      </w:tr>
      <w:tr w:rsidR="000E5700" w:rsidRPr="006D452F" w:rsidTr="000E5700">
        <w:tc>
          <w:tcPr>
            <w:tcW w:w="2835" w:type="dxa"/>
          </w:tcPr>
          <w:p w:rsidR="000E5700" w:rsidRPr="00792FC6" w:rsidRDefault="000E5700" w:rsidP="000E5700">
            <w:pPr>
              <w:spacing w:after="120"/>
            </w:pPr>
            <w:r w:rsidRPr="00792FC6">
              <w:rPr>
                <w:i/>
                <w:iCs/>
              </w:rPr>
              <w:t>Question(s)</w:t>
            </w:r>
            <w:r>
              <w:rPr>
                <w:i/>
                <w:iCs/>
              </w:rPr>
              <w:t xml:space="preserve"> </w:t>
            </w:r>
            <w:r w:rsidRPr="00792FC6">
              <w:rPr>
                <w:i/>
                <w:iCs/>
              </w:rPr>
              <w:t>de</w:t>
            </w:r>
            <w:r>
              <w:rPr>
                <w:i/>
                <w:iCs/>
              </w:rPr>
              <w:t xml:space="preserve"> </w:t>
            </w:r>
            <w:r w:rsidRPr="00792FC6">
              <w:rPr>
                <w:i/>
                <w:iCs/>
              </w:rPr>
              <w:t>fond</w:t>
            </w:r>
            <w:r>
              <w:t> :</w:t>
            </w:r>
          </w:p>
        </w:tc>
        <w:tc>
          <w:tcPr>
            <w:tcW w:w="3969" w:type="dxa"/>
          </w:tcPr>
          <w:p w:rsidR="000E5700" w:rsidRPr="00792FC6" w:rsidRDefault="000E5700" w:rsidP="000E5700">
            <w:pPr>
              <w:spacing w:after="120"/>
            </w:pPr>
            <w:r w:rsidRPr="00741920">
              <w:rPr>
                <w:iCs/>
                <w:lang w:val="fr-FR"/>
              </w:rPr>
              <w:t>Liberté</w:t>
            </w:r>
            <w:r>
              <w:rPr>
                <w:iCs/>
                <w:lang w:val="fr-FR"/>
              </w:rPr>
              <w:t xml:space="preserve"> </w:t>
            </w:r>
            <w:r w:rsidRPr="00741920">
              <w:rPr>
                <w:iCs/>
                <w:lang w:val="fr-FR"/>
              </w:rPr>
              <w:t>d</w:t>
            </w:r>
            <w:r>
              <w:rPr>
                <w:iCs/>
                <w:lang w:val="fr-FR"/>
              </w:rPr>
              <w:t>’</w:t>
            </w:r>
            <w:r w:rsidRPr="00741920">
              <w:rPr>
                <w:lang w:val="fr-FR"/>
              </w:rPr>
              <w:t>expression</w:t>
            </w:r>
          </w:p>
        </w:tc>
      </w:tr>
      <w:tr w:rsidR="000E5700" w:rsidRPr="006D452F" w:rsidTr="000E5700">
        <w:tc>
          <w:tcPr>
            <w:tcW w:w="2835" w:type="dxa"/>
          </w:tcPr>
          <w:p w:rsidR="000E5700" w:rsidRPr="00792FC6" w:rsidRDefault="000E5700" w:rsidP="000E5700">
            <w:pPr>
              <w:spacing w:after="120"/>
            </w:pPr>
            <w:r w:rsidRPr="00792FC6">
              <w:rPr>
                <w:i/>
                <w:iCs/>
              </w:rPr>
              <w:t>Article(s)</w:t>
            </w:r>
            <w:r>
              <w:rPr>
                <w:i/>
                <w:iCs/>
              </w:rPr>
              <w:t xml:space="preserve"> </w:t>
            </w:r>
            <w:r w:rsidRPr="00792FC6">
              <w:rPr>
                <w:i/>
                <w:iCs/>
              </w:rPr>
              <w:t>du</w:t>
            </w:r>
            <w:r>
              <w:rPr>
                <w:i/>
                <w:iCs/>
              </w:rPr>
              <w:t xml:space="preserve"> </w:t>
            </w:r>
            <w:r w:rsidRPr="00792FC6">
              <w:rPr>
                <w:i/>
                <w:iCs/>
              </w:rPr>
              <w:t>Pacte</w:t>
            </w:r>
            <w:r>
              <w:t> :</w:t>
            </w:r>
          </w:p>
        </w:tc>
        <w:tc>
          <w:tcPr>
            <w:tcW w:w="3969" w:type="dxa"/>
          </w:tcPr>
          <w:p w:rsidR="000E5700" w:rsidRPr="00792FC6" w:rsidRDefault="000E5700" w:rsidP="000E5700">
            <w:pPr>
              <w:spacing w:after="120"/>
            </w:pPr>
            <w:r w:rsidRPr="00AB28B1">
              <w:rPr>
                <w:lang w:val="fr-FR"/>
              </w:rPr>
              <w:t>19</w:t>
            </w:r>
            <w:r>
              <w:rPr>
                <w:lang w:val="fr-FR"/>
              </w:rPr>
              <w:t xml:space="preserve"> </w:t>
            </w:r>
            <w:r w:rsidRPr="00AB28B1">
              <w:rPr>
                <w:lang w:val="fr-FR"/>
              </w:rPr>
              <w:t>(</w:t>
            </w:r>
            <w:r>
              <w:rPr>
                <w:lang w:val="fr-FR"/>
              </w:rPr>
              <w:t>par. </w:t>
            </w:r>
            <w:r w:rsidRPr="00AB28B1">
              <w:rPr>
                <w:lang w:val="fr-FR"/>
              </w:rPr>
              <w:t>2</w:t>
            </w:r>
            <w:r>
              <w:rPr>
                <w:lang w:val="fr-FR"/>
              </w:rPr>
              <w:t xml:space="preserve"> et 3</w:t>
            </w:r>
            <w:r w:rsidRPr="00AB28B1">
              <w:rPr>
                <w:lang w:val="fr-FR"/>
              </w:rPr>
              <w:t>)</w:t>
            </w:r>
          </w:p>
        </w:tc>
      </w:tr>
      <w:tr w:rsidR="000E5700" w:rsidRPr="006D452F" w:rsidTr="000E5700">
        <w:tc>
          <w:tcPr>
            <w:tcW w:w="2835" w:type="dxa"/>
          </w:tcPr>
          <w:p w:rsidR="000E5700" w:rsidRPr="00792FC6" w:rsidRDefault="000E5700" w:rsidP="000E5700">
            <w:pPr>
              <w:spacing w:after="120"/>
            </w:pPr>
            <w:r w:rsidRPr="00792FC6">
              <w:rPr>
                <w:i/>
                <w:iCs/>
              </w:rPr>
              <w:t>Article(s)</w:t>
            </w:r>
            <w:r>
              <w:rPr>
                <w:i/>
                <w:iCs/>
              </w:rPr>
              <w:t xml:space="preserve"> </w:t>
            </w:r>
            <w:r w:rsidRPr="00792FC6">
              <w:rPr>
                <w:i/>
                <w:iCs/>
              </w:rPr>
              <w:t>du</w:t>
            </w:r>
            <w:r>
              <w:rPr>
                <w:i/>
                <w:iCs/>
              </w:rPr>
              <w:t xml:space="preserve"> </w:t>
            </w:r>
            <w:r w:rsidRPr="00792FC6">
              <w:rPr>
                <w:i/>
                <w:iCs/>
              </w:rPr>
              <w:t>Protocole</w:t>
            </w:r>
            <w:r>
              <w:rPr>
                <w:i/>
                <w:iCs/>
              </w:rPr>
              <w:t xml:space="preserve"> </w:t>
            </w:r>
            <w:r w:rsidRPr="00792FC6">
              <w:rPr>
                <w:i/>
                <w:iCs/>
              </w:rPr>
              <w:t>facultatif</w:t>
            </w:r>
            <w:r>
              <w:t> :</w:t>
            </w:r>
          </w:p>
        </w:tc>
        <w:tc>
          <w:tcPr>
            <w:tcW w:w="3969" w:type="dxa"/>
          </w:tcPr>
          <w:p w:rsidR="000E5700" w:rsidRPr="00792FC6" w:rsidRDefault="000E5700" w:rsidP="000E5700">
            <w:pPr>
              <w:spacing w:after="120"/>
            </w:pPr>
            <w:r>
              <w:rPr>
                <w:iCs/>
                <w:lang w:val="fr-FR"/>
              </w:rPr>
              <w:t>1</w:t>
            </w:r>
            <w:r w:rsidRPr="0078283A">
              <w:rPr>
                <w:iCs/>
                <w:vertAlign w:val="superscript"/>
                <w:lang w:val="fr-FR"/>
              </w:rPr>
              <w:t>er</w:t>
            </w:r>
            <w:r>
              <w:rPr>
                <w:iCs/>
                <w:lang w:val="fr-FR"/>
              </w:rPr>
              <w:t xml:space="preserve">, </w:t>
            </w:r>
            <w:r w:rsidRPr="00AB28B1">
              <w:rPr>
                <w:iCs/>
                <w:lang w:val="fr-FR"/>
              </w:rPr>
              <w:t>2</w:t>
            </w:r>
            <w:r>
              <w:rPr>
                <w:iCs/>
                <w:lang w:val="fr-FR"/>
              </w:rPr>
              <w:t xml:space="preserve"> et </w:t>
            </w:r>
            <w:r w:rsidRPr="00AB28B1">
              <w:rPr>
                <w:lang w:val="fr-FR"/>
              </w:rPr>
              <w:t>5</w:t>
            </w:r>
            <w:r>
              <w:rPr>
                <w:lang w:val="fr-FR"/>
              </w:rPr>
              <w:t xml:space="preserve"> </w:t>
            </w:r>
            <w:r w:rsidRPr="00AB28B1">
              <w:rPr>
                <w:lang w:val="fr-FR"/>
              </w:rPr>
              <w:t>(</w:t>
            </w:r>
            <w:r>
              <w:rPr>
                <w:lang w:val="fr-FR"/>
              </w:rPr>
              <w:t>par. </w:t>
            </w:r>
            <w:r w:rsidRPr="00AB28B1">
              <w:rPr>
                <w:lang w:val="fr-FR"/>
              </w:rPr>
              <w:t>2</w:t>
            </w:r>
            <w:r w:rsidR="00DC24DE">
              <w:rPr>
                <w:lang w:val="fr-FR"/>
              </w:rPr>
              <w:t> </w:t>
            </w:r>
            <w:r w:rsidRPr="00AB28B1">
              <w:rPr>
                <w:lang w:val="fr-FR"/>
              </w:rPr>
              <w:t>b)</w:t>
            </w:r>
            <w:r>
              <w:rPr>
                <w:lang w:val="fr-FR"/>
              </w:rPr>
              <w:t>)</w:t>
            </w:r>
          </w:p>
        </w:tc>
      </w:tr>
    </w:tbl>
    <w:p w:rsidR="000E5700" w:rsidRPr="009A5C16" w:rsidRDefault="000E5700" w:rsidP="000E5700">
      <w:pPr>
        <w:pStyle w:val="SingleTxtG"/>
        <w:rPr>
          <w:lang w:val="fr-FR"/>
        </w:rPr>
      </w:pPr>
      <w:r w:rsidRPr="009A5C16">
        <w:rPr>
          <w:lang w:val="fr-FR"/>
        </w:rPr>
        <w:t>1.</w:t>
      </w:r>
      <w:r w:rsidRPr="009A5C16">
        <w:rPr>
          <w:lang w:val="fr-FR"/>
        </w:rPr>
        <w:tab/>
        <w:t>L</w:t>
      </w:r>
      <w:r>
        <w:rPr>
          <w:lang w:val="fr-FR"/>
        </w:rPr>
        <w:t>’</w:t>
      </w:r>
      <w:r w:rsidRPr="009A5C16">
        <w:rPr>
          <w:lang w:val="fr-FR"/>
        </w:rPr>
        <w:t>auteur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la</w:t>
      </w:r>
      <w:r>
        <w:rPr>
          <w:lang w:val="fr-FR"/>
        </w:rPr>
        <w:t xml:space="preserve"> </w:t>
      </w:r>
      <w:r w:rsidRPr="009A5C16">
        <w:rPr>
          <w:lang w:val="fr-FR"/>
        </w:rPr>
        <w:t>communication</w:t>
      </w:r>
      <w:r>
        <w:rPr>
          <w:lang w:val="fr-FR"/>
        </w:rPr>
        <w:t xml:space="preserve"> </w:t>
      </w:r>
      <w:r w:rsidRPr="009A5C16">
        <w:rPr>
          <w:lang w:val="fr-FR"/>
        </w:rPr>
        <w:t>est</w:t>
      </w:r>
      <w:r>
        <w:rPr>
          <w:lang w:val="fr-FR"/>
        </w:rPr>
        <w:t xml:space="preserve"> </w:t>
      </w:r>
      <w:r w:rsidRPr="009A5C16">
        <w:rPr>
          <w:lang w:val="fr-FR"/>
        </w:rPr>
        <w:t>Leonid</w:t>
      </w:r>
      <w:r>
        <w:rPr>
          <w:lang w:val="fr-FR"/>
        </w:rPr>
        <w:t xml:space="preserve"> </w:t>
      </w:r>
      <w:proofErr w:type="spellStart"/>
      <w:r w:rsidRPr="009A5C16">
        <w:rPr>
          <w:lang w:val="fr-FR"/>
        </w:rPr>
        <w:t>Zdrestov</w:t>
      </w:r>
      <w:proofErr w:type="spellEnd"/>
      <w:r w:rsidRPr="009A5C16">
        <w:rPr>
          <w:lang w:val="fr-FR"/>
        </w:rPr>
        <w:t>,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nationalité</w:t>
      </w:r>
      <w:r>
        <w:rPr>
          <w:lang w:val="fr-FR"/>
        </w:rPr>
        <w:t xml:space="preserve"> </w:t>
      </w:r>
      <w:r w:rsidRPr="009A5C16">
        <w:rPr>
          <w:lang w:val="fr-FR"/>
        </w:rPr>
        <w:t>bélarussienne,</w:t>
      </w:r>
      <w:r>
        <w:rPr>
          <w:lang w:val="fr-FR"/>
        </w:rPr>
        <w:t xml:space="preserve"> </w:t>
      </w:r>
      <w:r w:rsidRPr="009A5C16">
        <w:rPr>
          <w:lang w:val="fr-FR"/>
        </w:rPr>
        <w:t>né</w:t>
      </w:r>
      <w:r>
        <w:rPr>
          <w:lang w:val="fr-FR"/>
        </w:rPr>
        <w:t xml:space="preserve"> </w:t>
      </w:r>
      <w:r w:rsidRPr="009A5C16">
        <w:rPr>
          <w:lang w:val="fr-FR"/>
        </w:rPr>
        <w:t>en</w:t>
      </w:r>
      <w:r>
        <w:rPr>
          <w:lang w:val="fr-FR"/>
        </w:rPr>
        <w:t xml:space="preserve"> </w:t>
      </w:r>
      <w:r w:rsidRPr="009A5C16">
        <w:rPr>
          <w:lang w:val="fr-FR"/>
        </w:rPr>
        <w:t>1953.</w:t>
      </w:r>
      <w:r>
        <w:rPr>
          <w:lang w:val="fr-FR"/>
        </w:rPr>
        <w:t xml:space="preserve"> </w:t>
      </w:r>
      <w:r w:rsidRPr="009A5C16">
        <w:rPr>
          <w:lang w:val="fr-FR"/>
        </w:rPr>
        <w:t>Il</w:t>
      </w:r>
      <w:r>
        <w:rPr>
          <w:lang w:val="fr-FR"/>
        </w:rPr>
        <w:t xml:space="preserve"> </w:t>
      </w:r>
      <w:r w:rsidRPr="009A5C16">
        <w:rPr>
          <w:lang w:val="fr-FR"/>
        </w:rPr>
        <w:t>se</w:t>
      </w:r>
      <w:r>
        <w:rPr>
          <w:lang w:val="fr-FR"/>
        </w:rPr>
        <w:t xml:space="preserve"> </w:t>
      </w:r>
      <w:r w:rsidRPr="009A5C16">
        <w:rPr>
          <w:lang w:val="fr-FR"/>
        </w:rPr>
        <w:t>déclare</w:t>
      </w:r>
      <w:r>
        <w:rPr>
          <w:lang w:val="fr-FR"/>
        </w:rPr>
        <w:t xml:space="preserve"> </w:t>
      </w:r>
      <w:r w:rsidRPr="009A5C16">
        <w:rPr>
          <w:lang w:val="fr-FR"/>
        </w:rPr>
        <w:t>victime</w:t>
      </w:r>
      <w:r>
        <w:rPr>
          <w:lang w:val="fr-FR"/>
        </w:rPr>
        <w:t xml:space="preserve"> </w:t>
      </w:r>
      <w:r w:rsidRPr="009A5C16">
        <w:rPr>
          <w:lang w:val="fr-FR"/>
        </w:rPr>
        <w:t>d</w:t>
      </w:r>
      <w:r>
        <w:rPr>
          <w:lang w:val="fr-FR"/>
        </w:rPr>
        <w:t>’</w:t>
      </w:r>
      <w:r w:rsidRPr="009A5C16">
        <w:rPr>
          <w:lang w:val="fr-FR"/>
        </w:rPr>
        <w:t>une</w:t>
      </w:r>
      <w:r>
        <w:rPr>
          <w:lang w:val="fr-FR"/>
        </w:rPr>
        <w:t xml:space="preserve"> </w:t>
      </w:r>
      <w:r w:rsidRPr="009A5C16">
        <w:rPr>
          <w:lang w:val="fr-FR"/>
        </w:rPr>
        <w:t>violation</w:t>
      </w:r>
      <w:r>
        <w:rPr>
          <w:lang w:val="fr-FR"/>
        </w:rPr>
        <w:t xml:space="preserve"> </w:t>
      </w:r>
      <w:r w:rsidRPr="009A5C16">
        <w:rPr>
          <w:lang w:val="fr-FR"/>
        </w:rPr>
        <w:t>par</w:t>
      </w:r>
      <w:r>
        <w:rPr>
          <w:lang w:val="fr-FR"/>
        </w:rPr>
        <w:t xml:space="preserve"> </w:t>
      </w:r>
      <w:r w:rsidRPr="009A5C16">
        <w:rPr>
          <w:lang w:val="fr-FR"/>
        </w:rPr>
        <w:t>le</w:t>
      </w:r>
      <w:r>
        <w:rPr>
          <w:lang w:val="fr-FR"/>
        </w:rPr>
        <w:t xml:space="preserve"> </w:t>
      </w:r>
      <w:r w:rsidRPr="009A5C16">
        <w:rPr>
          <w:lang w:val="fr-FR"/>
        </w:rPr>
        <w:t>Bélarus</w:t>
      </w:r>
      <w:r>
        <w:rPr>
          <w:lang w:val="fr-FR"/>
        </w:rPr>
        <w:t xml:space="preserve"> </w:t>
      </w:r>
      <w:r w:rsidRPr="009A5C16">
        <w:rPr>
          <w:lang w:val="fr-FR"/>
        </w:rPr>
        <w:t>des</w:t>
      </w:r>
      <w:r>
        <w:rPr>
          <w:lang w:val="fr-FR"/>
        </w:rPr>
        <w:t xml:space="preserve"> </w:t>
      </w:r>
      <w:r w:rsidRPr="009A5C16">
        <w:rPr>
          <w:lang w:val="fr-FR"/>
        </w:rPr>
        <w:t>droits</w:t>
      </w:r>
      <w:r>
        <w:rPr>
          <w:lang w:val="fr-FR"/>
        </w:rPr>
        <w:t xml:space="preserve"> </w:t>
      </w:r>
      <w:r w:rsidRPr="009A5C16">
        <w:rPr>
          <w:lang w:val="fr-FR"/>
        </w:rPr>
        <w:t>qu</w:t>
      </w:r>
      <w:r>
        <w:rPr>
          <w:lang w:val="fr-FR"/>
        </w:rPr>
        <w:t>’</w:t>
      </w:r>
      <w:r w:rsidRPr="009A5C16">
        <w:rPr>
          <w:lang w:val="fr-FR"/>
        </w:rPr>
        <w:t>il</w:t>
      </w:r>
      <w:r>
        <w:rPr>
          <w:lang w:val="fr-FR"/>
        </w:rPr>
        <w:t xml:space="preserve"> </w:t>
      </w:r>
      <w:r w:rsidRPr="009A5C16">
        <w:rPr>
          <w:lang w:val="fr-FR"/>
        </w:rPr>
        <w:t>tient</w:t>
      </w:r>
      <w:r>
        <w:rPr>
          <w:lang w:val="fr-FR"/>
        </w:rPr>
        <w:t xml:space="preserve"> </w:t>
      </w:r>
      <w:r w:rsidRPr="009A5C16">
        <w:rPr>
          <w:lang w:val="fr-FR"/>
        </w:rPr>
        <w:t>des</w:t>
      </w:r>
      <w:r>
        <w:rPr>
          <w:lang w:val="fr-FR"/>
        </w:rPr>
        <w:t xml:space="preserve"> </w:t>
      </w:r>
      <w:r w:rsidRPr="009A5C16">
        <w:rPr>
          <w:lang w:val="fr-FR"/>
        </w:rPr>
        <w:t>paragraphes</w:t>
      </w:r>
      <w:r>
        <w:rPr>
          <w:lang w:val="fr-FR"/>
        </w:rPr>
        <w:t xml:space="preserve"> </w:t>
      </w:r>
      <w:r w:rsidRPr="009A5C16">
        <w:rPr>
          <w:lang w:val="fr-FR"/>
        </w:rPr>
        <w:t>2</w:t>
      </w:r>
      <w:r>
        <w:rPr>
          <w:lang w:val="fr-FR"/>
        </w:rPr>
        <w:t xml:space="preserve"> </w:t>
      </w:r>
      <w:r w:rsidRPr="009A5C16">
        <w:rPr>
          <w:lang w:val="fr-FR"/>
        </w:rPr>
        <w:t>et</w:t>
      </w:r>
      <w:r>
        <w:rPr>
          <w:lang w:val="fr-FR"/>
        </w:rPr>
        <w:t xml:space="preserve"> </w:t>
      </w:r>
      <w:r w:rsidRPr="009A5C16">
        <w:rPr>
          <w:lang w:val="fr-FR"/>
        </w:rPr>
        <w:t>3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article</w:t>
      </w:r>
      <w:r>
        <w:rPr>
          <w:lang w:val="fr-FR"/>
        </w:rPr>
        <w:t xml:space="preserve"> </w:t>
      </w:r>
      <w:r w:rsidRPr="009A5C16">
        <w:rPr>
          <w:lang w:val="fr-FR"/>
        </w:rPr>
        <w:t>19</w:t>
      </w:r>
      <w:r>
        <w:rPr>
          <w:lang w:val="fr-FR"/>
        </w:rPr>
        <w:t xml:space="preserve"> </w:t>
      </w:r>
      <w:r w:rsidRPr="009A5C16">
        <w:rPr>
          <w:lang w:val="fr-FR"/>
        </w:rPr>
        <w:t>du</w:t>
      </w:r>
      <w:r>
        <w:rPr>
          <w:lang w:val="fr-FR"/>
        </w:rPr>
        <w:t xml:space="preserve"> </w:t>
      </w:r>
      <w:r w:rsidRPr="009A5C16">
        <w:rPr>
          <w:lang w:val="fr-FR"/>
        </w:rPr>
        <w:t>Pacte.</w:t>
      </w:r>
      <w:r>
        <w:rPr>
          <w:lang w:val="fr-FR"/>
        </w:rPr>
        <w:t xml:space="preserve"> </w:t>
      </w:r>
      <w:r w:rsidRPr="009A5C16">
        <w:rPr>
          <w:lang w:val="fr-FR"/>
        </w:rPr>
        <w:t>Le</w:t>
      </w:r>
      <w:r>
        <w:rPr>
          <w:lang w:val="fr-FR"/>
        </w:rPr>
        <w:t xml:space="preserve"> </w:t>
      </w:r>
      <w:r w:rsidRPr="009A5C16">
        <w:rPr>
          <w:lang w:val="fr-FR"/>
        </w:rPr>
        <w:t>Protocole</w:t>
      </w:r>
      <w:r>
        <w:rPr>
          <w:lang w:val="fr-FR"/>
        </w:rPr>
        <w:t xml:space="preserve"> </w:t>
      </w:r>
      <w:r w:rsidRPr="009A5C16">
        <w:rPr>
          <w:lang w:val="fr-FR"/>
        </w:rPr>
        <w:t>facultatif</w:t>
      </w:r>
      <w:r>
        <w:rPr>
          <w:lang w:val="fr-FR"/>
        </w:rPr>
        <w:t xml:space="preserve"> </w:t>
      </w:r>
      <w:r w:rsidRPr="009A5C16">
        <w:rPr>
          <w:lang w:val="fr-FR"/>
        </w:rPr>
        <w:t>est</w:t>
      </w:r>
      <w:r>
        <w:rPr>
          <w:lang w:val="fr-FR"/>
        </w:rPr>
        <w:t xml:space="preserve"> </w:t>
      </w:r>
      <w:r w:rsidRPr="009A5C16">
        <w:rPr>
          <w:lang w:val="fr-FR"/>
        </w:rPr>
        <w:t>entré</w:t>
      </w:r>
      <w:r>
        <w:rPr>
          <w:lang w:val="fr-FR"/>
        </w:rPr>
        <w:t xml:space="preserve"> </w:t>
      </w:r>
      <w:r w:rsidRPr="009A5C16">
        <w:rPr>
          <w:lang w:val="fr-FR"/>
        </w:rPr>
        <w:t>en</w:t>
      </w:r>
      <w:r>
        <w:rPr>
          <w:lang w:val="fr-FR"/>
        </w:rPr>
        <w:t xml:space="preserve"> </w:t>
      </w:r>
      <w:r w:rsidRPr="009A5C16">
        <w:rPr>
          <w:lang w:val="fr-FR"/>
        </w:rPr>
        <w:t>vigueur</w:t>
      </w:r>
      <w:r>
        <w:rPr>
          <w:lang w:val="fr-FR"/>
        </w:rPr>
        <w:t xml:space="preserve"> </w:t>
      </w:r>
      <w:r w:rsidRPr="009A5C16">
        <w:rPr>
          <w:lang w:val="fr-FR"/>
        </w:rPr>
        <w:t>pour</w:t>
      </w:r>
      <w:r>
        <w:rPr>
          <w:lang w:val="fr-FR"/>
        </w:rPr>
        <w:t xml:space="preserve"> </w:t>
      </w:r>
      <w:r w:rsidRPr="009A5C16">
        <w:rPr>
          <w:lang w:val="fr-FR"/>
        </w:rPr>
        <w:t>le</w:t>
      </w:r>
      <w:r>
        <w:rPr>
          <w:lang w:val="fr-FR"/>
        </w:rPr>
        <w:t xml:space="preserve"> </w:t>
      </w:r>
      <w:r w:rsidRPr="009A5C16">
        <w:rPr>
          <w:lang w:val="fr-FR"/>
        </w:rPr>
        <w:t>Bélarus</w:t>
      </w:r>
      <w:r>
        <w:rPr>
          <w:lang w:val="fr-FR"/>
        </w:rPr>
        <w:t xml:space="preserve"> </w:t>
      </w:r>
      <w:r w:rsidRPr="009A5C16">
        <w:rPr>
          <w:lang w:val="fr-FR"/>
        </w:rPr>
        <w:t>le</w:t>
      </w:r>
      <w:r>
        <w:rPr>
          <w:lang w:val="fr-FR"/>
        </w:rPr>
        <w:t xml:space="preserve"> </w:t>
      </w:r>
      <w:r w:rsidRPr="009A5C16">
        <w:rPr>
          <w:lang w:val="fr-FR"/>
        </w:rPr>
        <w:t>30</w:t>
      </w:r>
      <w:r>
        <w:rPr>
          <w:lang w:val="fr-FR"/>
        </w:rPr>
        <w:t> </w:t>
      </w:r>
      <w:r w:rsidRPr="009A5C16">
        <w:rPr>
          <w:lang w:val="fr-FR"/>
        </w:rPr>
        <w:t>décembre</w:t>
      </w:r>
      <w:r>
        <w:rPr>
          <w:lang w:val="fr-FR"/>
        </w:rPr>
        <w:t xml:space="preserve"> </w:t>
      </w:r>
      <w:r w:rsidRPr="009A5C16">
        <w:rPr>
          <w:lang w:val="fr-FR"/>
        </w:rPr>
        <w:t>1992.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auteur</w:t>
      </w:r>
      <w:r>
        <w:rPr>
          <w:lang w:val="fr-FR"/>
        </w:rPr>
        <w:t xml:space="preserve"> </w:t>
      </w:r>
      <w:r w:rsidRPr="009A5C16">
        <w:rPr>
          <w:lang w:val="fr-FR"/>
        </w:rPr>
        <w:t>n</w:t>
      </w:r>
      <w:r>
        <w:rPr>
          <w:lang w:val="fr-FR"/>
        </w:rPr>
        <w:t>’</w:t>
      </w:r>
      <w:r w:rsidRPr="009A5C16">
        <w:rPr>
          <w:lang w:val="fr-FR"/>
        </w:rPr>
        <w:t>est</w:t>
      </w:r>
      <w:r>
        <w:rPr>
          <w:lang w:val="fr-FR"/>
        </w:rPr>
        <w:t xml:space="preserve"> </w:t>
      </w:r>
      <w:r w:rsidRPr="009A5C16">
        <w:rPr>
          <w:lang w:val="fr-FR"/>
        </w:rPr>
        <w:t>pas</w:t>
      </w:r>
      <w:r>
        <w:rPr>
          <w:lang w:val="fr-FR"/>
        </w:rPr>
        <w:t xml:space="preserve"> </w:t>
      </w:r>
      <w:r w:rsidRPr="009A5C16">
        <w:rPr>
          <w:lang w:val="fr-FR"/>
        </w:rPr>
        <w:t>représenté</w:t>
      </w:r>
      <w:r>
        <w:rPr>
          <w:lang w:val="fr-FR"/>
        </w:rPr>
        <w:t xml:space="preserve"> </w:t>
      </w:r>
      <w:r w:rsidRPr="009A5C16">
        <w:rPr>
          <w:lang w:val="fr-FR"/>
        </w:rPr>
        <w:t>par</w:t>
      </w:r>
      <w:r>
        <w:rPr>
          <w:lang w:val="fr-FR"/>
        </w:rPr>
        <w:t xml:space="preserve"> </w:t>
      </w:r>
      <w:r w:rsidRPr="009A5C16">
        <w:rPr>
          <w:lang w:val="fr-FR"/>
        </w:rPr>
        <w:t>un</w:t>
      </w:r>
      <w:r>
        <w:rPr>
          <w:lang w:val="fr-FR"/>
        </w:rPr>
        <w:t xml:space="preserve"> </w:t>
      </w:r>
      <w:r w:rsidRPr="009A5C16">
        <w:rPr>
          <w:lang w:val="fr-FR"/>
        </w:rPr>
        <w:t>conseil.</w:t>
      </w:r>
    </w:p>
    <w:p w:rsidR="000E5700" w:rsidRPr="009A5C16" w:rsidRDefault="000E5700" w:rsidP="000E5700">
      <w:pPr>
        <w:pStyle w:val="H23G"/>
        <w:rPr>
          <w:lang w:val="fr-FR"/>
        </w:rPr>
      </w:pPr>
      <w:r w:rsidRPr="009A5C16">
        <w:rPr>
          <w:lang w:val="fr-FR"/>
        </w:rPr>
        <w:tab/>
      </w:r>
      <w:r w:rsidRPr="009A5C16">
        <w:rPr>
          <w:lang w:val="fr-FR"/>
        </w:rPr>
        <w:tab/>
        <w:t>Rappel</w:t>
      </w:r>
      <w:r>
        <w:rPr>
          <w:lang w:val="fr-FR"/>
        </w:rPr>
        <w:t xml:space="preserve"> </w:t>
      </w:r>
      <w:r w:rsidRPr="009A5C16">
        <w:rPr>
          <w:lang w:val="fr-FR"/>
        </w:rPr>
        <w:t>des</w:t>
      </w:r>
      <w:r>
        <w:rPr>
          <w:lang w:val="fr-FR"/>
        </w:rPr>
        <w:t xml:space="preserve"> </w:t>
      </w:r>
      <w:r w:rsidRPr="009A5C16">
        <w:rPr>
          <w:lang w:val="fr-FR"/>
        </w:rPr>
        <w:t>faits</w:t>
      </w:r>
      <w:r>
        <w:rPr>
          <w:lang w:val="fr-FR"/>
        </w:rPr>
        <w:t xml:space="preserve"> </w:t>
      </w:r>
      <w:r w:rsidRPr="009A5C16">
        <w:rPr>
          <w:lang w:val="fr-FR"/>
        </w:rPr>
        <w:t>présentés</w:t>
      </w:r>
      <w:r>
        <w:rPr>
          <w:lang w:val="fr-FR"/>
        </w:rPr>
        <w:t xml:space="preserve"> </w:t>
      </w:r>
      <w:r w:rsidRPr="009A5C16">
        <w:rPr>
          <w:lang w:val="fr-FR"/>
        </w:rPr>
        <w:t>par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auteur</w:t>
      </w:r>
    </w:p>
    <w:p w:rsidR="000E5700" w:rsidRPr="009A5C16" w:rsidRDefault="000E5700" w:rsidP="000E5700">
      <w:pPr>
        <w:pStyle w:val="SingleTxtG"/>
        <w:rPr>
          <w:lang w:val="fr-FR"/>
        </w:rPr>
      </w:pPr>
      <w:r w:rsidRPr="009A5C16">
        <w:rPr>
          <w:lang w:val="fr-FR"/>
        </w:rPr>
        <w:t>2.1</w:t>
      </w:r>
      <w:r w:rsidRPr="009A5C16">
        <w:rPr>
          <w:lang w:val="fr-FR"/>
        </w:rPr>
        <w:tab/>
        <w:t>Le</w:t>
      </w:r>
      <w:r>
        <w:rPr>
          <w:lang w:val="fr-FR"/>
        </w:rPr>
        <w:t xml:space="preserve"> </w:t>
      </w:r>
      <w:r w:rsidRPr="009A5C16">
        <w:rPr>
          <w:lang w:val="fr-FR"/>
        </w:rPr>
        <w:t>15</w:t>
      </w:r>
      <w:r>
        <w:rPr>
          <w:lang w:val="fr-FR"/>
        </w:rPr>
        <w:t> </w:t>
      </w:r>
      <w:r w:rsidRPr="009A5C16">
        <w:rPr>
          <w:lang w:val="fr-FR"/>
        </w:rPr>
        <w:t>juillet</w:t>
      </w:r>
      <w:r>
        <w:rPr>
          <w:lang w:val="fr-FR"/>
        </w:rPr>
        <w:t xml:space="preserve"> </w:t>
      </w:r>
      <w:r w:rsidRPr="009A5C16">
        <w:rPr>
          <w:lang w:val="fr-FR"/>
        </w:rPr>
        <w:t>2013,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auteur</w:t>
      </w:r>
      <w:r>
        <w:rPr>
          <w:lang w:val="fr-FR"/>
        </w:rPr>
        <w:t xml:space="preserve"> </w:t>
      </w:r>
      <w:r w:rsidRPr="009A5C16">
        <w:rPr>
          <w:lang w:val="fr-FR"/>
        </w:rPr>
        <w:t>a</w:t>
      </w:r>
      <w:r>
        <w:rPr>
          <w:lang w:val="fr-FR"/>
        </w:rPr>
        <w:t xml:space="preserve"> </w:t>
      </w:r>
      <w:r w:rsidRPr="009A5C16">
        <w:rPr>
          <w:lang w:val="fr-FR"/>
        </w:rPr>
        <w:t>demandé</w:t>
      </w:r>
      <w:r>
        <w:rPr>
          <w:lang w:val="fr-FR"/>
        </w:rPr>
        <w:t xml:space="preserve"> </w:t>
      </w:r>
      <w:r w:rsidRPr="009A5C16">
        <w:rPr>
          <w:lang w:val="fr-FR"/>
        </w:rPr>
        <w:t>à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administration</w:t>
      </w:r>
      <w:r>
        <w:rPr>
          <w:lang w:val="fr-FR"/>
        </w:rPr>
        <w:t xml:space="preserve"> </w:t>
      </w:r>
      <w:r w:rsidRPr="009A5C16">
        <w:rPr>
          <w:lang w:val="fr-FR"/>
        </w:rPr>
        <w:t>du</w:t>
      </w:r>
      <w:r>
        <w:rPr>
          <w:lang w:val="fr-FR"/>
        </w:rPr>
        <w:t xml:space="preserve"> </w:t>
      </w:r>
      <w:r w:rsidRPr="009A5C16">
        <w:rPr>
          <w:lang w:val="fr-FR"/>
        </w:rPr>
        <w:t>district</w:t>
      </w:r>
      <w:r>
        <w:rPr>
          <w:lang w:val="fr-FR"/>
        </w:rPr>
        <w:t xml:space="preserve"> </w:t>
      </w:r>
      <w:proofErr w:type="spellStart"/>
      <w:r w:rsidRPr="009A5C16">
        <w:rPr>
          <w:lang w:val="fr-FR"/>
        </w:rPr>
        <w:t>Oktiabrsky</w:t>
      </w:r>
      <w:proofErr w:type="spellEnd"/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Vitebsk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autorisation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tenir</w:t>
      </w:r>
      <w:r>
        <w:rPr>
          <w:lang w:val="fr-FR"/>
        </w:rPr>
        <w:t xml:space="preserve"> </w:t>
      </w:r>
      <w:r w:rsidRPr="009A5C16">
        <w:rPr>
          <w:lang w:val="fr-FR"/>
        </w:rPr>
        <w:t>un</w:t>
      </w:r>
      <w:r>
        <w:rPr>
          <w:lang w:val="fr-FR"/>
        </w:rPr>
        <w:t xml:space="preserve"> </w:t>
      </w:r>
      <w:r w:rsidRPr="009A5C16">
        <w:rPr>
          <w:lang w:val="fr-FR"/>
        </w:rPr>
        <w:t>piquet</w:t>
      </w:r>
      <w:r>
        <w:rPr>
          <w:lang w:val="fr-FR"/>
        </w:rPr>
        <w:t xml:space="preserve"> </w:t>
      </w:r>
      <w:r w:rsidRPr="009A5C16">
        <w:rPr>
          <w:lang w:val="fr-FR"/>
        </w:rPr>
        <w:t>d</w:t>
      </w:r>
      <w:r>
        <w:rPr>
          <w:lang w:val="fr-FR"/>
        </w:rPr>
        <w:t>’</w:t>
      </w:r>
      <w:r w:rsidRPr="009A5C16">
        <w:rPr>
          <w:lang w:val="fr-FR"/>
        </w:rPr>
        <w:t>une</w:t>
      </w:r>
      <w:r>
        <w:rPr>
          <w:lang w:val="fr-FR"/>
        </w:rPr>
        <w:t xml:space="preserve"> </w:t>
      </w:r>
      <w:r w:rsidRPr="009A5C16">
        <w:rPr>
          <w:lang w:val="fr-FR"/>
        </w:rPr>
        <w:t>personne</w:t>
      </w:r>
      <w:r>
        <w:rPr>
          <w:lang w:val="fr-FR"/>
        </w:rPr>
        <w:t xml:space="preserve"> </w:t>
      </w:r>
      <w:r w:rsidRPr="009A5C16">
        <w:rPr>
          <w:lang w:val="fr-FR"/>
        </w:rPr>
        <w:t>dans</w:t>
      </w:r>
      <w:r>
        <w:rPr>
          <w:lang w:val="fr-FR"/>
        </w:rPr>
        <w:t xml:space="preserve"> </w:t>
      </w:r>
      <w:r w:rsidRPr="009A5C16">
        <w:rPr>
          <w:lang w:val="fr-FR"/>
        </w:rPr>
        <w:t>le</w:t>
      </w:r>
      <w:r>
        <w:rPr>
          <w:lang w:val="fr-FR"/>
        </w:rPr>
        <w:t xml:space="preserve"> </w:t>
      </w:r>
      <w:r w:rsidRPr="009A5C16">
        <w:rPr>
          <w:lang w:val="fr-FR"/>
        </w:rPr>
        <w:t>parc</w:t>
      </w:r>
      <w:r>
        <w:rPr>
          <w:lang w:val="fr-FR"/>
        </w:rPr>
        <w:t xml:space="preserve"> </w:t>
      </w:r>
      <w:r w:rsidRPr="009A5C16">
        <w:rPr>
          <w:lang w:val="fr-FR"/>
        </w:rPr>
        <w:t>«</w:t>
      </w:r>
      <w:r>
        <w:rPr>
          <w:lang w:val="fr-FR"/>
        </w:rPr>
        <w:t> </w:t>
      </w:r>
      <w:r w:rsidRPr="009A5C16">
        <w:rPr>
          <w:lang w:val="fr-FR"/>
        </w:rPr>
        <w:t>Armée</w:t>
      </w:r>
      <w:r>
        <w:rPr>
          <w:lang w:val="fr-FR"/>
        </w:rPr>
        <w:t xml:space="preserve"> </w:t>
      </w:r>
      <w:r w:rsidRPr="009A5C16">
        <w:rPr>
          <w:lang w:val="fr-FR"/>
        </w:rPr>
        <w:t>soviétique</w:t>
      </w:r>
      <w:r>
        <w:rPr>
          <w:lang w:val="fr-FR"/>
        </w:rPr>
        <w:t> </w:t>
      </w:r>
      <w:r w:rsidRPr="009A5C16">
        <w:rPr>
          <w:lang w:val="fr-FR"/>
        </w:rPr>
        <w:t>»</w:t>
      </w:r>
      <w:r>
        <w:rPr>
          <w:lang w:val="fr-FR"/>
        </w:rPr>
        <w:t xml:space="preserve"> </w:t>
      </w:r>
      <w:r w:rsidRPr="009A5C16">
        <w:rPr>
          <w:lang w:val="fr-FR"/>
        </w:rPr>
        <w:t>les</w:t>
      </w:r>
      <w:r>
        <w:rPr>
          <w:lang w:val="fr-FR"/>
        </w:rPr>
        <w:t xml:space="preserve"> </w:t>
      </w:r>
      <w:r w:rsidRPr="009A5C16">
        <w:rPr>
          <w:lang w:val="fr-FR"/>
        </w:rPr>
        <w:t>17</w:t>
      </w:r>
      <w:r>
        <w:rPr>
          <w:lang w:val="fr-FR"/>
        </w:rPr>
        <w:t xml:space="preserve"> </w:t>
      </w:r>
      <w:r w:rsidRPr="009A5C16">
        <w:rPr>
          <w:lang w:val="fr-FR"/>
        </w:rPr>
        <w:t>et</w:t>
      </w:r>
      <w:r>
        <w:rPr>
          <w:lang w:val="fr-FR"/>
        </w:rPr>
        <w:t xml:space="preserve"> </w:t>
      </w:r>
      <w:r w:rsidRPr="009A5C16">
        <w:rPr>
          <w:lang w:val="fr-FR"/>
        </w:rPr>
        <w:t>18</w:t>
      </w:r>
      <w:r>
        <w:rPr>
          <w:lang w:val="fr-FR"/>
        </w:rPr>
        <w:t> </w:t>
      </w:r>
      <w:r w:rsidRPr="009A5C16">
        <w:rPr>
          <w:lang w:val="fr-FR"/>
        </w:rPr>
        <w:t>août</w:t>
      </w:r>
      <w:r>
        <w:rPr>
          <w:lang w:val="fr-FR"/>
        </w:rPr>
        <w:t xml:space="preserve"> </w:t>
      </w:r>
      <w:r w:rsidRPr="009A5C16">
        <w:rPr>
          <w:lang w:val="fr-FR"/>
        </w:rPr>
        <w:t>2013</w:t>
      </w:r>
      <w:r>
        <w:rPr>
          <w:lang w:val="fr-FR"/>
        </w:rPr>
        <w:t xml:space="preserve"> </w:t>
      </w:r>
      <w:r w:rsidRPr="009A5C16">
        <w:rPr>
          <w:lang w:val="fr-FR"/>
        </w:rPr>
        <w:t>pour</w:t>
      </w:r>
      <w:r>
        <w:rPr>
          <w:lang w:val="fr-FR"/>
        </w:rPr>
        <w:t xml:space="preserve"> </w:t>
      </w:r>
      <w:r w:rsidRPr="009A5C16">
        <w:rPr>
          <w:lang w:val="fr-FR"/>
        </w:rPr>
        <w:t>informer</w:t>
      </w:r>
      <w:r>
        <w:rPr>
          <w:lang w:val="fr-FR"/>
        </w:rPr>
        <w:t xml:space="preserve"> </w:t>
      </w:r>
      <w:r w:rsidRPr="009A5C16">
        <w:rPr>
          <w:lang w:val="fr-FR"/>
        </w:rPr>
        <w:t>les</w:t>
      </w:r>
      <w:r>
        <w:rPr>
          <w:lang w:val="fr-FR"/>
        </w:rPr>
        <w:t xml:space="preserve"> </w:t>
      </w:r>
      <w:r w:rsidRPr="009A5C16">
        <w:rPr>
          <w:lang w:val="fr-FR"/>
        </w:rPr>
        <w:t>habitants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la</w:t>
      </w:r>
      <w:r>
        <w:rPr>
          <w:lang w:val="fr-FR"/>
        </w:rPr>
        <w:t xml:space="preserve"> </w:t>
      </w:r>
      <w:r w:rsidRPr="009A5C16">
        <w:rPr>
          <w:lang w:val="fr-FR"/>
        </w:rPr>
        <w:t>région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Vitebsk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la</w:t>
      </w:r>
      <w:r>
        <w:rPr>
          <w:lang w:val="fr-FR"/>
        </w:rPr>
        <w:t xml:space="preserve"> </w:t>
      </w:r>
      <w:r w:rsidRPr="009A5C16">
        <w:rPr>
          <w:lang w:val="fr-FR"/>
        </w:rPr>
        <w:t>violation</w:t>
      </w:r>
      <w:r>
        <w:rPr>
          <w:lang w:val="fr-FR"/>
        </w:rPr>
        <w:t xml:space="preserve"> </w:t>
      </w:r>
      <w:r w:rsidRPr="009A5C16">
        <w:rPr>
          <w:lang w:val="fr-FR"/>
        </w:rPr>
        <w:t>systématique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ses</w:t>
      </w:r>
      <w:r>
        <w:rPr>
          <w:lang w:val="fr-FR"/>
        </w:rPr>
        <w:t xml:space="preserve"> </w:t>
      </w:r>
      <w:r w:rsidRPr="009A5C16">
        <w:rPr>
          <w:lang w:val="fr-FR"/>
        </w:rPr>
        <w:t>droits</w:t>
      </w:r>
      <w:r>
        <w:rPr>
          <w:lang w:val="fr-FR"/>
        </w:rPr>
        <w:t xml:space="preserve"> </w:t>
      </w:r>
      <w:r w:rsidRPr="009A5C16">
        <w:rPr>
          <w:lang w:val="fr-FR"/>
        </w:rPr>
        <w:t>par</w:t>
      </w:r>
      <w:r>
        <w:rPr>
          <w:lang w:val="fr-FR"/>
        </w:rPr>
        <w:t xml:space="preserve"> </w:t>
      </w:r>
      <w:r w:rsidRPr="009A5C16">
        <w:rPr>
          <w:lang w:val="fr-FR"/>
        </w:rPr>
        <w:t>plusieurs</w:t>
      </w:r>
      <w:r>
        <w:rPr>
          <w:lang w:val="fr-FR"/>
        </w:rPr>
        <w:t xml:space="preserve"> </w:t>
      </w:r>
      <w:r w:rsidRPr="009A5C16">
        <w:rPr>
          <w:lang w:val="fr-FR"/>
        </w:rPr>
        <w:t>services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État.</w:t>
      </w:r>
    </w:p>
    <w:p w:rsidR="000E5700" w:rsidRDefault="000E5700" w:rsidP="000E5700">
      <w:pPr>
        <w:pStyle w:val="SingleTxtG"/>
        <w:rPr>
          <w:lang w:val="fr-FR"/>
        </w:rPr>
      </w:pPr>
      <w:r w:rsidRPr="009A5C16">
        <w:rPr>
          <w:lang w:val="fr-FR"/>
        </w:rPr>
        <w:t>2.2</w:t>
      </w:r>
      <w:r w:rsidRPr="009A5C16">
        <w:rPr>
          <w:lang w:val="fr-FR"/>
        </w:rPr>
        <w:tab/>
        <w:t>Le</w:t>
      </w:r>
      <w:r>
        <w:rPr>
          <w:lang w:val="fr-FR"/>
        </w:rPr>
        <w:t xml:space="preserve"> </w:t>
      </w:r>
      <w:r w:rsidRPr="009A5C16">
        <w:rPr>
          <w:lang w:val="fr-FR"/>
        </w:rPr>
        <w:t>5</w:t>
      </w:r>
      <w:r>
        <w:rPr>
          <w:lang w:val="fr-FR"/>
        </w:rPr>
        <w:t> </w:t>
      </w:r>
      <w:r w:rsidRPr="009A5C16">
        <w:rPr>
          <w:lang w:val="fr-FR"/>
        </w:rPr>
        <w:t>août</w:t>
      </w:r>
      <w:r>
        <w:rPr>
          <w:lang w:val="fr-FR"/>
        </w:rPr>
        <w:t xml:space="preserve"> </w:t>
      </w:r>
      <w:r w:rsidRPr="009A5C16">
        <w:rPr>
          <w:lang w:val="fr-FR"/>
        </w:rPr>
        <w:t>2013,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administration</w:t>
      </w:r>
      <w:r>
        <w:rPr>
          <w:lang w:val="fr-FR"/>
        </w:rPr>
        <w:t xml:space="preserve"> </w:t>
      </w:r>
      <w:r w:rsidRPr="009A5C16">
        <w:rPr>
          <w:lang w:val="fr-FR"/>
        </w:rPr>
        <w:t>a</w:t>
      </w:r>
      <w:r>
        <w:rPr>
          <w:lang w:val="fr-FR"/>
        </w:rPr>
        <w:t xml:space="preserve"> </w:t>
      </w:r>
      <w:r w:rsidRPr="009A5C16">
        <w:rPr>
          <w:lang w:val="fr-FR"/>
        </w:rPr>
        <w:t>refusé</w:t>
      </w:r>
      <w:r>
        <w:rPr>
          <w:lang w:val="fr-FR"/>
        </w:rPr>
        <w:t xml:space="preserve"> </w:t>
      </w:r>
      <w:r w:rsidRPr="009A5C16">
        <w:rPr>
          <w:lang w:val="fr-FR"/>
        </w:rPr>
        <w:t>d</w:t>
      </w:r>
      <w:r>
        <w:rPr>
          <w:lang w:val="fr-FR"/>
        </w:rPr>
        <w:t>’</w:t>
      </w:r>
      <w:r w:rsidRPr="009A5C16">
        <w:rPr>
          <w:lang w:val="fr-FR"/>
        </w:rPr>
        <w:t>autoriser</w:t>
      </w:r>
      <w:r>
        <w:rPr>
          <w:lang w:val="fr-FR"/>
        </w:rPr>
        <w:t xml:space="preserve"> </w:t>
      </w:r>
      <w:r w:rsidRPr="009A5C16">
        <w:rPr>
          <w:lang w:val="fr-FR"/>
        </w:rPr>
        <w:t>la</w:t>
      </w:r>
      <w:r>
        <w:rPr>
          <w:lang w:val="fr-FR"/>
        </w:rPr>
        <w:t xml:space="preserve"> </w:t>
      </w:r>
      <w:r w:rsidRPr="009A5C16">
        <w:rPr>
          <w:lang w:val="fr-FR"/>
        </w:rPr>
        <w:t>tenue</w:t>
      </w:r>
      <w:r>
        <w:rPr>
          <w:lang w:val="fr-FR"/>
        </w:rPr>
        <w:t xml:space="preserve"> </w:t>
      </w:r>
      <w:r w:rsidRPr="009A5C16">
        <w:rPr>
          <w:lang w:val="fr-FR"/>
        </w:rPr>
        <w:t>du</w:t>
      </w:r>
      <w:r>
        <w:rPr>
          <w:lang w:val="fr-FR"/>
        </w:rPr>
        <w:t xml:space="preserve"> </w:t>
      </w:r>
      <w:r w:rsidRPr="009A5C16">
        <w:rPr>
          <w:lang w:val="fr-FR"/>
        </w:rPr>
        <w:t>piquet</w:t>
      </w:r>
      <w:r>
        <w:rPr>
          <w:lang w:val="fr-FR"/>
        </w:rPr>
        <w:t xml:space="preserve"> </w:t>
      </w:r>
      <w:r w:rsidRPr="009A5C16">
        <w:rPr>
          <w:lang w:val="fr-FR"/>
        </w:rPr>
        <w:t>au</w:t>
      </w:r>
      <w:r>
        <w:rPr>
          <w:lang w:val="fr-FR"/>
        </w:rPr>
        <w:t xml:space="preserve"> </w:t>
      </w:r>
      <w:r w:rsidRPr="009A5C16">
        <w:rPr>
          <w:lang w:val="fr-FR"/>
        </w:rPr>
        <w:t>motif</w:t>
      </w:r>
      <w:r>
        <w:rPr>
          <w:lang w:val="fr-FR"/>
        </w:rPr>
        <w:t xml:space="preserve"> </w:t>
      </w:r>
      <w:r w:rsidRPr="009A5C16">
        <w:rPr>
          <w:lang w:val="fr-FR"/>
        </w:rPr>
        <w:t>que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auteur</w:t>
      </w:r>
      <w:r>
        <w:rPr>
          <w:lang w:val="fr-FR"/>
        </w:rPr>
        <w:t xml:space="preserve"> </w:t>
      </w:r>
      <w:r w:rsidRPr="009A5C16">
        <w:rPr>
          <w:lang w:val="fr-FR"/>
        </w:rPr>
        <w:t>ne</w:t>
      </w:r>
      <w:r>
        <w:rPr>
          <w:lang w:val="fr-FR"/>
        </w:rPr>
        <w:t xml:space="preserve"> </w:t>
      </w:r>
      <w:r w:rsidRPr="009A5C16">
        <w:rPr>
          <w:lang w:val="fr-FR"/>
        </w:rPr>
        <w:t>remplissait</w:t>
      </w:r>
      <w:r>
        <w:rPr>
          <w:lang w:val="fr-FR"/>
        </w:rPr>
        <w:t xml:space="preserve"> </w:t>
      </w:r>
      <w:r w:rsidRPr="009A5C16">
        <w:rPr>
          <w:lang w:val="fr-FR"/>
        </w:rPr>
        <w:t>pas</w:t>
      </w:r>
      <w:r>
        <w:rPr>
          <w:lang w:val="fr-FR"/>
        </w:rPr>
        <w:t xml:space="preserve"> </w:t>
      </w:r>
      <w:r w:rsidRPr="009A5C16">
        <w:rPr>
          <w:lang w:val="fr-FR"/>
        </w:rPr>
        <w:t>les</w:t>
      </w:r>
      <w:r>
        <w:rPr>
          <w:lang w:val="fr-FR"/>
        </w:rPr>
        <w:t xml:space="preserve"> </w:t>
      </w:r>
      <w:r w:rsidRPr="009A5C16">
        <w:rPr>
          <w:lang w:val="fr-FR"/>
        </w:rPr>
        <w:t>conditions</w:t>
      </w:r>
      <w:r>
        <w:rPr>
          <w:lang w:val="fr-FR"/>
        </w:rPr>
        <w:t xml:space="preserve"> </w:t>
      </w:r>
      <w:r w:rsidRPr="009A5C16">
        <w:rPr>
          <w:lang w:val="fr-FR"/>
        </w:rPr>
        <w:t>énoncées</w:t>
      </w:r>
      <w:r>
        <w:rPr>
          <w:lang w:val="fr-FR"/>
        </w:rPr>
        <w:t xml:space="preserve"> </w:t>
      </w:r>
      <w:r w:rsidRPr="009A5C16">
        <w:rPr>
          <w:lang w:val="fr-FR"/>
        </w:rPr>
        <w:t>au</w:t>
      </w:r>
      <w:r>
        <w:rPr>
          <w:lang w:val="fr-FR"/>
        </w:rPr>
        <w:t xml:space="preserve"> </w:t>
      </w:r>
      <w:r w:rsidRPr="009A5C16">
        <w:rPr>
          <w:lang w:val="fr-FR"/>
        </w:rPr>
        <w:t>paragraphe</w:t>
      </w:r>
      <w:r>
        <w:rPr>
          <w:lang w:val="fr-FR"/>
        </w:rPr>
        <w:t xml:space="preserve"> </w:t>
      </w:r>
      <w:r w:rsidRPr="009A5C16">
        <w:rPr>
          <w:lang w:val="fr-FR"/>
        </w:rPr>
        <w:t>3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la</w:t>
      </w:r>
      <w:r>
        <w:rPr>
          <w:lang w:val="fr-FR"/>
        </w:rPr>
        <w:t xml:space="preserve"> </w:t>
      </w:r>
      <w:r w:rsidRPr="009A5C16">
        <w:rPr>
          <w:lang w:val="fr-FR"/>
        </w:rPr>
        <w:t>décision</w:t>
      </w:r>
      <w:r>
        <w:rPr>
          <w:lang w:val="fr-FR"/>
        </w:rPr>
        <w:t xml:space="preserve"> </w:t>
      </w:r>
      <w:r w:rsidRPr="00712C0C">
        <w:rPr>
          <w:rFonts w:eastAsia="MS Mincho"/>
          <w:szCs w:val="22"/>
          <w:lang w:val="fr-FR"/>
        </w:rPr>
        <w:t>n</w:t>
      </w:r>
      <w:r w:rsidRPr="00712C0C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9A5C16">
        <w:rPr>
          <w:lang w:val="fr-FR"/>
        </w:rPr>
        <w:t>881</w:t>
      </w:r>
      <w:r>
        <w:rPr>
          <w:lang w:val="fr-FR"/>
        </w:rPr>
        <w:t xml:space="preserve"> </w:t>
      </w:r>
      <w:r w:rsidRPr="009A5C16">
        <w:rPr>
          <w:lang w:val="fr-FR"/>
        </w:rPr>
        <w:t>sur</w:t>
      </w:r>
      <w:r>
        <w:rPr>
          <w:lang w:val="fr-FR"/>
        </w:rPr>
        <w:t xml:space="preserve"> </w:t>
      </w:r>
      <w:r w:rsidRPr="009A5C16">
        <w:rPr>
          <w:lang w:val="fr-FR"/>
        </w:rPr>
        <w:t>les</w:t>
      </w:r>
      <w:r>
        <w:rPr>
          <w:lang w:val="fr-FR"/>
        </w:rPr>
        <w:t xml:space="preserve"> </w:t>
      </w:r>
      <w:r w:rsidRPr="009A5C16">
        <w:rPr>
          <w:lang w:val="fr-FR"/>
        </w:rPr>
        <w:t>manifestations</w:t>
      </w:r>
      <w:r>
        <w:rPr>
          <w:lang w:val="fr-FR"/>
        </w:rPr>
        <w:t xml:space="preserve"> prise le </w:t>
      </w:r>
      <w:r w:rsidRPr="009A5C16">
        <w:rPr>
          <w:lang w:val="fr-FR"/>
        </w:rPr>
        <w:t>10</w:t>
      </w:r>
      <w:r>
        <w:rPr>
          <w:lang w:val="fr-FR"/>
        </w:rPr>
        <w:t> </w:t>
      </w:r>
      <w:r w:rsidRPr="009A5C16">
        <w:rPr>
          <w:lang w:val="fr-FR"/>
        </w:rPr>
        <w:t>juillet</w:t>
      </w:r>
      <w:r>
        <w:rPr>
          <w:lang w:val="fr-FR"/>
        </w:rPr>
        <w:t xml:space="preserve"> </w:t>
      </w:r>
      <w:r w:rsidRPr="009A5C16">
        <w:rPr>
          <w:lang w:val="fr-FR"/>
        </w:rPr>
        <w:t>2009</w:t>
      </w:r>
      <w:r>
        <w:rPr>
          <w:lang w:val="fr-FR"/>
        </w:rPr>
        <w:t xml:space="preserve"> par le </w:t>
      </w:r>
      <w:r w:rsidRPr="009A5C16">
        <w:rPr>
          <w:lang w:val="fr-FR"/>
        </w:rPr>
        <w:t>Comité</w:t>
      </w:r>
      <w:r>
        <w:rPr>
          <w:lang w:val="fr-FR"/>
        </w:rPr>
        <w:t xml:space="preserve"> </w:t>
      </w:r>
      <w:r w:rsidRPr="009A5C16">
        <w:rPr>
          <w:lang w:val="fr-FR"/>
        </w:rPr>
        <w:t>exécutif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la</w:t>
      </w:r>
      <w:r>
        <w:rPr>
          <w:lang w:val="fr-FR"/>
        </w:rPr>
        <w:t xml:space="preserve"> </w:t>
      </w:r>
      <w:r w:rsidRPr="009A5C16">
        <w:rPr>
          <w:lang w:val="fr-FR"/>
        </w:rPr>
        <w:t>ville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Vitebsk</w:t>
      </w:r>
      <w:r>
        <w:rPr>
          <w:lang w:val="fr-FR"/>
        </w:rPr>
        <w:t xml:space="preserve"> ni </w:t>
      </w:r>
      <w:r>
        <w:rPr>
          <w:lang w:val="fr-FR"/>
        </w:rPr>
        <w:lastRenderedPageBreak/>
        <w:t xml:space="preserve">celles fixées </w:t>
      </w:r>
      <w:r w:rsidRPr="009A5C16">
        <w:rPr>
          <w:lang w:val="fr-FR"/>
        </w:rPr>
        <w:t>dans</w:t>
      </w:r>
      <w:r>
        <w:rPr>
          <w:lang w:val="fr-FR"/>
        </w:rPr>
        <w:t xml:space="preserve"> </w:t>
      </w:r>
      <w:r w:rsidRPr="009A5C16">
        <w:rPr>
          <w:lang w:val="fr-FR"/>
        </w:rPr>
        <w:t>la</w:t>
      </w:r>
      <w:r>
        <w:rPr>
          <w:lang w:val="fr-FR"/>
        </w:rPr>
        <w:t xml:space="preserve"> </w:t>
      </w:r>
      <w:r w:rsidRPr="009A5C16">
        <w:rPr>
          <w:lang w:val="fr-FR"/>
        </w:rPr>
        <w:t>loi</w:t>
      </w:r>
      <w:r>
        <w:rPr>
          <w:lang w:val="fr-FR"/>
        </w:rPr>
        <w:t xml:space="preserve"> </w:t>
      </w:r>
      <w:r w:rsidRPr="009A5C16">
        <w:rPr>
          <w:lang w:val="fr-FR"/>
        </w:rPr>
        <w:t>sur</w:t>
      </w:r>
      <w:r>
        <w:rPr>
          <w:lang w:val="fr-FR"/>
        </w:rPr>
        <w:t xml:space="preserve"> </w:t>
      </w:r>
      <w:r w:rsidRPr="009A5C16">
        <w:rPr>
          <w:lang w:val="fr-FR"/>
        </w:rPr>
        <w:t>les</w:t>
      </w:r>
      <w:r>
        <w:rPr>
          <w:lang w:val="fr-FR"/>
        </w:rPr>
        <w:t xml:space="preserve"> </w:t>
      </w:r>
      <w:r w:rsidRPr="009A5C16">
        <w:rPr>
          <w:lang w:val="fr-FR"/>
        </w:rPr>
        <w:t>manifestations</w:t>
      </w:r>
      <w:r>
        <w:rPr>
          <w:lang w:val="fr-FR"/>
        </w:rPr>
        <w:t xml:space="preserve"> </w:t>
      </w:r>
      <w:r w:rsidRPr="009A5C16">
        <w:rPr>
          <w:lang w:val="fr-FR"/>
        </w:rPr>
        <w:t>publiques</w:t>
      </w:r>
      <w:r>
        <w:rPr>
          <w:lang w:val="fr-FR"/>
        </w:rPr>
        <w:t xml:space="preserve"> </w:t>
      </w:r>
      <w:r w:rsidRPr="009A5C16">
        <w:rPr>
          <w:lang w:val="fr-FR"/>
        </w:rPr>
        <w:t>car</w:t>
      </w:r>
      <w:r>
        <w:rPr>
          <w:lang w:val="fr-FR"/>
        </w:rPr>
        <w:t xml:space="preserve"> </w:t>
      </w:r>
      <w:r w:rsidRPr="009A5C16">
        <w:rPr>
          <w:lang w:val="fr-FR"/>
        </w:rPr>
        <w:t>il</w:t>
      </w:r>
      <w:r>
        <w:rPr>
          <w:lang w:val="fr-FR"/>
        </w:rPr>
        <w:t xml:space="preserve"> </w:t>
      </w:r>
      <w:r w:rsidRPr="009A5C16">
        <w:rPr>
          <w:lang w:val="fr-FR"/>
        </w:rPr>
        <w:t>n</w:t>
      </w:r>
      <w:r>
        <w:rPr>
          <w:lang w:val="fr-FR"/>
        </w:rPr>
        <w:t>’</w:t>
      </w:r>
      <w:r w:rsidRPr="009A5C16">
        <w:rPr>
          <w:lang w:val="fr-FR"/>
        </w:rPr>
        <w:t>avait</w:t>
      </w:r>
      <w:r>
        <w:rPr>
          <w:lang w:val="fr-FR"/>
        </w:rPr>
        <w:t xml:space="preserve"> </w:t>
      </w:r>
      <w:r w:rsidRPr="009A5C16">
        <w:rPr>
          <w:lang w:val="fr-FR"/>
        </w:rPr>
        <w:t>pas</w:t>
      </w:r>
      <w:r>
        <w:rPr>
          <w:lang w:val="fr-FR"/>
        </w:rPr>
        <w:t xml:space="preserve"> </w:t>
      </w:r>
      <w:r w:rsidRPr="009A5C16">
        <w:rPr>
          <w:lang w:val="fr-FR"/>
        </w:rPr>
        <w:t>annexé</w:t>
      </w:r>
      <w:r>
        <w:rPr>
          <w:lang w:val="fr-FR"/>
        </w:rPr>
        <w:t xml:space="preserve"> </w:t>
      </w:r>
      <w:r w:rsidRPr="009A5C16">
        <w:rPr>
          <w:lang w:val="fr-FR"/>
        </w:rPr>
        <w:t>à</w:t>
      </w:r>
      <w:r>
        <w:rPr>
          <w:lang w:val="fr-FR"/>
        </w:rPr>
        <w:t xml:space="preserve"> </w:t>
      </w:r>
      <w:r w:rsidRPr="009A5C16">
        <w:rPr>
          <w:lang w:val="fr-FR"/>
        </w:rPr>
        <w:t>sa</w:t>
      </w:r>
      <w:r>
        <w:rPr>
          <w:lang w:val="fr-FR"/>
        </w:rPr>
        <w:t xml:space="preserve"> </w:t>
      </w:r>
      <w:r w:rsidRPr="009A5C16">
        <w:rPr>
          <w:lang w:val="fr-FR"/>
        </w:rPr>
        <w:t>demande</w:t>
      </w:r>
      <w:r>
        <w:rPr>
          <w:lang w:val="fr-FR"/>
        </w:rPr>
        <w:t xml:space="preserve"> </w:t>
      </w:r>
      <w:r w:rsidRPr="009A5C16">
        <w:rPr>
          <w:lang w:val="fr-FR"/>
        </w:rPr>
        <w:t>d</w:t>
      </w:r>
      <w:r>
        <w:rPr>
          <w:lang w:val="fr-FR"/>
        </w:rPr>
        <w:t>’</w:t>
      </w:r>
      <w:r w:rsidRPr="009A5C16">
        <w:rPr>
          <w:lang w:val="fr-FR"/>
        </w:rPr>
        <w:t>autorisation</w:t>
      </w:r>
      <w:r>
        <w:rPr>
          <w:lang w:val="fr-FR"/>
        </w:rPr>
        <w:t xml:space="preserve"> </w:t>
      </w:r>
      <w:r w:rsidRPr="009A5C16">
        <w:rPr>
          <w:lang w:val="fr-FR"/>
        </w:rPr>
        <w:t>les</w:t>
      </w:r>
      <w:r>
        <w:rPr>
          <w:lang w:val="fr-FR"/>
        </w:rPr>
        <w:t xml:space="preserve"> </w:t>
      </w:r>
      <w:r w:rsidRPr="009A5C16">
        <w:rPr>
          <w:lang w:val="fr-FR"/>
        </w:rPr>
        <w:t>contrats</w:t>
      </w:r>
      <w:r>
        <w:rPr>
          <w:lang w:val="fr-FR"/>
        </w:rPr>
        <w:t xml:space="preserve"> </w:t>
      </w:r>
      <w:r w:rsidRPr="009A5C16">
        <w:rPr>
          <w:lang w:val="fr-FR"/>
        </w:rPr>
        <w:t>souscrits</w:t>
      </w:r>
      <w:r>
        <w:rPr>
          <w:lang w:val="fr-FR"/>
        </w:rPr>
        <w:t xml:space="preserve"> </w:t>
      </w:r>
      <w:r w:rsidRPr="009A5C16">
        <w:rPr>
          <w:lang w:val="fr-FR"/>
        </w:rPr>
        <w:t>auprès</w:t>
      </w:r>
      <w:r>
        <w:rPr>
          <w:lang w:val="fr-FR"/>
        </w:rPr>
        <w:t xml:space="preserve"> </w:t>
      </w:r>
      <w:r w:rsidRPr="009A5C16">
        <w:rPr>
          <w:lang w:val="fr-FR"/>
        </w:rPr>
        <w:t>des</w:t>
      </w:r>
      <w:r>
        <w:rPr>
          <w:lang w:val="fr-FR"/>
        </w:rPr>
        <w:t xml:space="preserve"> </w:t>
      </w:r>
      <w:r w:rsidRPr="009A5C16">
        <w:rPr>
          <w:lang w:val="fr-FR"/>
        </w:rPr>
        <w:t>prestataires</w:t>
      </w:r>
      <w:r>
        <w:rPr>
          <w:lang w:val="fr-FR"/>
        </w:rPr>
        <w:t xml:space="preserve"> </w:t>
      </w:r>
      <w:r w:rsidRPr="009A5C16">
        <w:rPr>
          <w:lang w:val="fr-FR"/>
        </w:rPr>
        <w:t>qui</w:t>
      </w:r>
      <w:r>
        <w:rPr>
          <w:lang w:val="fr-FR"/>
        </w:rPr>
        <w:t xml:space="preserve"> </w:t>
      </w:r>
      <w:r w:rsidRPr="009A5C16">
        <w:rPr>
          <w:lang w:val="fr-FR"/>
        </w:rPr>
        <w:t>seraient</w:t>
      </w:r>
      <w:r>
        <w:rPr>
          <w:lang w:val="fr-FR"/>
        </w:rPr>
        <w:t xml:space="preserve"> </w:t>
      </w:r>
      <w:r w:rsidRPr="009A5C16">
        <w:rPr>
          <w:lang w:val="fr-FR"/>
        </w:rPr>
        <w:t>chargés</w:t>
      </w:r>
      <w:r>
        <w:rPr>
          <w:lang w:val="fr-FR"/>
        </w:rPr>
        <w:t xml:space="preserve"> </w:t>
      </w:r>
      <w:r w:rsidRPr="009A5C16">
        <w:rPr>
          <w:lang w:val="fr-FR"/>
        </w:rPr>
        <w:t>respectivement</w:t>
      </w:r>
      <w:r>
        <w:rPr>
          <w:lang w:val="fr-FR"/>
        </w:rPr>
        <w:t xml:space="preserve"> </w:t>
      </w:r>
      <w:r w:rsidRPr="009A5C16">
        <w:rPr>
          <w:lang w:val="fr-FR"/>
        </w:rPr>
        <w:t>d</w:t>
      </w:r>
      <w:r>
        <w:rPr>
          <w:lang w:val="fr-FR"/>
        </w:rPr>
        <w:t>’</w:t>
      </w:r>
      <w:r w:rsidRPr="009A5C16">
        <w:rPr>
          <w:lang w:val="fr-FR"/>
        </w:rPr>
        <w:t>assurer</w:t>
      </w:r>
      <w:r>
        <w:rPr>
          <w:lang w:val="fr-FR"/>
        </w:rPr>
        <w:t xml:space="preserve"> </w:t>
      </w:r>
      <w:r w:rsidRPr="009A5C16">
        <w:rPr>
          <w:lang w:val="fr-FR"/>
        </w:rPr>
        <w:t>le</w:t>
      </w:r>
      <w:r>
        <w:rPr>
          <w:lang w:val="fr-FR"/>
        </w:rPr>
        <w:t xml:space="preserve"> </w:t>
      </w:r>
      <w:r w:rsidRPr="009A5C16">
        <w:rPr>
          <w:lang w:val="fr-FR"/>
        </w:rPr>
        <w:t>service</w:t>
      </w:r>
      <w:r>
        <w:rPr>
          <w:lang w:val="fr-FR"/>
        </w:rPr>
        <w:t xml:space="preserve"> </w:t>
      </w:r>
      <w:r w:rsidRPr="009A5C16">
        <w:rPr>
          <w:lang w:val="fr-FR"/>
        </w:rPr>
        <w:t>d</w:t>
      </w:r>
      <w:r>
        <w:rPr>
          <w:lang w:val="fr-FR"/>
        </w:rPr>
        <w:t>’</w:t>
      </w:r>
      <w:r w:rsidRPr="009A5C16">
        <w:rPr>
          <w:lang w:val="fr-FR"/>
        </w:rPr>
        <w:t>ordre</w:t>
      </w:r>
      <w:r>
        <w:rPr>
          <w:lang w:val="fr-FR"/>
        </w:rPr>
        <w:t xml:space="preserve"> </w:t>
      </w:r>
      <w:r w:rsidRPr="009A5C16">
        <w:rPr>
          <w:lang w:val="fr-FR"/>
        </w:rPr>
        <w:t>et</w:t>
      </w:r>
      <w:r>
        <w:rPr>
          <w:lang w:val="fr-FR"/>
        </w:rPr>
        <w:t xml:space="preserve"> </w:t>
      </w:r>
      <w:r w:rsidRPr="009A5C16">
        <w:rPr>
          <w:lang w:val="fr-FR"/>
        </w:rPr>
        <w:t>la</w:t>
      </w:r>
      <w:r>
        <w:rPr>
          <w:lang w:val="fr-FR"/>
        </w:rPr>
        <w:t xml:space="preserve"> </w:t>
      </w:r>
      <w:r w:rsidRPr="009A5C16">
        <w:rPr>
          <w:lang w:val="fr-FR"/>
        </w:rPr>
        <w:t>disponibilité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soins</w:t>
      </w:r>
      <w:r>
        <w:rPr>
          <w:lang w:val="fr-FR"/>
        </w:rPr>
        <w:t xml:space="preserve"> </w:t>
      </w:r>
      <w:r w:rsidRPr="009A5C16">
        <w:rPr>
          <w:lang w:val="fr-FR"/>
        </w:rPr>
        <w:t>médicaux</w:t>
      </w:r>
      <w:r>
        <w:rPr>
          <w:lang w:val="fr-FR"/>
        </w:rPr>
        <w:t xml:space="preserve"> </w:t>
      </w:r>
      <w:r w:rsidRPr="009A5C16">
        <w:rPr>
          <w:lang w:val="fr-FR"/>
        </w:rPr>
        <w:t>pendant</w:t>
      </w:r>
      <w:r>
        <w:rPr>
          <w:lang w:val="fr-FR"/>
        </w:rPr>
        <w:t xml:space="preserve"> </w:t>
      </w:r>
      <w:r w:rsidRPr="009A5C16">
        <w:rPr>
          <w:lang w:val="fr-FR"/>
        </w:rPr>
        <w:t>le</w:t>
      </w:r>
      <w:r>
        <w:rPr>
          <w:lang w:val="fr-FR"/>
        </w:rPr>
        <w:t xml:space="preserve"> </w:t>
      </w:r>
      <w:r w:rsidRPr="009A5C16">
        <w:rPr>
          <w:lang w:val="fr-FR"/>
        </w:rPr>
        <w:t>piquet</w:t>
      </w:r>
      <w:r>
        <w:rPr>
          <w:lang w:val="fr-FR"/>
        </w:rPr>
        <w:t xml:space="preserve"> </w:t>
      </w:r>
      <w:r w:rsidRPr="009A5C16">
        <w:rPr>
          <w:lang w:val="fr-FR"/>
        </w:rPr>
        <w:t>ainsi</w:t>
      </w:r>
      <w:r>
        <w:rPr>
          <w:lang w:val="fr-FR"/>
        </w:rPr>
        <w:t xml:space="preserve"> </w:t>
      </w:r>
      <w:r w:rsidRPr="009A5C16">
        <w:rPr>
          <w:lang w:val="fr-FR"/>
        </w:rPr>
        <w:t>que</w:t>
      </w:r>
      <w:r>
        <w:rPr>
          <w:lang w:val="fr-FR"/>
        </w:rPr>
        <w:t xml:space="preserve"> </w:t>
      </w:r>
      <w:r w:rsidRPr="009A5C16">
        <w:rPr>
          <w:lang w:val="fr-FR"/>
        </w:rPr>
        <w:t>le</w:t>
      </w:r>
      <w:r>
        <w:rPr>
          <w:lang w:val="fr-FR"/>
        </w:rPr>
        <w:t xml:space="preserve"> </w:t>
      </w:r>
      <w:r w:rsidRPr="009A5C16">
        <w:rPr>
          <w:lang w:val="fr-FR"/>
        </w:rPr>
        <w:t>nettoyage</w:t>
      </w:r>
      <w:r>
        <w:rPr>
          <w:lang w:val="fr-FR"/>
        </w:rPr>
        <w:t xml:space="preserve"> </w:t>
      </w:r>
      <w:r w:rsidRPr="009A5C16">
        <w:rPr>
          <w:lang w:val="fr-FR"/>
        </w:rPr>
        <w:t>du</w:t>
      </w:r>
      <w:r>
        <w:rPr>
          <w:lang w:val="fr-FR"/>
        </w:rPr>
        <w:t xml:space="preserve"> </w:t>
      </w:r>
      <w:r w:rsidRPr="009A5C16">
        <w:rPr>
          <w:lang w:val="fr-FR"/>
        </w:rPr>
        <w:t>site</w:t>
      </w:r>
      <w:r>
        <w:rPr>
          <w:lang w:val="fr-FR"/>
        </w:rPr>
        <w:t xml:space="preserve"> </w:t>
      </w:r>
      <w:r w:rsidRPr="009A5C16">
        <w:rPr>
          <w:lang w:val="fr-FR"/>
        </w:rPr>
        <w:t>une</w:t>
      </w:r>
      <w:r>
        <w:rPr>
          <w:lang w:val="fr-FR"/>
        </w:rPr>
        <w:t xml:space="preserve"> </w:t>
      </w:r>
      <w:r w:rsidRPr="009A5C16">
        <w:rPr>
          <w:lang w:val="fr-FR"/>
        </w:rPr>
        <w:t>fois</w:t>
      </w:r>
      <w:r>
        <w:rPr>
          <w:lang w:val="fr-FR"/>
        </w:rPr>
        <w:t xml:space="preserve"> </w:t>
      </w:r>
      <w:r w:rsidRPr="009A5C16">
        <w:rPr>
          <w:lang w:val="fr-FR"/>
        </w:rPr>
        <w:t>la</w:t>
      </w:r>
      <w:r>
        <w:rPr>
          <w:lang w:val="fr-FR"/>
        </w:rPr>
        <w:t xml:space="preserve"> </w:t>
      </w:r>
      <w:r w:rsidRPr="009A5C16">
        <w:rPr>
          <w:lang w:val="fr-FR"/>
        </w:rPr>
        <w:t>manifestation</w:t>
      </w:r>
      <w:r>
        <w:rPr>
          <w:lang w:val="fr-FR"/>
        </w:rPr>
        <w:t xml:space="preserve"> </w:t>
      </w:r>
      <w:r w:rsidRPr="009A5C16">
        <w:rPr>
          <w:lang w:val="fr-FR"/>
        </w:rPr>
        <w:t>terminée.</w:t>
      </w:r>
    </w:p>
    <w:p w:rsidR="000E5700" w:rsidRDefault="000E5700" w:rsidP="000E5700">
      <w:pPr>
        <w:pStyle w:val="SingleTxtG"/>
        <w:rPr>
          <w:lang w:val="fr-FR"/>
        </w:rPr>
      </w:pPr>
      <w:r w:rsidRPr="009A5C16">
        <w:rPr>
          <w:lang w:val="fr-FR"/>
        </w:rPr>
        <w:t>2.3</w:t>
      </w:r>
      <w:r w:rsidRPr="009A5C16">
        <w:rPr>
          <w:lang w:val="fr-FR"/>
        </w:rPr>
        <w:tab/>
        <w:t>Le</w:t>
      </w:r>
      <w:r>
        <w:rPr>
          <w:lang w:val="fr-FR"/>
        </w:rPr>
        <w:t xml:space="preserve"> </w:t>
      </w:r>
      <w:r w:rsidRPr="009A5C16">
        <w:rPr>
          <w:lang w:val="fr-FR"/>
        </w:rPr>
        <w:t>10</w:t>
      </w:r>
      <w:r w:rsidR="00AB6B32">
        <w:rPr>
          <w:lang w:val="fr-FR"/>
        </w:rPr>
        <w:t> </w:t>
      </w:r>
      <w:r w:rsidRPr="009A5C16">
        <w:rPr>
          <w:lang w:val="fr-FR"/>
        </w:rPr>
        <w:t>août</w:t>
      </w:r>
      <w:r>
        <w:rPr>
          <w:lang w:val="fr-FR"/>
        </w:rPr>
        <w:t xml:space="preserve"> </w:t>
      </w:r>
      <w:r w:rsidRPr="009A5C16">
        <w:rPr>
          <w:lang w:val="fr-FR"/>
        </w:rPr>
        <w:t>2013,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auteur</w:t>
      </w:r>
      <w:r>
        <w:rPr>
          <w:lang w:val="fr-FR"/>
        </w:rPr>
        <w:t xml:space="preserve"> </w:t>
      </w:r>
      <w:r w:rsidRPr="009A5C16">
        <w:rPr>
          <w:lang w:val="fr-FR"/>
        </w:rPr>
        <w:t>a</w:t>
      </w:r>
      <w:r>
        <w:rPr>
          <w:lang w:val="fr-FR"/>
        </w:rPr>
        <w:t xml:space="preserve"> </w:t>
      </w:r>
      <w:r w:rsidRPr="009A5C16">
        <w:rPr>
          <w:lang w:val="fr-FR"/>
        </w:rPr>
        <w:t>formé</w:t>
      </w:r>
      <w:r>
        <w:rPr>
          <w:lang w:val="fr-FR"/>
        </w:rPr>
        <w:t xml:space="preserve"> </w:t>
      </w:r>
      <w:r w:rsidRPr="009A5C16">
        <w:rPr>
          <w:lang w:val="fr-FR"/>
        </w:rPr>
        <w:t>un</w:t>
      </w:r>
      <w:r>
        <w:rPr>
          <w:lang w:val="fr-FR"/>
        </w:rPr>
        <w:t xml:space="preserve"> </w:t>
      </w:r>
      <w:r w:rsidRPr="009A5C16">
        <w:rPr>
          <w:lang w:val="fr-FR"/>
        </w:rPr>
        <w:t>recours</w:t>
      </w:r>
      <w:r>
        <w:rPr>
          <w:lang w:val="fr-FR"/>
        </w:rPr>
        <w:t xml:space="preserve"> </w:t>
      </w:r>
      <w:r w:rsidRPr="009A5C16">
        <w:rPr>
          <w:lang w:val="fr-FR"/>
        </w:rPr>
        <w:t>contre</w:t>
      </w:r>
      <w:r>
        <w:rPr>
          <w:lang w:val="fr-FR"/>
        </w:rPr>
        <w:t xml:space="preserve"> </w:t>
      </w:r>
      <w:r w:rsidRPr="009A5C16">
        <w:rPr>
          <w:lang w:val="fr-FR"/>
        </w:rPr>
        <w:t>la</w:t>
      </w:r>
      <w:r>
        <w:rPr>
          <w:lang w:val="fr-FR"/>
        </w:rPr>
        <w:t xml:space="preserve"> </w:t>
      </w:r>
      <w:r w:rsidRPr="009A5C16">
        <w:rPr>
          <w:lang w:val="fr-FR"/>
        </w:rPr>
        <w:t>décision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administration</w:t>
      </w:r>
      <w:r>
        <w:rPr>
          <w:lang w:val="fr-FR"/>
        </w:rPr>
        <w:t xml:space="preserve"> </w:t>
      </w:r>
      <w:r w:rsidRPr="009A5C16">
        <w:rPr>
          <w:lang w:val="fr-FR"/>
        </w:rPr>
        <w:t>devant</w:t>
      </w:r>
      <w:r>
        <w:rPr>
          <w:lang w:val="fr-FR"/>
        </w:rPr>
        <w:t xml:space="preserve"> </w:t>
      </w:r>
      <w:r w:rsidRPr="009A5C16">
        <w:rPr>
          <w:lang w:val="fr-FR"/>
        </w:rPr>
        <w:t>le</w:t>
      </w:r>
      <w:r>
        <w:rPr>
          <w:lang w:val="fr-FR"/>
        </w:rPr>
        <w:t xml:space="preserve"> </w:t>
      </w:r>
      <w:r w:rsidRPr="009A5C16">
        <w:rPr>
          <w:lang w:val="fr-FR"/>
        </w:rPr>
        <w:t>tribunal</w:t>
      </w:r>
      <w:r>
        <w:rPr>
          <w:lang w:val="fr-FR"/>
        </w:rPr>
        <w:t xml:space="preserve"> </w:t>
      </w:r>
      <w:r w:rsidRPr="009A5C16">
        <w:rPr>
          <w:lang w:val="fr-FR"/>
        </w:rPr>
        <w:t>du</w:t>
      </w:r>
      <w:r>
        <w:rPr>
          <w:lang w:val="fr-FR"/>
        </w:rPr>
        <w:t xml:space="preserve"> </w:t>
      </w:r>
      <w:r w:rsidRPr="009A5C16">
        <w:rPr>
          <w:lang w:val="fr-FR"/>
        </w:rPr>
        <w:t>district</w:t>
      </w:r>
      <w:r>
        <w:rPr>
          <w:lang w:val="fr-FR"/>
        </w:rPr>
        <w:t xml:space="preserve"> </w:t>
      </w:r>
      <w:proofErr w:type="spellStart"/>
      <w:r w:rsidRPr="009A5C16">
        <w:rPr>
          <w:lang w:val="fr-FR"/>
        </w:rPr>
        <w:t>Oktiabrsky</w:t>
      </w:r>
      <w:proofErr w:type="spellEnd"/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Vitebsk.</w:t>
      </w:r>
      <w:r>
        <w:rPr>
          <w:lang w:val="fr-FR"/>
        </w:rPr>
        <w:t xml:space="preserve"> </w:t>
      </w:r>
      <w:r w:rsidRPr="009A5C16">
        <w:rPr>
          <w:lang w:val="fr-FR"/>
        </w:rPr>
        <w:t>Le</w:t>
      </w:r>
      <w:r>
        <w:rPr>
          <w:lang w:val="fr-FR"/>
        </w:rPr>
        <w:t xml:space="preserve"> </w:t>
      </w:r>
      <w:r w:rsidRPr="009A5C16">
        <w:rPr>
          <w:lang w:val="fr-FR"/>
        </w:rPr>
        <w:t>6</w:t>
      </w:r>
      <w:r w:rsidR="00AB6B32">
        <w:rPr>
          <w:lang w:val="fr-FR"/>
        </w:rPr>
        <w:t> </w:t>
      </w:r>
      <w:r w:rsidRPr="009A5C16">
        <w:rPr>
          <w:lang w:val="fr-FR"/>
        </w:rPr>
        <w:t>septembre</w:t>
      </w:r>
      <w:r>
        <w:rPr>
          <w:lang w:val="fr-FR"/>
        </w:rPr>
        <w:t xml:space="preserve"> </w:t>
      </w:r>
      <w:r w:rsidRPr="009A5C16">
        <w:rPr>
          <w:lang w:val="fr-FR"/>
        </w:rPr>
        <w:t>2013,</w:t>
      </w:r>
      <w:r>
        <w:rPr>
          <w:lang w:val="fr-FR"/>
        </w:rPr>
        <w:t xml:space="preserve"> </w:t>
      </w:r>
      <w:r w:rsidRPr="009A5C16">
        <w:rPr>
          <w:lang w:val="fr-FR"/>
        </w:rPr>
        <w:t>le</w:t>
      </w:r>
      <w:r>
        <w:rPr>
          <w:lang w:val="fr-FR"/>
        </w:rPr>
        <w:t xml:space="preserve"> </w:t>
      </w:r>
      <w:r w:rsidRPr="009A5C16">
        <w:rPr>
          <w:lang w:val="fr-FR"/>
        </w:rPr>
        <w:t>tribunal</w:t>
      </w:r>
      <w:r>
        <w:rPr>
          <w:lang w:val="fr-FR"/>
        </w:rPr>
        <w:t xml:space="preserve"> </w:t>
      </w:r>
      <w:r w:rsidRPr="009A5C16">
        <w:rPr>
          <w:lang w:val="fr-FR"/>
        </w:rPr>
        <w:t>a</w:t>
      </w:r>
      <w:r>
        <w:rPr>
          <w:lang w:val="fr-FR"/>
        </w:rPr>
        <w:t xml:space="preserve"> </w:t>
      </w:r>
      <w:r w:rsidRPr="009A5C16">
        <w:rPr>
          <w:lang w:val="fr-FR"/>
        </w:rPr>
        <w:t>rejeté</w:t>
      </w:r>
      <w:r>
        <w:rPr>
          <w:lang w:val="fr-FR"/>
        </w:rPr>
        <w:t xml:space="preserve"> </w:t>
      </w:r>
      <w:r w:rsidRPr="009A5C16">
        <w:rPr>
          <w:lang w:val="fr-FR"/>
        </w:rPr>
        <w:t>ce</w:t>
      </w:r>
      <w:r>
        <w:rPr>
          <w:lang w:val="fr-FR"/>
        </w:rPr>
        <w:t xml:space="preserve"> </w:t>
      </w:r>
      <w:r w:rsidRPr="009A5C16">
        <w:rPr>
          <w:lang w:val="fr-FR"/>
        </w:rPr>
        <w:t>recours.</w:t>
      </w:r>
      <w:r>
        <w:rPr>
          <w:lang w:val="fr-FR"/>
        </w:rPr>
        <w:t xml:space="preserve"> </w:t>
      </w:r>
      <w:r w:rsidRPr="009A5C16">
        <w:rPr>
          <w:lang w:val="fr-FR"/>
        </w:rPr>
        <w:t>Il</w:t>
      </w:r>
      <w:r>
        <w:rPr>
          <w:lang w:val="fr-FR"/>
        </w:rPr>
        <w:t xml:space="preserve"> </w:t>
      </w:r>
      <w:r w:rsidRPr="009A5C16">
        <w:rPr>
          <w:lang w:val="fr-FR"/>
        </w:rPr>
        <w:t>a</w:t>
      </w:r>
      <w:r>
        <w:rPr>
          <w:lang w:val="fr-FR"/>
        </w:rPr>
        <w:t xml:space="preserve"> </w:t>
      </w:r>
      <w:r w:rsidRPr="009A5C16">
        <w:rPr>
          <w:lang w:val="fr-FR"/>
        </w:rPr>
        <w:t>indiqué</w:t>
      </w:r>
      <w:r>
        <w:rPr>
          <w:lang w:val="fr-FR"/>
        </w:rPr>
        <w:t xml:space="preserve"> </w:t>
      </w:r>
      <w:r w:rsidRPr="009A5C16">
        <w:rPr>
          <w:lang w:val="fr-FR"/>
        </w:rPr>
        <w:t>que</w:t>
      </w:r>
      <w:r>
        <w:rPr>
          <w:lang w:val="fr-FR"/>
        </w:rPr>
        <w:t xml:space="preserve"> </w:t>
      </w:r>
      <w:r w:rsidRPr="009A5C16">
        <w:rPr>
          <w:lang w:val="fr-FR"/>
        </w:rPr>
        <w:t>la</w:t>
      </w:r>
      <w:r>
        <w:rPr>
          <w:lang w:val="fr-FR"/>
        </w:rPr>
        <w:t xml:space="preserve"> </w:t>
      </w:r>
      <w:r w:rsidRPr="009A5C16">
        <w:rPr>
          <w:lang w:val="fr-FR"/>
        </w:rPr>
        <w:t>tenue</w:t>
      </w:r>
      <w:r>
        <w:rPr>
          <w:lang w:val="fr-FR"/>
        </w:rPr>
        <w:t xml:space="preserve"> </w:t>
      </w:r>
      <w:r w:rsidRPr="009A5C16">
        <w:rPr>
          <w:lang w:val="fr-FR"/>
        </w:rPr>
        <w:t>d</w:t>
      </w:r>
      <w:r>
        <w:rPr>
          <w:lang w:val="fr-FR"/>
        </w:rPr>
        <w:t>’</w:t>
      </w:r>
      <w:r w:rsidRPr="009A5C16">
        <w:rPr>
          <w:lang w:val="fr-FR"/>
        </w:rPr>
        <w:t>un</w:t>
      </w:r>
      <w:r>
        <w:rPr>
          <w:lang w:val="fr-FR"/>
        </w:rPr>
        <w:t xml:space="preserve"> </w:t>
      </w:r>
      <w:r w:rsidRPr="009A5C16">
        <w:rPr>
          <w:lang w:val="fr-FR"/>
        </w:rPr>
        <w:t>piquet</w:t>
      </w:r>
      <w:r>
        <w:rPr>
          <w:lang w:val="fr-FR"/>
        </w:rPr>
        <w:t xml:space="preserve"> </w:t>
      </w:r>
      <w:r w:rsidRPr="009A5C16">
        <w:rPr>
          <w:lang w:val="fr-FR"/>
        </w:rPr>
        <w:t>par</w:t>
      </w:r>
      <w:r>
        <w:rPr>
          <w:lang w:val="fr-FR"/>
        </w:rPr>
        <w:t xml:space="preserve"> </w:t>
      </w:r>
      <w:r w:rsidRPr="009A5C16">
        <w:rPr>
          <w:lang w:val="fr-FR"/>
        </w:rPr>
        <w:t>une</w:t>
      </w:r>
      <w:r>
        <w:rPr>
          <w:lang w:val="fr-FR"/>
        </w:rPr>
        <w:t xml:space="preserve"> </w:t>
      </w:r>
      <w:r w:rsidRPr="009A5C16">
        <w:rPr>
          <w:lang w:val="fr-FR"/>
        </w:rPr>
        <w:t>personne</w:t>
      </w:r>
      <w:r>
        <w:rPr>
          <w:lang w:val="fr-FR"/>
        </w:rPr>
        <w:t xml:space="preserve"> </w:t>
      </w:r>
      <w:r w:rsidRPr="009A5C16">
        <w:rPr>
          <w:lang w:val="fr-FR"/>
        </w:rPr>
        <w:t>entrait</w:t>
      </w:r>
      <w:r>
        <w:rPr>
          <w:lang w:val="fr-FR"/>
        </w:rPr>
        <w:t xml:space="preserve"> </w:t>
      </w:r>
      <w:r w:rsidRPr="009A5C16">
        <w:rPr>
          <w:lang w:val="fr-FR"/>
        </w:rPr>
        <w:t>dans</w:t>
      </w:r>
      <w:r>
        <w:rPr>
          <w:lang w:val="fr-FR"/>
        </w:rPr>
        <w:t xml:space="preserve"> </w:t>
      </w:r>
      <w:r w:rsidRPr="009A5C16">
        <w:rPr>
          <w:lang w:val="fr-FR"/>
        </w:rPr>
        <w:t>le</w:t>
      </w:r>
      <w:r>
        <w:rPr>
          <w:lang w:val="fr-FR"/>
        </w:rPr>
        <w:t xml:space="preserve"> </w:t>
      </w:r>
      <w:r w:rsidRPr="009A5C16">
        <w:rPr>
          <w:lang w:val="fr-FR"/>
        </w:rPr>
        <w:t>champ</w:t>
      </w:r>
      <w:r>
        <w:rPr>
          <w:lang w:val="fr-FR"/>
        </w:rPr>
        <w:t xml:space="preserve"> </w:t>
      </w:r>
      <w:r w:rsidRPr="009A5C16">
        <w:rPr>
          <w:lang w:val="fr-FR"/>
        </w:rPr>
        <w:t>d</w:t>
      </w:r>
      <w:r>
        <w:rPr>
          <w:lang w:val="fr-FR"/>
        </w:rPr>
        <w:t>’</w:t>
      </w:r>
      <w:r w:rsidRPr="009A5C16">
        <w:rPr>
          <w:lang w:val="fr-FR"/>
        </w:rPr>
        <w:t>application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article</w:t>
      </w:r>
      <w:r>
        <w:rPr>
          <w:lang w:val="fr-FR"/>
        </w:rPr>
        <w:t xml:space="preserve"> </w:t>
      </w:r>
      <w:r w:rsidRPr="009A5C16">
        <w:rPr>
          <w:lang w:val="fr-FR"/>
        </w:rPr>
        <w:t>2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la</w:t>
      </w:r>
      <w:r>
        <w:rPr>
          <w:lang w:val="fr-FR"/>
        </w:rPr>
        <w:t xml:space="preserve"> </w:t>
      </w:r>
      <w:r w:rsidRPr="009A5C16">
        <w:rPr>
          <w:lang w:val="fr-FR"/>
        </w:rPr>
        <w:t>loi</w:t>
      </w:r>
      <w:r>
        <w:rPr>
          <w:lang w:val="fr-FR"/>
        </w:rPr>
        <w:t xml:space="preserve"> </w:t>
      </w:r>
      <w:r w:rsidRPr="009A5C16">
        <w:rPr>
          <w:lang w:val="fr-FR"/>
        </w:rPr>
        <w:t>sur</w:t>
      </w:r>
      <w:r>
        <w:rPr>
          <w:lang w:val="fr-FR"/>
        </w:rPr>
        <w:t xml:space="preserve"> </w:t>
      </w:r>
      <w:r w:rsidRPr="009A5C16">
        <w:rPr>
          <w:lang w:val="fr-FR"/>
        </w:rPr>
        <w:t>les</w:t>
      </w:r>
      <w:r>
        <w:rPr>
          <w:lang w:val="fr-FR"/>
        </w:rPr>
        <w:t xml:space="preserve"> </w:t>
      </w:r>
      <w:r w:rsidRPr="009A5C16">
        <w:rPr>
          <w:lang w:val="fr-FR"/>
        </w:rPr>
        <w:t>manifestations</w:t>
      </w:r>
      <w:r>
        <w:rPr>
          <w:lang w:val="fr-FR"/>
        </w:rPr>
        <w:t xml:space="preserve"> publiques </w:t>
      </w:r>
      <w:r w:rsidRPr="009A5C16">
        <w:rPr>
          <w:lang w:val="fr-FR"/>
        </w:rPr>
        <w:t>et</w:t>
      </w:r>
      <w:r>
        <w:rPr>
          <w:lang w:val="fr-FR"/>
        </w:rPr>
        <w:t xml:space="preserve"> </w:t>
      </w:r>
      <w:r w:rsidRPr="009A5C16">
        <w:rPr>
          <w:lang w:val="fr-FR"/>
        </w:rPr>
        <w:t>qu</w:t>
      </w:r>
      <w:r>
        <w:rPr>
          <w:lang w:val="fr-FR"/>
        </w:rPr>
        <w:t xml:space="preserve">e, </w:t>
      </w:r>
      <w:r w:rsidRPr="009A5C16">
        <w:rPr>
          <w:lang w:val="fr-FR"/>
        </w:rPr>
        <w:t>en</w:t>
      </w:r>
      <w:r>
        <w:rPr>
          <w:lang w:val="fr-FR"/>
        </w:rPr>
        <w:t xml:space="preserve"> </w:t>
      </w:r>
      <w:r w:rsidRPr="009A5C16">
        <w:rPr>
          <w:lang w:val="fr-FR"/>
        </w:rPr>
        <w:t>conséquence,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auteur</w:t>
      </w:r>
      <w:r>
        <w:rPr>
          <w:lang w:val="fr-FR"/>
        </w:rPr>
        <w:t xml:space="preserve"> </w:t>
      </w:r>
      <w:r w:rsidRPr="009A5C16">
        <w:rPr>
          <w:lang w:val="fr-FR"/>
        </w:rPr>
        <w:t>était</w:t>
      </w:r>
      <w:r>
        <w:rPr>
          <w:lang w:val="fr-FR"/>
        </w:rPr>
        <w:t xml:space="preserve"> </w:t>
      </w:r>
      <w:r w:rsidRPr="009A5C16">
        <w:rPr>
          <w:lang w:val="fr-FR"/>
        </w:rPr>
        <w:t>tenu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se</w:t>
      </w:r>
      <w:r>
        <w:rPr>
          <w:lang w:val="fr-FR"/>
        </w:rPr>
        <w:t xml:space="preserve"> </w:t>
      </w:r>
      <w:r w:rsidRPr="009A5C16">
        <w:rPr>
          <w:lang w:val="fr-FR"/>
        </w:rPr>
        <w:t>conformer</w:t>
      </w:r>
      <w:r>
        <w:rPr>
          <w:lang w:val="fr-FR"/>
        </w:rPr>
        <w:t xml:space="preserve"> </w:t>
      </w:r>
      <w:r w:rsidRPr="009A5C16">
        <w:rPr>
          <w:lang w:val="fr-FR"/>
        </w:rPr>
        <w:t>aux</w:t>
      </w:r>
      <w:r>
        <w:rPr>
          <w:lang w:val="fr-FR"/>
        </w:rPr>
        <w:t xml:space="preserve"> </w:t>
      </w:r>
      <w:r w:rsidRPr="009A5C16">
        <w:rPr>
          <w:lang w:val="fr-FR"/>
        </w:rPr>
        <w:t>dispositions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cette</w:t>
      </w:r>
      <w:r>
        <w:rPr>
          <w:lang w:val="fr-FR"/>
        </w:rPr>
        <w:t xml:space="preserve"> </w:t>
      </w:r>
      <w:r w:rsidRPr="009A5C16">
        <w:rPr>
          <w:lang w:val="fr-FR"/>
        </w:rPr>
        <w:t>loi.</w:t>
      </w:r>
      <w:r>
        <w:rPr>
          <w:lang w:val="fr-FR"/>
        </w:rPr>
        <w:t xml:space="preserve"> </w:t>
      </w:r>
      <w:r w:rsidRPr="009A5C16">
        <w:rPr>
          <w:lang w:val="fr-FR"/>
        </w:rPr>
        <w:t>Le</w:t>
      </w:r>
      <w:r>
        <w:rPr>
          <w:lang w:val="fr-FR"/>
        </w:rPr>
        <w:t xml:space="preserve"> </w:t>
      </w:r>
      <w:r w:rsidRPr="009A5C16">
        <w:rPr>
          <w:lang w:val="fr-FR"/>
        </w:rPr>
        <w:t>18</w:t>
      </w:r>
      <w:r w:rsidR="00AB6B32">
        <w:rPr>
          <w:lang w:val="fr-FR"/>
        </w:rPr>
        <w:t> </w:t>
      </w:r>
      <w:r w:rsidRPr="009A5C16">
        <w:rPr>
          <w:lang w:val="fr-FR"/>
        </w:rPr>
        <w:t>septembre</w:t>
      </w:r>
      <w:r>
        <w:rPr>
          <w:lang w:val="fr-FR"/>
        </w:rPr>
        <w:t xml:space="preserve"> </w:t>
      </w:r>
      <w:r w:rsidRPr="009A5C16">
        <w:rPr>
          <w:lang w:val="fr-FR"/>
        </w:rPr>
        <w:t>201</w:t>
      </w:r>
      <w:r>
        <w:rPr>
          <w:lang w:val="fr-FR"/>
        </w:rPr>
        <w:t>3</w:t>
      </w:r>
      <w:r w:rsidRPr="009A5C16">
        <w:rPr>
          <w:lang w:val="fr-FR"/>
        </w:rPr>
        <w:t>,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auteur</w:t>
      </w:r>
      <w:r>
        <w:rPr>
          <w:lang w:val="fr-FR"/>
        </w:rPr>
        <w:t xml:space="preserve"> </w:t>
      </w:r>
      <w:r w:rsidRPr="009A5C16">
        <w:rPr>
          <w:lang w:val="fr-FR"/>
        </w:rPr>
        <w:t>a</w:t>
      </w:r>
      <w:r>
        <w:rPr>
          <w:lang w:val="fr-FR"/>
        </w:rPr>
        <w:t xml:space="preserve"> </w:t>
      </w:r>
      <w:r w:rsidRPr="009A5C16">
        <w:rPr>
          <w:lang w:val="fr-FR"/>
        </w:rPr>
        <w:t>saisi</w:t>
      </w:r>
      <w:r>
        <w:rPr>
          <w:lang w:val="fr-FR"/>
        </w:rPr>
        <w:t xml:space="preserve"> </w:t>
      </w:r>
      <w:r w:rsidRPr="009A5C16">
        <w:rPr>
          <w:lang w:val="fr-FR"/>
        </w:rPr>
        <w:t>la</w:t>
      </w:r>
      <w:r>
        <w:rPr>
          <w:lang w:val="fr-FR"/>
        </w:rPr>
        <w:t xml:space="preserve"> </w:t>
      </w:r>
      <w:r w:rsidRPr="009A5C16">
        <w:rPr>
          <w:lang w:val="fr-FR"/>
        </w:rPr>
        <w:t>cour</w:t>
      </w:r>
      <w:r>
        <w:rPr>
          <w:lang w:val="fr-FR"/>
        </w:rPr>
        <w:t xml:space="preserve"> </w:t>
      </w:r>
      <w:r w:rsidRPr="009A5C16">
        <w:rPr>
          <w:lang w:val="fr-FR"/>
        </w:rPr>
        <w:t>régionale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Vitebsk</w:t>
      </w:r>
      <w:r>
        <w:rPr>
          <w:lang w:val="fr-FR"/>
        </w:rPr>
        <w:t xml:space="preserve"> </w:t>
      </w:r>
      <w:r w:rsidRPr="009A5C16">
        <w:rPr>
          <w:lang w:val="fr-FR"/>
        </w:rPr>
        <w:t>d</w:t>
      </w:r>
      <w:r>
        <w:rPr>
          <w:lang w:val="fr-FR"/>
        </w:rPr>
        <w:t>’</w:t>
      </w:r>
      <w:r w:rsidRPr="009A5C16">
        <w:rPr>
          <w:lang w:val="fr-FR"/>
        </w:rPr>
        <w:t>un</w:t>
      </w:r>
      <w:r>
        <w:rPr>
          <w:lang w:val="fr-FR"/>
        </w:rPr>
        <w:t xml:space="preserve"> </w:t>
      </w:r>
      <w:r w:rsidRPr="009A5C16">
        <w:rPr>
          <w:lang w:val="fr-FR"/>
        </w:rPr>
        <w:t>recours</w:t>
      </w:r>
      <w:r>
        <w:rPr>
          <w:lang w:val="fr-FR"/>
        </w:rPr>
        <w:t xml:space="preserve"> </w:t>
      </w:r>
      <w:r w:rsidRPr="009A5C16">
        <w:rPr>
          <w:lang w:val="fr-FR"/>
        </w:rPr>
        <w:t>en</w:t>
      </w:r>
      <w:r>
        <w:rPr>
          <w:lang w:val="fr-FR"/>
        </w:rPr>
        <w:t xml:space="preserve"> </w:t>
      </w:r>
      <w:r w:rsidRPr="009A5C16">
        <w:rPr>
          <w:lang w:val="fr-FR"/>
        </w:rPr>
        <w:t>cassation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la</w:t>
      </w:r>
      <w:r>
        <w:rPr>
          <w:lang w:val="fr-FR"/>
        </w:rPr>
        <w:t xml:space="preserve"> </w:t>
      </w:r>
      <w:r w:rsidRPr="009A5C16">
        <w:rPr>
          <w:lang w:val="fr-FR"/>
        </w:rPr>
        <w:t>décision</w:t>
      </w:r>
      <w:r>
        <w:rPr>
          <w:lang w:val="fr-FR"/>
        </w:rPr>
        <w:t xml:space="preserve"> </w:t>
      </w:r>
      <w:r w:rsidRPr="009A5C16">
        <w:rPr>
          <w:lang w:val="fr-FR"/>
        </w:rPr>
        <w:t>du</w:t>
      </w:r>
      <w:r>
        <w:rPr>
          <w:lang w:val="fr-FR"/>
        </w:rPr>
        <w:t xml:space="preserve"> </w:t>
      </w:r>
      <w:r w:rsidRPr="009A5C16">
        <w:rPr>
          <w:lang w:val="fr-FR"/>
        </w:rPr>
        <w:t>tribunal,</w:t>
      </w:r>
      <w:r>
        <w:rPr>
          <w:lang w:val="fr-FR"/>
        </w:rPr>
        <w:t xml:space="preserve"> </w:t>
      </w:r>
      <w:r w:rsidRPr="009A5C16">
        <w:rPr>
          <w:lang w:val="fr-FR"/>
        </w:rPr>
        <w:t>recours</w:t>
      </w:r>
      <w:r>
        <w:rPr>
          <w:lang w:val="fr-FR"/>
        </w:rPr>
        <w:t xml:space="preserve"> </w:t>
      </w:r>
      <w:r w:rsidRPr="009A5C16">
        <w:rPr>
          <w:lang w:val="fr-FR"/>
        </w:rPr>
        <w:t>qui</w:t>
      </w:r>
      <w:r>
        <w:rPr>
          <w:lang w:val="fr-FR"/>
        </w:rPr>
        <w:t xml:space="preserve"> </w:t>
      </w:r>
      <w:r w:rsidRPr="009A5C16">
        <w:rPr>
          <w:lang w:val="fr-FR"/>
        </w:rPr>
        <w:t>a</w:t>
      </w:r>
      <w:r>
        <w:rPr>
          <w:lang w:val="fr-FR"/>
        </w:rPr>
        <w:t xml:space="preserve"> </w:t>
      </w:r>
      <w:r w:rsidRPr="009A5C16">
        <w:rPr>
          <w:lang w:val="fr-FR"/>
        </w:rPr>
        <w:t>été</w:t>
      </w:r>
      <w:r>
        <w:rPr>
          <w:lang w:val="fr-FR"/>
        </w:rPr>
        <w:t xml:space="preserve"> </w:t>
      </w:r>
      <w:r w:rsidRPr="009A5C16">
        <w:rPr>
          <w:lang w:val="fr-FR"/>
        </w:rPr>
        <w:t>rejeté</w:t>
      </w:r>
      <w:r>
        <w:rPr>
          <w:lang w:val="fr-FR"/>
        </w:rPr>
        <w:t xml:space="preserve"> </w:t>
      </w:r>
      <w:r w:rsidRPr="009A5C16">
        <w:rPr>
          <w:lang w:val="fr-FR"/>
        </w:rPr>
        <w:t>le</w:t>
      </w:r>
      <w:r>
        <w:rPr>
          <w:lang w:val="fr-FR"/>
        </w:rPr>
        <w:t xml:space="preserve"> </w:t>
      </w:r>
      <w:r w:rsidRPr="009A5C16">
        <w:rPr>
          <w:lang w:val="fr-FR"/>
        </w:rPr>
        <w:t>4</w:t>
      </w:r>
      <w:r w:rsidR="00AB6B32">
        <w:rPr>
          <w:lang w:val="fr-FR"/>
        </w:rPr>
        <w:t> </w:t>
      </w:r>
      <w:r w:rsidRPr="009A5C16">
        <w:rPr>
          <w:lang w:val="fr-FR"/>
        </w:rPr>
        <w:t>décembre</w:t>
      </w:r>
      <w:r>
        <w:rPr>
          <w:lang w:val="fr-FR"/>
        </w:rPr>
        <w:t xml:space="preserve"> </w:t>
      </w:r>
      <w:r w:rsidRPr="009A5C16">
        <w:rPr>
          <w:lang w:val="fr-FR"/>
        </w:rPr>
        <w:t>2013.</w:t>
      </w:r>
    </w:p>
    <w:p w:rsidR="000E5700" w:rsidRPr="009A5C16" w:rsidRDefault="000E5700" w:rsidP="000E5700">
      <w:pPr>
        <w:pStyle w:val="SingleTxtG"/>
        <w:rPr>
          <w:lang w:val="fr-FR"/>
        </w:rPr>
      </w:pPr>
      <w:r w:rsidRPr="009A5C16">
        <w:rPr>
          <w:lang w:val="fr-FR"/>
        </w:rPr>
        <w:t>2.4</w:t>
      </w:r>
      <w:r w:rsidRPr="009A5C16">
        <w:rPr>
          <w:lang w:val="fr-FR"/>
        </w:rPr>
        <w:tab/>
        <w:t>Le</w:t>
      </w:r>
      <w:r>
        <w:rPr>
          <w:lang w:val="fr-FR"/>
        </w:rPr>
        <w:t xml:space="preserve"> </w:t>
      </w:r>
      <w:r w:rsidRPr="009A5C16">
        <w:rPr>
          <w:lang w:val="fr-FR"/>
        </w:rPr>
        <w:t>15</w:t>
      </w:r>
      <w:r w:rsidR="00AB6B32">
        <w:rPr>
          <w:lang w:val="fr-FR"/>
        </w:rPr>
        <w:t> </w:t>
      </w:r>
      <w:r w:rsidRPr="009A5C16">
        <w:rPr>
          <w:lang w:val="fr-FR"/>
        </w:rPr>
        <w:t>octobre</w:t>
      </w:r>
      <w:r>
        <w:rPr>
          <w:lang w:val="fr-FR"/>
        </w:rPr>
        <w:t xml:space="preserve"> </w:t>
      </w:r>
      <w:r w:rsidRPr="009A5C16">
        <w:rPr>
          <w:lang w:val="fr-FR"/>
        </w:rPr>
        <w:t>2013,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auteur</w:t>
      </w:r>
      <w:r>
        <w:rPr>
          <w:lang w:val="fr-FR"/>
        </w:rPr>
        <w:t xml:space="preserve"> </w:t>
      </w:r>
      <w:r w:rsidRPr="009A5C16">
        <w:rPr>
          <w:lang w:val="fr-FR"/>
        </w:rPr>
        <w:t>a</w:t>
      </w:r>
      <w:r>
        <w:rPr>
          <w:lang w:val="fr-FR"/>
        </w:rPr>
        <w:t xml:space="preserve"> </w:t>
      </w:r>
      <w:r w:rsidRPr="009A5C16">
        <w:rPr>
          <w:lang w:val="fr-FR"/>
        </w:rPr>
        <w:t>présenté</w:t>
      </w:r>
      <w:r>
        <w:rPr>
          <w:lang w:val="fr-FR"/>
        </w:rPr>
        <w:t xml:space="preserve"> </w:t>
      </w:r>
      <w:r w:rsidRPr="009A5C16">
        <w:rPr>
          <w:lang w:val="fr-FR"/>
        </w:rPr>
        <w:t>une</w:t>
      </w:r>
      <w:r>
        <w:rPr>
          <w:lang w:val="fr-FR"/>
        </w:rPr>
        <w:t xml:space="preserve"> </w:t>
      </w:r>
      <w:r w:rsidRPr="009A5C16">
        <w:rPr>
          <w:lang w:val="fr-FR"/>
        </w:rPr>
        <w:t>demande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réexamen</w:t>
      </w:r>
      <w:r>
        <w:rPr>
          <w:lang w:val="fr-FR"/>
        </w:rPr>
        <w:t xml:space="preserve"> </w:t>
      </w:r>
      <w:r w:rsidRPr="009A5C16">
        <w:rPr>
          <w:lang w:val="fr-FR"/>
        </w:rPr>
        <w:t>aux</w:t>
      </w:r>
      <w:r>
        <w:rPr>
          <w:lang w:val="fr-FR"/>
        </w:rPr>
        <w:t xml:space="preserve"> </w:t>
      </w:r>
      <w:r w:rsidRPr="009A5C16">
        <w:rPr>
          <w:lang w:val="fr-FR"/>
        </w:rPr>
        <w:t>fins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contrôle</w:t>
      </w:r>
      <w:r>
        <w:rPr>
          <w:lang w:val="fr-FR"/>
        </w:rPr>
        <w:t xml:space="preserve"> </w:t>
      </w:r>
      <w:r w:rsidRPr="009A5C16">
        <w:rPr>
          <w:lang w:val="fr-FR"/>
        </w:rPr>
        <w:t>au</w:t>
      </w:r>
      <w:r>
        <w:rPr>
          <w:lang w:val="fr-FR"/>
        </w:rPr>
        <w:t xml:space="preserve"> </w:t>
      </w:r>
      <w:r w:rsidRPr="009A5C16">
        <w:rPr>
          <w:lang w:val="fr-FR"/>
        </w:rPr>
        <w:t>Président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la</w:t>
      </w:r>
      <w:r>
        <w:rPr>
          <w:lang w:val="fr-FR"/>
        </w:rPr>
        <w:t xml:space="preserve"> </w:t>
      </w:r>
      <w:r w:rsidRPr="009A5C16">
        <w:rPr>
          <w:lang w:val="fr-FR"/>
        </w:rPr>
        <w:t>cour</w:t>
      </w:r>
      <w:r>
        <w:rPr>
          <w:lang w:val="fr-FR"/>
        </w:rPr>
        <w:t xml:space="preserve"> </w:t>
      </w:r>
      <w:r w:rsidRPr="009A5C16">
        <w:rPr>
          <w:lang w:val="fr-FR"/>
        </w:rPr>
        <w:t>régionale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Vitebsk.</w:t>
      </w:r>
      <w:r>
        <w:rPr>
          <w:lang w:val="fr-FR"/>
        </w:rPr>
        <w:t xml:space="preserve"> </w:t>
      </w:r>
      <w:r w:rsidRPr="009A5C16">
        <w:rPr>
          <w:lang w:val="fr-FR"/>
        </w:rPr>
        <w:t>Sa</w:t>
      </w:r>
      <w:r>
        <w:rPr>
          <w:lang w:val="fr-FR"/>
        </w:rPr>
        <w:t xml:space="preserve"> </w:t>
      </w:r>
      <w:r w:rsidRPr="009A5C16">
        <w:rPr>
          <w:lang w:val="fr-FR"/>
        </w:rPr>
        <w:t>demande</w:t>
      </w:r>
      <w:r>
        <w:rPr>
          <w:lang w:val="fr-FR"/>
        </w:rPr>
        <w:t xml:space="preserve"> </w:t>
      </w:r>
      <w:r w:rsidRPr="009A5C16">
        <w:rPr>
          <w:lang w:val="fr-FR"/>
        </w:rPr>
        <w:t>a</w:t>
      </w:r>
      <w:r>
        <w:rPr>
          <w:lang w:val="fr-FR"/>
        </w:rPr>
        <w:t xml:space="preserve"> </w:t>
      </w:r>
      <w:r w:rsidRPr="009A5C16">
        <w:rPr>
          <w:lang w:val="fr-FR"/>
        </w:rPr>
        <w:t>été</w:t>
      </w:r>
      <w:r>
        <w:rPr>
          <w:lang w:val="fr-FR"/>
        </w:rPr>
        <w:t xml:space="preserve"> </w:t>
      </w:r>
      <w:r w:rsidRPr="009A5C16">
        <w:rPr>
          <w:lang w:val="fr-FR"/>
        </w:rPr>
        <w:t>rejetée</w:t>
      </w:r>
      <w:r>
        <w:rPr>
          <w:lang w:val="fr-FR"/>
        </w:rPr>
        <w:t xml:space="preserve"> </w:t>
      </w:r>
      <w:r w:rsidRPr="009A5C16">
        <w:rPr>
          <w:lang w:val="fr-FR"/>
        </w:rPr>
        <w:t>le</w:t>
      </w:r>
      <w:r>
        <w:rPr>
          <w:lang w:val="fr-FR"/>
        </w:rPr>
        <w:t xml:space="preserve"> </w:t>
      </w:r>
      <w:r w:rsidRPr="009A5C16">
        <w:rPr>
          <w:lang w:val="fr-FR"/>
        </w:rPr>
        <w:t>21</w:t>
      </w:r>
      <w:r w:rsidR="00AB6B32">
        <w:rPr>
          <w:lang w:val="fr-FR"/>
        </w:rPr>
        <w:t> </w:t>
      </w:r>
      <w:r w:rsidRPr="009A5C16">
        <w:rPr>
          <w:lang w:val="fr-FR"/>
        </w:rPr>
        <w:t>novembre</w:t>
      </w:r>
      <w:r>
        <w:rPr>
          <w:lang w:val="fr-FR"/>
        </w:rPr>
        <w:t xml:space="preserve"> </w:t>
      </w:r>
      <w:r w:rsidRPr="009A5C16">
        <w:rPr>
          <w:lang w:val="fr-FR"/>
        </w:rPr>
        <w:t>2013.</w:t>
      </w:r>
      <w:r>
        <w:rPr>
          <w:lang w:val="fr-FR"/>
        </w:rPr>
        <w:t xml:space="preserve"> </w:t>
      </w:r>
      <w:r w:rsidRPr="009A5C16">
        <w:rPr>
          <w:lang w:val="fr-FR"/>
        </w:rPr>
        <w:t>Le</w:t>
      </w:r>
      <w:r>
        <w:rPr>
          <w:lang w:val="fr-FR"/>
        </w:rPr>
        <w:t xml:space="preserve"> </w:t>
      </w:r>
      <w:r w:rsidRPr="009A5C16">
        <w:rPr>
          <w:lang w:val="fr-FR"/>
        </w:rPr>
        <w:t>16</w:t>
      </w:r>
      <w:r w:rsidR="00AB6B32">
        <w:rPr>
          <w:lang w:val="fr-FR"/>
        </w:rPr>
        <w:t> </w:t>
      </w:r>
      <w:r w:rsidRPr="009A5C16">
        <w:rPr>
          <w:lang w:val="fr-FR"/>
        </w:rPr>
        <w:t>décembre</w:t>
      </w:r>
      <w:r>
        <w:rPr>
          <w:lang w:val="fr-FR"/>
        </w:rPr>
        <w:t xml:space="preserve"> </w:t>
      </w:r>
      <w:r w:rsidRPr="009A5C16">
        <w:rPr>
          <w:lang w:val="fr-FR"/>
        </w:rPr>
        <w:t>2013,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auteur</w:t>
      </w:r>
      <w:r>
        <w:rPr>
          <w:lang w:val="fr-FR"/>
        </w:rPr>
        <w:t xml:space="preserve"> </w:t>
      </w:r>
      <w:r w:rsidRPr="009A5C16">
        <w:rPr>
          <w:lang w:val="fr-FR"/>
        </w:rPr>
        <w:t>a</w:t>
      </w:r>
      <w:r>
        <w:rPr>
          <w:lang w:val="fr-FR"/>
        </w:rPr>
        <w:t xml:space="preserve"> </w:t>
      </w:r>
      <w:r w:rsidRPr="009A5C16">
        <w:rPr>
          <w:lang w:val="fr-FR"/>
        </w:rPr>
        <w:t>saisi</w:t>
      </w:r>
      <w:r>
        <w:rPr>
          <w:lang w:val="fr-FR"/>
        </w:rPr>
        <w:t xml:space="preserve"> </w:t>
      </w:r>
      <w:r w:rsidRPr="009A5C16">
        <w:rPr>
          <w:lang w:val="fr-FR"/>
        </w:rPr>
        <w:t>la</w:t>
      </w:r>
      <w:r>
        <w:rPr>
          <w:lang w:val="fr-FR"/>
        </w:rPr>
        <w:t xml:space="preserve"> </w:t>
      </w:r>
      <w:r w:rsidRPr="009A5C16">
        <w:rPr>
          <w:lang w:val="fr-FR"/>
        </w:rPr>
        <w:t>Cour</w:t>
      </w:r>
      <w:r>
        <w:rPr>
          <w:lang w:val="fr-FR"/>
        </w:rPr>
        <w:t xml:space="preserve"> </w:t>
      </w:r>
      <w:r w:rsidRPr="009A5C16">
        <w:rPr>
          <w:lang w:val="fr-FR"/>
        </w:rPr>
        <w:t>suprême</w:t>
      </w:r>
      <w:r>
        <w:rPr>
          <w:lang w:val="fr-FR"/>
        </w:rPr>
        <w:t xml:space="preserve"> </w:t>
      </w:r>
      <w:r w:rsidRPr="009A5C16">
        <w:rPr>
          <w:lang w:val="fr-FR"/>
        </w:rPr>
        <w:t>d</w:t>
      </w:r>
      <w:r>
        <w:rPr>
          <w:lang w:val="fr-FR"/>
        </w:rPr>
        <w:t>’</w:t>
      </w:r>
      <w:r w:rsidRPr="009A5C16">
        <w:rPr>
          <w:lang w:val="fr-FR"/>
        </w:rPr>
        <w:t>une</w:t>
      </w:r>
      <w:r>
        <w:rPr>
          <w:lang w:val="fr-FR"/>
        </w:rPr>
        <w:t xml:space="preserve"> </w:t>
      </w:r>
      <w:r w:rsidRPr="009A5C16">
        <w:rPr>
          <w:lang w:val="fr-FR"/>
        </w:rPr>
        <w:t>demande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réexamen</w:t>
      </w:r>
      <w:r>
        <w:rPr>
          <w:lang w:val="fr-FR"/>
        </w:rPr>
        <w:t xml:space="preserve"> </w:t>
      </w:r>
      <w:r w:rsidRPr="009A5C16">
        <w:rPr>
          <w:lang w:val="fr-FR"/>
        </w:rPr>
        <w:t>aux</w:t>
      </w:r>
      <w:r>
        <w:rPr>
          <w:lang w:val="fr-FR"/>
        </w:rPr>
        <w:t xml:space="preserve"> </w:t>
      </w:r>
      <w:r w:rsidRPr="009A5C16">
        <w:rPr>
          <w:lang w:val="fr-FR"/>
        </w:rPr>
        <w:t>fins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contrôle.</w:t>
      </w:r>
      <w:r>
        <w:rPr>
          <w:lang w:val="fr-FR"/>
        </w:rPr>
        <w:t xml:space="preserve"> </w:t>
      </w:r>
      <w:r w:rsidRPr="009A5C16">
        <w:rPr>
          <w:lang w:val="fr-FR"/>
        </w:rPr>
        <w:t>Le</w:t>
      </w:r>
      <w:r>
        <w:rPr>
          <w:lang w:val="fr-FR"/>
        </w:rPr>
        <w:t xml:space="preserve"> </w:t>
      </w:r>
      <w:r w:rsidRPr="009A5C16">
        <w:rPr>
          <w:lang w:val="fr-FR"/>
        </w:rPr>
        <w:t>13</w:t>
      </w:r>
      <w:r w:rsidR="00AB6B32">
        <w:rPr>
          <w:lang w:val="fr-FR"/>
        </w:rPr>
        <w:t> </w:t>
      </w:r>
      <w:r w:rsidRPr="009A5C16">
        <w:rPr>
          <w:lang w:val="fr-FR"/>
        </w:rPr>
        <w:t>février</w:t>
      </w:r>
      <w:r>
        <w:rPr>
          <w:lang w:val="fr-FR"/>
        </w:rPr>
        <w:t xml:space="preserve"> </w:t>
      </w:r>
      <w:r w:rsidRPr="009A5C16">
        <w:rPr>
          <w:lang w:val="fr-FR"/>
        </w:rPr>
        <w:t>2014,</w:t>
      </w:r>
      <w:r>
        <w:rPr>
          <w:lang w:val="fr-FR"/>
        </w:rPr>
        <w:t xml:space="preserve"> </w:t>
      </w:r>
      <w:r w:rsidRPr="009A5C16">
        <w:rPr>
          <w:lang w:val="fr-FR"/>
        </w:rPr>
        <w:t>cette</w:t>
      </w:r>
      <w:r>
        <w:rPr>
          <w:lang w:val="fr-FR"/>
        </w:rPr>
        <w:t xml:space="preserve"> </w:t>
      </w:r>
      <w:r w:rsidRPr="009A5C16">
        <w:rPr>
          <w:lang w:val="fr-FR"/>
        </w:rPr>
        <w:t>demande</w:t>
      </w:r>
      <w:r>
        <w:rPr>
          <w:lang w:val="fr-FR"/>
        </w:rPr>
        <w:t xml:space="preserve"> </w:t>
      </w:r>
      <w:r w:rsidRPr="009A5C16">
        <w:rPr>
          <w:lang w:val="fr-FR"/>
        </w:rPr>
        <w:t>a</w:t>
      </w:r>
      <w:r>
        <w:rPr>
          <w:lang w:val="fr-FR"/>
        </w:rPr>
        <w:t xml:space="preserve"> </w:t>
      </w:r>
      <w:r w:rsidRPr="009A5C16">
        <w:rPr>
          <w:lang w:val="fr-FR"/>
        </w:rPr>
        <w:t>été</w:t>
      </w:r>
      <w:r>
        <w:rPr>
          <w:lang w:val="fr-FR"/>
        </w:rPr>
        <w:t xml:space="preserve"> </w:t>
      </w:r>
      <w:r w:rsidRPr="009A5C16">
        <w:rPr>
          <w:lang w:val="fr-FR"/>
        </w:rPr>
        <w:t>rejetée</w:t>
      </w:r>
      <w:r>
        <w:rPr>
          <w:lang w:val="fr-FR"/>
        </w:rPr>
        <w:t xml:space="preserve"> </w:t>
      </w:r>
      <w:r w:rsidRPr="009A5C16">
        <w:rPr>
          <w:lang w:val="fr-FR"/>
        </w:rPr>
        <w:t>par</w:t>
      </w:r>
      <w:r>
        <w:rPr>
          <w:lang w:val="fr-FR"/>
        </w:rPr>
        <w:t xml:space="preserve"> </w:t>
      </w:r>
      <w:r w:rsidRPr="009A5C16">
        <w:rPr>
          <w:lang w:val="fr-FR"/>
        </w:rPr>
        <w:t>un</w:t>
      </w:r>
      <w:r>
        <w:rPr>
          <w:lang w:val="fr-FR"/>
        </w:rPr>
        <w:t xml:space="preserve"> v</w:t>
      </w:r>
      <w:r w:rsidRPr="009A5C16">
        <w:rPr>
          <w:lang w:val="fr-FR"/>
        </w:rPr>
        <w:t>ice-</w:t>
      </w:r>
      <w:r>
        <w:rPr>
          <w:lang w:val="fr-FR"/>
        </w:rPr>
        <w:t>p</w:t>
      </w:r>
      <w:r w:rsidRPr="009A5C16">
        <w:rPr>
          <w:lang w:val="fr-FR"/>
        </w:rPr>
        <w:t>résident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la</w:t>
      </w:r>
      <w:r>
        <w:rPr>
          <w:lang w:val="fr-FR"/>
        </w:rPr>
        <w:t xml:space="preserve"> </w:t>
      </w:r>
      <w:r w:rsidRPr="009A5C16">
        <w:rPr>
          <w:lang w:val="fr-FR"/>
        </w:rPr>
        <w:t>Cour</w:t>
      </w:r>
      <w:r>
        <w:rPr>
          <w:lang w:val="fr-FR"/>
        </w:rPr>
        <w:t xml:space="preserve"> </w:t>
      </w:r>
      <w:r w:rsidRPr="009A5C16">
        <w:rPr>
          <w:lang w:val="fr-FR"/>
        </w:rPr>
        <w:t>suprême.</w:t>
      </w:r>
    </w:p>
    <w:p w:rsidR="000E5700" w:rsidRPr="009A5C16" w:rsidRDefault="000E5700" w:rsidP="000E5700">
      <w:pPr>
        <w:pStyle w:val="H23G"/>
        <w:rPr>
          <w:lang w:val="fr-FR"/>
        </w:rPr>
      </w:pPr>
      <w:r w:rsidRPr="009A5C16">
        <w:rPr>
          <w:lang w:val="fr-FR"/>
        </w:rPr>
        <w:tab/>
      </w:r>
      <w:r w:rsidRPr="009A5C16">
        <w:rPr>
          <w:lang w:val="fr-FR"/>
        </w:rPr>
        <w:tab/>
        <w:t>Teneur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la</w:t>
      </w:r>
      <w:r>
        <w:rPr>
          <w:lang w:val="fr-FR"/>
        </w:rPr>
        <w:t xml:space="preserve"> </w:t>
      </w:r>
      <w:r w:rsidRPr="009A5C16">
        <w:rPr>
          <w:lang w:val="fr-FR"/>
        </w:rPr>
        <w:t>plainte</w:t>
      </w:r>
    </w:p>
    <w:p w:rsidR="000E5700" w:rsidRPr="009A5C16" w:rsidRDefault="000E5700" w:rsidP="000E5700">
      <w:pPr>
        <w:pStyle w:val="SingleTxtG"/>
        <w:rPr>
          <w:lang w:val="fr-FR"/>
        </w:rPr>
      </w:pPr>
      <w:r w:rsidRPr="009A5C16">
        <w:rPr>
          <w:lang w:val="fr-FR"/>
        </w:rPr>
        <w:t>3.</w:t>
      </w:r>
      <w:r w:rsidRPr="009A5C16">
        <w:rPr>
          <w:lang w:val="fr-FR"/>
        </w:rPr>
        <w:tab/>
        <w:t>L</w:t>
      </w:r>
      <w:r>
        <w:rPr>
          <w:lang w:val="fr-FR"/>
        </w:rPr>
        <w:t>’</w:t>
      </w:r>
      <w:r w:rsidRPr="009A5C16">
        <w:rPr>
          <w:lang w:val="fr-FR"/>
        </w:rPr>
        <w:t>auteur</w:t>
      </w:r>
      <w:r>
        <w:rPr>
          <w:lang w:val="fr-FR"/>
        </w:rPr>
        <w:t xml:space="preserve"> </w:t>
      </w:r>
      <w:r w:rsidRPr="009A5C16">
        <w:rPr>
          <w:lang w:val="fr-FR"/>
        </w:rPr>
        <w:t>affirme</w:t>
      </w:r>
      <w:r>
        <w:rPr>
          <w:lang w:val="fr-FR"/>
        </w:rPr>
        <w:t xml:space="preserve"> </w:t>
      </w:r>
      <w:r w:rsidRPr="009A5C16">
        <w:rPr>
          <w:lang w:val="fr-FR"/>
        </w:rPr>
        <w:t>que</w:t>
      </w:r>
      <w:r>
        <w:rPr>
          <w:lang w:val="fr-FR"/>
        </w:rPr>
        <w:t xml:space="preserve"> </w:t>
      </w:r>
      <w:r w:rsidRPr="009A5C16">
        <w:rPr>
          <w:lang w:val="fr-FR"/>
        </w:rPr>
        <w:t>le</w:t>
      </w:r>
      <w:r>
        <w:rPr>
          <w:lang w:val="fr-FR"/>
        </w:rPr>
        <w:t xml:space="preserve"> </w:t>
      </w:r>
      <w:r w:rsidRPr="009A5C16">
        <w:rPr>
          <w:lang w:val="fr-FR"/>
        </w:rPr>
        <w:t>Bélarus</w:t>
      </w:r>
      <w:r>
        <w:rPr>
          <w:lang w:val="fr-FR"/>
        </w:rPr>
        <w:t xml:space="preserve"> </w:t>
      </w:r>
      <w:r w:rsidRPr="009A5C16">
        <w:rPr>
          <w:lang w:val="fr-FR"/>
        </w:rPr>
        <w:t>a</w:t>
      </w:r>
      <w:r>
        <w:rPr>
          <w:lang w:val="fr-FR"/>
        </w:rPr>
        <w:t xml:space="preserve"> </w:t>
      </w:r>
      <w:r w:rsidRPr="009A5C16">
        <w:rPr>
          <w:lang w:val="fr-FR"/>
        </w:rPr>
        <w:t>violé</w:t>
      </w:r>
      <w:r>
        <w:rPr>
          <w:lang w:val="fr-FR"/>
        </w:rPr>
        <w:t xml:space="preserve"> </w:t>
      </w:r>
      <w:r w:rsidRPr="009A5C16">
        <w:rPr>
          <w:lang w:val="fr-FR"/>
        </w:rPr>
        <w:t>les</w:t>
      </w:r>
      <w:r>
        <w:rPr>
          <w:lang w:val="fr-FR"/>
        </w:rPr>
        <w:t xml:space="preserve"> </w:t>
      </w:r>
      <w:r w:rsidRPr="009A5C16">
        <w:rPr>
          <w:lang w:val="fr-FR"/>
        </w:rPr>
        <w:t>droits</w:t>
      </w:r>
      <w:r>
        <w:rPr>
          <w:lang w:val="fr-FR"/>
        </w:rPr>
        <w:t xml:space="preserve"> </w:t>
      </w:r>
      <w:r w:rsidRPr="009A5C16">
        <w:rPr>
          <w:lang w:val="fr-FR"/>
        </w:rPr>
        <w:t>qu</w:t>
      </w:r>
      <w:r>
        <w:rPr>
          <w:lang w:val="fr-FR"/>
        </w:rPr>
        <w:t>’</w:t>
      </w:r>
      <w:r w:rsidRPr="009A5C16">
        <w:rPr>
          <w:lang w:val="fr-FR"/>
        </w:rPr>
        <w:t>il</w:t>
      </w:r>
      <w:r>
        <w:rPr>
          <w:lang w:val="fr-FR"/>
        </w:rPr>
        <w:t xml:space="preserve"> </w:t>
      </w:r>
      <w:r w:rsidRPr="009A5C16">
        <w:rPr>
          <w:lang w:val="fr-FR"/>
        </w:rPr>
        <w:t>tient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article</w:t>
      </w:r>
      <w:r>
        <w:rPr>
          <w:lang w:val="fr-FR"/>
        </w:rPr>
        <w:t xml:space="preserve"> </w:t>
      </w:r>
      <w:r w:rsidRPr="009A5C16">
        <w:rPr>
          <w:lang w:val="fr-FR"/>
        </w:rPr>
        <w:t>19</w:t>
      </w:r>
      <w:r>
        <w:rPr>
          <w:lang w:val="fr-FR"/>
        </w:rPr>
        <w:t xml:space="preserve"> (par. 2 et 3) </w:t>
      </w:r>
      <w:r w:rsidRPr="009A5C16">
        <w:rPr>
          <w:lang w:val="fr-FR"/>
        </w:rPr>
        <w:t>du</w:t>
      </w:r>
      <w:r>
        <w:rPr>
          <w:lang w:val="fr-FR"/>
        </w:rPr>
        <w:t xml:space="preserve"> </w:t>
      </w:r>
      <w:r w:rsidRPr="009A5C16">
        <w:rPr>
          <w:lang w:val="fr-FR"/>
        </w:rPr>
        <w:t>Pacte.</w:t>
      </w:r>
      <w:r>
        <w:rPr>
          <w:lang w:val="fr-FR"/>
        </w:rPr>
        <w:t xml:space="preserve"> </w:t>
      </w:r>
      <w:r w:rsidRPr="009A5C16">
        <w:rPr>
          <w:lang w:val="fr-FR"/>
        </w:rPr>
        <w:t>Il</w:t>
      </w:r>
      <w:r>
        <w:rPr>
          <w:lang w:val="fr-FR"/>
        </w:rPr>
        <w:t xml:space="preserve"> </w:t>
      </w:r>
      <w:r w:rsidRPr="009A5C16">
        <w:rPr>
          <w:lang w:val="fr-FR"/>
        </w:rPr>
        <w:t>fait</w:t>
      </w:r>
      <w:r>
        <w:rPr>
          <w:lang w:val="fr-FR"/>
        </w:rPr>
        <w:t xml:space="preserve"> </w:t>
      </w:r>
      <w:r w:rsidRPr="009A5C16">
        <w:rPr>
          <w:lang w:val="fr-FR"/>
        </w:rPr>
        <w:t>valoir</w:t>
      </w:r>
      <w:r>
        <w:rPr>
          <w:lang w:val="fr-FR"/>
        </w:rPr>
        <w:t xml:space="preserve"> </w:t>
      </w:r>
      <w:r w:rsidRPr="009A5C16">
        <w:rPr>
          <w:lang w:val="fr-FR"/>
        </w:rPr>
        <w:t>que</w:t>
      </w:r>
      <w:r>
        <w:rPr>
          <w:lang w:val="fr-FR"/>
        </w:rPr>
        <w:t xml:space="preserve"> c’est à tort que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État</w:t>
      </w:r>
      <w:r>
        <w:rPr>
          <w:lang w:val="fr-FR"/>
        </w:rPr>
        <w:t xml:space="preserve"> </w:t>
      </w:r>
      <w:r w:rsidRPr="009A5C16">
        <w:rPr>
          <w:lang w:val="fr-FR"/>
        </w:rPr>
        <w:t>partie</w:t>
      </w:r>
      <w:r>
        <w:rPr>
          <w:lang w:val="fr-FR"/>
        </w:rPr>
        <w:t xml:space="preserve"> estimé que </w:t>
      </w:r>
      <w:r w:rsidRPr="009A5C16">
        <w:rPr>
          <w:lang w:val="fr-FR"/>
        </w:rPr>
        <w:t>la</w:t>
      </w:r>
      <w:r>
        <w:rPr>
          <w:lang w:val="fr-FR"/>
        </w:rPr>
        <w:t xml:space="preserve"> </w:t>
      </w:r>
      <w:r w:rsidRPr="009A5C16">
        <w:rPr>
          <w:lang w:val="fr-FR"/>
        </w:rPr>
        <w:t>législation</w:t>
      </w:r>
      <w:r>
        <w:rPr>
          <w:lang w:val="fr-FR"/>
        </w:rPr>
        <w:t xml:space="preserve"> </w:t>
      </w:r>
      <w:r w:rsidRPr="009A5C16">
        <w:rPr>
          <w:lang w:val="fr-FR"/>
        </w:rPr>
        <w:t>relative</w:t>
      </w:r>
      <w:r>
        <w:rPr>
          <w:lang w:val="fr-FR"/>
        </w:rPr>
        <w:t xml:space="preserve"> </w:t>
      </w:r>
      <w:r w:rsidRPr="009A5C16">
        <w:rPr>
          <w:lang w:val="fr-FR"/>
        </w:rPr>
        <w:t>aux</w:t>
      </w:r>
      <w:r>
        <w:rPr>
          <w:lang w:val="fr-FR"/>
        </w:rPr>
        <w:t xml:space="preserve"> </w:t>
      </w:r>
      <w:r w:rsidRPr="009A5C16">
        <w:rPr>
          <w:lang w:val="fr-FR"/>
        </w:rPr>
        <w:t>manifestations</w:t>
      </w:r>
      <w:r>
        <w:rPr>
          <w:lang w:val="fr-FR"/>
        </w:rPr>
        <w:t xml:space="preserve"> publiques s’appliquait au </w:t>
      </w:r>
      <w:r w:rsidRPr="009A5C16">
        <w:rPr>
          <w:lang w:val="fr-FR"/>
        </w:rPr>
        <w:t>piquet</w:t>
      </w:r>
      <w:r>
        <w:rPr>
          <w:lang w:val="fr-FR"/>
        </w:rPr>
        <w:t xml:space="preserve"> </w:t>
      </w:r>
      <w:r w:rsidRPr="009A5C16">
        <w:rPr>
          <w:lang w:val="fr-FR"/>
        </w:rPr>
        <w:t>d</w:t>
      </w:r>
      <w:r>
        <w:rPr>
          <w:lang w:val="fr-FR"/>
        </w:rPr>
        <w:t>’</w:t>
      </w:r>
      <w:r w:rsidRPr="009A5C16">
        <w:rPr>
          <w:lang w:val="fr-FR"/>
        </w:rPr>
        <w:t>une</w:t>
      </w:r>
      <w:r>
        <w:rPr>
          <w:lang w:val="fr-FR"/>
        </w:rPr>
        <w:t xml:space="preserve"> </w:t>
      </w:r>
      <w:r w:rsidRPr="009A5C16">
        <w:rPr>
          <w:lang w:val="fr-FR"/>
        </w:rPr>
        <w:t>personne</w:t>
      </w:r>
      <w:r>
        <w:rPr>
          <w:lang w:val="fr-FR"/>
        </w:rPr>
        <w:t xml:space="preserve"> qu’il comptait tenir</w:t>
      </w:r>
      <w:r w:rsidRPr="009A5C16">
        <w:rPr>
          <w:lang w:val="fr-FR"/>
        </w:rPr>
        <w:t>,</w:t>
      </w:r>
      <w:r>
        <w:rPr>
          <w:lang w:val="fr-FR"/>
        </w:rPr>
        <w:t xml:space="preserve"> </w:t>
      </w:r>
      <w:r w:rsidRPr="009A5C16">
        <w:rPr>
          <w:lang w:val="fr-FR"/>
        </w:rPr>
        <w:t>qui</w:t>
      </w:r>
      <w:r>
        <w:rPr>
          <w:lang w:val="fr-FR"/>
        </w:rPr>
        <w:t xml:space="preserve"> n’était </w:t>
      </w:r>
      <w:r w:rsidRPr="009A5C16">
        <w:rPr>
          <w:lang w:val="fr-FR"/>
        </w:rPr>
        <w:t>pas</w:t>
      </w:r>
      <w:r>
        <w:rPr>
          <w:lang w:val="fr-FR"/>
        </w:rPr>
        <w:t xml:space="preserve"> </w:t>
      </w:r>
      <w:r w:rsidRPr="009A5C16">
        <w:rPr>
          <w:lang w:val="fr-FR"/>
        </w:rPr>
        <w:t>une</w:t>
      </w:r>
      <w:r>
        <w:rPr>
          <w:lang w:val="fr-FR"/>
        </w:rPr>
        <w:t xml:space="preserve"> </w:t>
      </w:r>
      <w:r w:rsidRPr="009A5C16">
        <w:rPr>
          <w:lang w:val="fr-FR"/>
        </w:rPr>
        <w:t>manifestation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masse.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auteur</w:t>
      </w:r>
      <w:r>
        <w:rPr>
          <w:lang w:val="fr-FR"/>
        </w:rPr>
        <w:t xml:space="preserve"> </w:t>
      </w:r>
      <w:r w:rsidRPr="009A5C16">
        <w:rPr>
          <w:lang w:val="fr-FR"/>
        </w:rPr>
        <w:t>affirme</w:t>
      </w:r>
      <w:r>
        <w:rPr>
          <w:lang w:val="fr-FR"/>
        </w:rPr>
        <w:t xml:space="preserve"> </w:t>
      </w:r>
      <w:r w:rsidRPr="009A5C16">
        <w:rPr>
          <w:lang w:val="fr-FR"/>
        </w:rPr>
        <w:t>en</w:t>
      </w:r>
      <w:r>
        <w:rPr>
          <w:lang w:val="fr-FR"/>
        </w:rPr>
        <w:t xml:space="preserve"> </w:t>
      </w:r>
      <w:r w:rsidRPr="009A5C16">
        <w:rPr>
          <w:lang w:val="fr-FR"/>
        </w:rPr>
        <w:t>outre</w:t>
      </w:r>
      <w:r>
        <w:rPr>
          <w:lang w:val="fr-FR"/>
        </w:rPr>
        <w:t xml:space="preserve"> </w:t>
      </w:r>
      <w:r w:rsidRPr="009A5C16">
        <w:rPr>
          <w:lang w:val="fr-FR"/>
        </w:rPr>
        <w:t>que</w:t>
      </w:r>
      <w:r>
        <w:rPr>
          <w:lang w:val="fr-FR"/>
        </w:rPr>
        <w:t xml:space="preserve"> </w:t>
      </w:r>
      <w:r w:rsidRPr="009A5C16">
        <w:rPr>
          <w:lang w:val="fr-FR"/>
        </w:rPr>
        <w:t>son</w:t>
      </w:r>
      <w:r>
        <w:rPr>
          <w:lang w:val="fr-FR"/>
        </w:rPr>
        <w:t xml:space="preserve"> </w:t>
      </w:r>
      <w:r w:rsidRPr="009A5C16">
        <w:rPr>
          <w:lang w:val="fr-FR"/>
        </w:rPr>
        <w:t>droit</w:t>
      </w:r>
      <w:r>
        <w:rPr>
          <w:lang w:val="fr-FR"/>
        </w:rPr>
        <w:t xml:space="preserve"> </w:t>
      </w:r>
      <w:r w:rsidRPr="009A5C16">
        <w:rPr>
          <w:lang w:val="fr-FR"/>
        </w:rPr>
        <w:t>à</w:t>
      </w:r>
      <w:r>
        <w:rPr>
          <w:lang w:val="fr-FR"/>
        </w:rPr>
        <w:t xml:space="preserve"> </w:t>
      </w:r>
      <w:r w:rsidRPr="009A5C16">
        <w:rPr>
          <w:lang w:val="fr-FR"/>
        </w:rPr>
        <w:t>la</w:t>
      </w:r>
      <w:r>
        <w:rPr>
          <w:lang w:val="fr-FR"/>
        </w:rPr>
        <w:t xml:space="preserve"> </w:t>
      </w:r>
      <w:r w:rsidRPr="009A5C16">
        <w:rPr>
          <w:lang w:val="fr-FR"/>
        </w:rPr>
        <w:t>liberté</w:t>
      </w:r>
      <w:r>
        <w:rPr>
          <w:lang w:val="fr-FR"/>
        </w:rPr>
        <w:t xml:space="preserve"> </w:t>
      </w:r>
      <w:r w:rsidRPr="009A5C16">
        <w:rPr>
          <w:lang w:val="fr-FR"/>
        </w:rPr>
        <w:t>d</w:t>
      </w:r>
      <w:r>
        <w:rPr>
          <w:lang w:val="fr-FR"/>
        </w:rPr>
        <w:t>’</w:t>
      </w:r>
      <w:r w:rsidRPr="009A5C16">
        <w:rPr>
          <w:lang w:val="fr-FR"/>
        </w:rPr>
        <w:t>expression</w:t>
      </w:r>
      <w:r>
        <w:rPr>
          <w:lang w:val="fr-FR"/>
        </w:rPr>
        <w:t xml:space="preserve"> </w:t>
      </w:r>
      <w:r w:rsidRPr="009A5C16">
        <w:rPr>
          <w:lang w:val="fr-FR"/>
        </w:rPr>
        <w:t>a</w:t>
      </w:r>
      <w:r>
        <w:rPr>
          <w:lang w:val="fr-FR"/>
        </w:rPr>
        <w:t xml:space="preserve"> </w:t>
      </w:r>
      <w:r w:rsidRPr="009A5C16">
        <w:rPr>
          <w:lang w:val="fr-FR"/>
        </w:rPr>
        <w:t>été</w:t>
      </w:r>
      <w:r>
        <w:rPr>
          <w:lang w:val="fr-FR"/>
        </w:rPr>
        <w:t xml:space="preserve"> </w:t>
      </w:r>
      <w:r w:rsidRPr="009A5C16">
        <w:rPr>
          <w:lang w:val="fr-FR"/>
        </w:rPr>
        <w:t>violé</w:t>
      </w:r>
      <w:r>
        <w:rPr>
          <w:lang w:val="fr-FR"/>
        </w:rPr>
        <w:t xml:space="preserve"> </w:t>
      </w:r>
      <w:r w:rsidRPr="009A5C16">
        <w:rPr>
          <w:lang w:val="fr-FR"/>
        </w:rPr>
        <w:t>car</w:t>
      </w:r>
      <w:r>
        <w:rPr>
          <w:lang w:val="fr-FR"/>
        </w:rPr>
        <w:t xml:space="preserve"> il s’est vu imposer des </w:t>
      </w:r>
      <w:r w:rsidRPr="009A5C16">
        <w:rPr>
          <w:lang w:val="fr-FR"/>
        </w:rPr>
        <w:t>restrictions</w:t>
      </w:r>
      <w:r>
        <w:rPr>
          <w:lang w:val="fr-FR"/>
        </w:rPr>
        <w:t xml:space="preserve"> </w:t>
      </w:r>
      <w:r w:rsidRPr="009A5C16">
        <w:rPr>
          <w:lang w:val="fr-FR"/>
        </w:rPr>
        <w:t>qui</w:t>
      </w:r>
      <w:r>
        <w:rPr>
          <w:lang w:val="fr-FR"/>
        </w:rPr>
        <w:t xml:space="preserve"> </w:t>
      </w:r>
      <w:r w:rsidRPr="009A5C16">
        <w:rPr>
          <w:lang w:val="fr-FR"/>
        </w:rPr>
        <w:t>n</w:t>
      </w:r>
      <w:r>
        <w:rPr>
          <w:lang w:val="fr-FR"/>
        </w:rPr>
        <w:t>’</w:t>
      </w:r>
      <w:r w:rsidRPr="009A5C16">
        <w:rPr>
          <w:lang w:val="fr-FR"/>
        </w:rPr>
        <w:t>étaient</w:t>
      </w:r>
      <w:r>
        <w:rPr>
          <w:lang w:val="fr-FR"/>
        </w:rPr>
        <w:t xml:space="preserve"> </w:t>
      </w:r>
      <w:r w:rsidRPr="009A5C16">
        <w:rPr>
          <w:lang w:val="fr-FR"/>
        </w:rPr>
        <w:t>pas</w:t>
      </w:r>
      <w:r>
        <w:rPr>
          <w:lang w:val="fr-FR"/>
        </w:rPr>
        <w:t xml:space="preserve"> </w:t>
      </w:r>
      <w:r w:rsidRPr="009A5C16">
        <w:rPr>
          <w:lang w:val="fr-FR"/>
        </w:rPr>
        <w:t>nécessaires</w:t>
      </w:r>
      <w:r>
        <w:rPr>
          <w:lang w:val="fr-FR"/>
        </w:rPr>
        <w:t xml:space="preserve"> </w:t>
      </w:r>
      <w:r w:rsidRPr="009A5C16">
        <w:rPr>
          <w:lang w:val="fr-FR"/>
        </w:rPr>
        <w:t>au</w:t>
      </w:r>
      <w:r>
        <w:rPr>
          <w:lang w:val="fr-FR"/>
        </w:rPr>
        <w:t xml:space="preserve"> </w:t>
      </w:r>
      <w:r w:rsidRPr="009A5C16">
        <w:rPr>
          <w:lang w:val="fr-FR"/>
        </w:rPr>
        <w:t>regard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article</w:t>
      </w:r>
      <w:r>
        <w:rPr>
          <w:lang w:val="fr-FR"/>
        </w:rPr>
        <w:t xml:space="preserve"> </w:t>
      </w:r>
      <w:r w:rsidRPr="009A5C16">
        <w:rPr>
          <w:lang w:val="fr-FR"/>
        </w:rPr>
        <w:t>19</w:t>
      </w:r>
      <w:r>
        <w:rPr>
          <w:lang w:val="fr-FR"/>
        </w:rPr>
        <w:t xml:space="preserve"> (par. 3) </w:t>
      </w:r>
      <w:r w:rsidRPr="009A5C16">
        <w:rPr>
          <w:lang w:val="fr-FR"/>
        </w:rPr>
        <w:t>du</w:t>
      </w:r>
      <w:r>
        <w:rPr>
          <w:lang w:val="fr-FR"/>
        </w:rPr>
        <w:t xml:space="preserve"> </w:t>
      </w:r>
      <w:r w:rsidRPr="009A5C16">
        <w:rPr>
          <w:lang w:val="fr-FR"/>
        </w:rPr>
        <w:t>Pacte.</w:t>
      </w:r>
    </w:p>
    <w:p w:rsidR="000E5700" w:rsidRPr="009A5C16" w:rsidRDefault="000E5700" w:rsidP="000E5700">
      <w:pPr>
        <w:pStyle w:val="H23G"/>
        <w:rPr>
          <w:lang w:val="fr-FR"/>
        </w:rPr>
      </w:pPr>
      <w:r w:rsidRPr="009A5C16">
        <w:rPr>
          <w:lang w:val="fr-FR"/>
        </w:rPr>
        <w:tab/>
      </w:r>
      <w:r w:rsidRPr="009A5C16">
        <w:rPr>
          <w:lang w:val="fr-FR"/>
        </w:rPr>
        <w:tab/>
      </w:r>
      <w:r w:rsidRPr="009A5C16">
        <w:t>Observations</w:t>
      </w:r>
      <w:r>
        <w:t xml:space="preserve"> </w:t>
      </w:r>
      <w:r w:rsidRPr="009A5C16">
        <w:t>de</w:t>
      </w:r>
      <w:r>
        <w:t xml:space="preserve"> </w:t>
      </w:r>
      <w:r w:rsidRPr="009A5C16">
        <w:t>l</w:t>
      </w:r>
      <w:r>
        <w:t>’</w:t>
      </w:r>
      <w:r w:rsidRPr="009A5C16">
        <w:t>État</w:t>
      </w:r>
      <w:r>
        <w:t xml:space="preserve"> </w:t>
      </w:r>
      <w:r w:rsidRPr="009A5C16">
        <w:t>partie</w:t>
      </w:r>
      <w:r>
        <w:t xml:space="preserve"> </w:t>
      </w:r>
      <w:r w:rsidRPr="009A5C16">
        <w:t>sur</w:t>
      </w:r>
      <w:r>
        <w:t xml:space="preserve"> </w:t>
      </w:r>
      <w:r w:rsidRPr="009A5C16">
        <w:t>la</w:t>
      </w:r>
      <w:r>
        <w:t xml:space="preserve"> </w:t>
      </w:r>
      <w:r w:rsidRPr="009A5C16">
        <w:t>recevabilité</w:t>
      </w:r>
      <w:r>
        <w:t xml:space="preserve"> </w:t>
      </w:r>
      <w:r w:rsidRPr="009A5C16">
        <w:t>et</w:t>
      </w:r>
      <w:r>
        <w:t xml:space="preserve"> </w:t>
      </w:r>
      <w:r w:rsidRPr="009A5C16">
        <w:t>sur</w:t>
      </w:r>
      <w:r>
        <w:t xml:space="preserve"> </w:t>
      </w:r>
      <w:r w:rsidRPr="009A5C16">
        <w:t>le</w:t>
      </w:r>
      <w:r>
        <w:t xml:space="preserve"> </w:t>
      </w:r>
      <w:r w:rsidRPr="009A5C16">
        <w:t>fond</w:t>
      </w:r>
    </w:p>
    <w:p w:rsidR="000E5700" w:rsidRDefault="000E5700" w:rsidP="000E5700">
      <w:pPr>
        <w:pStyle w:val="SingleTxtG"/>
        <w:rPr>
          <w:lang w:val="fr-FR"/>
        </w:rPr>
      </w:pPr>
      <w:r w:rsidRPr="009A5C16">
        <w:rPr>
          <w:lang w:val="fr-FR"/>
        </w:rPr>
        <w:t>4.</w:t>
      </w:r>
      <w:r w:rsidRPr="009A5C16">
        <w:rPr>
          <w:lang w:val="fr-FR"/>
        </w:rPr>
        <w:tab/>
        <w:t>Dans</w:t>
      </w:r>
      <w:r>
        <w:rPr>
          <w:lang w:val="fr-FR"/>
        </w:rPr>
        <w:t xml:space="preserve"> </w:t>
      </w:r>
      <w:r w:rsidRPr="009A5C16">
        <w:rPr>
          <w:lang w:val="fr-FR"/>
        </w:rPr>
        <w:t>une</w:t>
      </w:r>
      <w:r>
        <w:rPr>
          <w:lang w:val="fr-FR"/>
        </w:rPr>
        <w:t xml:space="preserve"> </w:t>
      </w:r>
      <w:r w:rsidRPr="009A5C16">
        <w:rPr>
          <w:lang w:val="fr-FR"/>
        </w:rPr>
        <w:t>note</w:t>
      </w:r>
      <w:r>
        <w:rPr>
          <w:lang w:val="fr-FR"/>
        </w:rPr>
        <w:t xml:space="preserve"> </w:t>
      </w:r>
      <w:r w:rsidRPr="009A5C16">
        <w:rPr>
          <w:lang w:val="fr-FR"/>
        </w:rPr>
        <w:t>verbale</w:t>
      </w:r>
      <w:r>
        <w:rPr>
          <w:lang w:val="fr-FR"/>
        </w:rPr>
        <w:t xml:space="preserve"> </w:t>
      </w:r>
      <w:r w:rsidRPr="009A5C16">
        <w:rPr>
          <w:lang w:val="fr-FR"/>
        </w:rPr>
        <w:t>datée</w:t>
      </w:r>
      <w:r>
        <w:rPr>
          <w:lang w:val="fr-FR"/>
        </w:rPr>
        <w:t xml:space="preserve"> </w:t>
      </w:r>
      <w:r w:rsidRPr="009A5C16">
        <w:rPr>
          <w:lang w:val="fr-FR"/>
        </w:rPr>
        <w:t>du</w:t>
      </w:r>
      <w:r>
        <w:rPr>
          <w:lang w:val="fr-FR"/>
        </w:rPr>
        <w:t xml:space="preserve"> </w:t>
      </w:r>
      <w:r w:rsidRPr="009A5C16">
        <w:rPr>
          <w:lang w:val="fr-FR"/>
        </w:rPr>
        <w:t>15</w:t>
      </w:r>
      <w:r w:rsidR="00AB6B32">
        <w:rPr>
          <w:lang w:val="fr-FR"/>
        </w:rPr>
        <w:t> </w:t>
      </w:r>
      <w:r w:rsidRPr="009A5C16">
        <w:rPr>
          <w:lang w:val="fr-FR"/>
        </w:rPr>
        <w:t>avril</w:t>
      </w:r>
      <w:r>
        <w:rPr>
          <w:lang w:val="fr-FR"/>
        </w:rPr>
        <w:t xml:space="preserve"> </w:t>
      </w:r>
      <w:r w:rsidRPr="009A5C16">
        <w:rPr>
          <w:lang w:val="fr-FR"/>
        </w:rPr>
        <w:t>2015,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État</w:t>
      </w:r>
      <w:r>
        <w:rPr>
          <w:lang w:val="fr-FR"/>
        </w:rPr>
        <w:t xml:space="preserve"> </w:t>
      </w:r>
      <w:r w:rsidRPr="009A5C16">
        <w:rPr>
          <w:lang w:val="fr-FR"/>
        </w:rPr>
        <w:t>partie</w:t>
      </w:r>
      <w:r>
        <w:rPr>
          <w:lang w:val="fr-FR"/>
        </w:rPr>
        <w:t xml:space="preserve"> </w:t>
      </w:r>
      <w:r w:rsidRPr="009A5C16">
        <w:rPr>
          <w:lang w:val="fr-FR"/>
        </w:rPr>
        <w:t>fait</w:t>
      </w:r>
      <w:r>
        <w:rPr>
          <w:lang w:val="fr-FR"/>
        </w:rPr>
        <w:t xml:space="preserve"> </w:t>
      </w:r>
      <w:r w:rsidRPr="009A5C16">
        <w:rPr>
          <w:lang w:val="fr-FR"/>
        </w:rPr>
        <w:t>part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ses</w:t>
      </w:r>
      <w:r>
        <w:rPr>
          <w:lang w:val="fr-FR"/>
        </w:rPr>
        <w:t xml:space="preserve"> </w:t>
      </w:r>
      <w:r w:rsidRPr="009A5C16">
        <w:rPr>
          <w:lang w:val="fr-FR"/>
        </w:rPr>
        <w:t>observations</w:t>
      </w:r>
      <w:r>
        <w:rPr>
          <w:lang w:val="fr-FR"/>
        </w:rPr>
        <w:t xml:space="preserve"> et soutient </w:t>
      </w:r>
      <w:r w:rsidRPr="009A5C16">
        <w:rPr>
          <w:lang w:val="fr-FR"/>
        </w:rPr>
        <w:t>que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auteur</w:t>
      </w:r>
      <w:r>
        <w:rPr>
          <w:lang w:val="fr-FR"/>
        </w:rPr>
        <w:t xml:space="preserve"> </w:t>
      </w:r>
      <w:r w:rsidRPr="009A5C16">
        <w:rPr>
          <w:lang w:val="fr-FR"/>
        </w:rPr>
        <w:t>n</w:t>
      </w:r>
      <w:r>
        <w:rPr>
          <w:lang w:val="fr-FR"/>
        </w:rPr>
        <w:t>’</w:t>
      </w:r>
      <w:r w:rsidRPr="009A5C16">
        <w:rPr>
          <w:lang w:val="fr-FR"/>
        </w:rPr>
        <w:t>a</w:t>
      </w:r>
      <w:r>
        <w:rPr>
          <w:lang w:val="fr-FR"/>
        </w:rPr>
        <w:t xml:space="preserve"> </w:t>
      </w:r>
      <w:r w:rsidRPr="009A5C16">
        <w:rPr>
          <w:lang w:val="fr-FR"/>
        </w:rPr>
        <w:t>pas</w:t>
      </w:r>
      <w:r>
        <w:rPr>
          <w:lang w:val="fr-FR"/>
        </w:rPr>
        <w:t xml:space="preserve"> </w:t>
      </w:r>
      <w:r w:rsidRPr="009A5C16">
        <w:rPr>
          <w:lang w:val="fr-FR"/>
        </w:rPr>
        <w:t>épuisé</w:t>
      </w:r>
      <w:r>
        <w:rPr>
          <w:lang w:val="fr-FR"/>
        </w:rPr>
        <w:t xml:space="preserve"> </w:t>
      </w:r>
      <w:r w:rsidRPr="009A5C16">
        <w:rPr>
          <w:lang w:val="fr-FR"/>
        </w:rPr>
        <w:t>les</w:t>
      </w:r>
      <w:r>
        <w:rPr>
          <w:lang w:val="fr-FR"/>
        </w:rPr>
        <w:t xml:space="preserve"> </w:t>
      </w:r>
      <w:r w:rsidRPr="009A5C16">
        <w:rPr>
          <w:lang w:val="fr-FR"/>
        </w:rPr>
        <w:t>recours</w:t>
      </w:r>
      <w:r>
        <w:rPr>
          <w:lang w:val="fr-FR"/>
        </w:rPr>
        <w:t xml:space="preserve"> </w:t>
      </w:r>
      <w:r w:rsidRPr="009A5C16">
        <w:rPr>
          <w:lang w:val="fr-FR"/>
        </w:rPr>
        <w:t>internes</w:t>
      </w:r>
      <w:r>
        <w:rPr>
          <w:lang w:val="fr-FR"/>
        </w:rPr>
        <w:t xml:space="preserve"> </w:t>
      </w:r>
      <w:r w:rsidRPr="009A5C16">
        <w:rPr>
          <w:lang w:val="fr-FR"/>
        </w:rPr>
        <w:t>comme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exige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article</w:t>
      </w:r>
      <w:r>
        <w:rPr>
          <w:lang w:val="fr-FR"/>
        </w:rPr>
        <w:t xml:space="preserve"> </w:t>
      </w:r>
      <w:r w:rsidRPr="009A5C16">
        <w:rPr>
          <w:lang w:val="fr-FR"/>
        </w:rPr>
        <w:t>2</w:t>
      </w:r>
      <w:r>
        <w:rPr>
          <w:lang w:val="fr-FR"/>
        </w:rPr>
        <w:t xml:space="preserve"> </w:t>
      </w:r>
      <w:r w:rsidRPr="009A5C16">
        <w:rPr>
          <w:lang w:val="fr-FR"/>
        </w:rPr>
        <w:t>du</w:t>
      </w:r>
      <w:r>
        <w:rPr>
          <w:lang w:val="fr-FR"/>
        </w:rPr>
        <w:t xml:space="preserve"> </w:t>
      </w:r>
      <w:r w:rsidRPr="009A5C16">
        <w:rPr>
          <w:lang w:val="fr-FR"/>
        </w:rPr>
        <w:t>Protocole</w:t>
      </w:r>
      <w:r>
        <w:rPr>
          <w:lang w:val="fr-FR"/>
        </w:rPr>
        <w:t xml:space="preserve"> </w:t>
      </w:r>
      <w:r w:rsidRPr="009A5C16">
        <w:rPr>
          <w:lang w:val="fr-FR"/>
        </w:rPr>
        <w:t>facultatif.</w:t>
      </w:r>
      <w:r>
        <w:rPr>
          <w:lang w:val="fr-FR"/>
        </w:rPr>
        <w:t xml:space="preserve"> </w:t>
      </w:r>
      <w:r w:rsidRPr="009A5C16">
        <w:rPr>
          <w:lang w:val="fr-FR"/>
        </w:rPr>
        <w:t>Selon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État</w:t>
      </w:r>
      <w:r>
        <w:rPr>
          <w:lang w:val="fr-FR"/>
        </w:rPr>
        <w:t xml:space="preserve"> </w:t>
      </w:r>
      <w:r w:rsidRPr="009A5C16">
        <w:rPr>
          <w:lang w:val="fr-FR"/>
        </w:rPr>
        <w:t>partie,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enregistrement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la</w:t>
      </w:r>
      <w:r>
        <w:rPr>
          <w:lang w:val="fr-FR"/>
        </w:rPr>
        <w:t xml:space="preserve"> </w:t>
      </w:r>
      <w:r w:rsidRPr="009A5C16">
        <w:rPr>
          <w:lang w:val="fr-FR"/>
        </w:rPr>
        <w:t>communication</w:t>
      </w:r>
      <w:r>
        <w:rPr>
          <w:lang w:val="fr-FR"/>
        </w:rPr>
        <w:t xml:space="preserve"> </w:t>
      </w:r>
      <w:r w:rsidRPr="009A5C16">
        <w:rPr>
          <w:lang w:val="fr-FR"/>
        </w:rPr>
        <w:t>au</w:t>
      </w:r>
      <w:r>
        <w:rPr>
          <w:lang w:val="fr-FR"/>
        </w:rPr>
        <w:t xml:space="preserve"> </w:t>
      </w:r>
      <w:r w:rsidRPr="009A5C16">
        <w:rPr>
          <w:lang w:val="fr-FR"/>
        </w:rPr>
        <w:t>mépris</w:t>
      </w:r>
      <w:r>
        <w:rPr>
          <w:lang w:val="fr-FR"/>
        </w:rPr>
        <w:t xml:space="preserve"> </w:t>
      </w:r>
      <w:r w:rsidRPr="009A5C16">
        <w:rPr>
          <w:lang w:val="fr-FR"/>
        </w:rPr>
        <w:t>des</w:t>
      </w:r>
      <w:r>
        <w:rPr>
          <w:lang w:val="fr-FR"/>
        </w:rPr>
        <w:t xml:space="preserve"> </w:t>
      </w:r>
      <w:r w:rsidRPr="009A5C16">
        <w:rPr>
          <w:lang w:val="fr-FR"/>
        </w:rPr>
        <w:t>dispositions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article</w:t>
      </w:r>
      <w:r>
        <w:rPr>
          <w:lang w:val="fr-FR"/>
        </w:rPr>
        <w:t xml:space="preserve"> </w:t>
      </w:r>
      <w:r w:rsidRPr="009A5C16">
        <w:rPr>
          <w:lang w:val="fr-FR"/>
        </w:rPr>
        <w:t>2</w:t>
      </w:r>
      <w:r>
        <w:rPr>
          <w:lang w:val="fr-FR"/>
        </w:rPr>
        <w:t xml:space="preserve"> </w:t>
      </w:r>
      <w:r w:rsidRPr="009A5C16">
        <w:rPr>
          <w:lang w:val="fr-FR"/>
        </w:rPr>
        <w:t>du</w:t>
      </w:r>
      <w:r>
        <w:rPr>
          <w:lang w:val="fr-FR"/>
        </w:rPr>
        <w:t xml:space="preserve"> </w:t>
      </w:r>
      <w:r w:rsidRPr="009A5C16">
        <w:rPr>
          <w:lang w:val="fr-FR"/>
        </w:rPr>
        <w:t>Protocole</w:t>
      </w:r>
      <w:r>
        <w:rPr>
          <w:lang w:val="fr-FR"/>
        </w:rPr>
        <w:t xml:space="preserve"> </w:t>
      </w:r>
      <w:r w:rsidRPr="009A5C16">
        <w:rPr>
          <w:lang w:val="fr-FR"/>
        </w:rPr>
        <w:t>facultatif</w:t>
      </w:r>
      <w:r>
        <w:rPr>
          <w:lang w:val="fr-FR"/>
        </w:rPr>
        <w:t xml:space="preserve"> </w:t>
      </w:r>
      <w:r w:rsidRPr="009A5C16">
        <w:rPr>
          <w:lang w:val="fr-FR"/>
        </w:rPr>
        <w:t>constitue</w:t>
      </w:r>
      <w:r>
        <w:rPr>
          <w:lang w:val="fr-FR"/>
        </w:rPr>
        <w:t xml:space="preserve"> </w:t>
      </w:r>
      <w:r w:rsidRPr="009A5C16">
        <w:rPr>
          <w:lang w:val="fr-FR"/>
        </w:rPr>
        <w:t>une</w:t>
      </w:r>
      <w:r>
        <w:rPr>
          <w:lang w:val="fr-FR"/>
        </w:rPr>
        <w:t xml:space="preserve"> </w:t>
      </w:r>
      <w:r w:rsidRPr="009A5C16">
        <w:rPr>
          <w:lang w:val="fr-FR"/>
        </w:rPr>
        <w:t>violation</w:t>
      </w:r>
      <w:r>
        <w:rPr>
          <w:lang w:val="fr-FR"/>
        </w:rPr>
        <w:t xml:space="preserve"> </w:t>
      </w:r>
      <w:r w:rsidRPr="009A5C16">
        <w:rPr>
          <w:lang w:val="fr-FR"/>
        </w:rPr>
        <w:t>par</w:t>
      </w:r>
      <w:r>
        <w:rPr>
          <w:lang w:val="fr-FR"/>
        </w:rPr>
        <w:t xml:space="preserve"> </w:t>
      </w:r>
      <w:r w:rsidRPr="009A5C16">
        <w:rPr>
          <w:lang w:val="fr-FR"/>
        </w:rPr>
        <w:t>le</w:t>
      </w:r>
      <w:r>
        <w:rPr>
          <w:lang w:val="fr-FR"/>
        </w:rPr>
        <w:t xml:space="preserve"> </w:t>
      </w:r>
      <w:r w:rsidRPr="009A5C16">
        <w:rPr>
          <w:lang w:val="fr-FR"/>
        </w:rPr>
        <w:t>Comité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article</w:t>
      </w:r>
      <w:r>
        <w:rPr>
          <w:lang w:val="fr-FR"/>
        </w:rPr>
        <w:t xml:space="preserve"> </w:t>
      </w:r>
      <w:r w:rsidRPr="009A5C16">
        <w:rPr>
          <w:lang w:val="fr-FR"/>
        </w:rPr>
        <w:t>5</w:t>
      </w:r>
      <w:r>
        <w:rPr>
          <w:lang w:val="fr-FR"/>
        </w:rPr>
        <w:t xml:space="preserve"> dudit </w:t>
      </w:r>
      <w:r w:rsidR="00C363EC" w:rsidRPr="009A5C16">
        <w:rPr>
          <w:lang w:val="fr-FR"/>
        </w:rPr>
        <w:t>Protocole</w:t>
      </w:r>
      <w:r w:rsidRPr="009A5C16">
        <w:rPr>
          <w:lang w:val="fr-FR"/>
        </w:rPr>
        <w:t>.</w:t>
      </w:r>
      <w:r>
        <w:rPr>
          <w:lang w:val="fr-FR"/>
        </w:rPr>
        <w:t xml:space="preserve"> Étant d’avis </w:t>
      </w:r>
      <w:r w:rsidRPr="009A5C16">
        <w:rPr>
          <w:lang w:val="fr-FR"/>
        </w:rPr>
        <w:t>que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auteur</w:t>
      </w:r>
      <w:r>
        <w:rPr>
          <w:lang w:val="fr-FR"/>
        </w:rPr>
        <w:t xml:space="preserve"> </w:t>
      </w:r>
      <w:r w:rsidRPr="009A5C16">
        <w:rPr>
          <w:lang w:val="fr-FR"/>
        </w:rPr>
        <w:t>et</w:t>
      </w:r>
      <w:r>
        <w:rPr>
          <w:lang w:val="fr-FR"/>
        </w:rPr>
        <w:t xml:space="preserve"> </w:t>
      </w:r>
      <w:r w:rsidRPr="009A5C16">
        <w:rPr>
          <w:lang w:val="fr-FR"/>
        </w:rPr>
        <w:t>le</w:t>
      </w:r>
      <w:r>
        <w:rPr>
          <w:lang w:val="fr-FR"/>
        </w:rPr>
        <w:t xml:space="preserve"> </w:t>
      </w:r>
      <w:r w:rsidRPr="009A5C16">
        <w:rPr>
          <w:lang w:val="fr-FR"/>
        </w:rPr>
        <w:t>Comité</w:t>
      </w:r>
      <w:r>
        <w:rPr>
          <w:lang w:val="fr-FR"/>
        </w:rPr>
        <w:t xml:space="preserve"> </w:t>
      </w:r>
      <w:r w:rsidRPr="009A5C16">
        <w:rPr>
          <w:lang w:val="fr-FR"/>
        </w:rPr>
        <w:t>n</w:t>
      </w:r>
      <w:r>
        <w:rPr>
          <w:lang w:val="fr-FR"/>
        </w:rPr>
        <w:t>’</w:t>
      </w:r>
      <w:r w:rsidRPr="009A5C16">
        <w:rPr>
          <w:lang w:val="fr-FR"/>
        </w:rPr>
        <w:t>ont</w:t>
      </w:r>
      <w:r>
        <w:rPr>
          <w:lang w:val="fr-FR"/>
        </w:rPr>
        <w:t xml:space="preserve"> </w:t>
      </w:r>
      <w:r w:rsidRPr="009A5C16">
        <w:rPr>
          <w:lang w:val="fr-FR"/>
        </w:rPr>
        <w:t>pas</w:t>
      </w:r>
      <w:r>
        <w:rPr>
          <w:lang w:val="fr-FR"/>
        </w:rPr>
        <w:t xml:space="preserve"> </w:t>
      </w:r>
      <w:r w:rsidRPr="009A5C16">
        <w:rPr>
          <w:lang w:val="fr-FR"/>
        </w:rPr>
        <w:t>respecté</w:t>
      </w:r>
      <w:r>
        <w:rPr>
          <w:lang w:val="fr-FR"/>
        </w:rPr>
        <w:t xml:space="preserve"> </w:t>
      </w:r>
      <w:r w:rsidRPr="009A5C16">
        <w:rPr>
          <w:lang w:val="fr-FR"/>
        </w:rPr>
        <w:t>les</w:t>
      </w:r>
      <w:r>
        <w:rPr>
          <w:lang w:val="fr-FR"/>
        </w:rPr>
        <w:t xml:space="preserve"> </w:t>
      </w:r>
      <w:r w:rsidRPr="009A5C16">
        <w:rPr>
          <w:lang w:val="fr-FR"/>
        </w:rPr>
        <w:t>règles</w:t>
      </w:r>
      <w:r>
        <w:rPr>
          <w:lang w:val="fr-FR"/>
        </w:rPr>
        <w:t xml:space="preserve"> </w:t>
      </w:r>
      <w:r w:rsidRPr="009A5C16">
        <w:rPr>
          <w:lang w:val="fr-FR"/>
        </w:rPr>
        <w:t>procédurales</w:t>
      </w:r>
      <w:r>
        <w:rPr>
          <w:lang w:val="fr-FR"/>
        </w:rPr>
        <w:t xml:space="preserve"> </w:t>
      </w:r>
      <w:r w:rsidRPr="009A5C16">
        <w:rPr>
          <w:lang w:val="fr-FR"/>
        </w:rPr>
        <w:t>établies</w:t>
      </w:r>
      <w:r>
        <w:rPr>
          <w:lang w:val="fr-FR"/>
        </w:rPr>
        <w:t xml:space="preserve"> </w:t>
      </w:r>
      <w:r w:rsidRPr="009A5C16">
        <w:rPr>
          <w:lang w:val="fr-FR"/>
        </w:rPr>
        <w:t>dans</w:t>
      </w:r>
      <w:r>
        <w:rPr>
          <w:lang w:val="fr-FR"/>
        </w:rPr>
        <w:t xml:space="preserve"> </w:t>
      </w:r>
      <w:r w:rsidRPr="009A5C16">
        <w:rPr>
          <w:lang w:val="fr-FR"/>
        </w:rPr>
        <w:t>le</w:t>
      </w:r>
      <w:r>
        <w:rPr>
          <w:lang w:val="fr-FR"/>
        </w:rPr>
        <w:t xml:space="preserve"> </w:t>
      </w:r>
      <w:r w:rsidRPr="009A5C16">
        <w:rPr>
          <w:lang w:val="fr-FR"/>
        </w:rPr>
        <w:t>Pacte</w:t>
      </w:r>
      <w:r>
        <w:rPr>
          <w:lang w:val="fr-FR"/>
        </w:rPr>
        <w:t xml:space="preserve"> </w:t>
      </w:r>
      <w:r w:rsidRPr="009A5C16">
        <w:rPr>
          <w:lang w:val="fr-FR"/>
        </w:rPr>
        <w:t>et</w:t>
      </w:r>
      <w:r>
        <w:rPr>
          <w:lang w:val="fr-FR"/>
        </w:rPr>
        <w:t xml:space="preserve"> </w:t>
      </w:r>
      <w:r w:rsidRPr="009A5C16">
        <w:rPr>
          <w:lang w:val="fr-FR"/>
        </w:rPr>
        <w:t>le</w:t>
      </w:r>
      <w:r>
        <w:rPr>
          <w:lang w:val="fr-FR"/>
        </w:rPr>
        <w:t xml:space="preserve"> </w:t>
      </w:r>
      <w:r w:rsidRPr="009A5C16">
        <w:rPr>
          <w:lang w:val="fr-FR"/>
        </w:rPr>
        <w:t>Protocole</w:t>
      </w:r>
      <w:r>
        <w:rPr>
          <w:lang w:val="fr-FR"/>
        </w:rPr>
        <w:t xml:space="preserve"> </w:t>
      </w:r>
      <w:r w:rsidRPr="009A5C16">
        <w:rPr>
          <w:lang w:val="fr-FR"/>
        </w:rPr>
        <w:t>facultatif</w:t>
      </w:r>
      <w:r>
        <w:rPr>
          <w:lang w:val="fr-FR"/>
        </w:rPr>
        <w:t xml:space="preserve"> </w:t>
      </w:r>
      <w:r w:rsidRPr="009A5C16">
        <w:rPr>
          <w:lang w:val="fr-FR"/>
        </w:rPr>
        <w:t>s</w:t>
      </w:r>
      <w:r>
        <w:rPr>
          <w:lang w:val="fr-FR"/>
        </w:rPr>
        <w:t>’</w:t>
      </w:r>
      <w:r w:rsidRPr="009A5C16">
        <w:rPr>
          <w:lang w:val="fr-FR"/>
        </w:rPr>
        <w:t>y</w:t>
      </w:r>
      <w:r>
        <w:rPr>
          <w:lang w:val="fr-FR"/>
        </w:rPr>
        <w:t xml:space="preserve"> </w:t>
      </w:r>
      <w:r w:rsidRPr="009A5C16">
        <w:rPr>
          <w:lang w:val="fr-FR"/>
        </w:rPr>
        <w:t>rapportant,</w:t>
      </w:r>
      <w:r>
        <w:rPr>
          <w:lang w:val="fr-FR"/>
        </w:rPr>
        <w:t xml:space="preserve"> l’État partie </w:t>
      </w:r>
      <w:r w:rsidRPr="009A5C16">
        <w:rPr>
          <w:lang w:val="fr-FR"/>
        </w:rPr>
        <w:t>décide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cesser</w:t>
      </w:r>
      <w:r>
        <w:rPr>
          <w:lang w:val="fr-FR"/>
        </w:rPr>
        <w:t xml:space="preserve"> </w:t>
      </w:r>
      <w:r w:rsidRPr="009A5C16">
        <w:rPr>
          <w:lang w:val="fr-FR"/>
        </w:rPr>
        <w:t>toute</w:t>
      </w:r>
      <w:r>
        <w:rPr>
          <w:lang w:val="fr-FR"/>
        </w:rPr>
        <w:t xml:space="preserve"> </w:t>
      </w:r>
      <w:r w:rsidRPr="009A5C16">
        <w:rPr>
          <w:lang w:val="fr-FR"/>
        </w:rPr>
        <w:t>correspondance</w:t>
      </w:r>
      <w:r>
        <w:rPr>
          <w:lang w:val="fr-FR"/>
        </w:rPr>
        <w:t xml:space="preserve"> </w:t>
      </w:r>
      <w:r w:rsidRPr="009A5C16">
        <w:rPr>
          <w:lang w:val="fr-FR"/>
        </w:rPr>
        <w:t>concernant</w:t>
      </w:r>
      <w:r>
        <w:rPr>
          <w:lang w:val="fr-FR"/>
        </w:rPr>
        <w:t xml:space="preserve"> </w:t>
      </w:r>
      <w:r w:rsidRPr="009A5C16">
        <w:rPr>
          <w:lang w:val="fr-FR"/>
        </w:rPr>
        <w:t>la</w:t>
      </w:r>
      <w:r>
        <w:rPr>
          <w:lang w:val="fr-FR"/>
        </w:rPr>
        <w:t xml:space="preserve"> </w:t>
      </w:r>
      <w:r w:rsidRPr="009A5C16">
        <w:rPr>
          <w:lang w:val="fr-FR"/>
        </w:rPr>
        <w:t>e</w:t>
      </w:r>
      <w:r>
        <w:rPr>
          <w:lang w:val="fr-FR"/>
        </w:rPr>
        <w:t xml:space="preserve"> </w:t>
      </w:r>
      <w:r w:rsidRPr="009A5C16">
        <w:rPr>
          <w:lang w:val="fr-FR"/>
        </w:rPr>
        <w:t>communication.</w:t>
      </w:r>
    </w:p>
    <w:p w:rsidR="000E5700" w:rsidRPr="009A5C16" w:rsidRDefault="000E5700" w:rsidP="000E5700">
      <w:pPr>
        <w:pStyle w:val="H23G"/>
        <w:rPr>
          <w:lang w:val="fr-FR"/>
        </w:rPr>
      </w:pPr>
      <w:r w:rsidRPr="009A5C16">
        <w:rPr>
          <w:lang w:val="fr-FR"/>
        </w:rPr>
        <w:tab/>
      </w:r>
      <w:r w:rsidRPr="009A5C16">
        <w:rPr>
          <w:lang w:val="fr-FR"/>
        </w:rPr>
        <w:tab/>
        <w:t>Commentaires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auteur</w:t>
      </w:r>
      <w:r>
        <w:rPr>
          <w:lang w:val="fr-FR"/>
        </w:rPr>
        <w:t xml:space="preserve"> </w:t>
      </w:r>
      <w:r w:rsidRPr="009A5C16">
        <w:rPr>
          <w:lang w:val="fr-FR"/>
        </w:rPr>
        <w:t>sur</w:t>
      </w:r>
      <w:r>
        <w:rPr>
          <w:lang w:val="fr-FR"/>
        </w:rPr>
        <w:t xml:space="preserve"> </w:t>
      </w:r>
      <w:r w:rsidRPr="009A5C16">
        <w:rPr>
          <w:lang w:val="fr-FR"/>
        </w:rPr>
        <w:t>les</w:t>
      </w:r>
      <w:r>
        <w:rPr>
          <w:lang w:val="fr-FR"/>
        </w:rPr>
        <w:t xml:space="preserve"> </w:t>
      </w:r>
      <w:r w:rsidRPr="009A5C16">
        <w:rPr>
          <w:lang w:val="fr-FR"/>
        </w:rPr>
        <w:t>observations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État</w:t>
      </w:r>
      <w:r>
        <w:rPr>
          <w:lang w:val="fr-FR"/>
        </w:rPr>
        <w:t xml:space="preserve"> </w:t>
      </w:r>
      <w:r w:rsidRPr="009A5C16">
        <w:rPr>
          <w:lang w:val="fr-FR"/>
        </w:rPr>
        <w:t>partie</w:t>
      </w:r>
    </w:p>
    <w:p w:rsidR="000E5700" w:rsidRPr="009A5C16" w:rsidRDefault="000E5700" w:rsidP="000E5700">
      <w:pPr>
        <w:pStyle w:val="SingleTxtG"/>
        <w:rPr>
          <w:lang w:val="fr-FR"/>
        </w:rPr>
      </w:pPr>
      <w:r w:rsidRPr="009A5C16">
        <w:rPr>
          <w:lang w:val="fr-FR"/>
        </w:rPr>
        <w:t>5.</w:t>
      </w:r>
      <w:r w:rsidRPr="009A5C16">
        <w:rPr>
          <w:lang w:val="fr-FR"/>
        </w:rPr>
        <w:tab/>
        <w:t>Le</w:t>
      </w:r>
      <w:r>
        <w:rPr>
          <w:lang w:val="fr-FR"/>
        </w:rPr>
        <w:t xml:space="preserve"> </w:t>
      </w:r>
      <w:r w:rsidRPr="009A5C16">
        <w:rPr>
          <w:lang w:val="fr-FR"/>
        </w:rPr>
        <w:t>19</w:t>
      </w:r>
      <w:r w:rsidR="00AB6B32">
        <w:rPr>
          <w:lang w:val="fr-FR"/>
        </w:rPr>
        <w:t> </w:t>
      </w:r>
      <w:r w:rsidRPr="009A5C16">
        <w:rPr>
          <w:lang w:val="fr-FR"/>
        </w:rPr>
        <w:t>mai</w:t>
      </w:r>
      <w:r>
        <w:rPr>
          <w:lang w:val="fr-FR"/>
        </w:rPr>
        <w:t xml:space="preserve"> </w:t>
      </w:r>
      <w:r w:rsidRPr="009A5C16">
        <w:rPr>
          <w:lang w:val="fr-FR"/>
        </w:rPr>
        <w:t>2015,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auteur</w:t>
      </w:r>
      <w:r>
        <w:rPr>
          <w:lang w:val="fr-FR"/>
        </w:rPr>
        <w:t xml:space="preserve"> </w:t>
      </w:r>
      <w:r w:rsidRPr="009A5C16">
        <w:rPr>
          <w:lang w:val="fr-FR"/>
        </w:rPr>
        <w:t>a</w:t>
      </w:r>
      <w:r>
        <w:rPr>
          <w:lang w:val="fr-FR"/>
        </w:rPr>
        <w:t xml:space="preserve"> </w:t>
      </w:r>
      <w:r w:rsidRPr="009A5C16">
        <w:rPr>
          <w:lang w:val="fr-FR"/>
        </w:rPr>
        <w:t>soumis</w:t>
      </w:r>
      <w:r>
        <w:rPr>
          <w:lang w:val="fr-FR"/>
        </w:rPr>
        <w:t xml:space="preserve"> </w:t>
      </w:r>
      <w:r w:rsidRPr="009A5C16">
        <w:rPr>
          <w:lang w:val="fr-FR"/>
        </w:rPr>
        <w:t>des</w:t>
      </w:r>
      <w:r>
        <w:rPr>
          <w:lang w:val="fr-FR"/>
        </w:rPr>
        <w:t xml:space="preserve"> </w:t>
      </w:r>
      <w:r w:rsidRPr="009A5C16">
        <w:rPr>
          <w:lang w:val="fr-FR"/>
        </w:rPr>
        <w:t>commentaires</w:t>
      </w:r>
      <w:r>
        <w:rPr>
          <w:lang w:val="fr-FR"/>
        </w:rPr>
        <w:t xml:space="preserve"> </w:t>
      </w:r>
      <w:r w:rsidRPr="009A5C16">
        <w:rPr>
          <w:lang w:val="fr-FR"/>
        </w:rPr>
        <w:t>sur</w:t>
      </w:r>
      <w:r>
        <w:rPr>
          <w:lang w:val="fr-FR"/>
        </w:rPr>
        <w:t xml:space="preserve"> </w:t>
      </w:r>
      <w:r w:rsidRPr="009A5C16">
        <w:rPr>
          <w:lang w:val="fr-FR"/>
        </w:rPr>
        <w:t>les</w:t>
      </w:r>
      <w:r>
        <w:rPr>
          <w:lang w:val="fr-FR"/>
        </w:rPr>
        <w:t xml:space="preserve"> </w:t>
      </w:r>
      <w:r w:rsidRPr="009A5C16">
        <w:rPr>
          <w:lang w:val="fr-FR"/>
        </w:rPr>
        <w:t>observations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État</w:t>
      </w:r>
      <w:r>
        <w:rPr>
          <w:lang w:val="fr-FR"/>
        </w:rPr>
        <w:t xml:space="preserve"> </w:t>
      </w:r>
      <w:r w:rsidRPr="009A5C16">
        <w:rPr>
          <w:lang w:val="fr-FR"/>
        </w:rPr>
        <w:t>partie.</w:t>
      </w:r>
      <w:r>
        <w:rPr>
          <w:lang w:val="fr-FR"/>
        </w:rPr>
        <w:t xml:space="preserve"> </w:t>
      </w:r>
      <w:r w:rsidRPr="009A5C16">
        <w:rPr>
          <w:lang w:val="fr-FR"/>
        </w:rPr>
        <w:t>Il</w:t>
      </w:r>
      <w:r>
        <w:rPr>
          <w:lang w:val="fr-FR"/>
        </w:rPr>
        <w:t xml:space="preserve"> </w:t>
      </w:r>
      <w:r w:rsidRPr="009A5C16">
        <w:rPr>
          <w:lang w:val="fr-FR"/>
        </w:rPr>
        <w:t>soutient</w:t>
      </w:r>
      <w:r>
        <w:rPr>
          <w:lang w:val="fr-FR"/>
        </w:rPr>
        <w:t xml:space="preserve"> </w:t>
      </w:r>
      <w:r w:rsidRPr="009A5C16">
        <w:rPr>
          <w:lang w:val="fr-FR"/>
        </w:rPr>
        <w:t>qu</w:t>
      </w:r>
      <w:r>
        <w:rPr>
          <w:lang w:val="fr-FR"/>
        </w:rPr>
        <w:t>’</w:t>
      </w:r>
      <w:r w:rsidRPr="009A5C16">
        <w:rPr>
          <w:lang w:val="fr-FR"/>
        </w:rPr>
        <w:t>il</w:t>
      </w:r>
      <w:r>
        <w:rPr>
          <w:lang w:val="fr-FR"/>
        </w:rPr>
        <w:t xml:space="preserve"> </w:t>
      </w:r>
      <w:r w:rsidRPr="009A5C16">
        <w:rPr>
          <w:lang w:val="fr-FR"/>
        </w:rPr>
        <w:t>a</w:t>
      </w:r>
      <w:r>
        <w:rPr>
          <w:lang w:val="fr-FR"/>
        </w:rPr>
        <w:t xml:space="preserve"> </w:t>
      </w:r>
      <w:r w:rsidRPr="009A5C16">
        <w:rPr>
          <w:lang w:val="fr-FR"/>
        </w:rPr>
        <w:t>épuisé</w:t>
      </w:r>
      <w:r>
        <w:rPr>
          <w:lang w:val="fr-FR"/>
        </w:rPr>
        <w:t xml:space="preserve"> </w:t>
      </w:r>
      <w:r w:rsidRPr="009A5C16">
        <w:rPr>
          <w:lang w:val="fr-FR"/>
        </w:rPr>
        <w:t>tous</w:t>
      </w:r>
      <w:r>
        <w:rPr>
          <w:lang w:val="fr-FR"/>
        </w:rPr>
        <w:t xml:space="preserve"> </w:t>
      </w:r>
      <w:r w:rsidRPr="009A5C16">
        <w:rPr>
          <w:lang w:val="fr-FR"/>
        </w:rPr>
        <w:t>les</w:t>
      </w:r>
      <w:r>
        <w:rPr>
          <w:lang w:val="fr-FR"/>
        </w:rPr>
        <w:t xml:space="preserve"> </w:t>
      </w:r>
      <w:r w:rsidRPr="009A5C16">
        <w:rPr>
          <w:lang w:val="fr-FR"/>
        </w:rPr>
        <w:t>recours</w:t>
      </w:r>
      <w:r>
        <w:rPr>
          <w:lang w:val="fr-FR"/>
        </w:rPr>
        <w:t xml:space="preserve"> </w:t>
      </w:r>
      <w:r w:rsidRPr="009A5C16">
        <w:rPr>
          <w:lang w:val="fr-FR"/>
        </w:rPr>
        <w:t>internes</w:t>
      </w:r>
      <w:r>
        <w:rPr>
          <w:lang w:val="fr-FR"/>
        </w:rPr>
        <w:t xml:space="preserve"> étant donné q</w:t>
      </w:r>
      <w:r w:rsidRPr="009A5C16">
        <w:rPr>
          <w:lang w:val="fr-FR"/>
        </w:rPr>
        <w:t>u</w:t>
      </w:r>
      <w:r>
        <w:rPr>
          <w:lang w:val="fr-FR"/>
        </w:rPr>
        <w:t>’</w:t>
      </w:r>
      <w:r w:rsidRPr="009A5C16">
        <w:rPr>
          <w:lang w:val="fr-FR"/>
        </w:rPr>
        <w:t>il</w:t>
      </w:r>
      <w:r>
        <w:rPr>
          <w:lang w:val="fr-FR"/>
        </w:rPr>
        <w:t xml:space="preserve"> </w:t>
      </w:r>
      <w:r w:rsidRPr="009A5C16">
        <w:rPr>
          <w:lang w:val="fr-FR"/>
        </w:rPr>
        <w:t>a</w:t>
      </w:r>
      <w:r>
        <w:rPr>
          <w:lang w:val="fr-FR"/>
        </w:rPr>
        <w:t xml:space="preserve"> </w:t>
      </w:r>
      <w:r w:rsidRPr="009A5C16">
        <w:rPr>
          <w:lang w:val="fr-FR"/>
        </w:rPr>
        <w:t>saisi</w:t>
      </w:r>
      <w:r>
        <w:rPr>
          <w:lang w:val="fr-FR"/>
        </w:rPr>
        <w:t xml:space="preserve"> </w:t>
      </w:r>
      <w:r w:rsidRPr="009A5C16">
        <w:rPr>
          <w:lang w:val="fr-FR"/>
        </w:rPr>
        <w:t>à</w:t>
      </w:r>
      <w:r>
        <w:rPr>
          <w:lang w:val="fr-FR"/>
        </w:rPr>
        <w:t xml:space="preserve"> </w:t>
      </w:r>
      <w:r w:rsidRPr="009A5C16">
        <w:rPr>
          <w:lang w:val="fr-FR"/>
        </w:rPr>
        <w:t>deux</w:t>
      </w:r>
      <w:r>
        <w:rPr>
          <w:lang w:val="fr-FR"/>
        </w:rPr>
        <w:t xml:space="preserve"> </w:t>
      </w:r>
      <w:r w:rsidRPr="009A5C16">
        <w:rPr>
          <w:lang w:val="fr-FR"/>
        </w:rPr>
        <w:t>reprises</w:t>
      </w:r>
      <w:r>
        <w:rPr>
          <w:lang w:val="fr-FR"/>
        </w:rPr>
        <w:t xml:space="preserve"> </w:t>
      </w:r>
      <w:r w:rsidRPr="009A5C16">
        <w:rPr>
          <w:lang w:val="fr-FR"/>
        </w:rPr>
        <w:t>les</w:t>
      </w:r>
      <w:r>
        <w:rPr>
          <w:lang w:val="fr-FR"/>
        </w:rPr>
        <w:t xml:space="preserve"> </w:t>
      </w:r>
      <w:r w:rsidRPr="009A5C16">
        <w:rPr>
          <w:lang w:val="fr-FR"/>
        </w:rPr>
        <w:t>tribunaux</w:t>
      </w:r>
      <w:r>
        <w:rPr>
          <w:lang w:val="fr-FR"/>
        </w:rPr>
        <w:t xml:space="preserve"> </w:t>
      </w:r>
      <w:r w:rsidRPr="009A5C16">
        <w:rPr>
          <w:lang w:val="fr-FR"/>
        </w:rPr>
        <w:t>d</w:t>
      </w:r>
      <w:r>
        <w:rPr>
          <w:lang w:val="fr-FR"/>
        </w:rPr>
        <w:t>’</w:t>
      </w:r>
      <w:r w:rsidRPr="009A5C16">
        <w:rPr>
          <w:lang w:val="fr-FR"/>
        </w:rPr>
        <w:t>une</w:t>
      </w:r>
      <w:r>
        <w:rPr>
          <w:lang w:val="fr-FR"/>
        </w:rPr>
        <w:t xml:space="preserve"> </w:t>
      </w:r>
      <w:r w:rsidRPr="009A5C16">
        <w:rPr>
          <w:lang w:val="fr-FR"/>
        </w:rPr>
        <w:t>demande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réexamen</w:t>
      </w:r>
      <w:r>
        <w:rPr>
          <w:lang w:val="fr-FR"/>
        </w:rPr>
        <w:t xml:space="preserve"> </w:t>
      </w:r>
      <w:r w:rsidRPr="009A5C16">
        <w:rPr>
          <w:lang w:val="fr-FR"/>
        </w:rPr>
        <w:t>au</w:t>
      </w:r>
      <w:r>
        <w:rPr>
          <w:lang w:val="fr-FR"/>
        </w:rPr>
        <w:t xml:space="preserve"> </w:t>
      </w:r>
      <w:r w:rsidRPr="009A5C16">
        <w:rPr>
          <w:lang w:val="fr-FR"/>
        </w:rPr>
        <w:t>titre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la</w:t>
      </w:r>
      <w:r>
        <w:rPr>
          <w:lang w:val="fr-FR"/>
        </w:rPr>
        <w:t xml:space="preserve"> </w:t>
      </w:r>
      <w:r w:rsidRPr="009A5C16">
        <w:rPr>
          <w:lang w:val="fr-FR"/>
        </w:rPr>
        <w:t>procédure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contrôle,</w:t>
      </w:r>
      <w:r>
        <w:rPr>
          <w:lang w:val="fr-FR"/>
        </w:rPr>
        <w:t xml:space="preserve"> </w:t>
      </w:r>
      <w:r w:rsidRPr="009A5C16">
        <w:rPr>
          <w:lang w:val="fr-FR"/>
        </w:rPr>
        <w:t>procédure</w:t>
      </w:r>
      <w:r>
        <w:rPr>
          <w:lang w:val="fr-FR"/>
        </w:rPr>
        <w:t xml:space="preserve"> </w:t>
      </w:r>
      <w:r w:rsidRPr="009A5C16">
        <w:rPr>
          <w:lang w:val="fr-FR"/>
        </w:rPr>
        <w:t>qui</w:t>
      </w:r>
      <w:r>
        <w:rPr>
          <w:lang w:val="fr-FR"/>
        </w:rPr>
        <w:t xml:space="preserve"> de surcroît </w:t>
      </w:r>
      <w:r w:rsidRPr="009A5C16">
        <w:rPr>
          <w:lang w:val="fr-FR"/>
        </w:rPr>
        <w:t>n</w:t>
      </w:r>
      <w:r>
        <w:rPr>
          <w:lang w:val="fr-FR"/>
        </w:rPr>
        <w:t>’</w:t>
      </w:r>
      <w:r w:rsidRPr="009A5C16">
        <w:rPr>
          <w:lang w:val="fr-FR"/>
        </w:rPr>
        <w:t>est</w:t>
      </w:r>
      <w:r>
        <w:rPr>
          <w:lang w:val="fr-FR"/>
        </w:rPr>
        <w:t xml:space="preserve"> </w:t>
      </w:r>
      <w:r w:rsidRPr="009A5C16">
        <w:rPr>
          <w:lang w:val="fr-FR"/>
        </w:rPr>
        <w:t>pas</w:t>
      </w:r>
      <w:r>
        <w:rPr>
          <w:lang w:val="fr-FR"/>
        </w:rPr>
        <w:t xml:space="preserve"> </w:t>
      </w:r>
      <w:r w:rsidRPr="009A5C16">
        <w:rPr>
          <w:lang w:val="fr-FR"/>
        </w:rPr>
        <w:t>considérée</w:t>
      </w:r>
      <w:r>
        <w:rPr>
          <w:lang w:val="fr-FR"/>
        </w:rPr>
        <w:t xml:space="preserve"> </w:t>
      </w:r>
      <w:r w:rsidRPr="009A5C16">
        <w:rPr>
          <w:lang w:val="fr-FR"/>
        </w:rPr>
        <w:t>comme</w:t>
      </w:r>
      <w:r>
        <w:rPr>
          <w:lang w:val="fr-FR"/>
        </w:rPr>
        <w:t xml:space="preserve"> </w:t>
      </w:r>
      <w:r w:rsidRPr="009A5C16">
        <w:rPr>
          <w:lang w:val="fr-FR"/>
        </w:rPr>
        <w:t>un</w:t>
      </w:r>
      <w:r>
        <w:rPr>
          <w:lang w:val="fr-FR"/>
        </w:rPr>
        <w:t xml:space="preserve"> </w:t>
      </w:r>
      <w:r w:rsidRPr="009A5C16">
        <w:rPr>
          <w:lang w:val="fr-FR"/>
        </w:rPr>
        <w:t>recours</w:t>
      </w:r>
      <w:r>
        <w:rPr>
          <w:lang w:val="fr-FR"/>
        </w:rPr>
        <w:t xml:space="preserve"> </w:t>
      </w:r>
      <w:r w:rsidRPr="009A5C16">
        <w:rPr>
          <w:lang w:val="fr-FR"/>
        </w:rPr>
        <w:t>utile</w:t>
      </w:r>
      <w:r>
        <w:rPr>
          <w:lang w:val="fr-FR"/>
        </w:rPr>
        <w:t xml:space="preserve"> </w:t>
      </w:r>
      <w:r w:rsidRPr="009A5C16">
        <w:rPr>
          <w:lang w:val="fr-FR"/>
        </w:rPr>
        <w:t>par</w:t>
      </w:r>
      <w:r>
        <w:rPr>
          <w:lang w:val="fr-FR"/>
        </w:rPr>
        <w:t xml:space="preserve"> </w:t>
      </w:r>
      <w:r w:rsidRPr="009A5C16">
        <w:rPr>
          <w:lang w:val="fr-FR"/>
        </w:rPr>
        <w:t>le</w:t>
      </w:r>
      <w:r>
        <w:rPr>
          <w:lang w:val="fr-FR"/>
        </w:rPr>
        <w:t xml:space="preserve"> </w:t>
      </w:r>
      <w:r w:rsidRPr="009A5C16">
        <w:rPr>
          <w:lang w:val="fr-FR"/>
        </w:rPr>
        <w:t>Comité</w:t>
      </w:r>
      <w:r w:rsidRPr="0078283A">
        <w:rPr>
          <w:rStyle w:val="Appelnotedebasdep"/>
        </w:rPr>
        <w:footnoteReference w:id="4"/>
      </w:r>
      <w:r w:rsidRPr="009A5C16">
        <w:rPr>
          <w:lang w:val="fr-FR"/>
        </w:rPr>
        <w:t>.</w:t>
      </w:r>
    </w:p>
    <w:p w:rsidR="000E5700" w:rsidRPr="009A5C16" w:rsidRDefault="000E5700" w:rsidP="000E5700">
      <w:pPr>
        <w:pStyle w:val="H23G"/>
        <w:rPr>
          <w:i/>
          <w:lang w:val="fr-FR"/>
        </w:rPr>
      </w:pPr>
      <w:r w:rsidRPr="009A5C16">
        <w:rPr>
          <w:lang w:val="fr-FR"/>
        </w:rPr>
        <w:tab/>
      </w:r>
      <w:r w:rsidRPr="009A5C16">
        <w:rPr>
          <w:lang w:val="fr-FR"/>
        </w:rPr>
        <w:tab/>
        <w:t>Défaut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coopération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État</w:t>
      </w:r>
      <w:r>
        <w:rPr>
          <w:lang w:val="fr-FR"/>
        </w:rPr>
        <w:t xml:space="preserve"> </w:t>
      </w:r>
      <w:r w:rsidRPr="009A5C16">
        <w:rPr>
          <w:lang w:val="fr-FR"/>
        </w:rPr>
        <w:t>partie</w:t>
      </w:r>
    </w:p>
    <w:p w:rsidR="000E5700" w:rsidRPr="009A5C16" w:rsidRDefault="000E5700" w:rsidP="000E5700">
      <w:pPr>
        <w:pStyle w:val="SingleTxtG"/>
        <w:rPr>
          <w:lang w:val="fr-FR"/>
        </w:rPr>
      </w:pPr>
      <w:r w:rsidRPr="009A5C16">
        <w:rPr>
          <w:lang w:val="fr-FR"/>
        </w:rPr>
        <w:t>6.1</w:t>
      </w:r>
      <w:r w:rsidRPr="009A5C16">
        <w:rPr>
          <w:lang w:val="fr-FR"/>
        </w:rPr>
        <w:tab/>
        <w:t>Le</w:t>
      </w:r>
      <w:r>
        <w:rPr>
          <w:lang w:val="fr-FR"/>
        </w:rPr>
        <w:t xml:space="preserve"> </w:t>
      </w:r>
      <w:r w:rsidRPr="009A5C16">
        <w:rPr>
          <w:lang w:val="fr-FR"/>
        </w:rPr>
        <w:t>Comité</w:t>
      </w:r>
      <w:r>
        <w:rPr>
          <w:lang w:val="fr-FR"/>
        </w:rPr>
        <w:t xml:space="preserve"> </w:t>
      </w:r>
      <w:r w:rsidRPr="009A5C16">
        <w:rPr>
          <w:lang w:val="fr-FR"/>
        </w:rPr>
        <w:t>note</w:t>
      </w:r>
      <w:r>
        <w:rPr>
          <w:lang w:val="fr-FR"/>
        </w:rPr>
        <w:t xml:space="preserve"> </w:t>
      </w:r>
      <w:r w:rsidRPr="009A5C16">
        <w:rPr>
          <w:lang w:val="fr-FR"/>
        </w:rPr>
        <w:t>que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État</w:t>
      </w:r>
      <w:r>
        <w:rPr>
          <w:lang w:val="fr-FR"/>
        </w:rPr>
        <w:t xml:space="preserve"> </w:t>
      </w:r>
      <w:r w:rsidRPr="009A5C16">
        <w:rPr>
          <w:lang w:val="fr-FR"/>
        </w:rPr>
        <w:t>partie</w:t>
      </w:r>
      <w:r>
        <w:rPr>
          <w:lang w:val="fr-FR"/>
        </w:rPr>
        <w:t xml:space="preserve"> </w:t>
      </w:r>
      <w:r w:rsidRPr="009A5C16">
        <w:rPr>
          <w:lang w:val="fr-FR"/>
        </w:rPr>
        <w:t>affirme</w:t>
      </w:r>
      <w:r>
        <w:rPr>
          <w:lang w:val="fr-FR"/>
        </w:rPr>
        <w:t xml:space="preserve"> que rien dans les textes applicables ne justifie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examen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la</w:t>
      </w:r>
      <w:r>
        <w:rPr>
          <w:lang w:val="fr-FR"/>
        </w:rPr>
        <w:t xml:space="preserve"> </w:t>
      </w:r>
      <w:r w:rsidRPr="009A5C16">
        <w:rPr>
          <w:lang w:val="fr-FR"/>
        </w:rPr>
        <w:t>communication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auteur</w:t>
      </w:r>
      <w:r>
        <w:rPr>
          <w:lang w:val="fr-FR"/>
        </w:rPr>
        <w:t xml:space="preserve"> car </w:t>
      </w:r>
      <w:r w:rsidRPr="009A5C16">
        <w:rPr>
          <w:lang w:val="fr-FR"/>
        </w:rPr>
        <w:t>celle-ci</w:t>
      </w:r>
      <w:r>
        <w:rPr>
          <w:lang w:val="fr-FR"/>
        </w:rPr>
        <w:t xml:space="preserve"> </w:t>
      </w:r>
      <w:r w:rsidRPr="009A5C16">
        <w:rPr>
          <w:lang w:val="fr-FR"/>
        </w:rPr>
        <w:t>a</w:t>
      </w:r>
      <w:r>
        <w:rPr>
          <w:lang w:val="fr-FR"/>
        </w:rPr>
        <w:t xml:space="preserve"> </w:t>
      </w:r>
      <w:r w:rsidRPr="009A5C16">
        <w:rPr>
          <w:lang w:val="fr-FR"/>
        </w:rPr>
        <w:t>été</w:t>
      </w:r>
      <w:r>
        <w:rPr>
          <w:lang w:val="fr-FR"/>
        </w:rPr>
        <w:t xml:space="preserve"> </w:t>
      </w:r>
      <w:r w:rsidRPr="009A5C16">
        <w:rPr>
          <w:lang w:val="fr-FR"/>
        </w:rPr>
        <w:t>enregistrée</w:t>
      </w:r>
      <w:r>
        <w:rPr>
          <w:lang w:val="fr-FR"/>
        </w:rPr>
        <w:t xml:space="preserve"> </w:t>
      </w:r>
      <w:r w:rsidRPr="009A5C16">
        <w:rPr>
          <w:lang w:val="fr-FR"/>
        </w:rPr>
        <w:t>au</w:t>
      </w:r>
      <w:r>
        <w:rPr>
          <w:lang w:val="fr-FR"/>
        </w:rPr>
        <w:t xml:space="preserve"> </w:t>
      </w:r>
      <w:r w:rsidRPr="009A5C16">
        <w:rPr>
          <w:lang w:val="fr-FR"/>
        </w:rPr>
        <w:t>mépris</w:t>
      </w:r>
      <w:r>
        <w:rPr>
          <w:lang w:val="fr-FR"/>
        </w:rPr>
        <w:t xml:space="preserve"> </w:t>
      </w:r>
      <w:r w:rsidRPr="009A5C16">
        <w:rPr>
          <w:lang w:val="fr-FR"/>
        </w:rPr>
        <w:t>des</w:t>
      </w:r>
      <w:r>
        <w:rPr>
          <w:lang w:val="fr-FR"/>
        </w:rPr>
        <w:t xml:space="preserve"> </w:t>
      </w:r>
      <w:r w:rsidRPr="009A5C16">
        <w:rPr>
          <w:lang w:val="fr-FR"/>
        </w:rPr>
        <w:t>dispositions</w:t>
      </w:r>
      <w:r>
        <w:rPr>
          <w:lang w:val="fr-FR"/>
        </w:rPr>
        <w:t xml:space="preserve"> </w:t>
      </w:r>
      <w:r w:rsidRPr="009A5C16">
        <w:rPr>
          <w:lang w:val="fr-FR"/>
        </w:rPr>
        <w:t>du</w:t>
      </w:r>
      <w:r>
        <w:rPr>
          <w:lang w:val="fr-FR"/>
        </w:rPr>
        <w:t xml:space="preserve"> </w:t>
      </w:r>
      <w:r w:rsidRPr="009A5C16">
        <w:rPr>
          <w:lang w:val="fr-FR"/>
        </w:rPr>
        <w:t>Protocole</w:t>
      </w:r>
      <w:r>
        <w:rPr>
          <w:lang w:val="fr-FR"/>
        </w:rPr>
        <w:t xml:space="preserve"> </w:t>
      </w:r>
      <w:r w:rsidRPr="009A5C16">
        <w:rPr>
          <w:lang w:val="fr-FR"/>
        </w:rPr>
        <w:t>facultatif</w:t>
      </w:r>
      <w:r>
        <w:rPr>
          <w:lang w:val="fr-FR"/>
        </w:rPr>
        <w:t xml:space="preserve"> </w:t>
      </w:r>
      <w:r w:rsidRPr="009A5C16">
        <w:rPr>
          <w:lang w:val="fr-FR"/>
        </w:rPr>
        <w:t>et</w:t>
      </w:r>
      <w:r>
        <w:rPr>
          <w:lang w:val="fr-FR"/>
        </w:rPr>
        <w:t xml:space="preserve"> </w:t>
      </w:r>
      <w:r w:rsidRPr="009A5C16">
        <w:rPr>
          <w:lang w:val="fr-FR"/>
        </w:rPr>
        <w:t>qu</w:t>
      </w:r>
      <w:r>
        <w:rPr>
          <w:lang w:val="fr-FR"/>
        </w:rPr>
        <w:t>’</w:t>
      </w:r>
      <w:r w:rsidRPr="009A5C16">
        <w:rPr>
          <w:lang w:val="fr-FR"/>
        </w:rPr>
        <w:t>il</w:t>
      </w:r>
      <w:r>
        <w:rPr>
          <w:lang w:val="fr-FR"/>
        </w:rPr>
        <w:t xml:space="preserve"> </w:t>
      </w:r>
      <w:r w:rsidRPr="009A5C16">
        <w:rPr>
          <w:lang w:val="fr-FR"/>
        </w:rPr>
        <w:t>a</w:t>
      </w:r>
      <w:r>
        <w:rPr>
          <w:lang w:val="fr-FR"/>
        </w:rPr>
        <w:t xml:space="preserve"> </w:t>
      </w:r>
      <w:r w:rsidRPr="009A5C16">
        <w:rPr>
          <w:lang w:val="fr-FR"/>
        </w:rPr>
        <w:t>décidé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cesser</w:t>
      </w:r>
      <w:r>
        <w:rPr>
          <w:lang w:val="fr-FR"/>
        </w:rPr>
        <w:t xml:space="preserve"> </w:t>
      </w:r>
      <w:r w:rsidRPr="009A5C16">
        <w:rPr>
          <w:lang w:val="fr-FR"/>
        </w:rPr>
        <w:t>toute</w:t>
      </w:r>
      <w:r>
        <w:rPr>
          <w:lang w:val="fr-FR"/>
        </w:rPr>
        <w:t xml:space="preserve"> </w:t>
      </w:r>
      <w:r w:rsidRPr="009A5C16">
        <w:rPr>
          <w:lang w:val="fr-FR"/>
        </w:rPr>
        <w:t>correspondance</w:t>
      </w:r>
      <w:r>
        <w:rPr>
          <w:lang w:val="fr-FR"/>
        </w:rPr>
        <w:t xml:space="preserve"> </w:t>
      </w:r>
      <w:r w:rsidRPr="009A5C16">
        <w:rPr>
          <w:lang w:val="fr-FR"/>
        </w:rPr>
        <w:t>concernant</w:t>
      </w:r>
      <w:r>
        <w:rPr>
          <w:lang w:val="fr-FR"/>
        </w:rPr>
        <w:t xml:space="preserve"> </w:t>
      </w:r>
      <w:r w:rsidRPr="009A5C16">
        <w:rPr>
          <w:lang w:val="fr-FR"/>
        </w:rPr>
        <w:t>cette</w:t>
      </w:r>
      <w:r>
        <w:rPr>
          <w:lang w:val="fr-FR"/>
        </w:rPr>
        <w:t xml:space="preserve"> </w:t>
      </w:r>
      <w:r w:rsidRPr="009A5C16">
        <w:rPr>
          <w:lang w:val="fr-FR"/>
        </w:rPr>
        <w:t>communication.</w:t>
      </w:r>
    </w:p>
    <w:p w:rsidR="000E5700" w:rsidRPr="009A5C16" w:rsidRDefault="000E5700" w:rsidP="000E5700">
      <w:pPr>
        <w:pStyle w:val="SingleTxtG"/>
        <w:rPr>
          <w:lang w:val="fr-FR"/>
        </w:rPr>
      </w:pPr>
      <w:r w:rsidRPr="009A5C16">
        <w:rPr>
          <w:lang w:val="fr-FR"/>
        </w:rPr>
        <w:t>6.2</w:t>
      </w:r>
      <w:r w:rsidRPr="009A5C16">
        <w:rPr>
          <w:lang w:val="fr-FR"/>
        </w:rPr>
        <w:tab/>
        <w:t>Le</w:t>
      </w:r>
      <w:r>
        <w:rPr>
          <w:lang w:val="fr-FR"/>
        </w:rPr>
        <w:t xml:space="preserve"> </w:t>
      </w:r>
      <w:r w:rsidRPr="009A5C16">
        <w:rPr>
          <w:lang w:val="fr-FR"/>
        </w:rPr>
        <w:t>Comité</w:t>
      </w:r>
      <w:r>
        <w:rPr>
          <w:lang w:val="fr-FR"/>
        </w:rPr>
        <w:t xml:space="preserve"> </w:t>
      </w:r>
      <w:r w:rsidRPr="009A5C16">
        <w:rPr>
          <w:lang w:val="fr-FR"/>
        </w:rPr>
        <w:t>fait</w:t>
      </w:r>
      <w:r>
        <w:rPr>
          <w:lang w:val="fr-FR"/>
        </w:rPr>
        <w:t xml:space="preserve"> </w:t>
      </w:r>
      <w:r w:rsidRPr="009A5C16">
        <w:rPr>
          <w:lang w:val="fr-FR"/>
        </w:rPr>
        <w:t>observer</w:t>
      </w:r>
      <w:r>
        <w:rPr>
          <w:lang w:val="fr-FR"/>
        </w:rPr>
        <w:t xml:space="preserve"> </w:t>
      </w:r>
      <w:r w:rsidRPr="009A5C16">
        <w:rPr>
          <w:lang w:val="fr-FR"/>
        </w:rPr>
        <w:t>que</w:t>
      </w:r>
      <w:r>
        <w:rPr>
          <w:lang w:val="fr-FR"/>
        </w:rPr>
        <w:t xml:space="preserve"> </w:t>
      </w:r>
      <w:r w:rsidRPr="009A5C16">
        <w:rPr>
          <w:lang w:val="fr-FR"/>
        </w:rPr>
        <w:t>tout</w:t>
      </w:r>
      <w:r>
        <w:rPr>
          <w:lang w:val="fr-FR"/>
        </w:rPr>
        <w:t xml:space="preserve"> </w:t>
      </w:r>
      <w:r w:rsidRPr="009A5C16">
        <w:rPr>
          <w:lang w:val="fr-FR"/>
        </w:rPr>
        <w:t>État</w:t>
      </w:r>
      <w:r>
        <w:rPr>
          <w:lang w:val="fr-FR"/>
        </w:rPr>
        <w:t xml:space="preserve"> </w:t>
      </w:r>
      <w:r w:rsidRPr="009A5C16">
        <w:rPr>
          <w:lang w:val="fr-FR"/>
        </w:rPr>
        <w:t>partie</w:t>
      </w:r>
      <w:r>
        <w:rPr>
          <w:lang w:val="fr-FR"/>
        </w:rPr>
        <w:t xml:space="preserve"> </w:t>
      </w:r>
      <w:r w:rsidRPr="009A5C16">
        <w:rPr>
          <w:lang w:val="fr-FR"/>
        </w:rPr>
        <w:t>au</w:t>
      </w:r>
      <w:r>
        <w:rPr>
          <w:lang w:val="fr-FR"/>
        </w:rPr>
        <w:t xml:space="preserve"> </w:t>
      </w:r>
      <w:r w:rsidRPr="009A5C16">
        <w:rPr>
          <w:lang w:val="fr-FR"/>
        </w:rPr>
        <w:t>Pacte</w:t>
      </w:r>
      <w:r>
        <w:rPr>
          <w:lang w:val="fr-FR"/>
        </w:rPr>
        <w:t xml:space="preserve"> </w:t>
      </w:r>
      <w:r w:rsidRPr="009A5C16">
        <w:rPr>
          <w:lang w:val="fr-FR"/>
        </w:rPr>
        <w:t>qui</w:t>
      </w:r>
      <w:r>
        <w:rPr>
          <w:lang w:val="fr-FR"/>
        </w:rPr>
        <w:t xml:space="preserve"> </w:t>
      </w:r>
      <w:r w:rsidRPr="009A5C16">
        <w:rPr>
          <w:lang w:val="fr-FR"/>
        </w:rPr>
        <w:t>adhère</w:t>
      </w:r>
      <w:r>
        <w:rPr>
          <w:lang w:val="fr-FR"/>
        </w:rPr>
        <w:t xml:space="preserve"> </w:t>
      </w:r>
      <w:r w:rsidRPr="009A5C16">
        <w:rPr>
          <w:lang w:val="fr-FR"/>
        </w:rPr>
        <w:t>au</w:t>
      </w:r>
      <w:r>
        <w:rPr>
          <w:lang w:val="fr-FR"/>
        </w:rPr>
        <w:t xml:space="preserve"> </w:t>
      </w:r>
      <w:r w:rsidRPr="009A5C16">
        <w:rPr>
          <w:lang w:val="fr-FR"/>
        </w:rPr>
        <w:t>Protocole</w:t>
      </w:r>
      <w:r>
        <w:rPr>
          <w:lang w:val="fr-FR"/>
        </w:rPr>
        <w:t xml:space="preserve"> </w:t>
      </w:r>
      <w:r w:rsidRPr="009A5C16">
        <w:rPr>
          <w:lang w:val="fr-FR"/>
        </w:rPr>
        <w:t>facultatif</w:t>
      </w:r>
      <w:r>
        <w:rPr>
          <w:lang w:val="fr-FR"/>
        </w:rPr>
        <w:t xml:space="preserve"> </w:t>
      </w:r>
      <w:r w:rsidRPr="009A5C16">
        <w:rPr>
          <w:lang w:val="fr-FR"/>
        </w:rPr>
        <w:t>reconnaît</w:t>
      </w:r>
      <w:r>
        <w:rPr>
          <w:lang w:val="fr-FR"/>
        </w:rPr>
        <w:t xml:space="preserve"> </w:t>
      </w:r>
      <w:r w:rsidRPr="009A5C16">
        <w:rPr>
          <w:lang w:val="fr-FR"/>
        </w:rPr>
        <w:t>que</w:t>
      </w:r>
      <w:r>
        <w:rPr>
          <w:lang w:val="fr-FR"/>
        </w:rPr>
        <w:t xml:space="preserve"> </w:t>
      </w:r>
      <w:r w:rsidRPr="009A5C16">
        <w:rPr>
          <w:lang w:val="fr-FR"/>
        </w:rPr>
        <w:t>le</w:t>
      </w:r>
      <w:r>
        <w:rPr>
          <w:lang w:val="fr-FR"/>
        </w:rPr>
        <w:t xml:space="preserve"> </w:t>
      </w:r>
      <w:r w:rsidRPr="009A5C16">
        <w:rPr>
          <w:lang w:val="fr-FR"/>
        </w:rPr>
        <w:t>Comité</w:t>
      </w:r>
      <w:r>
        <w:rPr>
          <w:lang w:val="fr-FR"/>
        </w:rPr>
        <w:t xml:space="preserve"> </w:t>
      </w:r>
      <w:r w:rsidRPr="009A5C16">
        <w:rPr>
          <w:lang w:val="fr-FR"/>
        </w:rPr>
        <w:t>a</w:t>
      </w:r>
      <w:r>
        <w:rPr>
          <w:lang w:val="fr-FR"/>
        </w:rPr>
        <w:t xml:space="preserve"> </w:t>
      </w:r>
      <w:r w:rsidRPr="009A5C16">
        <w:rPr>
          <w:lang w:val="fr-FR"/>
        </w:rPr>
        <w:t>compétence</w:t>
      </w:r>
      <w:r>
        <w:rPr>
          <w:lang w:val="fr-FR"/>
        </w:rPr>
        <w:t xml:space="preserve"> </w:t>
      </w:r>
      <w:r w:rsidRPr="009A5C16">
        <w:rPr>
          <w:lang w:val="fr-FR"/>
        </w:rPr>
        <w:t>pour</w:t>
      </w:r>
      <w:r>
        <w:rPr>
          <w:lang w:val="fr-FR"/>
        </w:rPr>
        <w:t xml:space="preserve"> </w:t>
      </w:r>
      <w:r w:rsidRPr="009A5C16">
        <w:rPr>
          <w:lang w:val="fr-FR"/>
        </w:rPr>
        <w:t>recevoir</w:t>
      </w:r>
      <w:r>
        <w:rPr>
          <w:lang w:val="fr-FR"/>
        </w:rPr>
        <w:t xml:space="preserve"> </w:t>
      </w:r>
      <w:r w:rsidRPr="009A5C16">
        <w:rPr>
          <w:lang w:val="fr-FR"/>
        </w:rPr>
        <w:t>et</w:t>
      </w:r>
      <w:r>
        <w:rPr>
          <w:lang w:val="fr-FR"/>
        </w:rPr>
        <w:t xml:space="preserve"> </w:t>
      </w:r>
      <w:r w:rsidRPr="009A5C16">
        <w:rPr>
          <w:lang w:val="fr-FR"/>
        </w:rPr>
        <w:t>examiner</w:t>
      </w:r>
      <w:r>
        <w:rPr>
          <w:lang w:val="fr-FR"/>
        </w:rPr>
        <w:t xml:space="preserve"> </w:t>
      </w:r>
      <w:r w:rsidRPr="009A5C16">
        <w:rPr>
          <w:lang w:val="fr-FR"/>
        </w:rPr>
        <w:t>des</w:t>
      </w:r>
      <w:r>
        <w:rPr>
          <w:lang w:val="fr-FR"/>
        </w:rPr>
        <w:t xml:space="preserve"> </w:t>
      </w:r>
      <w:r w:rsidRPr="009A5C16">
        <w:rPr>
          <w:lang w:val="fr-FR"/>
        </w:rPr>
        <w:t>communications</w:t>
      </w:r>
      <w:r>
        <w:rPr>
          <w:lang w:val="fr-FR"/>
        </w:rPr>
        <w:t xml:space="preserve"> </w:t>
      </w:r>
      <w:r w:rsidRPr="009A5C16">
        <w:rPr>
          <w:lang w:val="fr-FR"/>
        </w:rPr>
        <w:t>émanant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particuliers</w:t>
      </w:r>
      <w:r>
        <w:rPr>
          <w:lang w:val="fr-FR"/>
        </w:rPr>
        <w:t xml:space="preserve"> </w:t>
      </w:r>
      <w:r w:rsidRPr="009A5C16">
        <w:rPr>
          <w:lang w:val="fr-FR"/>
        </w:rPr>
        <w:t>qui</w:t>
      </w:r>
      <w:r>
        <w:rPr>
          <w:lang w:val="fr-FR"/>
        </w:rPr>
        <w:t xml:space="preserve"> </w:t>
      </w:r>
      <w:r w:rsidRPr="009A5C16">
        <w:rPr>
          <w:lang w:val="fr-FR"/>
        </w:rPr>
        <w:t>prétendent</w:t>
      </w:r>
      <w:r>
        <w:rPr>
          <w:lang w:val="fr-FR"/>
        </w:rPr>
        <w:t xml:space="preserve"> </w:t>
      </w:r>
      <w:r w:rsidRPr="009A5C16">
        <w:rPr>
          <w:lang w:val="fr-FR"/>
        </w:rPr>
        <w:t>être</w:t>
      </w:r>
      <w:r>
        <w:rPr>
          <w:lang w:val="fr-FR"/>
        </w:rPr>
        <w:t xml:space="preserve"> </w:t>
      </w:r>
      <w:r w:rsidRPr="009A5C16">
        <w:rPr>
          <w:lang w:val="fr-FR"/>
        </w:rPr>
        <w:t>victimes</w:t>
      </w:r>
      <w:r>
        <w:rPr>
          <w:lang w:val="fr-FR"/>
        </w:rPr>
        <w:t xml:space="preserve"> </w:t>
      </w:r>
      <w:r w:rsidRPr="009A5C16">
        <w:rPr>
          <w:lang w:val="fr-FR"/>
        </w:rPr>
        <w:t>d</w:t>
      </w:r>
      <w:r>
        <w:rPr>
          <w:lang w:val="fr-FR"/>
        </w:rPr>
        <w:t>’</w:t>
      </w:r>
      <w:r w:rsidRPr="009A5C16">
        <w:rPr>
          <w:lang w:val="fr-FR"/>
        </w:rPr>
        <w:t>une</w:t>
      </w:r>
      <w:r>
        <w:rPr>
          <w:lang w:val="fr-FR"/>
        </w:rPr>
        <w:t xml:space="preserve"> </w:t>
      </w:r>
      <w:r w:rsidRPr="009A5C16">
        <w:rPr>
          <w:lang w:val="fr-FR"/>
        </w:rPr>
        <w:t>violation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un</w:t>
      </w:r>
      <w:r>
        <w:rPr>
          <w:lang w:val="fr-FR"/>
        </w:rPr>
        <w:t xml:space="preserve"> </w:t>
      </w:r>
      <w:r w:rsidRPr="009A5C16">
        <w:rPr>
          <w:lang w:val="fr-FR"/>
        </w:rPr>
        <w:t>quelconque</w:t>
      </w:r>
      <w:r>
        <w:rPr>
          <w:lang w:val="fr-FR"/>
        </w:rPr>
        <w:t xml:space="preserve"> </w:t>
      </w:r>
      <w:r w:rsidRPr="009A5C16">
        <w:rPr>
          <w:lang w:val="fr-FR"/>
        </w:rPr>
        <w:t>des</w:t>
      </w:r>
      <w:r>
        <w:rPr>
          <w:lang w:val="fr-FR"/>
        </w:rPr>
        <w:t xml:space="preserve"> </w:t>
      </w:r>
      <w:r w:rsidRPr="009A5C16">
        <w:rPr>
          <w:lang w:val="fr-FR"/>
        </w:rPr>
        <w:t>droits</w:t>
      </w:r>
      <w:r>
        <w:rPr>
          <w:lang w:val="fr-FR"/>
        </w:rPr>
        <w:t xml:space="preserve"> </w:t>
      </w:r>
      <w:r w:rsidRPr="009A5C16">
        <w:rPr>
          <w:lang w:val="fr-FR"/>
        </w:rPr>
        <w:t>énoncés</w:t>
      </w:r>
      <w:r>
        <w:rPr>
          <w:lang w:val="fr-FR"/>
        </w:rPr>
        <w:t xml:space="preserve"> </w:t>
      </w:r>
      <w:r w:rsidRPr="009A5C16">
        <w:rPr>
          <w:lang w:val="fr-FR"/>
        </w:rPr>
        <w:t>dans</w:t>
      </w:r>
      <w:r>
        <w:rPr>
          <w:lang w:val="fr-FR"/>
        </w:rPr>
        <w:t xml:space="preserve"> </w:t>
      </w:r>
      <w:r w:rsidRPr="009A5C16">
        <w:rPr>
          <w:lang w:val="fr-FR"/>
        </w:rPr>
        <w:t>le</w:t>
      </w:r>
      <w:r>
        <w:rPr>
          <w:lang w:val="fr-FR"/>
        </w:rPr>
        <w:t xml:space="preserve"> </w:t>
      </w:r>
      <w:r w:rsidRPr="009A5C16">
        <w:rPr>
          <w:lang w:val="fr-FR"/>
        </w:rPr>
        <w:t>Pacte</w:t>
      </w:r>
      <w:r>
        <w:rPr>
          <w:lang w:val="fr-FR"/>
        </w:rPr>
        <w:t xml:space="preserve"> </w:t>
      </w:r>
      <w:r w:rsidRPr="009A5C16">
        <w:rPr>
          <w:lang w:val="fr-FR"/>
        </w:rPr>
        <w:t>(Protocole</w:t>
      </w:r>
      <w:r>
        <w:rPr>
          <w:lang w:val="fr-FR"/>
        </w:rPr>
        <w:t xml:space="preserve"> </w:t>
      </w:r>
      <w:r w:rsidRPr="009A5C16">
        <w:rPr>
          <w:lang w:val="fr-FR"/>
        </w:rPr>
        <w:t>facultatif</w:t>
      </w:r>
      <w:r>
        <w:rPr>
          <w:lang w:val="fr-FR"/>
        </w:rPr>
        <w:t xml:space="preserve">, </w:t>
      </w:r>
      <w:r w:rsidRPr="009A5C16">
        <w:rPr>
          <w:lang w:val="fr-FR"/>
        </w:rPr>
        <w:t>préambule</w:t>
      </w:r>
      <w:r>
        <w:rPr>
          <w:lang w:val="fr-FR"/>
        </w:rPr>
        <w:t xml:space="preserve"> </w:t>
      </w:r>
      <w:r w:rsidRPr="009A5C16">
        <w:rPr>
          <w:lang w:val="fr-FR"/>
        </w:rPr>
        <w:t>et</w:t>
      </w:r>
      <w:r>
        <w:rPr>
          <w:lang w:val="fr-FR"/>
        </w:rPr>
        <w:t xml:space="preserve"> art. 1</w:t>
      </w:r>
      <w:r w:rsidRPr="008C28B7">
        <w:rPr>
          <w:vertAlign w:val="superscript"/>
          <w:lang w:val="fr-FR"/>
        </w:rPr>
        <w:t>er</w:t>
      </w:r>
      <w:r w:rsidRPr="009A5C16">
        <w:rPr>
          <w:lang w:val="fr-FR"/>
        </w:rPr>
        <w:t>).</w:t>
      </w:r>
      <w:r>
        <w:rPr>
          <w:lang w:val="fr-FR"/>
        </w:rPr>
        <w:t xml:space="preserve"> </w:t>
      </w:r>
      <w:r w:rsidRPr="009A5C16">
        <w:rPr>
          <w:lang w:val="fr-FR"/>
        </w:rPr>
        <w:t>En</w:t>
      </w:r>
      <w:r>
        <w:rPr>
          <w:lang w:val="fr-FR"/>
        </w:rPr>
        <w:t xml:space="preserve"> </w:t>
      </w:r>
      <w:r w:rsidRPr="009A5C16">
        <w:rPr>
          <w:lang w:val="fr-FR"/>
        </w:rPr>
        <w:t>adhérant</w:t>
      </w:r>
      <w:r>
        <w:rPr>
          <w:lang w:val="fr-FR"/>
        </w:rPr>
        <w:t xml:space="preserve"> </w:t>
      </w:r>
      <w:r w:rsidRPr="009A5C16">
        <w:rPr>
          <w:lang w:val="fr-FR"/>
        </w:rPr>
        <w:t>au</w:t>
      </w:r>
      <w:r>
        <w:rPr>
          <w:lang w:val="fr-FR"/>
        </w:rPr>
        <w:t xml:space="preserve"> </w:t>
      </w:r>
      <w:r w:rsidRPr="009A5C16">
        <w:rPr>
          <w:lang w:val="fr-FR"/>
        </w:rPr>
        <w:t>Protocole</w:t>
      </w:r>
      <w:r>
        <w:rPr>
          <w:lang w:val="fr-FR"/>
        </w:rPr>
        <w:t xml:space="preserve"> </w:t>
      </w:r>
      <w:r w:rsidRPr="009A5C16">
        <w:rPr>
          <w:lang w:val="fr-FR"/>
        </w:rPr>
        <w:t>facultatif,</w:t>
      </w:r>
      <w:r>
        <w:rPr>
          <w:lang w:val="fr-FR"/>
        </w:rPr>
        <w:t xml:space="preserve"> </w:t>
      </w:r>
      <w:r w:rsidRPr="009A5C16">
        <w:rPr>
          <w:lang w:val="fr-FR"/>
        </w:rPr>
        <w:t>les</w:t>
      </w:r>
      <w:r>
        <w:rPr>
          <w:lang w:val="fr-FR"/>
        </w:rPr>
        <w:t xml:space="preserve"> </w:t>
      </w:r>
      <w:r w:rsidRPr="009A5C16">
        <w:rPr>
          <w:lang w:val="fr-FR"/>
        </w:rPr>
        <w:t>États</w:t>
      </w:r>
      <w:r>
        <w:rPr>
          <w:lang w:val="fr-FR"/>
        </w:rPr>
        <w:t xml:space="preserve"> </w:t>
      </w:r>
      <w:r w:rsidRPr="009A5C16">
        <w:rPr>
          <w:lang w:val="fr-FR"/>
        </w:rPr>
        <w:t>parties</w:t>
      </w:r>
      <w:r>
        <w:rPr>
          <w:lang w:val="fr-FR"/>
        </w:rPr>
        <w:t xml:space="preserve"> </w:t>
      </w:r>
      <w:r w:rsidRPr="009A5C16">
        <w:rPr>
          <w:lang w:val="fr-FR"/>
        </w:rPr>
        <w:t>s</w:t>
      </w:r>
      <w:r>
        <w:rPr>
          <w:lang w:val="fr-FR"/>
        </w:rPr>
        <w:t>’</w:t>
      </w:r>
      <w:r w:rsidRPr="009A5C16">
        <w:rPr>
          <w:lang w:val="fr-FR"/>
        </w:rPr>
        <w:t>engagent</w:t>
      </w:r>
      <w:r>
        <w:rPr>
          <w:lang w:val="fr-FR"/>
        </w:rPr>
        <w:t xml:space="preserve"> </w:t>
      </w:r>
      <w:r w:rsidRPr="009A5C16">
        <w:rPr>
          <w:lang w:val="fr-FR"/>
        </w:rPr>
        <w:t>implicitement</w:t>
      </w:r>
      <w:r>
        <w:rPr>
          <w:lang w:val="fr-FR"/>
        </w:rPr>
        <w:t xml:space="preserve"> </w:t>
      </w:r>
      <w:r w:rsidRPr="009A5C16">
        <w:rPr>
          <w:lang w:val="fr-FR"/>
        </w:rPr>
        <w:t>à</w:t>
      </w:r>
      <w:r>
        <w:rPr>
          <w:lang w:val="fr-FR"/>
        </w:rPr>
        <w:t xml:space="preserve"> </w:t>
      </w:r>
      <w:r w:rsidRPr="009A5C16">
        <w:rPr>
          <w:lang w:val="fr-FR"/>
        </w:rPr>
        <w:t>coopérer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bonne</w:t>
      </w:r>
      <w:r>
        <w:rPr>
          <w:lang w:val="fr-FR"/>
        </w:rPr>
        <w:t xml:space="preserve"> </w:t>
      </w:r>
      <w:r w:rsidRPr="009A5C16">
        <w:rPr>
          <w:lang w:val="fr-FR"/>
        </w:rPr>
        <w:t>foi</w:t>
      </w:r>
      <w:r>
        <w:rPr>
          <w:lang w:val="fr-FR"/>
        </w:rPr>
        <w:t xml:space="preserve"> </w:t>
      </w:r>
      <w:r w:rsidRPr="009A5C16">
        <w:rPr>
          <w:lang w:val="fr-FR"/>
        </w:rPr>
        <w:t>avec</w:t>
      </w:r>
      <w:r>
        <w:rPr>
          <w:lang w:val="fr-FR"/>
        </w:rPr>
        <w:t xml:space="preserve"> </w:t>
      </w:r>
      <w:r w:rsidRPr="009A5C16">
        <w:rPr>
          <w:lang w:val="fr-FR"/>
        </w:rPr>
        <w:t>le</w:t>
      </w:r>
      <w:r>
        <w:rPr>
          <w:lang w:val="fr-FR"/>
        </w:rPr>
        <w:t xml:space="preserve"> </w:t>
      </w:r>
      <w:r w:rsidRPr="009A5C16">
        <w:rPr>
          <w:lang w:val="fr-FR"/>
        </w:rPr>
        <w:t>Comité</w:t>
      </w:r>
      <w:r>
        <w:rPr>
          <w:lang w:val="fr-FR"/>
        </w:rPr>
        <w:t xml:space="preserve"> </w:t>
      </w:r>
      <w:r w:rsidRPr="009A5C16">
        <w:rPr>
          <w:lang w:val="fr-FR"/>
        </w:rPr>
        <w:t>pour</w:t>
      </w:r>
      <w:r>
        <w:rPr>
          <w:lang w:val="fr-FR"/>
        </w:rPr>
        <w:t xml:space="preserve"> </w:t>
      </w:r>
      <w:r w:rsidRPr="009A5C16">
        <w:rPr>
          <w:lang w:val="fr-FR"/>
        </w:rPr>
        <w:t>lui</w:t>
      </w:r>
      <w:r>
        <w:rPr>
          <w:lang w:val="fr-FR"/>
        </w:rPr>
        <w:t xml:space="preserve"> </w:t>
      </w:r>
      <w:r w:rsidRPr="009A5C16">
        <w:rPr>
          <w:lang w:val="fr-FR"/>
        </w:rPr>
        <w:t>permettre</w:t>
      </w:r>
      <w:r>
        <w:rPr>
          <w:lang w:val="fr-FR"/>
        </w:rPr>
        <w:t xml:space="preserve"> </w:t>
      </w:r>
      <w:r w:rsidRPr="009A5C16">
        <w:rPr>
          <w:lang w:val="fr-FR"/>
        </w:rPr>
        <w:t>d</w:t>
      </w:r>
      <w:r>
        <w:rPr>
          <w:lang w:val="fr-FR"/>
        </w:rPr>
        <w:t>’</w:t>
      </w:r>
      <w:r w:rsidRPr="009A5C16">
        <w:rPr>
          <w:lang w:val="fr-FR"/>
        </w:rPr>
        <w:t>examiner</w:t>
      </w:r>
      <w:r>
        <w:rPr>
          <w:lang w:val="fr-FR"/>
        </w:rPr>
        <w:t xml:space="preserve"> </w:t>
      </w:r>
      <w:r w:rsidRPr="009A5C16">
        <w:rPr>
          <w:lang w:val="fr-FR"/>
        </w:rPr>
        <w:t>les</w:t>
      </w:r>
      <w:r>
        <w:rPr>
          <w:lang w:val="fr-FR"/>
        </w:rPr>
        <w:t xml:space="preserve"> </w:t>
      </w:r>
      <w:r w:rsidRPr="009A5C16">
        <w:rPr>
          <w:lang w:val="fr-FR"/>
        </w:rPr>
        <w:t>communications</w:t>
      </w:r>
      <w:r>
        <w:rPr>
          <w:lang w:val="fr-FR"/>
        </w:rPr>
        <w:t xml:space="preserve"> </w:t>
      </w:r>
      <w:r w:rsidRPr="009A5C16">
        <w:rPr>
          <w:lang w:val="fr-FR"/>
        </w:rPr>
        <w:t>qui</w:t>
      </w:r>
      <w:r>
        <w:rPr>
          <w:lang w:val="fr-FR"/>
        </w:rPr>
        <w:t xml:space="preserve"> </w:t>
      </w:r>
      <w:r w:rsidRPr="009A5C16">
        <w:rPr>
          <w:lang w:val="fr-FR"/>
        </w:rPr>
        <w:t>lui</w:t>
      </w:r>
      <w:r>
        <w:rPr>
          <w:lang w:val="fr-FR"/>
        </w:rPr>
        <w:t xml:space="preserve"> </w:t>
      </w:r>
      <w:r w:rsidRPr="009A5C16">
        <w:rPr>
          <w:lang w:val="fr-FR"/>
        </w:rPr>
        <w:t>sont</w:t>
      </w:r>
      <w:r>
        <w:rPr>
          <w:lang w:val="fr-FR"/>
        </w:rPr>
        <w:t xml:space="preserve"> </w:t>
      </w:r>
      <w:r w:rsidRPr="009A5C16">
        <w:rPr>
          <w:lang w:val="fr-FR"/>
        </w:rPr>
        <w:t>soumises</w:t>
      </w:r>
      <w:r>
        <w:rPr>
          <w:lang w:val="fr-FR"/>
        </w:rPr>
        <w:t xml:space="preserve"> </w:t>
      </w:r>
      <w:r w:rsidRPr="009A5C16">
        <w:rPr>
          <w:lang w:val="fr-FR"/>
        </w:rPr>
        <w:t>et,</w:t>
      </w:r>
      <w:r>
        <w:rPr>
          <w:lang w:val="fr-FR"/>
        </w:rPr>
        <w:t xml:space="preserve"> </w:t>
      </w:r>
      <w:r w:rsidRPr="009A5C16">
        <w:rPr>
          <w:lang w:val="fr-FR"/>
        </w:rPr>
        <w:t>après</w:t>
      </w:r>
      <w:r>
        <w:rPr>
          <w:lang w:val="fr-FR"/>
        </w:rPr>
        <w:t xml:space="preserve"> </w:t>
      </w:r>
      <w:r w:rsidRPr="00C363EC">
        <w:rPr>
          <w:spacing w:val="-2"/>
          <w:lang w:val="fr-FR"/>
        </w:rPr>
        <w:t>l’examen, de faire part de ses constatations à l’État partie et aux intéressés (art. 5, par. 1 et 4).</w:t>
      </w:r>
      <w:r>
        <w:rPr>
          <w:lang w:val="fr-FR"/>
        </w:rPr>
        <w:t xml:space="preserve"> </w:t>
      </w:r>
      <w:r w:rsidRPr="009A5C16">
        <w:rPr>
          <w:lang w:val="fr-FR"/>
        </w:rPr>
        <w:lastRenderedPageBreak/>
        <w:t>Le</w:t>
      </w:r>
      <w:r>
        <w:rPr>
          <w:lang w:val="fr-FR"/>
        </w:rPr>
        <w:t xml:space="preserve"> </w:t>
      </w:r>
      <w:r w:rsidRPr="009A5C16">
        <w:rPr>
          <w:lang w:val="fr-FR"/>
        </w:rPr>
        <w:t>fait</w:t>
      </w:r>
      <w:r>
        <w:rPr>
          <w:lang w:val="fr-FR"/>
        </w:rPr>
        <w:t xml:space="preserve"> </w:t>
      </w:r>
      <w:r w:rsidRPr="009A5C16">
        <w:rPr>
          <w:lang w:val="fr-FR"/>
        </w:rPr>
        <w:t>qu</w:t>
      </w:r>
      <w:r>
        <w:rPr>
          <w:lang w:val="fr-FR"/>
        </w:rPr>
        <w:t>’</w:t>
      </w:r>
      <w:r w:rsidRPr="009A5C16">
        <w:rPr>
          <w:lang w:val="fr-FR"/>
        </w:rPr>
        <w:t>un</w:t>
      </w:r>
      <w:r>
        <w:rPr>
          <w:lang w:val="fr-FR"/>
        </w:rPr>
        <w:t xml:space="preserve"> </w:t>
      </w:r>
      <w:r w:rsidRPr="009A5C16">
        <w:rPr>
          <w:lang w:val="fr-FR"/>
        </w:rPr>
        <w:t>État</w:t>
      </w:r>
      <w:r>
        <w:rPr>
          <w:lang w:val="fr-FR"/>
        </w:rPr>
        <w:t xml:space="preserve"> </w:t>
      </w:r>
      <w:r w:rsidRPr="009A5C16">
        <w:rPr>
          <w:lang w:val="fr-FR"/>
        </w:rPr>
        <w:t>partie</w:t>
      </w:r>
      <w:r>
        <w:rPr>
          <w:lang w:val="fr-FR"/>
        </w:rPr>
        <w:t xml:space="preserve"> </w:t>
      </w:r>
      <w:r w:rsidRPr="009A5C16">
        <w:rPr>
          <w:lang w:val="fr-FR"/>
        </w:rPr>
        <w:t>adopte</w:t>
      </w:r>
      <w:r>
        <w:rPr>
          <w:lang w:val="fr-FR"/>
        </w:rPr>
        <w:t xml:space="preserve"> </w:t>
      </w:r>
      <w:r w:rsidRPr="009A5C16">
        <w:rPr>
          <w:lang w:val="fr-FR"/>
        </w:rPr>
        <w:t>une</w:t>
      </w:r>
      <w:r>
        <w:rPr>
          <w:lang w:val="fr-FR"/>
        </w:rPr>
        <w:t xml:space="preserve"> </w:t>
      </w:r>
      <w:r w:rsidRPr="009A5C16">
        <w:rPr>
          <w:lang w:val="fr-FR"/>
        </w:rPr>
        <w:t>mesure,</w:t>
      </w:r>
      <w:r>
        <w:rPr>
          <w:lang w:val="fr-FR"/>
        </w:rPr>
        <w:t xml:space="preserve"> </w:t>
      </w:r>
      <w:r w:rsidRPr="009A5C16">
        <w:rPr>
          <w:lang w:val="fr-FR"/>
        </w:rPr>
        <w:t>quelle</w:t>
      </w:r>
      <w:r>
        <w:rPr>
          <w:lang w:val="fr-FR"/>
        </w:rPr>
        <w:t xml:space="preserve"> </w:t>
      </w:r>
      <w:r w:rsidRPr="009A5C16">
        <w:rPr>
          <w:lang w:val="fr-FR"/>
        </w:rPr>
        <w:t>qu</w:t>
      </w:r>
      <w:r>
        <w:rPr>
          <w:lang w:val="fr-FR"/>
        </w:rPr>
        <w:t>’</w:t>
      </w:r>
      <w:r w:rsidRPr="009A5C16">
        <w:rPr>
          <w:lang w:val="fr-FR"/>
        </w:rPr>
        <w:t>elle</w:t>
      </w:r>
      <w:r>
        <w:rPr>
          <w:lang w:val="fr-FR"/>
        </w:rPr>
        <w:t xml:space="preserve"> </w:t>
      </w:r>
      <w:r w:rsidRPr="009A5C16">
        <w:rPr>
          <w:lang w:val="fr-FR"/>
        </w:rPr>
        <w:t>soit,</w:t>
      </w:r>
      <w:r>
        <w:rPr>
          <w:lang w:val="fr-FR"/>
        </w:rPr>
        <w:t xml:space="preserve"> </w:t>
      </w:r>
      <w:r w:rsidRPr="009A5C16">
        <w:rPr>
          <w:lang w:val="fr-FR"/>
        </w:rPr>
        <w:t>qui</w:t>
      </w:r>
      <w:r>
        <w:rPr>
          <w:lang w:val="fr-FR"/>
        </w:rPr>
        <w:t xml:space="preserve"> </w:t>
      </w:r>
      <w:r w:rsidRPr="009A5C16">
        <w:rPr>
          <w:lang w:val="fr-FR"/>
        </w:rPr>
        <w:t>empêche</w:t>
      </w:r>
      <w:r>
        <w:rPr>
          <w:lang w:val="fr-FR"/>
        </w:rPr>
        <w:t xml:space="preserve"> </w:t>
      </w:r>
      <w:r w:rsidRPr="009A5C16">
        <w:rPr>
          <w:lang w:val="fr-FR"/>
        </w:rPr>
        <w:t>le</w:t>
      </w:r>
      <w:r>
        <w:rPr>
          <w:lang w:val="fr-FR"/>
        </w:rPr>
        <w:t xml:space="preserve"> </w:t>
      </w:r>
      <w:r w:rsidRPr="009A5C16">
        <w:rPr>
          <w:lang w:val="fr-FR"/>
        </w:rPr>
        <w:t>Comité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prendre</w:t>
      </w:r>
      <w:r>
        <w:rPr>
          <w:lang w:val="fr-FR"/>
        </w:rPr>
        <w:t xml:space="preserve"> </w:t>
      </w:r>
      <w:r w:rsidRPr="009A5C16">
        <w:rPr>
          <w:lang w:val="fr-FR"/>
        </w:rPr>
        <w:t>connaissance</w:t>
      </w:r>
      <w:r>
        <w:rPr>
          <w:lang w:val="fr-FR"/>
        </w:rPr>
        <w:t xml:space="preserve"> </w:t>
      </w:r>
      <w:r w:rsidRPr="009A5C16">
        <w:rPr>
          <w:lang w:val="fr-FR"/>
        </w:rPr>
        <w:t>d</w:t>
      </w:r>
      <w:r>
        <w:rPr>
          <w:lang w:val="fr-FR"/>
        </w:rPr>
        <w:t>’</w:t>
      </w:r>
      <w:r w:rsidRPr="009A5C16">
        <w:rPr>
          <w:lang w:val="fr-FR"/>
        </w:rPr>
        <w:t>une</w:t>
      </w:r>
      <w:r>
        <w:rPr>
          <w:lang w:val="fr-FR"/>
        </w:rPr>
        <w:t xml:space="preserve"> </w:t>
      </w:r>
      <w:r w:rsidRPr="009A5C16">
        <w:rPr>
          <w:lang w:val="fr-FR"/>
        </w:rPr>
        <w:t>communication,</w:t>
      </w:r>
      <w:r>
        <w:rPr>
          <w:lang w:val="fr-FR"/>
        </w:rPr>
        <w:t xml:space="preserve"> </w:t>
      </w:r>
      <w:r w:rsidRPr="009A5C16">
        <w:rPr>
          <w:lang w:val="fr-FR"/>
        </w:rPr>
        <w:t>d</w:t>
      </w:r>
      <w:r>
        <w:rPr>
          <w:lang w:val="fr-FR"/>
        </w:rPr>
        <w:t>’</w:t>
      </w:r>
      <w:r w:rsidRPr="009A5C16">
        <w:rPr>
          <w:lang w:val="fr-FR"/>
        </w:rPr>
        <w:t>en</w:t>
      </w:r>
      <w:r>
        <w:rPr>
          <w:lang w:val="fr-FR"/>
        </w:rPr>
        <w:t xml:space="preserve"> </w:t>
      </w:r>
      <w:r w:rsidRPr="009A5C16">
        <w:rPr>
          <w:lang w:val="fr-FR"/>
        </w:rPr>
        <w:t>mener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examen</w:t>
      </w:r>
      <w:r>
        <w:rPr>
          <w:lang w:val="fr-FR"/>
        </w:rPr>
        <w:t xml:space="preserve"> </w:t>
      </w:r>
      <w:r w:rsidRPr="009A5C16">
        <w:rPr>
          <w:lang w:val="fr-FR"/>
        </w:rPr>
        <w:t>à</w:t>
      </w:r>
      <w:r>
        <w:rPr>
          <w:lang w:val="fr-FR"/>
        </w:rPr>
        <w:t xml:space="preserve"> </w:t>
      </w:r>
      <w:r w:rsidRPr="009A5C16">
        <w:rPr>
          <w:lang w:val="fr-FR"/>
        </w:rPr>
        <w:t>bonne</w:t>
      </w:r>
      <w:r>
        <w:rPr>
          <w:lang w:val="fr-FR"/>
        </w:rPr>
        <w:t xml:space="preserve"> </w:t>
      </w:r>
      <w:r w:rsidRPr="009A5C16">
        <w:rPr>
          <w:lang w:val="fr-FR"/>
        </w:rPr>
        <w:t>fin</w:t>
      </w:r>
      <w:r>
        <w:rPr>
          <w:lang w:val="fr-FR"/>
        </w:rPr>
        <w:t xml:space="preserve"> </w:t>
      </w:r>
      <w:r w:rsidRPr="009A5C16">
        <w:rPr>
          <w:lang w:val="fr-FR"/>
        </w:rPr>
        <w:t>et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faire</w:t>
      </w:r>
      <w:r>
        <w:rPr>
          <w:lang w:val="fr-FR"/>
        </w:rPr>
        <w:t xml:space="preserve"> </w:t>
      </w:r>
      <w:r w:rsidRPr="009A5C16">
        <w:rPr>
          <w:lang w:val="fr-FR"/>
        </w:rPr>
        <w:t>part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ses</w:t>
      </w:r>
      <w:r>
        <w:rPr>
          <w:lang w:val="fr-FR"/>
        </w:rPr>
        <w:t xml:space="preserve"> </w:t>
      </w:r>
      <w:r w:rsidRPr="009A5C16">
        <w:rPr>
          <w:lang w:val="fr-FR"/>
        </w:rPr>
        <w:t>constatations</w:t>
      </w:r>
      <w:r>
        <w:rPr>
          <w:lang w:val="fr-FR"/>
        </w:rPr>
        <w:t xml:space="preserve"> </w:t>
      </w:r>
      <w:r w:rsidRPr="009A5C16">
        <w:rPr>
          <w:lang w:val="fr-FR"/>
        </w:rPr>
        <w:t>est</w:t>
      </w:r>
      <w:r>
        <w:rPr>
          <w:lang w:val="fr-FR"/>
        </w:rPr>
        <w:t xml:space="preserve"> </w:t>
      </w:r>
      <w:r w:rsidRPr="009A5C16">
        <w:rPr>
          <w:lang w:val="fr-FR"/>
        </w:rPr>
        <w:t>incompatible</w:t>
      </w:r>
      <w:r>
        <w:rPr>
          <w:lang w:val="fr-FR"/>
        </w:rPr>
        <w:t xml:space="preserve"> </w:t>
      </w:r>
      <w:r w:rsidRPr="009A5C16">
        <w:rPr>
          <w:lang w:val="fr-FR"/>
        </w:rPr>
        <w:t>avec</w:t>
      </w:r>
      <w:r>
        <w:rPr>
          <w:lang w:val="fr-FR"/>
        </w:rPr>
        <w:t xml:space="preserve"> </w:t>
      </w:r>
      <w:r w:rsidRPr="009A5C16">
        <w:rPr>
          <w:lang w:val="fr-FR"/>
        </w:rPr>
        <w:t>ces</w:t>
      </w:r>
      <w:r>
        <w:rPr>
          <w:lang w:val="fr-FR"/>
        </w:rPr>
        <w:t xml:space="preserve"> </w:t>
      </w:r>
      <w:r w:rsidRPr="009A5C16">
        <w:rPr>
          <w:lang w:val="fr-FR"/>
        </w:rPr>
        <w:t>obligations</w:t>
      </w:r>
      <w:r w:rsidRPr="0078283A">
        <w:rPr>
          <w:rStyle w:val="Appelnotedebasdep"/>
        </w:rPr>
        <w:footnoteReference w:id="5"/>
      </w:r>
      <w:r w:rsidRPr="009A5C16">
        <w:rPr>
          <w:lang w:val="fr-FR"/>
        </w:rPr>
        <w:t>.</w:t>
      </w:r>
      <w:r>
        <w:rPr>
          <w:lang w:val="fr-FR"/>
        </w:rPr>
        <w:t xml:space="preserve"> </w:t>
      </w:r>
      <w:r w:rsidRPr="009A5C16">
        <w:rPr>
          <w:lang w:val="fr-FR"/>
        </w:rPr>
        <w:t>C</w:t>
      </w:r>
      <w:r>
        <w:rPr>
          <w:lang w:val="fr-FR"/>
        </w:rPr>
        <w:t>’</w:t>
      </w:r>
      <w:r w:rsidRPr="009A5C16">
        <w:rPr>
          <w:lang w:val="fr-FR"/>
        </w:rPr>
        <w:t>est</w:t>
      </w:r>
      <w:r>
        <w:rPr>
          <w:lang w:val="fr-FR"/>
        </w:rPr>
        <w:t xml:space="preserve"> </w:t>
      </w:r>
      <w:r w:rsidRPr="009A5C16">
        <w:rPr>
          <w:lang w:val="fr-FR"/>
        </w:rPr>
        <w:t>au</w:t>
      </w:r>
      <w:r>
        <w:rPr>
          <w:lang w:val="fr-FR"/>
        </w:rPr>
        <w:t xml:space="preserve"> </w:t>
      </w:r>
      <w:r w:rsidRPr="009A5C16">
        <w:rPr>
          <w:lang w:val="fr-FR"/>
        </w:rPr>
        <w:t>Comité</w:t>
      </w:r>
      <w:r>
        <w:rPr>
          <w:lang w:val="fr-FR"/>
        </w:rPr>
        <w:t xml:space="preserve"> </w:t>
      </w:r>
      <w:r w:rsidRPr="009A5C16">
        <w:rPr>
          <w:lang w:val="fr-FR"/>
        </w:rPr>
        <w:t>qu</w:t>
      </w:r>
      <w:r>
        <w:rPr>
          <w:lang w:val="fr-FR"/>
        </w:rPr>
        <w:t>’</w:t>
      </w:r>
      <w:r w:rsidRPr="009A5C16">
        <w:rPr>
          <w:lang w:val="fr-FR"/>
        </w:rPr>
        <w:t>il</w:t>
      </w:r>
      <w:r>
        <w:rPr>
          <w:lang w:val="fr-FR"/>
        </w:rPr>
        <w:t xml:space="preserve"> </w:t>
      </w:r>
      <w:r w:rsidRPr="009A5C16">
        <w:rPr>
          <w:lang w:val="fr-FR"/>
        </w:rPr>
        <w:t>appartient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déterminer</w:t>
      </w:r>
      <w:r>
        <w:rPr>
          <w:lang w:val="fr-FR"/>
        </w:rPr>
        <w:t xml:space="preserve"> </w:t>
      </w:r>
      <w:r w:rsidRPr="009A5C16">
        <w:rPr>
          <w:lang w:val="fr-FR"/>
        </w:rPr>
        <w:t>si</w:t>
      </w:r>
      <w:r>
        <w:rPr>
          <w:lang w:val="fr-FR"/>
        </w:rPr>
        <w:t xml:space="preserve"> </w:t>
      </w:r>
      <w:r w:rsidRPr="009A5C16">
        <w:rPr>
          <w:lang w:val="fr-FR"/>
        </w:rPr>
        <w:t>une</w:t>
      </w:r>
      <w:r>
        <w:rPr>
          <w:lang w:val="fr-FR"/>
        </w:rPr>
        <w:t xml:space="preserve"> </w:t>
      </w:r>
      <w:r w:rsidRPr="009A5C16">
        <w:rPr>
          <w:lang w:val="fr-FR"/>
        </w:rPr>
        <w:t>communication</w:t>
      </w:r>
      <w:r>
        <w:rPr>
          <w:lang w:val="fr-FR"/>
        </w:rPr>
        <w:t xml:space="preserve"> </w:t>
      </w:r>
      <w:r w:rsidRPr="009A5C16">
        <w:rPr>
          <w:lang w:val="fr-FR"/>
        </w:rPr>
        <w:t>doit</w:t>
      </w:r>
      <w:r>
        <w:rPr>
          <w:lang w:val="fr-FR"/>
        </w:rPr>
        <w:t xml:space="preserve"> </w:t>
      </w:r>
      <w:r w:rsidRPr="009A5C16">
        <w:rPr>
          <w:lang w:val="fr-FR"/>
        </w:rPr>
        <w:t>être</w:t>
      </w:r>
      <w:r>
        <w:rPr>
          <w:lang w:val="fr-FR"/>
        </w:rPr>
        <w:t xml:space="preserve"> </w:t>
      </w:r>
      <w:r w:rsidRPr="009A5C16">
        <w:rPr>
          <w:lang w:val="fr-FR"/>
        </w:rPr>
        <w:t>enregistrée.</w:t>
      </w:r>
      <w:r>
        <w:rPr>
          <w:lang w:val="fr-FR"/>
        </w:rPr>
        <w:t xml:space="preserve"> </w:t>
      </w:r>
      <w:r w:rsidRPr="009A5C16">
        <w:rPr>
          <w:lang w:val="fr-FR"/>
        </w:rPr>
        <w:t>En</w:t>
      </w:r>
      <w:r>
        <w:rPr>
          <w:lang w:val="fr-FR"/>
        </w:rPr>
        <w:t xml:space="preserve"> </w:t>
      </w:r>
      <w:r w:rsidRPr="009A5C16">
        <w:rPr>
          <w:lang w:val="fr-FR"/>
        </w:rPr>
        <w:t>ne</w:t>
      </w:r>
      <w:r>
        <w:rPr>
          <w:lang w:val="fr-FR"/>
        </w:rPr>
        <w:t xml:space="preserve"> </w:t>
      </w:r>
      <w:r w:rsidRPr="009A5C16">
        <w:rPr>
          <w:lang w:val="fr-FR"/>
        </w:rPr>
        <w:t>reconnaissant</w:t>
      </w:r>
      <w:r>
        <w:rPr>
          <w:lang w:val="fr-FR"/>
        </w:rPr>
        <w:t xml:space="preserve"> </w:t>
      </w:r>
      <w:r w:rsidRPr="009A5C16">
        <w:rPr>
          <w:lang w:val="fr-FR"/>
        </w:rPr>
        <w:t>pas</w:t>
      </w:r>
      <w:r>
        <w:rPr>
          <w:lang w:val="fr-FR"/>
        </w:rPr>
        <w:t xml:space="preserve"> </w:t>
      </w:r>
      <w:r w:rsidRPr="009A5C16">
        <w:rPr>
          <w:lang w:val="fr-FR"/>
        </w:rPr>
        <w:t>la</w:t>
      </w:r>
      <w:r>
        <w:rPr>
          <w:lang w:val="fr-FR"/>
        </w:rPr>
        <w:t xml:space="preserve"> </w:t>
      </w:r>
      <w:r w:rsidRPr="009A5C16">
        <w:rPr>
          <w:lang w:val="fr-FR"/>
        </w:rPr>
        <w:t>compétence</w:t>
      </w:r>
      <w:r>
        <w:rPr>
          <w:lang w:val="fr-FR"/>
        </w:rPr>
        <w:t xml:space="preserve"> </w:t>
      </w:r>
      <w:r w:rsidRPr="009A5C16">
        <w:rPr>
          <w:lang w:val="fr-FR"/>
        </w:rPr>
        <w:t>du</w:t>
      </w:r>
      <w:r>
        <w:rPr>
          <w:lang w:val="fr-FR"/>
        </w:rPr>
        <w:t xml:space="preserve"> </w:t>
      </w:r>
      <w:r w:rsidRPr="009A5C16">
        <w:rPr>
          <w:lang w:val="fr-FR"/>
        </w:rPr>
        <w:t>Comité</w:t>
      </w:r>
      <w:r>
        <w:rPr>
          <w:lang w:val="fr-FR"/>
        </w:rPr>
        <w:t xml:space="preserve"> </w:t>
      </w:r>
      <w:r w:rsidRPr="009A5C16">
        <w:rPr>
          <w:lang w:val="fr-FR"/>
        </w:rPr>
        <w:t>pour</w:t>
      </w:r>
      <w:r>
        <w:rPr>
          <w:lang w:val="fr-FR"/>
        </w:rPr>
        <w:t xml:space="preserve"> </w:t>
      </w:r>
      <w:r w:rsidRPr="009A5C16">
        <w:rPr>
          <w:lang w:val="fr-FR"/>
        </w:rPr>
        <w:t>ce</w:t>
      </w:r>
      <w:r>
        <w:rPr>
          <w:lang w:val="fr-FR"/>
        </w:rPr>
        <w:t xml:space="preserve"> </w:t>
      </w:r>
      <w:r w:rsidRPr="009A5C16">
        <w:rPr>
          <w:lang w:val="fr-FR"/>
        </w:rPr>
        <w:t>qui</w:t>
      </w:r>
      <w:r>
        <w:rPr>
          <w:lang w:val="fr-FR"/>
        </w:rPr>
        <w:t xml:space="preserve"> </w:t>
      </w:r>
      <w:r w:rsidRPr="009A5C16">
        <w:rPr>
          <w:lang w:val="fr-FR"/>
        </w:rPr>
        <w:t>est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décider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opportunité</w:t>
      </w:r>
      <w:r>
        <w:rPr>
          <w:lang w:val="fr-FR"/>
        </w:rPr>
        <w:t xml:space="preserve"> </w:t>
      </w:r>
      <w:r w:rsidRPr="009A5C16">
        <w:rPr>
          <w:lang w:val="fr-FR"/>
        </w:rPr>
        <w:t>d</w:t>
      </w:r>
      <w:r>
        <w:rPr>
          <w:lang w:val="fr-FR"/>
        </w:rPr>
        <w:t>’</w:t>
      </w:r>
      <w:r w:rsidRPr="009A5C16">
        <w:rPr>
          <w:lang w:val="fr-FR"/>
        </w:rPr>
        <w:t>enregistrer</w:t>
      </w:r>
      <w:r>
        <w:rPr>
          <w:lang w:val="fr-FR"/>
        </w:rPr>
        <w:t xml:space="preserve"> </w:t>
      </w:r>
      <w:r w:rsidRPr="009A5C16">
        <w:rPr>
          <w:lang w:val="fr-FR"/>
        </w:rPr>
        <w:t>une</w:t>
      </w:r>
      <w:r>
        <w:rPr>
          <w:lang w:val="fr-FR"/>
        </w:rPr>
        <w:t xml:space="preserve"> </w:t>
      </w:r>
      <w:r w:rsidRPr="009A5C16">
        <w:rPr>
          <w:lang w:val="fr-FR"/>
        </w:rPr>
        <w:t>communication</w:t>
      </w:r>
      <w:r>
        <w:rPr>
          <w:lang w:val="fr-FR"/>
        </w:rPr>
        <w:t xml:space="preserve"> </w:t>
      </w:r>
      <w:r w:rsidRPr="009A5C16">
        <w:rPr>
          <w:lang w:val="fr-FR"/>
        </w:rPr>
        <w:t>et</w:t>
      </w:r>
      <w:r>
        <w:rPr>
          <w:lang w:val="fr-FR"/>
        </w:rPr>
        <w:t xml:space="preserve"> </w:t>
      </w:r>
      <w:r w:rsidRPr="009A5C16">
        <w:rPr>
          <w:lang w:val="fr-FR"/>
        </w:rPr>
        <w:t>en</w:t>
      </w:r>
      <w:r>
        <w:rPr>
          <w:lang w:val="fr-FR"/>
        </w:rPr>
        <w:t xml:space="preserve"> </w:t>
      </w:r>
      <w:r w:rsidRPr="009A5C16">
        <w:rPr>
          <w:lang w:val="fr-FR"/>
        </w:rPr>
        <w:t>cessant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coopérer</w:t>
      </w:r>
      <w:r>
        <w:rPr>
          <w:lang w:val="fr-FR"/>
        </w:rPr>
        <w:t xml:space="preserve"> </w:t>
      </w:r>
      <w:r w:rsidRPr="009A5C16">
        <w:rPr>
          <w:lang w:val="fr-FR"/>
        </w:rPr>
        <w:t>avec</w:t>
      </w:r>
      <w:r>
        <w:rPr>
          <w:lang w:val="fr-FR"/>
        </w:rPr>
        <w:t xml:space="preserve"> </w:t>
      </w:r>
      <w:r w:rsidRPr="009A5C16">
        <w:rPr>
          <w:lang w:val="fr-FR"/>
        </w:rPr>
        <w:t>lui</w:t>
      </w:r>
      <w:r>
        <w:rPr>
          <w:lang w:val="fr-FR"/>
        </w:rPr>
        <w:t xml:space="preserve"> </w:t>
      </w:r>
      <w:r w:rsidRPr="009A5C16">
        <w:rPr>
          <w:lang w:val="fr-FR"/>
        </w:rPr>
        <w:t>au</w:t>
      </w:r>
      <w:r>
        <w:rPr>
          <w:lang w:val="fr-FR"/>
        </w:rPr>
        <w:t xml:space="preserve"> </w:t>
      </w:r>
      <w:r w:rsidRPr="009A5C16">
        <w:rPr>
          <w:lang w:val="fr-FR"/>
        </w:rPr>
        <w:t>sujet</w:t>
      </w:r>
      <w:r>
        <w:rPr>
          <w:lang w:val="fr-FR"/>
        </w:rPr>
        <w:t xml:space="preserve"> </w:t>
      </w:r>
      <w:r w:rsidRPr="009A5C16">
        <w:rPr>
          <w:lang w:val="fr-FR"/>
        </w:rPr>
        <w:t>d</w:t>
      </w:r>
      <w:r>
        <w:rPr>
          <w:lang w:val="fr-FR"/>
        </w:rPr>
        <w:t>’</w:t>
      </w:r>
      <w:r w:rsidRPr="009A5C16">
        <w:rPr>
          <w:lang w:val="fr-FR"/>
        </w:rPr>
        <w:t>une</w:t>
      </w:r>
      <w:r>
        <w:rPr>
          <w:lang w:val="fr-FR"/>
        </w:rPr>
        <w:t xml:space="preserve"> </w:t>
      </w:r>
      <w:r w:rsidRPr="009A5C16">
        <w:rPr>
          <w:lang w:val="fr-FR"/>
        </w:rPr>
        <w:t>communication,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État</w:t>
      </w:r>
      <w:r>
        <w:rPr>
          <w:lang w:val="fr-FR"/>
        </w:rPr>
        <w:t xml:space="preserve"> </w:t>
      </w:r>
      <w:r w:rsidRPr="009A5C16">
        <w:rPr>
          <w:lang w:val="fr-FR"/>
        </w:rPr>
        <w:t>partie</w:t>
      </w:r>
      <w:r>
        <w:rPr>
          <w:lang w:val="fr-FR"/>
        </w:rPr>
        <w:t xml:space="preserve"> </w:t>
      </w:r>
      <w:r w:rsidRPr="009A5C16">
        <w:rPr>
          <w:lang w:val="fr-FR"/>
        </w:rPr>
        <w:t>manque</w:t>
      </w:r>
      <w:r>
        <w:rPr>
          <w:lang w:val="fr-FR"/>
        </w:rPr>
        <w:t xml:space="preserve"> </w:t>
      </w:r>
      <w:r w:rsidRPr="009A5C16">
        <w:rPr>
          <w:lang w:val="fr-FR"/>
        </w:rPr>
        <w:t>aux</w:t>
      </w:r>
      <w:r>
        <w:rPr>
          <w:lang w:val="fr-FR"/>
        </w:rPr>
        <w:t xml:space="preserve"> </w:t>
      </w:r>
      <w:r w:rsidRPr="009A5C16">
        <w:rPr>
          <w:lang w:val="fr-FR"/>
        </w:rPr>
        <w:t>obligations</w:t>
      </w:r>
      <w:r>
        <w:rPr>
          <w:lang w:val="fr-FR"/>
        </w:rPr>
        <w:t xml:space="preserve"> </w:t>
      </w:r>
      <w:r w:rsidRPr="009A5C16">
        <w:rPr>
          <w:lang w:val="fr-FR"/>
        </w:rPr>
        <w:t>qui</w:t>
      </w:r>
      <w:r>
        <w:rPr>
          <w:lang w:val="fr-FR"/>
        </w:rPr>
        <w:t xml:space="preserve"> </w:t>
      </w:r>
      <w:r w:rsidRPr="009A5C16">
        <w:rPr>
          <w:lang w:val="fr-FR"/>
        </w:rPr>
        <w:t>lui</w:t>
      </w:r>
      <w:r>
        <w:rPr>
          <w:lang w:val="fr-FR"/>
        </w:rPr>
        <w:t xml:space="preserve"> </w:t>
      </w:r>
      <w:r w:rsidRPr="009A5C16">
        <w:rPr>
          <w:lang w:val="fr-FR"/>
        </w:rPr>
        <w:t>incombent</w:t>
      </w:r>
      <w:r>
        <w:rPr>
          <w:lang w:val="fr-FR"/>
        </w:rPr>
        <w:t xml:space="preserve"> </w:t>
      </w:r>
      <w:r w:rsidRPr="009A5C16">
        <w:rPr>
          <w:lang w:val="fr-FR"/>
        </w:rPr>
        <w:t>au</w:t>
      </w:r>
      <w:r>
        <w:rPr>
          <w:lang w:val="fr-FR"/>
        </w:rPr>
        <w:t xml:space="preserve"> </w:t>
      </w:r>
      <w:r w:rsidRPr="009A5C16">
        <w:rPr>
          <w:lang w:val="fr-FR"/>
        </w:rPr>
        <w:t>titre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article</w:t>
      </w:r>
      <w:r>
        <w:rPr>
          <w:lang w:val="fr-FR"/>
        </w:rPr>
        <w:t xml:space="preserve"> </w:t>
      </w:r>
      <w:r w:rsidRPr="009A5C16">
        <w:rPr>
          <w:lang w:val="fr-FR"/>
        </w:rPr>
        <w:t>premier</w:t>
      </w:r>
      <w:r>
        <w:rPr>
          <w:lang w:val="fr-FR"/>
        </w:rPr>
        <w:t xml:space="preserve"> </w:t>
      </w:r>
      <w:r w:rsidRPr="009A5C16">
        <w:rPr>
          <w:lang w:val="fr-FR"/>
        </w:rPr>
        <w:t>du</w:t>
      </w:r>
      <w:r>
        <w:rPr>
          <w:lang w:val="fr-FR"/>
        </w:rPr>
        <w:t xml:space="preserve"> </w:t>
      </w:r>
      <w:r w:rsidRPr="009A5C16">
        <w:rPr>
          <w:lang w:val="fr-FR"/>
        </w:rPr>
        <w:t>Protocole</w:t>
      </w:r>
      <w:r>
        <w:rPr>
          <w:lang w:val="fr-FR"/>
        </w:rPr>
        <w:t xml:space="preserve"> </w:t>
      </w:r>
      <w:r w:rsidRPr="009A5C16">
        <w:rPr>
          <w:lang w:val="fr-FR"/>
        </w:rPr>
        <w:t>facultatif.</w:t>
      </w:r>
    </w:p>
    <w:p w:rsidR="000E5700" w:rsidRPr="009A5C16" w:rsidRDefault="000E5700" w:rsidP="000E5700">
      <w:pPr>
        <w:pStyle w:val="H23G"/>
        <w:rPr>
          <w:lang w:val="fr-FR"/>
        </w:rPr>
      </w:pPr>
      <w:r w:rsidRPr="000E5700">
        <w:rPr>
          <w:iCs/>
          <w:lang w:val="fr-FR"/>
        </w:rPr>
        <w:tab/>
      </w:r>
      <w:r w:rsidRPr="000E5700">
        <w:rPr>
          <w:iCs/>
          <w:lang w:val="fr-FR"/>
        </w:rPr>
        <w:tab/>
      </w:r>
      <w:r w:rsidRPr="009A5C16">
        <w:rPr>
          <w:lang w:val="fr-FR"/>
        </w:rPr>
        <w:t>Délibérations</w:t>
      </w:r>
      <w:r>
        <w:rPr>
          <w:lang w:val="fr-FR"/>
        </w:rPr>
        <w:t xml:space="preserve"> </w:t>
      </w:r>
      <w:r w:rsidRPr="009A5C16">
        <w:rPr>
          <w:lang w:val="fr-FR"/>
        </w:rPr>
        <w:t>du</w:t>
      </w:r>
      <w:r>
        <w:rPr>
          <w:lang w:val="fr-FR"/>
        </w:rPr>
        <w:t xml:space="preserve"> </w:t>
      </w:r>
      <w:r w:rsidRPr="009A5C16">
        <w:rPr>
          <w:lang w:val="fr-FR"/>
        </w:rPr>
        <w:t>Comité</w:t>
      </w:r>
    </w:p>
    <w:p w:rsidR="000E5700" w:rsidRPr="009A5C16" w:rsidRDefault="000E5700" w:rsidP="000E5700">
      <w:pPr>
        <w:pStyle w:val="H4G"/>
        <w:rPr>
          <w:lang w:val="fr-FR"/>
        </w:rPr>
      </w:pPr>
      <w:r w:rsidRPr="000E5700">
        <w:rPr>
          <w:lang w:val="fr-FR"/>
        </w:rPr>
        <w:tab/>
      </w:r>
      <w:r w:rsidRPr="000E5700">
        <w:rPr>
          <w:lang w:val="fr-FR"/>
        </w:rPr>
        <w:tab/>
      </w:r>
      <w:r w:rsidRPr="009A5C16">
        <w:rPr>
          <w:lang w:val="fr-FR"/>
        </w:rPr>
        <w:t>Examen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la</w:t>
      </w:r>
      <w:r>
        <w:rPr>
          <w:lang w:val="fr-FR"/>
        </w:rPr>
        <w:t xml:space="preserve"> </w:t>
      </w:r>
      <w:r w:rsidRPr="009A5C16">
        <w:rPr>
          <w:lang w:val="fr-FR"/>
        </w:rPr>
        <w:t>recevabilité</w:t>
      </w:r>
    </w:p>
    <w:p w:rsidR="000E5700" w:rsidRPr="009A5C16" w:rsidRDefault="000E5700" w:rsidP="000E5700">
      <w:pPr>
        <w:pStyle w:val="SingleTxtG"/>
        <w:rPr>
          <w:lang w:val="fr-FR"/>
        </w:rPr>
      </w:pPr>
      <w:r w:rsidRPr="009A5C16">
        <w:rPr>
          <w:lang w:val="fr-FR"/>
        </w:rPr>
        <w:t>7.1</w:t>
      </w:r>
      <w:r w:rsidRPr="009A5C16">
        <w:rPr>
          <w:lang w:val="fr-FR"/>
        </w:rPr>
        <w:tab/>
        <w:t>Avant</w:t>
      </w:r>
      <w:r>
        <w:rPr>
          <w:lang w:val="fr-FR"/>
        </w:rPr>
        <w:t xml:space="preserve"> </w:t>
      </w:r>
      <w:r w:rsidRPr="009A5C16">
        <w:rPr>
          <w:lang w:val="fr-FR"/>
        </w:rPr>
        <w:t>d</w:t>
      </w:r>
      <w:r>
        <w:rPr>
          <w:lang w:val="fr-FR"/>
        </w:rPr>
        <w:t>’</w:t>
      </w:r>
      <w:r w:rsidRPr="009A5C16">
        <w:rPr>
          <w:lang w:val="fr-FR"/>
        </w:rPr>
        <w:t>examiner</w:t>
      </w:r>
      <w:r>
        <w:rPr>
          <w:lang w:val="fr-FR"/>
        </w:rPr>
        <w:t xml:space="preserve"> </w:t>
      </w:r>
      <w:r w:rsidRPr="009A5C16">
        <w:rPr>
          <w:lang w:val="fr-FR"/>
        </w:rPr>
        <w:t>tout</w:t>
      </w:r>
      <w:r>
        <w:rPr>
          <w:lang w:val="fr-FR"/>
        </w:rPr>
        <w:t xml:space="preserve"> </w:t>
      </w:r>
      <w:r w:rsidRPr="009A5C16">
        <w:rPr>
          <w:lang w:val="fr-FR"/>
        </w:rPr>
        <w:t>grief</w:t>
      </w:r>
      <w:r>
        <w:rPr>
          <w:lang w:val="fr-FR"/>
        </w:rPr>
        <w:t xml:space="preserve"> </w:t>
      </w:r>
      <w:r w:rsidRPr="009A5C16">
        <w:rPr>
          <w:lang w:val="fr-FR"/>
        </w:rPr>
        <w:t>formulé</w:t>
      </w:r>
      <w:r>
        <w:rPr>
          <w:lang w:val="fr-FR"/>
        </w:rPr>
        <w:t xml:space="preserve"> </w:t>
      </w:r>
      <w:r w:rsidRPr="009A5C16">
        <w:rPr>
          <w:lang w:val="fr-FR"/>
        </w:rPr>
        <w:t>dans</w:t>
      </w:r>
      <w:r>
        <w:rPr>
          <w:lang w:val="fr-FR"/>
        </w:rPr>
        <w:t xml:space="preserve"> </w:t>
      </w:r>
      <w:r w:rsidRPr="009A5C16">
        <w:rPr>
          <w:lang w:val="fr-FR"/>
        </w:rPr>
        <w:t>une</w:t>
      </w:r>
      <w:r>
        <w:rPr>
          <w:lang w:val="fr-FR"/>
        </w:rPr>
        <w:t xml:space="preserve"> </w:t>
      </w:r>
      <w:r w:rsidRPr="009A5C16">
        <w:rPr>
          <w:lang w:val="fr-FR"/>
        </w:rPr>
        <w:t>communication,</w:t>
      </w:r>
      <w:r>
        <w:rPr>
          <w:lang w:val="fr-FR"/>
        </w:rPr>
        <w:t xml:space="preserve"> </w:t>
      </w:r>
      <w:r w:rsidRPr="009A5C16">
        <w:rPr>
          <w:lang w:val="fr-FR"/>
        </w:rPr>
        <w:t>le</w:t>
      </w:r>
      <w:r>
        <w:rPr>
          <w:lang w:val="fr-FR"/>
        </w:rPr>
        <w:t xml:space="preserve"> </w:t>
      </w:r>
      <w:r w:rsidRPr="009A5C16">
        <w:rPr>
          <w:lang w:val="fr-FR"/>
        </w:rPr>
        <w:t>Comité</w:t>
      </w:r>
      <w:r>
        <w:rPr>
          <w:lang w:val="fr-FR"/>
        </w:rPr>
        <w:t xml:space="preserve"> </w:t>
      </w:r>
      <w:r w:rsidRPr="009A5C16">
        <w:rPr>
          <w:lang w:val="fr-FR"/>
        </w:rPr>
        <w:t>doit,</w:t>
      </w:r>
      <w:r>
        <w:rPr>
          <w:lang w:val="fr-FR"/>
        </w:rPr>
        <w:t xml:space="preserve"> </w:t>
      </w:r>
      <w:r w:rsidRPr="009A5C16">
        <w:rPr>
          <w:lang w:val="fr-FR"/>
        </w:rPr>
        <w:t>conformément</w:t>
      </w:r>
      <w:r>
        <w:rPr>
          <w:lang w:val="fr-FR"/>
        </w:rPr>
        <w:t xml:space="preserve"> </w:t>
      </w:r>
      <w:r w:rsidRPr="009A5C16">
        <w:rPr>
          <w:lang w:val="fr-FR"/>
        </w:rPr>
        <w:t>à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article</w:t>
      </w:r>
      <w:r>
        <w:rPr>
          <w:lang w:val="fr-FR"/>
        </w:rPr>
        <w:t xml:space="preserve"> </w:t>
      </w:r>
      <w:r w:rsidRPr="009A5C16">
        <w:rPr>
          <w:lang w:val="fr-FR"/>
        </w:rPr>
        <w:t>97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son</w:t>
      </w:r>
      <w:r>
        <w:rPr>
          <w:lang w:val="fr-FR"/>
        </w:rPr>
        <w:t xml:space="preserve"> </w:t>
      </w:r>
      <w:r w:rsidRPr="009A5C16">
        <w:rPr>
          <w:lang w:val="fr-FR"/>
        </w:rPr>
        <w:t>règlement</w:t>
      </w:r>
      <w:r>
        <w:rPr>
          <w:lang w:val="fr-FR"/>
        </w:rPr>
        <w:t xml:space="preserve"> </w:t>
      </w:r>
      <w:r w:rsidRPr="009A5C16">
        <w:rPr>
          <w:lang w:val="fr-FR"/>
        </w:rPr>
        <w:t>intérieur,</w:t>
      </w:r>
      <w:r>
        <w:rPr>
          <w:lang w:val="fr-FR"/>
        </w:rPr>
        <w:t xml:space="preserve"> </w:t>
      </w:r>
      <w:r w:rsidRPr="009A5C16">
        <w:rPr>
          <w:lang w:val="fr-FR"/>
        </w:rPr>
        <w:t>déterminer</w:t>
      </w:r>
      <w:r>
        <w:rPr>
          <w:lang w:val="fr-FR"/>
        </w:rPr>
        <w:t xml:space="preserve"> </w:t>
      </w:r>
      <w:r w:rsidRPr="009A5C16">
        <w:rPr>
          <w:lang w:val="fr-FR"/>
        </w:rPr>
        <w:t>si</w:t>
      </w:r>
      <w:r>
        <w:rPr>
          <w:lang w:val="fr-FR"/>
        </w:rPr>
        <w:t xml:space="preserve"> </w:t>
      </w:r>
      <w:r w:rsidRPr="009A5C16">
        <w:rPr>
          <w:lang w:val="fr-FR"/>
        </w:rPr>
        <w:t>la</w:t>
      </w:r>
      <w:r>
        <w:rPr>
          <w:lang w:val="fr-FR"/>
        </w:rPr>
        <w:t xml:space="preserve"> </w:t>
      </w:r>
      <w:r w:rsidRPr="009A5C16">
        <w:rPr>
          <w:lang w:val="fr-FR"/>
        </w:rPr>
        <w:t>communication</w:t>
      </w:r>
      <w:r>
        <w:rPr>
          <w:lang w:val="fr-FR"/>
        </w:rPr>
        <w:t xml:space="preserve"> </w:t>
      </w:r>
      <w:r w:rsidRPr="009A5C16">
        <w:rPr>
          <w:lang w:val="fr-FR"/>
        </w:rPr>
        <w:t>est</w:t>
      </w:r>
      <w:r>
        <w:rPr>
          <w:lang w:val="fr-FR"/>
        </w:rPr>
        <w:t xml:space="preserve"> </w:t>
      </w:r>
      <w:r w:rsidRPr="009A5C16">
        <w:rPr>
          <w:lang w:val="fr-FR"/>
        </w:rPr>
        <w:t>recevable</w:t>
      </w:r>
      <w:r>
        <w:rPr>
          <w:lang w:val="fr-FR"/>
        </w:rPr>
        <w:t xml:space="preserve"> </w:t>
      </w:r>
      <w:r w:rsidRPr="009A5C16">
        <w:rPr>
          <w:lang w:val="fr-FR"/>
        </w:rPr>
        <w:t>au</w:t>
      </w:r>
      <w:r>
        <w:rPr>
          <w:lang w:val="fr-FR"/>
        </w:rPr>
        <w:t xml:space="preserve"> </w:t>
      </w:r>
      <w:r w:rsidRPr="009A5C16">
        <w:rPr>
          <w:lang w:val="fr-FR"/>
        </w:rPr>
        <w:t>regard</w:t>
      </w:r>
      <w:r>
        <w:rPr>
          <w:lang w:val="fr-FR"/>
        </w:rPr>
        <w:t xml:space="preserve"> </w:t>
      </w:r>
      <w:r w:rsidRPr="009A5C16">
        <w:rPr>
          <w:lang w:val="fr-FR"/>
        </w:rPr>
        <w:t>du</w:t>
      </w:r>
      <w:r>
        <w:rPr>
          <w:lang w:val="fr-FR"/>
        </w:rPr>
        <w:t xml:space="preserve"> </w:t>
      </w:r>
      <w:r w:rsidRPr="009A5C16">
        <w:rPr>
          <w:lang w:val="fr-FR"/>
        </w:rPr>
        <w:t>Protocole</w:t>
      </w:r>
      <w:r>
        <w:rPr>
          <w:lang w:val="fr-FR"/>
        </w:rPr>
        <w:t xml:space="preserve"> </w:t>
      </w:r>
      <w:r w:rsidRPr="009A5C16">
        <w:rPr>
          <w:lang w:val="fr-FR"/>
        </w:rPr>
        <w:t>facultatif.</w:t>
      </w:r>
    </w:p>
    <w:p w:rsidR="000E5700" w:rsidRDefault="000E5700" w:rsidP="000E5700">
      <w:pPr>
        <w:pStyle w:val="SingleTxtG"/>
        <w:rPr>
          <w:lang w:val="fr-FR"/>
        </w:rPr>
      </w:pPr>
      <w:r w:rsidRPr="009A5C16">
        <w:rPr>
          <w:lang w:val="fr-FR"/>
        </w:rPr>
        <w:t>7.2</w:t>
      </w:r>
      <w:r w:rsidRPr="009A5C16">
        <w:rPr>
          <w:lang w:val="fr-FR"/>
        </w:rPr>
        <w:tab/>
        <w:t>Le</w:t>
      </w:r>
      <w:r>
        <w:rPr>
          <w:lang w:val="fr-FR"/>
        </w:rPr>
        <w:t xml:space="preserve"> </w:t>
      </w:r>
      <w:r w:rsidRPr="009A5C16">
        <w:rPr>
          <w:lang w:val="fr-FR"/>
        </w:rPr>
        <w:t>Comité</w:t>
      </w:r>
      <w:r>
        <w:rPr>
          <w:lang w:val="fr-FR"/>
        </w:rPr>
        <w:t xml:space="preserve"> </w:t>
      </w:r>
      <w:r w:rsidRPr="009A5C16">
        <w:rPr>
          <w:lang w:val="fr-FR"/>
        </w:rPr>
        <w:t>s</w:t>
      </w:r>
      <w:r>
        <w:rPr>
          <w:lang w:val="fr-FR"/>
        </w:rPr>
        <w:t>’</w:t>
      </w:r>
      <w:r w:rsidRPr="009A5C16">
        <w:rPr>
          <w:lang w:val="fr-FR"/>
        </w:rPr>
        <w:t>est</w:t>
      </w:r>
      <w:r>
        <w:rPr>
          <w:lang w:val="fr-FR"/>
        </w:rPr>
        <w:t xml:space="preserve"> </w:t>
      </w:r>
      <w:r w:rsidRPr="009A5C16">
        <w:rPr>
          <w:lang w:val="fr-FR"/>
        </w:rPr>
        <w:t>assuré,</w:t>
      </w:r>
      <w:r>
        <w:rPr>
          <w:lang w:val="fr-FR"/>
        </w:rPr>
        <w:t xml:space="preserve"> </w:t>
      </w:r>
      <w:r w:rsidRPr="009A5C16">
        <w:rPr>
          <w:lang w:val="fr-FR"/>
        </w:rPr>
        <w:t>comme</w:t>
      </w:r>
      <w:r>
        <w:rPr>
          <w:lang w:val="fr-FR"/>
        </w:rPr>
        <w:t xml:space="preserve"> </w:t>
      </w:r>
      <w:r w:rsidRPr="009A5C16">
        <w:rPr>
          <w:lang w:val="fr-FR"/>
        </w:rPr>
        <w:t>il</w:t>
      </w:r>
      <w:r>
        <w:rPr>
          <w:lang w:val="fr-FR"/>
        </w:rPr>
        <w:t xml:space="preserve"> </w:t>
      </w:r>
      <w:r w:rsidRPr="009A5C16">
        <w:rPr>
          <w:lang w:val="fr-FR"/>
        </w:rPr>
        <w:t>est</w:t>
      </w:r>
      <w:r>
        <w:rPr>
          <w:lang w:val="fr-FR"/>
        </w:rPr>
        <w:t xml:space="preserve"> </w:t>
      </w:r>
      <w:r w:rsidRPr="009A5C16">
        <w:rPr>
          <w:lang w:val="fr-FR"/>
        </w:rPr>
        <w:t>tenu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le</w:t>
      </w:r>
      <w:r>
        <w:rPr>
          <w:lang w:val="fr-FR"/>
        </w:rPr>
        <w:t xml:space="preserve"> </w:t>
      </w:r>
      <w:r w:rsidRPr="009A5C16">
        <w:rPr>
          <w:lang w:val="fr-FR"/>
        </w:rPr>
        <w:t>faire</w:t>
      </w:r>
      <w:r>
        <w:rPr>
          <w:lang w:val="fr-FR"/>
        </w:rPr>
        <w:t xml:space="preserve"> </w:t>
      </w:r>
      <w:r w:rsidRPr="009A5C16">
        <w:rPr>
          <w:lang w:val="fr-FR"/>
        </w:rPr>
        <w:t>conformément</w:t>
      </w:r>
      <w:r>
        <w:rPr>
          <w:lang w:val="fr-FR"/>
        </w:rPr>
        <w:t xml:space="preserve"> à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article</w:t>
      </w:r>
      <w:r>
        <w:rPr>
          <w:lang w:val="fr-FR"/>
        </w:rPr>
        <w:t xml:space="preserve"> </w:t>
      </w:r>
      <w:r w:rsidRPr="009A5C16">
        <w:rPr>
          <w:lang w:val="fr-FR"/>
        </w:rPr>
        <w:t>5</w:t>
      </w:r>
      <w:r>
        <w:rPr>
          <w:lang w:val="fr-FR"/>
        </w:rPr>
        <w:t xml:space="preserve"> (par. 2</w:t>
      </w:r>
      <w:r w:rsidR="00AB6B32">
        <w:rPr>
          <w:lang w:val="fr-FR"/>
        </w:rPr>
        <w:t> </w:t>
      </w:r>
      <w:r>
        <w:rPr>
          <w:lang w:val="fr-FR"/>
        </w:rPr>
        <w:t xml:space="preserve">a)) </w:t>
      </w:r>
      <w:r w:rsidRPr="009A5C16">
        <w:rPr>
          <w:lang w:val="fr-FR"/>
        </w:rPr>
        <w:t>du</w:t>
      </w:r>
      <w:r>
        <w:rPr>
          <w:lang w:val="fr-FR"/>
        </w:rPr>
        <w:t xml:space="preserve"> </w:t>
      </w:r>
      <w:r w:rsidRPr="009A5C16">
        <w:rPr>
          <w:lang w:val="fr-FR"/>
        </w:rPr>
        <w:t>Protocole</w:t>
      </w:r>
      <w:r>
        <w:rPr>
          <w:lang w:val="fr-FR"/>
        </w:rPr>
        <w:t xml:space="preserve"> </w:t>
      </w:r>
      <w:r w:rsidRPr="009A5C16">
        <w:rPr>
          <w:lang w:val="fr-FR"/>
        </w:rPr>
        <w:t>facultatif,</w:t>
      </w:r>
      <w:r>
        <w:rPr>
          <w:lang w:val="fr-FR"/>
        </w:rPr>
        <w:t xml:space="preserve"> </w:t>
      </w:r>
      <w:r w:rsidRPr="009A5C16">
        <w:rPr>
          <w:lang w:val="fr-FR"/>
        </w:rPr>
        <w:t>que</w:t>
      </w:r>
      <w:r>
        <w:rPr>
          <w:lang w:val="fr-FR"/>
        </w:rPr>
        <w:t xml:space="preserve"> </w:t>
      </w:r>
      <w:r w:rsidRPr="009A5C16">
        <w:rPr>
          <w:lang w:val="fr-FR"/>
        </w:rPr>
        <w:t>la</w:t>
      </w:r>
      <w:r>
        <w:rPr>
          <w:lang w:val="fr-FR"/>
        </w:rPr>
        <w:t xml:space="preserve"> </w:t>
      </w:r>
      <w:r w:rsidRPr="009A5C16">
        <w:rPr>
          <w:lang w:val="fr-FR"/>
        </w:rPr>
        <w:t>même</w:t>
      </w:r>
      <w:r>
        <w:rPr>
          <w:lang w:val="fr-FR"/>
        </w:rPr>
        <w:t xml:space="preserve"> </w:t>
      </w:r>
      <w:r w:rsidRPr="009A5C16">
        <w:rPr>
          <w:lang w:val="fr-FR"/>
        </w:rPr>
        <w:t>question</w:t>
      </w:r>
      <w:r>
        <w:rPr>
          <w:lang w:val="fr-FR"/>
        </w:rPr>
        <w:t xml:space="preserve"> </w:t>
      </w:r>
      <w:r w:rsidRPr="009A5C16">
        <w:rPr>
          <w:lang w:val="fr-FR"/>
        </w:rPr>
        <w:t>n</w:t>
      </w:r>
      <w:r>
        <w:rPr>
          <w:lang w:val="fr-FR"/>
        </w:rPr>
        <w:t>’</w:t>
      </w:r>
      <w:r w:rsidRPr="009A5C16">
        <w:rPr>
          <w:lang w:val="fr-FR"/>
        </w:rPr>
        <w:t>était</w:t>
      </w:r>
      <w:r>
        <w:rPr>
          <w:lang w:val="fr-FR"/>
        </w:rPr>
        <w:t xml:space="preserve"> </w:t>
      </w:r>
      <w:r w:rsidRPr="009A5C16">
        <w:rPr>
          <w:lang w:val="fr-FR"/>
        </w:rPr>
        <w:t>pas</w:t>
      </w:r>
      <w:r>
        <w:rPr>
          <w:lang w:val="fr-FR"/>
        </w:rPr>
        <w:t xml:space="preserve"> </w:t>
      </w:r>
      <w:r w:rsidRPr="009A5C16">
        <w:rPr>
          <w:lang w:val="fr-FR"/>
        </w:rPr>
        <w:t>déjà</w:t>
      </w:r>
      <w:r>
        <w:rPr>
          <w:lang w:val="fr-FR"/>
        </w:rPr>
        <w:t xml:space="preserve"> </w:t>
      </w:r>
      <w:r w:rsidRPr="009A5C16">
        <w:rPr>
          <w:lang w:val="fr-FR"/>
        </w:rPr>
        <w:t>en</w:t>
      </w:r>
      <w:r>
        <w:rPr>
          <w:lang w:val="fr-FR"/>
        </w:rPr>
        <w:t xml:space="preserve"> </w:t>
      </w:r>
      <w:r w:rsidRPr="009A5C16">
        <w:rPr>
          <w:lang w:val="fr-FR"/>
        </w:rPr>
        <w:t>cours</w:t>
      </w:r>
      <w:r>
        <w:rPr>
          <w:lang w:val="fr-FR"/>
        </w:rPr>
        <w:t xml:space="preserve"> </w:t>
      </w:r>
      <w:r w:rsidRPr="009A5C16">
        <w:rPr>
          <w:lang w:val="fr-FR"/>
        </w:rPr>
        <w:t>d</w:t>
      </w:r>
      <w:r>
        <w:rPr>
          <w:lang w:val="fr-FR"/>
        </w:rPr>
        <w:t>’</w:t>
      </w:r>
      <w:r w:rsidRPr="009A5C16">
        <w:rPr>
          <w:lang w:val="fr-FR"/>
        </w:rPr>
        <w:t>examen</w:t>
      </w:r>
      <w:r>
        <w:rPr>
          <w:lang w:val="fr-FR"/>
        </w:rPr>
        <w:t xml:space="preserve"> </w:t>
      </w:r>
      <w:r w:rsidRPr="009A5C16">
        <w:rPr>
          <w:lang w:val="fr-FR"/>
        </w:rPr>
        <w:t>devant</w:t>
      </w:r>
      <w:r>
        <w:rPr>
          <w:lang w:val="fr-FR"/>
        </w:rPr>
        <w:t xml:space="preserve"> </w:t>
      </w:r>
      <w:r w:rsidRPr="009A5C16">
        <w:rPr>
          <w:lang w:val="fr-FR"/>
        </w:rPr>
        <w:t>une</w:t>
      </w:r>
      <w:r>
        <w:rPr>
          <w:lang w:val="fr-FR"/>
        </w:rPr>
        <w:t xml:space="preserve"> </w:t>
      </w:r>
      <w:r w:rsidRPr="009A5C16">
        <w:rPr>
          <w:lang w:val="fr-FR"/>
        </w:rPr>
        <w:t>autre</w:t>
      </w:r>
      <w:r>
        <w:rPr>
          <w:lang w:val="fr-FR"/>
        </w:rPr>
        <w:t xml:space="preserve"> </w:t>
      </w:r>
      <w:r w:rsidRPr="009A5C16">
        <w:rPr>
          <w:lang w:val="fr-FR"/>
        </w:rPr>
        <w:t>instance</w:t>
      </w:r>
      <w:r>
        <w:rPr>
          <w:lang w:val="fr-FR"/>
        </w:rPr>
        <w:t xml:space="preserve"> </w:t>
      </w:r>
      <w:r w:rsidRPr="009A5C16">
        <w:rPr>
          <w:lang w:val="fr-FR"/>
        </w:rPr>
        <w:t>internationale</w:t>
      </w:r>
      <w:r>
        <w:rPr>
          <w:lang w:val="fr-FR"/>
        </w:rPr>
        <w:t xml:space="preserve"> </w:t>
      </w:r>
      <w:r w:rsidRPr="009A5C16">
        <w:rPr>
          <w:lang w:val="fr-FR"/>
        </w:rPr>
        <w:t>d</w:t>
      </w:r>
      <w:r>
        <w:rPr>
          <w:lang w:val="fr-FR"/>
        </w:rPr>
        <w:t>’</w:t>
      </w:r>
      <w:r w:rsidRPr="009A5C16">
        <w:rPr>
          <w:lang w:val="fr-FR"/>
        </w:rPr>
        <w:t>enquête</w:t>
      </w:r>
      <w:r>
        <w:rPr>
          <w:lang w:val="fr-FR"/>
        </w:rPr>
        <w:t xml:space="preserve"> </w:t>
      </w:r>
      <w:r w:rsidRPr="009A5C16">
        <w:rPr>
          <w:lang w:val="fr-FR"/>
        </w:rPr>
        <w:t>ou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règlement.</w:t>
      </w:r>
    </w:p>
    <w:p w:rsidR="000E5700" w:rsidRPr="009A5C16" w:rsidRDefault="000E5700" w:rsidP="000E5700">
      <w:pPr>
        <w:pStyle w:val="SingleTxtG"/>
        <w:rPr>
          <w:lang w:val="fr-FR"/>
        </w:rPr>
      </w:pPr>
      <w:r w:rsidRPr="009A5C16">
        <w:rPr>
          <w:lang w:val="fr-FR"/>
        </w:rPr>
        <w:t>7.3</w:t>
      </w:r>
      <w:r w:rsidRPr="009A5C16">
        <w:rPr>
          <w:lang w:val="fr-FR"/>
        </w:rPr>
        <w:tab/>
        <w:t>Le</w:t>
      </w:r>
      <w:r>
        <w:rPr>
          <w:lang w:val="fr-FR"/>
        </w:rPr>
        <w:t xml:space="preserve"> </w:t>
      </w:r>
      <w:r w:rsidRPr="009A5C16">
        <w:rPr>
          <w:lang w:val="fr-FR"/>
        </w:rPr>
        <w:t>Comité</w:t>
      </w:r>
      <w:r>
        <w:rPr>
          <w:lang w:val="fr-FR"/>
        </w:rPr>
        <w:t xml:space="preserve"> </w:t>
      </w:r>
      <w:r w:rsidRPr="009A5C16">
        <w:rPr>
          <w:lang w:val="fr-FR"/>
        </w:rPr>
        <w:t>note</w:t>
      </w:r>
      <w:r>
        <w:rPr>
          <w:lang w:val="fr-FR"/>
        </w:rPr>
        <w:t xml:space="preserve"> </w:t>
      </w:r>
      <w:r w:rsidRPr="009A5C16">
        <w:rPr>
          <w:lang w:val="fr-FR"/>
        </w:rPr>
        <w:t>que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État</w:t>
      </w:r>
      <w:r>
        <w:rPr>
          <w:lang w:val="fr-FR"/>
        </w:rPr>
        <w:t xml:space="preserve"> </w:t>
      </w:r>
      <w:r w:rsidRPr="009A5C16">
        <w:rPr>
          <w:lang w:val="fr-FR"/>
        </w:rPr>
        <w:t>partie</w:t>
      </w:r>
      <w:r>
        <w:rPr>
          <w:lang w:val="fr-FR"/>
        </w:rPr>
        <w:t xml:space="preserve"> </w:t>
      </w:r>
      <w:r w:rsidRPr="009A5C16">
        <w:rPr>
          <w:lang w:val="fr-FR"/>
        </w:rPr>
        <w:t>affirme</w:t>
      </w:r>
      <w:r>
        <w:rPr>
          <w:lang w:val="fr-FR"/>
        </w:rPr>
        <w:t xml:space="preserve"> </w:t>
      </w:r>
      <w:r w:rsidRPr="009A5C16">
        <w:rPr>
          <w:lang w:val="fr-FR"/>
        </w:rPr>
        <w:t>que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auteur</w:t>
      </w:r>
      <w:r>
        <w:rPr>
          <w:lang w:val="fr-FR"/>
        </w:rPr>
        <w:t xml:space="preserve"> </w:t>
      </w:r>
      <w:r w:rsidRPr="009A5C16">
        <w:rPr>
          <w:lang w:val="fr-FR"/>
        </w:rPr>
        <w:t>n</w:t>
      </w:r>
      <w:r>
        <w:rPr>
          <w:lang w:val="fr-FR"/>
        </w:rPr>
        <w:t>’</w:t>
      </w:r>
      <w:r w:rsidRPr="009A5C16">
        <w:rPr>
          <w:lang w:val="fr-FR"/>
        </w:rPr>
        <w:t>a</w:t>
      </w:r>
      <w:r>
        <w:rPr>
          <w:lang w:val="fr-FR"/>
        </w:rPr>
        <w:t xml:space="preserve"> </w:t>
      </w:r>
      <w:r w:rsidRPr="009A5C16">
        <w:rPr>
          <w:lang w:val="fr-FR"/>
        </w:rPr>
        <w:t>pas</w:t>
      </w:r>
      <w:r>
        <w:rPr>
          <w:lang w:val="fr-FR"/>
        </w:rPr>
        <w:t xml:space="preserve"> </w:t>
      </w:r>
      <w:r w:rsidRPr="009A5C16">
        <w:rPr>
          <w:lang w:val="fr-FR"/>
        </w:rPr>
        <w:t>épuisé</w:t>
      </w:r>
      <w:r>
        <w:rPr>
          <w:lang w:val="fr-FR"/>
        </w:rPr>
        <w:t xml:space="preserve"> </w:t>
      </w:r>
      <w:r w:rsidRPr="009A5C16">
        <w:rPr>
          <w:lang w:val="fr-FR"/>
        </w:rPr>
        <w:t>tous</w:t>
      </w:r>
      <w:r>
        <w:rPr>
          <w:lang w:val="fr-FR"/>
        </w:rPr>
        <w:t xml:space="preserve"> </w:t>
      </w:r>
      <w:r w:rsidRPr="009A5C16">
        <w:rPr>
          <w:lang w:val="fr-FR"/>
        </w:rPr>
        <w:t>les</w:t>
      </w:r>
      <w:r>
        <w:rPr>
          <w:lang w:val="fr-FR"/>
        </w:rPr>
        <w:t xml:space="preserve"> </w:t>
      </w:r>
      <w:r w:rsidRPr="009A5C16">
        <w:rPr>
          <w:lang w:val="fr-FR"/>
        </w:rPr>
        <w:t>recours</w:t>
      </w:r>
      <w:r>
        <w:rPr>
          <w:lang w:val="fr-FR"/>
        </w:rPr>
        <w:t xml:space="preserve"> </w:t>
      </w:r>
      <w:r w:rsidRPr="009A5C16">
        <w:rPr>
          <w:lang w:val="fr-FR"/>
        </w:rPr>
        <w:t>internes.</w:t>
      </w:r>
      <w:r>
        <w:rPr>
          <w:lang w:val="fr-FR"/>
        </w:rPr>
        <w:t xml:space="preserve"> </w:t>
      </w:r>
      <w:r w:rsidRPr="009A5C16">
        <w:rPr>
          <w:lang w:val="fr-FR"/>
        </w:rPr>
        <w:t>Il</w:t>
      </w:r>
      <w:r>
        <w:rPr>
          <w:lang w:val="fr-FR"/>
        </w:rPr>
        <w:t xml:space="preserve"> constate </w:t>
      </w:r>
      <w:r w:rsidRPr="009A5C16">
        <w:rPr>
          <w:lang w:val="fr-FR"/>
        </w:rPr>
        <w:t>cependant</w:t>
      </w:r>
      <w:r>
        <w:rPr>
          <w:lang w:val="fr-FR"/>
        </w:rPr>
        <w:t xml:space="preserve"> </w:t>
      </w:r>
      <w:r w:rsidRPr="009A5C16">
        <w:rPr>
          <w:lang w:val="fr-FR"/>
        </w:rPr>
        <w:t>que</w:t>
      </w:r>
      <w:r>
        <w:rPr>
          <w:lang w:val="fr-FR"/>
        </w:rPr>
        <w:t xml:space="preserve"> l’intéressé a présenté deux demandes de contrôle, les 15</w:t>
      </w:r>
      <w:r w:rsidR="00AB6B32">
        <w:rPr>
          <w:lang w:val="fr-FR"/>
        </w:rPr>
        <w:t> </w:t>
      </w:r>
      <w:r>
        <w:rPr>
          <w:lang w:val="fr-FR"/>
        </w:rPr>
        <w:t>octobre et 16</w:t>
      </w:r>
      <w:r w:rsidR="00AB6B32">
        <w:rPr>
          <w:lang w:val="fr-FR"/>
        </w:rPr>
        <w:t> </w:t>
      </w:r>
      <w:r>
        <w:rPr>
          <w:lang w:val="fr-FR"/>
        </w:rPr>
        <w:t xml:space="preserve">décembre 2013, et que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État</w:t>
      </w:r>
      <w:r>
        <w:rPr>
          <w:lang w:val="fr-FR"/>
        </w:rPr>
        <w:t xml:space="preserve"> </w:t>
      </w:r>
      <w:r w:rsidRPr="009A5C16">
        <w:rPr>
          <w:lang w:val="fr-FR"/>
        </w:rPr>
        <w:t>partie</w:t>
      </w:r>
      <w:r>
        <w:rPr>
          <w:lang w:val="fr-FR"/>
        </w:rPr>
        <w:t xml:space="preserve"> </w:t>
      </w:r>
      <w:r w:rsidRPr="009A5C16">
        <w:rPr>
          <w:lang w:val="fr-FR"/>
        </w:rPr>
        <w:t>n</w:t>
      </w:r>
      <w:r>
        <w:rPr>
          <w:lang w:val="fr-FR"/>
        </w:rPr>
        <w:t>’</w:t>
      </w:r>
      <w:r w:rsidRPr="009A5C16">
        <w:rPr>
          <w:lang w:val="fr-FR"/>
        </w:rPr>
        <w:t>a</w:t>
      </w:r>
      <w:r>
        <w:rPr>
          <w:lang w:val="fr-FR"/>
        </w:rPr>
        <w:t xml:space="preserve"> </w:t>
      </w:r>
      <w:r w:rsidRPr="009A5C16">
        <w:rPr>
          <w:lang w:val="fr-FR"/>
        </w:rPr>
        <w:t>pas</w:t>
      </w:r>
      <w:r>
        <w:rPr>
          <w:lang w:val="fr-FR"/>
        </w:rPr>
        <w:t xml:space="preserve"> </w:t>
      </w:r>
      <w:r w:rsidRPr="009A5C16">
        <w:rPr>
          <w:lang w:val="fr-FR"/>
        </w:rPr>
        <w:t>précisé</w:t>
      </w:r>
      <w:r>
        <w:rPr>
          <w:lang w:val="fr-FR"/>
        </w:rPr>
        <w:t xml:space="preserve"> </w:t>
      </w:r>
      <w:r w:rsidRPr="009A5C16">
        <w:rPr>
          <w:lang w:val="fr-FR"/>
        </w:rPr>
        <w:t>quels</w:t>
      </w:r>
      <w:r>
        <w:rPr>
          <w:lang w:val="fr-FR"/>
        </w:rPr>
        <w:t xml:space="preserve"> </w:t>
      </w:r>
      <w:r w:rsidRPr="009A5C16">
        <w:rPr>
          <w:lang w:val="fr-FR"/>
        </w:rPr>
        <w:t>recours</w:t>
      </w:r>
      <w:r>
        <w:rPr>
          <w:lang w:val="fr-FR"/>
        </w:rPr>
        <w:t xml:space="preserve"> </w:t>
      </w:r>
      <w:r w:rsidRPr="009A5C16">
        <w:rPr>
          <w:lang w:val="fr-FR"/>
        </w:rPr>
        <w:t>internes</w:t>
      </w:r>
      <w:r>
        <w:rPr>
          <w:lang w:val="fr-FR"/>
        </w:rPr>
        <w:t xml:space="preserve"> susceptibles d’être utiles étaient à sa disposition</w:t>
      </w:r>
      <w:r w:rsidRPr="009A5C16">
        <w:rPr>
          <w:lang w:val="fr-FR"/>
        </w:rPr>
        <w:t>.</w:t>
      </w:r>
      <w:r>
        <w:rPr>
          <w:lang w:val="fr-FR"/>
        </w:rPr>
        <w:t xml:space="preserve"> Il </w:t>
      </w:r>
      <w:r w:rsidRPr="009A5C16">
        <w:rPr>
          <w:lang w:val="fr-FR"/>
        </w:rPr>
        <w:t>considère</w:t>
      </w:r>
      <w:r>
        <w:rPr>
          <w:lang w:val="fr-FR"/>
        </w:rPr>
        <w:t xml:space="preserve"> </w:t>
      </w:r>
      <w:r w:rsidRPr="009A5C16">
        <w:rPr>
          <w:lang w:val="fr-FR"/>
        </w:rPr>
        <w:t>donc</w:t>
      </w:r>
      <w:r>
        <w:rPr>
          <w:lang w:val="fr-FR"/>
        </w:rPr>
        <w:t xml:space="preserve"> </w:t>
      </w:r>
      <w:r w:rsidRPr="009A5C16">
        <w:rPr>
          <w:lang w:val="fr-FR"/>
        </w:rPr>
        <w:t>que</w:t>
      </w:r>
      <w:r>
        <w:rPr>
          <w:lang w:val="fr-FR"/>
        </w:rPr>
        <w:t xml:space="preserve"> </w:t>
      </w:r>
      <w:r w:rsidRPr="009A5C16">
        <w:rPr>
          <w:lang w:val="fr-FR"/>
        </w:rPr>
        <w:t>les</w:t>
      </w:r>
      <w:r>
        <w:rPr>
          <w:lang w:val="fr-FR"/>
        </w:rPr>
        <w:t xml:space="preserve"> </w:t>
      </w:r>
      <w:r w:rsidRPr="009A5C16">
        <w:rPr>
          <w:lang w:val="fr-FR"/>
        </w:rPr>
        <w:t>dispositions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article</w:t>
      </w:r>
      <w:r>
        <w:rPr>
          <w:lang w:val="fr-FR"/>
        </w:rPr>
        <w:t xml:space="preserve"> </w:t>
      </w:r>
      <w:r w:rsidRPr="009A5C16">
        <w:rPr>
          <w:lang w:val="fr-FR"/>
        </w:rPr>
        <w:t>5</w:t>
      </w:r>
      <w:r>
        <w:rPr>
          <w:lang w:val="fr-FR"/>
        </w:rPr>
        <w:t xml:space="preserve"> (par. 2</w:t>
      </w:r>
      <w:r w:rsidR="00AB6B32">
        <w:rPr>
          <w:lang w:val="fr-FR"/>
        </w:rPr>
        <w:t> </w:t>
      </w:r>
      <w:r>
        <w:rPr>
          <w:lang w:val="fr-FR"/>
        </w:rPr>
        <w:t xml:space="preserve">b)) </w:t>
      </w:r>
      <w:r w:rsidRPr="009A5C16">
        <w:rPr>
          <w:lang w:val="fr-FR"/>
        </w:rPr>
        <w:t>du</w:t>
      </w:r>
      <w:r>
        <w:rPr>
          <w:lang w:val="fr-FR"/>
        </w:rPr>
        <w:t xml:space="preserve"> </w:t>
      </w:r>
      <w:r w:rsidRPr="009A5C16">
        <w:rPr>
          <w:lang w:val="fr-FR"/>
        </w:rPr>
        <w:t>Protocole</w:t>
      </w:r>
      <w:r>
        <w:rPr>
          <w:lang w:val="fr-FR"/>
        </w:rPr>
        <w:t xml:space="preserve"> </w:t>
      </w:r>
      <w:r w:rsidRPr="009A5C16">
        <w:rPr>
          <w:lang w:val="fr-FR"/>
        </w:rPr>
        <w:t>facultatif</w:t>
      </w:r>
      <w:r>
        <w:rPr>
          <w:lang w:val="fr-FR"/>
        </w:rPr>
        <w:t xml:space="preserve"> </w:t>
      </w:r>
      <w:r w:rsidRPr="009A5C16">
        <w:rPr>
          <w:lang w:val="fr-FR"/>
        </w:rPr>
        <w:t>ne</w:t>
      </w:r>
      <w:r>
        <w:rPr>
          <w:lang w:val="fr-FR"/>
        </w:rPr>
        <w:t xml:space="preserve"> </w:t>
      </w:r>
      <w:r w:rsidRPr="009A5C16">
        <w:rPr>
          <w:lang w:val="fr-FR"/>
        </w:rPr>
        <w:t>font</w:t>
      </w:r>
      <w:r>
        <w:rPr>
          <w:lang w:val="fr-FR"/>
        </w:rPr>
        <w:t xml:space="preserve"> </w:t>
      </w:r>
      <w:r w:rsidRPr="009A5C16">
        <w:rPr>
          <w:lang w:val="fr-FR"/>
        </w:rPr>
        <w:t>pas</w:t>
      </w:r>
      <w:r>
        <w:rPr>
          <w:lang w:val="fr-FR"/>
        </w:rPr>
        <w:t xml:space="preserve"> </w:t>
      </w:r>
      <w:r w:rsidRPr="009A5C16">
        <w:rPr>
          <w:lang w:val="fr-FR"/>
        </w:rPr>
        <w:t>obstacle</w:t>
      </w:r>
      <w:r>
        <w:rPr>
          <w:lang w:val="fr-FR"/>
        </w:rPr>
        <w:t xml:space="preserve"> </w:t>
      </w:r>
      <w:r w:rsidRPr="009A5C16">
        <w:rPr>
          <w:lang w:val="fr-FR"/>
        </w:rPr>
        <w:t>à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examen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la</w:t>
      </w:r>
      <w:r>
        <w:rPr>
          <w:lang w:val="fr-FR"/>
        </w:rPr>
        <w:t xml:space="preserve"> </w:t>
      </w:r>
      <w:r w:rsidRPr="009A5C16">
        <w:rPr>
          <w:lang w:val="fr-FR"/>
        </w:rPr>
        <w:t>communication.</w:t>
      </w:r>
      <w:r>
        <w:rPr>
          <w:lang w:val="fr-FR"/>
        </w:rPr>
        <w:t xml:space="preserve"> </w:t>
      </w:r>
      <w:r w:rsidRPr="009A5C16">
        <w:rPr>
          <w:lang w:val="fr-FR"/>
        </w:rPr>
        <w:t>En</w:t>
      </w:r>
      <w:r>
        <w:rPr>
          <w:lang w:val="fr-FR"/>
        </w:rPr>
        <w:t xml:space="preserve"> </w:t>
      </w:r>
      <w:r w:rsidRPr="009A5C16">
        <w:rPr>
          <w:lang w:val="fr-FR"/>
        </w:rPr>
        <w:t>conséquence,</w:t>
      </w:r>
      <w:r>
        <w:rPr>
          <w:lang w:val="fr-FR"/>
        </w:rPr>
        <w:t xml:space="preserve"> </w:t>
      </w:r>
      <w:r w:rsidRPr="009A5C16">
        <w:rPr>
          <w:lang w:val="fr-FR"/>
        </w:rPr>
        <w:t>il</w:t>
      </w:r>
      <w:r>
        <w:rPr>
          <w:lang w:val="fr-FR"/>
        </w:rPr>
        <w:t xml:space="preserve"> </w:t>
      </w:r>
      <w:r w:rsidRPr="009A5C16">
        <w:rPr>
          <w:lang w:val="fr-FR"/>
        </w:rPr>
        <w:t>déclare</w:t>
      </w:r>
      <w:r>
        <w:rPr>
          <w:lang w:val="fr-FR"/>
        </w:rPr>
        <w:t xml:space="preserve"> </w:t>
      </w:r>
      <w:r w:rsidRPr="009A5C16">
        <w:rPr>
          <w:lang w:val="fr-FR"/>
        </w:rPr>
        <w:t>recevables</w:t>
      </w:r>
      <w:r>
        <w:rPr>
          <w:lang w:val="fr-FR"/>
        </w:rPr>
        <w:t xml:space="preserve"> </w:t>
      </w:r>
      <w:r w:rsidRPr="009A5C16">
        <w:rPr>
          <w:lang w:val="fr-FR"/>
        </w:rPr>
        <w:t>les</w:t>
      </w:r>
      <w:r>
        <w:rPr>
          <w:lang w:val="fr-FR"/>
        </w:rPr>
        <w:t xml:space="preserve"> </w:t>
      </w:r>
      <w:r w:rsidRPr="009A5C16">
        <w:rPr>
          <w:lang w:val="fr-FR"/>
        </w:rPr>
        <w:t>griefs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auteur</w:t>
      </w:r>
      <w:r>
        <w:rPr>
          <w:lang w:val="fr-FR"/>
        </w:rPr>
        <w:t xml:space="preserve"> </w:t>
      </w:r>
      <w:r w:rsidRPr="009A5C16">
        <w:rPr>
          <w:lang w:val="fr-FR"/>
        </w:rPr>
        <w:t>et</w:t>
      </w:r>
      <w:r>
        <w:rPr>
          <w:lang w:val="fr-FR"/>
        </w:rPr>
        <w:t xml:space="preserve"> </w:t>
      </w:r>
      <w:r w:rsidRPr="009A5C16">
        <w:rPr>
          <w:lang w:val="fr-FR"/>
        </w:rPr>
        <w:t>procède</w:t>
      </w:r>
      <w:r>
        <w:rPr>
          <w:lang w:val="fr-FR"/>
        </w:rPr>
        <w:t xml:space="preserve"> </w:t>
      </w:r>
      <w:r w:rsidRPr="009A5C16">
        <w:rPr>
          <w:lang w:val="fr-FR"/>
        </w:rPr>
        <w:t>à</w:t>
      </w:r>
      <w:r>
        <w:rPr>
          <w:lang w:val="fr-FR"/>
        </w:rPr>
        <w:t xml:space="preserve"> </w:t>
      </w:r>
      <w:r w:rsidRPr="009A5C16">
        <w:rPr>
          <w:lang w:val="fr-FR"/>
        </w:rPr>
        <w:t>leur</w:t>
      </w:r>
      <w:r>
        <w:rPr>
          <w:lang w:val="fr-FR"/>
        </w:rPr>
        <w:t xml:space="preserve"> </w:t>
      </w:r>
      <w:r w:rsidRPr="009A5C16">
        <w:rPr>
          <w:lang w:val="fr-FR"/>
        </w:rPr>
        <w:t>examen</w:t>
      </w:r>
      <w:r>
        <w:rPr>
          <w:lang w:val="fr-FR"/>
        </w:rPr>
        <w:t xml:space="preserve"> </w:t>
      </w:r>
      <w:r w:rsidRPr="009A5C16">
        <w:rPr>
          <w:lang w:val="fr-FR"/>
        </w:rPr>
        <w:t>quant</w:t>
      </w:r>
      <w:r>
        <w:rPr>
          <w:lang w:val="fr-FR"/>
        </w:rPr>
        <w:t xml:space="preserve"> </w:t>
      </w:r>
      <w:r w:rsidRPr="009A5C16">
        <w:rPr>
          <w:lang w:val="fr-FR"/>
        </w:rPr>
        <w:t>au</w:t>
      </w:r>
      <w:r>
        <w:rPr>
          <w:lang w:val="fr-FR"/>
        </w:rPr>
        <w:t xml:space="preserve"> </w:t>
      </w:r>
      <w:r w:rsidRPr="009A5C16">
        <w:rPr>
          <w:lang w:val="fr-FR"/>
        </w:rPr>
        <w:t>fond.</w:t>
      </w:r>
    </w:p>
    <w:p w:rsidR="000E5700" w:rsidRPr="009A5C16" w:rsidRDefault="000E5700" w:rsidP="000E5700">
      <w:pPr>
        <w:pStyle w:val="H4G"/>
        <w:rPr>
          <w:lang w:val="fr-FR"/>
        </w:rPr>
      </w:pPr>
      <w:r w:rsidRPr="009A5C16">
        <w:rPr>
          <w:lang w:val="fr-FR"/>
        </w:rPr>
        <w:tab/>
      </w:r>
      <w:r w:rsidRPr="009A5C16">
        <w:rPr>
          <w:lang w:val="fr-FR"/>
        </w:rPr>
        <w:tab/>
        <w:t>Examen</w:t>
      </w:r>
      <w:r>
        <w:rPr>
          <w:lang w:val="fr-FR"/>
        </w:rPr>
        <w:t xml:space="preserve"> </w:t>
      </w:r>
      <w:r w:rsidRPr="009A5C16">
        <w:rPr>
          <w:lang w:val="fr-FR"/>
        </w:rPr>
        <w:t>au</w:t>
      </w:r>
      <w:r>
        <w:rPr>
          <w:lang w:val="fr-FR"/>
        </w:rPr>
        <w:t xml:space="preserve"> </w:t>
      </w:r>
      <w:r w:rsidRPr="009A5C16">
        <w:rPr>
          <w:lang w:val="fr-FR"/>
        </w:rPr>
        <w:t>fond</w:t>
      </w:r>
    </w:p>
    <w:p w:rsidR="000E5700" w:rsidRPr="009A5C16" w:rsidRDefault="000E5700" w:rsidP="000E5700">
      <w:pPr>
        <w:pStyle w:val="SingleTxtG"/>
        <w:rPr>
          <w:lang w:val="fr-FR"/>
        </w:rPr>
      </w:pPr>
      <w:r w:rsidRPr="009A5C16">
        <w:rPr>
          <w:lang w:val="fr-FR"/>
        </w:rPr>
        <w:t>8.1</w:t>
      </w:r>
      <w:r w:rsidRPr="009A5C16">
        <w:rPr>
          <w:lang w:val="fr-FR"/>
        </w:rPr>
        <w:tab/>
        <w:t>Conformément</w:t>
      </w:r>
      <w:r>
        <w:rPr>
          <w:lang w:val="fr-FR"/>
        </w:rPr>
        <w:t xml:space="preserve"> </w:t>
      </w:r>
      <w:r w:rsidRPr="009A5C16">
        <w:rPr>
          <w:lang w:val="fr-FR"/>
        </w:rPr>
        <w:t>au</w:t>
      </w:r>
      <w:r>
        <w:rPr>
          <w:lang w:val="fr-FR"/>
        </w:rPr>
        <w:t xml:space="preserve"> </w:t>
      </w:r>
      <w:r w:rsidRPr="009A5C16">
        <w:rPr>
          <w:lang w:val="fr-FR"/>
        </w:rPr>
        <w:t>paragraphe</w:t>
      </w:r>
      <w:r>
        <w:rPr>
          <w:lang w:val="fr-FR"/>
        </w:rPr>
        <w:t xml:space="preserve"> </w:t>
      </w:r>
      <w:r w:rsidRPr="009A5C16">
        <w:rPr>
          <w:lang w:val="fr-FR"/>
        </w:rPr>
        <w:t>1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article</w:t>
      </w:r>
      <w:r>
        <w:rPr>
          <w:lang w:val="fr-FR"/>
        </w:rPr>
        <w:t xml:space="preserve"> </w:t>
      </w:r>
      <w:r w:rsidRPr="009A5C16">
        <w:rPr>
          <w:lang w:val="fr-FR"/>
        </w:rPr>
        <w:t>5</w:t>
      </w:r>
      <w:r>
        <w:rPr>
          <w:lang w:val="fr-FR"/>
        </w:rPr>
        <w:t xml:space="preserve"> </w:t>
      </w:r>
      <w:r w:rsidRPr="009A5C16">
        <w:rPr>
          <w:lang w:val="fr-FR"/>
        </w:rPr>
        <w:t>du</w:t>
      </w:r>
      <w:r>
        <w:rPr>
          <w:lang w:val="fr-FR"/>
        </w:rPr>
        <w:t xml:space="preserve"> </w:t>
      </w:r>
      <w:r w:rsidRPr="009A5C16">
        <w:rPr>
          <w:lang w:val="fr-FR"/>
        </w:rPr>
        <w:t>Protocole</w:t>
      </w:r>
      <w:r>
        <w:rPr>
          <w:lang w:val="fr-FR"/>
        </w:rPr>
        <w:t xml:space="preserve"> </w:t>
      </w:r>
      <w:r w:rsidRPr="009A5C16">
        <w:rPr>
          <w:lang w:val="fr-FR"/>
        </w:rPr>
        <w:t>facultatif,</w:t>
      </w:r>
      <w:r>
        <w:rPr>
          <w:lang w:val="fr-FR"/>
        </w:rPr>
        <w:t xml:space="preserve"> </w:t>
      </w:r>
      <w:r w:rsidRPr="009A5C16">
        <w:rPr>
          <w:lang w:val="fr-FR"/>
        </w:rPr>
        <w:t>le</w:t>
      </w:r>
      <w:r>
        <w:rPr>
          <w:lang w:val="fr-FR"/>
        </w:rPr>
        <w:t xml:space="preserve"> </w:t>
      </w:r>
      <w:r w:rsidRPr="009A5C16">
        <w:rPr>
          <w:lang w:val="fr-FR"/>
        </w:rPr>
        <w:t>Comité</w:t>
      </w:r>
      <w:r>
        <w:rPr>
          <w:lang w:val="fr-FR"/>
        </w:rPr>
        <w:t xml:space="preserve"> </w:t>
      </w:r>
      <w:r w:rsidRPr="009A5C16">
        <w:rPr>
          <w:lang w:val="fr-FR"/>
        </w:rPr>
        <w:t>des</w:t>
      </w:r>
      <w:r>
        <w:rPr>
          <w:lang w:val="fr-FR"/>
        </w:rPr>
        <w:t xml:space="preserve"> </w:t>
      </w:r>
      <w:r w:rsidRPr="009A5C16">
        <w:rPr>
          <w:lang w:val="fr-FR"/>
        </w:rPr>
        <w:t>droits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homme</w:t>
      </w:r>
      <w:r>
        <w:rPr>
          <w:lang w:val="fr-FR"/>
        </w:rPr>
        <w:t xml:space="preserve"> </w:t>
      </w:r>
      <w:r w:rsidRPr="009A5C16">
        <w:rPr>
          <w:lang w:val="fr-FR"/>
        </w:rPr>
        <w:t>a</w:t>
      </w:r>
      <w:r>
        <w:rPr>
          <w:lang w:val="fr-FR"/>
        </w:rPr>
        <w:t xml:space="preserve"> </w:t>
      </w:r>
      <w:r w:rsidRPr="009A5C16">
        <w:rPr>
          <w:lang w:val="fr-FR"/>
        </w:rPr>
        <w:t>examiné</w:t>
      </w:r>
      <w:r>
        <w:rPr>
          <w:lang w:val="fr-FR"/>
        </w:rPr>
        <w:t xml:space="preserve"> </w:t>
      </w:r>
      <w:r w:rsidRPr="009A5C16">
        <w:rPr>
          <w:lang w:val="fr-FR"/>
        </w:rPr>
        <w:t>la</w:t>
      </w:r>
      <w:r>
        <w:rPr>
          <w:lang w:val="fr-FR"/>
        </w:rPr>
        <w:t xml:space="preserve"> </w:t>
      </w:r>
      <w:r w:rsidRPr="009A5C16">
        <w:rPr>
          <w:lang w:val="fr-FR"/>
        </w:rPr>
        <w:t>présente</w:t>
      </w:r>
      <w:r>
        <w:rPr>
          <w:lang w:val="fr-FR"/>
        </w:rPr>
        <w:t xml:space="preserve"> </w:t>
      </w:r>
      <w:r w:rsidRPr="009A5C16">
        <w:rPr>
          <w:lang w:val="fr-FR"/>
        </w:rPr>
        <w:t>communication</w:t>
      </w:r>
      <w:r>
        <w:rPr>
          <w:lang w:val="fr-FR"/>
        </w:rPr>
        <w:t xml:space="preserve"> </w:t>
      </w:r>
      <w:r w:rsidRPr="009A5C16">
        <w:rPr>
          <w:lang w:val="fr-FR"/>
        </w:rPr>
        <w:t>en</w:t>
      </w:r>
      <w:r>
        <w:rPr>
          <w:lang w:val="fr-FR"/>
        </w:rPr>
        <w:t xml:space="preserve"> </w:t>
      </w:r>
      <w:r w:rsidRPr="009A5C16">
        <w:rPr>
          <w:lang w:val="fr-FR"/>
        </w:rPr>
        <w:t>tenant</w:t>
      </w:r>
      <w:r>
        <w:rPr>
          <w:lang w:val="fr-FR"/>
        </w:rPr>
        <w:t xml:space="preserve"> </w:t>
      </w:r>
      <w:r w:rsidRPr="009A5C16">
        <w:rPr>
          <w:lang w:val="fr-FR"/>
        </w:rPr>
        <w:t>compte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toutes</w:t>
      </w:r>
      <w:r>
        <w:rPr>
          <w:lang w:val="fr-FR"/>
        </w:rPr>
        <w:t xml:space="preserve"> </w:t>
      </w:r>
      <w:r w:rsidRPr="009A5C16">
        <w:rPr>
          <w:lang w:val="fr-FR"/>
        </w:rPr>
        <w:t>les</w:t>
      </w:r>
      <w:r>
        <w:rPr>
          <w:lang w:val="fr-FR"/>
        </w:rPr>
        <w:t xml:space="preserve"> </w:t>
      </w:r>
      <w:r w:rsidRPr="009A5C16">
        <w:rPr>
          <w:lang w:val="fr-FR"/>
        </w:rPr>
        <w:t>informations</w:t>
      </w:r>
      <w:r>
        <w:rPr>
          <w:lang w:val="fr-FR"/>
        </w:rPr>
        <w:t xml:space="preserve"> </w:t>
      </w:r>
      <w:r w:rsidRPr="009A5C16">
        <w:rPr>
          <w:lang w:val="fr-FR"/>
        </w:rPr>
        <w:t>que</w:t>
      </w:r>
      <w:r>
        <w:rPr>
          <w:lang w:val="fr-FR"/>
        </w:rPr>
        <w:t xml:space="preserve"> </w:t>
      </w:r>
      <w:r w:rsidRPr="009A5C16">
        <w:rPr>
          <w:lang w:val="fr-FR"/>
        </w:rPr>
        <w:t>lui</w:t>
      </w:r>
      <w:r>
        <w:rPr>
          <w:lang w:val="fr-FR"/>
        </w:rPr>
        <w:t xml:space="preserve"> </w:t>
      </w:r>
      <w:r w:rsidRPr="009A5C16">
        <w:rPr>
          <w:lang w:val="fr-FR"/>
        </w:rPr>
        <w:t>ont</w:t>
      </w:r>
      <w:r>
        <w:rPr>
          <w:lang w:val="fr-FR"/>
        </w:rPr>
        <w:t xml:space="preserve"> </w:t>
      </w:r>
      <w:r w:rsidRPr="009A5C16">
        <w:rPr>
          <w:lang w:val="fr-FR"/>
        </w:rPr>
        <w:t>communiquées</w:t>
      </w:r>
      <w:r>
        <w:rPr>
          <w:lang w:val="fr-FR"/>
        </w:rPr>
        <w:t xml:space="preserve"> </w:t>
      </w:r>
      <w:r w:rsidRPr="009A5C16">
        <w:rPr>
          <w:lang w:val="fr-FR"/>
        </w:rPr>
        <w:t>les</w:t>
      </w:r>
      <w:r>
        <w:rPr>
          <w:lang w:val="fr-FR"/>
        </w:rPr>
        <w:t xml:space="preserve"> </w:t>
      </w:r>
      <w:r w:rsidRPr="009A5C16">
        <w:rPr>
          <w:lang w:val="fr-FR"/>
        </w:rPr>
        <w:t>parties.</w:t>
      </w:r>
    </w:p>
    <w:p w:rsidR="000E5700" w:rsidRPr="009A5C16" w:rsidRDefault="000E5700" w:rsidP="000E5700">
      <w:pPr>
        <w:pStyle w:val="SingleTxtG"/>
        <w:rPr>
          <w:lang w:val="fr-FR"/>
        </w:rPr>
      </w:pPr>
      <w:r w:rsidRPr="009A5C16">
        <w:rPr>
          <w:lang w:val="fr-FR"/>
        </w:rPr>
        <w:t>8.2</w:t>
      </w:r>
      <w:r w:rsidRPr="009A5C16">
        <w:rPr>
          <w:lang w:val="fr-FR"/>
        </w:rPr>
        <w:tab/>
        <w:t>Le</w:t>
      </w:r>
      <w:r>
        <w:rPr>
          <w:lang w:val="fr-FR"/>
        </w:rPr>
        <w:t xml:space="preserve"> </w:t>
      </w:r>
      <w:r w:rsidRPr="009A5C16">
        <w:rPr>
          <w:lang w:val="fr-FR"/>
        </w:rPr>
        <w:t>Comité</w:t>
      </w:r>
      <w:r>
        <w:rPr>
          <w:lang w:val="fr-FR"/>
        </w:rPr>
        <w:t xml:space="preserve"> note que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auteur</w:t>
      </w:r>
      <w:r>
        <w:rPr>
          <w:lang w:val="fr-FR"/>
        </w:rPr>
        <w:t xml:space="preserve"> soutient que </w:t>
      </w:r>
      <w:r w:rsidRPr="009A5C16">
        <w:rPr>
          <w:lang w:val="fr-FR"/>
        </w:rPr>
        <w:t>sa</w:t>
      </w:r>
      <w:r>
        <w:rPr>
          <w:lang w:val="fr-FR"/>
        </w:rPr>
        <w:t xml:space="preserve"> </w:t>
      </w:r>
      <w:r w:rsidRPr="009A5C16">
        <w:rPr>
          <w:lang w:val="fr-FR"/>
        </w:rPr>
        <w:t>liberté</w:t>
      </w:r>
      <w:r>
        <w:rPr>
          <w:lang w:val="fr-FR"/>
        </w:rPr>
        <w:t xml:space="preserve"> </w:t>
      </w:r>
      <w:r w:rsidRPr="009A5C16">
        <w:rPr>
          <w:lang w:val="fr-FR"/>
        </w:rPr>
        <w:t>d</w:t>
      </w:r>
      <w:r>
        <w:rPr>
          <w:lang w:val="fr-FR"/>
        </w:rPr>
        <w:t>’</w:t>
      </w:r>
      <w:r w:rsidRPr="009A5C16">
        <w:rPr>
          <w:lang w:val="fr-FR"/>
        </w:rPr>
        <w:t>expression</w:t>
      </w:r>
      <w:r>
        <w:rPr>
          <w:lang w:val="fr-FR"/>
        </w:rPr>
        <w:t xml:space="preserve"> </w:t>
      </w:r>
      <w:r w:rsidRPr="009A5C16">
        <w:rPr>
          <w:lang w:val="fr-FR"/>
        </w:rPr>
        <w:t>a</w:t>
      </w:r>
      <w:r>
        <w:rPr>
          <w:lang w:val="fr-FR"/>
        </w:rPr>
        <w:t xml:space="preserve"> </w:t>
      </w:r>
      <w:r w:rsidRPr="009A5C16">
        <w:rPr>
          <w:lang w:val="fr-FR"/>
        </w:rPr>
        <w:t>été</w:t>
      </w:r>
      <w:r>
        <w:rPr>
          <w:lang w:val="fr-FR"/>
        </w:rPr>
        <w:t xml:space="preserve"> </w:t>
      </w:r>
      <w:r w:rsidRPr="009A5C16">
        <w:rPr>
          <w:lang w:val="fr-FR"/>
        </w:rPr>
        <w:t>arbitrairement</w:t>
      </w:r>
      <w:r>
        <w:rPr>
          <w:lang w:val="fr-FR"/>
        </w:rPr>
        <w:t xml:space="preserve"> </w:t>
      </w:r>
      <w:r w:rsidRPr="009A5C16">
        <w:rPr>
          <w:lang w:val="fr-FR"/>
        </w:rPr>
        <w:t>restreinte</w:t>
      </w:r>
      <w:r>
        <w:rPr>
          <w:lang w:val="fr-FR"/>
        </w:rPr>
        <w:t xml:space="preserve"> </w:t>
      </w:r>
      <w:r w:rsidRPr="009A5C16">
        <w:rPr>
          <w:lang w:val="fr-FR"/>
        </w:rPr>
        <w:t>en</w:t>
      </w:r>
      <w:r>
        <w:rPr>
          <w:lang w:val="fr-FR"/>
        </w:rPr>
        <w:t xml:space="preserve"> </w:t>
      </w:r>
      <w:r w:rsidRPr="009A5C16">
        <w:rPr>
          <w:lang w:val="fr-FR"/>
        </w:rPr>
        <w:t>ce</w:t>
      </w:r>
      <w:r>
        <w:rPr>
          <w:lang w:val="fr-FR"/>
        </w:rPr>
        <w:t xml:space="preserve"> </w:t>
      </w:r>
      <w:r w:rsidRPr="009A5C16">
        <w:rPr>
          <w:lang w:val="fr-FR"/>
        </w:rPr>
        <w:t>qu</w:t>
      </w:r>
      <w:r>
        <w:rPr>
          <w:lang w:val="fr-FR"/>
        </w:rPr>
        <w:t>’</w:t>
      </w:r>
      <w:r w:rsidRPr="009A5C16">
        <w:rPr>
          <w:lang w:val="fr-FR"/>
        </w:rPr>
        <w:t>il</w:t>
      </w:r>
      <w:r>
        <w:rPr>
          <w:lang w:val="fr-FR"/>
        </w:rPr>
        <w:t xml:space="preserve"> </w:t>
      </w:r>
      <w:r w:rsidRPr="009A5C16">
        <w:rPr>
          <w:lang w:val="fr-FR"/>
        </w:rPr>
        <w:t>s</w:t>
      </w:r>
      <w:r>
        <w:rPr>
          <w:lang w:val="fr-FR"/>
        </w:rPr>
        <w:t>’</w:t>
      </w:r>
      <w:r w:rsidRPr="009A5C16">
        <w:rPr>
          <w:lang w:val="fr-FR"/>
        </w:rPr>
        <w:t>est</w:t>
      </w:r>
      <w:r>
        <w:rPr>
          <w:lang w:val="fr-FR"/>
        </w:rPr>
        <w:t xml:space="preserve"> </w:t>
      </w:r>
      <w:r w:rsidRPr="009A5C16">
        <w:rPr>
          <w:lang w:val="fr-FR"/>
        </w:rPr>
        <w:t>vu</w:t>
      </w:r>
      <w:r>
        <w:rPr>
          <w:lang w:val="fr-FR"/>
        </w:rPr>
        <w:t xml:space="preserve"> </w:t>
      </w:r>
      <w:r w:rsidRPr="009A5C16">
        <w:rPr>
          <w:lang w:val="fr-FR"/>
        </w:rPr>
        <w:t>refuser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autorisation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tenir</w:t>
      </w:r>
      <w:r>
        <w:rPr>
          <w:lang w:val="fr-FR"/>
        </w:rPr>
        <w:t xml:space="preserve"> </w:t>
      </w:r>
      <w:r w:rsidRPr="009A5C16">
        <w:rPr>
          <w:lang w:val="fr-FR"/>
        </w:rPr>
        <w:t>un</w:t>
      </w:r>
      <w:r>
        <w:rPr>
          <w:lang w:val="fr-FR"/>
        </w:rPr>
        <w:t xml:space="preserve"> </w:t>
      </w:r>
      <w:r w:rsidRPr="009A5C16">
        <w:rPr>
          <w:lang w:val="fr-FR"/>
        </w:rPr>
        <w:t>piquet</w:t>
      </w:r>
      <w:r>
        <w:rPr>
          <w:lang w:val="fr-FR"/>
        </w:rPr>
        <w:t xml:space="preserve"> </w:t>
      </w:r>
      <w:r w:rsidRPr="009A5C16">
        <w:rPr>
          <w:lang w:val="fr-FR"/>
        </w:rPr>
        <w:t>et</w:t>
      </w:r>
      <w:r>
        <w:rPr>
          <w:lang w:val="fr-FR"/>
        </w:rPr>
        <w:t xml:space="preserve"> </w:t>
      </w:r>
      <w:r w:rsidRPr="009A5C16">
        <w:rPr>
          <w:lang w:val="fr-FR"/>
        </w:rPr>
        <w:t>d</w:t>
      </w:r>
      <w:r>
        <w:rPr>
          <w:lang w:val="fr-FR"/>
        </w:rPr>
        <w:t>’</w:t>
      </w:r>
      <w:r w:rsidRPr="009A5C16">
        <w:rPr>
          <w:lang w:val="fr-FR"/>
        </w:rPr>
        <w:t>exprimer</w:t>
      </w:r>
      <w:r>
        <w:rPr>
          <w:lang w:val="fr-FR"/>
        </w:rPr>
        <w:t xml:space="preserve"> </w:t>
      </w:r>
      <w:r w:rsidRPr="009A5C16">
        <w:rPr>
          <w:lang w:val="fr-FR"/>
        </w:rPr>
        <w:t>publiquement</w:t>
      </w:r>
      <w:r>
        <w:rPr>
          <w:lang w:val="fr-FR"/>
        </w:rPr>
        <w:t xml:space="preserve"> </w:t>
      </w:r>
      <w:r w:rsidRPr="009A5C16">
        <w:rPr>
          <w:lang w:val="fr-FR"/>
        </w:rPr>
        <w:t>son</w:t>
      </w:r>
      <w:r>
        <w:rPr>
          <w:lang w:val="fr-FR"/>
        </w:rPr>
        <w:t xml:space="preserve"> </w:t>
      </w:r>
      <w:r w:rsidRPr="009A5C16">
        <w:rPr>
          <w:lang w:val="fr-FR"/>
        </w:rPr>
        <w:t>opinion</w:t>
      </w:r>
      <w:r>
        <w:rPr>
          <w:lang w:val="fr-FR"/>
        </w:rPr>
        <w:t xml:space="preserve"> </w:t>
      </w:r>
      <w:r w:rsidRPr="009A5C16">
        <w:rPr>
          <w:lang w:val="fr-FR"/>
        </w:rPr>
        <w:t>concernant</w:t>
      </w:r>
      <w:r>
        <w:rPr>
          <w:lang w:val="fr-FR"/>
        </w:rPr>
        <w:t xml:space="preserve"> </w:t>
      </w:r>
      <w:r w:rsidRPr="009A5C16">
        <w:rPr>
          <w:lang w:val="fr-FR"/>
        </w:rPr>
        <w:t>la</w:t>
      </w:r>
      <w:r>
        <w:rPr>
          <w:lang w:val="fr-FR"/>
        </w:rPr>
        <w:t xml:space="preserve"> </w:t>
      </w:r>
      <w:r w:rsidRPr="009A5C16">
        <w:rPr>
          <w:lang w:val="fr-FR"/>
        </w:rPr>
        <w:t>violation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ses</w:t>
      </w:r>
      <w:r>
        <w:rPr>
          <w:lang w:val="fr-FR"/>
        </w:rPr>
        <w:t xml:space="preserve"> </w:t>
      </w:r>
      <w:r w:rsidRPr="009A5C16">
        <w:rPr>
          <w:lang w:val="fr-FR"/>
        </w:rPr>
        <w:t>droits</w:t>
      </w:r>
      <w:r>
        <w:rPr>
          <w:lang w:val="fr-FR"/>
        </w:rPr>
        <w:t xml:space="preserve"> </w:t>
      </w:r>
      <w:r w:rsidRPr="009A5C16">
        <w:rPr>
          <w:lang w:val="fr-FR"/>
        </w:rPr>
        <w:t>par</w:t>
      </w:r>
      <w:r>
        <w:rPr>
          <w:lang w:val="fr-FR"/>
        </w:rPr>
        <w:t xml:space="preserve"> </w:t>
      </w:r>
      <w:r w:rsidRPr="009A5C16">
        <w:rPr>
          <w:lang w:val="fr-FR"/>
        </w:rPr>
        <w:t>différentes</w:t>
      </w:r>
      <w:r>
        <w:rPr>
          <w:lang w:val="fr-FR"/>
        </w:rPr>
        <w:t xml:space="preserve"> </w:t>
      </w:r>
      <w:r w:rsidRPr="009A5C16">
        <w:rPr>
          <w:lang w:val="fr-FR"/>
        </w:rPr>
        <w:t>autorités.</w:t>
      </w:r>
      <w:r>
        <w:rPr>
          <w:lang w:val="fr-FR"/>
        </w:rPr>
        <w:t xml:space="preserve"> </w:t>
      </w:r>
      <w:r w:rsidRPr="009A5C16">
        <w:rPr>
          <w:lang w:val="fr-FR"/>
        </w:rPr>
        <w:t>Le</w:t>
      </w:r>
      <w:r>
        <w:rPr>
          <w:lang w:val="fr-FR"/>
        </w:rPr>
        <w:t xml:space="preserve"> </w:t>
      </w:r>
      <w:r w:rsidRPr="009A5C16">
        <w:rPr>
          <w:lang w:val="fr-FR"/>
        </w:rPr>
        <w:t>Comité</w:t>
      </w:r>
      <w:r>
        <w:rPr>
          <w:lang w:val="fr-FR"/>
        </w:rPr>
        <w:t xml:space="preserve"> </w:t>
      </w:r>
      <w:r w:rsidRPr="009A5C16">
        <w:rPr>
          <w:lang w:val="fr-FR"/>
        </w:rPr>
        <w:t>estime</w:t>
      </w:r>
      <w:r>
        <w:rPr>
          <w:lang w:val="fr-FR"/>
        </w:rPr>
        <w:t xml:space="preserve"> </w:t>
      </w:r>
      <w:r w:rsidRPr="009A5C16">
        <w:rPr>
          <w:lang w:val="fr-FR"/>
        </w:rPr>
        <w:t>que</w:t>
      </w:r>
      <w:r>
        <w:rPr>
          <w:lang w:val="fr-FR"/>
        </w:rPr>
        <w:t xml:space="preserve"> </w:t>
      </w:r>
      <w:r w:rsidRPr="009A5C16">
        <w:rPr>
          <w:lang w:val="fr-FR"/>
        </w:rPr>
        <w:t>la</w:t>
      </w:r>
      <w:r>
        <w:rPr>
          <w:lang w:val="fr-FR"/>
        </w:rPr>
        <w:t xml:space="preserve"> </w:t>
      </w:r>
      <w:r w:rsidRPr="009A5C16">
        <w:rPr>
          <w:lang w:val="fr-FR"/>
        </w:rPr>
        <w:t>question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droit</w:t>
      </w:r>
      <w:r>
        <w:rPr>
          <w:lang w:val="fr-FR"/>
        </w:rPr>
        <w:t xml:space="preserve"> </w:t>
      </w:r>
      <w:r w:rsidRPr="009A5C16">
        <w:rPr>
          <w:lang w:val="fr-FR"/>
        </w:rPr>
        <w:t>dont</w:t>
      </w:r>
      <w:r>
        <w:rPr>
          <w:lang w:val="fr-FR"/>
        </w:rPr>
        <w:t xml:space="preserve"> </w:t>
      </w:r>
      <w:r w:rsidRPr="009A5C16">
        <w:rPr>
          <w:lang w:val="fr-FR"/>
        </w:rPr>
        <w:t>il</w:t>
      </w:r>
      <w:r>
        <w:rPr>
          <w:lang w:val="fr-FR"/>
        </w:rPr>
        <w:t xml:space="preserve"> </w:t>
      </w:r>
      <w:r w:rsidRPr="009A5C16">
        <w:rPr>
          <w:lang w:val="fr-FR"/>
        </w:rPr>
        <w:t>est</w:t>
      </w:r>
      <w:r>
        <w:rPr>
          <w:lang w:val="fr-FR"/>
        </w:rPr>
        <w:t xml:space="preserve"> </w:t>
      </w:r>
      <w:r w:rsidRPr="009A5C16">
        <w:rPr>
          <w:lang w:val="fr-FR"/>
        </w:rPr>
        <w:t>saisi</w:t>
      </w:r>
      <w:r>
        <w:rPr>
          <w:lang w:val="fr-FR"/>
        </w:rPr>
        <w:t xml:space="preserve"> </w:t>
      </w:r>
      <w:r w:rsidRPr="009A5C16">
        <w:rPr>
          <w:lang w:val="fr-FR"/>
        </w:rPr>
        <w:t>consiste</w:t>
      </w:r>
      <w:r>
        <w:rPr>
          <w:lang w:val="fr-FR"/>
        </w:rPr>
        <w:t xml:space="preserve"> </w:t>
      </w:r>
      <w:r w:rsidRPr="009A5C16">
        <w:rPr>
          <w:lang w:val="fr-FR"/>
        </w:rPr>
        <w:t>à</w:t>
      </w:r>
      <w:r>
        <w:rPr>
          <w:lang w:val="fr-FR"/>
        </w:rPr>
        <w:t xml:space="preserve"> </w:t>
      </w:r>
      <w:r w:rsidRPr="009A5C16">
        <w:rPr>
          <w:lang w:val="fr-FR"/>
        </w:rPr>
        <w:t>déterminer</w:t>
      </w:r>
      <w:r>
        <w:rPr>
          <w:lang w:val="fr-FR"/>
        </w:rPr>
        <w:t xml:space="preserve"> </w:t>
      </w:r>
      <w:r w:rsidRPr="009A5C16">
        <w:rPr>
          <w:lang w:val="fr-FR"/>
        </w:rPr>
        <w:t>si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interdiction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tenir</w:t>
      </w:r>
      <w:r>
        <w:rPr>
          <w:lang w:val="fr-FR"/>
        </w:rPr>
        <w:t xml:space="preserve"> </w:t>
      </w:r>
      <w:r w:rsidRPr="009A5C16">
        <w:rPr>
          <w:lang w:val="fr-FR"/>
        </w:rPr>
        <w:t>un</w:t>
      </w:r>
      <w:r>
        <w:rPr>
          <w:lang w:val="fr-FR"/>
        </w:rPr>
        <w:t xml:space="preserve"> </w:t>
      </w:r>
      <w:r w:rsidRPr="009A5C16">
        <w:rPr>
          <w:lang w:val="fr-FR"/>
        </w:rPr>
        <w:t>piquet</w:t>
      </w:r>
      <w:r>
        <w:rPr>
          <w:lang w:val="fr-FR"/>
        </w:rPr>
        <w:t xml:space="preserve"> qui a été </w:t>
      </w:r>
      <w:r w:rsidRPr="009A5C16">
        <w:rPr>
          <w:lang w:val="fr-FR"/>
        </w:rPr>
        <w:t>imposée</w:t>
      </w:r>
      <w:r>
        <w:rPr>
          <w:lang w:val="fr-FR"/>
        </w:rPr>
        <w:t xml:space="preserve"> </w:t>
      </w:r>
      <w:r w:rsidRPr="009A5C16">
        <w:rPr>
          <w:lang w:val="fr-FR"/>
        </w:rPr>
        <w:t>à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auteur</w:t>
      </w:r>
      <w:r>
        <w:rPr>
          <w:lang w:val="fr-FR"/>
        </w:rPr>
        <w:t xml:space="preserve"> </w:t>
      </w:r>
      <w:r w:rsidRPr="009A5C16">
        <w:rPr>
          <w:lang w:val="fr-FR"/>
        </w:rPr>
        <w:t>par</w:t>
      </w:r>
      <w:r>
        <w:rPr>
          <w:lang w:val="fr-FR"/>
        </w:rPr>
        <w:t xml:space="preserve"> </w:t>
      </w:r>
      <w:r w:rsidRPr="009A5C16">
        <w:rPr>
          <w:lang w:val="fr-FR"/>
        </w:rPr>
        <w:t>les</w:t>
      </w:r>
      <w:r>
        <w:rPr>
          <w:lang w:val="fr-FR"/>
        </w:rPr>
        <w:t xml:space="preserve"> </w:t>
      </w:r>
      <w:r w:rsidRPr="009A5C16">
        <w:rPr>
          <w:lang w:val="fr-FR"/>
        </w:rPr>
        <w:t>autorités</w:t>
      </w:r>
      <w:r>
        <w:rPr>
          <w:lang w:val="fr-FR"/>
        </w:rPr>
        <w:t xml:space="preserve"> </w:t>
      </w:r>
      <w:r w:rsidRPr="009A5C16">
        <w:rPr>
          <w:lang w:val="fr-FR"/>
        </w:rPr>
        <w:t>exécutives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État</w:t>
      </w:r>
      <w:r>
        <w:rPr>
          <w:lang w:val="fr-FR"/>
        </w:rPr>
        <w:t xml:space="preserve"> </w:t>
      </w:r>
      <w:r w:rsidRPr="009A5C16">
        <w:rPr>
          <w:lang w:val="fr-FR"/>
        </w:rPr>
        <w:t>partie</w:t>
      </w:r>
      <w:r>
        <w:rPr>
          <w:lang w:val="fr-FR"/>
        </w:rPr>
        <w:t xml:space="preserve"> </w:t>
      </w:r>
      <w:r w:rsidRPr="009A5C16">
        <w:rPr>
          <w:lang w:val="fr-FR"/>
        </w:rPr>
        <w:t>constitue</w:t>
      </w:r>
      <w:r>
        <w:rPr>
          <w:lang w:val="fr-FR"/>
        </w:rPr>
        <w:t xml:space="preserve"> </w:t>
      </w:r>
      <w:r w:rsidRPr="009A5C16">
        <w:rPr>
          <w:lang w:val="fr-FR"/>
        </w:rPr>
        <w:t>une</w:t>
      </w:r>
      <w:r>
        <w:rPr>
          <w:lang w:val="fr-FR"/>
        </w:rPr>
        <w:t xml:space="preserve"> </w:t>
      </w:r>
      <w:r w:rsidRPr="009A5C16">
        <w:rPr>
          <w:lang w:val="fr-FR"/>
        </w:rPr>
        <w:t>violation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article</w:t>
      </w:r>
      <w:r>
        <w:rPr>
          <w:lang w:val="fr-FR"/>
        </w:rPr>
        <w:t xml:space="preserve"> </w:t>
      </w:r>
      <w:r w:rsidRPr="009A5C16">
        <w:rPr>
          <w:lang w:val="fr-FR"/>
        </w:rPr>
        <w:t>19</w:t>
      </w:r>
      <w:r>
        <w:rPr>
          <w:lang w:val="fr-FR"/>
        </w:rPr>
        <w:t xml:space="preserve"> </w:t>
      </w:r>
      <w:r w:rsidRPr="009A5C16">
        <w:rPr>
          <w:lang w:val="fr-FR"/>
        </w:rPr>
        <w:t>du</w:t>
      </w:r>
      <w:r>
        <w:rPr>
          <w:lang w:val="fr-FR"/>
        </w:rPr>
        <w:t xml:space="preserve"> </w:t>
      </w:r>
      <w:r w:rsidRPr="009A5C16">
        <w:rPr>
          <w:lang w:val="fr-FR"/>
        </w:rPr>
        <w:t>Pacte.</w:t>
      </w:r>
      <w:r>
        <w:rPr>
          <w:lang w:val="fr-FR"/>
        </w:rPr>
        <w:t xml:space="preserve"> </w:t>
      </w:r>
      <w:r w:rsidRPr="009A5C16">
        <w:rPr>
          <w:lang w:val="fr-FR"/>
        </w:rPr>
        <w:t>Il</w:t>
      </w:r>
      <w:r>
        <w:rPr>
          <w:lang w:val="fr-FR"/>
        </w:rPr>
        <w:t xml:space="preserve"> </w:t>
      </w:r>
      <w:r w:rsidRPr="009A5C16">
        <w:rPr>
          <w:lang w:val="fr-FR"/>
        </w:rPr>
        <w:t>ressort</w:t>
      </w:r>
      <w:r>
        <w:rPr>
          <w:lang w:val="fr-FR"/>
        </w:rPr>
        <w:t xml:space="preserve"> </w:t>
      </w:r>
      <w:r w:rsidRPr="009A5C16">
        <w:rPr>
          <w:lang w:val="fr-FR"/>
        </w:rPr>
        <w:t>des</w:t>
      </w:r>
      <w:r>
        <w:rPr>
          <w:lang w:val="fr-FR"/>
        </w:rPr>
        <w:t xml:space="preserve"> </w:t>
      </w:r>
      <w:r w:rsidRPr="009A5C16">
        <w:rPr>
          <w:lang w:val="fr-FR"/>
        </w:rPr>
        <w:t>éléments</w:t>
      </w:r>
      <w:r>
        <w:rPr>
          <w:lang w:val="fr-FR"/>
        </w:rPr>
        <w:t xml:space="preserve"> </w:t>
      </w:r>
      <w:r w:rsidRPr="009A5C16">
        <w:rPr>
          <w:lang w:val="fr-FR"/>
        </w:rPr>
        <w:t>d</w:t>
      </w:r>
      <w:r>
        <w:rPr>
          <w:lang w:val="fr-FR"/>
        </w:rPr>
        <w:t>’</w:t>
      </w:r>
      <w:r w:rsidRPr="009A5C16">
        <w:rPr>
          <w:lang w:val="fr-FR"/>
        </w:rPr>
        <w:t>information</w:t>
      </w:r>
      <w:r>
        <w:rPr>
          <w:lang w:val="fr-FR"/>
        </w:rPr>
        <w:t xml:space="preserve"> </w:t>
      </w:r>
      <w:r w:rsidRPr="009A5C16">
        <w:rPr>
          <w:lang w:val="fr-FR"/>
        </w:rPr>
        <w:t>soumis</w:t>
      </w:r>
      <w:r>
        <w:rPr>
          <w:lang w:val="fr-FR"/>
        </w:rPr>
        <w:t xml:space="preserve"> </w:t>
      </w:r>
      <w:r w:rsidRPr="009A5C16">
        <w:rPr>
          <w:lang w:val="fr-FR"/>
        </w:rPr>
        <w:t>au</w:t>
      </w:r>
      <w:r>
        <w:rPr>
          <w:lang w:val="fr-FR"/>
        </w:rPr>
        <w:t xml:space="preserve"> </w:t>
      </w:r>
      <w:r w:rsidRPr="009A5C16">
        <w:rPr>
          <w:lang w:val="fr-FR"/>
        </w:rPr>
        <w:t>Comité</w:t>
      </w:r>
      <w:r>
        <w:rPr>
          <w:lang w:val="fr-FR"/>
        </w:rPr>
        <w:t xml:space="preserve"> </w:t>
      </w:r>
      <w:r w:rsidRPr="009A5C16">
        <w:rPr>
          <w:lang w:val="fr-FR"/>
        </w:rPr>
        <w:t>que</w:t>
      </w:r>
      <w:r>
        <w:rPr>
          <w:lang w:val="fr-FR"/>
        </w:rPr>
        <w:t xml:space="preserve"> les tribunaux ont estimé que l’auteur demandait l’autorisation </w:t>
      </w:r>
      <w:r w:rsidRPr="009A5C16">
        <w:rPr>
          <w:lang w:val="fr-FR"/>
        </w:rPr>
        <w:t>d</w:t>
      </w:r>
      <w:r>
        <w:rPr>
          <w:lang w:val="fr-FR"/>
        </w:rPr>
        <w:t>’</w:t>
      </w:r>
      <w:r w:rsidRPr="009A5C16">
        <w:rPr>
          <w:lang w:val="fr-FR"/>
        </w:rPr>
        <w:t>organiser</w:t>
      </w:r>
      <w:r>
        <w:rPr>
          <w:lang w:val="fr-FR"/>
        </w:rPr>
        <w:t xml:space="preserve"> </w:t>
      </w:r>
      <w:r w:rsidRPr="009A5C16">
        <w:rPr>
          <w:lang w:val="fr-FR"/>
        </w:rPr>
        <w:t>une</w:t>
      </w:r>
      <w:r>
        <w:rPr>
          <w:lang w:val="fr-FR"/>
        </w:rPr>
        <w:t xml:space="preserve"> </w:t>
      </w:r>
      <w:r w:rsidRPr="009A5C16">
        <w:rPr>
          <w:lang w:val="fr-FR"/>
        </w:rPr>
        <w:t>manifestation</w:t>
      </w:r>
      <w:r>
        <w:rPr>
          <w:lang w:val="fr-FR"/>
        </w:rPr>
        <w:t xml:space="preserve"> </w:t>
      </w:r>
      <w:r w:rsidRPr="009A5C16">
        <w:rPr>
          <w:lang w:val="fr-FR"/>
        </w:rPr>
        <w:t>publique</w:t>
      </w:r>
      <w:r>
        <w:rPr>
          <w:lang w:val="fr-FR"/>
        </w:rPr>
        <w:t xml:space="preserve"> </w:t>
      </w:r>
      <w:r w:rsidRPr="009A5C16">
        <w:rPr>
          <w:lang w:val="fr-FR"/>
        </w:rPr>
        <w:t>et</w:t>
      </w:r>
      <w:r>
        <w:rPr>
          <w:lang w:val="fr-FR"/>
        </w:rPr>
        <w:t xml:space="preserve"> </w:t>
      </w:r>
      <w:r w:rsidRPr="009A5C16">
        <w:rPr>
          <w:lang w:val="fr-FR"/>
        </w:rPr>
        <w:t>que</w:t>
      </w:r>
      <w:r>
        <w:rPr>
          <w:lang w:val="fr-FR"/>
        </w:rPr>
        <w:t xml:space="preserve"> la </w:t>
      </w:r>
      <w:r w:rsidRPr="009A5C16">
        <w:rPr>
          <w:lang w:val="fr-FR"/>
        </w:rPr>
        <w:t>demande</w:t>
      </w:r>
      <w:r>
        <w:rPr>
          <w:lang w:val="fr-FR"/>
        </w:rPr>
        <w:t xml:space="preserve"> </w:t>
      </w:r>
      <w:r w:rsidRPr="009A5C16">
        <w:rPr>
          <w:lang w:val="fr-FR"/>
        </w:rPr>
        <w:t>a</w:t>
      </w:r>
      <w:r>
        <w:rPr>
          <w:lang w:val="fr-FR"/>
        </w:rPr>
        <w:t xml:space="preserve"> </w:t>
      </w:r>
      <w:r w:rsidRPr="009A5C16">
        <w:rPr>
          <w:lang w:val="fr-FR"/>
        </w:rPr>
        <w:t>été</w:t>
      </w:r>
      <w:r>
        <w:rPr>
          <w:lang w:val="fr-FR"/>
        </w:rPr>
        <w:t xml:space="preserve"> </w:t>
      </w:r>
      <w:r w:rsidRPr="009A5C16">
        <w:rPr>
          <w:lang w:val="fr-FR"/>
        </w:rPr>
        <w:t>rejetée</w:t>
      </w:r>
      <w:r>
        <w:rPr>
          <w:lang w:val="fr-FR"/>
        </w:rPr>
        <w:t xml:space="preserve"> </w:t>
      </w:r>
      <w:r w:rsidRPr="009A5C16">
        <w:rPr>
          <w:lang w:val="fr-FR"/>
        </w:rPr>
        <w:t>au</w:t>
      </w:r>
      <w:r>
        <w:rPr>
          <w:lang w:val="fr-FR"/>
        </w:rPr>
        <w:t xml:space="preserve"> </w:t>
      </w:r>
      <w:r w:rsidRPr="009A5C16">
        <w:rPr>
          <w:lang w:val="fr-FR"/>
        </w:rPr>
        <w:t>motif</w:t>
      </w:r>
      <w:r>
        <w:rPr>
          <w:lang w:val="fr-FR"/>
        </w:rPr>
        <w:t xml:space="preserve"> </w:t>
      </w:r>
      <w:r w:rsidRPr="009A5C16">
        <w:rPr>
          <w:lang w:val="fr-FR"/>
        </w:rPr>
        <w:t>que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auteur</w:t>
      </w:r>
      <w:r>
        <w:rPr>
          <w:lang w:val="fr-FR"/>
        </w:rPr>
        <w:t xml:space="preserve"> </w:t>
      </w:r>
      <w:r w:rsidRPr="009A5C16">
        <w:rPr>
          <w:lang w:val="fr-FR"/>
        </w:rPr>
        <w:t>n</w:t>
      </w:r>
      <w:r>
        <w:rPr>
          <w:lang w:val="fr-FR"/>
        </w:rPr>
        <w:t>’</w:t>
      </w:r>
      <w:r w:rsidRPr="009A5C16">
        <w:rPr>
          <w:lang w:val="fr-FR"/>
        </w:rPr>
        <w:t>avait</w:t>
      </w:r>
      <w:r>
        <w:rPr>
          <w:lang w:val="fr-FR"/>
        </w:rPr>
        <w:t xml:space="preserve"> </w:t>
      </w:r>
      <w:r w:rsidRPr="009A5C16">
        <w:rPr>
          <w:lang w:val="fr-FR"/>
        </w:rPr>
        <w:t>pas</w:t>
      </w:r>
      <w:r>
        <w:rPr>
          <w:lang w:val="fr-FR"/>
        </w:rPr>
        <w:t xml:space="preserve"> </w:t>
      </w:r>
      <w:r w:rsidRPr="009A5C16">
        <w:rPr>
          <w:lang w:val="fr-FR"/>
        </w:rPr>
        <w:t>pris</w:t>
      </w:r>
      <w:r>
        <w:rPr>
          <w:lang w:val="fr-FR"/>
        </w:rPr>
        <w:t xml:space="preserve"> </w:t>
      </w:r>
      <w:r w:rsidRPr="009A5C16">
        <w:rPr>
          <w:lang w:val="fr-FR"/>
        </w:rPr>
        <w:t>les</w:t>
      </w:r>
      <w:r>
        <w:rPr>
          <w:lang w:val="fr-FR"/>
        </w:rPr>
        <w:t xml:space="preserve"> </w:t>
      </w:r>
      <w:r w:rsidRPr="009A5C16">
        <w:rPr>
          <w:lang w:val="fr-FR"/>
        </w:rPr>
        <w:t>mesures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sécurité</w:t>
      </w:r>
      <w:r>
        <w:rPr>
          <w:lang w:val="fr-FR"/>
        </w:rPr>
        <w:t xml:space="preserve"> </w:t>
      </w:r>
      <w:r w:rsidRPr="009A5C16">
        <w:rPr>
          <w:lang w:val="fr-FR"/>
        </w:rPr>
        <w:t>qui</w:t>
      </w:r>
      <w:r>
        <w:rPr>
          <w:lang w:val="fr-FR"/>
        </w:rPr>
        <w:t xml:space="preserve"> </w:t>
      </w:r>
      <w:r w:rsidRPr="009A5C16">
        <w:rPr>
          <w:lang w:val="fr-FR"/>
        </w:rPr>
        <w:t>s</w:t>
      </w:r>
      <w:r>
        <w:rPr>
          <w:lang w:val="fr-FR"/>
        </w:rPr>
        <w:t>’</w:t>
      </w:r>
      <w:r w:rsidRPr="009A5C16">
        <w:rPr>
          <w:lang w:val="fr-FR"/>
        </w:rPr>
        <w:t>imposaient</w:t>
      </w:r>
      <w:r>
        <w:rPr>
          <w:lang w:val="fr-FR"/>
        </w:rPr>
        <w:t xml:space="preserve"> </w:t>
      </w:r>
      <w:r w:rsidRPr="009A5C16">
        <w:rPr>
          <w:lang w:val="fr-FR"/>
        </w:rPr>
        <w:t>ni</w:t>
      </w:r>
      <w:r>
        <w:rPr>
          <w:lang w:val="fr-FR"/>
        </w:rPr>
        <w:t xml:space="preserve"> </w:t>
      </w:r>
      <w:r w:rsidRPr="009A5C16">
        <w:rPr>
          <w:lang w:val="fr-FR"/>
        </w:rPr>
        <w:t>prévu</w:t>
      </w:r>
      <w:r>
        <w:rPr>
          <w:lang w:val="fr-FR"/>
        </w:rPr>
        <w:t xml:space="preserve"> </w:t>
      </w:r>
      <w:r w:rsidRPr="009A5C16">
        <w:rPr>
          <w:lang w:val="fr-FR"/>
        </w:rPr>
        <w:t>les</w:t>
      </w:r>
      <w:r>
        <w:rPr>
          <w:lang w:val="fr-FR"/>
        </w:rPr>
        <w:t xml:space="preserve"> </w:t>
      </w:r>
      <w:r w:rsidRPr="009A5C16">
        <w:rPr>
          <w:lang w:val="fr-FR"/>
        </w:rPr>
        <w:t>services</w:t>
      </w:r>
      <w:r>
        <w:rPr>
          <w:lang w:val="fr-FR"/>
        </w:rPr>
        <w:t xml:space="preserve"> </w:t>
      </w:r>
      <w:r w:rsidRPr="009A5C16">
        <w:rPr>
          <w:lang w:val="fr-FR"/>
        </w:rPr>
        <w:t>médicaux</w:t>
      </w:r>
      <w:r>
        <w:rPr>
          <w:lang w:val="fr-FR"/>
        </w:rPr>
        <w:t xml:space="preserve"> </w:t>
      </w:r>
      <w:r w:rsidRPr="009A5C16">
        <w:rPr>
          <w:lang w:val="fr-FR"/>
        </w:rPr>
        <w:t>et</w:t>
      </w:r>
      <w:r>
        <w:rPr>
          <w:lang w:val="fr-FR"/>
        </w:rPr>
        <w:t xml:space="preserve"> </w:t>
      </w:r>
      <w:r w:rsidRPr="009A5C16">
        <w:rPr>
          <w:lang w:val="fr-FR"/>
        </w:rPr>
        <w:t>les</w:t>
      </w:r>
      <w:r>
        <w:rPr>
          <w:lang w:val="fr-FR"/>
        </w:rPr>
        <w:t xml:space="preserve"> </w:t>
      </w:r>
      <w:r w:rsidRPr="009A5C16">
        <w:rPr>
          <w:lang w:val="fr-FR"/>
        </w:rPr>
        <w:t>services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nettoyage</w:t>
      </w:r>
      <w:r>
        <w:rPr>
          <w:lang w:val="fr-FR"/>
        </w:rPr>
        <w:t xml:space="preserve"> </w:t>
      </w:r>
      <w:r w:rsidRPr="009A5C16">
        <w:rPr>
          <w:lang w:val="fr-FR"/>
        </w:rPr>
        <w:t>nécessaires.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avis</w:t>
      </w:r>
      <w:r>
        <w:rPr>
          <w:lang w:val="fr-FR"/>
        </w:rPr>
        <w:t xml:space="preserve"> </w:t>
      </w:r>
      <w:r w:rsidRPr="009A5C16">
        <w:rPr>
          <w:lang w:val="fr-FR"/>
        </w:rPr>
        <w:t>du</w:t>
      </w:r>
      <w:r>
        <w:rPr>
          <w:lang w:val="fr-FR"/>
        </w:rPr>
        <w:t xml:space="preserve"> </w:t>
      </w:r>
      <w:r w:rsidRPr="009A5C16">
        <w:rPr>
          <w:lang w:val="fr-FR"/>
        </w:rPr>
        <w:t>Comité,</w:t>
      </w:r>
      <w:r>
        <w:rPr>
          <w:lang w:val="fr-FR"/>
        </w:rPr>
        <w:t xml:space="preserve"> indépendamment de leur fondement en droit interne, </w:t>
      </w:r>
      <w:r w:rsidRPr="009A5C16">
        <w:rPr>
          <w:lang w:val="fr-FR"/>
        </w:rPr>
        <w:t>les</w:t>
      </w:r>
      <w:r>
        <w:rPr>
          <w:lang w:val="fr-FR"/>
        </w:rPr>
        <w:t xml:space="preserve"> actions des </w:t>
      </w:r>
      <w:r w:rsidRPr="009A5C16">
        <w:rPr>
          <w:lang w:val="fr-FR"/>
        </w:rPr>
        <w:t>autorités</w:t>
      </w:r>
      <w:r>
        <w:rPr>
          <w:lang w:val="fr-FR"/>
        </w:rPr>
        <w:t xml:space="preserve"> </w:t>
      </w:r>
      <w:r w:rsidRPr="009A5C16">
        <w:rPr>
          <w:lang w:val="fr-FR"/>
        </w:rPr>
        <w:t>constituent</w:t>
      </w:r>
      <w:r>
        <w:rPr>
          <w:lang w:val="fr-FR"/>
        </w:rPr>
        <w:t xml:space="preserve"> </w:t>
      </w:r>
      <w:r w:rsidRPr="009A5C16">
        <w:rPr>
          <w:lang w:val="fr-FR"/>
        </w:rPr>
        <w:t>une</w:t>
      </w:r>
      <w:r>
        <w:rPr>
          <w:lang w:val="fr-FR"/>
        </w:rPr>
        <w:t xml:space="preserve"> restriction </w:t>
      </w:r>
      <w:r w:rsidRPr="009A5C16">
        <w:rPr>
          <w:lang w:val="fr-FR"/>
        </w:rPr>
        <w:t>des</w:t>
      </w:r>
      <w:r>
        <w:rPr>
          <w:lang w:val="fr-FR"/>
        </w:rPr>
        <w:t xml:space="preserve"> </w:t>
      </w:r>
      <w:r w:rsidRPr="009A5C16">
        <w:rPr>
          <w:lang w:val="fr-FR"/>
        </w:rPr>
        <w:t>droits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auteur,</w:t>
      </w:r>
      <w:r>
        <w:rPr>
          <w:lang w:val="fr-FR"/>
        </w:rPr>
        <w:t xml:space="preserve"> </w:t>
      </w:r>
      <w:r w:rsidRPr="009A5C16">
        <w:rPr>
          <w:lang w:val="fr-FR"/>
        </w:rPr>
        <w:t>en</w:t>
      </w:r>
      <w:r>
        <w:rPr>
          <w:lang w:val="fr-FR"/>
        </w:rPr>
        <w:t xml:space="preserve"> </w:t>
      </w:r>
      <w:r w:rsidRPr="009A5C16">
        <w:rPr>
          <w:lang w:val="fr-FR"/>
        </w:rPr>
        <w:t>particulier</w:t>
      </w:r>
      <w:r>
        <w:rPr>
          <w:lang w:val="fr-FR"/>
        </w:rPr>
        <w:t xml:space="preserve"> le </w:t>
      </w:r>
      <w:r w:rsidRPr="009A5C16">
        <w:rPr>
          <w:lang w:val="fr-FR"/>
        </w:rPr>
        <w:t>droit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répandre</w:t>
      </w:r>
      <w:r>
        <w:rPr>
          <w:lang w:val="fr-FR"/>
        </w:rPr>
        <w:t xml:space="preserve"> </w:t>
      </w:r>
      <w:r w:rsidRPr="009A5C16">
        <w:rPr>
          <w:lang w:val="fr-FR"/>
        </w:rPr>
        <w:t>des</w:t>
      </w:r>
      <w:r>
        <w:rPr>
          <w:lang w:val="fr-FR"/>
        </w:rPr>
        <w:t xml:space="preserve"> </w:t>
      </w:r>
      <w:r w:rsidRPr="009A5C16">
        <w:rPr>
          <w:lang w:val="fr-FR"/>
        </w:rPr>
        <w:t>informations</w:t>
      </w:r>
      <w:r>
        <w:rPr>
          <w:lang w:val="fr-FR"/>
        </w:rPr>
        <w:t xml:space="preserve"> </w:t>
      </w:r>
      <w:r w:rsidRPr="009A5C16">
        <w:rPr>
          <w:lang w:val="fr-FR"/>
        </w:rPr>
        <w:t>et</w:t>
      </w:r>
      <w:r>
        <w:rPr>
          <w:lang w:val="fr-FR"/>
        </w:rPr>
        <w:t xml:space="preserve"> </w:t>
      </w:r>
      <w:r w:rsidRPr="009A5C16">
        <w:rPr>
          <w:lang w:val="fr-FR"/>
        </w:rPr>
        <w:t>des</w:t>
      </w:r>
      <w:r>
        <w:rPr>
          <w:lang w:val="fr-FR"/>
        </w:rPr>
        <w:t xml:space="preserve"> </w:t>
      </w:r>
      <w:r w:rsidRPr="009A5C16">
        <w:rPr>
          <w:lang w:val="fr-FR"/>
        </w:rPr>
        <w:t>idées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toute</w:t>
      </w:r>
      <w:r>
        <w:rPr>
          <w:lang w:val="fr-FR"/>
        </w:rPr>
        <w:t xml:space="preserve"> </w:t>
      </w:r>
      <w:r w:rsidRPr="009A5C16">
        <w:rPr>
          <w:lang w:val="fr-FR"/>
        </w:rPr>
        <w:t>espèce</w:t>
      </w:r>
      <w:r>
        <w:rPr>
          <w:lang w:val="fr-FR"/>
        </w:rPr>
        <w:t xml:space="preserve"> consacré </w:t>
      </w:r>
      <w:r w:rsidRPr="009A5C16">
        <w:rPr>
          <w:lang w:val="fr-FR"/>
        </w:rPr>
        <w:t>à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article</w:t>
      </w:r>
      <w:r>
        <w:rPr>
          <w:lang w:val="fr-FR"/>
        </w:rPr>
        <w:t xml:space="preserve"> </w:t>
      </w:r>
      <w:r w:rsidRPr="009A5C16">
        <w:rPr>
          <w:lang w:val="fr-FR"/>
        </w:rPr>
        <w:t>19</w:t>
      </w:r>
      <w:r>
        <w:rPr>
          <w:lang w:val="fr-FR"/>
        </w:rPr>
        <w:t xml:space="preserve"> </w:t>
      </w:r>
      <w:r w:rsidRPr="009A5C16">
        <w:rPr>
          <w:lang w:val="fr-FR"/>
        </w:rPr>
        <w:t>du</w:t>
      </w:r>
      <w:r>
        <w:rPr>
          <w:lang w:val="fr-FR"/>
        </w:rPr>
        <w:t xml:space="preserve"> </w:t>
      </w:r>
      <w:r w:rsidRPr="009A5C16">
        <w:rPr>
          <w:lang w:val="fr-FR"/>
        </w:rPr>
        <w:t>Pacte.</w:t>
      </w:r>
    </w:p>
    <w:p w:rsidR="000E5700" w:rsidRPr="009A5C16" w:rsidRDefault="000E5700" w:rsidP="000E5700">
      <w:pPr>
        <w:pStyle w:val="SingleTxtG"/>
        <w:rPr>
          <w:lang w:val="fr-FR"/>
        </w:rPr>
      </w:pPr>
      <w:r w:rsidRPr="009A5C16">
        <w:rPr>
          <w:lang w:val="fr-FR"/>
        </w:rPr>
        <w:t>8.3</w:t>
      </w:r>
      <w:r w:rsidRPr="009A5C16">
        <w:rPr>
          <w:lang w:val="fr-FR"/>
        </w:rPr>
        <w:tab/>
        <w:t>Le</w:t>
      </w:r>
      <w:r>
        <w:rPr>
          <w:lang w:val="fr-FR"/>
        </w:rPr>
        <w:t xml:space="preserve"> </w:t>
      </w:r>
      <w:r w:rsidRPr="009A5C16">
        <w:rPr>
          <w:lang w:val="fr-FR"/>
        </w:rPr>
        <w:t>Comité</w:t>
      </w:r>
      <w:r>
        <w:rPr>
          <w:lang w:val="fr-FR"/>
        </w:rPr>
        <w:t xml:space="preserve"> </w:t>
      </w:r>
      <w:r w:rsidRPr="009A5C16">
        <w:rPr>
          <w:lang w:val="fr-FR"/>
        </w:rPr>
        <w:t>renvoie</w:t>
      </w:r>
      <w:r>
        <w:rPr>
          <w:lang w:val="fr-FR"/>
        </w:rPr>
        <w:t xml:space="preserve"> </w:t>
      </w:r>
      <w:r w:rsidRPr="009A5C16">
        <w:rPr>
          <w:lang w:val="fr-FR"/>
        </w:rPr>
        <w:t>à</w:t>
      </w:r>
      <w:r>
        <w:rPr>
          <w:lang w:val="fr-FR"/>
        </w:rPr>
        <w:t xml:space="preserve"> </w:t>
      </w:r>
      <w:r w:rsidRPr="009A5C16">
        <w:rPr>
          <w:lang w:val="fr-FR"/>
        </w:rPr>
        <w:t>son</w:t>
      </w:r>
      <w:r>
        <w:rPr>
          <w:lang w:val="fr-FR"/>
        </w:rPr>
        <w:t xml:space="preserve"> </w:t>
      </w:r>
      <w:r w:rsidRPr="009A5C16">
        <w:rPr>
          <w:lang w:val="fr-FR"/>
        </w:rPr>
        <w:t>observation</w:t>
      </w:r>
      <w:r>
        <w:rPr>
          <w:lang w:val="fr-FR"/>
        </w:rPr>
        <w:t xml:space="preserve"> </w:t>
      </w:r>
      <w:r w:rsidRPr="009A5C16">
        <w:rPr>
          <w:lang w:val="fr-FR"/>
        </w:rPr>
        <w:t>générale</w:t>
      </w:r>
      <w:r>
        <w:rPr>
          <w:lang w:val="fr-FR"/>
        </w:rPr>
        <w:t xml:space="preserve"> </w:t>
      </w:r>
      <w:r w:rsidRPr="00712C0C">
        <w:rPr>
          <w:rFonts w:eastAsia="MS Mincho"/>
          <w:szCs w:val="22"/>
          <w:lang w:val="fr-FR"/>
        </w:rPr>
        <w:t>n</w:t>
      </w:r>
      <w:r w:rsidRPr="00712C0C">
        <w:rPr>
          <w:rFonts w:eastAsia="MS Mincho"/>
          <w:szCs w:val="22"/>
          <w:vertAlign w:val="superscript"/>
          <w:lang w:val="fr-FR"/>
        </w:rPr>
        <w:t>o</w:t>
      </w:r>
      <w:r w:rsidR="00AB6B32">
        <w:rPr>
          <w:lang w:val="fr-FR"/>
        </w:rPr>
        <w:t> </w:t>
      </w:r>
      <w:r w:rsidRPr="009A5C16">
        <w:rPr>
          <w:lang w:val="fr-FR"/>
        </w:rPr>
        <w:t>34</w:t>
      </w:r>
      <w:r>
        <w:rPr>
          <w:lang w:val="fr-FR"/>
        </w:rPr>
        <w:t xml:space="preserve"> </w:t>
      </w:r>
      <w:r w:rsidRPr="009A5C16">
        <w:rPr>
          <w:lang w:val="fr-FR"/>
        </w:rPr>
        <w:t>(2011)</w:t>
      </w:r>
      <w:r>
        <w:rPr>
          <w:lang w:val="fr-FR"/>
        </w:rPr>
        <w:t xml:space="preserve"> </w:t>
      </w:r>
      <w:r w:rsidRPr="009A5C16">
        <w:rPr>
          <w:lang w:val="fr-FR"/>
        </w:rPr>
        <w:t>sur</w:t>
      </w:r>
      <w:r>
        <w:rPr>
          <w:lang w:val="fr-FR"/>
        </w:rPr>
        <w:t xml:space="preserve"> </w:t>
      </w:r>
      <w:r w:rsidRPr="009A5C16">
        <w:rPr>
          <w:lang w:val="fr-FR"/>
        </w:rPr>
        <w:t>la</w:t>
      </w:r>
      <w:r>
        <w:rPr>
          <w:lang w:val="fr-FR"/>
        </w:rPr>
        <w:t xml:space="preserve"> </w:t>
      </w:r>
      <w:r w:rsidRPr="009A5C16">
        <w:rPr>
          <w:lang w:val="fr-FR"/>
        </w:rPr>
        <w:t>liberté</w:t>
      </w:r>
      <w:r>
        <w:rPr>
          <w:lang w:val="fr-FR"/>
        </w:rPr>
        <w:t xml:space="preserve"> </w:t>
      </w:r>
      <w:r w:rsidRPr="009A5C16">
        <w:rPr>
          <w:lang w:val="fr-FR"/>
        </w:rPr>
        <w:t>d</w:t>
      </w:r>
      <w:r>
        <w:rPr>
          <w:lang w:val="fr-FR"/>
        </w:rPr>
        <w:t>’</w:t>
      </w:r>
      <w:r w:rsidRPr="009A5C16">
        <w:rPr>
          <w:lang w:val="fr-FR"/>
        </w:rPr>
        <w:t>opinion</w:t>
      </w:r>
      <w:r>
        <w:rPr>
          <w:lang w:val="fr-FR"/>
        </w:rPr>
        <w:t xml:space="preserve"> </w:t>
      </w:r>
      <w:r w:rsidRPr="009A5C16">
        <w:rPr>
          <w:lang w:val="fr-FR"/>
        </w:rPr>
        <w:t>et</w:t>
      </w:r>
      <w:r>
        <w:rPr>
          <w:lang w:val="fr-FR"/>
        </w:rPr>
        <w:t xml:space="preserve"> </w:t>
      </w:r>
      <w:r w:rsidRPr="009A5C16">
        <w:rPr>
          <w:lang w:val="fr-FR"/>
        </w:rPr>
        <w:t>la</w:t>
      </w:r>
      <w:r>
        <w:rPr>
          <w:lang w:val="fr-FR"/>
        </w:rPr>
        <w:t xml:space="preserve"> </w:t>
      </w:r>
      <w:r w:rsidRPr="009A5C16">
        <w:rPr>
          <w:lang w:val="fr-FR"/>
        </w:rPr>
        <w:t>liberté</w:t>
      </w:r>
      <w:r>
        <w:rPr>
          <w:lang w:val="fr-FR"/>
        </w:rPr>
        <w:t xml:space="preserve"> </w:t>
      </w:r>
      <w:r w:rsidRPr="009A5C16">
        <w:rPr>
          <w:lang w:val="fr-FR"/>
        </w:rPr>
        <w:t>d</w:t>
      </w:r>
      <w:r>
        <w:rPr>
          <w:lang w:val="fr-FR"/>
        </w:rPr>
        <w:t>’</w:t>
      </w:r>
      <w:r w:rsidRPr="009A5C16">
        <w:rPr>
          <w:lang w:val="fr-FR"/>
        </w:rPr>
        <w:t>expression,</w:t>
      </w:r>
      <w:r>
        <w:rPr>
          <w:lang w:val="fr-FR"/>
        </w:rPr>
        <w:t xml:space="preserve"> </w:t>
      </w:r>
      <w:r w:rsidRPr="009A5C16">
        <w:rPr>
          <w:lang w:val="fr-FR"/>
        </w:rPr>
        <w:t>selon</w:t>
      </w:r>
      <w:r>
        <w:rPr>
          <w:lang w:val="fr-FR"/>
        </w:rPr>
        <w:t xml:space="preserve"> </w:t>
      </w:r>
      <w:r w:rsidRPr="009A5C16">
        <w:rPr>
          <w:lang w:val="fr-FR"/>
        </w:rPr>
        <w:t>laquelle</w:t>
      </w:r>
      <w:r>
        <w:rPr>
          <w:lang w:val="fr-FR"/>
        </w:rPr>
        <w:t xml:space="preserve"> </w:t>
      </w:r>
      <w:r w:rsidRPr="009A5C16">
        <w:rPr>
          <w:lang w:val="fr-FR"/>
        </w:rPr>
        <w:t>ces</w:t>
      </w:r>
      <w:r>
        <w:rPr>
          <w:lang w:val="fr-FR"/>
        </w:rPr>
        <w:t xml:space="preserve"> </w:t>
      </w:r>
      <w:r w:rsidRPr="009A5C16">
        <w:rPr>
          <w:lang w:val="fr-FR"/>
        </w:rPr>
        <w:t>libertés</w:t>
      </w:r>
      <w:r>
        <w:rPr>
          <w:lang w:val="fr-FR"/>
        </w:rPr>
        <w:t xml:space="preserve"> </w:t>
      </w:r>
      <w:r w:rsidRPr="009A5C16">
        <w:rPr>
          <w:lang w:val="fr-FR"/>
        </w:rPr>
        <w:t>sont</w:t>
      </w:r>
      <w:r>
        <w:rPr>
          <w:lang w:val="fr-FR"/>
        </w:rPr>
        <w:t xml:space="preserve"> </w:t>
      </w:r>
      <w:r w:rsidRPr="009A5C16">
        <w:rPr>
          <w:lang w:val="fr-FR"/>
        </w:rPr>
        <w:t>des</w:t>
      </w:r>
      <w:r>
        <w:rPr>
          <w:lang w:val="fr-FR"/>
        </w:rPr>
        <w:t xml:space="preserve"> </w:t>
      </w:r>
      <w:r w:rsidRPr="009A5C16">
        <w:rPr>
          <w:lang w:val="fr-FR"/>
        </w:rPr>
        <w:t>conditions</w:t>
      </w:r>
      <w:r>
        <w:rPr>
          <w:lang w:val="fr-FR"/>
        </w:rPr>
        <w:t xml:space="preserve"> </w:t>
      </w:r>
      <w:r w:rsidRPr="009A5C16">
        <w:rPr>
          <w:lang w:val="fr-FR"/>
        </w:rPr>
        <w:t>indispensables</w:t>
      </w:r>
      <w:r>
        <w:rPr>
          <w:lang w:val="fr-FR"/>
        </w:rPr>
        <w:t xml:space="preserve"> </w:t>
      </w:r>
      <w:r w:rsidRPr="009A5C16">
        <w:rPr>
          <w:lang w:val="fr-FR"/>
        </w:rPr>
        <w:t>au</w:t>
      </w:r>
      <w:r>
        <w:rPr>
          <w:lang w:val="fr-FR"/>
        </w:rPr>
        <w:t xml:space="preserve"> </w:t>
      </w:r>
      <w:r w:rsidRPr="009A5C16">
        <w:rPr>
          <w:lang w:val="fr-FR"/>
        </w:rPr>
        <w:t>développement</w:t>
      </w:r>
      <w:r>
        <w:rPr>
          <w:lang w:val="fr-FR"/>
        </w:rPr>
        <w:t xml:space="preserve"> </w:t>
      </w:r>
      <w:r w:rsidRPr="009A5C16">
        <w:rPr>
          <w:lang w:val="fr-FR"/>
        </w:rPr>
        <w:t>complet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individu</w:t>
      </w:r>
      <w:r>
        <w:rPr>
          <w:lang w:val="fr-FR"/>
        </w:rPr>
        <w:t xml:space="preserve">, </w:t>
      </w:r>
      <w:r w:rsidRPr="009A5C16">
        <w:rPr>
          <w:lang w:val="fr-FR"/>
        </w:rPr>
        <w:t>sont</w:t>
      </w:r>
      <w:r>
        <w:rPr>
          <w:lang w:val="fr-FR"/>
        </w:rPr>
        <w:t xml:space="preserve"> </w:t>
      </w:r>
      <w:r w:rsidRPr="009A5C16">
        <w:rPr>
          <w:lang w:val="fr-FR"/>
        </w:rPr>
        <w:t>essentielles</w:t>
      </w:r>
      <w:r>
        <w:rPr>
          <w:lang w:val="fr-FR"/>
        </w:rPr>
        <w:t xml:space="preserve"> </w:t>
      </w:r>
      <w:r w:rsidRPr="009A5C16">
        <w:rPr>
          <w:lang w:val="fr-FR"/>
        </w:rPr>
        <w:t>pour</w:t>
      </w:r>
      <w:r>
        <w:rPr>
          <w:lang w:val="fr-FR"/>
        </w:rPr>
        <w:t xml:space="preserve"> </w:t>
      </w:r>
      <w:r w:rsidRPr="009A5C16">
        <w:rPr>
          <w:lang w:val="fr-FR"/>
        </w:rPr>
        <w:t>toute</w:t>
      </w:r>
      <w:r>
        <w:rPr>
          <w:lang w:val="fr-FR"/>
        </w:rPr>
        <w:t xml:space="preserve"> </w:t>
      </w:r>
      <w:r w:rsidRPr="009A5C16">
        <w:rPr>
          <w:lang w:val="fr-FR"/>
        </w:rPr>
        <w:t>société</w:t>
      </w:r>
      <w:r>
        <w:rPr>
          <w:lang w:val="fr-FR"/>
        </w:rPr>
        <w:t xml:space="preserve"> </w:t>
      </w:r>
      <w:r w:rsidRPr="009A5C16">
        <w:rPr>
          <w:lang w:val="fr-FR"/>
        </w:rPr>
        <w:t>et</w:t>
      </w:r>
      <w:r>
        <w:rPr>
          <w:lang w:val="fr-FR"/>
        </w:rPr>
        <w:t xml:space="preserve"> </w:t>
      </w:r>
      <w:r w:rsidRPr="009A5C16">
        <w:rPr>
          <w:lang w:val="fr-FR"/>
        </w:rPr>
        <w:t>constituent</w:t>
      </w:r>
      <w:r>
        <w:rPr>
          <w:lang w:val="fr-FR"/>
        </w:rPr>
        <w:t xml:space="preserve"> </w:t>
      </w:r>
      <w:r w:rsidRPr="009A5C16">
        <w:rPr>
          <w:lang w:val="fr-FR"/>
        </w:rPr>
        <w:t>le</w:t>
      </w:r>
      <w:r>
        <w:rPr>
          <w:lang w:val="fr-FR"/>
        </w:rPr>
        <w:t xml:space="preserve"> </w:t>
      </w:r>
      <w:r w:rsidRPr="009A5C16">
        <w:rPr>
          <w:lang w:val="fr-FR"/>
        </w:rPr>
        <w:t>fondement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toute</w:t>
      </w:r>
      <w:r>
        <w:rPr>
          <w:lang w:val="fr-FR"/>
        </w:rPr>
        <w:t xml:space="preserve"> </w:t>
      </w:r>
      <w:r w:rsidRPr="009A5C16">
        <w:rPr>
          <w:lang w:val="fr-FR"/>
        </w:rPr>
        <w:t>société</w:t>
      </w:r>
      <w:r>
        <w:rPr>
          <w:lang w:val="fr-FR"/>
        </w:rPr>
        <w:t xml:space="preserve"> </w:t>
      </w:r>
      <w:r w:rsidRPr="009A5C16">
        <w:rPr>
          <w:lang w:val="fr-FR"/>
        </w:rPr>
        <w:t>libre</w:t>
      </w:r>
      <w:r>
        <w:rPr>
          <w:lang w:val="fr-FR"/>
        </w:rPr>
        <w:t xml:space="preserve"> </w:t>
      </w:r>
      <w:r w:rsidRPr="009A5C16">
        <w:rPr>
          <w:lang w:val="fr-FR"/>
        </w:rPr>
        <w:t>et</w:t>
      </w:r>
      <w:r>
        <w:rPr>
          <w:lang w:val="fr-FR"/>
        </w:rPr>
        <w:t xml:space="preserve"> </w:t>
      </w:r>
      <w:r w:rsidRPr="009A5C16">
        <w:rPr>
          <w:lang w:val="fr-FR"/>
        </w:rPr>
        <w:t>démocratique</w:t>
      </w:r>
      <w:r w:rsidRPr="0078283A">
        <w:rPr>
          <w:rStyle w:val="Appelnotedebasdep"/>
        </w:rPr>
        <w:footnoteReference w:id="6"/>
      </w:r>
      <w:r w:rsidRPr="009A5C16">
        <w:rPr>
          <w:lang w:val="fr-FR"/>
        </w:rPr>
        <w:t>.</w:t>
      </w:r>
      <w:r>
        <w:rPr>
          <w:lang w:val="fr-FR"/>
        </w:rPr>
        <w:t xml:space="preserve"> </w:t>
      </w:r>
      <w:r w:rsidRPr="009A5C16">
        <w:rPr>
          <w:lang w:val="fr-FR"/>
        </w:rPr>
        <w:t>Le</w:t>
      </w:r>
      <w:r>
        <w:rPr>
          <w:lang w:val="fr-FR"/>
        </w:rPr>
        <w:t xml:space="preserve"> </w:t>
      </w:r>
      <w:r w:rsidRPr="009A5C16">
        <w:rPr>
          <w:lang w:val="fr-FR"/>
        </w:rPr>
        <w:t>Comité</w:t>
      </w:r>
      <w:r>
        <w:rPr>
          <w:lang w:val="fr-FR"/>
        </w:rPr>
        <w:t xml:space="preserve"> </w:t>
      </w:r>
      <w:r w:rsidRPr="009A5C16">
        <w:rPr>
          <w:lang w:val="fr-FR"/>
        </w:rPr>
        <w:t>rappelle</w:t>
      </w:r>
      <w:r>
        <w:rPr>
          <w:lang w:val="fr-FR"/>
        </w:rPr>
        <w:t xml:space="preserve"> </w:t>
      </w:r>
      <w:r w:rsidRPr="009A5C16">
        <w:rPr>
          <w:lang w:val="fr-FR"/>
        </w:rPr>
        <w:t>que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article</w:t>
      </w:r>
      <w:r>
        <w:rPr>
          <w:lang w:val="fr-FR"/>
        </w:rPr>
        <w:t xml:space="preserve"> </w:t>
      </w:r>
      <w:r w:rsidRPr="009A5C16">
        <w:rPr>
          <w:lang w:val="fr-FR"/>
        </w:rPr>
        <w:t>19</w:t>
      </w:r>
      <w:r>
        <w:rPr>
          <w:lang w:val="fr-FR"/>
        </w:rPr>
        <w:t xml:space="preserve"> (par. 3) du Pacte </w:t>
      </w:r>
      <w:r w:rsidRPr="009A5C16">
        <w:rPr>
          <w:lang w:val="fr-FR"/>
        </w:rPr>
        <w:t>autorise</w:t>
      </w:r>
      <w:r>
        <w:rPr>
          <w:lang w:val="fr-FR"/>
        </w:rPr>
        <w:t xml:space="preserve"> </w:t>
      </w:r>
      <w:r w:rsidRPr="009A5C16">
        <w:rPr>
          <w:lang w:val="fr-FR"/>
        </w:rPr>
        <w:t>certaines</w:t>
      </w:r>
      <w:r>
        <w:rPr>
          <w:lang w:val="fr-FR"/>
        </w:rPr>
        <w:t xml:space="preserve"> </w:t>
      </w:r>
      <w:r w:rsidRPr="009A5C16">
        <w:rPr>
          <w:lang w:val="fr-FR"/>
        </w:rPr>
        <w:t>restrictions</w:t>
      </w:r>
      <w:r>
        <w:rPr>
          <w:lang w:val="fr-FR"/>
        </w:rPr>
        <w:t xml:space="preserve"> </w:t>
      </w:r>
      <w:r w:rsidRPr="009A5C16">
        <w:rPr>
          <w:lang w:val="fr-FR"/>
        </w:rPr>
        <w:t>pour</w:t>
      </w:r>
      <w:r>
        <w:rPr>
          <w:lang w:val="fr-FR"/>
        </w:rPr>
        <w:t xml:space="preserve"> </w:t>
      </w:r>
      <w:r w:rsidRPr="009A5C16">
        <w:rPr>
          <w:lang w:val="fr-FR"/>
        </w:rPr>
        <w:t>autant</w:t>
      </w:r>
      <w:r>
        <w:rPr>
          <w:lang w:val="fr-FR"/>
        </w:rPr>
        <w:t xml:space="preserve"> </w:t>
      </w:r>
      <w:r w:rsidRPr="009A5C16">
        <w:rPr>
          <w:lang w:val="fr-FR"/>
        </w:rPr>
        <w:t>qu</w:t>
      </w:r>
      <w:r>
        <w:rPr>
          <w:lang w:val="fr-FR"/>
        </w:rPr>
        <w:t>’</w:t>
      </w:r>
      <w:r w:rsidRPr="009A5C16">
        <w:rPr>
          <w:lang w:val="fr-FR"/>
        </w:rPr>
        <w:t>elles</w:t>
      </w:r>
      <w:r>
        <w:rPr>
          <w:lang w:val="fr-FR"/>
        </w:rPr>
        <w:t xml:space="preserve"> </w:t>
      </w:r>
      <w:r w:rsidRPr="009A5C16">
        <w:rPr>
          <w:lang w:val="fr-FR"/>
        </w:rPr>
        <w:t>soient</w:t>
      </w:r>
      <w:r>
        <w:rPr>
          <w:lang w:val="fr-FR"/>
        </w:rPr>
        <w:t xml:space="preserve"> </w:t>
      </w:r>
      <w:r w:rsidRPr="009A5C16">
        <w:rPr>
          <w:lang w:val="fr-FR"/>
        </w:rPr>
        <w:t>prévues</w:t>
      </w:r>
      <w:r>
        <w:rPr>
          <w:lang w:val="fr-FR"/>
        </w:rPr>
        <w:t xml:space="preserve"> </w:t>
      </w:r>
      <w:r w:rsidRPr="009A5C16">
        <w:rPr>
          <w:lang w:val="fr-FR"/>
        </w:rPr>
        <w:t>par</w:t>
      </w:r>
      <w:r>
        <w:rPr>
          <w:lang w:val="fr-FR"/>
        </w:rPr>
        <w:t xml:space="preserve"> </w:t>
      </w:r>
      <w:r w:rsidRPr="009A5C16">
        <w:rPr>
          <w:lang w:val="fr-FR"/>
        </w:rPr>
        <w:t>la</w:t>
      </w:r>
      <w:r>
        <w:rPr>
          <w:lang w:val="fr-FR"/>
        </w:rPr>
        <w:t xml:space="preserve"> </w:t>
      </w:r>
      <w:r w:rsidRPr="009A5C16">
        <w:rPr>
          <w:lang w:val="fr-FR"/>
        </w:rPr>
        <w:t>loi</w:t>
      </w:r>
      <w:r>
        <w:rPr>
          <w:lang w:val="fr-FR"/>
        </w:rPr>
        <w:t xml:space="preserve"> </w:t>
      </w:r>
      <w:r w:rsidRPr="009A5C16">
        <w:rPr>
          <w:lang w:val="fr-FR"/>
        </w:rPr>
        <w:t>et</w:t>
      </w:r>
      <w:r>
        <w:rPr>
          <w:lang w:val="fr-FR"/>
        </w:rPr>
        <w:t xml:space="preserve"> </w:t>
      </w:r>
      <w:r w:rsidRPr="009A5C16">
        <w:rPr>
          <w:lang w:val="fr-FR"/>
        </w:rPr>
        <w:t>nécessaires</w:t>
      </w:r>
      <w:r>
        <w:rPr>
          <w:lang w:val="fr-FR"/>
        </w:rPr>
        <w:t xml:space="preserve"> : </w:t>
      </w:r>
      <w:r w:rsidRPr="009A5C16">
        <w:rPr>
          <w:lang w:val="fr-FR"/>
        </w:rPr>
        <w:t>a)</w:t>
      </w:r>
      <w:r w:rsidR="00AB6B32">
        <w:rPr>
          <w:lang w:val="fr-FR"/>
        </w:rPr>
        <w:t> </w:t>
      </w:r>
      <w:r w:rsidRPr="009A5C16">
        <w:rPr>
          <w:lang w:val="fr-FR"/>
        </w:rPr>
        <w:t>au</w:t>
      </w:r>
      <w:r>
        <w:rPr>
          <w:lang w:val="fr-FR"/>
        </w:rPr>
        <w:t xml:space="preserve"> </w:t>
      </w:r>
      <w:r w:rsidRPr="009A5C16">
        <w:rPr>
          <w:lang w:val="fr-FR"/>
        </w:rPr>
        <w:t>respect</w:t>
      </w:r>
      <w:r>
        <w:rPr>
          <w:lang w:val="fr-FR"/>
        </w:rPr>
        <w:t xml:space="preserve"> </w:t>
      </w:r>
      <w:r w:rsidRPr="009A5C16">
        <w:rPr>
          <w:lang w:val="fr-FR"/>
        </w:rPr>
        <w:t>des</w:t>
      </w:r>
      <w:r>
        <w:rPr>
          <w:lang w:val="fr-FR"/>
        </w:rPr>
        <w:t xml:space="preserve"> </w:t>
      </w:r>
      <w:r w:rsidRPr="009A5C16">
        <w:rPr>
          <w:lang w:val="fr-FR"/>
        </w:rPr>
        <w:t>droits</w:t>
      </w:r>
      <w:r>
        <w:rPr>
          <w:lang w:val="fr-FR"/>
        </w:rPr>
        <w:t xml:space="preserve"> </w:t>
      </w:r>
      <w:r w:rsidRPr="009A5C16">
        <w:rPr>
          <w:lang w:val="fr-FR"/>
        </w:rPr>
        <w:t>ou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la</w:t>
      </w:r>
      <w:r>
        <w:rPr>
          <w:lang w:val="fr-FR"/>
        </w:rPr>
        <w:t xml:space="preserve"> </w:t>
      </w:r>
      <w:r w:rsidRPr="009A5C16">
        <w:rPr>
          <w:lang w:val="fr-FR"/>
        </w:rPr>
        <w:t>réputation</w:t>
      </w:r>
      <w:r>
        <w:rPr>
          <w:lang w:val="fr-FR"/>
        </w:rPr>
        <w:t xml:space="preserve"> </w:t>
      </w:r>
      <w:r w:rsidRPr="009A5C16">
        <w:rPr>
          <w:lang w:val="fr-FR"/>
        </w:rPr>
        <w:t>d</w:t>
      </w:r>
      <w:r>
        <w:rPr>
          <w:lang w:val="fr-FR"/>
        </w:rPr>
        <w:t>’</w:t>
      </w:r>
      <w:r w:rsidRPr="009A5C16">
        <w:rPr>
          <w:lang w:val="fr-FR"/>
        </w:rPr>
        <w:t>autrui</w:t>
      </w:r>
      <w:r>
        <w:rPr>
          <w:lang w:val="fr-FR"/>
        </w:rPr>
        <w:t xml:space="preserve"> ; </w:t>
      </w:r>
      <w:r w:rsidRPr="009A5C16">
        <w:rPr>
          <w:lang w:val="fr-FR"/>
        </w:rPr>
        <w:t>ou</w:t>
      </w:r>
      <w:r>
        <w:rPr>
          <w:lang w:val="fr-FR"/>
        </w:rPr>
        <w:t xml:space="preserve"> </w:t>
      </w:r>
      <w:r w:rsidRPr="009A5C16">
        <w:rPr>
          <w:lang w:val="fr-FR"/>
        </w:rPr>
        <w:t>b)</w:t>
      </w:r>
      <w:r w:rsidR="00AB6B32">
        <w:rPr>
          <w:lang w:val="fr-FR"/>
        </w:rPr>
        <w:t> </w:t>
      </w:r>
      <w:r w:rsidRPr="009A5C16">
        <w:rPr>
          <w:lang w:val="fr-FR"/>
        </w:rPr>
        <w:t>à</w:t>
      </w:r>
      <w:r>
        <w:rPr>
          <w:lang w:val="fr-FR"/>
        </w:rPr>
        <w:t xml:space="preserve"> </w:t>
      </w:r>
      <w:r w:rsidRPr="009A5C16">
        <w:rPr>
          <w:lang w:val="fr-FR"/>
        </w:rPr>
        <w:t>la</w:t>
      </w:r>
      <w:r>
        <w:rPr>
          <w:lang w:val="fr-FR"/>
        </w:rPr>
        <w:t xml:space="preserve"> </w:t>
      </w:r>
      <w:r w:rsidRPr="009A5C16">
        <w:rPr>
          <w:lang w:val="fr-FR"/>
        </w:rPr>
        <w:t>protection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la</w:t>
      </w:r>
      <w:r>
        <w:rPr>
          <w:lang w:val="fr-FR"/>
        </w:rPr>
        <w:t xml:space="preserve"> </w:t>
      </w:r>
      <w:r w:rsidRPr="009A5C16">
        <w:rPr>
          <w:lang w:val="fr-FR"/>
        </w:rPr>
        <w:t>sécurité</w:t>
      </w:r>
      <w:r>
        <w:rPr>
          <w:lang w:val="fr-FR"/>
        </w:rPr>
        <w:t xml:space="preserve"> </w:t>
      </w:r>
      <w:r w:rsidRPr="009A5C16">
        <w:rPr>
          <w:lang w:val="fr-FR"/>
        </w:rPr>
        <w:t>nationale,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ordre</w:t>
      </w:r>
      <w:r>
        <w:rPr>
          <w:lang w:val="fr-FR"/>
        </w:rPr>
        <w:t xml:space="preserve"> </w:t>
      </w:r>
      <w:r w:rsidRPr="009A5C16">
        <w:rPr>
          <w:lang w:val="fr-FR"/>
        </w:rPr>
        <w:t>public,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la</w:t>
      </w:r>
      <w:r>
        <w:rPr>
          <w:lang w:val="fr-FR"/>
        </w:rPr>
        <w:t xml:space="preserve"> </w:t>
      </w:r>
      <w:r w:rsidRPr="009A5C16">
        <w:rPr>
          <w:lang w:val="fr-FR"/>
        </w:rPr>
        <w:t>santé</w:t>
      </w:r>
      <w:r>
        <w:rPr>
          <w:lang w:val="fr-FR"/>
        </w:rPr>
        <w:t xml:space="preserve"> </w:t>
      </w:r>
      <w:r w:rsidRPr="009A5C16">
        <w:rPr>
          <w:lang w:val="fr-FR"/>
        </w:rPr>
        <w:t>ou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la</w:t>
      </w:r>
      <w:r>
        <w:rPr>
          <w:lang w:val="fr-FR"/>
        </w:rPr>
        <w:t xml:space="preserve"> </w:t>
      </w:r>
      <w:r w:rsidRPr="009A5C16">
        <w:rPr>
          <w:lang w:val="fr-FR"/>
        </w:rPr>
        <w:t>moralité</w:t>
      </w:r>
      <w:r>
        <w:rPr>
          <w:lang w:val="fr-FR"/>
        </w:rPr>
        <w:t xml:space="preserve"> </w:t>
      </w:r>
      <w:r w:rsidRPr="009A5C16">
        <w:rPr>
          <w:lang w:val="fr-FR"/>
        </w:rPr>
        <w:t>publiques.</w:t>
      </w:r>
      <w:r>
        <w:rPr>
          <w:lang w:val="fr-FR"/>
        </w:rPr>
        <w:t xml:space="preserve"> </w:t>
      </w:r>
      <w:r w:rsidRPr="009A5C16">
        <w:rPr>
          <w:lang w:val="fr-FR"/>
        </w:rPr>
        <w:t>Toute</w:t>
      </w:r>
      <w:r>
        <w:rPr>
          <w:lang w:val="fr-FR"/>
        </w:rPr>
        <w:t xml:space="preserve"> </w:t>
      </w:r>
      <w:r w:rsidRPr="009A5C16">
        <w:rPr>
          <w:lang w:val="fr-FR"/>
        </w:rPr>
        <w:t>restriction</w:t>
      </w:r>
      <w:r>
        <w:rPr>
          <w:lang w:val="fr-FR"/>
        </w:rPr>
        <w:t xml:space="preserve"> </w:t>
      </w:r>
      <w:r w:rsidRPr="009A5C16">
        <w:rPr>
          <w:lang w:val="fr-FR"/>
        </w:rPr>
        <w:t>à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exercice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ces</w:t>
      </w:r>
      <w:r>
        <w:rPr>
          <w:lang w:val="fr-FR"/>
        </w:rPr>
        <w:t xml:space="preserve"> </w:t>
      </w:r>
      <w:r w:rsidRPr="009A5C16">
        <w:rPr>
          <w:lang w:val="fr-FR"/>
        </w:rPr>
        <w:t>libertés</w:t>
      </w:r>
      <w:r>
        <w:rPr>
          <w:lang w:val="fr-FR"/>
        </w:rPr>
        <w:t xml:space="preserve"> </w:t>
      </w:r>
      <w:r w:rsidRPr="009A5C16">
        <w:rPr>
          <w:lang w:val="fr-FR"/>
        </w:rPr>
        <w:t>doit</w:t>
      </w:r>
      <w:r>
        <w:rPr>
          <w:lang w:val="fr-FR"/>
        </w:rPr>
        <w:t xml:space="preserve"> </w:t>
      </w:r>
      <w:r w:rsidRPr="009A5C16">
        <w:rPr>
          <w:lang w:val="fr-FR"/>
        </w:rPr>
        <w:t>répondre</w:t>
      </w:r>
      <w:r>
        <w:rPr>
          <w:lang w:val="fr-FR"/>
        </w:rPr>
        <w:t xml:space="preserve"> </w:t>
      </w:r>
      <w:r w:rsidRPr="009A5C16">
        <w:rPr>
          <w:lang w:val="fr-FR"/>
        </w:rPr>
        <w:t>aux</w:t>
      </w:r>
      <w:r>
        <w:rPr>
          <w:lang w:val="fr-FR"/>
        </w:rPr>
        <w:t xml:space="preserve"> </w:t>
      </w:r>
      <w:r w:rsidRPr="009A5C16">
        <w:rPr>
          <w:lang w:val="fr-FR"/>
        </w:rPr>
        <w:t>critères</w:t>
      </w:r>
      <w:r>
        <w:rPr>
          <w:lang w:val="fr-FR"/>
        </w:rPr>
        <w:t xml:space="preserve"> </w:t>
      </w:r>
      <w:r w:rsidRPr="009A5C16">
        <w:rPr>
          <w:lang w:val="fr-FR"/>
        </w:rPr>
        <w:t>stricts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nécessité</w:t>
      </w:r>
      <w:r>
        <w:rPr>
          <w:lang w:val="fr-FR"/>
        </w:rPr>
        <w:t xml:space="preserve"> </w:t>
      </w:r>
      <w:r w:rsidRPr="009A5C16">
        <w:rPr>
          <w:lang w:val="fr-FR"/>
        </w:rPr>
        <w:t>et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proportionnalité.</w:t>
      </w:r>
      <w:r>
        <w:rPr>
          <w:lang w:val="fr-FR"/>
        </w:rPr>
        <w:t xml:space="preserve"> </w:t>
      </w:r>
      <w:r w:rsidRPr="009A5C16">
        <w:rPr>
          <w:lang w:val="fr-FR"/>
        </w:rPr>
        <w:t>Les</w:t>
      </w:r>
      <w:r>
        <w:rPr>
          <w:lang w:val="fr-FR"/>
        </w:rPr>
        <w:t xml:space="preserve"> </w:t>
      </w:r>
      <w:r w:rsidRPr="009A5C16">
        <w:rPr>
          <w:lang w:val="fr-FR"/>
        </w:rPr>
        <w:t>restrictions</w:t>
      </w:r>
      <w:r>
        <w:rPr>
          <w:lang w:val="fr-FR"/>
        </w:rPr>
        <w:t xml:space="preserve"> </w:t>
      </w:r>
      <w:r w:rsidRPr="009A5C16">
        <w:rPr>
          <w:lang w:val="fr-FR"/>
        </w:rPr>
        <w:t>doivent</w:t>
      </w:r>
      <w:r>
        <w:rPr>
          <w:lang w:val="fr-FR"/>
        </w:rPr>
        <w:t xml:space="preserve"> </w:t>
      </w:r>
      <w:r w:rsidRPr="009A5C16">
        <w:rPr>
          <w:lang w:val="fr-FR"/>
        </w:rPr>
        <w:t>être</w:t>
      </w:r>
      <w:r>
        <w:rPr>
          <w:lang w:val="fr-FR"/>
        </w:rPr>
        <w:t xml:space="preserve"> </w:t>
      </w:r>
      <w:r w:rsidRPr="009A5C16">
        <w:rPr>
          <w:lang w:val="fr-FR"/>
        </w:rPr>
        <w:t>appliquées</w:t>
      </w:r>
      <w:r>
        <w:rPr>
          <w:lang w:val="fr-FR"/>
        </w:rPr>
        <w:t xml:space="preserve"> </w:t>
      </w:r>
      <w:r w:rsidRPr="009A5C16">
        <w:rPr>
          <w:lang w:val="fr-FR"/>
        </w:rPr>
        <w:t>exclusivement</w:t>
      </w:r>
      <w:r>
        <w:rPr>
          <w:lang w:val="fr-FR"/>
        </w:rPr>
        <w:t xml:space="preserve"> </w:t>
      </w:r>
      <w:r w:rsidRPr="009A5C16">
        <w:rPr>
          <w:lang w:val="fr-FR"/>
        </w:rPr>
        <w:t>aux</w:t>
      </w:r>
      <w:r>
        <w:rPr>
          <w:lang w:val="fr-FR"/>
        </w:rPr>
        <w:t xml:space="preserve"> </w:t>
      </w:r>
      <w:r w:rsidRPr="009A5C16">
        <w:rPr>
          <w:lang w:val="fr-FR"/>
        </w:rPr>
        <w:t>fins</w:t>
      </w:r>
      <w:r>
        <w:rPr>
          <w:lang w:val="fr-FR"/>
        </w:rPr>
        <w:t xml:space="preserve"> </w:t>
      </w:r>
      <w:r w:rsidRPr="009A5C16">
        <w:rPr>
          <w:lang w:val="fr-FR"/>
        </w:rPr>
        <w:t>pour</w:t>
      </w:r>
      <w:r>
        <w:rPr>
          <w:lang w:val="fr-FR"/>
        </w:rPr>
        <w:t xml:space="preserve"> </w:t>
      </w:r>
      <w:r w:rsidRPr="009A5C16">
        <w:rPr>
          <w:lang w:val="fr-FR"/>
        </w:rPr>
        <w:lastRenderedPageBreak/>
        <w:t>lesquelles</w:t>
      </w:r>
      <w:r>
        <w:rPr>
          <w:lang w:val="fr-FR"/>
        </w:rPr>
        <w:t xml:space="preserve"> </w:t>
      </w:r>
      <w:r w:rsidRPr="009A5C16">
        <w:rPr>
          <w:lang w:val="fr-FR"/>
        </w:rPr>
        <w:t>elles</w:t>
      </w:r>
      <w:r>
        <w:rPr>
          <w:lang w:val="fr-FR"/>
        </w:rPr>
        <w:t xml:space="preserve"> </w:t>
      </w:r>
      <w:r w:rsidRPr="009A5C16">
        <w:rPr>
          <w:lang w:val="fr-FR"/>
        </w:rPr>
        <w:t>ont</w:t>
      </w:r>
      <w:r>
        <w:rPr>
          <w:lang w:val="fr-FR"/>
        </w:rPr>
        <w:t xml:space="preserve"> </w:t>
      </w:r>
      <w:r w:rsidRPr="009A5C16">
        <w:rPr>
          <w:lang w:val="fr-FR"/>
        </w:rPr>
        <w:t>été</w:t>
      </w:r>
      <w:r>
        <w:rPr>
          <w:lang w:val="fr-FR"/>
        </w:rPr>
        <w:t xml:space="preserve"> </w:t>
      </w:r>
      <w:r w:rsidRPr="009A5C16">
        <w:rPr>
          <w:lang w:val="fr-FR"/>
        </w:rPr>
        <w:t>prescrites</w:t>
      </w:r>
      <w:r>
        <w:rPr>
          <w:lang w:val="fr-FR"/>
        </w:rPr>
        <w:t xml:space="preserve"> </w:t>
      </w:r>
      <w:r w:rsidRPr="009A5C16">
        <w:rPr>
          <w:lang w:val="fr-FR"/>
        </w:rPr>
        <w:t>et</w:t>
      </w:r>
      <w:r>
        <w:rPr>
          <w:lang w:val="fr-FR"/>
        </w:rPr>
        <w:t xml:space="preserve"> </w:t>
      </w:r>
      <w:r w:rsidRPr="009A5C16">
        <w:rPr>
          <w:lang w:val="fr-FR"/>
        </w:rPr>
        <w:t>doivent</w:t>
      </w:r>
      <w:r>
        <w:rPr>
          <w:lang w:val="fr-FR"/>
        </w:rPr>
        <w:t xml:space="preserve"> </w:t>
      </w:r>
      <w:r w:rsidRPr="009A5C16">
        <w:rPr>
          <w:lang w:val="fr-FR"/>
        </w:rPr>
        <w:t>être</w:t>
      </w:r>
      <w:r>
        <w:rPr>
          <w:lang w:val="fr-FR"/>
        </w:rPr>
        <w:t xml:space="preserve"> </w:t>
      </w:r>
      <w:r w:rsidRPr="009A5C16">
        <w:rPr>
          <w:lang w:val="fr-FR"/>
        </w:rPr>
        <w:t>en</w:t>
      </w:r>
      <w:r>
        <w:rPr>
          <w:lang w:val="fr-FR"/>
        </w:rPr>
        <w:t xml:space="preserve"> </w:t>
      </w:r>
      <w:r w:rsidRPr="009A5C16">
        <w:rPr>
          <w:lang w:val="fr-FR"/>
        </w:rPr>
        <w:t>rapport</w:t>
      </w:r>
      <w:r>
        <w:rPr>
          <w:lang w:val="fr-FR"/>
        </w:rPr>
        <w:t xml:space="preserve"> </w:t>
      </w:r>
      <w:r w:rsidRPr="009A5C16">
        <w:rPr>
          <w:lang w:val="fr-FR"/>
        </w:rPr>
        <w:t>direct</w:t>
      </w:r>
      <w:r>
        <w:rPr>
          <w:lang w:val="fr-FR"/>
        </w:rPr>
        <w:t xml:space="preserve"> </w:t>
      </w:r>
      <w:r w:rsidRPr="009A5C16">
        <w:rPr>
          <w:lang w:val="fr-FR"/>
        </w:rPr>
        <w:t>avec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objectif</w:t>
      </w:r>
      <w:r>
        <w:rPr>
          <w:lang w:val="fr-FR"/>
        </w:rPr>
        <w:t xml:space="preserve"> </w:t>
      </w:r>
      <w:r w:rsidRPr="009A5C16">
        <w:rPr>
          <w:lang w:val="fr-FR"/>
        </w:rPr>
        <w:t>précis</w:t>
      </w:r>
      <w:r>
        <w:rPr>
          <w:lang w:val="fr-FR"/>
        </w:rPr>
        <w:t xml:space="preserve"> </w:t>
      </w:r>
      <w:r w:rsidRPr="009A5C16">
        <w:rPr>
          <w:lang w:val="fr-FR"/>
        </w:rPr>
        <w:t>qui</w:t>
      </w:r>
      <w:r>
        <w:rPr>
          <w:lang w:val="fr-FR"/>
        </w:rPr>
        <w:t xml:space="preserve"> </w:t>
      </w:r>
      <w:r w:rsidRPr="009A5C16">
        <w:rPr>
          <w:lang w:val="fr-FR"/>
        </w:rPr>
        <w:t>les</w:t>
      </w:r>
      <w:r>
        <w:rPr>
          <w:lang w:val="fr-FR"/>
        </w:rPr>
        <w:t xml:space="preserve"> </w:t>
      </w:r>
      <w:r w:rsidRPr="009A5C16">
        <w:rPr>
          <w:lang w:val="fr-FR"/>
        </w:rPr>
        <w:t>inspire</w:t>
      </w:r>
      <w:r w:rsidRPr="0078283A">
        <w:rPr>
          <w:rStyle w:val="Appelnotedebasdep"/>
        </w:rPr>
        <w:footnoteReference w:id="7"/>
      </w:r>
      <w:r w:rsidRPr="009A5C16">
        <w:rPr>
          <w:lang w:val="fr-FR"/>
        </w:rPr>
        <w:t>.</w:t>
      </w:r>
    </w:p>
    <w:p w:rsidR="000E5700" w:rsidRPr="009A5C16" w:rsidRDefault="000E5700" w:rsidP="000E5700">
      <w:pPr>
        <w:pStyle w:val="SingleTxtG"/>
        <w:rPr>
          <w:lang w:val="fr-FR"/>
        </w:rPr>
      </w:pPr>
      <w:r w:rsidRPr="009A5C16">
        <w:rPr>
          <w:lang w:val="fr-FR"/>
        </w:rPr>
        <w:t>8.4</w:t>
      </w:r>
      <w:r w:rsidRPr="009A5C16">
        <w:rPr>
          <w:lang w:val="fr-FR"/>
        </w:rPr>
        <w:tab/>
        <w:t>Le</w:t>
      </w:r>
      <w:r>
        <w:rPr>
          <w:lang w:val="fr-FR"/>
        </w:rPr>
        <w:t xml:space="preserve"> </w:t>
      </w:r>
      <w:r w:rsidRPr="009A5C16">
        <w:rPr>
          <w:lang w:val="fr-FR"/>
        </w:rPr>
        <w:t>Comité</w:t>
      </w:r>
      <w:r>
        <w:rPr>
          <w:lang w:val="fr-FR"/>
        </w:rPr>
        <w:t xml:space="preserve"> </w:t>
      </w:r>
      <w:r w:rsidRPr="009A5C16">
        <w:rPr>
          <w:lang w:val="fr-FR"/>
        </w:rPr>
        <w:t>rappelle</w:t>
      </w:r>
      <w:r>
        <w:rPr>
          <w:lang w:val="fr-FR"/>
        </w:rPr>
        <w:t xml:space="preserve"> </w:t>
      </w:r>
      <w:r w:rsidRPr="009A5C16">
        <w:rPr>
          <w:lang w:val="fr-FR"/>
        </w:rPr>
        <w:t>qu</w:t>
      </w:r>
      <w:r>
        <w:rPr>
          <w:lang w:val="fr-FR"/>
        </w:rPr>
        <w:t>’</w:t>
      </w:r>
      <w:r w:rsidRPr="009A5C16">
        <w:rPr>
          <w:lang w:val="fr-FR"/>
        </w:rPr>
        <w:t>il</w:t>
      </w:r>
      <w:r>
        <w:rPr>
          <w:lang w:val="fr-FR"/>
        </w:rPr>
        <w:t xml:space="preserve"> </w:t>
      </w:r>
      <w:r w:rsidRPr="009A5C16">
        <w:rPr>
          <w:lang w:val="fr-FR"/>
        </w:rPr>
        <w:t>incombe</w:t>
      </w:r>
      <w:r>
        <w:rPr>
          <w:lang w:val="fr-FR"/>
        </w:rPr>
        <w:t xml:space="preserve"> </w:t>
      </w:r>
      <w:r w:rsidRPr="009A5C16">
        <w:rPr>
          <w:lang w:val="fr-FR"/>
        </w:rPr>
        <w:t>à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État</w:t>
      </w:r>
      <w:r>
        <w:rPr>
          <w:lang w:val="fr-FR"/>
        </w:rPr>
        <w:t xml:space="preserve"> </w:t>
      </w:r>
      <w:r w:rsidRPr="009A5C16">
        <w:rPr>
          <w:lang w:val="fr-FR"/>
        </w:rPr>
        <w:t>partie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démontrer</w:t>
      </w:r>
      <w:r>
        <w:rPr>
          <w:lang w:val="fr-FR"/>
        </w:rPr>
        <w:t xml:space="preserve"> </w:t>
      </w:r>
      <w:r w:rsidRPr="009A5C16">
        <w:rPr>
          <w:lang w:val="fr-FR"/>
        </w:rPr>
        <w:t>que</w:t>
      </w:r>
      <w:r>
        <w:rPr>
          <w:lang w:val="fr-FR"/>
        </w:rPr>
        <w:t xml:space="preserve"> </w:t>
      </w:r>
      <w:r w:rsidRPr="009A5C16">
        <w:rPr>
          <w:lang w:val="fr-FR"/>
        </w:rPr>
        <w:t>les</w:t>
      </w:r>
      <w:r>
        <w:rPr>
          <w:lang w:val="fr-FR"/>
        </w:rPr>
        <w:t xml:space="preserve"> </w:t>
      </w:r>
      <w:r w:rsidRPr="009A5C16">
        <w:rPr>
          <w:lang w:val="fr-FR"/>
        </w:rPr>
        <w:t>restrictions</w:t>
      </w:r>
      <w:r>
        <w:rPr>
          <w:lang w:val="fr-FR"/>
        </w:rPr>
        <w:t xml:space="preserve"> </w:t>
      </w:r>
      <w:r w:rsidRPr="009A5C16">
        <w:rPr>
          <w:lang w:val="fr-FR"/>
        </w:rPr>
        <w:t>imposées</w:t>
      </w:r>
      <w:r>
        <w:rPr>
          <w:lang w:val="fr-FR"/>
        </w:rPr>
        <w:t xml:space="preserve"> </w:t>
      </w:r>
      <w:r w:rsidRPr="009A5C16">
        <w:rPr>
          <w:lang w:val="fr-FR"/>
        </w:rPr>
        <w:t>aux</w:t>
      </w:r>
      <w:r>
        <w:rPr>
          <w:lang w:val="fr-FR"/>
        </w:rPr>
        <w:t xml:space="preserve"> </w:t>
      </w:r>
      <w:r w:rsidRPr="009A5C16">
        <w:rPr>
          <w:lang w:val="fr-FR"/>
        </w:rPr>
        <w:t>droits</w:t>
      </w:r>
      <w:r>
        <w:rPr>
          <w:lang w:val="fr-FR"/>
        </w:rPr>
        <w:t xml:space="preserve"> </w:t>
      </w:r>
      <w:r w:rsidRPr="009A5C16">
        <w:rPr>
          <w:lang w:val="fr-FR"/>
        </w:rPr>
        <w:t>énoncés</w:t>
      </w:r>
      <w:r>
        <w:rPr>
          <w:lang w:val="fr-FR"/>
        </w:rPr>
        <w:t xml:space="preserve"> </w:t>
      </w:r>
      <w:r w:rsidRPr="009A5C16">
        <w:rPr>
          <w:lang w:val="fr-FR"/>
        </w:rPr>
        <w:t>à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article</w:t>
      </w:r>
      <w:r>
        <w:rPr>
          <w:lang w:val="fr-FR"/>
        </w:rPr>
        <w:t xml:space="preserve"> </w:t>
      </w:r>
      <w:r w:rsidRPr="009A5C16">
        <w:rPr>
          <w:lang w:val="fr-FR"/>
        </w:rPr>
        <w:t>19</w:t>
      </w:r>
      <w:r>
        <w:rPr>
          <w:lang w:val="fr-FR"/>
        </w:rPr>
        <w:t xml:space="preserve"> </w:t>
      </w:r>
      <w:r w:rsidRPr="009A5C16">
        <w:rPr>
          <w:lang w:val="fr-FR"/>
        </w:rPr>
        <w:t>sont</w:t>
      </w:r>
      <w:r>
        <w:rPr>
          <w:lang w:val="fr-FR"/>
        </w:rPr>
        <w:t xml:space="preserve"> </w:t>
      </w:r>
      <w:r w:rsidRPr="009A5C16">
        <w:rPr>
          <w:lang w:val="fr-FR"/>
        </w:rPr>
        <w:t>nécessaires</w:t>
      </w:r>
      <w:r>
        <w:rPr>
          <w:lang w:val="fr-FR"/>
        </w:rPr>
        <w:t xml:space="preserve"> </w:t>
      </w:r>
      <w:r w:rsidRPr="009A5C16">
        <w:rPr>
          <w:lang w:val="fr-FR"/>
        </w:rPr>
        <w:t>et</w:t>
      </w:r>
      <w:r>
        <w:rPr>
          <w:lang w:val="fr-FR"/>
        </w:rPr>
        <w:t xml:space="preserve"> </w:t>
      </w:r>
      <w:r w:rsidRPr="009A5C16">
        <w:rPr>
          <w:lang w:val="fr-FR"/>
        </w:rPr>
        <w:t>proportionnées</w:t>
      </w:r>
      <w:r w:rsidRPr="0078283A">
        <w:rPr>
          <w:rStyle w:val="Appelnotedebasdep"/>
        </w:rPr>
        <w:footnoteReference w:id="8"/>
      </w:r>
      <w:r w:rsidRPr="009A5C16">
        <w:rPr>
          <w:lang w:val="fr-FR"/>
        </w:rPr>
        <w:t>.</w:t>
      </w:r>
      <w:r>
        <w:rPr>
          <w:lang w:val="fr-FR"/>
        </w:rPr>
        <w:t xml:space="preserve"> </w:t>
      </w:r>
      <w:r w:rsidRPr="009A5C16">
        <w:rPr>
          <w:lang w:val="fr-FR"/>
        </w:rPr>
        <w:t>Il</w:t>
      </w:r>
      <w:r>
        <w:rPr>
          <w:lang w:val="fr-FR"/>
        </w:rPr>
        <w:t xml:space="preserve"> </w:t>
      </w:r>
      <w:r w:rsidRPr="009A5C16">
        <w:rPr>
          <w:lang w:val="fr-FR"/>
        </w:rPr>
        <w:t>fait</w:t>
      </w:r>
      <w:r>
        <w:rPr>
          <w:lang w:val="fr-FR"/>
        </w:rPr>
        <w:t xml:space="preserve"> </w:t>
      </w:r>
      <w:r w:rsidRPr="009A5C16">
        <w:rPr>
          <w:lang w:val="fr-FR"/>
        </w:rPr>
        <w:t>observer</w:t>
      </w:r>
      <w:r>
        <w:rPr>
          <w:lang w:val="fr-FR"/>
        </w:rPr>
        <w:t xml:space="preserve"> </w:t>
      </w:r>
      <w:r w:rsidRPr="009A5C16">
        <w:rPr>
          <w:lang w:val="fr-FR"/>
        </w:rPr>
        <w:t>que</w:t>
      </w:r>
      <w:r>
        <w:rPr>
          <w:lang w:val="fr-FR"/>
        </w:rPr>
        <w:t xml:space="preserve"> </w:t>
      </w:r>
      <w:r w:rsidRPr="009A5C16">
        <w:rPr>
          <w:lang w:val="fr-FR"/>
        </w:rPr>
        <w:t>demander</w:t>
      </w:r>
      <w:r>
        <w:rPr>
          <w:lang w:val="fr-FR"/>
        </w:rPr>
        <w:t xml:space="preserve"> </w:t>
      </w:r>
      <w:r w:rsidRPr="009A5C16">
        <w:rPr>
          <w:lang w:val="fr-FR"/>
        </w:rPr>
        <w:t>à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organisateur</w:t>
      </w:r>
      <w:r>
        <w:rPr>
          <w:lang w:val="fr-FR"/>
        </w:rPr>
        <w:t xml:space="preserve"> </w:t>
      </w:r>
      <w:r w:rsidRPr="009A5C16">
        <w:rPr>
          <w:lang w:val="fr-FR"/>
        </w:rPr>
        <w:t>d</w:t>
      </w:r>
      <w:r>
        <w:rPr>
          <w:lang w:val="fr-FR"/>
        </w:rPr>
        <w:t>’</w:t>
      </w:r>
      <w:r w:rsidRPr="009A5C16">
        <w:rPr>
          <w:lang w:val="fr-FR"/>
        </w:rPr>
        <w:t>un</w:t>
      </w:r>
      <w:r>
        <w:rPr>
          <w:lang w:val="fr-FR"/>
        </w:rPr>
        <w:t xml:space="preserve"> </w:t>
      </w:r>
      <w:r w:rsidRPr="009A5C16">
        <w:rPr>
          <w:lang w:val="fr-FR"/>
        </w:rPr>
        <w:t>piquet</w:t>
      </w:r>
      <w:r>
        <w:rPr>
          <w:lang w:val="fr-FR"/>
        </w:rPr>
        <w:t xml:space="preserve"> </w:t>
      </w:r>
      <w:r w:rsidRPr="009A5C16">
        <w:rPr>
          <w:lang w:val="fr-FR"/>
        </w:rPr>
        <w:t>d</w:t>
      </w:r>
      <w:r>
        <w:rPr>
          <w:lang w:val="fr-FR"/>
        </w:rPr>
        <w:t>’</w:t>
      </w:r>
      <w:r w:rsidRPr="009A5C16">
        <w:rPr>
          <w:lang w:val="fr-FR"/>
        </w:rPr>
        <w:t>une</w:t>
      </w:r>
      <w:r>
        <w:rPr>
          <w:lang w:val="fr-FR"/>
        </w:rPr>
        <w:t xml:space="preserve"> </w:t>
      </w:r>
      <w:r w:rsidRPr="009A5C16">
        <w:rPr>
          <w:lang w:val="fr-FR"/>
        </w:rPr>
        <w:t>personne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conclure</w:t>
      </w:r>
      <w:r>
        <w:rPr>
          <w:lang w:val="fr-FR"/>
        </w:rPr>
        <w:t xml:space="preserve"> </w:t>
      </w:r>
      <w:r w:rsidRPr="009A5C16">
        <w:rPr>
          <w:lang w:val="fr-FR"/>
        </w:rPr>
        <w:t>des</w:t>
      </w:r>
      <w:r>
        <w:rPr>
          <w:lang w:val="fr-FR"/>
        </w:rPr>
        <w:t xml:space="preserve"> </w:t>
      </w:r>
      <w:r w:rsidRPr="009A5C16">
        <w:rPr>
          <w:lang w:val="fr-FR"/>
        </w:rPr>
        <w:t>contrats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prestation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services</w:t>
      </w:r>
      <w:r>
        <w:rPr>
          <w:lang w:val="fr-FR"/>
        </w:rPr>
        <w:t xml:space="preserve"> </w:t>
      </w:r>
      <w:r w:rsidRPr="009A5C16">
        <w:rPr>
          <w:lang w:val="fr-FR"/>
        </w:rPr>
        <w:t>avec</w:t>
      </w:r>
      <w:r>
        <w:rPr>
          <w:lang w:val="fr-FR"/>
        </w:rPr>
        <w:t xml:space="preserve"> </w:t>
      </w:r>
      <w:r w:rsidRPr="009A5C16">
        <w:rPr>
          <w:lang w:val="fr-FR"/>
        </w:rPr>
        <w:t>différents</w:t>
      </w:r>
      <w:r>
        <w:rPr>
          <w:lang w:val="fr-FR"/>
        </w:rPr>
        <w:t xml:space="preserve"> </w:t>
      </w:r>
      <w:r w:rsidRPr="009A5C16">
        <w:rPr>
          <w:lang w:val="fr-FR"/>
        </w:rPr>
        <w:t>organismes</w:t>
      </w:r>
      <w:r>
        <w:rPr>
          <w:lang w:val="fr-FR"/>
        </w:rPr>
        <w:t xml:space="preserve"> </w:t>
      </w:r>
      <w:r w:rsidRPr="009A5C16">
        <w:rPr>
          <w:lang w:val="fr-FR"/>
        </w:rPr>
        <w:t>publics</w:t>
      </w:r>
      <w:r>
        <w:rPr>
          <w:lang w:val="fr-FR"/>
        </w:rPr>
        <w:t xml:space="preserve"> </w:t>
      </w:r>
      <w:r w:rsidRPr="009A5C16">
        <w:rPr>
          <w:lang w:val="fr-FR"/>
        </w:rPr>
        <w:t>ne</w:t>
      </w:r>
      <w:r>
        <w:rPr>
          <w:lang w:val="fr-FR"/>
        </w:rPr>
        <w:t xml:space="preserve"> </w:t>
      </w:r>
      <w:r w:rsidRPr="009A5C16">
        <w:rPr>
          <w:lang w:val="fr-FR"/>
        </w:rPr>
        <w:t>semble</w:t>
      </w:r>
      <w:r>
        <w:rPr>
          <w:lang w:val="fr-FR"/>
        </w:rPr>
        <w:t xml:space="preserve"> </w:t>
      </w:r>
      <w:r w:rsidRPr="009A5C16">
        <w:rPr>
          <w:lang w:val="fr-FR"/>
        </w:rPr>
        <w:t>pas</w:t>
      </w:r>
      <w:r>
        <w:rPr>
          <w:lang w:val="fr-FR"/>
        </w:rPr>
        <w:t xml:space="preserve"> </w:t>
      </w:r>
      <w:r w:rsidRPr="009A5C16">
        <w:rPr>
          <w:lang w:val="fr-FR"/>
        </w:rPr>
        <w:t>répondre</w:t>
      </w:r>
      <w:r>
        <w:rPr>
          <w:lang w:val="fr-FR"/>
        </w:rPr>
        <w:t xml:space="preserve"> </w:t>
      </w:r>
      <w:r w:rsidRPr="009A5C16">
        <w:rPr>
          <w:lang w:val="fr-FR"/>
        </w:rPr>
        <w:t>aux</w:t>
      </w:r>
      <w:r>
        <w:rPr>
          <w:lang w:val="fr-FR"/>
        </w:rPr>
        <w:t xml:space="preserve"> </w:t>
      </w:r>
      <w:r w:rsidRPr="009A5C16">
        <w:rPr>
          <w:lang w:val="fr-FR"/>
        </w:rPr>
        <w:t>critères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nécessité</w:t>
      </w:r>
      <w:r>
        <w:rPr>
          <w:lang w:val="fr-FR"/>
        </w:rPr>
        <w:t xml:space="preserve"> </w:t>
      </w:r>
      <w:r w:rsidRPr="009A5C16">
        <w:rPr>
          <w:lang w:val="fr-FR"/>
        </w:rPr>
        <w:t>et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proportionnalité</w:t>
      </w:r>
      <w:r>
        <w:rPr>
          <w:lang w:val="fr-FR"/>
        </w:rPr>
        <w:t xml:space="preserve"> </w:t>
      </w:r>
      <w:r w:rsidRPr="009A5C16">
        <w:rPr>
          <w:lang w:val="fr-FR"/>
        </w:rPr>
        <w:t>définis</w:t>
      </w:r>
      <w:r>
        <w:rPr>
          <w:lang w:val="fr-FR"/>
        </w:rPr>
        <w:t xml:space="preserve"> </w:t>
      </w:r>
      <w:r w:rsidRPr="009A5C16">
        <w:rPr>
          <w:lang w:val="fr-FR"/>
        </w:rPr>
        <w:t>à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article</w:t>
      </w:r>
      <w:r>
        <w:rPr>
          <w:lang w:val="fr-FR"/>
        </w:rPr>
        <w:t xml:space="preserve"> </w:t>
      </w:r>
      <w:r w:rsidRPr="009A5C16">
        <w:rPr>
          <w:lang w:val="fr-FR"/>
        </w:rPr>
        <w:t>19</w:t>
      </w:r>
      <w:r>
        <w:rPr>
          <w:lang w:val="fr-FR"/>
        </w:rPr>
        <w:t xml:space="preserve"> </w:t>
      </w:r>
      <w:r w:rsidRPr="009A5C16">
        <w:rPr>
          <w:lang w:val="fr-FR"/>
        </w:rPr>
        <w:t>du</w:t>
      </w:r>
      <w:r>
        <w:rPr>
          <w:lang w:val="fr-FR"/>
        </w:rPr>
        <w:t xml:space="preserve"> </w:t>
      </w:r>
      <w:r w:rsidRPr="009A5C16">
        <w:rPr>
          <w:lang w:val="fr-FR"/>
        </w:rPr>
        <w:t>Pacte.</w:t>
      </w:r>
      <w:r>
        <w:rPr>
          <w:lang w:val="fr-FR"/>
        </w:rPr>
        <w:t xml:space="preserve"> De surcroît, il constate </w:t>
      </w:r>
      <w:r w:rsidRPr="009A5C16">
        <w:rPr>
          <w:lang w:val="fr-FR"/>
        </w:rPr>
        <w:t>que</w:t>
      </w:r>
      <w:r>
        <w:rPr>
          <w:lang w:val="fr-FR"/>
        </w:rPr>
        <w:t xml:space="preserve"> </w:t>
      </w:r>
      <w:r w:rsidRPr="009A5C16">
        <w:rPr>
          <w:lang w:val="fr-FR"/>
        </w:rPr>
        <w:t>ni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État</w:t>
      </w:r>
      <w:r>
        <w:rPr>
          <w:lang w:val="fr-FR"/>
        </w:rPr>
        <w:t xml:space="preserve"> </w:t>
      </w:r>
      <w:r w:rsidRPr="009A5C16">
        <w:rPr>
          <w:lang w:val="fr-FR"/>
        </w:rPr>
        <w:t>partie</w:t>
      </w:r>
      <w:r>
        <w:rPr>
          <w:lang w:val="fr-FR"/>
        </w:rPr>
        <w:t xml:space="preserve"> </w:t>
      </w:r>
      <w:r w:rsidRPr="009A5C16">
        <w:rPr>
          <w:lang w:val="fr-FR"/>
        </w:rPr>
        <w:t>ni</w:t>
      </w:r>
      <w:r>
        <w:rPr>
          <w:lang w:val="fr-FR"/>
        </w:rPr>
        <w:t xml:space="preserve"> </w:t>
      </w:r>
      <w:r w:rsidRPr="009A5C16">
        <w:rPr>
          <w:lang w:val="fr-FR"/>
        </w:rPr>
        <w:t>les</w:t>
      </w:r>
      <w:r>
        <w:rPr>
          <w:lang w:val="fr-FR"/>
        </w:rPr>
        <w:t xml:space="preserve"> </w:t>
      </w:r>
      <w:r w:rsidRPr="009A5C16">
        <w:rPr>
          <w:lang w:val="fr-FR"/>
        </w:rPr>
        <w:t>juridictions</w:t>
      </w:r>
      <w:r>
        <w:rPr>
          <w:lang w:val="fr-FR"/>
        </w:rPr>
        <w:t xml:space="preserve"> </w:t>
      </w:r>
      <w:r w:rsidRPr="009A5C16">
        <w:rPr>
          <w:lang w:val="fr-FR"/>
        </w:rPr>
        <w:t>nationales</w:t>
      </w:r>
      <w:r>
        <w:rPr>
          <w:lang w:val="fr-FR"/>
        </w:rPr>
        <w:t xml:space="preserve"> </w:t>
      </w:r>
      <w:r w:rsidRPr="009A5C16">
        <w:rPr>
          <w:lang w:val="fr-FR"/>
        </w:rPr>
        <w:t>n</w:t>
      </w:r>
      <w:r>
        <w:rPr>
          <w:lang w:val="fr-FR"/>
        </w:rPr>
        <w:t>’</w:t>
      </w:r>
      <w:r w:rsidRPr="009A5C16">
        <w:rPr>
          <w:lang w:val="fr-FR"/>
        </w:rPr>
        <w:t>ont</w:t>
      </w:r>
      <w:r>
        <w:rPr>
          <w:lang w:val="fr-FR"/>
        </w:rPr>
        <w:t xml:space="preserve"> </w:t>
      </w:r>
      <w:r w:rsidRPr="009A5C16">
        <w:rPr>
          <w:lang w:val="fr-FR"/>
        </w:rPr>
        <w:t>donné</w:t>
      </w:r>
      <w:r>
        <w:rPr>
          <w:lang w:val="fr-FR"/>
        </w:rPr>
        <w:t xml:space="preserve"> </w:t>
      </w:r>
      <w:r w:rsidRPr="009A5C16">
        <w:rPr>
          <w:lang w:val="fr-FR"/>
        </w:rPr>
        <w:t>d</w:t>
      </w:r>
      <w:r>
        <w:rPr>
          <w:lang w:val="fr-FR"/>
        </w:rPr>
        <w:t>’</w:t>
      </w:r>
      <w:r w:rsidRPr="009A5C16">
        <w:rPr>
          <w:lang w:val="fr-FR"/>
        </w:rPr>
        <w:t>explications</w:t>
      </w:r>
      <w:r>
        <w:rPr>
          <w:lang w:val="fr-FR"/>
        </w:rPr>
        <w:t xml:space="preserve"> </w:t>
      </w:r>
      <w:r w:rsidRPr="009A5C16">
        <w:rPr>
          <w:lang w:val="fr-FR"/>
        </w:rPr>
        <w:t>concernant</w:t>
      </w:r>
      <w:r>
        <w:rPr>
          <w:lang w:val="fr-FR"/>
        </w:rPr>
        <w:t xml:space="preserve"> </w:t>
      </w:r>
      <w:r w:rsidRPr="009A5C16">
        <w:rPr>
          <w:lang w:val="fr-FR"/>
        </w:rPr>
        <w:t>ces</w:t>
      </w:r>
      <w:r>
        <w:rPr>
          <w:lang w:val="fr-FR"/>
        </w:rPr>
        <w:t xml:space="preserve"> </w:t>
      </w:r>
      <w:r w:rsidRPr="009A5C16">
        <w:rPr>
          <w:lang w:val="fr-FR"/>
        </w:rPr>
        <w:t>restrictions.</w:t>
      </w:r>
      <w:r>
        <w:rPr>
          <w:lang w:val="fr-FR"/>
        </w:rPr>
        <w:t xml:space="preserve"> </w:t>
      </w:r>
      <w:r w:rsidRPr="009A5C16">
        <w:rPr>
          <w:lang w:val="fr-FR"/>
        </w:rPr>
        <w:t>Il</w:t>
      </w:r>
      <w:r>
        <w:rPr>
          <w:lang w:val="fr-FR"/>
        </w:rPr>
        <w:t xml:space="preserve"> </w:t>
      </w:r>
      <w:r w:rsidRPr="009A5C16">
        <w:rPr>
          <w:lang w:val="fr-FR"/>
        </w:rPr>
        <w:t>considère</w:t>
      </w:r>
      <w:r>
        <w:rPr>
          <w:lang w:val="fr-FR"/>
        </w:rPr>
        <w:t xml:space="preserve"> </w:t>
      </w:r>
      <w:r w:rsidRPr="009A5C16">
        <w:rPr>
          <w:lang w:val="fr-FR"/>
        </w:rPr>
        <w:t>que,</w:t>
      </w:r>
      <w:r>
        <w:rPr>
          <w:lang w:val="fr-FR"/>
        </w:rPr>
        <w:t xml:space="preserve"> </w:t>
      </w:r>
      <w:r w:rsidRPr="009A5C16">
        <w:rPr>
          <w:lang w:val="fr-FR"/>
        </w:rPr>
        <w:t>dans</w:t>
      </w:r>
      <w:r>
        <w:rPr>
          <w:lang w:val="fr-FR"/>
        </w:rPr>
        <w:t xml:space="preserve"> </w:t>
      </w:r>
      <w:r w:rsidRPr="009A5C16">
        <w:rPr>
          <w:lang w:val="fr-FR"/>
        </w:rPr>
        <w:t>les</w:t>
      </w:r>
      <w:r>
        <w:rPr>
          <w:lang w:val="fr-FR"/>
        </w:rPr>
        <w:t xml:space="preserve"> </w:t>
      </w:r>
      <w:r w:rsidRPr="009A5C16">
        <w:rPr>
          <w:lang w:val="fr-FR"/>
        </w:rPr>
        <w:t>circonstances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espèce,</w:t>
      </w:r>
      <w:r>
        <w:rPr>
          <w:lang w:val="fr-FR"/>
        </w:rPr>
        <w:t xml:space="preserve"> </w:t>
      </w:r>
      <w:r w:rsidRPr="009A5C16">
        <w:rPr>
          <w:lang w:val="fr-FR"/>
        </w:rPr>
        <w:t>les</w:t>
      </w:r>
      <w:r>
        <w:rPr>
          <w:lang w:val="fr-FR"/>
        </w:rPr>
        <w:t xml:space="preserve"> </w:t>
      </w:r>
      <w:r w:rsidRPr="009A5C16">
        <w:rPr>
          <w:lang w:val="fr-FR"/>
        </w:rPr>
        <w:t>interdictions</w:t>
      </w:r>
      <w:r>
        <w:rPr>
          <w:lang w:val="fr-FR"/>
        </w:rPr>
        <w:t xml:space="preserve"> </w:t>
      </w:r>
      <w:r w:rsidRPr="009A5C16">
        <w:rPr>
          <w:lang w:val="fr-FR"/>
        </w:rPr>
        <w:t>imposées</w:t>
      </w:r>
      <w:r>
        <w:rPr>
          <w:lang w:val="fr-FR"/>
        </w:rPr>
        <w:t xml:space="preserve"> </w:t>
      </w:r>
      <w:r w:rsidRPr="009A5C16">
        <w:rPr>
          <w:lang w:val="fr-FR"/>
        </w:rPr>
        <w:t>à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auteur,</w:t>
      </w:r>
      <w:r>
        <w:rPr>
          <w:lang w:val="fr-FR"/>
        </w:rPr>
        <w:t xml:space="preserve"> </w:t>
      </w:r>
      <w:r w:rsidRPr="009A5C16">
        <w:rPr>
          <w:lang w:val="fr-FR"/>
        </w:rPr>
        <w:t>bien</w:t>
      </w:r>
      <w:r>
        <w:rPr>
          <w:lang w:val="fr-FR"/>
        </w:rPr>
        <w:t xml:space="preserve"> </w:t>
      </w:r>
      <w:r w:rsidRPr="009A5C16">
        <w:rPr>
          <w:lang w:val="fr-FR"/>
        </w:rPr>
        <w:t>que</w:t>
      </w:r>
      <w:r>
        <w:rPr>
          <w:lang w:val="fr-FR"/>
        </w:rPr>
        <w:t xml:space="preserve"> </w:t>
      </w:r>
      <w:r w:rsidRPr="009A5C16">
        <w:rPr>
          <w:lang w:val="fr-FR"/>
        </w:rPr>
        <w:t>fondées</w:t>
      </w:r>
      <w:r>
        <w:rPr>
          <w:lang w:val="fr-FR"/>
        </w:rPr>
        <w:t xml:space="preserve"> </w:t>
      </w:r>
      <w:r w:rsidRPr="009A5C16">
        <w:rPr>
          <w:lang w:val="fr-FR"/>
        </w:rPr>
        <w:t>sur</w:t>
      </w:r>
      <w:r>
        <w:rPr>
          <w:lang w:val="fr-FR"/>
        </w:rPr>
        <w:t xml:space="preserve"> </w:t>
      </w:r>
      <w:r w:rsidRPr="009A5C16">
        <w:rPr>
          <w:lang w:val="fr-FR"/>
        </w:rPr>
        <w:t>la</w:t>
      </w:r>
      <w:r>
        <w:rPr>
          <w:lang w:val="fr-FR"/>
        </w:rPr>
        <w:t xml:space="preserve"> </w:t>
      </w:r>
      <w:r w:rsidRPr="009A5C16">
        <w:rPr>
          <w:lang w:val="fr-FR"/>
        </w:rPr>
        <w:t>législation</w:t>
      </w:r>
      <w:r>
        <w:rPr>
          <w:lang w:val="fr-FR"/>
        </w:rPr>
        <w:t xml:space="preserve"> </w:t>
      </w:r>
      <w:r w:rsidRPr="009A5C16">
        <w:rPr>
          <w:lang w:val="fr-FR"/>
        </w:rPr>
        <w:t>interne,</w:t>
      </w:r>
      <w:r>
        <w:rPr>
          <w:lang w:val="fr-FR"/>
        </w:rPr>
        <w:t xml:space="preserve"> </w:t>
      </w:r>
      <w:r w:rsidRPr="009A5C16">
        <w:rPr>
          <w:lang w:val="fr-FR"/>
        </w:rPr>
        <w:t>n</w:t>
      </w:r>
      <w:r>
        <w:rPr>
          <w:lang w:val="fr-FR"/>
        </w:rPr>
        <w:t>’</w:t>
      </w:r>
      <w:r w:rsidRPr="009A5C16">
        <w:rPr>
          <w:lang w:val="fr-FR"/>
        </w:rPr>
        <w:t>étaient</w:t>
      </w:r>
      <w:r>
        <w:rPr>
          <w:lang w:val="fr-FR"/>
        </w:rPr>
        <w:t xml:space="preserve"> </w:t>
      </w:r>
      <w:r w:rsidRPr="009A5C16">
        <w:rPr>
          <w:lang w:val="fr-FR"/>
        </w:rPr>
        <w:t>pas</w:t>
      </w:r>
      <w:r>
        <w:rPr>
          <w:lang w:val="fr-FR"/>
        </w:rPr>
        <w:t xml:space="preserve"> </w:t>
      </w:r>
      <w:r w:rsidRPr="009A5C16">
        <w:rPr>
          <w:lang w:val="fr-FR"/>
        </w:rPr>
        <w:t>justifiées</w:t>
      </w:r>
      <w:r>
        <w:rPr>
          <w:lang w:val="fr-FR"/>
        </w:rPr>
        <w:t xml:space="preserve"> </w:t>
      </w:r>
      <w:r w:rsidRPr="009A5C16">
        <w:rPr>
          <w:lang w:val="fr-FR"/>
        </w:rPr>
        <w:t>au</w:t>
      </w:r>
      <w:r>
        <w:rPr>
          <w:lang w:val="fr-FR"/>
        </w:rPr>
        <w:t xml:space="preserve"> </w:t>
      </w:r>
      <w:r w:rsidRPr="009A5C16">
        <w:rPr>
          <w:lang w:val="fr-FR"/>
        </w:rPr>
        <w:t>regard</w:t>
      </w:r>
      <w:r>
        <w:rPr>
          <w:lang w:val="fr-FR"/>
        </w:rPr>
        <w:t xml:space="preserve"> </w:t>
      </w:r>
      <w:r w:rsidRPr="009A5C16">
        <w:rPr>
          <w:lang w:val="fr-FR"/>
        </w:rPr>
        <w:t>des</w:t>
      </w:r>
      <w:r>
        <w:rPr>
          <w:lang w:val="fr-FR"/>
        </w:rPr>
        <w:t xml:space="preserve"> </w:t>
      </w:r>
      <w:r w:rsidRPr="009A5C16">
        <w:rPr>
          <w:lang w:val="fr-FR"/>
        </w:rPr>
        <w:t>conditions</w:t>
      </w:r>
      <w:r>
        <w:rPr>
          <w:lang w:val="fr-FR"/>
        </w:rPr>
        <w:t xml:space="preserve"> </w:t>
      </w:r>
      <w:r w:rsidRPr="009A5C16">
        <w:rPr>
          <w:lang w:val="fr-FR"/>
        </w:rPr>
        <w:t>énoncées</w:t>
      </w:r>
      <w:r>
        <w:rPr>
          <w:lang w:val="fr-FR"/>
        </w:rPr>
        <w:t xml:space="preserve"> à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article</w:t>
      </w:r>
      <w:r>
        <w:rPr>
          <w:lang w:val="fr-FR"/>
        </w:rPr>
        <w:t xml:space="preserve"> </w:t>
      </w:r>
      <w:r w:rsidRPr="009A5C16">
        <w:rPr>
          <w:lang w:val="fr-FR"/>
        </w:rPr>
        <w:t>19</w:t>
      </w:r>
      <w:r>
        <w:rPr>
          <w:lang w:val="fr-FR"/>
        </w:rPr>
        <w:t xml:space="preserve"> (par. 3) </w:t>
      </w:r>
      <w:r w:rsidRPr="009A5C16">
        <w:rPr>
          <w:lang w:val="fr-FR"/>
        </w:rPr>
        <w:t>du</w:t>
      </w:r>
      <w:r>
        <w:rPr>
          <w:lang w:val="fr-FR"/>
        </w:rPr>
        <w:t xml:space="preserve"> </w:t>
      </w:r>
      <w:r w:rsidRPr="009A5C16">
        <w:rPr>
          <w:lang w:val="fr-FR"/>
        </w:rPr>
        <w:t>Pacte.</w:t>
      </w:r>
      <w:r>
        <w:rPr>
          <w:lang w:val="fr-FR"/>
        </w:rPr>
        <w:t xml:space="preserve"> </w:t>
      </w:r>
      <w:r w:rsidRPr="009A5C16">
        <w:rPr>
          <w:lang w:val="fr-FR"/>
        </w:rPr>
        <w:t>Le</w:t>
      </w:r>
      <w:r>
        <w:rPr>
          <w:lang w:val="fr-FR"/>
        </w:rPr>
        <w:t xml:space="preserve"> </w:t>
      </w:r>
      <w:r w:rsidRPr="009A5C16">
        <w:rPr>
          <w:lang w:val="fr-FR"/>
        </w:rPr>
        <w:t>Comité</w:t>
      </w:r>
      <w:r>
        <w:rPr>
          <w:lang w:val="fr-FR"/>
        </w:rPr>
        <w:t xml:space="preserve"> </w:t>
      </w:r>
      <w:r w:rsidRPr="009A5C16">
        <w:rPr>
          <w:lang w:val="fr-FR"/>
        </w:rPr>
        <w:t>note</w:t>
      </w:r>
      <w:r>
        <w:rPr>
          <w:lang w:val="fr-FR"/>
        </w:rPr>
        <w:t xml:space="preserve"> </w:t>
      </w:r>
      <w:r w:rsidRPr="009A5C16">
        <w:rPr>
          <w:lang w:val="fr-FR"/>
        </w:rPr>
        <w:t>qu</w:t>
      </w:r>
      <w:r>
        <w:rPr>
          <w:lang w:val="fr-FR"/>
        </w:rPr>
        <w:t>’</w:t>
      </w:r>
      <w:r w:rsidRPr="009A5C16">
        <w:rPr>
          <w:lang w:val="fr-FR"/>
        </w:rPr>
        <w:t>il</w:t>
      </w:r>
      <w:r>
        <w:rPr>
          <w:lang w:val="fr-FR"/>
        </w:rPr>
        <w:t xml:space="preserve"> </w:t>
      </w:r>
      <w:r w:rsidRPr="009A5C16">
        <w:rPr>
          <w:lang w:val="fr-FR"/>
        </w:rPr>
        <w:t>a</w:t>
      </w:r>
      <w:r>
        <w:rPr>
          <w:lang w:val="fr-FR"/>
        </w:rPr>
        <w:t xml:space="preserve"> </w:t>
      </w:r>
      <w:r w:rsidRPr="009A5C16">
        <w:rPr>
          <w:lang w:val="fr-FR"/>
        </w:rPr>
        <w:t>déjà</w:t>
      </w:r>
      <w:r>
        <w:rPr>
          <w:lang w:val="fr-FR"/>
        </w:rPr>
        <w:t xml:space="preserve"> </w:t>
      </w:r>
      <w:r w:rsidRPr="009A5C16">
        <w:rPr>
          <w:lang w:val="fr-FR"/>
        </w:rPr>
        <w:t>examiné</w:t>
      </w:r>
      <w:r>
        <w:rPr>
          <w:lang w:val="fr-FR"/>
        </w:rPr>
        <w:t xml:space="preserve"> </w:t>
      </w:r>
      <w:r w:rsidRPr="009A5C16">
        <w:rPr>
          <w:lang w:val="fr-FR"/>
        </w:rPr>
        <w:t>plusieurs</w:t>
      </w:r>
      <w:r>
        <w:rPr>
          <w:lang w:val="fr-FR"/>
        </w:rPr>
        <w:t xml:space="preserve"> </w:t>
      </w:r>
      <w:r w:rsidRPr="009A5C16">
        <w:rPr>
          <w:lang w:val="fr-FR"/>
        </w:rPr>
        <w:t>communications</w:t>
      </w:r>
      <w:r>
        <w:rPr>
          <w:lang w:val="fr-FR"/>
        </w:rPr>
        <w:t xml:space="preserve"> </w:t>
      </w:r>
      <w:r w:rsidRPr="009A5C16">
        <w:rPr>
          <w:lang w:val="fr-FR"/>
        </w:rPr>
        <w:t>concernant</w:t>
      </w:r>
      <w:r>
        <w:rPr>
          <w:lang w:val="fr-FR"/>
        </w:rPr>
        <w:t xml:space="preserve"> </w:t>
      </w:r>
      <w:r w:rsidRPr="009A5C16">
        <w:rPr>
          <w:lang w:val="fr-FR"/>
        </w:rPr>
        <w:t>les</w:t>
      </w:r>
      <w:r>
        <w:rPr>
          <w:lang w:val="fr-FR"/>
        </w:rPr>
        <w:t xml:space="preserve"> </w:t>
      </w:r>
      <w:r w:rsidRPr="009A5C16">
        <w:rPr>
          <w:lang w:val="fr-FR"/>
        </w:rPr>
        <w:t>lois</w:t>
      </w:r>
      <w:r>
        <w:rPr>
          <w:lang w:val="fr-FR"/>
        </w:rPr>
        <w:t xml:space="preserve"> </w:t>
      </w:r>
      <w:r w:rsidRPr="009A5C16">
        <w:rPr>
          <w:lang w:val="fr-FR"/>
        </w:rPr>
        <w:t>et</w:t>
      </w:r>
      <w:r>
        <w:rPr>
          <w:lang w:val="fr-FR"/>
        </w:rPr>
        <w:t xml:space="preserve"> </w:t>
      </w:r>
      <w:r w:rsidRPr="009A5C16">
        <w:rPr>
          <w:lang w:val="fr-FR"/>
        </w:rPr>
        <w:t>pratiques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État</w:t>
      </w:r>
      <w:r>
        <w:rPr>
          <w:lang w:val="fr-FR"/>
        </w:rPr>
        <w:t xml:space="preserve"> </w:t>
      </w:r>
      <w:r w:rsidRPr="009A5C16">
        <w:rPr>
          <w:lang w:val="fr-FR"/>
        </w:rPr>
        <w:t>partie</w:t>
      </w:r>
      <w:r>
        <w:rPr>
          <w:lang w:val="fr-FR"/>
        </w:rPr>
        <w:t xml:space="preserve"> qui sont </w:t>
      </w:r>
      <w:r w:rsidRPr="009A5C16">
        <w:rPr>
          <w:lang w:val="fr-FR"/>
        </w:rPr>
        <w:t>mises</w:t>
      </w:r>
      <w:r>
        <w:rPr>
          <w:lang w:val="fr-FR"/>
        </w:rPr>
        <w:t xml:space="preserve"> </w:t>
      </w:r>
      <w:r w:rsidRPr="009A5C16">
        <w:rPr>
          <w:lang w:val="fr-FR"/>
        </w:rPr>
        <w:t>en</w:t>
      </w:r>
      <w:r>
        <w:rPr>
          <w:lang w:val="fr-FR"/>
        </w:rPr>
        <w:t xml:space="preserve"> </w:t>
      </w:r>
      <w:r w:rsidRPr="009A5C16">
        <w:rPr>
          <w:lang w:val="fr-FR"/>
        </w:rPr>
        <w:t>question</w:t>
      </w:r>
      <w:r>
        <w:rPr>
          <w:lang w:val="fr-FR"/>
        </w:rPr>
        <w:t xml:space="preserve"> par l’auteur</w:t>
      </w:r>
      <w:r w:rsidRPr="0078283A">
        <w:rPr>
          <w:rStyle w:val="Appelnotedebasdep"/>
        </w:rPr>
        <w:footnoteReference w:id="9"/>
      </w:r>
      <w:r w:rsidRPr="009A5C16">
        <w:rPr>
          <w:lang w:val="fr-FR"/>
        </w:rPr>
        <w:t>.</w:t>
      </w:r>
      <w:r>
        <w:rPr>
          <w:lang w:val="fr-FR"/>
        </w:rPr>
        <w:t xml:space="preserve"> En l’espèce, il conclut, comme il l’a fait </w:t>
      </w:r>
      <w:r w:rsidRPr="009A5C16">
        <w:rPr>
          <w:lang w:val="fr-FR"/>
        </w:rPr>
        <w:t>précédemment,</w:t>
      </w:r>
      <w:r>
        <w:rPr>
          <w:lang w:val="fr-FR"/>
        </w:rPr>
        <w:t xml:space="preserve"> que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État</w:t>
      </w:r>
      <w:r>
        <w:rPr>
          <w:lang w:val="fr-FR"/>
        </w:rPr>
        <w:t xml:space="preserve"> </w:t>
      </w:r>
      <w:r w:rsidRPr="009A5C16">
        <w:rPr>
          <w:lang w:val="fr-FR"/>
        </w:rPr>
        <w:t>partie</w:t>
      </w:r>
      <w:r>
        <w:rPr>
          <w:lang w:val="fr-FR"/>
        </w:rPr>
        <w:t xml:space="preserve"> </w:t>
      </w:r>
      <w:r w:rsidRPr="009A5C16">
        <w:rPr>
          <w:lang w:val="fr-FR"/>
        </w:rPr>
        <w:t>a</w:t>
      </w:r>
      <w:r>
        <w:rPr>
          <w:lang w:val="fr-FR"/>
        </w:rPr>
        <w:t xml:space="preserve"> </w:t>
      </w:r>
      <w:r w:rsidRPr="009A5C16">
        <w:rPr>
          <w:lang w:val="fr-FR"/>
        </w:rPr>
        <w:t>violé</w:t>
      </w:r>
      <w:r>
        <w:rPr>
          <w:lang w:val="fr-FR"/>
        </w:rPr>
        <w:t xml:space="preserve"> </w:t>
      </w:r>
      <w:r w:rsidRPr="009A5C16">
        <w:rPr>
          <w:lang w:val="fr-FR"/>
        </w:rPr>
        <w:t>les</w:t>
      </w:r>
      <w:r>
        <w:rPr>
          <w:lang w:val="fr-FR"/>
        </w:rPr>
        <w:t xml:space="preserve"> </w:t>
      </w:r>
      <w:r w:rsidRPr="009A5C16">
        <w:rPr>
          <w:lang w:val="fr-FR"/>
        </w:rPr>
        <w:t>droits</w:t>
      </w:r>
      <w:r>
        <w:rPr>
          <w:lang w:val="fr-FR"/>
        </w:rPr>
        <w:t xml:space="preserve"> </w:t>
      </w:r>
      <w:r w:rsidRPr="009A5C16">
        <w:rPr>
          <w:lang w:val="fr-FR"/>
        </w:rPr>
        <w:t>garantis</w:t>
      </w:r>
      <w:r>
        <w:rPr>
          <w:lang w:val="fr-FR"/>
        </w:rPr>
        <w:t xml:space="preserve"> </w:t>
      </w:r>
      <w:r w:rsidRPr="009A5C16">
        <w:rPr>
          <w:lang w:val="fr-FR"/>
        </w:rPr>
        <w:t>à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auteur</w:t>
      </w:r>
      <w:r>
        <w:rPr>
          <w:lang w:val="fr-FR"/>
        </w:rPr>
        <w:t xml:space="preserve"> </w:t>
      </w:r>
      <w:r w:rsidRPr="009A5C16">
        <w:rPr>
          <w:lang w:val="fr-FR"/>
        </w:rPr>
        <w:t>par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article</w:t>
      </w:r>
      <w:r>
        <w:rPr>
          <w:lang w:val="fr-FR"/>
        </w:rPr>
        <w:t xml:space="preserve"> </w:t>
      </w:r>
      <w:r w:rsidRPr="009A5C16">
        <w:rPr>
          <w:lang w:val="fr-FR"/>
        </w:rPr>
        <w:t>19</w:t>
      </w:r>
      <w:r>
        <w:rPr>
          <w:lang w:val="fr-FR"/>
        </w:rPr>
        <w:t xml:space="preserve"> (par. 2) </w:t>
      </w:r>
      <w:r w:rsidRPr="009A5C16">
        <w:rPr>
          <w:lang w:val="fr-FR"/>
        </w:rPr>
        <w:t>du</w:t>
      </w:r>
      <w:r>
        <w:rPr>
          <w:lang w:val="fr-FR"/>
        </w:rPr>
        <w:t xml:space="preserve"> </w:t>
      </w:r>
      <w:r w:rsidRPr="009A5C16">
        <w:rPr>
          <w:lang w:val="fr-FR"/>
        </w:rPr>
        <w:t>Pacte.</w:t>
      </w:r>
    </w:p>
    <w:p w:rsidR="000E5700" w:rsidRPr="009A5C16" w:rsidRDefault="000E5700" w:rsidP="000E5700">
      <w:pPr>
        <w:pStyle w:val="SingleTxtG"/>
        <w:rPr>
          <w:lang w:val="fr-FR"/>
        </w:rPr>
      </w:pPr>
      <w:r w:rsidRPr="009A5C16">
        <w:rPr>
          <w:lang w:val="fr-FR"/>
        </w:rPr>
        <w:t>9.</w:t>
      </w:r>
      <w:r w:rsidRPr="009A5C16">
        <w:rPr>
          <w:lang w:val="fr-FR"/>
        </w:rPr>
        <w:tab/>
        <w:t>Le</w:t>
      </w:r>
      <w:r>
        <w:rPr>
          <w:lang w:val="fr-FR"/>
        </w:rPr>
        <w:t xml:space="preserve"> </w:t>
      </w:r>
      <w:r w:rsidRPr="009A5C16">
        <w:rPr>
          <w:lang w:val="fr-FR"/>
        </w:rPr>
        <w:t>Comité,</w:t>
      </w:r>
      <w:r>
        <w:rPr>
          <w:lang w:val="fr-FR"/>
        </w:rPr>
        <w:t xml:space="preserve"> </w:t>
      </w:r>
      <w:r w:rsidRPr="009A5C16">
        <w:rPr>
          <w:lang w:val="fr-FR"/>
        </w:rPr>
        <w:t>agissant</w:t>
      </w:r>
      <w:r>
        <w:rPr>
          <w:lang w:val="fr-FR"/>
        </w:rPr>
        <w:t xml:space="preserve"> </w:t>
      </w:r>
      <w:r w:rsidRPr="009A5C16">
        <w:rPr>
          <w:lang w:val="fr-FR"/>
        </w:rPr>
        <w:t>en</w:t>
      </w:r>
      <w:r>
        <w:rPr>
          <w:lang w:val="fr-FR"/>
        </w:rPr>
        <w:t xml:space="preserve"> </w:t>
      </w:r>
      <w:r w:rsidRPr="009A5C16">
        <w:rPr>
          <w:lang w:val="fr-FR"/>
        </w:rPr>
        <w:t>vertu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article</w:t>
      </w:r>
      <w:r>
        <w:rPr>
          <w:lang w:val="fr-FR"/>
        </w:rPr>
        <w:t xml:space="preserve"> </w:t>
      </w:r>
      <w:r w:rsidRPr="009A5C16">
        <w:rPr>
          <w:lang w:val="fr-FR"/>
        </w:rPr>
        <w:t>5</w:t>
      </w:r>
      <w:r>
        <w:rPr>
          <w:lang w:val="fr-FR"/>
        </w:rPr>
        <w:t xml:space="preserve"> (par. 4) </w:t>
      </w:r>
      <w:r w:rsidRPr="009A5C16">
        <w:rPr>
          <w:lang w:val="fr-FR"/>
        </w:rPr>
        <w:t>du</w:t>
      </w:r>
      <w:r>
        <w:rPr>
          <w:lang w:val="fr-FR"/>
        </w:rPr>
        <w:t xml:space="preserve"> </w:t>
      </w:r>
      <w:r w:rsidRPr="009A5C16">
        <w:rPr>
          <w:lang w:val="fr-FR"/>
        </w:rPr>
        <w:t>Protocole</w:t>
      </w:r>
      <w:r>
        <w:rPr>
          <w:lang w:val="fr-FR"/>
        </w:rPr>
        <w:t xml:space="preserve"> </w:t>
      </w:r>
      <w:r w:rsidRPr="009A5C16">
        <w:rPr>
          <w:lang w:val="fr-FR"/>
        </w:rPr>
        <w:t>facultatif,</w:t>
      </w:r>
      <w:r>
        <w:rPr>
          <w:lang w:val="fr-FR"/>
        </w:rPr>
        <w:t xml:space="preserve"> </w:t>
      </w:r>
      <w:r w:rsidRPr="009A5C16">
        <w:rPr>
          <w:lang w:val="fr-FR"/>
        </w:rPr>
        <w:t>constate</w:t>
      </w:r>
      <w:r>
        <w:rPr>
          <w:lang w:val="fr-FR"/>
        </w:rPr>
        <w:t xml:space="preserve"> </w:t>
      </w:r>
      <w:r w:rsidRPr="009A5C16">
        <w:rPr>
          <w:lang w:val="fr-FR"/>
        </w:rPr>
        <w:t>que</w:t>
      </w:r>
      <w:r>
        <w:rPr>
          <w:lang w:val="fr-FR"/>
        </w:rPr>
        <w:t xml:space="preserve"> </w:t>
      </w:r>
      <w:r w:rsidRPr="009A5C16">
        <w:rPr>
          <w:lang w:val="fr-FR"/>
        </w:rPr>
        <w:t>les</w:t>
      </w:r>
      <w:r>
        <w:rPr>
          <w:lang w:val="fr-FR"/>
        </w:rPr>
        <w:t xml:space="preserve"> </w:t>
      </w:r>
      <w:r w:rsidRPr="009A5C16">
        <w:rPr>
          <w:lang w:val="fr-FR"/>
        </w:rPr>
        <w:t>faits</w:t>
      </w:r>
      <w:r>
        <w:rPr>
          <w:lang w:val="fr-FR"/>
        </w:rPr>
        <w:t xml:space="preserve"> </w:t>
      </w:r>
      <w:r w:rsidRPr="009A5C16">
        <w:rPr>
          <w:lang w:val="fr-FR"/>
        </w:rPr>
        <w:t>dont</w:t>
      </w:r>
      <w:r>
        <w:rPr>
          <w:lang w:val="fr-FR"/>
        </w:rPr>
        <w:t xml:space="preserve"> </w:t>
      </w:r>
      <w:r w:rsidRPr="009A5C16">
        <w:rPr>
          <w:lang w:val="fr-FR"/>
        </w:rPr>
        <w:t>il</w:t>
      </w:r>
      <w:r>
        <w:rPr>
          <w:lang w:val="fr-FR"/>
        </w:rPr>
        <w:t xml:space="preserve"> </w:t>
      </w:r>
      <w:r w:rsidRPr="009A5C16">
        <w:rPr>
          <w:lang w:val="fr-FR"/>
        </w:rPr>
        <w:t>est</w:t>
      </w:r>
      <w:r>
        <w:rPr>
          <w:lang w:val="fr-FR"/>
        </w:rPr>
        <w:t xml:space="preserve"> </w:t>
      </w:r>
      <w:r w:rsidRPr="009A5C16">
        <w:rPr>
          <w:lang w:val="fr-FR"/>
        </w:rPr>
        <w:t>saisi</w:t>
      </w:r>
      <w:r>
        <w:rPr>
          <w:lang w:val="fr-FR"/>
        </w:rPr>
        <w:t xml:space="preserve"> </w:t>
      </w:r>
      <w:r w:rsidRPr="009A5C16">
        <w:rPr>
          <w:lang w:val="fr-FR"/>
        </w:rPr>
        <w:t>font</w:t>
      </w:r>
      <w:r>
        <w:rPr>
          <w:lang w:val="fr-FR"/>
        </w:rPr>
        <w:t xml:space="preserve"> </w:t>
      </w:r>
      <w:r w:rsidRPr="009A5C16">
        <w:rPr>
          <w:lang w:val="fr-FR"/>
        </w:rPr>
        <w:t>apparaître</w:t>
      </w:r>
      <w:r>
        <w:rPr>
          <w:lang w:val="fr-FR"/>
        </w:rPr>
        <w:t xml:space="preserve"> </w:t>
      </w:r>
      <w:r w:rsidRPr="009A5C16">
        <w:rPr>
          <w:lang w:val="fr-FR"/>
        </w:rPr>
        <w:t>une</w:t>
      </w:r>
      <w:r>
        <w:rPr>
          <w:lang w:val="fr-FR"/>
        </w:rPr>
        <w:t xml:space="preserve"> </w:t>
      </w:r>
      <w:r w:rsidRPr="009A5C16">
        <w:rPr>
          <w:lang w:val="fr-FR"/>
        </w:rPr>
        <w:t>violation</w:t>
      </w:r>
      <w:r>
        <w:rPr>
          <w:lang w:val="fr-FR"/>
        </w:rPr>
        <w:t xml:space="preserve"> </w:t>
      </w:r>
      <w:r w:rsidRPr="009A5C16">
        <w:rPr>
          <w:lang w:val="fr-FR"/>
        </w:rPr>
        <w:t>des</w:t>
      </w:r>
      <w:r>
        <w:rPr>
          <w:lang w:val="fr-FR"/>
        </w:rPr>
        <w:t xml:space="preserve"> </w:t>
      </w:r>
      <w:r w:rsidRPr="009A5C16">
        <w:rPr>
          <w:lang w:val="fr-FR"/>
        </w:rPr>
        <w:t>droits</w:t>
      </w:r>
      <w:r>
        <w:rPr>
          <w:lang w:val="fr-FR"/>
        </w:rPr>
        <w:t xml:space="preserve"> </w:t>
      </w:r>
      <w:r w:rsidRPr="009A5C16">
        <w:rPr>
          <w:lang w:val="fr-FR"/>
        </w:rPr>
        <w:t>que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auteur</w:t>
      </w:r>
      <w:r>
        <w:rPr>
          <w:lang w:val="fr-FR"/>
        </w:rPr>
        <w:t xml:space="preserve"> </w:t>
      </w:r>
      <w:r w:rsidRPr="009A5C16">
        <w:rPr>
          <w:lang w:val="fr-FR"/>
        </w:rPr>
        <w:t>tient</w:t>
      </w:r>
      <w:r>
        <w:rPr>
          <w:lang w:val="fr-FR"/>
        </w:rPr>
        <w:t xml:space="preserve"> de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article</w:t>
      </w:r>
      <w:r>
        <w:rPr>
          <w:lang w:val="fr-FR"/>
        </w:rPr>
        <w:t xml:space="preserve"> </w:t>
      </w:r>
      <w:r w:rsidRPr="009A5C16">
        <w:rPr>
          <w:lang w:val="fr-FR"/>
        </w:rPr>
        <w:t>19</w:t>
      </w:r>
      <w:r>
        <w:rPr>
          <w:lang w:val="fr-FR"/>
        </w:rPr>
        <w:t xml:space="preserve"> (par. 2) </w:t>
      </w:r>
      <w:r w:rsidRPr="009A5C16">
        <w:rPr>
          <w:lang w:val="fr-FR"/>
        </w:rPr>
        <w:t>du</w:t>
      </w:r>
      <w:r>
        <w:rPr>
          <w:lang w:val="fr-FR"/>
        </w:rPr>
        <w:t xml:space="preserve"> </w:t>
      </w:r>
      <w:r w:rsidRPr="009A5C16">
        <w:rPr>
          <w:lang w:val="fr-FR"/>
        </w:rPr>
        <w:t>Pacte</w:t>
      </w:r>
      <w:r>
        <w:rPr>
          <w:lang w:val="fr-FR"/>
        </w:rPr>
        <w:t xml:space="preserve"> </w:t>
      </w:r>
      <w:r w:rsidRPr="009A5C16">
        <w:rPr>
          <w:lang w:val="fr-FR"/>
        </w:rPr>
        <w:t>et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article</w:t>
      </w:r>
      <w:r>
        <w:rPr>
          <w:lang w:val="fr-FR"/>
        </w:rPr>
        <w:t xml:space="preserve"> </w:t>
      </w:r>
      <w:r w:rsidRPr="009A5C16">
        <w:rPr>
          <w:lang w:val="fr-FR"/>
        </w:rPr>
        <w:t>premier</w:t>
      </w:r>
      <w:r>
        <w:rPr>
          <w:lang w:val="fr-FR"/>
        </w:rPr>
        <w:t xml:space="preserve"> </w:t>
      </w:r>
      <w:r w:rsidRPr="009A5C16">
        <w:rPr>
          <w:lang w:val="fr-FR"/>
        </w:rPr>
        <w:t>du</w:t>
      </w:r>
      <w:r>
        <w:rPr>
          <w:lang w:val="fr-FR"/>
        </w:rPr>
        <w:t xml:space="preserve"> </w:t>
      </w:r>
      <w:r w:rsidRPr="009A5C16">
        <w:rPr>
          <w:lang w:val="fr-FR"/>
        </w:rPr>
        <w:t>Protocole</w:t>
      </w:r>
      <w:r>
        <w:rPr>
          <w:lang w:val="fr-FR"/>
        </w:rPr>
        <w:t xml:space="preserve"> </w:t>
      </w:r>
      <w:r w:rsidRPr="009A5C16">
        <w:rPr>
          <w:lang w:val="fr-FR"/>
        </w:rPr>
        <w:t>facultatif.</w:t>
      </w:r>
    </w:p>
    <w:p w:rsidR="000E5700" w:rsidRPr="0078283A" w:rsidRDefault="000E5700" w:rsidP="000E5700">
      <w:pPr>
        <w:pStyle w:val="SingleTxtG"/>
      </w:pPr>
      <w:r w:rsidRPr="009A5C16">
        <w:rPr>
          <w:lang w:val="fr-FR"/>
        </w:rPr>
        <w:t>10.</w:t>
      </w:r>
      <w:r w:rsidRPr="009A5C16">
        <w:rPr>
          <w:lang w:val="fr-FR"/>
        </w:rPr>
        <w:tab/>
        <w:t>Conformément</w:t>
      </w:r>
      <w:r>
        <w:rPr>
          <w:lang w:val="fr-FR"/>
        </w:rPr>
        <w:t xml:space="preserve"> à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article</w:t>
      </w:r>
      <w:r>
        <w:rPr>
          <w:lang w:val="fr-FR"/>
        </w:rPr>
        <w:t xml:space="preserve"> </w:t>
      </w:r>
      <w:r w:rsidRPr="009A5C16">
        <w:rPr>
          <w:lang w:val="fr-FR"/>
        </w:rPr>
        <w:t>2</w:t>
      </w:r>
      <w:r>
        <w:rPr>
          <w:lang w:val="fr-FR"/>
        </w:rPr>
        <w:t xml:space="preserve"> (par. 3) </w:t>
      </w:r>
      <w:r w:rsidRPr="009A5C16">
        <w:rPr>
          <w:lang w:val="fr-FR"/>
        </w:rPr>
        <w:t>du</w:t>
      </w:r>
      <w:r>
        <w:rPr>
          <w:lang w:val="fr-FR"/>
        </w:rPr>
        <w:t xml:space="preserve"> </w:t>
      </w:r>
      <w:r w:rsidRPr="009A5C16">
        <w:rPr>
          <w:lang w:val="fr-FR"/>
        </w:rPr>
        <w:t>Pacte,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État</w:t>
      </w:r>
      <w:r>
        <w:rPr>
          <w:lang w:val="fr-FR"/>
        </w:rPr>
        <w:t xml:space="preserve"> </w:t>
      </w:r>
      <w:r w:rsidRPr="009A5C16">
        <w:rPr>
          <w:lang w:val="fr-FR"/>
        </w:rPr>
        <w:t>partie</w:t>
      </w:r>
      <w:r>
        <w:rPr>
          <w:lang w:val="fr-FR"/>
        </w:rPr>
        <w:t xml:space="preserve"> </w:t>
      </w:r>
      <w:r w:rsidRPr="009A5C16">
        <w:rPr>
          <w:lang w:val="fr-FR"/>
        </w:rPr>
        <w:t>est</w:t>
      </w:r>
      <w:r>
        <w:rPr>
          <w:lang w:val="fr-FR"/>
        </w:rPr>
        <w:t xml:space="preserve"> </w:t>
      </w:r>
      <w:r w:rsidRPr="009A5C16">
        <w:rPr>
          <w:lang w:val="fr-FR"/>
        </w:rPr>
        <w:t>tenu</w:t>
      </w:r>
      <w:r>
        <w:rPr>
          <w:lang w:val="fr-FR"/>
        </w:rPr>
        <w:t xml:space="preserve"> </w:t>
      </w:r>
      <w:r w:rsidRPr="009A5C16">
        <w:rPr>
          <w:lang w:val="fr-FR"/>
        </w:rPr>
        <w:t>d</w:t>
      </w:r>
      <w:r>
        <w:rPr>
          <w:lang w:val="fr-FR"/>
        </w:rPr>
        <w:t>’</w:t>
      </w:r>
      <w:r w:rsidRPr="009A5C16">
        <w:rPr>
          <w:lang w:val="fr-FR"/>
        </w:rPr>
        <w:t>assurer</w:t>
      </w:r>
      <w:r>
        <w:rPr>
          <w:lang w:val="fr-FR"/>
        </w:rPr>
        <w:t xml:space="preserve"> </w:t>
      </w:r>
      <w:r w:rsidRPr="009A5C16">
        <w:rPr>
          <w:lang w:val="fr-FR"/>
        </w:rPr>
        <w:t>un</w:t>
      </w:r>
      <w:r>
        <w:rPr>
          <w:lang w:val="fr-FR"/>
        </w:rPr>
        <w:t xml:space="preserve"> </w:t>
      </w:r>
      <w:r w:rsidRPr="009A5C16">
        <w:rPr>
          <w:lang w:val="fr-FR"/>
        </w:rPr>
        <w:t>recours</w:t>
      </w:r>
      <w:r>
        <w:rPr>
          <w:lang w:val="fr-FR"/>
        </w:rPr>
        <w:t xml:space="preserve"> </w:t>
      </w:r>
      <w:r w:rsidRPr="009A5C16">
        <w:rPr>
          <w:lang w:val="fr-FR"/>
        </w:rPr>
        <w:t>utile</w:t>
      </w:r>
      <w:r>
        <w:rPr>
          <w:lang w:val="fr-FR"/>
        </w:rPr>
        <w:t xml:space="preserve"> à l’auteur</w:t>
      </w:r>
      <w:r w:rsidRPr="009A5C16">
        <w:rPr>
          <w:lang w:val="fr-FR"/>
        </w:rPr>
        <w:t>.</w:t>
      </w:r>
      <w:r>
        <w:rPr>
          <w:lang w:val="fr-FR"/>
        </w:rPr>
        <w:t xml:space="preserve"> </w:t>
      </w:r>
      <w:r w:rsidRPr="009A5C16">
        <w:rPr>
          <w:lang w:val="fr-FR"/>
        </w:rPr>
        <w:t>Il</w:t>
      </w:r>
      <w:r>
        <w:rPr>
          <w:lang w:val="fr-FR"/>
        </w:rPr>
        <w:t xml:space="preserve"> </w:t>
      </w:r>
      <w:r w:rsidRPr="009A5C16">
        <w:rPr>
          <w:lang w:val="fr-FR"/>
        </w:rPr>
        <w:t>a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obligation</w:t>
      </w:r>
      <w:r>
        <w:rPr>
          <w:lang w:val="fr-FR"/>
        </w:rPr>
        <w:t xml:space="preserve"> </w:t>
      </w:r>
      <w:r w:rsidRPr="009A5C16">
        <w:rPr>
          <w:lang w:val="fr-FR"/>
        </w:rPr>
        <w:t>d</w:t>
      </w:r>
      <w:r>
        <w:rPr>
          <w:lang w:val="fr-FR"/>
        </w:rPr>
        <w:t>’</w:t>
      </w:r>
      <w:r w:rsidRPr="009A5C16">
        <w:rPr>
          <w:lang w:val="fr-FR"/>
        </w:rPr>
        <w:t>accorder</w:t>
      </w:r>
      <w:r>
        <w:rPr>
          <w:lang w:val="fr-FR"/>
        </w:rPr>
        <w:t xml:space="preserve"> </w:t>
      </w:r>
      <w:r w:rsidRPr="009A5C16">
        <w:rPr>
          <w:lang w:val="fr-FR"/>
        </w:rPr>
        <w:t>une</w:t>
      </w:r>
      <w:r>
        <w:rPr>
          <w:lang w:val="fr-FR"/>
        </w:rPr>
        <w:t xml:space="preserve"> </w:t>
      </w:r>
      <w:r w:rsidRPr="009A5C16">
        <w:rPr>
          <w:lang w:val="fr-FR"/>
        </w:rPr>
        <w:t>réparation</w:t>
      </w:r>
      <w:r>
        <w:rPr>
          <w:lang w:val="fr-FR"/>
        </w:rPr>
        <w:t xml:space="preserve"> </w:t>
      </w:r>
      <w:r w:rsidRPr="009A5C16">
        <w:rPr>
          <w:lang w:val="fr-FR"/>
        </w:rPr>
        <w:t>intégrale</w:t>
      </w:r>
      <w:r>
        <w:rPr>
          <w:lang w:val="fr-FR"/>
        </w:rPr>
        <w:t xml:space="preserve"> </w:t>
      </w:r>
      <w:r w:rsidRPr="009A5C16">
        <w:rPr>
          <w:lang w:val="fr-FR"/>
        </w:rPr>
        <w:t>aux</w:t>
      </w:r>
      <w:r>
        <w:rPr>
          <w:lang w:val="fr-FR"/>
        </w:rPr>
        <w:t xml:space="preserve"> </w:t>
      </w:r>
      <w:r w:rsidRPr="009A5C16">
        <w:rPr>
          <w:lang w:val="fr-FR"/>
        </w:rPr>
        <w:t>individus</w:t>
      </w:r>
      <w:r>
        <w:rPr>
          <w:lang w:val="fr-FR"/>
        </w:rPr>
        <w:t xml:space="preserve"> </w:t>
      </w:r>
      <w:r w:rsidRPr="009A5C16">
        <w:rPr>
          <w:lang w:val="fr-FR"/>
        </w:rPr>
        <w:t>dont</w:t>
      </w:r>
      <w:r>
        <w:rPr>
          <w:lang w:val="fr-FR"/>
        </w:rPr>
        <w:t xml:space="preserve"> </w:t>
      </w:r>
      <w:r w:rsidRPr="009A5C16">
        <w:rPr>
          <w:lang w:val="fr-FR"/>
        </w:rPr>
        <w:t>les</w:t>
      </w:r>
      <w:r>
        <w:rPr>
          <w:lang w:val="fr-FR"/>
        </w:rPr>
        <w:t xml:space="preserve"> </w:t>
      </w:r>
      <w:r w:rsidRPr="009A5C16">
        <w:rPr>
          <w:lang w:val="fr-FR"/>
        </w:rPr>
        <w:t>droits</w:t>
      </w:r>
      <w:r>
        <w:rPr>
          <w:lang w:val="fr-FR"/>
        </w:rPr>
        <w:t xml:space="preserve"> </w:t>
      </w:r>
      <w:r w:rsidRPr="009A5C16">
        <w:rPr>
          <w:lang w:val="fr-FR"/>
        </w:rPr>
        <w:t>garantis</w:t>
      </w:r>
      <w:r>
        <w:rPr>
          <w:lang w:val="fr-FR"/>
        </w:rPr>
        <w:t xml:space="preserve"> </w:t>
      </w:r>
      <w:r w:rsidRPr="009A5C16">
        <w:rPr>
          <w:lang w:val="fr-FR"/>
        </w:rPr>
        <w:t>par</w:t>
      </w:r>
      <w:r>
        <w:rPr>
          <w:lang w:val="fr-FR"/>
        </w:rPr>
        <w:t xml:space="preserve"> </w:t>
      </w:r>
      <w:r w:rsidRPr="009A5C16">
        <w:rPr>
          <w:lang w:val="fr-FR"/>
        </w:rPr>
        <w:t>le</w:t>
      </w:r>
      <w:r>
        <w:rPr>
          <w:lang w:val="fr-FR"/>
        </w:rPr>
        <w:t xml:space="preserve"> </w:t>
      </w:r>
      <w:r w:rsidRPr="009A5C16">
        <w:rPr>
          <w:lang w:val="fr-FR"/>
        </w:rPr>
        <w:t>Pacte</w:t>
      </w:r>
      <w:r>
        <w:rPr>
          <w:lang w:val="fr-FR"/>
        </w:rPr>
        <w:t xml:space="preserve"> </w:t>
      </w:r>
      <w:r w:rsidRPr="009A5C16">
        <w:rPr>
          <w:lang w:val="fr-FR"/>
        </w:rPr>
        <w:t>ont</w:t>
      </w:r>
      <w:r>
        <w:rPr>
          <w:lang w:val="fr-FR"/>
        </w:rPr>
        <w:t xml:space="preserve"> </w:t>
      </w:r>
      <w:r w:rsidRPr="009A5C16">
        <w:rPr>
          <w:lang w:val="fr-FR"/>
        </w:rPr>
        <w:t>été</w:t>
      </w:r>
      <w:r>
        <w:rPr>
          <w:lang w:val="fr-FR"/>
        </w:rPr>
        <w:t xml:space="preserve"> </w:t>
      </w:r>
      <w:r w:rsidRPr="009A5C16">
        <w:rPr>
          <w:lang w:val="fr-FR"/>
        </w:rPr>
        <w:t>violés.</w:t>
      </w:r>
      <w:r>
        <w:rPr>
          <w:lang w:val="fr-FR"/>
        </w:rPr>
        <w:t xml:space="preserve"> </w:t>
      </w:r>
      <w:r w:rsidRPr="009A5C16">
        <w:t>En</w:t>
      </w:r>
      <w:r>
        <w:t xml:space="preserve"> </w:t>
      </w:r>
      <w:r w:rsidRPr="009A5C16">
        <w:t>conséquence,</w:t>
      </w:r>
      <w:r>
        <w:t xml:space="preserve"> </w:t>
      </w:r>
      <w:r w:rsidRPr="009A5C16">
        <w:t>l</w:t>
      </w:r>
      <w:r>
        <w:t>’</w:t>
      </w:r>
      <w:r w:rsidRPr="009A5C16">
        <w:t>État</w:t>
      </w:r>
      <w:r>
        <w:t xml:space="preserve"> </w:t>
      </w:r>
      <w:r w:rsidRPr="009A5C16">
        <w:t>partie</w:t>
      </w:r>
      <w:r>
        <w:t xml:space="preserve"> </w:t>
      </w:r>
      <w:r w:rsidRPr="009A5C16">
        <w:t>est</w:t>
      </w:r>
      <w:r>
        <w:t xml:space="preserve"> </w:t>
      </w:r>
      <w:r w:rsidRPr="009A5C16">
        <w:t>tenu,</w:t>
      </w:r>
      <w:r>
        <w:t xml:space="preserve"> </w:t>
      </w:r>
      <w:r w:rsidRPr="009A5C16">
        <w:t>entre</w:t>
      </w:r>
      <w:r>
        <w:t xml:space="preserve"> </w:t>
      </w:r>
      <w:r w:rsidRPr="009A5C16">
        <w:t>autres</w:t>
      </w:r>
      <w:r>
        <w:t xml:space="preserve">, </w:t>
      </w:r>
      <w:r w:rsidRPr="009A5C16">
        <w:t>de</w:t>
      </w:r>
      <w:r>
        <w:t xml:space="preserve"> </w:t>
      </w:r>
      <w:r w:rsidRPr="009A5C16">
        <w:t>faire</w:t>
      </w:r>
      <w:r>
        <w:t xml:space="preserve"> </w:t>
      </w:r>
      <w:r w:rsidRPr="009A5C16">
        <w:t>le</w:t>
      </w:r>
      <w:r>
        <w:t xml:space="preserve"> </w:t>
      </w:r>
      <w:r w:rsidRPr="009A5C16">
        <w:t>nécessaire</w:t>
      </w:r>
      <w:r>
        <w:t xml:space="preserve"> </w:t>
      </w:r>
      <w:r w:rsidRPr="009A5C16">
        <w:t>pour</w:t>
      </w:r>
      <w:r>
        <w:t xml:space="preserve"> </w:t>
      </w:r>
      <w:r w:rsidRPr="009A5C16">
        <w:t>accorder</w:t>
      </w:r>
      <w:r>
        <w:t xml:space="preserve"> </w:t>
      </w:r>
      <w:r w:rsidRPr="009A5C16">
        <w:t>à</w:t>
      </w:r>
      <w:r>
        <w:t xml:space="preserve"> </w:t>
      </w:r>
      <w:r w:rsidRPr="009A5C16">
        <w:t>l</w:t>
      </w:r>
      <w:r>
        <w:t>’</w:t>
      </w:r>
      <w:r w:rsidRPr="009A5C16">
        <w:t>auteur</w:t>
      </w:r>
      <w:r>
        <w:t xml:space="preserve"> </w:t>
      </w:r>
      <w:r w:rsidRPr="009A5C16">
        <w:t>une</w:t>
      </w:r>
      <w:r>
        <w:t xml:space="preserve"> </w:t>
      </w:r>
      <w:r w:rsidRPr="009A5C16">
        <w:t>indemnisation</w:t>
      </w:r>
      <w:r>
        <w:t xml:space="preserve"> </w:t>
      </w:r>
      <w:r w:rsidRPr="009A5C16">
        <w:t>adéquate</w:t>
      </w:r>
      <w:r>
        <w:t xml:space="preserve"> </w:t>
      </w:r>
      <w:r w:rsidRPr="009A5C16">
        <w:t>et</w:t>
      </w:r>
      <w:r>
        <w:t xml:space="preserve"> </w:t>
      </w:r>
      <w:r w:rsidRPr="009A5C16">
        <w:t>le</w:t>
      </w:r>
      <w:r>
        <w:t xml:space="preserve"> </w:t>
      </w:r>
      <w:r w:rsidRPr="009A5C16">
        <w:t>remboursement</w:t>
      </w:r>
      <w:r>
        <w:t xml:space="preserve"> </w:t>
      </w:r>
      <w:r w:rsidRPr="009A5C16">
        <w:t>des</w:t>
      </w:r>
      <w:r>
        <w:t xml:space="preserve"> </w:t>
      </w:r>
      <w:r w:rsidRPr="009A5C16">
        <w:t>frais</w:t>
      </w:r>
      <w:r>
        <w:t xml:space="preserve"> </w:t>
      </w:r>
      <w:r w:rsidRPr="009A5C16">
        <w:t>de</w:t>
      </w:r>
      <w:r>
        <w:t xml:space="preserve"> </w:t>
      </w:r>
      <w:r w:rsidRPr="009A5C16">
        <w:t>justice</w:t>
      </w:r>
      <w:r>
        <w:t xml:space="preserve"> </w:t>
      </w:r>
      <w:r w:rsidRPr="009A5C16">
        <w:t>dont</w:t>
      </w:r>
      <w:r>
        <w:t xml:space="preserve"> </w:t>
      </w:r>
      <w:r w:rsidRPr="009A5C16">
        <w:t>il</w:t>
      </w:r>
      <w:r>
        <w:t xml:space="preserve"> </w:t>
      </w:r>
      <w:r w:rsidRPr="009A5C16">
        <w:t>s</w:t>
      </w:r>
      <w:r>
        <w:t>’</w:t>
      </w:r>
      <w:r w:rsidRPr="009A5C16">
        <w:t>est</w:t>
      </w:r>
      <w:r>
        <w:t xml:space="preserve"> </w:t>
      </w:r>
      <w:r w:rsidRPr="009A5C16">
        <w:t>acquitté</w:t>
      </w:r>
      <w:r>
        <w:t xml:space="preserve"> et </w:t>
      </w:r>
      <w:r w:rsidRPr="009A5C16">
        <w:t>de</w:t>
      </w:r>
      <w:r>
        <w:t xml:space="preserve"> </w:t>
      </w:r>
      <w:r w:rsidRPr="009A5C16">
        <w:t>prendre</w:t>
      </w:r>
      <w:r>
        <w:t xml:space="preserve"> </w:t>
      </w:r>
      <w:r w:rsidRPr="009A5C16">
        <w:t>des</w:t>
      </w:r>
      <w:r>
        <w:t xml:space="preserve"> </w:t>
      </w:r>
      <w:r w:rsidRPr="009A5C16">
        <w:t>mesures</w:t>
      </w:r>
      <w:r>
        <w:t xml:space="preserve"> </w:t>
      </w:r>
      <w:r w:rsidRPr="009A5C16">
        <w:t>pour</w:t>
      </w:r>
      <w:r>
        <w:t xml:space="preserve"> </w:t>
      </w:r>
      <w:r w:rsidRPr="009A5C16">
        <w:t>empêcher</w:t>
      </w:r>
      <w:r>
        <w:t xml:space="preserve"> </w:t>
      </w:r>
      <w:r w:rsidRPr="009A5C16">
        <w:t>que</w:t>
      </w:r>
      <w:r>
        <w:t xml:space="preserve"> </w:t>
      </w:r>
      <w:r w:rsidRPr="009A5C16">
        <w:t>des</w:t>
      </w:r>
      <w:r>
        <w:t xml:space="preserve"> </w:t>
      </w:r>
      <w:r w:rsidRPr="009A5C16">
        <w:t>violations</w:t>
      </w:r>
      <w:r>
        <w:t xml:space="preserve"> </w:t>
      </w:r>
      <w:r w:rsidRPr="009A5C16">
        <w:t>analogues</w:t>
      </w:r>
      <w:r>
        <w:t xml:space="preserve"> </w:t>
      </w:r>
      <w:r w:rsidRPr="009A5C16">
        <w:t>se</w:t>
      </w:r>
      <w:r>
        <w:t xml:space="preserve"> </w:t>
      </w:r>
      <w:r w:rsidRPr="009A5C16">
        <w:t>reproduisent.</w:t>
      </w:r>
      <w:r>
        <w:t xml:space="preserve"> </w:t>
      </w:r>
      <w:r w:rsidRPr="009A5C16">
        <w:t>À</w:t>
      </w:r>
      <w:r>
        <w:t xml:space="preserve"> </w:t>
      </w:r>
      <w:r w:rsidRPr="009A5C16">
        <w:t>cet</w:t>
      </w:r>
      <w:r>
        <w:t xml:space="preserve"> </w:t>
      </w:r>
      <w:r w:rsidRPr="009A5C16">
        <w:t>égard,</w:t>
      </w:r>
      <w:r>
        <w:t xml:space="preserve"> </w:t>
      </w:r>
      <w:r w:rsidRPr="009A5C16">
        <w:t>le</w:t>
      </w:r>
      <w:r>
        <w:t xml:space="preserve"> </w:t>
      </w:r>
      <w:r w:rsidRPr="009A5C16">
        <w:t>Comité</w:t>
      </w:r>
      <w:r>
        <w:t xml:space="preserve"> </w:t>
      </w:r>
      <w:r w:rsidRPr="009A5C16">
        <w:t>réaffirme</w:t>
      </w:r>
      <w:r>
        <w:t xml:space="preserve"> </w:t>
      </w:r>
      <w:r w:rsidRPr="009A5C16">
        <w:t>que</w:t>
      </w:r>
      <w:r>
        <w:t xml:space="preserve"> </w:t>
      </w:r>
      <w:r w:rsidRPr="009A5C16">
        <w:t>l</w:t>
      </w:r>
      <w:r>
        <w:t>’</w:t>
      </w:r>
      <w:r w:rsidRPr="009A5C16">
        <w:t>État</w:t>
      </w:r>
      <w:r>
        <w:t xml:space="preserve"> </w:t>
      </w:r>
      <w:r w:rsidRPr="009A5C16">
        <w:t>partie</w:t>
      </w:r>
      <w:r>
        <w:t xml:space="preserve"> </w:t>
      </w:r>
      <w:r w:rsidRPr="009A5C16">
        <w:t>devrait</w:t>
      </w:r>
      <w:r>
        <w:t xml:space="preserve"> </w:t>
      </w:r>
      <w:r w:rsidRPr="009A5C16">
        <w:t>revoir</w:t>
      </w:r>
      <w:r>
        <w:t xml:space="preserve"> </w:t>
      </w:r>
      <w:r w:rsidRPr="009A5C16">
        <w:t>son</w:t>
      </w:r>
      <w:r>
        <w:t xml:space="preserve"> </w:t>
      </w:r>
      <w:r w:rsidRPr="009A5C16">
        <w:t>cadre</w:t>
      </w:r>
      <w:r>
        <w:t xml:space="preserve"> </w:t>
      </w:r>
      <w:r w:rsidRPr="009A5C16">
        <w:t>normatif</w:t>
      </w:r>
      <w:r>
        <w:t xml:space="preserve"> </w:t>
      </w:r>
      <w:r w:rsidRPr="009A5C16">
        <w:t>de</w:t>
      </w:r>
      <w:r>
        <w:t xml:space="preserve"> </w:t>
      </w:r>
      <w:r w:rsidRPr="009A5C16">
        <w:t>façon</w:t>
      </w:r>
      <w:r>
        <w:t xml:space="preserve"> </w:t>
      </w:r>
      <w:r w:rsidRPr="009A5C16">
        <w:t>à</w:t>
      </w:r>
      <w:r>
        <w:t xml:space="preserve"> </w:t>
      </w:r>
      <w:r w:rsidRPr="009A5C16">
        <w:t>le</w:t>
      </w:r>
      <w:r>
        <w:t xml:space="preserve"> </w:t>
      </w:r>
      <w:r w:rsidRPr="009A5C16">
        <w:t>rendre</w:t>
      </w:r>
      <w:r>
        <w:t xml:space="preserve"> </w:t>
      </w:r>
      <w:r w:rsidRPr="009A5C16">
        <w:t>conforme</w:t>
      </w:r>
      <w:r>
        <w:t xml:space="preserve"> </w:t>
      </w:r>
      <w:r w:rsidRPr="009A5C16">
        <w:t>à</w:t>
      </w:r>
      <w:r>
        <w:t xml:space="preserve"> </w:t>
      </w:r>
      <w:r w:rsidRPr="009A5C16">
        <w:t>l</w:t>
      </w:r>
      <w:r>
        <w:t>’</w:t>
      </w:r>
      <w:r w:rsidRPr="009A5C16">
        <w:t>obligation</w:t>
      </w:r>
      <w:r>
        <w:t xml:space="preserve"> mise à sa charge par </w:t>
      </w:r>
      <w:r w:rsidRPr="009A5C16">
        <w:t>l</w:t>
      </w:r>
      <w:r>
        <w:t>’</w:t>
      </w:r>
      <w:r w:rsidRPr="009A5C16">
        <w:t>article</w:t>
      </w:r>
      <w:r>
        <w:t xml:space="preserve"> </w:t>
      </w:r>
      <w:r w:rsidRPr="009A5C16">
        <w:t>2</w:t>
      </w:r>
      <w:r>
        <w:t xml:space="preserve"> (par. 2) du Pacte </w:t>
      </w:r>
      <w:r w:rsidRPr="009A5C16">
        <w:t>et</w:t>
      </w:r>
      <w:r>
        <w:t xml:space="preserve"> </w:t>
      </w:r>
      <w:r w:rsidRPr="009A5C16">
        <w:t>réviser</w:t>
      </w:r>
      <w:r>
        <w:t xml:space="preserve"> </w:t>
      </w:r>
      <w:r w:rsidRPr="009A5C16">
        <w:t>en</w:t>
      </w:r>
      <w:r>
        <w:t xml:space="preserve"> </w:t>
      </w:r>
      <w:r w:rsidRPr="009A5C16">
        <w:t>particulier</w:t>
      </w:r>
      <w:r>
        <w:t xml:space="preserve"> </w:t>
      </w:r>
      <w:r w:rsidRPr="009A5C16">
        <w:t>la</w:t>
      </w:r>
      <w:r>
        <w:t xml:space="preserve"> </w:t>
      </w:r>
      <w:r w:rsidRPr="009A5C16">
        <w:t>décision</w:t>
      </w:r>
      <w:r>
        <w:t xml:space="preserve"> </w:t>
      </w:r>
      <w:r w:rsidRPr="00712C0C">
        <w:rPr>
          <w:rFonts w:eastAsia="MS Mincho"/>
          <w:szCs w:val="22"/>
          <w:lang w:val="fr-FR"/>
        </w:rPr>
        <w:t>n</w:t>
      </w:r>
      <w:r w:rsidRPr="00712C0C">
        <w:rPr>
          <w:rFonts w:eastAsia="MS Mincho"/>
          <w:szCs w:val="22"/>
          <w:vertAlign w:val="superscript"/>
          <w:lang w:val="fr-FR"/>
        </w:rPr>
        <w:t>o</w:t>
      </w:r>
      <w:r w:rsidR="00AB6B32">
        <w:rPr>
          <w:lang w:val="fr-FR"/>
        </w:rPr>
        <w:t> </w:t>
      </w:r>
      <w:r w:rsidRPr="009A5C16">
        <w:t>881</w:t>
      </w:r>
      <w:r>
        <w:t xml:space="preserve"> </w:t>
      </w:r>
      <w:r w:rsidRPr="009A5C16">
        <w:t>du</w:t>
      </w:r>
      <w:r>
        <w:t xml:space="preserve"> </w:t>
      </w:r>
      <w:r w:rsidRPr="009A5C16">
        <w:t>Comité</w:t>
      </w:r>
      <w:r>
        <w:t xml:space="preserve"> </w:t>
      </w:r>
      <w:r w:rsidRPr="009A5C16">
        <w:t>exécutif</w:t>
      </w:r>
      <w:r>
        <w:t xml:space="preserve"> </w:t>
      </w:r>
      <w:r w:rsidRPr="009A5C16">
        <w:t>de</w:t>
      </w:r>
      <w:r>
        <w:t xml:space="preserve"> </w:t>
      </w:r>
      <w:r w:rsidRPr="009A5C16">
        <w:t>la</w:t>
      </w:r>
      <w:r>
        <w:t xml:space="preserve"> </w:t>
      </w:r>
      <w:r w:rsidRPr="009A5C16">
        <w:t>ville</w:t>
      </w:r>
      <w:r>
        <w:t xml:space="preserve"> </w:t>
      </w:r>
      <w:r w:rsidRPr="009A5C16">
        <w:t>de</w:t>
      </w:r>
      <w:r>
        <w:t xml:space="preserve"> </w:t>
      </w:r>
      <w:r w:rsidRPr="009A5C16">
        <w:t>Vitebsk</w:t>
      </w:r>
      <w:r>
        <w:t xml:space="preserve"> </w:t>
      </w:r>
      <w:r w:rsidRPr="009A5C16">
        <w:t>et</w:t>
      </w:r>
      <w:r>
        <w:t xml:space="preserve"> </w:t>
      </w:r>
      <w:r w:rsidRPr="009A5C16">
        <w:t>la</w:t>
      </w:r>
      <w:r>
        <w:t xml:space="preserve"> </w:t>
      </w:r>
      <w:r w:rsidRPr="009A5C16">
        <w:t>loi</w:t>
      </w:r>
      <w:r>
        <w:t xml:space="preserve"> sur les manifestations publiques </w:t>
      </w:r>
      <w:r w:rsidRPr="009A5C16">
        <w:rPr>
          <w:lang w:val="fr-FR"/>
        </w:rPr>
        <w:t>appliquées</w:t>
      </w:r>
      <w:r>
        <w:rPr>
          <w:lang w:val="fr-FR"/>
        </w:rPr>
        <w:t xml:space="preserve"> </w:t>
      </w:r>
      <w:r w:rsidRPr="009A5C16">
        <w:rPr>
          <w:lang w:val="fr-FR"/>
        </w:rPr>
        <w:t>en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espèce</w:t>
      </w:r>
      <w:r>
        <w:rPr>
          <w:lang w:val="fr-FR"/>
        </w:rPr>
        <w:t xml:space="preserve"> </w:t>
      </w:r>
      <w:r w:rsidRPr="009A5C16">
        <w:rPr>
          <w:lang w:val="fr-FR"/>
        </w:rPr>
        <w:t>en</w:t>
      </w:r>
      <w:r>
        <w:rPr>
          <w:lang w:val="fr-FR"/>
        </w:rPr>
        <w:t xml:space="preserve"> </w:t>
      </w:r>
      <w:r w:rsidRPr="009A5C16">
        <w:rPr>
          <w:lang w:val="fr-FR"/>
        </w:rPr>
        <w:t>vue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garantir</w:t>
      </w:r>
      <w:r>
        <w:rPr>
          <w:lang w:val="fr-FR"/>
        </w:rPr>
        <w:t xml:space="preserve"> </w:t>
      </w:r>
      <w:r w:rsidRPr="009A5C16">
        <w:rPr>
          <w:lang w:val="fr-FR"/>
        </w:rPr>
        <w:t>la</w:t>
      </w:r>
      <w:r>
        <w:rPr>
          <w:lang w:val="fr-FR"/>
        </w:rPr>
        <w:t xml:space="preserve"> </w:t>
      </w:r>
      <w:r w:rsidRPr="009A5C16">
        <w:rPr>
          <w:lang w:val="fr-FR"/>
        </w:rPr>
        <w:t>pleine</w:t>
      </w:r>
      <w:r>
        <w:rPr>
          <w:lang w:val="fr-FR"/>
        </w:rPr>
        <w:t xml:space="preserve"> </w:t>
      </w:r>
      <w:r w:rsidRPr="009A5C16">
        <w:rPr>
          <w:lang w:val="fr-FR"/>
        </w:rPr>
        <w:t>jouissance</w:t>
      </w:r>
      <w:r>
        <w:rPr>
          <w:lang w:val="fr-FR"/>
        </w:rPr>
        <w:t xml:space="preserve"> </w:t>
      </w:r>
      <w:r w:rsidRPr="009A5C16">
        <w:rPr>
          <w:lang w:val="fr-FR"/>
        </w:rPr>
        <w:t>sur</w:t>
      </w:r>
      <w:r>
        <w:rPr>
          <w:lang w:val="fr-FR"/>
        </w:rPr>
        <w:t xml:space="preserve"> </w:t>
      </w:r>
      <w:r w:rsidRPr="009A5C16">
        <w:rPr>
          <w:lang w:val="fr-FR"/>
        </w:rPr>
        <w:t>son</w:t>
      </w:r>
      <w:r>
        <w:rPr>
          <w:lang w:val="fr-FR"/>
        </w:rPr>
        <w:t xml:space="preserve"> </w:t>
      </w:r>
      <w:r w:rsidRPr="009A5C16">
        <w:rPr>
          <w:lang w:val="fr-FR"/>
        </w:rPr>
        <w:t>territoire</w:t>
      </w:r>
      <w:r>
        <w:rPr>
          <w:lang w:val="fr-FR"/>
        </w:rPr>
        <w:t xml:space="preserve"> </w:t>
      </w:r>
      <w:r w:rsidRPr="009A5C16">
        <w:rPr>
          <w:lang w:val="fr-FR"/>
        </w:rPr>
        <w:t>des</w:t>
      </w:r>
      <w:r>
        <w:rPr>
          <w:lang w:val="fr-FR"/>
        </w:rPr>
        <w:t xml:space="preserve"> </w:t>
      </w:r>
      <w:r w:rsidRPr="009A5C16">
        <w:rPr>
          <w:lang w:val="fr-FR"/>
        </w:rPr>
        <w:t>droits</w:t>
      </w:r>
      <w:r>
        <w:rPr>
          <w:lang w:val="fr-FR"/>
        </w:rPr>
        <w:t xml:space="preserve"> </w:t>
      </w:r>
      <w:r w:rsidRPr="009A5C16">
        <w:rPr>
          <w:lang w:val="fr-FR"/>
        </w:rPr>
        <w:t>consacrés</w:t>
      </w:r>
      <w:r>
        <w:rPr>
          <w:lang w:val="fr-FR"/>
        </w:rPr>
        <w:t xml:space="preserve"> </w:t>
      </w:r>
      <w:r w:rsidRPr="009A5C16">
        <w:rPr>
          <w:lang w:val="fr-FR"/>
        </w:rPr>
        <w:t>par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article</w:t>
      </w:r>
      <w:r>
        <w:rPr>
          <w:lang w:val="fr-FR"/>
        </w:rPr>
        <w:t xml:space="preserve"> </w:t>
      </w:r>
      <w:r w:rsidRPr="009A5C16">
        <w:rPr>
          <w:lang w:val="fr-FR"/>
        </w:rPr>
        <w:t>19</w:t>
      </w:r>
      <w:r>
        <w:rPr>
          <w:lang w:val="fr-FR"/>
        </w:rPr>
        <w:t xml:space="preserve"> </w:t>
      </w:r>
      <w:r w:rsidRPr="009A5C16">
        <w:rPr>
          <w:lang w:val="fr-FR"/>
        </w:rPr>
        <w:t>du</w:t>
      </w:r>
      <w:r>
        <w:rPr>
          <w:lang w:val="fr-FR"/>
        </w:rPr>
        <w:t xml:space="preserve"> </w:t>
      </w:r>
      <w:r w:rsidRPr="009A5C16">
        <w:rPr>
          <w:lang w:val="fr-FR"/>
        </w:rPr>
        <w:t>Pacte.</w:t>
      </w:r>
    </w:p>
    <w:p w:rsidR="000E5700" w:rsidRDefault="000E5700" w:rsidP="000E5700">
      <w:pPr>
        <w:pStyle w:val="SingleTxtG"/>
        <w:rPr>
          <w:lang w:val="fr-FR"/>
        </w:rPr>
      </w:pPr>
      <w:r w:rsidRPr="009A5C16">
        <w:rPr>
          <w:lang w:val="fr-FR"/>
        </w:rPr>
        <w:t>11.</w:t>
      </w:r>
      <w:r w:rsidRPr="009A5C16">
        <w:rPr>
          <w:lang w:val="fr-FR"/>
        </w:rPr>
        <w:tab/>
        <w:t>Étant</w:t>
      </w:r>
      <w:r>
        <w:rPr>
          <w:lang w:val="fr-FR"/>
        </w:rPr>
        <w:t xml:space="preserve"> </w:t>
      </w:r>
      <w:r w:rsidRPr="009A5C16">
        <w:rPr>
          <w:lang w:val="fr-FR"/>
        </w:rPr>
        <w:t>donné</w:t>
      </w:r>
      <w:r>
        <w:rPr>
          <w:lang w:val="fr-FR"/>
        </w:rPr>
        <w:t xml:space="preserve"> </w:t>
      </w:r>
      <w:r w:rsidRPr="009A5C16">
        <w:rPr>
          <w:lang w:val="fr-FR"/>
        </w:rPr>
        <w:t>qu</w:t>
      </w:r>
      <w:r>
        <w:rPr>
          <w:lang w:val="fr-FR"/>
        </w:rPr>
        <w:t>’</w:t>
      </w:r>
      <w:r w:rsidRPr="009A5C16">
        <w:rPr>
          <w:lang w:val="fr-FR"/>
        </w:rPr>
        <w:t>en</w:t>
      </w:r>
      <w:r>
        <w:rPr>
          <w:lang w:val="fr-FR"/>
        </w:rPr>
        <w:t xml:space="preserve"> </w:t>
      </w:r>
      <w:r w:rsidRPr="009A5C16">
        <w:rPr>
          <w:lang w:val="fr-FR"/>
        </w:rPr>
        <w:t>adhérant</w:t>
      </w:r>
      <w:r>
        <w:rPr>
          <w:lang w:val="fr-FR"/>
        </w:rPr>
        <w:t xml:space="preserve"> </w:t>
      </w:r>
      <w:r w:rsidRPr="009A5C16">
        <w:rPr>
          <w:lang w:val="fr-FR"/>
        </w:rPr>
        <w:t>au</w:t>
      </w:r>
      <w:r>
        <w:rPr>
          <w:lang w:val="fr-FR"/>
        </w:rPr>
        <w:t xml:space="preserve"> </w:t>
      </w:r>
      <w:r w:rsidRPr="009A5C16">
        <w:rPr>
          <w:lang w:val="fr-FR"/>
        </w:rPr>
        <w:t>Protocole</w:t>
      </w:r>
      <w:r>
        <w:rPr>
          <w:lang w:val="fr-FR"/>
        </w:rPr>
        <w:t xml:space="preserve"> </w:t>
      </w:r>
      <w:r w:rsidRPr="009A5C16">
        <w:rPr>
          <w:lang w:val="fr-FR"/>
        </w:rPr>
        <w:t>facultatif,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État</w:t>
      </w:r>
      <w:r>
        <w:rPr>
          <w:lang w:val="fr-FR"/>
        </w:rPr>
        <w:t xml:space="preserve"> </w:t>
      </w:r>
      <w:r w:rsidRPr="009A5C16">
        <w:rPr>
          <w:lang w:val="fr-FR"/>
        </w:rPr>
        <w:t>partie</w:t>
      </w:r>
      <w:r>
        <w:rPr>
          <w:lang w:val="fr-FR"/>
        </w:rPr>
        <w:t xml:space="preserve"> </w:t>
      </w:r>
      <w:r w:rsidRPr="009A5C16">
        <w:rPr>
          <w:lang w:val="fr-FR"/>
        </w:rPr>
        <w:t>a</w:t>
      </w:r>
      <w:r>
        <w:rPr>
          <w:lang w:val="fr-FR"/>
        </w:rPr>
        <w:t xml:space="preserve"> </w:t>
      </w:r>
      <w:r w:rsidRPr="009A5C16">
        <w:rPr>
          <w:lang w:val="fr-FR"/>
        </w:rPr>
        <w:t>reconnu</w:t>
      </w:r>
      <w:r>
        <w:rPr>
          <w:lang w:val="fr-FR"/>
        </w:rPr>
        <w:t xml:space="preserve"> </w:t>
      </w:r>
      <w:r w:rsidRPr="009A5C16">
        <w:rPr>
          <w:lang w:val="fr-FR"/>
        </w:rPr>
        <w:t>que</w:t>
      </w:r>
      <w:r>
        <w:rPr>
          <w:lang w:val="fr-FR"/>
        </w:rPr>
        <w:t xml:space="preserve"> </w:t>
      </w:r>
      <w:r w:rsidRPr="009A5C16">
        <w:rPr>
          <w:lang w:val="fr-FR"/>
        </w:rPr>
        <w:t>le</w:t>
      </w:r>
      <w:r>
        <w:rPr>
          <w:lang w:val="fr-FR"/>
        </w:rPr>
        <w:t xml:space="preserve"> </w:t>
      </w:r>
      <w:r w:rsidRPr="009A5C16">
        <w:rPr>
          <w:lang w:val="fr-FR"/>
        </w:rPr>
        <w:t>Comité</w:t>
      </w:r>
      <w:r>
        <w:rPr>
          <w:lang w:val="fr-FR"/>
        </w:rPr>
        <w:t xml:space="preserve"> </w:t>
      </w:r>
      <w:r w:rsidRPr="009A5C16">
        <w:rPr>
          <w:lang w:val="fr-FR"/>
        </w:rPr>
        <w:t>a</w:t>
      </w:r>
      <w:r>
        <w:rPr>
          <w:lang w:val="fr-FR"/>
        </w:rPr>
        <w:t xml:space="preserve"> </w:t>
      </w:r>
      <w:r w:rsidRPr="009A5C16">
        <w:rPr>
          <w:lang w:val="fr-FR"/>
        </w:rPr>
        <w:t>compétence</w:t>
      </w:r>
      <w:r>
        <w:rPr>
          <w:lang w:val="fr-FR"/>
        </w:rPr>
        <w:t xml:space="preserve"> </w:t>
      </w:r>
      <w:r w:rsidRPr="009A5C16">
        <w:rPr>
          <w:lang w:val="fr-FR"/>
        </w:rPr>
        <w:t>pour</w:t>
      </w:r>
      <w:r>
        <w:rPr>
          <w:lang w:val="fr-FR"/>
        </w:rPr>
        <w:t xml:space="preserve"> </w:t>
      </w:r>
      <w:r w:rsidRPr="009A5C16">
        <w:rPr>
          <w:lang w:val="fr-FR"/>
        </w:rPr>
        <w:t>déterminer</w:t>
      </w:r>
      <w:r>
        <w:rPr>
          <w:lang w:val="fr-FR"/>
        </w:rPr>
        <w:t xml:space="preserve"> </w:t>
      </w:r>
      <w:r w:rsidRPr="009A5C16">
        <w:rPr>
          <w:lang w:val="fr-FR"/>
        </w:rPr>
        <w:t>s</w:t>
      </w:r>
      <w:r>
        <w:rPr>
          <w:lang w:val="fr-FR"/>
        </w:rPr>
        <w:t>’</w:t>
      </w:r>
      <w:r w:rsidRPr="009A5C16">
        <w:rPr>
          <w:lang w:val="fr-FR"/>
        </w:rPr>
        <w:t>il</w:t>
      </w:r>
      <w:r>
        <w:rPr>
          <w:lang w:val="fr-FR"/>
        </w:rPr>
        <w:t xml:space="preserve"> </w:t>
      </w:r>
      <w:r w:rsidRPr="009A5C16">
        <w:rPr>
          <w:lang w:val="fr-FR"/>
        </w:rPr>
        <w:t>y</w:t>
      </w:r>
      <w:r>
        <w:rPr>
          <w:lang w:val="fr-FR"/>
        </w:rPr>
        <w:t xml:space="preserve"> </w:t>
      </w:r>
      <w:r w:rsidRPr="009A5C16">
        <w:rPr>
          <w:lang w:val="fr-FR"/>
        </w:rPr>
        <w:t>a</w:t>
      </w:r>
      <w:r>
        <w:rPr>
          <w:lang w:val="fr-FR"/>
        </w:rPr>
        <w:t xml:space="preserve"> </w:t>
      </w:r>
      <w:r w:rsidRPr="009A5C16">
        <w:rPr>
          <w:lang w:val="fr-FR"/>
        </w:rPr>
        <w:t>ou</w:t>
      </w:r>
      <w:r>
        <w:rPr>
          <w:lang w:val="fr-FR"/>
        </w:rPr>
        <w:t xml:space="preserve"> </w:t>
      </w:r>
      <w:r w:rsidRPr="009A5C16">
        <w:rPr>
          <w:lang w:val="fr-FR"/>
        </w:rPr>
        <w:t>non</w:t>
      </w:r>
      <w:r>
        <w:rPr>
          <w:lang w:val="fr-FR"/>
        </w:rPr>
        <w:t xml:space="preserve"> </w:t>
      </w:r>
      <w:r w:rsidRPr="009A5C16">
        <w:rPr>
          <w:lang w:val="fr-FR"/>
        </w:rPr>
        <w:t>violation</w:t>
      </w:r>
      <w:r>
        <w:rPr>
          <w:lang w:val="fr-FR"/>
        </w:rPr>
        <w:t xml:space="preserve"> </w:t>
      </w:r>
      <w:r w:rsidRPr="009A5C16">
        <w:rPr>
          <w:lang w:val="fr-FR"/>
        </w:rPr>
        <w:t>du</w:t>
      </w:r>
      <w:r>
        <w:rPr>
          <w:lang w:val="fr-FR"/>
        </w:rPr>
        <w:t xml:space="preserve"> </w:t>
      </w:r>
      <w:r w:rsidRPr="009A5C16">
        <w:rPr>
          <w:lang w:val="fr-FR"/>
        </w:rPr>
        <w:t>Pacte</w:t>
      </w:r>
      <w:r>
        <w:rPr>
          <w:lang w:val="fr-FR"/>
        </w:rPr>
        <w:t xml:space="preserve"> </w:t>
      </w:r>
      <w:r w:rsidRPr="009A5C16">
        <w:rPr>
          <w:lang w:val="fr-FR"/>
        </w:rPr>
        <w:t>et</w:t>
      </w:r>
      <w:r>
        <w:rPr>
          <w:lang w:val="fr-FR"/>
        </w:rPr>
        <w:t xml:space="preserve"> </w:t>
      </w:r>
      <w:r w:rsidRPr="009A5C16">
        <w:rPr>
          <w:lang w:val="fr-FR"/>
        </w:rPr>
        <w:t>que,</w:t>
      </w:r>
      <w:r>
        <w:rPr>
          <w:lang w:val="fr-FR"/>
        </w:rPr>
        <w:t xml:space="preserve"> </w:t>
      </w:r>
      <w:r w:rsidRPr="009A5C16">
        <w:rPr>
          <w:lang w:val="fr-FR"/>
        </w:rPr>
        <w:t>conformément</w:t>
      </w:r>
      <w:r>
        <w:rPr>
          <w:lang w:val="fr-FR"/>
        </w:rPr>
        <w:t xml:space="preserve"> </w:t>
      </w:r>
      <w:r w:rsidRPr="009A5C16">
        <w:rPr>
          <w:lang w:val="fr-FR"/>
        </w:rPr>
        <w:t>à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article</w:t>
      </w:r>
      <w:r>
        <w:rPr>
          <w:lang w:val="fr-FR"/>
        </w:rPr>
        <w:t xml:space="preserve"> </w:t>
      </w:r>
      <w:r w:rsidRPr="009A5C16">
        <w:rPr>
          <w:lang w:val="fr-FR"/>
        </w:rPr>
        <w:t>2</w:t>
      </w:r>
      <w:r>
        <w:rPr>
          <w:lang w:val="fr-FR"/>
        </w:rPr>
        <w:t xml:space="preserve"> </w:t>
      </w:r>
      <w:r w:rsidRPr="009A5C16">
        <w:rPr>
          <w:lang w:val="fr-FR"/>
        </w:rPr>
        <w:t>du</w:t>
      </w:r>
      <w:r>
        <w:rPr>
          <w:lang w:val="fr-FR"/>
        </w:rPr>
        <w:t xml:space="preserve"> </w:t>
      </w:r>
      <w:r w:rsidRPr="009A5C16">
        <w:rPr>
          <w:lang w:val="fr-FR"/>
        </w:rPr>
        <w:t>Pacte,</w:t>
      </w:r>
      <w:r>
        <w:rPr>
          <w:lang w:val="fr-FR"/>
        </w:rPr>
        <w:t xml:space="preserve"> </w:t>
      </w:r>
      <w:r w:rsidRPr="009A5C16">
        <w:rPr>
          <w:lang w:val="fr-FR"/>
        </w:rPr>
        <w:t>il</w:t>
      </w:r>
      <w:r>
        <w:rPr>
          <w:lang w:val="fr-FR"/>
        </w:rPr>
        <w:t xml:space="preserve"> </w:t>
      </w:r>
      <w:r w:rsidRPr="009A5C16">
        <w:rPr>
          <w:lang w:val="fr-FR"/>
        </w:rPr>
        <w:t>s</w:t>
      </w:r>
      <w:r>
        <w:rPr>
          <w:lang w:val="fr-FR"/>
        </w:rPr>
        <w:t>’</w:t>
      </w:r>
      <w:r w:rsidRPr="009A5C16">
        <w:rPr>
          <w:lang w:val="fr-FR"/>
        </w:rPr>
        <w:t>est</w:t>
      </w:r>
      <w:r>
        <w:rPr>
          <w:lang w:val="fr-FR"/>
        </w:rPr>
        <w:t xml:space="preserve"> </w:t>
      </w:r>
      <w:r w:rsidRPr="009A5C16">
        <w:rPr>
          <w:lang w:val="fr-FR"/>
        </w:rPr>
        <w:t>engagé</w:t>
      </w:r>
      <w:r>
        <w:rPr>
          <w:lang w:val="fr-FR"/>
        </w:rPr>
        <w:t xml:space="preserve"> </w:t>
      </w:r>
      <w:r w:rsidRPr="009A5C16">
        <w:rPr>
          <w:lang w:val="fr-FR"/>
        </w:rPr>
        <w:t>à</w:t>
      </w:r>
      <w:r>
        <w:rPr>
          <w:lang w:val="fr-FR"/>
        </w:rPr>
        <w:t xml:space="preserve"> </w:t>
      </w:r>
      <w:r w:rsidRPr="009A5C16">
        <w:rPr>
          <w:lang w:val="fr-FR"/>
        </w:rPr>
        <w:t>garantir</w:t>
      </w:r>
      <w:r>
        <w:rPr>
          <w:lang w:val="fr-FR"/>
        </w:rPr>
        <w:t xml:space="preserve"> </w:t>
      </w:r>
      <w:r w:rsidRPr="009A5C16">
        <w:rPr>
          <w:lang w:val="fr-FR"/>
        </w:rPr>
        <w:t>à</w:t>
      </w:r>
      <w:r>
        <w:rPr>
          <w:lang w:val="fr-FR"/>
        </w:rPr>
        <w:t xml:space="preserve"> </w:t>
      </w:r>
      <w:r w:rsidRPr="009A5C16">
        <w:rPr>
          <w:lang w:val="fr-FR"/>
        </w:rPr>
        <w:t>tous</w:t>
      </w:r>
      <w:r>
        <w:rPr>
          <w:lang w:val="fr-FR"/>
        </w:rPr>
        <w:t xml:space="preserve"> </w:t>
      </w:r>
      <w:r w:rsidRPr="009A5C16">
        <w:rPr>
          <w:lang w:val="fr-FR"/>
        </w:rPr>
        <w:t>les</w:t>
      </w:r>
      <w:r>
        <w:rPr>
          <w:lang w:val="fr-FR"/>
        </w:rPr>
        <w:t xml:space="preserve"> </w:t>
      </w:r>
      <w:r w:rsidRPr="009A5C16">
        <w:rPr>
          <w:lang w:val="fr-FR"/>
        </w:rPr>
        <w:t>individus</w:t>
      </w:r>
      <w:r>
        <w:rPr>
          <w:lang w:val="fr-FR"/>
        </w:rPr>
        <w:t xml:space="preserve"> </w:t>
      </w:r>
      <w:r w:rsidRPr="009A5C16">
        <w:rPr>
          <w:lang w:val="fr-FR"/>
        </w:rPr>
        <w:t>se</w:t>
      </w:r>
      <w:r>
        <w:rPr>
          <w:lang w:val="fr-FR"/>
        </w:rPr>
        <w:t xml:space="preserve"> </w:t>
      </w:r>
      <w:r w:rsidRPr="009A5C16">
        <w:rPr>
          <w:lang w:val="fr-FR"/>
        </w:rPr>
        <w:t>trouvant</w:t>
      </w:r>
      <w:r>
        <w:rPr>
          <w:lang w:val="fr-FR"/>
        </w:rPr>
        <w:t xml:space="preserve"> </w:t>
      </w:r>
      <w:r w:rsidRPr="009A5C16">
        <w:rPr>
          <w:lang w:val="fr-FR"/>
        </w:rPr>
        <w:t>sur</w:t>
      </w:r>
      <w:r>
        <w:rPr>
          <w:lang w:val="fr-FR"/>
        </w:rPr>
        <w:t xml:space="preserve"> </w:t>
      </w:r>
      <w:r w:rsidRPr="009A5C16">
        <w:rPr>
          <w:lang w:val="fr-FR"/>
        </w:rPr>
        <w:t>son</w:t>
      </w:r>
      <w:r>
        <w:rPr>
          <w:lang w:val="fr-FR"/>
        </w:rPr>
        <w:t xml:space="preserve"> </w:t>
      </w:r>
      <w:r w:rsidRPr="009A5C16">
        <w:rPr>
          <w:lang w:val="fr-FR"/>
        </w:rPr>
        <w:t>territoire</w:t>
      </w:r>
      <w:r>
        <w:rPr>
          <w:lang w:val="fr-FR"/>
        </w:rPr>
        <w:t xml:space="preserve"> </w:t>
      </w:r>
      <w:r w:rsidRPr="009A5C16">
        <w:rPr>
          <w:lang w:val="fr-FR"/>
        </w:rPr>
        <w:t>et</w:t>
      </w:r>
      <w:r>
        <w:rPr>
          <w:lang w:val="fr-FR"/>
        </w:rPr>
        <w:t xml:space="preserve"> </w:t>
      </w:r>
      <w:r w:rsidRPr="009A5C16">
        <w:rPr>
          <w:lang w:val="fr-FR"/>
        </w:rPr>
        <w:t>relevant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sa</w:t>
      </w:r>
      <w:r>
        <w:rPr>
          <w:lang w:val="fr-FR"/>
        </w:rPr>
        <w:t xml:space="preserve"> </w:t>
      </w:r>
      <w:r w:rsidRPr="009A5C16">
        <w:rPr>
          <w:lang w:val="fr-FR"/>
        </w:rPr>
        <w:t>juridiction</w:t>
      </w:r>
      <w:r>
        <w:rPr>
          <w:lang w:val="fr-FR"/>
        </w:rPr>
        <w:t xml:space="preserve"> </w:t>
      </w:r>
      <w:r w:rsidRPr="009A5C16">
        <w:rPr>
          <w:lang w:val="fr-FR"/>
        </w:rPr>
        <w:t>les</w:t>
      </w:r>
      <w:r>
        <w:rPr>
          <w:lang w:val="fr-FR"/>
        </w:rPr>
        <w:t xml:space="preserve"> </w:t>
      </w:r>
      <w:r w:rsidRPr="009A5C16">
        <w:rPr>
          <w:lang w:val="fr-FR"/>
        </w:rPr>
        <w:t>droits</w:t>
      </w:r>
      <w:r>
        <w:rPr>
          <w:lang w:val="fr-FR"/>
        </w:rPr>
        <w:t xml:space="preserve"> </w:t>
      </w:r>
      <w:r w:rsidRPr="009A5C16">
        <w:rPr>
          <w:lang w:val="fr-FR"/>
        </w:rPr>
        <w:t>reconnus</w:t>
      </w:r>
      <w:r>
        <w:rPr>
          <w:lang w:val="fr-FR"/>
        </w:rPr>
        <w:t xml:space="preserve"> </w:t>
      </w:r>
      <w:r w:rsidRPr="009A5C16">
        <w:rPr>
          <w:lang w:val="fr-FR"/>
        </w:rPr>
        <w:t>dans</w:t>
      </w:r>
      <w:r>
        <w:rPr>
          <w:lang w:val="fr-FR"/>
        </w:rPr>
        <w:t xml:space="preserve"> </w:t>
      </w:r>
      <w:r w:rsidRPr="009A5C16">
        <w:rPr>
          <w:lang w:val="fr-FR"/>
        </w:rPr>
        <w:t>le</w:t>
      </w:r>
      <w:r>
        <w:rPr>
          <w:lang w:val="fr-FR"/>
        </w:rPr>
        <w:t xml:space="preserve"> </w:t>
      </w:r>
      <w:r w:rsidRPr="009A5C16">
        <w:rPr>
          <w:lang w:val="fr-FR"/>
        </w:rPr>
        <w:t>Pacte</w:t>
      </w:r>
      <w:r>
        <w:rPr>
          <w:lang w:val="fr-FR"/>
        </w:rPr>
        <w:t xml:space="preserve"> </w:t>
      </w:r>
      <w:r w:rsidRPr="009A5C16">
        <w:rPr>
          <w:lang w:val="fr-FR"/>
        </w:rPr>
        <w:t>et</w:t>
      </w:r>
      <w:r>
        <w:rPr>
          <w:lang w:val="fr-FR"/>
        </w:rPr>
        <w:t xml:space="preserve"> </w:t>
      </w:r>
      <w:r w:rsidRPr="009A5C16">
        <w:rPr>
          <w:lang w:val="fr-FR"/>
        </w:rPr>
        <w:t>à</w:t>
      </w:r>
      <w:r>
        <w:rPr>
          <w:lang w:val="fr-FR"/>
        </w:rPr>
        <w:t xml:space="preserve"> </w:t>
      </w:r>
      <w:r w:rsidRPr="009A5C16">
        <w:rPr>
          <w:lang w:val="fr-FR"/>
        </w:rPr>
        <w:t>assurer</w:t>
      </w:r>
      <w:r>
        <w:rPr>
          <w:lang w:val="fr-FR"/>
        </w:rPr>
        <w:t xml:space="preserve"> </w:t>
      </w:r>
      <w:r w:rsidRPr="009A5C16">
        <w:rPr>
          <w:lang w:val="fr-FR"/>
        </w:rPr>
        <w:t>un</w:t>
      </w:r>
      <w:r>
        <w:rPr>
          <w:lang w:val="fr-FR"/>
        </w:rPr>
        <w:t xml:space="preserve"> </w:t>
      </w:r>
      <w:r w:rsidRPr="009A5C16">
        <w:rPr>
          <w:lang w:val="fr-FR"/>
        </w:rPr>
        <w:t>recours</w:t>
      </w:r>
      <w:r>
        <w:rPr>
          <w:lang w:val="fr-FR"/>
        </w:rPr>
        <w:t xml:space="preserve"> </w:t>
      </w:r>
      <w:r w:rsidRPr="009A5C16">
        <w:rPr>
          <w:lang w:val="fr-FR"/>
        </w:rPr>
        <w:t>utile</w:t>
      </w:r>
      <w:r>
        <w:rPr>
          <w:lang w:val="fr-FR"/>
        </w:rPr>
        <w:t xml:space="preserve"> </w:t>
      </w:r>
      <w:r w:rsidRPr="009A5C16">
        <w:rPr>
          <w:lang w:val="fr-FR"/>
        </w:rPr>
        <w:t>et</w:t>
      </w:r>
      <w:r>
        <w:rPr>
          <w:lang w:val="fr-FR"/>
        </w:rPr>
        <w:t xml:space="preserve"> </w:t>
      </w:r>
      <w:r w:rsidRPr="009A5C16">
        <w:rPr>
          <w:lang w:val="fr-FR"/>
        </w:rPr>
        <w:t>une</w:t>
      </w:r>
      <w:r>
        <w:rPr>
          <w:lang w:val="fr-FR"/>
        </w:rPr>
        <w:t xml:space="preserve"> </w:t>
      </w:r>
      <w:r w:rsidRPr="009A5C16">
        <w:rPr>
          <w:lang w:val="fr-FR"/>
        </w:rPr>
        <w:t>réparation</w:t>
      </w:r>
      <w:r>
        <w:rPr>
          <w:lang w:val="fr-FR"/>
        </w:rPr>
        <w:t xml:space="preserve"> </w:t>
      </w:r>
      <w:r w:rsidRPr="009A5C16">
        <w:rPr>
          <w:lang w:val="fr-FR"/>
        </w:rPr>
        <w:t>exécutoire</w:t>
      </w:r>
      <w:r>
        <w:rPr>
          <w:lang w:val="fr-FR"/>
        </w:rPr>
        <w:t xml:space="preserve"> </w:t>
      </w:r>
      <w:r w:rsidRPr="009A5C16">
        <w:rPr>
          <w:lang w:val="fr-FR"/>
        </w:rPr>
        <w:t>lorsqu</w:t>
      </w:r>
      <w:r>
        <w:rPr>
          <w:lang w:val="fr-FR"/>
        </w:rPr>
        <w:t>’</w:t>
      </w:r>
      <w:r w:rsidRPr="009A5C16">
        <w:rPr>
          <w:lang w:val="fr-FR"/>
        </w:rPr>
        <w:t>une</w:t>
      </w:r>
      <w:r>
        <w:rPr>
          <w:lang w:val="fr-FR"/>
        </w:rPr>
        <w:t xml:space="preserve"> </w:t>
      </w:r>
      <w:r w:rsidRPr="009A5C16">
        <w:rPr>
          <w:lang w:val="fr-FR"/>
        </w:rPr>
        <w:t>violation</w:t>
      </w:r>
      <w:r>
        <w:rPr>
          <w:lang w:val="fr-FR"/>
        </w:rPr>
        <w:t xml:space="preserve"> </w:t>
      </w:r>
      <w:r w:rsidRPr="009A5C16">
        <w:rPr>
          <w:lang w:val="fr-FR"/>
        </w:rPr>
        <w:t>a</w:t>
      </w:r>
      <w:r>
        <w:rPr>
          <w:lang w:val="fr-FR"/>
        </w:rPr>
        <w:t xml:space="preserve"> </w:t>
      </w:r>
      <w:r w:rsidRPr="009A5C16">
        <w:rPr>
          <w:lang w:val="fr-FR"/>
        </w:rPr>
        <w:t>été</w:t>
      </w:r>
      <w:r>
        <w:rPr>
          <w:lang w:val="fr-FR"/>
        </w:rPr>
        <w:t xml:space="preserve"> </w:t>
      </w:r>
      <w:r w:rsidRPr="009A5C16">
        <w:rPr>
          <w:lang w:val="fr-FR"/>
        </w:rPr>
        <w:t>établie,</w:t>
      </w:r>
      <w:r>
        <w:rPr>
          <w:lang w:val="fr-FR"/>
        </w:rPr>
        <w:t xml:space="preserve"> </w:t>
      </w:r>
      <w:r w:rsidRPr="009A5C16">
        <w:rPr>
          <w:lang w:val="fr-FR"/>
        </w:rPr>
        <w:t>le</w:t>
      </w:r>
      <w:r>
        <w:rPr>
          <w:lang w:val="fr-FR"/>
        </w:rPr>
        <w:t xml:space="preserve"> </w:t>
      </w:r>
      <w:r w:rsidRPr="009A5C16">
        <w:rPr>
          <w:lang w:val="fr-FR"/>
        </w:rPr>
        <w:t>Comité</w:t>
      </w:r>
      <w:r>
        <w:rPr>
          <w:lang w:val="fr-FR"/>
        </w:rPr>
        <w:t xml:space="preserve"> </w:t>
      </w:r>
      <w:r w:rsidRPr="009A5C16">
        <w:rPr>
          <w:lang w:val="fr-FR"/>
        </w:rPr>
        <w:t>souhaite</w:t>
      </w:r>
      <w:r>
        <w:rPr>
          <w:lang w:val="fr-FR"/>
        </w:rPr>
        <w:t xml:space="preserve"> </w:t>
      </w:r>
      <w:r w:rsidRPr="009A5C16">
        <w:rPr>
          <w:lang w:val="fr-FR"/>
        </w:rPr>
        <w:t>recevoir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État</w:t>
      </w:r>
      <w:r>
        <w:rPr>
          <w:lang w:val="fr-FR"/>
        </w:rPr>
        <w:t xml:space="preserve"> </w:t>
      </w:r>
      <w:r w:rsidRPr="009A5C16">
        <w:rPr>
          <w:lang w:val="fr-FR"/>
        </w:rPr>
        <w:t>partie,</w:t>
      </w:r>
      <w:r>
        <w:rPr>
          <w:lang w:val="fr-FR"/>
        </w:rPr>
        <w:t xml:space="preserve"> </w:t>
      </w:r>
      <w:r w:rsidRPr="009A5C16">
        <w:rPr>
          <w:lang w:val="fr-FR"/>
        </w:rPr>
        <w:t>dans</w:t>
      </w:r>
      <w:r>
        <w:rPr>
          <w:lang w:val="fr-FR"/>
        </w:rPr>
        <w:t xml:space="preserve"> </w:t>
      </w:r>
      <w:r w:rsidRPr="009A5C16">
        <w:rPr>
          <w:lang w:val="fr-FR"/>
        </w:rPr>
        <w:t>un</w:t>
      </w:r>
      <w:r>
        <w:rPr>
          <w:lang w:val="fr-FR"/>
        </w:rPr>
        <w:t xml:space="preserve"> </w:t>
      </w:r>
      <w:r w:rsidRPr="009A5C16">
        <w:rPr>
          <w:lang w:val="fr-FR"/>
        </w:rPr>
        <w:t>délai</w:t>
      </w:r>
      <w:r>
        <w:rPr>
          <w:lang w:val="fr-FR"/>
        </w:rPr>
        <w:t xml:space="preserve"> </w:t>
      </w:r>
      <w:r w:rsidRPr="009A5C16">
        <w:rPr>
          <w:lang w:val="fr-FR"/>
        </w:rPr>
        <w:t>de</w:t>
      </w:r>
      <w:r>
        <w:rPr>
          <w:lang w:val="fr-FR"/>
        </w:rPr>
        <w:t xml:space="preserve"> </w:t>
      </w:r>
      <w:r w:rsidRPr="009A5C16">
        <w:rPr>
          <w:lang w:val="fr-FR"/>
        </w:rPr>
        <w:t>cent</w:t>
      </w:r>
      <w:r>
        <w:rPr>
          <w:lang w:val="fr-FR"/>
        </w:rPr>
        <w:t xml:space="preserve"> </w:t>
      </w:r>
      <w:r w:rsidRPr="009A5C16">
        <w:rPr>
          <w:lang w:val="fr-FR"/>
        </w:rPr>
        <w:t>quatre-vingts</w:t>
      </w:r>
      <w:r>
        <w:rPr>
          <w:lang w:val="fr-FR"/>
        </w:rPr>
        <w:t xml:space="preserve"> </w:t>
      </w:r>
      <w:r w:rsidRPr="009A5C16">
        <w:rPr>
          <w:lang w:val="fr-FR"/>
        </w:rPr>
        <w:t>jours,</w:t>
      </w:r>
      <w:r>
        <w:rPr>
          <w:lang w:val="fr-FR"/>
        </w:rPr>
        <w:t xml:space="preserve"> </w:t>
      </w:r>
      <w:r w:rsidRPr="009A5C16">
        <w:rPr>
          <w:lang w:val="fr-FR"/>
        </w:rPr>
        <w:t>des</w:t>
      </w:r>
      <w:r>
        <w:rPr>
          <w:lang w:val="fr-FR"/>
        </w:rPr>
        <w:t xml:space="preserve"> </w:t>
      </w:r>
      <w:r w:rsidRPr="009A5C16">
        <w:rPr>
          <w:lang w:val="fr-FR"/>
        </w:rPr>
        <w:t>renseignements</w:t>
      </w:r>
      <w:r>
        <w:rPr>
          <w:lang w:val="fr-FR"/>
        </w:rPr>
        <w:t xml:space="preserve"> </w:t>
      </w:r>
      <w:r w:rsidRPr="009A5C16">
        <w:rPr>
          <w:lang w:val="fr-FR"/>
        </w:rPr>
        <w:t>sur</w:t>
      </w:r>
      <w:r>
        <w:rPr>
          <w:lang w:val="fr-FR"/>
        </w:rPr>
        <w:t xml:space="preserve"> </w:t>
      </w:r>
      <w:r w:rsidRPr="009A5C16">
        <w:rPr>
          <w:lang w:val="fr-FR"/>
        </w:rPr>
        <w:t>les</w:t>
      </w:r>
      <w:r>
        <w:rPr>
          <w:lang w:val="fr-FR"/>
        </w:rPr>
        <w:t xml:space="preserve"> </w:t>
      </w:r>
      <w:r w:rsidRPr="009A5C16">
        <w:rPr>
          <w:lang w:val="fr-FR"/>
        </w:rPr>
        <w:t>mesures</w:t>
      </w:r>
      <w:r>
        <w:rPr>
          <w:lang w:val="fr-FR"/>
        </w:rPr>
        <w:t xml:space="preserve"> </w:t>
      </w:r>
      <w:r w:rsidRPr="009A5C16">
        <w:rPr>
          <w:lang w:val="fr-FR"/>
        </w:rPr>
        <w:t>prises</w:t>
      </w:r>
      <w:r>
        <w:rPr>
          <w:lang w:val="fr-FR"/>
        </w:rPr>
        <w:t xml:space="preserve"> </w:t>
      </w:r>
      <w:r w:rsidRPr="009A5C16">
        <w:rPr>
          <w:lang w:val="fr-FR"/>
        </w:rPr>
        <w:t>pour</w:t>
      </w:r>
      <w:r>
        <w:rPr>
          <w:lang w:val="fr-FR"/>
        </w:rPr>
        <w:t xml:space="preserve"> </w:t>
      </w:r>
      <w:r w:rsidRPr="009A5C16">
        <w:rPr>
          <w:lang w:val="fr-FR"/>
        </w:rPr>
        <w:t>donner</w:t>
      </w:r>
      <w:r>
        <w:rPr>
          <w:lang w:val="fr-FR"/>
        </w:rPr>
        <w:t xml:space="preserve"> </w:t>
      </w:r>
      <w:r w:rsidRPr="009A5C16">
        <w:rPr>
          <w:lang w:val="fr-FR"/>
        </w:rPr>
        <w:t>effet</w:t>
      </w:r>
      <w:r>
        <w:rPr>
          <w:lang w:val="fr-FR"/>
        </w:rPr>
        <w:t xml:space="preserve"> </w:t>
      </w:r>
      <w:r w:rsidRPr="009A5C16">
        <w:rPr>
          <w:lang w:val="fr-FR"/>
        </w:rPr>
        <w:t>aux</w:t>
      </w:r>
      <w:r>
        <w:rPr>
          <w:lang w:val="fr-FR"/>
        </w:rPr>
        <w:t xml:space="preserve"> </w:t>
      </w:r>
      <w:r w:rsidRPr="009A5C16">
        <w:rPr>
          <w:lang w:val="fr-FR"/>
        </w:rPr>
        <w:t>présentes</w:t>
      </w:r>
      <w:r>
        <w:rPr>
          <w:lang w:val="fr-FR"/>
        </w:rPr>
        <w:t xml:space="preserve"> </w:t>
      </w:r>
      <w:r w:rsidRPr="009A5C16">
        <w:rPr>
          <w:lang w:val="fr-FR"/>
        </w:rPr>
        <w:t>constatations.</w:t>
      </w:r>
      <w:r>
        <w:rPr>
          <w:lang w:val="fr-FR"/>
        </w:rPr>
        <w:t xml:space="preserve"> </w:t>
      </w:r>
      <w:r w:rsidRPr="009A5C16">
        <w:rPr>
          <w:lang w:val="fr-FR"/>
        </w:rPr>
        <w:t>L</w:t>
      </w:r>
      <w:r>
        <w:rPr>
          <w:lang w:val="fr-FR"/>
        </w:rPr>
        <w:t>’</w:t>
      </w:r>
      <w:r w:rsidRPr="009A5C16">
        <w:rPr>
          <w:lang w:val="fr-FR"/>
        </w:rPr>
        <w:t>État</w:t>
      </w:r>
      <w:r>
        <w:rPr>
          <w:lang w:val="fr-FR"/>
        </w:rPr>
        <w:t xml:space="preserve"> </w:t>
      </w:r>
      <w:r w:rsidRPr="009A5C16">
        <w:rPr>
          <w:lang w:val="fr-FR"/>
        </w:rPr>
        <w:t>partie</w:t>
      </w:r>
      <w:r>
        <w:rPr>
          <w:lang w:val="fr-FR"/>
        </w:rPr>
        <w:t xml:space="preserve"> </w:t>
      </w:r>
      <w:r w:rsidRPr="009A5C16">
        <w:rPr>
          <w:lang w:val="fr-FR"/>
        </w:rPr>
        <w:t>est</w:t>
      </w:r>
      <w:r>
        <w:rPr>
          <w:lang w:val="fr-FR"/>
        </w:rPr>
        <w:t xml:space="preserve"> </w:t>
      </w:r>
      <w:r w:rsidRPr="009A5C16">
        <w:rPr>
          <w:lang w:val="fr-FR"/>
        </w:rPr>
        <w:t>invité</w:t>
      </w:r>
      <w:r>
        <w:rPr>
          <w:lang w:val="fr-FR"/>
        </w:rPr>
        <w:t xml:space="preserve"> </w:t>
      </w:r>
      <w:r w:rsidRPr="009A5C16">
        <w:rPr>
          <w:lang w:val="fr-FR"/>
        </w:rPr>
        <w:t>en</w:t>
      </w:r>
      <w:r>
        <w:rPr>
          <w:lang w:val="fr-FR"/>
        </w:rPr>
        <w:t xml:space="preserve"> </w:t>
      </w:r>
      <w:r w:rsidRPr="009A5C16">
        <w:rPr>
          <w:lang w:val="fr-FR"/>
        </w:rPr>
        <w:t>outre</w:t>
      </w:r>
      <w:r>
        <w:rPr>
          <w:lang w:val="fr-FR"/>
        </w:rPr>
        <w:t xml:space="preserve"> </w:t>
      </w:r>
      <w:r w:rsidRPr="009A5C16">
        <w:rPr>
          <w:lang w:val="fr-FR"/>
        </w:rPr>
        <w:t>à</w:t>
      </w:r>
      <w:r>
        <w:rPr>
          <w:lang w:val="fr-FR"/>
        </w:rPr>
        <w:t xml:space="preserve"> </w:t>
      </w:r>
      <w:r w:rsidRPr="009A5C16">
        <w:rPr>
          <w:lang w:val="fr-FR"/>
        </w:rPr>
        <w:t>rendre</w:t>
      </w:r>
      <w:r>
        <w:rPr>
          <w:lang w:val="fr-FR"/>
        </w:rPr>
        <w:t xml:space="preserve"> </w:t>
      </w:r>
      <w:r w:rsidRPr="009A5C16">
        <w:rPr>
          <w:lang w:val="fr-FR"/>
        </w:rPr>
        <w:t>celles-ci</w:t>
      </w:r>
      <w:r>
        <w:rPr>
          <w:lang w:val="fr-FR"/>
        </w:rPr>
        <w:t xml:space="preserve"> </w:t>
      </w:r>
      <w:r w:rsidRPr="009A5C16">
        <w:rPr>
          <w:lang w:val="fr-FR"/>
        </w:rPr>
        <w:t>publiques</w:t>
      </w:r>
      <w:r>
        <w:rPr>
          <w:lang w:val="fr-FR"/>
        </w:rPr>
        <w:t xml:space="preserve"> </w:t>
      </w:r>
      <w:r w:rsidRPr="009A5C16">
        <w:rPr>
          <w:lang w:val="fr-FR"/>
        </w:rPr>
        <w:t>et</w:t>
      </w:r>
      <w:r>
        <w:rPr>
          <w:lang w:val="fr-FR"/>
        </w:rPr>
        <w:t xml:space="preserve"> </w:t>
      </w:r>
      <w:r w:rsidRPr="009A5C16">
        <w:rPr>
          <w:lang w:val="fr-FR"/>
        </w:rPr>
        <w:t>à</w:t>
      </w:r>
      <w:r>
        <w:rPr>
          <w:lang w:val="fr-FR"/>
        </w:rPr>
        <w:t xml:space="preserve"> </w:t>
      </w:r>
      <w:r w:rsidRPr="009A5C16">
        <w:rPr>
          <w:lang w:val="fr-FR"/>
        </w:rPr>
        <w:t>les</w:t>
      </w:r>
      <w:r>
        <w:rPr>
          <w:lang w:val="fr-FR"/>
        </w:rPr>
        <w:t xml:space="preserve"> </w:t>
      </w:r>
      <w:r w:rsidRPr="009A5C16">
        <w:rPr>
          <w:lang w:val="fr-FR"/>
        </w:rPr>
        <w:t>diffuser</w:t>
      </w:r>
      <w:r>
        <w:rPr>
          <w:lang w:val="fr-FR"/>
        </w:rPr>
        <w:t xml:space="preserve"> </w:t>
      </w:r>
      <w:r w:rsidRPr="009A5C16">
        <w:rPr>
          <w:lang w:val="fr-FR"/>
        </w:rPr>
        <w:t>largement</w:t>
      </w:r>
      <w:r>
        <w:rPr>
          <w:lang w:val="fr-FR"/>
        </w:rPr>
        <w:t xml:space="preserve"> dans ses langues officielles</w:t>
      </w:r>
      <w:r w:rsidRPr="009A5C16">
        <w:rPr>
          <w:lang w:val="fr-FR"/>
        </w:rPr>
        <w:t>.</w:t>
      </w:r>
    </w:p>
    <w:p w:rsidR="00E85C42" w:rsidRPr="000E5700" w:rsidRDefault="000E5700" w:rsidP="000E570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85C42" w:rsidRPr="000E5700" w:rsidSect="00284BE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700" w:rsidRDefault="000E5700" w:rsidP="00F95C08">
      <w:pPr>
        <w:spacing w:line="240" w:lineRule="auto"/>
      </w:pPr>
    </w:p>
  </w:endnote>
  <w:endnote w:type="continuationSeparator" w:id="0">
    <w:p w:rsidR="000E5700" w:rsidRPr="00AC3823" w:rsidRDefault="000E5700" w:rsidP="00AC3823">
      <w:pPr>
        <w:pStyle w:val="Pieddepage"/>
      </w:pPr>
    </w:p>
  </w:endnote>
  <w:endnote w:type="continuationNotice" w:id="1">
    <w:p w:rsidR="000E5700" w:rsidRDefault="000E570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700" w:rsidRPr="00284BE0" w:rsidRDefault="000E5700" w:rsidP="00284BE0">
    <w:pPr>
      <w:pStyle w:val="Pieddepage"/>
      <w:tabs>
        <w:tab w:val="right" w:pos="9638"/>
      </w:tabs>
    </w:pPr>
    <w:r w:rsidRPr="00284BE0">
      <w:rPr>
        <w:b/>
        <w:sz w:val="18"/>
      </w:rPr>
      <w:fldChar w:fldCharType="begin"/>
    </w:r>
    <w:r w:rsidRPr="00284BE0">
      <w:rPr>
        <w:b/>
        <w:sz w:val="18"/>
      </w:rPr>
      <w:instrText xml:space="preserve"> PAGE  \* MERGEFORMAT </w:instrText>
    </w:r>
    <w:r w:rsidRPr="00284BE0">
      <w:rPr>
        <w:b/>
        <w:sz w:val="18"/>
      </w:rPr>
      <w:fldChar w:fldCharType="separate"/>
    </w:r>
    <w:r w:rsidRPr="00284BE0">
      <w:rPr>
        <w:b/>
        <w:noProof/>
        <w:sz w:val="18"/>
      </w:rPr>
      <w:t>2</w:t>
    </w:r>
    <w:r w:rsidRPr="00284BE0">
      <w:rPr>
        <w:b/>
        <w:sz w:val="18"/>
      </w:rPr>
      <w:fldChar w:fldCharType="end"/>
    </w:r>
    <w:r>
      <w:rPr>
        <w:b/>
        <w:sz w:val="18"/>
      </w:rPr>
      <w:tab/>
    </w:r>
    <w:r>
      <w:t>GE.20-07618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700" w:rsidRPr="00284BE0" w:rsidRDefault="000E5700" w:rsidP="00284BE0">
    <w:pPr>
      <w:pStyle w:val="Pieddepage"/>
      <w:tabs>
        <w:tab w:val="right" w:pos="9638"/>
      </w:tabs>
      <w:rPr>
        <w:b/>
        <w:sz w:val="18"/>
      </w:rPr>
    </w:pPr>
    <w:r>
      <w:t>GE.20-07618</w:t>
    </w:r>
    <w:r>
      <w:tab/>
    </w:r>
    <w:r w:rsidRPr="00284BE0">
      <w:rPr>
        <w:b/>
        <w:sz w:val="18"/>
      </w:rPr>
      <w:fldChar w:fldCharType="begin"/>
    </w:r>
    <w:r w:rsidRPr="00284BE0">
      <w:rPr>
        <w:b/>
        <w:sz w:val="18"/>
      </w:rPr>
      <w:instrText xml:space="preserve"> PAGE  \* MERGEFORMAT </w:instrText>
    </w:r>
    <w:r w:rsidRPr="00284BE0">
      <w:rPr>
        <w:b/>
        <w:sz w:val="18"/>
      </w:rPr>
      <w:fldChar w:fldCharType="separate"/>
    </w:r>
    <w:r w:rsidRPr="00284BE0">
      <w:rPr>
        <w:b/>
        <w:noProof/>
        <w:sz w:val="18"/>
      </w:rPr>
      <w:t>3</w:t>
    </w:r>
    <w:r w:rsidRPr="00284BE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700" w:rsidRPr="00284BE0" w:rsidRDefault="000E5700" w:rsidP="00284BE0">
    <w:pPr>
      <w:pStyle w:val="Pieddepage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91AA59C" wp14:editId="5E500DF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20-07618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021220    021220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700" w:rsidRPr="00AC3823" w:rsidRDefault="000E570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E5700" w:rsidRPr="00AC3823" w:rsidRDefault="000E570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E5700" w:rsidRPr="00AC3823" w:rsidRDefault="000E5700">
      <w:pPr>
        <w:spacing w:line="240" w:lineRule="auto"/>
        <w:rPr>
          <w:sz w:val="2"/>
          <w:szCs w:val="2"/>
        </w:rPr>
      </w:pPr>
    </w:p>
  </w:footnote>
  <w:footnote w:id="2">
    <w:p w:rsidR="000E5700" w:rsidRPr="00AB6B32" w:rsidRDefault="000E5700" w:rsidP="000E5700">
      <w:pPr>
        <w:pStyle w:val="Notedebasdepage"/>
        <w:rPr>
          <w:szCs w:val="18"/>
        </w:rPr>
      </w:pPr>
      <w:r w:rsidRPr="00AB6B32">
        <w:rPr>
          <w:rStyle w:val="Appelnotedebasdep"/>
          <w:sz w:val="20"/>
          <w:vertAlign w:val="baseline"/>
        </w:rPr>
        <w:tab/>
        <w:t>*</w:t>
      </w:r>
      <w:r w:rsidRPr="00AB6B32">
        <w:rPr>
          <w:rStyle w:val="Appelnotedebasdep"/>
          <w:sz w:val="20"/>
          <w:vertAlign w:val="baseline"/>
        </w:rPr>
        <w:tab/>
      </w:r>
      <w:r w:rsidRPr="00AB6B32">
        <w:rPr>
          <w:szCs w:val="18"/>
        </w:rPr>
        <w:t>La version originale du présent document n’a pas été revue par les services d’édition.</w:t>
      </w:r>
    </w:p>
  </w:footnote>
  <w:footnote w:id="3">
    <w:p w:rsidR="00DC24DE" w:rsidRPr="00DC24DE" w:rsidRDefault="00DC24DE">
      <w:pPr>
        <w:pStyle w:val="Notedebasdepage"/>
      </w:pPr>
      <w:r>
        <w:rPr>
          <w:rStyle w:val="Appelnotedebasdep"/>
        </w:rPr>
        <w:tab/>
      </w:r>
      <w:r w:rsidRPr="00DC24DE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>
        <w:t xml:space="preserve">Les membres du Groupe de travail dont le nom suit ont participé à l’examen de la communication : </w:t>
      </w:r>
      <w:proofErr w:type="spellStart"/>
      <w:r>
        <w:t>Yadh</w:t>
      </w:r>
      <w:proofErr w:type="spellEnd"/>
      <w:r>
        <w:t xml:space="preserve"> Ben Achour,</w:t>
      </w:r>
      <w:r w:rsidRPr="00830421">
        <w:t xml:space="preserve"> Arif </w:t>
      </w:r>
      <w:proofErr w:type="spellStart"/>
      <w:r w:rsidRPr="00830421">
        <w:t>Bulkan</w:t>
      </w:r>
      <w:proofErr w:type="spellEnd"/>
      <w:r w:rsidRPr="00830421">
        <w:t xml:space="preserve">, Ahmed Amin </w:t>
      </w:r>
      <w:proofErr w:type="spellStart"/>
      <w:r w:rsidRPr="00830421">
        <w:t>Fathalla</w:t>
      </w:r>
      <w:proofErr w:type="spellEnd"/>
      <w:r w:rsidRPr="00830421">
        <w:t xml:space="preserve">, </w:t>
      </w:r>
      <w:proofErr w:type="spellStart"/>
      <w:r w:rsidRPr="00830421">
        <w:t>Christof</w:t>
      </w:r>
      <w:proofErr w:type="spellEnd"/>
      <w:r w:rsidRPr="00830421">
        <w:t xml:space="preserve"> </w:t>
      </w:r>
      <w:proofErr w:type="spellStart"/>
      <w:r w:rsidRPr="00830421">
        <w:t>Heyns</w:t>
      </w:r>
      <w:proofErr w:type="spellEnd"/>
      <w:r w:rsidRPr="00830421">
        <w:t xml:space="preserve">, </w:t>
      </w:r>
      <w:proofErr w:type="spellStart"/>
      <w:r w:rsidRPr="00830421">
        <w:t>Bamariam</w:t>
      </w:r>
      <w:proofErr w:type="spellEnd"/>
      <w:r w:rsidRPr="00830421">
        <w:t xml:space="preserve"> </w:t>
      </w:r>
      <w:proofErr w:type="spellStart"/>
      <w:r w:rsidRPr="00830421">
        <w:t>Koita</w:t>
      </w:r>
      <w:proofErr w:type="spellEnd"/>
      <w:r w:rsidRPr="00830421">
        <w:t>, Marci</w:t>
      </w:r>
      <w:r>
        <w:t>a</w:t>
      </w:r>
      <w:r w:rsidRPr="00830421">
        <w:t xml:space="preserve"> V.</w:t>
      </w:r>
      <w:r>
        <w:t> </w:t>
      </w:r>
      <w:r w:rsidRPr="00830421">
        <w:t xml:space="preserve">J. </w:t>
      </w:r>
      <w:proofErr w:type="spellStart"/>
      <w:r w:rsidRPr="00830421">
        <w:t>Kran</w:t>
      </w:r>
      <w:proofErr w:type="spellEnd"/>
      <w:r w:rsidRPr="00830421">
        <w:t>, Dun</w:t>
      </w:r>
      <w:r>
        <w:t>c</w:t>
      </w:r>
      <w:r w:rsidRPr="00830421">
        <w:t xml:space="preserve">an </w:t>
      </w:r>
      <w:r>
        <w:t xml:space="preserve">Laki </w:t>
      </w:r>
      <w:proofErr w:type="spellStart"/>
      <w:r>
        <w:t>Muhumuza</w:t>
      </w:r>
      <w:proofErr w:type="spellEnd"/>
      <w:r w:rsidRPr="00830421">
        <w:t xml:space="preserve">, </w:t>
      </w:r>
      <w:proofErr w:type="spellStart"/>
      <w:r w:rsidRPr="00830421">
        <w:t>Photini</w:t>
      </w:r>
      <w:proofErr w:type="spellEnd"/>
      <w:r w:rsidRPr="00830421">
        <w:t xml:space="preserve"> </w:t>
      </w:r>
      <w:proofErr w:type="spellStart"/>
      <w:r w:rsidRPr="00830421">
        <w:t>Pazartzis</w:t>
      </w:r>
      <w:proofErr w:type="spellEnd"/>
      <w:r w:rsidRPr="00830421">
        <w:t xml:space="preserve">, </w:t>
      </w:r>
      <w:proofErr w:type="spellStart"/>
      <w:r w:rsidRPr="00830421">
        <w:t>Vasilka</w:t>
      </w:r>
      <w:proofErr w:type="spellEnd"/>
      <w:r w:rsidRPr="00830421">
        <w:t xml:space="preserve"> </w:t>
      </w:r>
      <w:proofErr w:type="spellStart"/>
      <w:r w:rsidRPr="00830421">
        <w:t>Sancin</w:t>
      </w:r>
      <w:proofErr w:type="spellEnd"/>
      <w:r w:rsidRPr="00830421">
        <w:t xml:space="preserve">, José Manuel Santos Pais, Yuval </w:t>
      </w:r>
      <w:proofErr w:type="spellStart"/>
      <w:r w:rsidRPr="00830421">
        <w:t>Shany</w:t>
      </w:r>
      <w:proofErr w:type="spellEnd"/>
      <w:r w:rsidRPr="00830421">
        <w:t>, Hélè</w:t>
      </w:r>
      <w:r>
        <w:t xml:space="preserve">ne </w:t>
      </w:r>
      <w:proofErr w:type="spellStart"/>
      <w:r>
        <w:t>Tigroudja</w:t>
      </w:r>
      <w:proofErr w:type="spellEnd"/>
      <w:r>
        <w:t xml:space="preserve"> et </w:t>
      </w:r>
      <w:proofErr w:type="spellStart"/>
      <w:r>
        <w:t>Gentian</w:t>
      </w:r>
      <w:proofErr w:type="spellEnd"/>
      <w:r>
        <w:t xml:space="preserve"> </w:t>
      </w:r>
      <w:proofErr w:type="spellStart"/>
      <w:r>
        <w:t>Zyberi</w:t>
      </w:r>
      <w:proofErr w:type="spellEnd"/>
      <w:r>
        <w:t>.</w:t>
      </w:r>
    </w:p>
  </w:footnote>
  <w:footnote w:id="4">
    <w:p w:rsidR="000E5700" w:rsidRPr="00AB6B32" w:rsidRDefault="000E5700" w:rsidP="000E5700">
      <w:pPr>
        <w:pStyle w:val="Notedebasdepage"/>
        <w:rPr>
          <w:szCs w:val="18"/>
        </w:rPr>
      </w:pPr>
      <w:r w:rsidRPr="00AB6B32">
        <w:rPr>
          <w:szCs w:val="18"/>
        </w:rPr>
        <w:tab/>
      </w:r>
      <w:r w:rsidRPr="00AB6B32">
        <w:rPr>
          <w:rStyle w:val="Appelnotedebasdep"/>
          <w:szCs w:val="18"/>
        </w:rPr>
        <w:footnoteRef/>
      </w:r>
      <w:r w:rsidRPr="00AB6B32">
        <w:rPr>
          <w:szCs w:val="18"/>
        </w:rPr>
        <w:tab/>
        <w:t xml:space="preserve">L’auteur renvoie aux communications </w:t>
      </w:r>
      <w:proofErr w:type="spellStart"/>
      <w:r w:rsidRPr="00AB6B32">
        <w:rPr>
          <w:i/>
          <w:szCs w:val="18"/>
        </w:rPr>
        <w:t>Olechkevitch</w:t>
      </w:r>
      <w:proofErr w:type="spellEnd"/>
      <w:r w:rsidRPr="00AB6B32">
        <w:rPr>
          <w:i/>
          <w:szCs w:val="18"/>
        </w:rPr>
        <w:t xml:space="preserve"> c. Bélarus </w:t>
      </w:r>
      <w:r w:rsidRPr="00AB6B32">
        <w:rPr>
          <w:szCs w:val="18"/>
        </w:rPr>
        <w:t>(CCPR/C/107/D/1785/2008</w:t>
      </w:r>
      <w:r w:rsidRPr="00AB6B32">
        <w:rPr>
          <w:color w:val="545454"/>
          <w:szCs w:val="18"/>
          <w:shd w:val="clear" w:color="auto" w:fill="FFFFFF"/>
        </w:rPr>
        <w:t xml:space="preserve">) </w:t>
      </w:r>
      <w:r w:rsidRPr="00AB6B32">
        <w:rPr>
          <w:szCs w:val="18"/>
        </w:rPr>
        <w:t xml:space="preserve">et </w:t>
      </w:r>
      <w:proofErr w:type="spellStart"/>
      <w:r w:rsidRPr="00AB6B32">
        <w:rPr>
          <w:i/>
          <w:szCs w:val="18"/>
        </w:rPr>
        <w:t>Schumilin</w:t>
      </w:r>
      <w:proofErr w:type="spellEnd"/>
      <w:r w:rsidRPr="00AB6B32">
        <w:rPr>
          <w:i/>
          <w:szCs w:val="18"/>
        </w:rPr>
        <w:t xml:space="preserve"> c. Bélarus </w:t>
      </w:r>
      <w:r w:rsidRPr="00AB6B32">
        <w:rPr>
          <w:szCs w:val="18"/>
        </w:rPr>
        <w:t>(CCPR/C/105/D/1784/2008).</w:t>
      </w:r>
    </w:p>
  </w:footnote>
  <w:footnote w:id="5">
    <w:p w:rsidR="000E5700" w:rsidRPr="00C363EC" w:rsidRDefault="000E5700" w:rsidP="000E5700">
      <w:pPr>
        <w:pStyle w:val="Notedebasdepage"/>
        <w:rPr>
          <w:spacing w:val="-1"/>
          <w:szCs w:val="18"/>
        </w:rPr>
      </w:pPr>
      <w:r w:rsidRPr="00AB6B32">
        <w:rPr>
          <w:szCs w:val="18"/>
        </w:rPr>
        <w:tab/>
      </w:r>
      <w:r w:rsidRPr="00AB6B32">
        <w:rPr>
          <w:rStyle w:val="Appelnotedebasdep"/>
          <w:szCs w:val="18"/>
        </w:rPr>
        <w:footnoteRef/>
      </w:r>
      <w:r w:rsidRPr="00AB6B32">
        <w:rPr>
          <w:szCs w:val="18"/>
        </w:rPr>
        <w:tab/>
      </w:r>
      <w:r w:rsidRPr="00C363EC">
        <w:rPr>
          <w:spacing w:val="-1"/>
          <w:szCs w:val="18"/>
        </w:rPr>
        <w:t xml:space="preserve">Voir, par exemple, </w:t>
      </w:r>
      <w:proofErr w:type="spellStart"/>
      <w:r w:rsidRPr="00C363EC">
        <w:rPr>
          <w:i/>
          <w:spacing w:val="-1"/>
          <w:szCs w:val="18"/>
        </w:rPr>
        <w:t>Levinov</w:t>
      </w:r>
      <w:proofErr w:type="spellEnd"/>
      <w:r w:rsidRPr="00C363EC">
        <w:rPr>
          <w:i/>
          <w:spacing w:val="-1"/>
          <w:szCs w:val="18"/>
        </w:rPr>
        <w:t xml:space="preserve"> c. Bélarus </w:t>
      </w:r>
      <w:r w:rsidRPr="00C363EC">
        <w:rPr>
          <w:iCs/>
          <w:spacing w:val="-1"/>
          <w:szCs w:val="18"/>
        </w:rPr>
        <w:t>(</w:t>
      </w:r>
      <w:r w:rsidRPr="00C363EC">
        <w:rPr>
          <w:spacing w:val="-1"/>
          <w:szCs w:val="18"/>
        </w:rPr>
        <w:t>CCPR/C/105/D/1867/2009, 1936/2010, 1975/2010, 1977/2010 à 1981/2010 et 2010/2010)</w:t>
      </w:r>
      <w:r w:rsidR="00C363EC" w:rsidRPr="00C363EC">
        <w:rPr>
          <w:spacing w:val="-1"/>
          <w:szCs w:val="18"/>
        </w:rPr>
        <w:t>, par. 8.2</w:t>
      </w:r>
      <w:r w:rsidRPr="00C363EC">
        <w:rPr>
          <w:iCs/>
          <w:spacing w:val="-1"/>
          <w:szCs w:val="18"/>
        </w:rPr>
        <w:t> ;</w:t>
      </w:r>
      <w:r w:rsidR="00AB6B32" w:rsidRPr="00C363EC">
        <w:rPr>
          <w:iCs/>
          <w:spacing w:val="-1"/>
          <w:szCs w:val="18"/>
        </w:rPr>
        <w:t xml:space="preserve"> et </w:t>
      </w:r>
      <w:proofErr w:type="spellStart"/>
      <w:r w:rsidRPr="00C363EC">
        <w:rPr>
          <w:i/>
          <w:spacing w:val="-1"/>
          <w:szCs w:val="18"/>
        </w:rPr>
        <w:t>Poplavny</w:t>
      </w:r>
      <w:proofErr w:type="spellEnd"/>
      <w:r w:rsidRPr="00C363EC">
        <w:rPr>
          <w:i/>
          <w:spacing w:val="-1"/>
          <w:szCs w:val="18"/>
        </w:rPr>
        <w:t xml:space="preserve"> c. Bélarus </w:t>
      </w:r>
      <w:r w:rsidRPr="00C363EC">
        <w:rPr>
          <w:iCs/>
          <w:spacing w:val="-1"/>
          <w:szCs w:val="18"/>
        </w:rPr>
        <w:t>(CCPR/C/115/D/2019/2010)</w:t>
      </w:r>
      <w:r w:rsidRPr="00C363EC">
        <w:rPr>
          <w:spacing w:val="-1"/>
          <w:szCs w:val="18"/>
        </w:rPr>
        <w:t>, par. 6.2.</w:t>
      </w:r>
    </w:p>
  </w:footnote>
  <w:footnote w:id="6">
    <w:p w:rsidR="000E5700" w:rsidRPr="00AB6B32" w:rsidRDefault="00AB6B32" w:rsidP="000E5700">
      <w:pPr>
        <w:pStyle w:val="Notedebasdepage"/>
        <w:rPr>
          <w:szCs w:val="18"/>
        </w:rPr>
      </w:pPr>
      <w:r>
        <w:rPr>
          <w:szCs w:val="18"/>
        </w:rPr>
        <w:tab/>
      </w:r>
      <w:r w:rsidR="000E5700" w:rsidRPr="00AB6B32">
        <w:rPr>
          <w:rStyle w:val="Appelnotedebasdep"/>
          <w:szCs w:val="18"/>
        </w:rPr>
        <w:footnoteRef/>
      </w:r>
      <w:r>
        <w:rPr>
          <w:szCs w:val="18"/>
        </w:rPr>
        <w:tab/>
      </w:r>
      <w:r w:rsidR="000E5700" w:rsidRPr="00AB6B32">
        <w:rPr>
          <w:szCs w:val="18"/>
        </w:rPr>
        <w:t xml:space="preserve">Observation générale </w:t>
      </w:r>
      <w:r w:rsidRPr="00AB6B32">
        <w:rPr>
          <w:rFonts w:eastAsia="MS Mincho"/>
          <w:szCs w:val="18"/>
        </w:rPr>
        <w:t>n</w:t>
      </w:r>
      <w:r w:rsidRPr="00AB6B32">
        <w:rPr>
          <w:rFonts w:eastAsia="MS Mincho"/>
          <w:szCs w:val="18"/>
          <w:vertAlign w:val="superscript"/>
        </w:rPr>
        <w:t>o</w:t>
      </w:r>
      <w:r>
        <w:rPr>
          <w:szCs w:val="18"/>
        </w:rPr>
        <w:t> </w:t>
      </w:r>
      <w:r w:rsidR="000E5700" w:rsidRPr="00AB6B32">
        <w:rPr>
          <w:szCs w:val="18"/>
        </w:rPr>
        <w:t>34, par. 2.</w:t>
      </w:r>
    </w:p>
  </w:footnote>
  <w:footnote w:id="7">
    <w:p w:rsidR="000E5700" w:rsidRPr="00AB6B32" w:rsidRDefault="000E5700" w:rsidP="000E5700">
      <w:pPr>
        <w:pStyle w:val="Notedebasdepage"/>
        <w:rPr>
          <w:szCs w:val="18"/>
        </w:rPr>
      </w:pPr>
      <w:r w:rsidRPr="00AB6B32">
        <w:rPr>
          <w:szCs w:val="18"/>
        </w:rPr>
        <w:tab/>
      </w:r>
      <w:r w:rsidRPr="00AB6B32">
        <w:rPr>
          <w:rStyle w:val="Appelnotedebasdep"/>
          <w:szCs w:val="18"/>
        </w:rPr>
        <w:footnoteRef/>
      </w:r>
      <w:r w:rsidRPr="00AB6B32">
        <w:rPr>
          <w:szCs w:val="18"/>
        </w:rPr>
        <w:tab/>
      </w:r>
      <w:r w:rsidR="00C363EC">
        <w:rPr>
          <w:szCs w:val="18"/>
        </w:rPr>
        <w:t>Ibid.</w:t>
      </w:r>
      <w:r w:rsidRPr="00AB6B32">
        <w:rPr>
          <w:szCs w:val="18"/>
        </w:rPr>
        <w:t>, par. 22.</w:t>
      </w:r>
    </w:p>
  </w:footnote>
  <w:footnote w:id="8">
    <w:p w:rsidR="000E5700" w:rsidRPr="00AB6B32" w:rsidRDefault="000E5700" w:rsidP="000E5700">
      <w:pPr>
        <w:pStyle w:val="Notedebasdepage"/>
        <w:rPr>
          <w:spacing w:val="-2"/>
          <w:szCs w:val="18"/>
        </w:rPr>
      </w:pPr>
      <w:r w:rsidRPr="00AB6B32">
        <w:rPr>
          <w:spacing w:val="-2"/>
          <w:szCs w:val="18"/>
        </w:rPr>
        <w:tab/>
      </w:r>
      <w:r w:rsidRPr="00AB6B32">
        <w:rPr>
          <w:rStyle w:val="Appelnotedebasdep"/>
          <w:spacing w:val="-2"/>
          <w:szCs w:val="18"/>
        </w:rPr>
        <w:footnoteRef/>
      </w:r>
      <w:r w:rsidRPr="00AB6B32">
        <w:rPr>
          <w:spacing w:val="-2"/>
          <w:szCs w:val="18"/>
        </w:rPr>
        <w:tab/>
        <w:t xml:space="preserve">Voir, par exemple, </w:t>
      </w:r>
      <w:proofErr w:type="spellStart"/>
      <w:r w:rsidRPr="00AB6B32">
        <w:rPr>
          <w:i/>
          <w:iCs/>
          <w:spacing w:val="-2"/>
          <w:szCs w:val="18"/>
        </w:rPr>
        <w:t>Pivonos</w:t>
      </w:r>
      <w:proofErr w:type="spellEnd"/>
      <w:r w:rsidRPr="00AB6B32">
        <w:rPr>
          <w:i/>
          <w:iCs/>
          <w:spacing w:val="-2"/>
          <w:szCs w:val="18"/>
        </w:rPr>
        <w:t xml:space="preserve"> c. Bélarus </w:t>
      </w:r>
      <w:r w:rsidRPr="00AB6B32">
        <w:rPr>
          <w:spacing w:val="-2"/>
          <w:szCs w:val="18"/>
        </w:rPr>
        <w:t xml:space="preserve">(CCPR/C/106/D/1830/2018), par. 9.3 ; </w:t>
      </w:r>
      <w:proofErr w:type="spellStart"/>
      <w:r w:rsidRPr="00AB6B32">
        <w:rPr>
          <w:i/>
          <w:iCs/>
          <w:spacing w:val="-2"/>
          <w:szCs w:val="18"/>
        </w:rPr>
        <w:t>Olechkevitch</w:t>
      </w:r>
      <w:proofErr w:type="spellEnd"/>
      <w:r w:rsidRPr="00AB6B32">
        <w:rPr>
          <w:i/>
          <w:iCs/>
          <w:spacing w:val="-2"/>
          <w:szCs w:val="18"/>
        </w:rPr>
        <w:t xml:space="preserve"> c. Bélarus </w:t>
      </w:r>
      <w:bookmarkStart w:id="0" w:name="_GoBack"/>
      <w:bookmarkEnd w:id="0"/>
      <w:r w:rsidRPr="00AB6B32">
        <w:rPr>
          <w:spacing w:val="-2"/>
          <w:szCs w:val="18"/>
        </w:rPr>
        <w:t>(CCPR/C/107/D/1785/2018), par. 8.5 ;</w:t>
      </w:r>
      <w:r w:rsidR="00AB6B32" w:rsidRPr="00AB6B32">
        <w:rPr>
          <w:spacing w:val="-2"/>
          <w:szCs w:val="18"/>
        </w:rPr>
        <w:t xml:space="preserve"> et </w:t>
      </w:r>
      <w:proofErr w:type="spellStart"/>
      <w:r w:rsidRPr="00AB6B32">
        <w:rPr>
          <w:i/>
          <w:spacing w:val="-2"/>
          <w:szCs w:val="18"/>
        </w:rPr>
        <w:t>Androsenko</w:t>
      </w:r>
      <w:proofErr w:type="spellEnd"/>
      <w:r w:rsidRPr="00AB6B32">
        <w:rPr>
          <w:i/>
          <w:spacing w:val="-2"/>
          <w:szCs w:val="18"/>
        </w:rPr>
        <w:t xml:space="preserve"> c. Bélarus</w:t>
      </w:r>
      <w:r w:rsidRPr="00AB6B32">
        <w:rPr>
          <w:spacing w:val="-2"/>
          <w:szCs w:val="18"/>
        </w:rPr>
        <w:t xml:space="preserve"> (CCPR/C/116/D/2092/2011), par. 7.3.</w:t>
      </w:r>
    </w:p>
  </w:footnote>
  <w:footnote w:id="9">
    <w:p w:rsidR="000E5700" w:rsidRPr="00AB6B32" w:rsidRDefault="000E5700" w:rsidP="000E5700">
      <w:pPr>
        <w:pStyle w:val="Notedebasdepage"/>
        <w:rPr>
          <w:szCs w:val="18"/>
        </w:rPr>
      </w:pPr>
      <w:r w:rsidRPr="00AB6B32">
        <w:rPr>
          <w:szCs w:val="18"/>
        </w:rPr>
        <w:tab/>
      </w:r>
      <w:r w:rsidRPr="00AB6B32">
        <w:rPr>
          <w:rStyle w:val="Appelnotedebasdep"/>
          <w:szCs w:val="18"/>
        </w:rPr>
        <w:footnoteRef/>
      </w:r>
      <w:r w:rsidRPr="00AB6B32">
        <w:rPr>
          <w:szCs w:val="18"/>
        </w:rPr>
        <w:tab/>
        <w:t xml:space="preserve">Voir, par exemple, </w:t>
      </w:r>
      <w:proofErr w:type="spellStart"/>
      <w:r w:rsidRPr="00AB6B32">
        <w:rPr>
          <w:i/>
          <w:iCs/>
          <w:szCs w:val="18"/>
        </w:rPr>
        <w:t>Levinov</w:t>
      </w:r>
      <w:proofErr w:type="spellEnd"/>
      <w:r w:rsidRPr="00AB6B32">
        <w:rPr>
          <w:i/>
          <w:iCs/>
          <w:szCs w:val="18"/>
        </w:rPr>
        <w:t xml:space="preserve"> c. Bélarus</w:t>
      </w:r>
      <w:r w:rsidRPr="00AB6B32">
        <w:rPr>
          <w:szCs w:val="18"/>
        </w:rPr>
        <w:t xml:space="preserve"> (CCPR/C/117/D/2082/2011), par. 8.3 ; </w:t>
      </w:r>
      <w:proofErr w:type="spellStart"/>
      <w:r w:rsidRPr="00AB6B32">
        <w:rPr>
          <w:i/>
          <w:szCs w:val="18"/>
        </w:rPr>
        <w:t>Levinov</w:t>
      </w:r>
      <w:proofErr w:type="spellEnd"/>
      <w:r w:rsidRPr="00AB6B32">
        <w:rPr>
          <w:i/>
          <w:szCs w:val="18"/>
        </w:rPr>
        <w:t xml:space="preserve"> c. Bélarus</w:t>
      </w:r>
      <w:r w:rsidRPr="00AB6B32">
        <w:rPr>
          <w:szCs w:val="18"/>
        </w:rPr>
        <w:t xml:space="preserve"> (CCPR/C/105/D/1867/2009, 1936, 1975, 1977 à 1981, 2010/2010), par. 10.3 ; </w:t>
      </w:r>
      <w:r w:rsidR="00AB6B32">
        <w:rPr>
          <w:szCs w:val="18"/>
        </w:rPr>
        <w:t xml:space="preserve">et </w:t>
      </w:r>
      <w:proofErr w:type="spellStart"/>
      <w:r w:rsidRPr="00AB6B32">
        <w:rPr>
          <w:i/>
          <w:szCs w:val="18"/>
        </w:rPr>
        <w:t>Misnikov</w:t>
      </w:r>
      <w:proofErr w:type="spellEnd"/>
      <w:r w:rsidRPr="00AB6B32">
        <w:rPr>
          <w:i/>
          <w:szCs w:val="18"/>
        </w:rPr>
        <w:t xml:space="preserve"> c. Bélarus </w:t>
      </w:r>
      <w:r w:rsidRPr="00AB6B32">
        <w:rPr>
          <w:szCs w:val="18"/>
        </w:rPr>
        <w:t>(CCPR/C/117/2093/2011), par. 9.3.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700" w:rsidRPr="00284BE0" w:rsidRDefault="000E5700">
    <w:pPr>
      <w:pStyle w:val="En-tte"/>
    </w:pPr>
    <w:fldSimple w:instr=" TITLE  \* MERGEFORMAT ">
      <w:r>
        <w:t>CCPR/C/128/D/2391/2014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700" w:rsidRPr="00284BE0" w:rsidRDefault="000E5700" w:rsidP="00284BE0">
    <w:pPr>
      <w:pStyle w:val="En-tte"/>
      <w:jc w:val="right"/>
    </w:pPr>
    <w:fldSimple w:instr=" TITLE  \* MERGEFORMAT ">
      <w:r>
        <w:t>CCPR/C/128/D/2391/2014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7D08229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5C8CEEB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64428C8C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CD"/>
    <w:rsid w:val="00017F94"/>
    <w:rsid w:val="00023842"/>
    <w:rsid w:val="000334F9"/>
    <w:rsid w:val="0007796D"/>
    <w:rsid w:val="000919AD"/>
    <w:rsid w:val="000B7790"/>
    <w:rsid w:val="000C2225"/>
    <w:rsid w:val="000E5700"/>
    <w:rsid w:val="00111F2F"/>
    <w:rsid w:val="0014365E"/>
    <w:rsid w:val="00176178"/>
    <w:rsid w:val="001B379B"/>
    <w:rsid w:val="001F525A"/>
    <w:rsid w:val="00223272"/>
    <w:rsid w:val="0024779E"/>
    <w:rsid w:val="00284BE0"/>
    <w:rsid w:val="002B7BC7"/>
    <w:rsid w:val="002E2D46"/>
    <w:rsid w:val="0032225A"/>
    <w:rsid w:val="003265B7"/>
    <w:rsid w:val="003402F1"/>
    <w:rsid w:val="00351332"/>
    <w:rsid w:val="003A6E96"/>
    <w:rsid w:val="004151CD"/>
    <w:rsid w:val="00446FE5"/>
    <w:rsid w:val="00452396"/>
    <w:rsid w:val="005505B7"/>
    <w:rsid w:val="00573BE5"/>
    <w:rsid w:val="00586ED3"/>
    <w:rsid w:val="00596AA9"/>
    <w:rsid w:val="006F7144"/>
    <w:rsid w:val="006F71EA"/>
    <w:rsid w:val="0071601D"/>
    <w:rsid w:val="00793E85"/>
    <w:rsid w:val="007A611C"/>
    <w:rsid w:val="007A62E6"/>
    <w:rsid w:val="007E2032"/>
    <w:rsid w:val="0080684C"/>
    <w:rsid w:val="008560DB"/>
    <w:rsid w:val="00871C75"/>
    <w:rsid w:val="008776DC"/>
    <w:rsid w:val="009705C8"/>
    <w:rsid w:val="009B1E6C"/>
    <w:rsid w:val="009E2C6A"/>
    <w:rsid w:val="00A57411"/>
    <w:rsid w:val="00A9151D"/>
    <w:rsid w:val="00AA6A35"/>
    <w:rsid w:val="00AB6B32"/>
    <w:rsid w:val="00AC3823"/>
    <w:rsid w:val="00AE323C"/>
    <w:rsid w:val="00B00181"/>
    <w:rsid w:val="00B765F7"/>
    <w:rsid w:val="00BA0CA9"/>
    <w:rsid w:val="00C01ACF"/>
    <w:rsid w:val="00C02897"/>
    <w:rsid w:val="00C363EC"/>
    <w:rsid w:val="00CA7BC4"/>
    <w:rsid w:val="00D05667"/>
    <w:rsid w:val="00D3439C"/>
    <w:rsid w:val="00D744E5"/>
    <w:rsid w:val="00D83177"/>
    <w:rsid w:val="00DB1831"/>
    <w:rsid w:val="00DC24DE"/>
    <w:rsid w:val="00DD3BFD"/>
    <w:rsid w:val="00DF6678"/>
    <w:rsid w:val="00E85C42"/>
    <w:rsid w:val="00EC30D5"/>
    <w:rsid w:val="00EE1BD4"/>
    <w:rsid w:val="00F12152"/>
    <w:rsid w:val="00F660DF"/>
    <w:rsid w:val="00F95C08"/>
    <w:rsid w:val="00FD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5E959E"/>
  <w15:docId w15:val="{0D64464F-3984-4661-B31A-93994B05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4E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D744E5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A9151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93E85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93E85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93E85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93E85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93E85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93E85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93E85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D744E5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D744E5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D744E5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D744E5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744E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744E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D744E5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744E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744E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744E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744E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D744E5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D744E5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744E5"/>
    <w:pPr>
      <w:numPr>
        <w:numId w:val="19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D744E5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D744E5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D744E5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D744E5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D744E5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D744E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D744E5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D744E5"/>
  </w:style>
  <w:style w:type="character" w:customStyle="1" w:styleId="NotedefinCar">
    <w:name w:val="Note de fin Car"/>
    <w:aliases w:val="2_G Car"/>
    <w:basedOn w:val="Policepardfaut"/>
    <w:link w:val="Notedefin"/>
    <w:rsid w:val="00D744E5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D744E5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D744E5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A915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3E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E85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793E8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93E85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93E85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50</TotalTime>
  <Pages>4</Pages>
  <Words>1906</Words>
  <Characters>11175</Characters>
  <Application>Microsoft Office Word</Application>
  <DocSecurity>0</DocSecurity>
  <Lines>1015</Lines>
  <Paragraphs>436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CCPR/C/128/D/2391/2014</vt:lpstr>
    </vt:vector>
  </TitlesOfParts>
  <Company>DCM</Company>
  <LinksUpToDate>false</LinksUpToDate>
  <CharactersWithSpaces>12645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CCPR/C/128/D/2391/2014</dc:title>
  <dc:subject/>
  <dc:creator>Nicolas MORIN</dc:creator>
  <cp:keywords/>
  <cp:lastModifiedBy>Nicolas MORIN</cp:lastModifiedBy>
  <cp:revision>2</cp:revision>
  <cp:lastPrinted>2014-05-14T10:59:00Z</cp:lastPrinted>
  <dcterms:created xsi:type="dcterms:W3CDTF">2020-12-02T10:16:00Z</dcterms:created>
  <dcterms:modified xsi:type="dcterms:W3CDTF">2020-12-02T10:16:00Z</dcterms:modified>
</cp:coreProperties>
</file>