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6665B">
        <w:trPr>
          <w:trHeight w:hRule="exact" w:val="851"/>
        </w:trPr>
        <w:tc>
          <w:tcPr>
            <w:tcW w:w="142" w:type="dxa"/>
          </w:tcPr>
          <w:p w:rsidR="002D5AAC" w:rsidRDefault="002D5AAC" w:rsidP="006B0A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0A15" w:rsidP="006B0A15">
            <w:pPr>
              <w:jc w:val="right"/>
            </w:pPr>
            <w:r w:rsidRPr="006B0A15">
              <w:rPr>
                <w:sz w:val="40"/>
              </w:rPr>
              <w:t>CCPR</w:t>
            </w:r>
            <w:r>
              <w:t>/C/126/D/2269/2013</w:t>
            </w:r>
          </w:p>
        </w:tc>
      </w:tr>
      <w:tr w:rsidR="002D5AAC" w:rsidRPr="0030029E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B0A15" w:rsidRDefault="006B0A15" w:rsidP="00BC3629">
            <w:pPr>
              <w:spacing w:before="240"/>
              <w:rPr>
                <w:lang w:val="en-US"/>
              </w:rPr>
            </w:pPr>
            <w:r w:rsidRPr="006B0A15">
              <w:rPr>
                <w:lang w:val="en-US"/>
              </w:rPr>
              <w:t>Distr.: General</w:t>
            </w:r>
          </w:p>
          <w:p w:rsidR="006B0A15" w:rsidRPr="006B0A15" w:rsidRDefault="006B0A15" w:rsidP="006B0A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October 2019</w:t>
            </w:r>
          </w:p>
          <w:p w:rsidR="006B0A15" w:rsidRPr="006B0A15" w:rsidRDefault="006B0A15" w:rsidP="006B0A15">
            <w:pPr>
              <w:spacing w:line="240" w:lineRule="exact"/>
              <w:rPr>
                <w:lang w:val="en-US"/>
              </w:rPr>
            </w:pPr>
            <w:r w:rsidRPr="006B0A15">
              <w:rPr>
                <w:lang w:val="en-US"/>
              </w:rPr>
              <w:t>Russian</w:t>
            </w:r>
          </w:p>
          <w:p w:rsidR="006B0A15" w:rsidRPr="006B0A15" w:rsidRDefault="006B0A15" w:rsidP="006B0A15">
            <w:pPr>
              <w:spacing w:line="240" w:lineRule="exact"/>
              <w:rPr>
                <w:lang w:val="en-US"/>
              </w:rPr>
            </w:pPr>
            <w:r w:rsidRPr="006B0A15">
              <w:rPr>
                <w:lang w:val="en-US"/>
              </w:rPr>
              <w:t>Original: English</w:t>
            </w:r>
          </w:p>
        </w:tc>
      </w:tr>
    </w:tbl>
    <w:p w:rsidR="00B56DB2" w:rsidRPr="00610559" w:rsidRDefault="00B56DB2" w:rsidP="00B56DB2">
      <w:pPr>
        <w:spacing w:before="120" w:line="240" w:lineRule="auto"/>
        <w:rPr>
          <w:rFonts w:eastAsiaTheme="minorEastAsia"/>
          <w:b/>
          <w:bCs/>
          <w:sz w:val="24"/>
          <w:szCs w:val="24"/>
        </w:rPr>
      </w:pPr>
      <w:r w:rsidRPr="00610559">
        <w:rPr>
          <w:b/>
          <w:bCs/>
          <w:sz w:val="24"/>
          <w:szCs w:val="24"/>
        </w:rPr>
        <w:t>Комитет по правам человека</w:t>
      </w:r>
    </w:p>
    <w:p w:rsidR="00B56DB2" w:rsidRPr="0064331C" w:rsidRDefault="00B56DB2" w:rsidP="00B56DB2">
      <w:pPr>
        <w:pStyle w:val="HChG"/>
      </w:pPr>
      <w:r w:rsidRPr="00F25F12">
        <w:tab/>
      </w:r>
      <w:r w:rsidRPr="00F25F12">
        <w:tab/>
        <w:t>Соображения, принятые Комитетом в соответствии с</w:t>
      </w:r>
      <w:r>
        <w:rPr>
          <w:lang w:val="en-US"/>
        </w:rPr>
        <w:t> </w:t>
      </w:r>
      <w:r w:rsidRPr="00F25F12">
        <w:t>пунктом 4 статьи 5 Факультативного протокола в</w:t>
      </w:r>
      <w:r>
        <w:rPr>
          <w:lang w:val="en-US"/>
        </w:rPr>
        <w:t> </w:t>
      </w:r>
      <w:r w:rsidRPr="00F25F12">
        <w:t>отношении сообщения № 2269/2013</w:t>
      </w:r>
      <w:r w:rsidRPr="00610559">
        <w:rPr>
          <w:b w:val="0"/>
          <w:bCs/>
          <w:sz w:val="20"/>
        </w:rPr>
        <w:footnoteReference w:customMarkFollows="1" w:id="1"/>
        <w:t>*</w:t>
      </w:r>
      <w:r w:rsidRPr="00610559">
        <w:rPr>
          <w:b w:val="0"/>
          <w:bCs/>
        </w:rPr>
        <w:t xml:space="preserve"> </w:t>
      </w:r>
      <w:r w:rsidRPr="0061055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="0030029E" w:rsidRPr="0030029E">
        <w:rPr>
          <w:b w:val="0"/>
          <w:bCs/>
        </w:rPr>
        <w:t xml:space="preserve"> </w:t>
      </w:r>
      <w:r w:rsidRPr="00610559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F25F12">
              <w:rPr>
                <w:i/>
                <w:iCs/>
              </w:rPr>
              <w:t>Сообщение представлено: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 w:rsidRPr="00F25F12">
              <w:t xml:space="preserve">Виталием Лопасовым </w:t>
            </w:r>
            <w:r w:rsidR="00F511C8">
              <w:br/>
            </w:r>
            <w:r w:rsidRPr="00F25F12">
              <w:t>(не представлен адвокатом)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>
              <w:t>а</w:t>
            </w:r>
            <w:r w:rsidRPr="00F25F12">
              <w:t>втор сообщения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 w:rsidRPr="00F25F12">
              <w:t>Беларусь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 w:rsidRPr="00F25F12">
              <w:t xml:space="preserve">28 декабря 2012 года </w:t>
            </w:r>
            <w:r w:rsidR="00F511C8">
              <w:br/>
            </w:r>
            <w:r w:rsidRPr="00F25F12">
              <w:t>(первоначальное представление)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>
              <w:t>р</w:t>
            </w:r>
            <w:r w:rsidRPr="00610559">
              <w:t xml:space="preserve">ешение в соответствии с правилом 97 правил процедуры Комитета (правило 92 новых правил процедуры), препровожденное государству-участнику 26 июля 2013 года </w:t>
            </w:r>
            <w:r w:rsidR="00F511C8">
              <w:br/>
            </w:r>
            <w:r w:rsidRPr="00610559">
              <w:t>(в виде документа не издавалось)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vAlign w:val="bottom"/>
          </w:tcPr>
          <w:p w:rsidR="00B56DB2" w:rsidRPr="0064331C" w:rsidRDefault="00B56DB2" w:rsidP="006C37AC">
            <w:pPr>
              <w:spacing w:after="120"/>
            </w:pPr>
            <w:r w:rsidRPr="00F25F12">
              <w:t>25 июля 2019 года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>
              <w:t>н</w:t>
            </w:r>
            <w:r w:rsidRPr="00F25F12">
              <w:t>аложение штрафа за участие в мирном собрании; свобода выражения мнений; отсутствие справедливого судебного разбирательства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>
              <w:t>и</w:t>
            </w:r>
            <w:r w:rsidRPr="00F25F12">
              <w:t>счерпание внутренних средств правовой защиты; отсутствие сотрудничества со стороны государства-участника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>
              <w:t>с</w:t>
            </w:r>
            <w:r w:rsidRPr="00F25F12">
              <w:t>вобода собраний; свобода выражения мнений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 w:rsidRPr="00F25F12">
              <w:t>2 (2), 19 и 21</w:t>
            </w:r>
          </w:p>
        </w:tc>
      </w:tr>
      <w:tr w:rsidR="00B56DB2" w:rsidRPr="0064331C" w:rsidTr="006C37AC">
        <w:tc>
          <w:tcPr>
            <w:tcW w:w="2933" w:type="dxa"/>
            <w:hideMark/>
          </w:tcPr>
          <w:p w:rsidR="00B56DB2" w:rsidRPr="0064331C" w:rsidRDefault="00B56DB2" w:rsidP="006C37AC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</w:tcPr>
          <w:p w:rsidR="00B56DB2" w:rsidRPr="0064331C" w:rsidRDefault="00B56DB2" w:rsidP="006C37AC">
            <w:pPr>
              <w:spacing w:after="120"/>
            </w:pPr>
            <w:r w:rsidRPr="00F25F12">
              <w:t>2 и 5 (2) (b)</w:t>
            </w:r>
          </w:p>
        </w:tc>
      </w:tr>
    </w:tbl>
    <w:p w:rsidR="00B56DB2" w:rsidRPr="00F25F12" w:rsidRDefault="00B56DB2" w:rsidP="00B56DB2">
      <w:pPr>
        <w:pStyle w:val="SingleTxtG"/>
        <w:pageBreakBefore/>
        <w:spacing w:line="240" w:lineRule="auto"/>
      </w:pPr>
      <w:r w:rsidRPr="00F25F12">
        <w:lastRenderedPageBreak/>
        <w:t>1.</w:t>
      </w:r>
      <w:r w:rsidRPr="00F25F12">
        <w:tab/>
        <w:t>Автором сообщения является Виталий Лопасов, гражданин Беларуси 1973</w:t>
      </w:r>
      <w:r>
        <w:t> </w:t>
      </w:r>
      <w:r w:rsidRPr="00F25F12">
        <w:t>года рождения. Он утверждает, что государство-участник нарушило его права, предусмотренные статьями 2</w:t>
      </w:r>
      <w:r w:rsidR="00A974B3">
        <w:t xml:space="preserve"> </w:t>
      </w:r>
      <w:r w:rsidRPr="00F25F12">
        <w:t>(2), 19 и 21 Пакта</w:t>
      </w:r>
      <w:r w:rsidRPr="00F25F12">
        <w:rPr>
          <w:rStyle w:val="aa"/>
        </w:rPr>
        <w:footnoteReference w:id="4"/>
      </w:r>
      <w:r w:rsidRPr="00F25F12">
        <w:t>. Факультативный протокол вступил в силу для государства-участника 30 декабря 1992 года. Автор не представлен адвокатом.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Факты в изложении автора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2.1</w:t>
      </w:r>
      <w:r w:rsidRPr="00F25F12">
        <w:tab/>
        <w:t>27 октября 2012 года автор вместе с другими лицами участвовал в праздновании белорусского восстания 1863 года в Гродно. Во время него он вместе с другими участниками передвигался по городу Свислочь из одного места в другое, пройдя от места захоронения Ромуальда Траугутта к памятнику Кастусю Калиновскому и возложив цветы к монументу Карлу Марксу, при этом он также присутствовал на проходивших митингах и выслушал выступления нескольких участников. Многие из участников, включая автора, держали в руках красно-белый флаг</w:t>
      </w:r>
      <w:r w:rsidRPr="00F25F12">
        <w:rPr>
          <w:rStyle w:val="aa"/>
        </w:rPr>
        <w:footnoteReference w:id="5"/>
      </w:r>
      <w:r w:rsidRPr="00F25F12">
        <w:t>. Автор утверждает, что он беспрепятственно принимал участие в подобных торжествах последние 20</w:t>
      </w:r>
      <w:r>
        <w:t> </w:t>
      </w:r>
      <w:r w:rsidRPr="00F25F12">
        <w:t>лет, принося на них цветы, похоронные венки, гробы и другие разнообразные символы, включая старый государственный флаг. Он заявляет, что митинги носили мирный характер и на них не нарушался общественный порядок.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2.2</w:t>
      </w:r>
      <w:r w:rsidRPr="00F25F12">
        <w:tab/>
        <w:t xml:space="preserve">В ходе этого мероприятия автор был задержан сотрудниками милиции Гродненского управления внутренних дел и доставлен в отделение милиции без объяснения причин. О нарушении им порядка организации и проведения публичных собраний было сообщено в Свислочский районный суд.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2.3</w:t>
      </w:r>
      <w:r w:rsidRPr="00F25F12">
        <w:tab/>
        <w:t>30 октября 2012 года Свислочский районный суд установил, что автор нарушил положения Закона о массовых мероприятиях, касающиеся организации митингов, совершив тем самым административное правонарушение согласно пункту</w:t>
      </w:r>
      <w:r w:rsidR="0089674D">
        <w:t> </w:t>
      </w:r>
      <w:r w:rsidRPr="00F25F12">
        <w:t>1 статьи</w:t>
      </w:r>
      <w:r w:rsidR="00A0201F">
        <w:t> </w:t>
      </w:r>
      <w:r w:rsidRPr="00F25F12">
        <w:t>23.34 Кодекса об административных правонарушениях. Соответственно, Свислочский районный суд обязал автора сообщения уплатить штраф в размере 3</w:t>
      </w:r>
      <w:r>
        <w:t> </w:t>
      </w:r>
      <w:r w:rsidRPr="00F25F12">
        <w:t>000</w:t>
      </w:r>
      <w:r>
        <w:t> </w:t>
      </w:r>
      <w:r w:rsidRPr="00F25F12">
        <w:t>000 старых белорусских рублей</w:t>
      </w:r>
      <w:r>
        <w:rPr>
          <w:rStyle w:val="aa"/>
        </w:rPr>
        <w:footnoteReference w:id="6"/>
      </w:r>
      <w:r w:rsidRPr="00F25F12">
        <w:t>. Он обжаловал это решение в Гродненский областной суд, который оставил в силе решение суда первой инстанции. Таким образом, 29</w:t>
      </w:r>
      <w:r>
        <w:t> </w:t>
      </w:r>
      <w:r w:rsidRPr="00F25F12">
        <w:t>ноября 2012 года решение Свислочского районного суда вступило в силу.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2.4</w:t>
      </w:r>
      <w:r w:rsidRPr="00F25F12">
        <w:tab/>
        <w:t>Автор утверждает, что в отсутствие каких-либо четко аргументированных объяснений, обосновывающих вывод суда, назначенное ему наказание не может рассматриваться как оправдываемое необходимостью охраны государственной безопасности, общественного порядка, здоровья или нравственности населения или уважения прав и репутации других лиц.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2.5</w:t>
      </w:r>
      <w:r w:rsidRPr="00F25F12">
        <w:tab/>
        <w:t>Автор заявляет, что он исчерпал все внутренние средства правовой защиты. Он</w:t>
      </w:r>
      <w:r>
        <w:t> </w:t>
      </w:r>
      <w:r w:rsidRPr="00F25F12">
        <w:t>указывает, что не подал жалобу на решение Свислочского районного суда Председателю Верховного суда или в Генеральную прокуратуру в надзорном порядке, поскольку эта процедура не является эффективным внутренним средством правовой защиты. Он ссылается на правовую практику Комитета, согласно которой процедуры рассмотрения в порядке надзора уже вступивших в силу судебных решений эффективным средством правовой защиты не являются.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Жалоба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3.1</w:t>
      </w:r>
      <w:r w:rsidRPr="00F25F12">
        <w:tab/>
        <w:t xml:space="preserve">Автор утверждает, что государство нарушило его права по статьям 19 и 21, взятым в совокупности с пунктом 2 статьи 2 Пакта, поскольку власти не позволили ему принять участие в мирном мероприятии по почтению памяти.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3.2</w:t>
      </w:r>
      <w:r w:rsidRPr="00F25F12">
        <w:tab/>
        <w:t xml:space="preserve">Автор утверждает, что ограничения на проведение публичных мероприятий не были оправданы соображениями охраны государственной безопасности, общественного порядка, здоровья или нравственности населения либо уважения прав и свобод других лиц. Он утверждает, что требование о получении предварительного </w:t>
      </w:r>
      <w:r w:rsidRPr="00F25F12">
        <w:lastRenderedPageBreak/>
        <w:t>разрешения на организацию собраний, содержащееся в Законе о массовых мероприятиях, и ограничения на проведение собраний, допускающие их организацию только в специально отведенном месте, которые предусмотрены в решении</w:t>
      </w:r>
      <w:r>
        <w:t> </w:t>
      </w:r>
      <w:r w:rsidRPr="00F25F12">
        <w:t>№</w:t>
      </w:r>
      <w:r>
        <w:t> </w:t>
      </w:r>
      <w:r w:rsidRPr="00F25F12">
        <w:t xml:space="preserve">717 Свислочского райисполкома от 10 ноября 2011 года о выделении мест для проведения публичных собраний в Свислоче, не представляют собой допустимых ограничений для целей статей 19 и 21 Пакта.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3.3</w:t>
      </w:r>
      <w:r w:rsidRPr="00F25F12">
        <w:tab/>
        <w:t>Автор утверждает, что, ратифицировав Пакт, государство-участник взяло на себя в соответствии с его статьей 2 обязательство уважать все перечисленные в Пакте индивидуальные права и обеспечивать их соблюдение, а также принимать такие законодательные или другие меры, которые могут оказаться необходимыми для осуществления прав, признаваемых в Пакте. Однако государство-участник не выполняет свои обязательства по пункту 2 статьи 2, взятому в совокупности со статьями 19 и 21 Пакта, поскольку Закон о массовых мероприятиях содержит расплывчатые и неоднозначные положения. Например, статья 9 этого закона наделяет местные исполнительные органы дискреционным полномочием определять конкретные постоянные места для организации мирных собраний без всякого обоснования.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3.4</w:t>
      </w:r>
      <w:r w:rsidRPr="00F25F12">
        <w:tab/>
        <w:t>В этой связи автор просит Комитет рекомендовать государству-участнику привести свое законодательство, в особенности Закон о массовых мероприятиях и решение № 717 Свислочского райисполкома, в соответствие с международными нормами, предусмотренными в статьях 19 и 21 Пакта.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Замечания государства-участника относительно приемлемости сообщения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4.1</w:t>
      </w:r>
      <w:r w:rsidRPr="00F25F12">
        <w:tab/>
        <w:t>22 января 2013 года государство-участник указало на то, что, став участником Факультативного протокола, оно в соответствии с его статьей 1 выразило согласие на признание компетенции Комитета принимать и рассматривать сообщения от находящихся под его юрисдикцией лиц, утверждающих, что они являются жертвами нарушения государством-участником какого-либо из прав, защищаемых Пактом. Государство-участник оспорило широкое толкование Комитетом Факультативного протокола и в этой связи выразило обеспокоенность по поводу неисчерпанности внутренних средств правовой защиты в момент регистрации индивидуальных сообщений и регистрации дел, представленных третьими сторонами. Оно заявило, что Комитет не обладает неограниченным полномоч</w:t>
      </w:r>
      <w:r w:rsidR="0089674D">
        <w:t>и</w:t>
      </w:r>
      <w:r w:rsidRPr="00F25F12">
        <w:t>ем для широкого толкования Пакта. В</w:t>
      </w:r>
      <w:r>
        <w:t> </w:t>
      </w:r>
      <w:r w:rsidRPr="00F25F12">
        <w:t xml:space="preserve">этой связи государство-участник просило Комитет прекратить регистрацию индивидуальных сообщений в нарушение требований Факультативного протокола.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4.2</w:t>
      </w:r>
      <w:r w:rsidRPr="00F25F12">
        <w:tab/>
        <w:t>Государство-участник также проинформировало Комитет о том, что оно не будет отвечать на какую</w:t>
      </w:r>
      <w:r w:rsidR="00F511C8">
        <w:t>-</w:t>
      </w:r>
      <w:r w:rsidRPr="00F25F12">
        <w:t>либо корреспонденцию по поводу зарегистрированных в нарушение Факультативного протокола сообщений ни в части вопроса о приемлемости, ни в части вопросов существа.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Комментарии автора к замечаниям государства-участника в отношении приемлемости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5.1</w:t>
      </w:r>
      <w:r w:rsidRPr="00F25F12">
        <w:tab/>
        <w:t>В письме от 27 октября 2015 года автор прокомментировал замечания государства-участника относительно приемлемости сообщения. Ссылаясь на правовую практику Комитета, он отметил, что подача ходатайства о пересмотре в порядке надзора в Генеральную прокуратуру не является эффективным средством правовой защиты. Он добавляет, что эта процедура осуществляется по усмотрению прокурора и не влечет за собой рассмотрения дела по существу. В заключение он утверждает, что все имеющиеся эффективные внутренние средства правовой защиты по его делу исчерпаны.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5.2</w:t>
      </w:r>
      <w:r w:rsidRPr="00F25F12">
        <w:tab/>
        <w:t xml:space="preserve">Ссылаясь на замечания государства-участника относительно широкого толкования Пакта, автор отмечает, что государство-участник обязано следовать не только правилам и процедурам Комитета, но и его всеобъемлющему толкованию основных положений Пакта, отраженному в замечаниях общего порядка Комитета. 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Отсутствие сотрудничества со стороны государства-участника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6.1</w:t>
      </w:r>
      <w:r w:rsidRPr="00F25F12">
        <w:tab/>
        <w:t xml:space="preserve">Комитет принимает к сведению утверждение государства-участника об отсутствии каких-либо правовых оснований для рассмотрения сообщения автора </w:t>
      </w:r>
      <w:r w:rsidRPr="00F25F12">
        <w:lastRenderedPageBreak/>
        <w:t>ввиду того, что оно было зарегистрировано в нарушение положений Факультативного протокола, а также о том, что если Комитет примет какое-либо решение по данному сообщению, то государство-участник дистанцируется от Соображений Комитета.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6.2</w:t>
      </w:r>
      <w:r w:rsidRPr="00F25F12">
        <w:tab/>
        <w:t>Комитет напоминает, что пункт 2 статьи 39 Пакта уполномочивает его устанавливать свои собственные правила процедуры, которые государства-участники согласились признавать. Он далее отмечает, что, присоединяясь к Факультативному протоколу, государство – участник Пакта признает компетенцию Комитета получать и рассматривать сообщения лиц, утверждающих, что они являются жертвами нарушения любого из прав, изложенных в Пакте (преамбула и статья</w:t>
      </w:r>
      <w:r>
        <w:t> </w:t>
      </w:r>
      <w:r w:rsidRPr="00F25F12">
        <w:t xml:space="preserve">1 Факультативного протокола). Комитет напоминает о своей практике, закрепленной в пункте b) правила 99 его правил процедуры, согласно которой отдельные лица могут быть представлены лицом по своему выбору при условии, что такой представитель наделен надлежащими полномочиями. Из присоединения государства к Факультативному протоколу косвенно вытекает его обязанность добросовестно сотрудничать с Комитетом с тем, чтобы он мог рассматривать такие сообщения и после их изучения направлять свои соображения государству-участнику и соответствующему лицу (пункты 1 и 4 статьи 5). Правила процедуры обеспечивают государству-участнику Факультативного протокола все возможности для представления своей позиции по вопросу о приемлемости и по существу дела, переданного на рассмотрение Комитета.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6.3</w:t>
      </w:r>
      <w:r w:rsidRPr="00F25F12">
        <w:tab/>
        <w:t>С этими обязательствами несовместимы любые действия государства-участника, которые будут мешать или препятствовать Комитету в рассмотрении и изучении сообщения, а также в формулировании им своих соображений</w:t>
      </w:r>
      <w:r w:rsidRPr="00F25F12">
        <w:rPr>
          <w:rStyle w:val="aa"/>
        </w:rPr>
        <w:footnoteReference w:id="7"/>
      </w:r>
      <w:r w:rsidRPr="00F25F12">
        <w:t>. Комитет уполномочен самостоятельно определять, следует ли ему регистрировать то или иное сообщение. Комитет отмечает, что, не признавая его компетенцию решать, регистрировать сообщение или нет, и заранее заявляя, что оно не согласится с решением Комитета относительно приемлемости сообщения или по его существу, государство-участник нарушает свои обязательства по статье 1 Факультативного протокола.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Вопросы и процедура их рассмотрения в Комитете</w:t>
      </w:r>
    </w:p>
    <w:p w:rsidR="00B56DB2" w:rsidRPr="00F25F12" w:rsidRDefault="00B56DB2" w:rsidP="00B56DB2">
      <w:pPr>
        <w:pStyle w:val="H4G"/>
        <w:spacing w:line="240" w:lineRule="auto"/>
      </w:pPr>
      <w:r w:rsidRPr="00F25F12">
        <w:tab/>
      </w:r>
      <w:r w:rsidRPr="00F25F12">
        <w:tab/>
      </w:r>
      <w:r w:rsidRPr="00F25F12">
        <w:rPr>
          <w:iCs/>
        </w:rPr>
        <w:t>Рассмотрение вопроса о приемлемости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7.1</w:t>
      </w:r>
      <w:r w:rsidRPr="00F25F12">
        <w:tab/>
        <w:t>Прежде чем рассматривать какую-либо жалобу, содержащуюся в сообщении, Комитет должен согласно правилу 97 своих правил процедуры решить вопрос о том, является ли данное сообщение приемлемым в соответствии с Факультативным протоколом.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7.2</w:t>
      </w:r>
      <w:r w:rsidRPr="00F25F12">
        <w:tab/>
        <w:t>Следуя пункту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7.3</w:t>
      </w:r>
      <w:r w:rsidRPr="00F25F12">
        <w:tab/>
        <w:t>Комитет принимает к сведению утверждение государства-участника о том, что автор не исчерпал всех внутренних средств правовой защиты. Он отмечает, что единственным возможным для автора средством правовой защиты после отклонения его апелляции Гродненским областным судом было бы обращение в Генеральную прокуратуру или Верховный суд в рамках процедуры надзорного пересмотра. В этой связи Комитет ссылается на свою правовую практику, согласно которой обращение в прокуратуру с ходатайством о пересмотре вступивших в законную силу судебных решений не является эффективным средством правовой защиты, которое должно быть исчерпано для целей пункта 2 b) статьи 5 Факультативного протокола</w:t>
      </w:r>
      <w:r w:rsidRPr="00F25F12">
        <w:rPr>
          <w:rStyle w:val="aa"/>
        </w:rPr>
        <w:footnoteReference w:id="8"/>
      </w:r>
      <w:r w:rsidRPr="00F25F12">
        <w:t xml:space="preserve">. Кроме того, государство-участник не представило примеров, доказывающих, что надзорное производство по пересмотру решений в Верховном суде может принести эффективную помощь в делах, касающихся свободы выражения мнений и собраний, </w:t>
      </w:r>
      <w:r w:rsidRPr="00F25F12">
        <w:lastRenderedPageBreak/>
        <w:t>а</w:t>
      </w:r>
      <w:r>
        <w:t> </w:t>
      </w:r>
      <w:r w:rsidRPr="00F25F12">
        <w:t xml:space="preserve">именно в делах, аналогичных тому, о котором идет речь. Следовательно, Комитет считает, что требования пункта 2 b) статьи 5 Факультативного протокола не препятствуют рассмотрению им настоящего сообщения.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7.4</w:t>
      </w:r>
      <w:r w:rsidRPr="00F25F12">
        <w:tab/>
        <w:t>Комитет далее отмечает утверждение автора о том, что были нарушены его права, предусмотренные статьями 19 и 21, взятыми в совокупности с пунктом</w:t>
      </w:r>
      <w:r w:rsidR="001F4312">
        <w:t> </w:t>
      </w:r>
      <w:r w:rsidRPr="00F25F12">
        <w:t>2 статьи</w:t>
      </w:r>
      <w:r w:rsidR="001F4312">
        <w:t> </w:t>
      </w:r>
      <w:r w:rsidRPr="00F25F12">
        <w:t>2 Пакта. Комитет напоминает о своей правовой практике, которая указывает на то, что положения статьи 2 Пакта отражают общее обязательство государств-участников и сами по себе, при раздельных ссылках на них, не могут служить основанием для формулирования в сообщении какой-либо претензии в соответствии с Факультативным протоколом</w:t>
      </w:r>
      <w:r w:rsidRPr="00F25F12">
        <w:rPr>
          <w:rStyle w:val="aa"/>
        </w:rPr>
        <w:footnoteReference w:id="9"/>
      </w:r>
      <w:r w:rsidRPr="00F25F12">
        <w:t>. Комитет также считает, что на положения статьи</w:t>
      </w:r>
      <w:r>
        <w:t> </w:t>
      </w:r>
      <w:r w:rsidRPr="00F25F12">
        <w:t>2 нельзя ссылаться как на основание для жалобы в том или ином сообщении по Факультативному протоколу, сочетая их с другими положениями Пакта, кроме тех случаев, когда несоблюдение государством-участником своих обязательств по статье</w:t>
      </w:r>
      <w:r w:rsidR="00F511C8">
        <w:t> </w:t>
      </w:r>
      <w:r w:rsidRPr="00F25F12">
        <w:t>2 является непосредственной причиной отдельного нарушения Пакта, прямо затрагивающего лицо, которое утверждает, что является жертвой. Вместе с тем Комитет отмечает, что автор уже заявлял о нарушении его прав по статьям 19 и 21 как результате толкования и применения существующих законов государства-участника, и Комитет не считает, что рассмотрение вопроса о том, нарушило ли государство-участник еще и свои общие обязательства по пункту 2 статьи 2 Пакта, взятому в совокупности со статьями 19 и 21, должно вестись отдельно от рассмотрения нарушения прав автора по статьям 19 и 21 Пакта. Поэтому Комитет приходит к выводу, что претензии автора на этот счет несовместимы со статьей 2 Пакта и являются неприемлемыми по смыслу статьи 3 Факультативного протокола.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7.5</w:t>
      </w:r>
      <w:r w:rsidRPr="00F25F12">
        <w:tab/>
        <w:t>Комитет полагает, что автор в достаточной степени обосновал свои утверждения по статьям 19 и 21 Пакта для целей приемлемости своего сообщения. Поэтому он объявляет сообщение приемлемым и переходит к его рассмотрению по существу.</w:t>
      </w:r>
    </w:p>
    <w:p w:rsidR="00B56DB2" w:rsidRPr="00F25F12" w:rsidRDefault="00B56DB2" w:rsidP="00B56DB2">
      <w:pPr>
        <w:pStyle w:val="H4G"/>
        <w:spacing w:line="240" w:lineRule="auto"/>
      </w:pPr>
      <w:r w:rsidRPr="00F25F12">
        <w:tab/>
      </w:r>
      <w:r w:rsidRPr="00F25F12">
        <w:tab/>
      </w:r>
      <w:r w:rsidRPr="00F25F12">
        <w:rPr>
          <w:iCs/>
        </w:rPr>
        <w:t>Рассмотрение по существу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8.1</w:t>
      </w:r>
      <w:r w:rsidRPr="00F25F12">
        <w:tab/>
        <w:t>В соответствии с пунктом 1 статьи 5 Факультативного протокола Комитет рассмотрел сообщение с учетом всей информации, предоставленной ему сторонами.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8.2</w:t>
      </w:r>
      <w:r w:rsidRPr="00F25F12">
        <w:tab/>
        <w:t>Комитет принимает к сведению утверждение автора о том, что его задержание и осуждение за участие в мирной демонстрации, проведенной без предварительного разрешения, представляют собой неоправданное ограничение его прав на свободу выражения мнений и свободу собраний, защищаемых пунктом 2 статьи 19 и статьей</w:t>
      </w:r>
      <w:r w:rsidR="007C7485">
        <w:t> </w:t>
      </w:r>
      <w:r w:rsidRPr="00F25F12">
        <w:t xml:space="preserve">21 Пакта. Следовательно, Комитет должен рассмотреть вопрос о том, оправданно ли согласно какому-либо из критериев, изложенных в пункте 3 статьи 19 и во втором предложении статьи 21 Пакта, ограничение прав автора в настоящем деле.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8.3</w:t>
      </w:r>
      <w:r w:rsidRPr="00F25F12">
        <w:tab/>
        <w:t>Комитет напоминает, что пункт 3 статьи 19 Пакта допускает некоторые ограничения, но только те,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(ordre public) либо здоровья и нравственности населения. Комитет ссылается на свое замечание общего порядка № 34 (2011) о свободе мнений и их выражения, в котором отмечается, что эти свободы являются необходимыми условиями для всестороннего развития личности и имеют важнейшее значение для любого общества. Они являются основополагающими элементами любого свободного и демократического общества. Любое ограничение в отношении осуществления этих свобод должно соответствовать строгим критериям необходимости и соразмерности</w:t>
      </w:r>
      <w:r w:rsidRPr="00F25F12">
        <w:rPr>
          <w:rStyle w:val="aa"/>
        </w:rPr>
        <w:footnoteReference w:id="10"/>
      </w:r>
      <w:r w:rsidRPr="00F25F12">
        <w:t>. Ограничения должны применяться только для тех целей, для которых они были предписаны, и должны быть непосредственно связаны с конкретной потребностью, для удовлетворения которой они были предназначены. Комитет напоминает, что именно государство-участник должно продемонстрировать, что ограничения прав автора по статье 19 являются необходимыми и соразмерными</w:t>
      </w:r>
      <w:r w:rsidRPr="00F25F12">
        <w:rPr>
          <w:rStyle w:val="aa"/>
        </w:rPr>
        <w:footnoteReference w:id="11"/>
      </w:r>
      <w:r w:rsidRPr="00F25F12">
        <w:t>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lastRenderedPageBreak/>
        <w:t>8.4</w:t>
      </w:r>
      <w:r w:rsidRPr="00F25F12">
        <w:tab/>
        <w:t>Аналогичным образом в отсутствие какой-либо актуальной информации от государства-участника, которая обосновывала бы ограничения, налагаемые на положения пункта 3 статьи 19 Пакта, Комитет приходит к выводу о нарушении прав автора по пункту 2 статьи 19 Пакта.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8.5</w:t>
      </w:r>
      <w:r w:rsidRPr="00F25F12">
        <w:tab/>
        <w:t xml:space="preserve">Комитет также напоминает, что право на мирные собрания является </w:t>
      </w:r>
      <w:r w:rsidR="007C7485">
        <w:t>–</w:t>
      </w:r>
      <w:r w:rsidRPr="00F25F12">
        <w:t xml:space="preserve"> как гарантировано статьей 21 Пакта </w:t>
      </w:r>
      <w:r w:rsidR="007C7485">
        <w:t>–</w:t>
      </w:r>
      <w:r w:rsidRPr="00F25F12">
        <w:t xml:space="preserve"> фундаментальным правом человека, которое имеет существенное значение для публичного выражения чьих-то взглядов и мнений и незаменимо в демократическом обществе. Это право дает возможность организации мирного собрания и участия в нем, включая право на собрание без шествия (например, на пикет) в общественном месте. Организаторы собрания обычно имеют право выбирать место в пределах видимости и слышимости их целевой аудитории, а</w:t>
      </w:r>
      <w:r w:rsidR="007C7485">
        <w:t> </w:t>
      </w:r>
      <w:r w:rsidRPr="00F25F12">
        <w:t>ограничения этого права недопустимы, за исключением случаев, когда они устанавливаются в соответствии с законом и являются необходимыми в демократическом обществе в интересах охраны государственной или общественной безопасности, общественного порядка или защиты здоровья и нравственности населения либо прав и свобод других лиц. Государство-участник, таким образом, обязано обосновать ограничение права, защищаемого статьей 21 Пакта</w:t>
      </w:r>
      <w:r w:rsidRPr="00F25F12">
        <w:rPr>
          <w:rStyle w:val="aa"/>
        </w:rPr>
        <w:footnoteReference w:id="12"/>
      </w:r>
      <w:r w:rsidRPr="00F25F12">
        <w:t>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8.6</w:t>
      </w:r>
      <w:r w:rsidRPr="00F25F12">
        <w:tab/>
        <w:t>Комитет принимает к сведению утверждения автора о том, что он был задержан и доставлен в отделение милиции за участие в мирной, но несанкционированной демонстрации и за ношение неразрешенного красно-белого флага в Свислоче. Позднее он получил административный штраф за нарушение статьи 23.34</w:t>
      </w:r>
      <w:r w:rsidR="007C7485">
        <w:t xml:space="preserve"> </w:t>
      </w:r>
      <w:r w:rsidRPr="00F25F12">
        <w:t xml:space="preserve">(1) Кодекса об административных правонарушениях.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8.7</w:t>
      </w:r>
      <w:r w:rsidRPr="00F25F12">
        <w:tab/>
        <w:t>Комитет принимает к сведению утверждение автора о том, что он не просил предварительного разрешения на участие в демонстрации из-за жесткого режима, установленного Законом о массовых мероприятиях, который налагает необоснованные ограничения на право, гарантируемое статьей 21 Пакта. Комитет напоминает, что, устанавливая ограничения на право на мирные собрания, государство-участник должно руководствоваться целью содействовать осуществлению этого права, а не налагать на него ненужные или несоразмерные ограничения</w:t>
      </w:r>
      <w:r w:rsidRPr="00F25F12">
        <w:rPr>
          <w:rStyle w:val="aa"/>
        </w:rPr>
        <w:footnoteReference w:id="13"/>
      </w:r>
      <w:r w:rsidRPr="00F25F12">
        <w:t>. В этой связи Комитет отмечает, что, хотя ограничения, наложенные в связи с делом автора сообщения, соответствовали закону, государство-участник не пыталось объяснить, почему такие ограничения были необходимы и были ли они соразмерны одной из законных целей, изложенных во втором предложении статьи</w:t>
      </w:r>
      <w:r>
        <w:t> </w:t>
      </w:r>
      <w:r w:rsidRPr="00F25F12">
        <w:t xml:space="preserve">21 Пакта. Государство-участник также не пояснило, каким образом на практике в данном случае участие автора в мирной демонстрации, в которой приняло участие лишь небольшое число лиц, могло нарушить права и свободы других лиц или создать угрозу в том, что касается охраны государственной безопасности, общественного порядка или здоровья и нравственности населения. Комитет отмечает, что государство-участник должно обосновать, почему задержание автора и наложение на него административного штрафа были необходимы и соразмерны с точки зрения этой цели. Следовательно, в отсутствие каких-либо разъяснений по существу от государства-участника Комитет считает необходимым придать утверждениям автора должный вес.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8.8</w:t>
      </w:r>
      <w:r w:rsidRPr="00F25F12">
        <w:tab/>
        <w:t>Комитет отмечает, что автор был задержан и подвергнут административному штрафу в соответствии с пунктом 1 статьи 23.34 Кодекса об административных правонарушениях за участие в несанкционированной демонстрации. Как отмечает Комитет, Свислочский районный суд установил, что автор нарушил статьи 5 и 11 Закона о массовых мероприятиях, которые предусматривают, что все публичные собрания, митинги, шествия, демонстрации и пикеты должны проводиться с предварительного разрешения властей, а использование флагов или вымпелов должно быть зарегистрировано в установленном порядке. Комитет отмечает, что государство-участник не смогло доказать, что задержание автора и наложенный на него штраф, хотя и основывались на законе, были необходимыми и соразмерными для достижения одной из законных целей, предусмотренных во втором предложении статьи 21 Пакта. Соответственно, Комитет приходит к выводу, что представленные ему факты свидетельствуют о нарушении государством-участником прав автора, предусмотренных статьей 21 Пакта.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lastRenderedPageBreak/>
        <w:t>9.</w:t>
      </w:r>
      <w:r w:rsidRPr="00F25F12">
        <w:tab/>
        <w:t>Комитет, действуя в соответствии с пунктом 4 статьи 5 Факультативного протокола, считает, что представленные ему факты указывают на нарушение государством-участником прав автора, предусмотренных пунктом 2 статьи 19 и статьей 21 Пакта. Комитет еще раз подтверждает свой вывод о том, что государство-участник также нарушило свои обязательства по статье 1 Факультативного протокола.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10.</w:t>
      </w:r>
      <w:r w:rsidRPr="00F25F12">
        <w:tab/>
        <w:t xml:space="preserve">В соответствии с пунктом 3 а) статьи 2 Пакта государство-участник обязано обеспечить автору эффективные средства правовой защиты. Это требует от него предоставления полного возмещения лицам, чьи права, гарантируемые Пактом, были нарушены. Соответственно, государство-участник обязано, среди прочего, предпринять соответствующие шаги для того, чтобы а) предоставить автору надлежащую компенсацию; и b) предпринять шаги для предотвращения подобных нарушений в будущем. В этой связи Комитет повторяет, что государству-участнику следует пересмотреть свое законодательство в соответствии со своим обязательством по пункту 2 статьи 2, в частности Закон о массовых мероприятиях и решение № 717 Свислочского райисполкома, которые были применены в настоящем деле, с целью обеспечить, чтобы в государстве-участнике можно было в полной мере пользоваться правами, закрепленными в статьях 19 и 21 Пакта. </w:t>
      </w:r>
    </w:p>
    <w:p w:rsidR="00B56DB2" w:rsidRDefault="00B56DB2" w:rsidP="00B56DB2">
      <w:pPr>
        <w:pStyle w:val="SingleTxtG"/>
        <w:spacing w:line="240" w:lineRule="auto"/>
      </w:pPr>
      <w:r w:rsidRPr="00F25F12">
        <w:t>11.</w:t>
      </w:r>
      <w:r w:rsidRPr="00F25F12"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</w:t>
      </w:r>
      <w:r w:rsidR="00F511C8">
        <w:t> </w:t>
      </w:r>
      <w:r w:rsidRPr="00F25F12">
        <w:t>дней информацию о мерах, принятых во исполнение настоящих Соображений Комитета. К</w:t>
      </w:r>
      <w:r w:rsidR="00F511C8">
        <w:t> </w:t>
      </w:r>
      <w:r w:rsidRPr="00F25F12">
        <w:t>государству-участнику также обращается просьба опубликовать настоящие Соображения и обеспечить их широкое распространение на официальных языках государства-участника.</w:t>
      </w:r>
    </w:p>
    <w:p w:rsidR="00B56DB2" w:rsidRDefault="00B56DB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463810" w:rsidRDefault="00463810" w:rsidP="00B56DB2">
      <w:pPr>
        <w:pStyle w:val="HChG"/>
        <w:spacing w:line="240" w:lineRule="auto"/>
        <w:rPr>
          <w:bCs/>
          <w:sz w:val="20"/>
        </w:rPr>
        <w:sectPr w:rsidR="00463810" w:rsidSect="008666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B56DB2" w:rsidRPr="00F25F12" w:rsidRDefault="00B56DB2" w:rsidP="00F53C4A">
      <w:pPr>
        <w:pStyle w:val="HChG"/>
      </w:pPr>
      <w:r w:rsidRPr="00F25F12">
        <w:lastRenderedPageBreak/>
        <w:t>Приложение</w:t>
      </w:r>
    </w:p>
    <w:p w:rsidR="00B56DB2" w:rsidRPr="00F25F12" w:rsidRDefault="00B56DB2" w:rsidP="00F53C4A">
      <w:pPr>
        <w:pStyle w:val="HChG"/>
      </w:pPr>
      <w:r w:rsidRPr="00F25F12">
        <w:tab/>
      </w:r>
      <w:r w:rsidRPr="00F25F12">
        <w:tab/>
        <w:t>Особое мнение члена Комитета Гентиана Зюбери (частично несогласное)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1.</w:t>
      </w:r>
      <w:r w:rsidRPr="00F25F12">
        <w:tab/>
        <w:t>Я не согласен с выводом Комитета о нарушении статей 19 и 21. Мое несогласие связано с решением Комитета не рассматривать жалобу автора на нарушение статей</w:t>
      </w:r>
      <w:r w:rsidR="00F53C4A">
        <w:t> </w:t>
      </w:r>
      <w:r w:rsidRPr="00F25F12">
        <w:t>19 и 21, взятых в совокупности с пунктом 2 статьи 2 Пакта (пункт 3.1).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Позиция Комитета по жалобе в отношении статьи 2</w:t>
      </w:r>
      <w:r w:rsidR="00C17725">
        <w:rPr>
          <w:bCs/>
        </w:rPr>
        <w:t xml:space="preserve"> </w:t>
      </w:r>
      <w:r w:rsidRPr="00F25F12">
        <w:rPr>
          <w:bCs/>
        </w:rPr>
        <w:t>(2)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2.</w:t>
      </w:r>
      <w:r w:rsidRPr="00F25F12">
        <w:tab/>
        <w:t>Во-первых, в пункте 7.4 Комитет указывает на то, что положения статьи 2 Пакта отражают общее обязательство государств-участников и сами по себе, при раздельных ссылках на них, не могут служить основанием для формулирования в сообщении какой-либо претензии в соответствии с Факультативным протоколом</w:t>
      </w:r>
      <w:r w:rsidRPr="00F25F12">
        <w:rPr>
          <w:rStyle w:val="aa"/>
        </w:rPr>
        <w:footnoteReference w:id="14"/>
      </w:r>
      <w:r w:rsidRPr="00F25F12">
        <w:t>. Далее Комитет поясняет, что, по его мнению,</w:t>
      </w:r>
      <w:r w:rsidR="00B769D8">
        <w:t xml:space="preserve"> «</w:t>
      </w:r>
      <w:r w:rsidRPr="00F25F12">
        <w:t>на положения статьи 2 нельзя ссылаться как на основание для жалобы в том или ином сообщении по Факультативному протоколу, сочетая их с другими положениями Пакта, кроме тех случаев, когда несоблюдение государством-участником своих обязательств по статье 2 является непосредственной причиной отдельного нарушения Пакта, прямо затрагивающего лицо, которое утверждает, что является жертвой</w:t>
      </w:r>
      <w:r w:rsidR="00B769D8">
        <w:t>»</w:t>
      </w:r>
      <w:r w:rsidRPr="00F25F12">
        <w:t xml:space="preserve">. Наконец, в связи с тем, что заявитель утверждал о нарушении его прав по статьям 19 и 21, Комитет отказался от рассмотрения вопроса о том, нарушило ли государство-участник также пункт 2 статьи 2 Пакта, </w:t>
      </w:r>
      <w:r w:rsidR="00F53C4A">
        <w:br/>
      </w:r>
      <w:r w:rsidRPr="00F25F12">
        <w:t>как несовместимого со статьей 2 Пакта и неприемлемого согласно статье</w:t>
      </w:r>
      <w:r w:rsidR="00F53C4A">
        <w:t> </w:t>
      </w:r>
      <w:r w:rsidRPr="00F25F12">
        <w:t xml:space="preserve">3 Факультативного протокола. 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Моя позиция по жалобе по статье 2</w:t>
      </w:r>
      <w:r w:rsidR="00B769D8">
        <w:rPr>
          <w:bCs/>
        </w:rPr>
        <w:t xml:space="preserve"> </w:t>
      </w:r>
      <w:r w:rsidRPr="00F25F12">
        <w:rPr>
          <w:bCs/>
        </w:rPr>
        <w:t>(2)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3.</w:t>
      </w:r>
      <w:r w:rsidRPr="00F25F12">
        <w:tab/>
        <w:t>В отличие от Комитета, я считаю, что при поднятии вопроса о нарушении пункта 2 статьи 2 в связи с материальными правами такое нарушение следует рассматривать при условии соблюдения правового критерия и правовых указаний, разработанных Комитетом в его правовой практике, прежде всего в его прецедентной практике, а также в его замечаниях общего порядка и заключительных замечаниях. Другие коллеги, которые работали в Комитете, приняли и разъяснили эту точку зрения в различных случаях и контекстах</w:t>
      </w:r>
      <w:r w:rsidRPr="00F25F12">
        <w:rPr>
          <w:rStyle w:val="aa"/>
        </w:rPr>
        <w:footnoteReference w:id="15"/>
      </w:r>
      <w:r w:rsidRPr="00F25F12">
        <w:t>.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4.</w:t>
      </w:r>
      <w:r w:rsidRPr="00F25F12">
        <w:tab/>
        <w:t>В пункте 2 статьи 2 закреплено основополагающее обязательство государства-участника, согласно которому каждое участвующее в Пакте государство обязуется, если это еще не предусмотрено существующими законодательными или иными мерами, предпринять в соответствии со своими конституционными процедурами и положениями Пакта необходимые шаги для принятия таких законов или других мер, которые могут оказаться необходимыми для осуществления признаваемых в Пакте прав. Государству-участнику следует создать внутреннюю правовую базу и внедрить соответствующую правовую и административную практику, которые обеспечивали бы соблюдение положений Пакта. В отсутствие такой внутренней правовой базы и практики государство-участник находилось бы в состоянии нарушения своих обязательств по Пакту, и проблема, с которой сталкиваются затрагиваемые лица, подпадающие под юрисдикцию этого государства-участника и Комитета как наблюдательного органа, носила бы системный характер.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lastRenderedPageBreak/>
        <w:tab/>
      </w:r>
      <w:r w:rsidRPr="00F25F12">
        <w:tab/>
      </w:r>
      <w:r w:rsidRPr="00F25F12">
        <w:rPr>
          <w:bCs/>
        </w:rPr>
        <w:t>Свобода выражения мнений и право на мирные собрания в Беларуси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5.</w:t>
      </w:r>
      <w:r w:rsidRPr="00F25F12">
        <w:tab/>
        <w:t>За годы работы Комитета в него поступило более 30 дел против Беларуси в связи с нарушениями статей 19 и 21, и по большинству из них, если не по всем, был сделан вывод об их нарушении. Это указывает на существование серьезной системной проблемы, связанной с несоблюдением государством своих обязательств по Пакту. Такое тяжелое положение должно было бы побудить Комитет к рассмотрению вопроса о нарушении пункта 2 статьи 2, взятого в совокупности со статьями 19 и 21, в</w:t>
      </w:r>
      <w:r w:rsidR="00F53C4A">
        <w:t> </w:t>
      </w:r>
      <w:r w:rsidRPr="00F25F12">
        <w:t xml:space="preserve">соответствии с просьбой заявителя.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6.</w:t>
      </w:r>
      <w:r w:rsidRPr="00F25F12">
        <w:tab/>
        <w:t>Даже еще больше к такой оценке в данном деле побуждает то, что собственный правовой критерий Комитета был выполнен. Согласно этому трехкомпонентному критерию, нельзя ссылаться на положения статьи 2, сочетая их с другими положениями Пакта, кроме тех случаев, когда несоблюдение государством-участником своих обязательств по статье 2 является непосредственной причиной нарушения, имеет место отдельное нарушение и соответствующее лицо оказывается затронутым непосредственным образом</w:t>
      </w:r>
      <w:r w:rsidRPr="00F25F12">
        <w:rPr>
          <w:rStyle w:val="aa"/>
        </w:rPr>
        <w:footnoteReference w:id="16"/>
      </w:r>
      <w:r w:rsidRPr="00F25F12">
        <w:t>. В данном случае, во-первых, несоблюдение государством-участником своих обязательств по статье 2 можно рассматривать в качестве непосредственной причины нарушения. Закон о массовых мероприятиях и связанная с ним практика властей Беларуси создали предпосылки для нарушения прав автора сообщения. Во-вторых, имело место отдельное нарушение прав автора, предусмотренных статьями 19 и 21 Пакта (пункты 8.4 и 8.8). И наконец, в-третьих, автор был затронут непосредственным образом. Нарушение его прав по статьям</w:t>
      </w:r>
      <w:r w:rsidR="00F53C4A">
        <w:t> </w:t>
      </w:r>
      <w:r w:rsidRPr="00F25F12">
        <w:t>19 и</w:t>
      </w:r>
      <w:r w:rsidR="00F53C4A">
        <w:t> </w:t>
      </w:r>
      <w:r w:rsidRPr="00F25F12">
        <w:t xml:space="preserve">21 носило не теоретический или абстрактный характер, а прямой и персональный. </w:t>
      </w:r>
    </w:p>
    <w:p w:rsidR="00B56DB2" w:rsidRPr="00F25F12" w:rsidRDefault="00B56DB2" w:rsidP="00B56DB2">
      <w:pPr>
        <w:pStyle w:val="SingleTxtG"/>
        <w:spacing w:line="240" w:lineRule="auto"/>
      </w:pPr>
      <w:r w:rsidRPr="00F25F12">
        <w:t>7.</w:t>
      </w:r>
      <w:r w:rsidRPr="00F25F12">
        <w:tab/>
        <w:t>В разделе, посвященном средствам правовой защиты, Комитет правильно повторяет, что государству-участнику следует пересмотреть свое законодательство в соответствии со своим обязательством по пункту 2 статьи 2, в частности Закон о массовых мероприятиях и решение № 717 Свислочского райисполкома, поскольку они были применены в настоящем деле, с целью обеспечить, чтобы в государстве-участнике можно было в полной мере пользоваться правами, закрепленными в статьях</w:t>
      </w:r>
      <w:r w:rsidR="00F511C8">
        <w:t> </w:t>
      </w:r>
      <w:r w:rsidRPr="00F25F12">
        <w:t>19 и 21 Пакта (пункт 10). Однако, по моему мнению, этот общий вывод в разделе о средствах правовой защиты должен был бы сопровождаться оценкой того, имело ли место нарушение пункта 2 статьи 2 в контексте материальных прав, в разделе Соображений Комитета, посвященном вопросам существа.</w:t>
      </w:r>
    </w:p>
    <w:p w:rsidR="00B56DB2" w:rsidRPr="00F25F12" w:rsidRDefault="00B56DB2" w:rsidP="00B56DB2">
      <w:pPr>
        <w:pStyle w:val="H23G"/>
        <w:spacing w:line="240" w:lineRule="auto"/>
      </w:pPr>
      <w:r w:rsidRPr="00F25F12">
        <w:tab/>
      </w:r>
      <w:r w:rsidRPr="00F25F12">
        <w:tab/>
      </w:r>
      <w:r w:rsidRPr="00F25F12">
        <w:rPr>
          <w:bCs/>
        </w:rPr>
        <w:t>Заключительные замечания</w:t>
      </w:r>
    </w:p>
    <w:p w:rsidR="00B56DB2" w:rsidRDefault="00B56DB2" w:rsidP="00B56DB2">
      <w:pPr>
        <w:pStyle w:val="SingleTxtG"/>
      </w:pPr>
      <w:r w:rsidRPr="00F25F12">
        <w:t>8.</w:t>
      </w:r>
      <w:r w:rsidRPr="00F25F12">
        <w:tab/>
        <w:t>Как правило, разработанный Комитетом критерий является достаточным для отклонения заявлений, в которых не видны явные системные проблемы, нарушения-предметы жалобы носят абстрактный или непрямой характер либо материалы дела не являются достаточно ясными. Однако Комитету следует проводить тщательную оценку дел, указывающих на закономерный характер нарушений, которые свидетельствуют о наличии системных проблем во внутренней правовой системе и связанной с ней практикой. В будущем Комитету следует рассмотреть вопрос о рассмотрении жалоб на нарушения материальных прав в связи с пунктом</w:t>
      </w:r>
      <w:r w:rsidR="00716284">
        <w:t> </w:t>
      </w:r>
      <w:r w:rsidRPr="00F25F12">
        <w:t>2 статьи</w:t>
      </w:r>
      <w:r w:rsidR="005B4647">
        <w:t> </w:t>
      </w:r>
      <w:r w:rsidRPr="00F25F12">
        <w:t>2, особенно когда об этом конкретно просит податель жалобы и когда его предыдущая правовая практика свидетельствует о наличии системных проблем во внутренней правовой системе и соответствующей практике.</w:t>
      </w:r>
    </w:p>
    <w:p w:rsidR="00381C24" w:rsidRPr="00610559" w:rsidRDefault="00B56DB2" w:rsidP="00B56DB2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10559" w:rsidSect="00463810">
      <w:footnotePr>
        <w:numRestart w:val="eachSect"/>
      </w:footnotePr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A1" w:rsidRPr="00A312BC" w:rsidRDefault="002465A1" w:rsidP="00A312BC"/>
  </w:endnote>
  <w:endnote w:type="continuationSeparator" w:id="0">
    <w:p w:rsidR="002465A1" w:rsidRPr="00A312BC" w:rsidRDefault="002465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15" w:rsidRPr="006B0A15" w:rsidRDefault="006B0A15">
    <w:pPr>
      <w:pStyle w:val="a8"/>
    </w:pPr>
    <w:r w:rsidRPr="006B0A15">
      <w:rPr>
        <w:b/>
        <w:sz w:val="18"/>
      </w:rPr>
      <w:fldChar w:fldCharType="begin"/>
    </w:r>
    <w:r w:rsidRPr="006B0A15">
      <w:rPr>
        <w:b/>
        <w:sz w:val="18"/>
      </w:rPr>
      <w:instrText xml:space="preserve"> PAGE  \* MERGEFORMAT </w:instrText>
    </w:r>
    <w:r w:rsidRPr="006B0A15">
      <w:rPr>
        <w:b/>
        <w:sz w:val="18"/>
      </w:rPr>
      <w:fldChar w:fldCharType="separate"/>
    </w:r>
    <w:r w:rsidR="007260E9">
      <w:rPr>
        <w:b/>
        <w:noProof/>
        <w:sz w:val="18"/>
      </w:rPr>
      <w:t>8</w:t>
    </w:r>
    <w:r w:rsidRPr="006B0A15">
      <w:rPr>
        <w:b/>
        <w:sz w:val="18"/>
      </w:rPr>
      <w:fldChar w:fldCharType="end"/>
    </w:r>
    <w:r>
      <w:rPr>
        <w:b/>
        <w:sz w:val="18"/>
      </w:rPr>
      <w:tab/>
    </w:r>
    <w:r>
      <w:t>GE.19-17081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15" w:rsidRPr="006B0A15" w:rsidRDefault="006B0A15" w:rsidP="006B0A15">
    <w:pPr>
      <w:pStyle w:val="a8"/>
      <w:tabs>
        <w:tab w:val="clear" w:pos="9639"/>
        <w:tab w:val="right" w:pos="9638"/>
      </w:tabs>
      <w:rPr>
        <w:b/>
        <w:sz w:val="18"/>
      </w:rPr>
    </w:pPr>
    <w:r>
      <w:t>GE.19-17081</w:t>
    </w:r>
    <w:r>
      <w:tab/>
    </w:r>
    <w:r w:rsidRPr="006B0A15">
      <w:rPr>
        <w:b/>
        <w:sz w:val="18"/>
      </w:rPr>
      <w:fldChar w:fldCharType="begin"/>
    </w:r>
    <w:r w:rsidRPr="006B0A15">
      <w:rPr>
        <w:b/>
        <w:sz w:val="18"/>
      </w:rPr>
      <w:instrText xml:space="preserve"> PAGE  \* MERGEFORMAT </w:instrText>
    </w:r>
    <w:r w:rsidRPr="006B0A15">
      <w:rPr>
        <w:b/>
        <w:sz w:val="18"/>
      </w:rPr>
      <w:fldChar w:fldCharType="separate"/>
    </w:r>
    <w:r w:rsidR="007260E9">
      <w:rPr>
        <w:b/>
        <w:noProof/>
        <w:sz w:val="18"/>
      </w:rPr>
      <w:t>9</w:t>
    </w:r>
    <w:r w:rsidRPr="006B0A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0A15" w:rsidRDefault="006B0A15" w:rsidP="006B0A15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19-17081  (R)</w:t>
    </w:r>
    <w:r w:rsidR="00610559">
      <w:rPr>
        <w:lang w:val="en-US"/>
      </w:rPr>
      <w:t xml:space="preserve">  251119  2</w:t>
    </w:r>
    <w:r w:rsidR="0086665B">
      <w:t>6</w:t>
    </w:r>
    <w:r w:rsidR="00610559">
      <w:rPr>
        <w:lang w:val="en-US"/>
      </w:rPr>
      <w:t>1119</w:t>
    </w:r>
    <w:r>
      <w:br/>
    </w:r>
    <w:r w:rsidRPr="006B0A15">
      <w:rPr>
        <w:rFonts w:ascii="C39T30Lfz" w:hAnsi="C39T30Lfz"/>
        <w:kern w:val="14"/>
        <w:sz w:val="56"/>
      </w:rPr>
      <w:t></w:t>
    </w:r>
    <w:r w:rsidRPr="006B0A15">
      <w:rPr>
        <w:rFonts w:ascii="C39T30Lfz" w:hAnsi="C39T30Lfz"/>
        <w:kern w:val="14"/>
        <w:sz w:val="56"/>
      </w:rPr>
      <w:t></w:t>
    </w:r>
    <w:r w:rsidRPr="006B0A15">
      <w:rPr>
        <w:rFonts w:ascii="C39T30Lfz" w:hAnsi="C39T30Lfz"/>
        <w:kern w:val="14"/>
        <w:sz w:val="56"/>
      </w:rPr>
      <w:t></w:t>
    </w:r>
    <w:r w:rsidRPr="006B0A15">
      <w:rPr>
        <w:rFonts w:ascii="C39T30Lfz" w:hAnsi="C39T30Lfz"/>
        <w:kern w:val="14"/>
        <w:sz w:val="56"/>
      </w:rPr>
      <w:t></w:t>
    </w:r>
    <w:r w:rsidRPr="006B0A15">
      <w:rPr>
        <w:rFonts w:ascii="C39T30Lfz" w:hAnsi="C39T30Lfz"/>
        <w:kern w:val="14"/>
        <w:sz w:val="56"/>
      </w:rPr>
      <w:t></w:t>
    </w:r>
    <w:r w:rsidRPr="006B0A15">
      <w:rPr>
        <w:rFonts w:ascii="C39T30Lfz" w:hAnsi="C39T30Lfz"/>
        <w:kern w:val="14"/>
        <w:sz w:val="56"/>
      </w:rPr>
      <w:t></w:t>
    </w:r>
    <w:r w:rsidRPr="006B0A15">
      <w:rPr>
        <w:rFonts w:ascii="C39T30Lfz" w:hAnsi="C39T30Lfz"/>
        <w:kern w:val="14"/>
        <w:sz w:val="56"/>
      </w:rPr>
      <w:t></w:t>
    </w:r>
    <w:r w:rsidRPr="006B0A15">
      <w:rPr>
        <w:rFonts w:ascii="C39T30Lfz" w:hAnsi="C39T30Lfz"/>
        <w:kern w:val="14"/>
        <w:sz w:val="56"/>
      </w:rPr>
      <w:t></w:t>
    </w:r>
    <w:r w:rsidRPr="006B0A15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7" name="Рисунок 7" descr="https://undocs.org/m2/QRCode.ashx?DS=CCPR/C/126/D/2269/20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269/20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A1" w:rsidRPr="001075E9" w:rsidRDefault="002465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65A1" w:rsidRDefault="002465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6DB2" w:rsidRPr="005C565D" w:rsidRDefault="00B56DB2" w:rsidP="00B56DB2">
      <w:pPr>
        <w:pStyle w:val="ad"/>
      </w:pPr>
      <w:r>
        <w:tab/>
        <w:t>*</w:t>
      </w:r>
      <w:r>
        <w:tab/>
        <w:t>Приняты Комитетом на его 126-й сессии (1</w:t>
      </w:r>
      <w:r w:rsidRPr="008E4E84">
        <w:t>–</w:t>
      </w:r>
      <w:r>
        <w:t>26 июля 2019 года).</w:t>
      </w:r>
    </w:p>
  </w:footnote>
  <w:footnote w:id="2">
    <w:p w:rsidR="00B56DB2" w:rsidRPr="00610559" w:rsidRDefault="00B56DB2" w:rsidP="00B56DB2">
      <w:pPr>
        <w:pStyle w:val="ad"/>
        <w:rPr>
          <w:sz w:val="20"/>
        </w:rPr>
      </w:pPr>
      <w:r w:rsidRPr="008E4E84">
        <w:tab/>
      </w:r>
      <w:r w:rsidRPr="008E4E84">
        <w:rPr>
          <w:rStyle w:val="aa"/>
          <w:sz w:val="20"/>
          <w:vertAlign w:val="baseline"/>
        </w:rPr>
        <w:t>**</w:t>
      </w:r>
      <w:r w:rsidRPr="008E4E84">
        <w:rPr>
          <w:rStyle w:val="aa"/>
          <w:vertAlign w:val="baseline"/>
        </w:rPr>
        <w:tab/>
      </w:r>
      <w:r>
        <w:t>В рассмотрении настоящего сообщения принимали участие следующие члены Комитета: Танья Мария Абдо Рочоль, Яд Бен Ашур, Илзе Брандс Кехрис, Ариф Балкан, Ахмед Амин Фатхалла, Сюити Фуруя, Бамариам Койта, Данкан Лаки Мухумуза, Фотини Пазардзис, Эрнан Кесада Кабрера, Васил</w:t>
      </w:r>
      <w:r w:rsidR="00C447DC">
        <w:t>ь</w:t>
      </w:r>
      <w:r>
        <w:t xml:space="preserve">ка Санцин, Жозе Мануэл Сантуш Паиш,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Андреас </w:t>
      </w:r>
      <w:proofErr w:type="spellStart"/>
      <w:r>
        <w:t>Циммерман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  <w:footnote w:id="3">
    <w:p w:rsidR="00B56DB2" w:rsidRPr="00610559" w:rsidRDefault="00B56DB2" w:rsidP="00B56DB2">
      <w:pPr>
        <w:pStyle w:val="ad"/>
        <w:rPr>
          <w:sz w:val="20"/>
        </w:rPr>
      </w:pPr>
      <w:r w:rsidRPr="008E4E84">
        <w:tab/>
      </w:r>
      <w:r w:rsidRPr="008E4E84">
        <w:rPr>
          <w:rStyle w:val="aa"/>
          <w:sz w:val="20"/>
          <w:vertAlign w:val="baseline"/>
        </w:rPr>
        <w:t>***</w:t>
      </w:r>
      <w:r w:rsidRPr="008E4E84">
        <w:rPr>
          <w:rStyle w:val="aa"/>
          <w:vertAlign w:val="baseline"/>
        </w:rPr>
        <w:tab/>
      </w:r>
      <w:r>
        <w:t>В приложении к настоящим соображениям приводится особое (частично несогласное) мнение члена Комитета Гентиана Зюбери.</w:t>
      </w:r>
    </w:p>
  </w:footnote>
  <w:footnote w:id="4">
    <w:p w:rsidR="00B56DB2" w:rsidRPr="006A28F7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>На титульном листе своей жалобы автор упомянул статью 22, однако в остальной части своего представления он ссылается на статью 21.</w:t>
      </w:r>
    </w:p>
  </w:footnote>
  <w:footnote w:id="5">
    <w:p w:rsidR="00B56DB2" w:rsidRPr="00B56D4A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>Флаг использовался до 1996 года и сейчас многими считается символом оппозиции и его использование на публике запрещено.</w:t>
      </w:r>
    </w:p>
  </w:footnote>
  <w:footnote w:id="6">
    <w:p w:rsidR="00B56DB2" w:rsidRPr="00610559" w:rsidRDefault="00B56DB2" w:rsidP="00B56DB2">
      <w:pPr>
        <w:pStyle w:val="ad"/>
      </w:pPr>
      <w:r w:rsidRPr="008E4E84">
        <w:tab/>
      </w:r>
      <w:r w:rsidRPr="00610559">
        <w:rPr>
          <w:rStyle w:val="aa"/>
        </w:rPr>
        <w:footnoteRef/>
      </w:r>
      <w:r w:rsidRPr="008E4E84">
        <w:tab/>
      </w:r>
      <w:r>
        <w:t>На момент административного слушания 1 старый белорусский рубль был равен приблизительно 352</w:t>
      </w:r>
      <w:r w:rsidRPr="00B56D4A">
        <w:t>$.</w:t>
      </w:r>
    </w:p>
  </w:footnote>
  <w:footnote w:id="7">
    <w:p w:rsidR="00B56DB2" w:rsidRPr="0038767C" w:rsidRDefault="00B56DB2" w:rsidP="00B56DB2">
      <w:pPr>
        <w:pStyle w:val="ad"/>
        <w:rPr>
          <w:szCs w:val="18"/>
        </w:rPr>
      </w:pPr>
      <w:r w:rsidRPr="001D5740">
        <w:tab/>
      </w:r>
      <w:r w:rsidRPr="00610559">
        <w:rPr>
          <w:rStyle w:val="aa"/>
          <w:szCs w:val="18"/>
        </w:rPr>
        <w:footnoteRef/>
      </w:r>
      <w:r w:rsidRPr="0038767C">
        <w:rPr>
          <w:szCs w:val="18"/>
        </w:rPr>
        <w:tab/>
        <w:t>См.</w:t>
      </w:r>
      <w:r w:rsidR="00130245">
        <w:rPr>
          <w:szCs w:val="18"/>
        </w:rPr>
        <w:t xml:space="preserve">, </w:t>
      </w:r>
      <w:r w:rsidRPr="0038767C">
        <w:rPr>
          <w:szCs w:val="18"/>
        </w:rPr>
        <w:t xml:space="preserve">например, </w:t>
      </w:r>
      <w:r w:rsidRPr="00130245">
        <w:rPr>
          <w:iCs/>
          <w:szCs w:val="18"/>
        </w:rPr>
        <w:t>дела</w:t>
      </w:r>
      <w:r w:rsidRPr="0038767C">
        <w:rPr>
          <w:i/>
          <w:iCs/>
          <w:szCs w:val="18"/>
        </w:rPr>
        <w:t xml:space="preserve"> Левинова против Беларуси</w:t>
      </w:r>
      <w:r w:rsidRPr="0038767C">
        <w:rPr>
          <w:szCs w:val="18"/>
        </w:rPr>
        <w:t xml:space="preserve"> (CCPR/C/105/D/1867/2009, 1936/2010, 1975/2010, 1977/2010, 1978/2010, 1979/2010, 1980/2010, 1981/2010 и 2010/2010), пункт 8.2; и</w:t>
      </w:r>
      <w:r w:rsidR="00A0201F">
        <w:rPr>
          <w:szCs w:val="18"/>
        </w:rPr>
        <w:t> </w:t>
      </w:r>
      <w:r w:rsidRPr="0038767C">
        <w:rPr>
          <w:i/>
          <w:iCs/>
          <w:szCs w:val="18"/>
        </w:rPr>
        <w:t>Поплавного против Беларуси</w:t>
      </w:r>
      <w:r w:rsidRPr="0038767C">
        <w:rPr>
          <w:szCs w:val="18"/>
        </w:rPr>
        <w:t xml:space="preserve"> (CCPR/C/115/D/2019/2010), пункт 6.2.</w:t>
      </w:r>
    </w:p>
  </w:footnote>
  <w:footnote w:id="8">
    <w:p w:rsidR="00B56DB2" w:rsidRPr="0038767C" w:rsidRDefault="00B56DB2" w:rsidP="00B56DB2">
      <w:pPr>
        <w:pStyle w:val="ad"/>
        <w:rPr>
          <w:szCs w:val="18"/>
        </w:rPr>
      </w:pPr>
      <w:r w:rsidRPr="001D5740">
        <w:rPr>
          <w:spacing w:val="-1"/>
        </w:rPr>
        <w:tab/>
      </w:r>
      <w:r w:rsidRPr="00610559">
        <w:rPr>
          <w:rStyle w:val="aa"/>
          <w:szCs w:val="18"/>
        </w:rPr>
        <w:footnoteRef/>
      </w:r>
      <w:r w:rsidRPr="0038767C">
        <w:rPr>
          <w:szCs w:val="18"/>
        </w:rPr>
        <w:tab/>
        <w:t xml:space="preserve">См., например, </w:t>
      </w:r>
      <w:r w:rsidRPr="00130245">
        <w:rPr>
          <w:iCs/>
          <w:szCs w:val="18"/>
        </w:rPr>
        <w:t>дела</w:t>
      </w:r>
      <w:r w:rsidRPr="0038767C">
        <w:rPr>
          <w:i/>
          <w:iCs/>
          <w:szCs w:val="18"/>
        </w:rPr>
        <w:t xml:space="preserve"> Алексеева против Российской Федерации</w:t>
      </w:r>
      <w:r w:rsidRPr="0038767C">
        <w:rPr>
          <w:szCs w:val="18"/>
        </w:rPr>
        <w:t xml:space="preserve"> (CCPR/C/109/D/1873/2009), пункт 8.4; </w:t>
      </w:r>
      <w:r w:rsidRPr="0038767C">
        <w:rPr>
          <w:i/>
          <w:iCs/>
          <w:szCs w:val="18"/>
        </w:rPr>
        <w:t>Лозенко против Беларуси</w:t>
      </w:r>
      <w:r w:rsidRPr="0038767C">
        <w:rPr>
          <w:szCs w:val="18"/>
        </w:rPr>
        <w:t xml:space="preserve"> (CCPR/C/112/D/1929/2010), пункт 6.3; и </w:t>
      </w:r>
      <w:r w:rsidRPr="0038767C">
        <w:rPr>
          <w:i/>
          <w:iCs/>
          <w:szCs w:val="18"/>
        </w:rPr>
        <w:t xml:space="preserve">Судаленко против Беларуси </w:t>
      </w:r>
      <w:r w:rsidRPr="0038767C">
        <w:rPr>
          <w:szCs w:val="18"/>
        </w:rPr>
        <w:t>(CCPR/C/115/D/2016/2010), пункт 7.3.</w:t>
      </w:r>
    </w:p>
  </w:footnote>
  <w:footnote w:id="9">
    <w:p w:rsidR="00B56DB2" w:rsidRPr="0038767C" w:rsidRDefault="00B56DB2" w:rsidP="00B56DB2">
      <w:pPr>
        <w:pStyle w:val="ad"/>
        <w:rPr>
          <w:szCs w:val="18"/>
        </w:rPr>
      </w:pPr>
      <w:r w:rsidRPr="0038767C">
        <w:rPr>
          <w:sz w:val="24"/>
          <w:szCs w:val="24"/>
        </w:rPr>
        <w:tab/>
      </w:r>
      <w:r w:rsidRPr="00610559">
        <w:rPr>
          <w:rStyle w:val="aa"/>
          <w:szCs w:val="24"/>
        </w:rPr>
        <w:footnoteRef/>
      </w:r>
      <w:r w:rsidRPr="0038767C">
        <w:rPr>
          <w:sz w:val="24"/>
          <w:szCs w:val="24"/>
        </w:rPr>
        <w:tab/>
      </w:r>
      <w:r w:rsidRPr="0038767C">
        <w:rPr>
          <w:szCs w:val="18"/>
        </w:rPr>
        <w:t>См., например,</w:t>
      </w:r>
      <w:r w:rsidRPr="00130245">
        <w:rPr>
          <w:szCs w:val="18"/>
        </w:rPr>
        <w:t xml:space="preserve"> </w:t>
      </w:r>
      <w:r w:rsidRPr="00130245">
        <w:rPr>
          <w:iCs/>
          <w:szCs w:val="18"/>
        </w:rPr>
        <w:t>дело</w:t>
      </w:r>
      <w:r w:rsidRPr="0038767C">
        <w:rPr>
          <w:i/>
          <w:iCs/>
          <w:szCs w:val="18"/>
        </w:rPr>
        <w:t xml:space="preserve"> Полякова против Беларуси</w:t>
      </w:r>
      <w:r w:rsidRPr="0038767C">
        <w:rPr>
          <w:szCs w:val="18"/>
        </w:rPr>
        <w:t xml:space="preserve"> (CCPR/C/111/D/2030/2011), пункт 7.4.</w:t>
      </w:r>
    </w:p>
  </w:footnote>
  <w:footnote w:id="10">
    <w:p w:rsidR="00B56DB2" w:rsidRPr="005C565D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>Сделана ссылка на пункт 22 замечания общего порядка № 34.</w:t>
      </w:r>
    </w:p>
  </w:footnote>
  <w:footnote w:id="11">
    <w:p w:rsidR="00B56DB2" w:rsidRPr="005C565D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 xml:space="preserve">См., например, </w:t>
      </w:r>
      <w:r w:rsidRPr="00130245">
        <w:rPr>
          <w:iCs/>
        </w:rPr>
        <w:t>дела</w:t>
      </w:r>
      <w:r>
        <w:rPr>
          <w:i/>
          <w:iCs/>
        </w:rPr>
        <w:t xml:space="preserve"> Олешкевича против Беларуси </w:t>
      </w:r>
      <w:r>
        <w:t xml:space="preserve">(CCPR/C/107/D/1785/2008), </w:t>
      </w:r>
      <w:r w:rsidR="00130245">
        <w:t>пункт</w:t>
      </w:r>
      <w:r>
        <w:t xml:space="preserve"> 8.5; и </w:t>
      </w:r>
      <w:r>
        <w:rPr>
          <w:i/>
          <w:iCs/>
        </w:rPr>
        <w:t xml:space="preserve">Пивоноса против Беларуси </w:t>
      </w:r>
      <w:r>
        <w:t>(CCPR/C/106/D/1830/2008), пункт 9.3;</w:t>
      </w:r>
    </w:p>
  </w:footnote>
  <w:footnote w:id="12">
    <w:p w:rsidR="00B56DB2" w:rsidRPr="005C565D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 xml:space="preserve">См., например, </w:t>
      </w:r>
      <w:r w:rsidRPr="00541348">
        <w:rPr>
          <w:iCs/>
        </w:rPr>
        <w:t>дело</w:t>
      </w:r>
      <w:r>
        <w:rPr>
          <w:i/>
          <w:iCs/>
        </w:rPr>
        <w:t xml:space="preserve"> Поплавного против Беларуси</w:t>
      </w:r>
      <w:r>
        <w:t xml:space="preserve">, пункт 8.5. </w:t>
      </w:r>
    </w:p>
  </w:footnote>
  <w:footnote w:id="13">
    <w:p w:rsidR="00B56DB2" w:rsidRPr="005C565D" w:rsidRDefault="00B56DB2" w:rsidP="00B56DB2">
      <w:pPr>
        <w:pStyle w:val="ad"/>
      </w:pPr>
      <w:r w:rsidRPr="005D22A1">
        <w:tab/>
      </w:r>
      <w:r w:rsidRPr="00610559">
        <w:rPr>
          <w:rStyle w:val="aa"/>
        </w:rPr>
        <w:footnoteRef/>
      </w:r>
      <w:r>
        <w:tab/>
        <w:t>См.</w:t>
      </w:r>
      <w:r w:rsidR="00541348">
        <w:t xml:space="preserve">, </w:t>
      </w:r>
      <w:r>
        <w:t xml:space="preserve">например, </w:t>
      </w:r>
      <w:r w:rsidRPr="00541348">
        <w:rPr>
          <w:iCs/>
        </w:rPr>
        <w:t>дело</w:t>
      </w:r>
      <w:r>
        <w:rPr>
          <w:i/>
          <w:iCs/>
        </w:rPr>
        <w:t xml:space="preserve"> Турченяка и др. против Беларуси </w:t>
      </w:r>
      <w:r>
        <w:t>(CCPR/C/108/D/1948/2010), пункт 7.4.</w:t>
      </w:r>
    </w:p>
  </w:footnote>
  <w:footnote w:id="14">
    <w:p w:rsidR="00B56DB2" w:rsidRPr="005C565D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 xml:space="preserve">См., например, </w:t>
      </w:r>
      <w:r w:rsidRPr="009324ED">
        <w:rPr>
          <w:iCs/>
        </w:rPr>
        <w:t>дело</w:t>
      </w:r>
      <w:r>
        <w:rPr>
          <w:i/>
          <w:iCs/>
        </w:rPr>
        <w:t xml:space="preserve"> Полякова против Беларуси</w:t>
      </w:r>
      <w:r>
        <w:t xml:space="preserve"> (CCPR/C/111/D/2030/2011), пункт 7.4.</w:t>
      </w:r>
    </w:p>
  </w:footnote>
  <w:footnote w:id="15">
    <w:p w:rsidR="00B56DB2" w:rsidRPr="005C565D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  <w:t>См.</w:t>
      </w:r>
      <w:r w:rsidR="009324ED">
        <w:t xml:space="preserve">, </w:t>
      </w:r>
      <w:r>
        <w:t xml:space="preserve">например, </w:t>
      </w:r>
      <w:r w:rsidRPr="009324ED">
        <w:rPr>
          <w:iCs/>
        </w:rPr>
        <w:t>дела</w:t>
      </w:r>
      <w:r>
        <w:rPr>
          <w:i/>
          <w:iCs/>
        </w:rPr>
        <w:t xml:space="preserve"> Виравансы против Шри-Ланки</w:t>
      </w:r>
      <w:r>
        <w:t xml:space="preserve"> (CCPR/C/95/D/1406/2005) (особое мнение Фабиана Омара Сальвиоли (частично несогласное)); </w:t>
      </w:r>
      <w:r>
        <w:rPr>
          <w:i/>
          <w:iCs/>
        </w:rPr>
        <w:t xml:space="preserve">Кунгурова против Узбекистана </w:t>
      </w:r>
      <w:r>
        <w:t xml:space="preserve">(CCPR/C/102/D/1478/2006) (особое мнение Фабиана Омара Сальвиоли); </w:t>
      </w:r>
      <w:r>
        <w:rPr>
          <w:i/>
          <w:iCs/>
        </w:rPr>
        <w:t xml:space="preserve">Джебруни и Берцига против Алжира </w:t>
      </w:r>
      <w:r>
        <w:t xml:space="preserve">(CCPR/C/103/D/1781/2008) </w:t>
      </w:r>
      <w:bookmarkStart w:id="0" w:name="_GoBack"/>
      <w:bookmarkEnd w:id="0"/>
      <w:r>
        <w:t>(особое мнение Фабиана Омара Сальвиоли, к</w:t>
      </w:r>
      <w:r w:rsidR="00A0201F">
        <w:t> </w:t>
      </w:r>
      <w:r>
        <w:t xml:space="preserve">которому присоединился Корнелис Флинтерман (совпадающее)); и </w:t>
      </w:r>
      <w:r>
        <w:rPr>
          <w:i/>
          <w:iCs/>
        </w:rPr>
        <w:t>Полякова против Беларуси</w:t>
      </w:r>
      <w:r>
        <w:t xml:space="preserve"> (CCPR/C/111/D/2103/2011) (особое мнение Фабиана Омара Сальвиоли (совпадающее)). </w:t>
      </w:r>
    </w:p>
  </w:footnote>
  <w:footnote w:id="16">
    <w:p w:rsidR="00B56DB2" w:rsidRPr="001D5740" w:rsidRDefault="00B56DB2" w:rsidP="00B56DB2">
      <w:pPr>
        <w:pStyle w:val="ad"/>
      </w:pPr>
      <w:r w:rsidRPr="001D5740">
        <w:tab/>
      </w:r>
      <w:r w:rsidRPr="00610559">
        <w:rPr>
          <w:rStyle w:val="aa"/>
        </w:rPr>
        <w:footnoteRef/>
      </w:r>
      <w:r>
        <w:tab/>
      </w:r>
      <w:r>
        <w:rPr>
          <w:i/>
          <w:iCs/>
        </w:rPr>
        <w:t>Поляков против Беларуси</w:t>
      </w:r>
      <w:r>
        <w:t>, пункт 7.4.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15" w:rsidRPr="006B0A15" w:rsidRDefault="007260E9">
    <w:pPr>
      <w:pStyle w:val="a5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>
      <w:t>CCPR/C/126/D/2269/2013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15" w:rsidRPr="006B0A15" w:rsidRDefault="007260E9" w:rsidP="006B0A1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CCPR/C/126/D/2269/2013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9" w:rsidRDefault="00610559" w:rsidP="006105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1"/>
    <w:rsid w:val="000323D2"/>
    <w:rsid w:val="00033EE1"/>
    <w:rsid w:val="00042B72"/>
    <w:rsid w:val="000558BD"/>
    <w:rsid w:val="000B57E7"/>
    <w:rsid w:val="000B6373"/>
    <w:rsid w:val="000D589A"/>
    <w:rsid w:val="000F09DF"/>
    <w:rsid w:val="000F61B2"/>
    <w:rsid w:val="001075E9"/>
    <w:rsid w:val="00130245"/>
    <w:rsid w:val="00180183"/>
    <w:rsid w:val="0018024D"/>
    <w:rsid w:val="0018649F"/>
    <w:rsid w:val="00196389"/>
    <w:rsid w:val="001B3EF6"/>
    <w:rsid w:val="001C7A89"/>
    <w:rsid w:val="001F4312"/>
    <w:rsid w:val="00222E82"/>
    <w:rsid w:val="00240AD1"/>
    <w:rsid w:val="002465A1"/>
    <w:rsid w:val="00254812"/>
    <w:rsid w:val="002A2EFC"/>
    <w:rsid w:val="002C0E18"/>
    <w:rsid w:val="002D5AAC"/>
    <w:rsid w:val="002E5067"/>
    <w:rsid w:val="002F405F"/>
    <w:rsid w:val="002F7EEC"/>
    <w:rsid w:val="0030029E"/>
    <w:rsid w:val="00301299"/>
    <w:rsid w:val="00305C08"/>
    <w:rsid w:val="00307FB6"/>
    <w:rsid w:val="00317339"/>
    <w:rsid w:val="00322004"/>
    <w:rsid w:val="0032326A"/>
    <w:rsid w:val="003402C2"/>
    <w:rsid w:val="00340B1B"/>
    <w:rsid w:val="003512C5"/>
    <w:rsid w:val="00375F01"/>
    <w:rsid w:val="00381C24"/>
    <w:rsid w:val="003958D0"/>
    <w:rsid w:val="003B00E5"/>
    <w:rsid w:val="003B3780"/>
    <w:rsid w:val="00407B78"/>
    <w:rsid w:val="00424203"/>
    <w:rsid w:val="00452493"/>
    <w:rsid w:val="00454E07"/>
    <w:rsid w:val="00463810"/>
    <w:rsid w:val="00472C5C"/>
    <w:rsid w:val="004969B2"/>
    <w:rsid w:val="0050108D"/>
    <w:rsid w:val="00513081"/>
    <w:rsid w:val="00517901"/>
    <w:rsid w:val="00526683"/>
    <w:rsid w:val="00541348"/>
    <w:rsid w:val="005709E0"/>
    <w:rsid w:val="00572E19"/>
    <w:rsid w:val="00592579"/>
    <w:rsid w:val="005961C8"/>
    <w:rsid w:val="005B4647"/>
    <w:rsid w:val="005D7914"/>
    <w:rsid w:val="005E2B41"/>
    <w:rsid w:val="005F0B42"/>
    <w:rsid w:val="00610559"/>
    <w:rsid w:val="00666B97"/>
    <w:rsid w:val="00681A10"/>
    <w:rsid w:val="006A1ED8"/>
    <w:rsid w:val="006A75D3"/>
    <w:rsid w:val="006B0A15"/>
    <w:rsid w:val="006C2031"/>
    <w:rsid w:val="006D461A"/>
    <w:rsid w:val="006F35EE"/>
    <w:rsid w:val="007021FF"/>
    <w:rsid w:val="00712895"/>
    <w:rsid w:val="00716284"/>
    <w:rsid w:val="007260E9"/>
    <w:rsid w:val="0075523D"/>
    <w:rsid w:val="00757357"/>
    <w:rsid w:val="00787D3A"/>
    <w:rsid w:val="00791B9D"/>
    <w:rsid w:val="007B0B4D"/>
    <w:rsid w:val="007C7485"/>
    <w:rsid w:val="00825F8D"/>
    <w:rsid w:val="00834B71"/>
    <w:rsid w:val="0086445C"/>
    <w:rsid w:val="0086665B"/>
    <w:rsid w:val="00894693"/>
    <w:rsid w:val="0089674D"/>
    <w:rsid w:val="008A08D7"/>
    <w:rsid w:val="008B6909"/>
    <w:rsid w:val="008E28A0"/>
    <w:rsid w:val="00906890"/>
    <w:rsid w:val="00911BE4"/>
    <w:rsid w:val="00931A71"/>
    <w:rsid w:val="009324ED"/>
    <w:rsid w:val="00951972"/>
    <w:rsid w:val="009608F3"/>
    <w:rsid w:val="009918E2"/>
    <w:rsid w:val="009A24AC"/>
    <w:rsid w:val="009D21FD"/>
    <w:rsid w:val="009D244C"/>
    <w:rsid w:val="00A0201F"/>
    <w:rsid w:val="00A14DA8"/>
    <w:rsid w:val="00A23963"/>
    <w:rsid w:val="00A312BC"/>
    <w:rsid w:val="00A34D07"/>
    <w:rsid w:val="00A84021"/>
    <w:rsid w:val="00A84D35"/>
    <w:rsid w:val="00A917B3"/>
    <w:rsid w:val="00A974B3"/>
    <w:rsid w:val="00AB4B51"/>
    <w:rsid w:val="00AD6F87"/>
    <w:rsid w:val="00B10CC7"/>
    <w:rsid w:val="00B136DB"/>
    <w:rsid w:val="00B539E7"/>
    <w:rsid w:val="00B56DB2"/>
    <w:rsid w:val="00B62458"/>
    <w:rsid w:val="00B769D8"/>
    <w:rsid w:val="00BC18B2"/>
    <w:rsid w:val="00BC3629"/>
    <w:rsid w:val="00BD33EE"/>
    <w:rsid w:val="00BF1A04"/>
    <w:rsid w:val="00BF7E18"/>
    <w:rsid w:val="00C0177C"/>
    <w:rsid w:val="00C0236A"/>
    <w:rsid w:val="00C106D6"/>
    <w:rsid w:val="00C17725"/>
    <w:rsid w:val="00C447DC"/>
    <w:rsid w:val="00C46D5A"/>
    <w:rsid w:val="00C60F0C"/>
    <w:rsid w:val="00C7239B"/>
    <w:rsid w:val="00C805C9"/>
    <w:rsid w:val="00C92939"/>
    <w:rsid w:val="00CA1679"/>
    <w:rsid w:val="00CB132D"/>
    <w:rsid w:val="00CB151C"/>
    <w:rsid w:val="00CE5A1A"/>
    <w:rsid w:val="00CF55F6"/>
    <w:rsid w:val="00D323A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328D6"/>
    <w:rsid w:val="00E46656"/>
    <w:rsid w:val="00E73F76"/>
    <w:rsid w:val="00EA2C9F"/>
    <w:rsid w:val="00EA420E"/>
    <w:rsid w:val="00ED0BDA"/>
    <w:rsid w:val="00EF1360"/>
    <w:rsid w:val="00EF3220"/>
    <w:rsid w:val="00F43903"/>
    <w:rsid w:val="00F511C8"/>
    <w:rsid w:val="00F53C4A"/>
    <w:rsid w:val="00F94155"/>
    <w:rsid w:val="00F9783F"/>
    <w:rsid w:val="00FC35B5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8627E"/>
  <w15:docId w15:val="{5E07D1C2-D34C-4DA1-9444-DF69959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AB71-4278-4669-9D5C-25DBD07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9</Pages>
  <Words>3759</Words>
  <Characters>24435</Characters>
  <Application>Microsoft Office Word</Application>
  <DocSecurity>0</DocSecurity>
  <Lines>1018</Lines>
  <Paragraphs>909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CCPR/C/126/D/2269/2013</vt:lpstr>
      <vt:lpstr>A/</vt:lpstr>
      <vt:lpstr>A/</vt:lpstr>
    </vt:vector>
  </TitlesOfParts>
  <Company>DCM</Company>
  <LinksUpToDate>false</LinksUpToDate>
  <CharactersWithSpaces>27285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CCPR/C/126/D/2269/2013</dc:title>
  <dc:subject/>
  <dc:creator>Olga OVTCHINNIKOVA</dc:creator>
  <cp:keywords/>
  <cp:lastModifiedBy>Tatiana Chvets</cp:lastModifiedBy>
  <cp:revision>3</cp:revision>
  <cp:lastPrinted>2019-11-26T10:35:00Z</cp:lastPrinted>
  <dcterms:created xsi:type="dcterms:W3CDTF">2019-11-26T10:35:00Z</dcterms:created>
  <dcterms:modified xsi:type="dcterms:W3CDTF">2019-11-26T10:36:00Z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