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C1733" w14:paraId="1DCD0FD2" w14:textId="77777777" w:rsidTr="005B51C4">
        <w:trPr>
          <w:trHeight w:hRule="exact" w:val="851"/>
        </w:trPr>
        <w:tc>
          <w:tcPr>
            <w:tcW w:w="1274" w:type="dxa"/>
            <w:tcBorders>
              <w:bottom w:val="single" w:sz="4" w:space="0" w:color="auto"/>
            </w:tcBorders>
            <w:shd w:val="clear" w:color="auto" w:fill="auto"/>
          </w:tcPr>
          <w:p w14:paraId="74808C6E" w14:textId="77777777" w:rsidR="006B3E27" w:rsidRPr="005B51C4" w:rsidRDefault="006B3E27" w:rsidP="001564B1">
            <w:pPr>
              <w:kinsoku w:val="0"/>
              <w:overflowPunct w:val="0"/>
              <w:autoSpaceDE w:val="0"/>
              <w:autoSpaceDN w:val="0"/>
              <w:adjustRightInd w:val="0"/>
              <w:snapToGrid w:val="0"/>
              <w:jc w:val="center"/>
              <w:rPr>
                <w:sz w:val="56"/>
                <w:szCs w:val="56"/>
                <w:rtl/>
                <w:lang w:val="fr-CH"/>
              </w:rPr>
            </w:pPr>
          </w:p>
        </w:tc>
        <w:tc>
          <w:tcPr>
            <w:tcW w:w="4537" w:type="dxa"/>
            <w:tcBorders>
              <w:bottom w:val="single" w:sz="4" w:space="0" w:color="auto"/>
            </w:tcBorders>
            <w:shd w:val="clear" w:color="auto" w:fill="auto"/>
            <w:vAlign w:val="bottom"/>
          </w:tcPr>
          <w:p w14:paraId="029840B7" w14:textId="77777777" w:rsidR="006B3E27" w:rsidRPr="00CC1733" w:rsidRDefault="006B3E27" w:rsidP="005B51C4">
            <w:pPr>
              <w:spacing w:after="80" w:line="480" w:lineRule="exact"/>
              <w:jc w:val="left"/>
              <w:rPr>
                <w:sz w:val="40"/>
                <w:szCs w:val="40"/>
                <w:rtl/>
              </w:rPr>
            </w:pPr>
            <w:r w:rsidRPr="00CC1733">
              <w:rPr>
                <w:rFonts w:hint="cs"/>
                <w:sz w:val="40"/>
                <w:szCs w:val="40"/>
                <w:rtl/>
              </w:rPr>
              <w:t>الأمم المتحدة</w:t>
            </w:r>
          </w:p>
        </w:tc>
        <w:tc>
          <w:tcPr>
            <w:tcW w:w="3828" w:type="dxa"/>
            <w:tcBorders>
              <w:bottom w:val="single" w:sz="4" w:space="0" w:color="auto"/>
            </w:tcBorders>
            <w:shd w:val="clear" w:color="auto" w:fill="auto"/>
            <w:vAlign w:val="bottom"/>
          </w:tcPr>
          <w:p w14:paraId="25F75D8F" w14:textId="77777777" w:rsidR="006B3E27" w:rsidRPr="00CC1733" w:rsidRDefault="001564B1" w:rsidP="001564B1">
            <w:pPr>
              <w:bidi w:val="0"/>
              <w:jc w:val="left"/>
              <w:rPr>
                <w:szCs w:val="20"/>
              </w:rPr>
            </w:pPr>
            <w:r w:rsidRPr="00CC1733">
              <w:rPr>
                <w:sz w:val="40"/>
                <w:szCs w:val="20"/>
              </w:rPr>
              <w:t>CCPR</w:t>
            </w:r>
            <w:r w:rsidRPr="00CC1733">
              <w:rPr>
                <w:szCs w:val="20"/>
              </w:rPr>
              <w:t>/C/129/D/2931/2017</w:t>
            </w:r>
          </w:p>
        </w:tc>
      </w:tr>
      <w:tr w:rsidR="006B3E27" w:rsidRPr="00CC1733" w14:paraId="2079D5B4" w14:textId="77777777" w:rsidTr="005B51C4">
        <w:trPr>
          <w:trHeight w:hRule="exact" w:val="2835"/>
        </w:trPr>
        <w:tc>
          <w:tcPr>
            <w:tcW w:w="1274" w:type="dxa"/>
            <w:tcBorders>
              <w:top w:val="single" w:sz="4" w:space="0" w:color="auto"/>
              <w:bottom w:val="single" w:sz="12" w:space="0" w:color="auto"/>
            </w:tcBorders>
            <w:shd w:val="clear" w:color="auto" w:fill="auto"/>
          </w:tcPr>
          <w:p w14:paraId="5EE49FBD" w14:textId="77777777" w:rsidR="006B3E27" w:rsidRPr="00CC1733" w:rsidRDefault="00E2228E" w:rsidP="005B51C4">
            <w:pPr>
              <w:jc w:val="center"/>
              <w:rPr>
                <w:sz w:val="56"/>
                <w:szCs w:val="56"/>
                <w:rtl/>
              </w:rPr>
            </w:pPr>
            <w:r w:rsidRPr="00CC1733">
              <w:rPr>
                <w:noProof/>
                <w:sz w:val="56"/>
                <w:szCs w:val="56"/>
              </w:rPr>
              <w:drawing>
                <wp:inline distT="0" distB="0" distL="0" distR="0" wp14:anchorId="0C5FDAD7" wp14:editId="545B0FB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3D0F533" w14:textId="77777777" w:rsidR="006B3E27" w:rsidRPr="00CC1733" w:rsidRDefault="00ED7442" w:rsidP="005B51C4">
            <w:pPr>
              <w:spacing w:before="120" w:after="40" w:line="640" w:lineRule="exact"/>
              <w:jc w:val="left"/>
              <w:rPr>
                <w:b/>
                <w:bCs/>
                <w:sz w:val="56"/>
                <w:szCs w:val="56"/>
              </w:rPr>
            </w:pPr>
            <w:r w:rsidRPr="00CC1733">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E92898E" w14:textId="77777777" w:rsidR="0067492B" w:rsidRPr="00CC1733" w:rsidRDefault="0067492B" w:rsidP="0067492B">
            <w:pPr>
              <w:bidi w:val="0"/>
              <w:spacing w:before="240" w:line="240" w:lineRule="auto"/>
              <w:jc w:val="left"/>
              <w:rPr>
                <w:rFonts w:eastAsia="SimSun" w:cs="Times New Roman"/>
                <w:szCs w:val="20"/>
                <w:lang w:val="en-GB" w:eastAsia="zh-CN"/>
              </w:rPr>
            </w:pPr>
            <w:r w:rsidRPr="00CC1733">
              <w:rPr>
                <w:rFonts w:eastAsia="SimSun" w:cs="Times New Roman"/>
                <w:szCs w:val="20"/>
                <w:lang w:val="en-GB" w:eastAsia="zh-CN"/>
              </w:rPr>
              <w:t>Distr.: General</w:t>
            </w:r>
          </w:p>
          <w:p w14:paraId="26B3CF59" w14:textId="13C51180" w:rsidR="0067492B" w:rsidRPr="00CC1733" w:rsidRDefault="0067492B" w:rsidP="0067492B">
            <w:pPr>
              <w:bidi w:val="0"/>
              <w:spacing w:line="240" w:lineRule="auto"/>
              <w:jc w:val="left"/>
              <w:rPr>
                <w:rFonts w:eastAsia="SimSun" w:cs="Times New Roman"/>
                <w:szCs w:val="20"/>
                <w:lang w:val="en-GB" w:eastAsia="zh-CN"/>
              </w:rPr>
            </w:pPr>
            <w:r w:rsidRPr="00CC1733">
              <w:rPr>
                <w:rFonts w:eastAsia="SimSun" w:cs="Times New Roman"/>
                <w:szCs w:val="20"/>
                <w:lang w:val="en-GB" w:eastAsia="zh-CN"/>
              </w:rPr>
              <w:t>14 December 2020</w:t>
            </w:r>
          </w:p>
          <w:p w14:paraId="5B265D1A" w14:textId="77777777" w:rsidR="0067492B" w:rsidRPr="00CC1733" w:rsidRDefault="0067492B" w:rsidP="0067492B">
            <w:pPr>
              <w:bidi w:val="0"/>
              <w:spacing w:line="240" w:lineRule="auto"/>
              <w:jc w:val="left"/>
              <w:rPr>
                <w:rFonts w:eastAsia="SimSun" w:cs="Times New Roman"/>
                <w:szCs w:val="20"/>
                <w:lang w:val="en-GB" w:eastAsia="zh-CN"/>
              </w:rPr>
            </w:pPr>
            <w:r w:rsidRPr="00CC1733">
              <w:rPr>
                <w:rFonts w:eastAsia="SimSun" w:cs="Times New Roman"/>
                <w:szCs w:val="20"/>
                <w:lang w:val="en-GB" w:eastAsia="zh-CN"/>
              </w:rPr>
              <w:t>Arabic</w:t>
            </w:r>
          </w:p>
          <w:p w14:paraId="76045D3D" w14:textId="0213F4EC" w:rsidR="001564B1" w:rsidRPr="00CC1733" w:rsidRDefault="0067492B" w:rsidP="0067492B">
            <w:pPr>
              <w:bidi w:val="0"/>
              <w:spacing w:line="240" w:lineRule="exact"/>
              <w:jc w:val="left"/>
              <w:rPr>
                <w:szCs w:val="20"/>
                <w:lang w:val="en-GB"/>
              </w:rPr>
            </w:pPr>
            <w:r w:rsidRPr="00CC1733">
              <w:rPr>
                <w:rFonts w:eastAsia="SimSun" w:cs="Times New Roman"/>
                <w:szCs w:val="20"/>
                <w:lang w:val="en-GB" w:eastAsia="zh-CN"/>
              </w:rPr>
              <w:t>Original: Spanish</w:t>
            </w:r>
          </w:p>
        </w:tc>
      </w:tr>
    </w:tbl>
    <w:p w14:paraId="12E6DF50" w14:textId="77777777" w:rsidR="00344CF9" w:rsidRPr="00CC1733" w:rsidRDefault="00344CF9" w:rsidP="00344CF9">
      <w:pPr>
        <w:pStyle w:val="SingleTxtGA"/>
        <w:spacing w:before="120" w:after="0"/>
        <w:ind w:left="0"/>
        <w:rPr>
          <w:b/>
          <w:bCs/>
          <w:sz w:val="28"/>
          <w:szCs w:val="36"/>
          <w:rtl/>
        </w:rPr>
      </w:pPr>
      <w:r w:rsidRPr="00CC1733">
        <w:rPr>
          <w:b/>
          <w:bCs/>
          <w:sz w:val="28"/>
          <w:szCs w:val="36"/>
          <w:rtl/>
        </w:rPr>
        <w:t>اللجنة المعنية بحقوق الإنسان</w:t>
      </w:r>
    </w:p>
    <w:p w14:paraId="3E11C260" w14:textId="09D60003" w:rsidR="00344CF9" w:rsidRPr="00CC1733" w:rsidRDefault="00344CF9" w:rsidP="00344CF9">
      <w:pPr>
        <w:pStyle w:val="HChGA"/>
        <w:rPr>
          <w:rtl/>
        </w:rPr>
      </w:pPr>
      <w:r w:rsidRPr="00CC1733">
        <w:rPr>
          <w:rtl/>
        </w:rPr>
        <w:tab/>
      </w:r>
      <w:r w:rsidRPr="00CC1733">
        <w:rPr>
          <w:rtl/>
        </w:rPr>
        <w:tab/>
        <w:t xml:space="preserve">آراء اعتمدتها اللجنة بموجب المادة </w:t>
      </w:r>
      <w:r w:rsidRPr="00CC1733">
        <w:rPr>
          <w:szCs w:val="28"/>
          <w:rtl/>
        </w:rPr>
        <w:t>5</w:t>
      </w:r>
      <w:r w:rsidRPr="00CC1733">
        <w:rPr>
          <w:rtl/>
        </w:rPr>
        <w:t>(</w:t>
      </w:r>
      <w:r w:rsidRPr="00CC1733">
        <w:rPr>
          <w:szCs w:val="28"/>
          <w:rtl/>
        </w:rPr>
        <w:t>4</w:t>
      </w:r>
      <w:r w:rsidRPr="00CC1733">
        <w:rPr>
          <w:rtl/>
        </w:rPr>
        <w:t xml:space="preserve">) من البروتوكول الاختياري، بشأن البلاغ رقم </w:t>
      </w:r>
      <w:r w:rsidRPr="00CC1733">
        <w:rPr>
          <w:szCs w:val="28"/>
          <w:rtl/>
        </w:rPr>
        <w:t>2931</w:t>
      </w:r>
      <w:r w:rsidRPr="00CC1733">
        <w:rPr>
          <w:rtl/>
        </w:rPr>
        <w:t>/</w:t>
      </w:r>
      <w:r w:rsidRPr="00CC1733">
        <w:rPr>
          <w:szCs w:val="28"/>
          <w:rtl/>
        </w:rPr>
        <w:t>2017</w:t>
      </w:r>
      <w:r w:rsidRPr="00CC1733">
        <w:rPr>
          <w:rStyle w:val="FootnoteReference"/>
          <w:rFonts w:hint="eastAsia"/>
          <w:sz w:val="32"/>
          <w:szCs w:val="32"/>
          <w:vertAlign w:val="baseline"/>
          <w:rtl/>
        </w:rPr>
        <w:footnoteReference w:customMarkFollows="1" w:id="1"/>
        <w:t>*</w:t>
      </w:r>
      <w:r w:rsidRPr="00CC1733">
        <w:rPr>
          <w:rFonts w:hint="cs"/>
          <w:sz w:val="32"/>
          <w:szCs w:val="32"/>
          <w:rtl/>
        </w:rPr>
        <w:t xml:space="preserve"> </w:t>
      </w:r>
      <w:r w:rsidRPr="00CC1733">
        <w:rPr>
          <w:rStyle w:val="FootnoteReference"/>
          <w:rFonts w:hint="eastAsia"/>
          <w:sz w:val="32"/>
          <w:szCs w:val="32"/>
          <w:vertAlign w:val="baseline"/>
          <w:rtl/>
        </w:rPr>
        <w:footnoteReference w:customMarkFollows="1" w:id="2"/>
        <w:t>**</w:t>
      </w:r>
    </w:p>
    <w:p w14:paraId="4A5AAD33" w14:textId="617600D1"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بلاغ مقدم من:</w:t>
      </w:r>
      <w:r w:rsidRPr="00CC1733">
        <w:rPr>
          <w:rtl/>
        </w:rPr>
        <w:tab/>
        <w:t xml:space="preserve">ألبيرتو </w:t>
      </w:r>
      <w:proofErr w:type="spellStart"/>
      <w:r w:rsidRPr="00CC1733">
        <w:rPr>
          <w:rtl/>
        </w:rPr>
        <w:t>بيلاسكيث</w:t>
      </w:r>
      <w:proofErr w:type="spellEnd"/>
      <w:r w:rsidRPr="00CC1733">
        <w:rPr>
          <w:rtl/>
        </w:rPr>
        <w:t xml:space="preserve"> </w:t>
      </w:r>
      <w:proofErr w:type="spellStart"/>
      <w:r w:rsidRPr="00CC1733">
        <w:rPr>
          <w:rtl/>
        </w:rPr>
        <w:t>إيتشيبيري</w:t>
      </w:r>
      <w:proofErr w:type="spellEnd"/>
      <w:r w:rsidRPr="00CC1733">
        <w:rPr>
          <w:rtl/>
        </w:rPr>
        <w:t xml:space="preserve"> (يمثله المحامي </w:t>
      </w:r>
      <w:proofErr w:type="spellStart"/>
      <w:r w:rsidRPr="00CC1733">
        <w:rPr>
          <w:rtl/>
        </w:rPr>
        <w:t>بيكتور</w:t>
      </w:r>
      <w:proofErr w:type="spellEnd"/>
      <w:r w:rsidRPr="00CC1733">
        <w:rPr>
          <w:rtl/>
        </w:rPr>
        <w:t xml:space="preserve"> </w:t>
      </w:r>
      <w:proofErr w:type="spellStart"/>
      <w:r w:rsidRPr="00CC1733">
        <w:rPr>
          <w:rtl/>
        </w:rPr>
        <w:t>خابيير</w:t>
      </w:r>
      <w:proofErr w:type="spellEnd"/>
      <w:r w:rsidRPr="00CC1733">
        <w:rPr>
          <w:rtl/>
        </w:rPr>
        <w:t xml:space="preserve"> </w:t>
      </w:r>
      <w:proofErr w:type="spellStart"/>
      <w:r w:rsidRPr="00CC1733">
        <w:rPr>
          <w:rtl/>
        </w:rPr>
        <w:t>موسكيرا</w:t>
      </w:r>
      <w:proofErr w:type="spellEnd"/>
      <w:r w:rsidRPr="00CC1733">
        <w:rPr>
          <w:rtl/>
        </w:rPr>
        <w:t xml:space="preserve"> مارين)</w:t>
      </w:r>
    </w:p>
    <w:p w14:paraId="13B34C94" w14:textId="070A4D1D"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الشخص المدعى أنه ضحية:</w:t>
      </w:r>
      <w:r w:rsidRPr="00CC1733">
        <w:rPr>
          <w:rtl/>
        </w:rPr>
        <w:tab/>
        <w:t>صاحب البلاغ</w:t>
      </w:r>
    </w:p>
    <w:p w14:paraId="608D9571" w14:textId="0AC2AF1D"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الدولة الطرف:</w:t>
      </w:r>
      <w:r w:rsidRPr="00CC1733">
        <w:rPr>
          <w:rtl/>
        </w:rPr>
        <w:tab/>
        <w:t>كولومبيا</w:t>
      </w:r>
    </w:p>
    <w:p w14:paraId="32AAFB6D" w14:textId="69C4A0A8"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تاريخ تقديم البلاغ:</w:t>
      </w:r>
      <w:r w:rsidRPr="00CC1733">
        <w:rPr>
          <w:rtl/>
        </w:rPr>
        <w:tab/>
      </w:r>
      <w:r w:rsidRPr="00CC1733">
        <w:rPr>
          <w:szCs w:val="20"/>
          <w:rtl/>
        </w:rPr>
        <w:t>1</w:t>
      </w:r>
      <w:r w:rsidRPr="00CC1733">
        <w:rPr>
          <w:rtl/>
        </w:rPr>
        <w:t xml:space="preserve"> آب/أغسطس </w:t>
      </w:r>
      <w:r w:rsidRPr="00CC1733">
        <w:rPr>
          <w:szCs w:val="20"/>
          <w:rtl/>
        </w:rPr>
        <w:t>2016</w:t>
      </w:r>
    </w:p>
    <w:p w14:paraId="647C433C" w14:textId="17C2A350"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الوثيقة المرجعية:</w:t>
      </w:r>
      <w:r w:rsidRPr="00CC1733">
        <w:rPr>
          <w:rtl/>
        </w:rPr>
        <w:tab/>
        <w:t xml:space="preserve">القرار المتخذ بموجب المادة </w:t>
      </w:r>
      <w:r w:rsidRPr="00CC1733">
        <w:rPr>
          <w:szCs w:val="20"/>
          <w:rtl/>
        </w:rPr>
        <w:t>92</w:t>
      </w:r>
      <w:r w:rsidRPr="00CC1733">
        <w:rPr>
          <w:rtl/>
        </w:rPr>
        <w:t xml:space="preserve"> من النظام الداخلي للجنة، والمحال إلى الدول</w:t>
      </w:r>
      <w:bookmarkStart w:id="0" w:name="_GoBack"/>
      <w:bookmarkEnd w:id="0"/>
      <w:r w:rsidRPr="00CC1733">
        <w:rPr>
          <w:rtl/>
        </w:rPr>
        <w:t xml:space="preserve">ة الطرف في </w:t>
      </w:r>
      <w:r w:rsidRPr="00CC1733">
        <w:rPr>
          <w:szCs w:val="20"/>
          <w:rtl/>
        </w:rPr>
        <w:t>11</w:t>
      </w:r>
      <w:r w:rsidRPr="00CC1733">
        <w:rPr>
          <w:rtl/>
        </w:rPr>
        <w:t xml:space="preserve"> كانون الثاني/يناير </w:t>
      </w:r>
      <w:r w:rsidRPr="00CC1733">
        <w:rPr>
          <w:szCs w:val="20"/>
          <w:rtl/>
        </w:rPr>
        <w:t>2017</w:t>
      </w:r>
      <w:r w:rsidRPr="00CC1733">
        <w:rPr>
          <w:rtl/>
        </w:rPr>
        <w:t xml:space="preserve"> (لم</w:t>
      </w:r>
      <w:r w:rsidRPr="00CC1733">
        <w:rPr>
          <w:rFonts w:hint="cs"/>
          <w:rtl/>
        </w:rPr>
        <w:t> </w:t>
      </w:r>
      <w:r w:rsidRPr="00CC1733">
        <w:rPr>
          <w:rtl/>
        </w:rPr>
        <w:t>يصدر في شكل وثيقة)</w:t>
      </w:r>
    </w:p>
    <w:p w14:paraId="0E2C4F4F" w14:textId="7F46931E"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تاريخ اعتماد الآراء:</w:t>
      </w:r>
      <w:r w:rsidRPr="00CC1733">
        <w:rPr>
          <w:rtl/>
        </w:rPr>
        <w:tab/>
      </w:r>
      <w:r w:rsidRPr="00CC1733">
        <w:rPr>
          <w:szCs w:val="20"/>
          <w:rtl/>
        </w:rPr>
        <w:t>21</w:t>
      </w:r>
      <w:r w:rsidRPr="00CC1733">
        <w:rPr>
          <w:rtl/>
        </w:rPr>
        <w:t xml:space="preserve"> تموز/يوليه </w:t>
      </w:r>
      <w:r w:rsidRPr="00CC1733">
        <w:rPr>
          <w:szCs w:val="20"/>
          <w:rtl/>
        </w:rPr>
        <w:t>2020</w:t>
      </w:r>
    </w:p>
    <w:p w14:paraId="54EB3C80" w14:textId="559362CE"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الموضوع:</w:t>
      </w:r>
      <w:r w:rsidRPr="00CC1733">
        <w:rPr>
          <w:rtl/>
        </w:rPr>
        <w:tab/>
        <w:t>إدانة مدير سابق لقسم الشؤون الإدارية لرئاسة الجمهورية إدانةً ابتدائية ونهائية أمام أعلى هيئة قضائية</w:t>
      </w:r>
    </w:p>
    <w:p w14:paraId="5F7CDA2F" w14:textId="19305D12"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المسائل الإجرائية:</w:t>
      </w:r>
      <w:r w:rsidRPr="00CC1733">
        <w:rPr>
          <w:rtl/>
        </w:rPr>
        <w:tab/>
      </w:r>
      <w:r w:rsidRPr="00CC1733">
        <w:rPr>
          <w:spacing w:val="-6"/>
          <w:rtl/>
        </w:rPr>
        <w:t>إعادة النظر في القضية في إطار إجراء آخر من إجراءات التحقيق الدولي أو التسوية الدولية؛ واستنفاد سبل الانتصاف المحلية</w:t>
      </w:r>
    </w:p>
    <w:p w14:paraId="53CB1530" w14:textId="6F6F2AF7" w:rsidR="00344CF9" w:rsidRPr="00CC1733" w:rsidRDefault="00344CF9" w:rsidP="00886A73">
      <w:pPr>
        <w:pStyle w:val="SingleTxtGA"/>
        <w:tabs>
          <w:tab w:val="clear" w:pos="2608"/>
          <w:tab w:val="clear" w:pos="3289"/>
          <w:tab w:val="clear" w:pos="3969"/>
          <w:tab w:val="clear" w:pos="4649"/>
          <w:tab w:val="left" w:pos="4252"/>
        </w:tabs>
        <w:ind w:left="4253" w:hanging="2325"/>
        <w:rPr>
          <w:rtl/>
        </w:rPr>
      </w:pPr>
      <w:r w:rsidRPr="00CC1733">
        <w:rPr>
          <w:i/>
          <w:iCs/>
          <w:rtl/>
        </w:rPr>
        <w:t>المسائل الموضوعية:</w:t>
      </w:r>
      <w:r w:rsidRPr="00CC1733">
        <w:rPr>
          <w:rtl/>
        </w:rPr>
        <w:t xml:space="preserve"> </w:t>
      </w:r>
      <w:r w:rsidRPr="00CC1733">
        <w:rPr>
          <w:rtl/>
        </w:rPr>
        <w:tab/>
        <w:t xml:space="preserve">الحق في المحاكمة وفق الأصول القانونية؛ والحق في المحاكمة أمام محكمة مختصة ومستقلة ونزيهة؛ والحق في قرينة البراءة؛ </w:t>
      </w:r>
      <w:r w:rsidRPr="00CC1733">
        <w:rPr>
          <w:spacing w:val="-4"/>
          <w:rtl/>
        </w:rPr>
        <w:t>والحق في أن تعيد محكمة أعلى النظر في حكم الإدانة والعقوبة؛</w:t>
      </w:r>
      <w:r w:rsidRPr="00CC1733">
        <w:rPr>
          <w:rtl/>
        </w:rPr>
        <w:t xml:space="preserve"> والمساواة أمام القانون؛ وحق الفرد في الحرية وفي الأمان على شخصه؛ والحق في عدم التعرض للتمييز</w:t>
      </w:r>
    </w:p>
    <w:p w14:paraId="30F8C3A8" w14:textId="4EF814EB" w:rsidR="00344CF9" w:rsidRPr="00CC1733" w:rsidRDefault="00344CF9" w:rsidP="009C196B">
      <w:pPr>
        <w:pStyle w:val="SingleTxtGA"/>
        <w:tabs>
          <w:tab w:val="clear" w:pos="2608"/>
          <w:tab w:val="clear" w:pos="3289"/>
          <w:tab w:val="clear" w:pos="3969"/>
          <w:tab w:val="clear" w:pos="4649"/>
          <w:tab w:val="left" w:pos="4252"/>
        </w:tabs>
        <w:spacing w:line="380" w:lineRule="exact"/>
        <w:ind w:left="4252" w:hanging="2324"/>
        <w:rPr>
          <w:spacing w:val="-4"/>
          <w:rtl/>
        </w:rPr>
      </w:pPr>
      <w:r w:rsidRPr="00CC1733">
        <w:rPr>
          <w:i/>
          <w:iCs/>
          <w:spacing w:val="-4"/>
          <w:rtl/>
        </w:rPr>
        <w:lastRenderedPageBreak/>
        <w:t>مواد العهد:</w:t>
      </w:r>
      <w:r w:rsidRPr="00CC1733">
        <w:rPr>
          <w:spacing w:val="-4"/>
          <w:rtl/>
        </w:rPr>
        <w:tab/>
      </w:r>
      <w:r w:rsidRPr="00CC1733">
        <w:rPr>
          <w:spacing w:val="-4"/>
          <w:szCs w:val="20"/>
          <w:rtl/>
        </w:rPr>
        <w:t>2</w:t>
      </w:r>
      <w:r w:rsidRPr="00CC1733">
        <w:rPr>
          <w:spacing w:val="-4"/>
          <w:rtl/>
        </w:rPr>
        <w:t>؛ و</w:t>
      </w:r>
      <w:r w:rsidRPr="00CC1733">
        <w:rPr>
          <w:spacing w:val="-4"/>
          <w:szCs w:val="20"/>
          <w:rtl/>
        </w:rPr>
        <w:t>3</w:t>
      </w:r>
      <w:r w:rsidRPr="00CC1733">
        <w:rPr>
          <w:spacing w:val="-4"/>
          <w:rtl/>
        </w:rPr>
        <w:t>؛ و</w:t>
      </w:r>
      <w:r w:rsidRPr="00CC1733">
        <w:rPr>
          <w:spacing w:val="-4"/>
          <w:szCs w:val="20"/>
          <w:rtl/>
        </w:rPr>
        <w:t>9</w:t>
      </w:r>
      <w:r w:rsidRPr="00CC1733">
        <w:rPr>
          <w:spacing w:val="-4"/>
          <w:rtl/>
        </w:rPr>
        <w:t>(</w:t>
      </w:r>
      <w:r w:rsidRPr="00CC1733">
        <w:rPr>
          <w:spacing w:val="-4"/>
          <w:szCs w:val="20"/>
          <w:rtl/>
        </w:rPr>
        <w:t>1</w:t>
      </w:r>
      <w:r w:rsidRPr="00CC1733">
        <w:rPr>
          <w:spacing w:val="-4"/>
          <w:rtl/>
        </w:rPr>
        <w:t>)؛ و</w:t>
      </w:r>
      <w:r w:rsidRPr="00CC1733">
        <w:rPr>
          <w:spacing w:val="-4"/>
          <w:szCs w:val="20"/>
          <w:rtl/>
        </w:rPr>
        <w:t>14</w:t>
      </w:r>
      <w:r w:rsidRPr="00CC1733">
        <w:rPr>
          <w:spacing w:val="-4"/>
          <w:rtl/>
        </w:rPr>
        <w:t>(</w:t>
      </w:r>
      <w:r w:rsidRPr="00CC1733">
        <w:rPr>
          <w:spacing w:val="-4"/>
          <w:szCs w:val="20"/>
          <w:rtl/>
        </w:rPr>
        <w:t>1</w:t>
      </w:r>
      <w:r w:rsidRPr="00CC1733">
        <w:rPr>
          <w:spacing w:val="-4"/>
          <w:rtl/>
        </w:rPr>
        <w:t>)، و(</w:t>
      </w:r>
      <w:r w:rsidRPr="00CC1733">
        <w:rPr>
          <w:spacing w:val="-4"/>
          <w:szCs w:val="20"/>
          <w:rtl/>
        </w:rPr>
        <w:t>2</w:t>
      </w:r>
      <w:r w:rsidRPr="00CC1733">
        <w:rPr>
          <w:spacing w:val="-4"/>
          <w:rtl/>
        </w:rPr>
        <w:t>)، و(</w:t>
      </w:r>
      <w:r w:rsidRPr="00CC1733">
        <w:rPr>
          <w:spacing w:val="-4"/>
          <w:szCs w:val="20"/>
          <w:rtl/>
        </w:rPr>
        <w:t>3</w:t>
      </w:r>
      <w:r w:rsidRPr="00CC1733">
        <w:rPr>
          <w:spacing w:val="-4"/>
          <w:rtl/>
        </w:rPr>
        <w:t>)(أ) و(ب) و(ج) و(ه)؛ و</w:t>
      </w:r>
      <w:r w:rsidRPr="00CC1733">
        <w:rPr>
          <w:spacing w:val="-4"/>
          <w:szCs w:val="20"/>
          <w:rtl/>
        </w:rPr>
        <w:t>5</w:t>
      </w:r>
      <w:r w:rsidRPr="00CC1733">
        <w:rPr>
          <w:spacing w:val="-4"/>
          <w:rtl/>
        </w:rPr>
        <w:t>؛ و</w:t>
      </w:r>
      <w:r w:rsidRPr="00CC1733">
        <w:rPr>
          <w:spacing w:val="-4"/>
          <w:szCs w:val="20"/>
          <w:rtl/>
        </w:rPr>
        <w:t>7</w:t>
      </w:r>
      <w:r w:rsidRPr="00CC1733">
        <w:rPr>
          <w:spacing w:val="-4"/>
          <w:rtl/>
        </w:rPr>
        <w:t>؛ و</w:t>
      </w:r>
      <w:r w:rsidRPr="00CC1733">
        <w:rPr>
          <w:spacing w:val="-4"/>
          <w:szCs w:val="20"/>
          <w:rtl/>
        </w:rPr>
        <w:t>26</w:t>
      </w:r>
      <w:r w:rsidRPr="00CC1733">
        <w:rPr>
          <w:spacing w:val="-4"/>
          <w:rtl/>
        </w:rPr>
        <w:t xml:space="preserve"> </w:t>
      </w:r>
    </w:p>
    <w:p w14:paraId="5276C91D" w14:textId="1E475BBB" w:rsidR="00344CF9" w:rsidRPr="00CC1733" w:rsidRDefault="00344CF9" w:rsidP="009C196B">
      <w:pPr>
        <w:pStyle w:val="SingleTxtGA"/>
        <w:tabs>
          <w:tab w:val="clear" w:pos="2608"/>
          <w:tab w:val="clear" w:pos="3289"/>
          <w:tab w:val="clear" w:pos="3969"/>
          <w:tab w:val="clear" w:pos="4649"/>
          <w:tab w:val="left" w:pos="4252"/>
        </w:tabs>
        <w:spacing w:line="380" w:lineRule="exact"/>
        <w:ind w:left="4252" w:hanging="2324"/>
        <w:rPr>
          <w:rtl/>
        </w:rPr>
      </w:pPr>
      <w:r w:rsidRPr="00CC1733">
        <w:rPr>
          <w:i/>
          <w:iCs/>
          <w:rtl/>
        </w:rPr>
        <w:t>مواد البروتوكول الاختياري:</w:t>
      </w:r>
      <w:r w:rsidRPr="00CC1733">
        <w:rPr>
          <w:rtl/>
        </w:rPr>
        <w:tab/>
      </w:r>
      <w:r w:rsidRPr="00CC1733">
        <w:rPr>
          <w:szCs w:val="20"/>
          <w:rtl/>
        </w:rPr>
        <w:t>2</w:t>
      </w:r>
      <w:r w:rsidRPr="00CC1733">
        <w:rPr>
          <w:rtl/>
        </w:rPr>
        <w:t>؛ و</w:t>
      </w:r>
      <w:r w:rsidRPr="00CC1733">
        <w:rPr>
          <w:szCs w:val="20"/>
          <w:rtl/>
        </w:rPr>
        <w:t>3</w:t>
      </w:r>
      <w:r w:rsidRPr="00CC1733">
        <w:rPr>
          <w:rtl/>
        </w:rPr>
        <w:t>؛ و</w:t>
      </w:r>
      <w:r w:rsidRPr="00CC1733">
        <w:rPr>
          <w:szCs w:val="20"/>
          <w:rtl/>
        </w:rPr>
        <w:t>5</w:t>
      </w:r>
      <w:r w:rsidRPr="00CC1733">
        <w:rPr>
          <w:rtl/>
        </w:rPr>
        <w:t>(</w:t>
      </w:r>
      <w:r w:rsidRPr="00CC1733">
        <w:rPr>
          <w:szCs w:val="20"/>
          <w:rtl/>
        </w:rPr>
        <w:t>2</w:t>
      </w:r>
      <w:r w:rsidRPr="00CC1733">
        <w:rPr>
          <w:rtl/>
        </w:rPr>
        <w:t>)(ب)</w:t>
      </w:r>
    </w:p>
    <w:p w14:paraId="320E4982" w14:textId="77777777" w:rsidR="00344CF9" w:rsidRPr="00CC1733" w:rsidRDefault="00344CF9" w:rsidP="009C196B">
      <w:pPr>
        <w:pStyle w:val="SingleTxtGA"/>
        <w:spacing w:line="380" w:lineRule="exact"/>
        <w:rPr>
          <w:rtl/>
        </w:rPr>
      </w:pPr>
      <w:r w:rsidRPr="00CC1733">
        <w:rPr>
          <w:szCs w:val="20"/>
          <w:rtl/>
        </w:rPr>
        <w:t>1</w:t>
      </w:r>
      <w:r w:rsidRPr="00CC1733">
        <w:rPr>
          <w:rtl/>
        </w:rPr>
        <w:t>-</w:t>
      </w:r>
      <w:r w:rsidRPr="00CC1733">
        <w:rPr>
          <w:szCs w:val="20"/>
          <w:rtl/>
        </w:rPr>
        <w:t>1</w:t>
      </w:r>
      <w:r w:rsidRPr="00CC1733">
        <w:rPr>
          <w:rtl/>
        </w:rPr>
        <w:tab/>
        <w:t xml:space="preserve">صاحب البلاغ هو ألبيرتو </w:t>
      </w:r>
      <w:proofErr w:type="spellStart"/>
      <w:r w:rsidRPr="00CC1733">
        <w:rPr>
          <w:rtl/>
        </w:rPr>
        <w:t>بيلاسكيث</w:t>
      </w:r>
      <w:proofErr w:type="spellEnd"/>
      <w:r w:rsidRPr="00CC1733">
        <w:rPr>
          <w:rtl/>
        </w:rPr>
        <w:t xml:space="preserve"> </w:t>
      </w:r>
      <w:proofErr w:type="spellStart"/>
      <w:r w:rsidRPr="00CC1733">
        <w:rPr>
          <w:rtl/>
        </w:rPr>
        <w:t>إتشيبيري</w:t>
      </w:r>
      <w:proofErr w:type="spellEnd"/>
      <w:r w:rsidRPr="00CC1733">
        <w:rPr>
          <w:rtl/>
        </w:rPr>
        <w:t xml:space="preserve">، وهو مواطن كولومبي، وُلد في عام </w:t>
      </w:r>
      <w:r w:rsidRPr="00CC1733">
        <w:rPr>
          <w:szCs w:val="20"/>
          <w:rtl/>
        </w:rPr>
        <w:t>1949</w:t>
      </w:r>
      <w:r w:rsidRPr="00CC1733">
        <w:rPr>
          <w:rtl/>
        </w:rPr>
        <w:t xml:space="preserve">. </w:t>
      </w:r>
      <w:r w:rsidRPr="00CC1733">
        <w:rPr>
          <w:spacing w:val="-2"/>
          <w:rtl/>
        </w:rPr>
        <w:t xml:space="preserve">ويدَّعي أنه ضحية انتهاك الدولة الطرف حقوقَه الواردة في المواد </w:t>
      </w:r>
      <w:r w:rsidRPr="00CC1733">
        <w:rPr>
          <w:spacing w:val="-2"/>
          <w:szCs w:val="20"/>
          <w:rtl/>
        </w:rPr>
        <w:t>2</w:t>
      </w:r>
      <w:r w:rsidRPr="00CC1733">
        <w:rPr>
          <w:spacing w:val="-2"/>
          <w:rtl/>
        </w:rPr>
        <w:t>، و</w:t>
      </w:r>
      <w:r w:rsidRPr="00CC1733">
        <w:rPr>
          <w:spacing w:val="-2"/>
          <w:szCs w:val="20"/>
          <w:rtl/>
        </w:rPr>
        <w:t>3</w:t>
      </w:r>
      <w:r w:rsidRPr="00CC1733">
        <w:rPr>
          <w:spacing w:val="-2"/>
          <w:rtl/>
        </w:rPr>
        <w:t>، و</w:t>
      </w:r>
      <w:r w:rsidRPr="00CC1733">
        <w:rPr>
          <w:spacing w:val="-2"/>
          <w:szCs w:val="20"/>
          <w:rtl/>
        </w:rPr>
        <w:t>9</w:t>
      </w:r>
      <w:r w:rsidRPr="00CC1733">
        <w:rPr>
          <w:spacing w:val="-2"/>
          <w:rtl/>
        </w:rPr>
        <w:t>(</w:t>
      </w:r>
      <w:r w:rsidRPr="00CC1733">
        <w:rPr>
          <w:spacing w:val="-2"/>
          <w:szCs w:val="20"/>
          <w:rtl/>
        </w:rPr>
        <w:t>1</w:t>
      </w:r>
      <w:r w:rsidRPr="00CC1733">
        <w:rPr>
          <w:spacing w:val="-2"/>
          <w:rtl/>
        </w:rPr>
        <w:t>)، و</w:t>
      </w:r>
      <w:r w:rsidRPr="00CC1733">
        <w:rPr>
          <w:spacing w:val="-2"/>
          <w:szCs w:val="20"/>
          <w:rtl/>
        </w:rPr>
        <w:t>14</w:t>
      </w:r>
      <w:r w:rsidRPr="00CC1733">
        <w:rPr>
          <w:spacing w:val="-2"/>
          <w:rtl/>
        </w:rPr>
        <w:t>(</w:t>
      </w:r>
      <w:r w:rsidRPr="00CC1733">
        <w:rPr>
          <w:spacing w:val="-2"/>
          <w:szCs w:val="20"/>
          <w:rtl/>
        </w:rPr>
        <w:t>1</w:t>
      </w:r>
      <w:r w:rsidRPr="00CC1733">
        <w:rPr>
          <w:spacing w:val="-2"/>
          <w:rtl/>
        </w:rPr>
        <w:t>) و(</w:t>
      </w:r>
      <w:r w:rsidRPr="00CC1733">
        <w:rPr>
          <w:spacing w:val="-2"/>
          <w:szCs w:val="20"/>
          <w:rtl/>
        </w:rPr>
        <w:t>2</w:t>
      </w:r>
      <w:r w:rsidRPr="00CC1733">
        <w:rPr>
          <w:spacing w:val="-2"/>
          <w:rtl/>
        </w:rPr>
        <w:t>) و(</w:t>
      </w:r>
      <w:r w:rsidRPr="00CC1733">
        <w:rPr>
          <w:spacing w:val="-2"/>
          <w:szCs w:val="20"/>
          <w:rtl/>
        </w:rPr>
        <w:t>3</w:t>
      </w:r>
      <w:r w:rsidRPr="00CC1733">
        <w:rPr>
          <w:spacing w:val="-2"/>
          <w:rtl/>
        </w:rPr>
        <w:t xml:space="preserve">)(أ) و(ب) </w:t>
      </w:r>
      <w:r w:rsidRPr="00CC1733">
        <w:rPr>
          <w:spacing w:val="-4"/>
          <w:rtl/>
        </w:rPr>
        <w:t>و(ج) و(ه)، و</w:t>
      </w:r>
      <w:r w:rsidRPr="00CC1733">
        <w:rPr>
          <w:spacing w:val="-4"/>
          <w:szCs w:val="20"/>
          <w:rtl/>
        </w:rPr>
        <w:t>5</w:t>
      </w:r>
      <w:r w:rsidRPr="00CC1733">
        <w:rPr>
          <w:spacing w:val="-4"/>
          <w:rtl/>
        </w:rPr>
        <w:t>، و</w:t>
      </w:r>
      <w:r w:rsidRPr="00CC1733">
        <w:rPr>
          <w:spacing w:val="-4"/>
          <w:szCs w:val="20"/>
          <w:rtl/>
        </w:rPr>
        <w:t>7</w:t>
      </w:r>
      <w:r w:rsidRPr="00CC1733">
        <w:rPr>
          <w:spacing w:val="-4"/>
          <w:rtl/>
        </w:rPr>
        <w:t>، و</w:t>
      </w:r>
      <w:r w:rsidRPr="00CC1733">
        <w:rPr>
          <w:spacing w:val="-4"/>
          <w:szCs w:val="20"/>
          <w:rtl/>
        </w:rPr>
        <w:t>26</w:t>
      </w:r>
      <w:r w:rsidRPr="00CC1733">
        <w:rPr>
          <w:spacing w:val="-4"/>
          <w:rtl/>
        </w:rPr>
        <w:t xml:space="preserve"> من العهد. ويمثّل صاحبَ البلاغ محام. وقد دخل البروتوكول الاختياري</w:t>
      </w:r>
      <w:r w:rsidRPr="00CC1733">
        <w:rPr>
          <w:rtl/>
        </w:rPr>
        <w:t xml:space="preserve"> حيز النفاذ بالنسبة للدولة الطرف في </w:t>
      </w:r>
      <w:r w:rsidRPr="00CC1733">
        <w:rPr>
          <w:szCs w:val="20"/>
          <w:rtl/>
        </w:rPr>
        <w:t>29</w:t>
      </w:r>
      <w:r w:rsidRPr="00CC1733">
        <w:rPr>
          <w:rtl/>
        </w:rPr>
        <w:t xml:space="preserve"> تشرين الأول/أكتوبر </w:t>
      </w:r>
      <w:r w:rsidRPr="00CC1733">
        <w:rPr>
          <w:szCs w:val="20"/>
          <w:rtl/>
        </w:rPr>
        <w:t>1969</w:t>
      </w:r>
      <w:r w:rsidRPr="00CC1733">
        <w:rPr>
          <w:rtl/>
        </w:rPr>
        <w:t>.</w:t>
      </w:r>
    </w:p>
    <w:p w14:paraId="6926D03F" w14:textId="77777777" w:rsidR="00344CF9" w:rsidRPr="00CC1733" w:rsidRDefault="00344CF9" w:rsidP="009C196B">
      <w:pPr>
        <w:pStyle w:val="SingleTxtGA"/>
        <w:spacing w:line="380" w:lineRule="exact"/>
        <w:rPr>
          <w:rtl/>
        </w:rPr>
      </w:pPr>
      <w:r w:rsidRPr="00CC1733">
        <w:rPr>
          <w:szCs w:val="20"/>
          <w:rtl/>
        </w:rPr>
        <w:t>1</w:t>
      </w:r>
      <w:r w:rsidRPr="00CC1733">
        <w:rPr>
          <w:rtl/>
        </w:rPr>
        <w:t>-</w:t>
      </w:r>
      <w:r w:rsidRPr="00CC1733">
        <w:rPr>
          <w:szCs w:val="20"/>
          <w:rtl/>
        </w:rPr>
        <w:t>2</w:t>
      </w:r>
      <w:r w:rsidRPr="00CC1733">
        <w:rPr>
          <w:rtl/>
        </w:rPr>
        <w:tab/>
      </w:r>
      <w:r w:rsidRPr="00CC1733">
        <w:rPr>
          <w:spacing w:val="-4"/>
          <w:rtl/>
        </w:rPr>
        <w:t xml:space="preserve">وفي </w:t>
      </w:r>
      <w:r w:rsidRPr="00CC1733">
        <w:rPr>
          <w:spacing w:val="-4"/>
          <w:szCs w:val="20"/>
          <w:rtl/>
        </w:rPr>
        <w:t>1</w:t>
      </w:r>
      <w:r w:rsidRPr="00CC1733">
        <w:rPr>
          <w:spacing w:val="-4"/>
          <w:rtl/>
        </w:rPr>
        <w:t xml:space="preserve"> آب/أغسطس </w:t>
      </w:r>
      <w:r w:rsidRPr="00CC1733">
        <w:rPr>
          <w:spacing w:val="-4"/>
          <w:szCs w:val="20"/>
          <w:rtl/>
        </w:rPr>
        <w:t>2016</w:t>
      </w:r>
      <w:r w:rsidRPr="00CC1733">
        <w:rPr>
          <w:spacing w:val="-4"/>
          <w:rtl/>
        </w:rPr>
        <w:t>، قررت اللجنة، عن طريق مقررها الخاص المعني بالبلاغات الجديدة</w:t>
      </w:r>
      <w:r w:rsidRPr="00CC1733">
        <w:rPr>
          <w:rtl/>
        </w:rPr>
        <w:t xml:space="preserve"> والتدابير المؤقتة، عدم توجيه طلب إلى الدولة الطرف باتخاذ تدابير مؤقتة لفائدة صاحب البلاغ، بموجب المادة </w:t>
      </w:r>
      <w:r w:rsidRPr="00CC1733">
        <w:rPr>
          <w:szCs w:val="20"/>
          <w:rtl/>
        </w:rPr>
        <w:t>94</w:t>
      </w:r>
      <w:r w:rsidRPr="00CC1733">
        <w:rPr>
          <w:rtl/>
        </w:rPr>
        <w:t xml:space="preserve"> من نظامها الداخلي.</w:t>
      </w:r>
    </w:p>
    <w:p w14:paraId="111000CB" w14:textId="7EC0BA6D" w:rsidR="00344CF9" w:rsidRPr="00CC1733" w:rsidRDefault="00344CF9" w:rsidP="009C196B">
      <w:pPr>
        <w:pStyle w:val="SingleTxtGA"/>
        <w:spacing w:line="380" w:lineRule="exact"/>
        <w:rPr>
          <w:rtl/>
        </w:rPr>
      </w:pPr>
      <w:r w:rsidRPr="00CC1733">
        <w:rPr>
          <w:szCs w:val="20"/>
          <w:rtl/>
        </w:rPr>
        <w:t>1</w:t>
      </w:r>
      <w:r w:rsidRPr="00CC1733">
        <w:rPr>
          <w:rtl/>
        </w:rPr>
        <w:t>-</w:t>
      </w:r>
      <w:r w:rsidRPr="00CC1733">
        <w:rPr>
          <w:szCs w:val="20"/>
          <w:rtl/>
        </w:rPr>
        <w:t>3</w:t>
      </w:r>
      <w:r w:rsidRPr="00CC1733">
        <w:rPr>
          <w:rtl/>
        </w:rPr>
        <w:tab/>
        <w:t xml:space="preserve">وفي </w:t>
      </w:r>
      <w:r w:rsidRPr="00CC1733">
        <w:rPr>
          <w:szCs w:val="20"/>
          <w:rtl/>
        </w:rPr>
        <w:t>8</w:t>
      </w:r>
      <w:r w:rsidRPr="00CC1733">
        <w:rPr>
          <w:rtl/>
        </w:rPr>
        <w:t xml:space="preserve"> شباط/فبراير </w:t>
      </w:r>
      <w:r w:rsidRPr="00CC1733">
        <w:rPr>
          <w:szCs w:val="20"/>
          <w:rtl/>
        </w:rPr>
        <w:t>2017</w:t>
      </w:r>
      <w:r w:rsidRPr="00CC1733">
        <w:rPr>
          <w:rtl/>
        </w:rPr>
        <w:t xml:space="preserve">، قررت اللجنة، عن طريق مقررها الخاص المعني بالبلاغات الجديدة والتدابير </w:t>
      </w:r>
      <w:proofErr w:type="gramStart"/>
      <w:r w:rsidRPr="00CC1733">
        <w:rPr>
          <w:rtl/>
        </w:rPr>
        <w:t>المؤقتة</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3"/>
      </w:r>
      <w:r w:rsidRPr="00CC1733">
        <w:rPr>
          <w:vertAlign w:val="superscript"/>
          <w:rtl/>
        </w:rPr>
        <w:t>)</w:t>
      </w:r>
      <w:r w:rsidRPr="00CC1733">
        <w:rPr>
          <w:rtl/>
        </w:rPr>
        <w:t xml:space="preserve">، أن تطلب إلى الدولة الطرف إعمال التدبير المؤقت الذي طلبه صاحب البلاغ، والذي يتمثل في إبقائه رهن الإقامة الجبرية، وذلك بموجب المادة </w:t>
      </w:r>
      <w:r w:rsidRPr="00CC1733">
        <w:rPr>
          <w:szCs w:val="20"/>
          <w:rtl/>
        </w:rPr>
        <w:t>94</w:t>
      </w:r>
      <w:r w:rsidRPr="00CC1733">
        <w:rPr>
          <w:rtl/>
        </w:rPr>
        <w:t xml:space="preserve"> من نظامها الداخلي</w:t>
      </w:r>
      <w:r w:rsidRPr="00CC1733">
        <w:rPr>
          <w:vertAlign w:val="superscript"/>
          <w:rtl/>
        </w:rPr>
        <w:t>(</w:t>
      </w:r>
      <w:r w:rsidRPr="00CC1733">
        <w:rPr>
          <w:rStyle w:val="FootnoteReference"/>
          <w:rFonts w:ascii="Times New Roman" w:hAnsi="Times New Roman" w:cs="Times New Roman" w:hint="eastAsia"/>
          <w:b w:val="0"/>
          <w:position w:val="4"/>
          <w:sz w:val="20"/>
        </w:rPr>
        <w:footnoteReference w:id="4"/>
      </w:r>
      <w:r w:rsidRPr="00CC1733">
        <w:rPr>
          <w:vertAlign w:val="superscript"/>
          <w:rtl/>
        </w:rPr>
        <w:t>)</w:t>
      </w:r>
      <w:r w:rsidRPr="00CC1733">
        <w:rPr>
          <w:rtl/>
        </w:rPr>
        <w:t xml:space="preserve">. </w:t>
      </w:r>
    </w:p>
    <w:p w14:paraId="2DFB218C" w14:textId="77777777" w:rsidR="00344CF9" w:rsidRPr="00CC1733" w:rsidRDefault="00344CF9" w:rsidP="00344CF9">
      <w:pPr>
        <w:pStyle w:val="H23GA"/>
        <w:rPr>
          <w:rFonts w:hint="eastAsia"/>
          <w:rtl/>
        </w:rPr>
      </w:pPr>
      <w:r w:rsidRPr="00CC1733">
        <w:rPr>
          <w:rtl/>
        </w:rPr>
        <w:tab/>
      </w:r>
      <w:r w:rsidRPr="00CC1733">
        <w:rPr>
          <w:rtl/>
        </w:rPr>
        <w:tab/>
        <w:t xml:space="preserve">الأسس </w:t>
      </w:r>
      <w:proofErr w:type="spellStart"/>
      <w:r w:rsidRPr="00CC1733">
        <w:rPr>
          <w:rtl/>
        </w:rPr>
        <w:t>الوقائعية</w:t>
      </w:r>
      <w:proofErr w:type="spellEnd"/>
    </w:p>
    <w:p w14:paraId="1642BB5F" w14:textId="77777777" w:rsidR="00344CF9" w:rsidRPr="00CC1733" w:rsidRDefault="00344CF9" w:rsidP="009C196B">
      <w:pPr>
        <w:pStyle w:val="SingleTxtGA"/>
        <w:spacing w:line="380" w:lineRule="exact"/>
        <w:rPr>
          <w:rtl/>
        </w:rPr>
      </w:pPr>
      <w:r w:rsidRPr="00CC1733">
        <w:rPr>
          <w:szCs w:val="20"/>
          <w:rtl/>
        </w:rPr>
        <w:t>2</w:t>
      </w:r>
      <w:r w:rsidRPr="00CC1733">
        <w:rPr>
          <w:rtl/>
        </w:rPr>
        <w:t>-</w:t>
      </w:r>
      <w:r w:rsidRPr="00CC1733">
        <w:rPr>
          <w:szCs w:val="20"/>
          <w:rtl/>
        </w:rPr>
        <w:t>1</w:t>
      </w:r>
      <w:r w:rsidRPr="00CC1733">
        <w:rPr>
          <w:rtl/>
        </w:rPr>
        <w:tab/>
        <w:t xml:space="preserve">خلال الفترة الممتدة بين </w:t>
      </w:r>
      <w:r w:rsidRPr="00CC1733">
        <w:rPr>
          <w:szCs w:val="20"/>
          <w:rtl/>
        </w:rPr>
        <w:t>7</w:t>
      </w:r>
      <w:r w:rsidRPr="00CC1733">
        <w:rPr>
          <w:rtl/>
        </w:rPr>
        <w:t xml:space="preserve"> آب/أغسطس </w:t>
      </w:r>
      <w:r w:rsidRPr="00CC1733">
        <w:rPr>
          <w:szCs w:val="20"/>
          <w:rtl/>
        </w:rPr>
        <w:t>2002</w:t>
      </w:r>
      <w:r w:rsidRPr="00CC1733">
        <w:rPr>
          <w:rtl/>
        </w:rPr>
        <w:t xml:space="preserve"> و</w:t>
      </w:r>
      <w:r w:rsidRPr="00CC1733">
        <w:rPr>
          <w:szCs w:val="20"/>
          <w:rtl/>
        </w:rPr>
        <w:t>19</w:t>
      </w:r>
      <w:r w:rsidRPr="00CC1733">
        <w:rPr>
          <w:rtl/>
        </w:rPr>
        <w:t xml:space="preserve"> تموز/يوليه </w:t>
      </w:r>
      <w:r w:rsidRPr="00CC1733">
        <w:rPr>
          <w:szCs w:val="20"/>
          <w:rtl/>
        </w:rPr>
        <w:t>2004</w:t>
      </w:r>
      <w:r w:rsidRPr="00CC1733">
        <w:rPr>
          <w:rtl/>
        </w:rPr>
        <w:t xml:space="preserve">، كان صاحب البلاغ يشغل منصب مدير قسم الشؤون الإدارية لرئاسة جمهورية كولومبيا، إبَّان حكم رئيس الجمهورية آنذاك، </w:t>
      </w:r>
      <w:proofErr w:type="spellStart"/>
      <w:r w:rsidRPr="00CC1733">
        <w:rPr>
          <w:rtl/>
        </w:rPr>
        <w:t>آلبارو</w:t>
      </w:r>
      <w:proofErr w:type="spellEnd"/>
      <w:r w:rsidRPr="00CC1733">
        <w:rPr>
          <w:rtl/>
        </w:rPr>
        <w:t xml:space="preserve"> </w:t>
      </w:r>
      <w:proofErr w:type="spellStart"/>
      <w:r w:rsidRPr="00CC1733">
        <w:rPr>
          <w:rtl/>
        </w:rPr>
        <w:t>أوريبي</w:t>
      </w:r>
      <w:proofErr w:type="spellEnd"/>
      <w:r w:rsidRPr="00CC1733">
        <w:rPr>
          <w:rtl/>
        </w:rPr>
        <w:t>.</w:t>
      </w:r>
    </w:p>
    <w:p w14:paraId="191AF83E" w14:textId="744714C0" w:rsidR="00344CF9" w:rsidRPr="00CC1733" w:rsidRDefault="00344CF9" w:rsidP="009C196B">
      <w:pPr>
        <w:pStyle w:val="SingleTxtGA"/>
        <w:spacing w:line="380" w:lineRule="exact"/>
        <w:rPr>
          <w:rtl/>
        </w:rPr>
      </w:pPr>
      <w:r w:rsidRPr="00CC1733">
        <w:rPr>
          <w:szCs w:val="20"/>
          <w:rtl/>
        </w:rPr>
        <w:t>2</w:t>
      </w:r>
      <w:r w:rsidRPr="00CC1733">
        <w:rPr>
          <w:rtl/>
        </w:rPr>
        <w:t>-</w:t>
      </w:r>
      <w:r w:rsidRPr="00CC1733">
        <w:rPr>
          <w:szCs w:val="20"/>
          <w:rtl/>
        </w:rPr>
        <w:t>2</w:t>
      </w:r>
      <w:r w:rsidRPr="00CC1733">
        <w:rPr>
          <w:rtl/>
        </w:rPr>
        <w:tab/>
        <w:t xml:space="preserve">وقد وافقت اللجنة الأولى لمجلس النواب في كونغرس الجمهورية، خلال اجتماعها في الفترة </w:t>
      </w:r>
      <w:r w:rsidRPr="00CC1733">
        <w:rPr>
          <w:spacing w:val="4"/>
          <w:rtl/>
        </w:rPr>
        <w:t xml:space="preserve">الممتدة بين </w:t>
      </w:r>
      <w:r w:rsidRPr="00CC1733">
        <w:rPr>
          <w:spacing w:val="4"/>
          <w:szCs w:val="20"/>
          <w:rtl/>
        </w:rPr>
        <w:t>2</w:t>
      </w:r>
      <w:r w:rsidRPr="00CC1733">
        <w:rPr>
          <w:spacing w:val="4"/>
          <w:rtl/>
        </w:rPr>
        <w:t xml:space="preserve"> و</w:t>
      </w:r>
      <w:r w:rsidRPr="00CC1733">
        <w:rPr>
          <w:spacing w:val="4"/>
          <w:szCs w:val="20"/>
          <w:rtl/>
        </w:rPr>
        <w:t>4</w:t>
      </w:r>
      <w:r w:rsidRPr="00CC1733">
        <w:rPr>
          <w:spacing w:val="4"/>
          <w:rtl/>
        </w:rPr>
        <w:t xml:space="preserve"> حزيران/</w:t>
      </w:r>
      <w:proofErr w:type="gramStart"/>
      <w:r w:rsidRPr="00CC1733">
        <w:rPr>
          <w:spacing w:val="4"/>
          <w:rtl/>
        </w:rPr>
        <w:t>يونيه</w:t>
      </w:r>
      <w:proofErr w:type="gramEnd"/>
      <w:r w:rsidRPr="00CC1733">
        <w:rPr>
          <w:spacing w:val="4"/>
          <w:rtl/>
        </w:rPr>
        <w:t xml:space="preserve"> </w:t>
      </w:r>
      <w:r w:rsidRPr="00CC1733">
        <w:rPr>
          <w:spacing w:val="4"/>
          <w:szCs w:val="20"/>
          <w:rtl/>
        </w:rPr>
        <w:t>2004</w:t>
      </w:r>
      <w:r w:rsidRPr="00CC1733">
        <w:rPr>
          <w:spacing w:val="4"/>
          <w:rtl/>
        </w:rPr>
        <w:t xml:space="preserve">، على مشروع القانون التشريعي </w:t>
      </w:r>
      <w:r w:rsidRPr="00CC1733">
        <w:rPr>
          <w:spacing w:val="4"/>
          <w:szCs w:val="20"/>
          <w:rtl/>
        </w:rPr>
        <w:t>267</w:t>
      </w:r>
      <w:r w:rsidRPr="00CC1733">
        <w:rPr>
          <w:spacing w:val="4"/>
          <w:vertAlign w:val="superscript"/>
          <w:rtl/>
        </w:rPr>
        <w:t>(</w:t>
      </w:r>
      <w:r w:rsidRPr="00CC1733">
        <w:rPr>
          <w:rStyle w:val="FootnoteReference"/>
          <w:rFonts w:ascii="Times New Roman" w:hAnsi="Times New Roman" w:cs="Times New Roman" w:hint="eastAsia"/>
          <w:b w:val="0"/>
          <w:spacing w:val="4"/>
          <w:position w:val="4"/>
          <w:sz w:val="20"/>
        </w:rPr>
        <w:footnoteReference w:id="5"/>
      </w:r>
      <w:r w:rsidRPr="00CC1733">
        <w:rPr>
          <w:spacing w:val="4"/>
          <w:vertAlign w:val="superscript"/>
          <w:rtl/>
        </w:rPr>
        <w:t>)</w:t>
      </w:r>
      <w:r w:rsidRPr="00CC1733">
        <w:rPr>
          <w:spacing w:val="4"/>
          <w:rtl/>
        </w:rPr>
        <w:t>، الذي أتاح إمكانية</w:t>
      </w:r>
      <w:r w:rsidRPr="00CC1733">
        <w:rPr>
          <w:rtl/>
        </w:rPr>
        <w:t xml:space="preserve"> إعادة انتخاب رئيس الجمهورية آنذاك، </w:t>
      </w:r>
      <w:proofErr w:type="spellStart"/>
      <w:r w:rsidRPr="00CC1733">
        <w:rPr>
          <w:rtl/>
        </w:rPr>
        <w:t>آلبارو</w:t>
      </w:r>
      <w:proofErr w:type="spellEnd"/>
      <w:r w:rsidRPr="00CC1733">
        <w:rPr>
          <w:rtl/>
        </w:rPr>
        <w:t xml:space="preserve"> </w:t>
      </w:r>
      <w:proofErr w:type="spellStart"/>
      <w:r w:rsidRPr="00CC1733">
        <w:rPr>
          <w:rtl/>
        </w:rPr>
        <w:t>أوريبي</w:t>
      </w:r>
      <w:proofErr w:type="spellEnd"/>
      <w:r w:rsidRPr="00CC1733">
        <w:rPr>
          <w:rtl/>
        </w:rPr>
        <w:t xml:space="preserve">. وفي </w:t>
      </w:r>
      <w:r w:rsidRPr="00CC1733">
        <w:rPr>
          <w:szCs w:val="20"/>
          <w:rtl/>
        </w:rPr>
        <w:t>7</w:t>
      </w:r>
      <w:r w:rsidRPr="00CC1733">
        <w:rPr>
          <w:rtl/>
        </w:rPr>
        <w:t xml:space="preserve"> حزيران/يونيه </w:t>
      </w:r>
      <w:r w:rsidRPr="00CC1733">
        <w:rPr>
          <w:szCs w:val="20"/>
          <w:rtl/>
        </w:rPr>
        <w:t>2004</w:t>
      </w:r>
      <w:r w:rsidRPr="00CC1733">
        <w:rPr>
          <w:rtl/>
        </w:rPr>
        <w:t xml:space="preserve">، قدم عضو الكونغرس، </w:t>
      </w:r>
      <w:proofErr w:type="spellStart"/>
      <w:r w:rsidRPr="00CC1733">
        <w:rPr>
          <w:rtl/>
        </w:rPr>
        <w:t>خيرمان</w:t>
      </w:r>
      <w:proofErr w:type="spellEnd"/>
      <w:r w:rsidRPr="00CC1733">
        <w:rPr>
          <w:rtl/>
        </w:rPr>
        <w:t xml:space="preserve"> </w:t>
      </w:r>
      <w:proofErr w:type="spellStart"/>
      <w:r w:rsidRPr="00CC1733">
        <w:rPr>
          <w:rtl/>
        </w:rPr>
        <w:t>ناباس</w:t>
      </w:r>
      <w:proofErr w:type="spellEnd"/>
      <w:r w:rsidRPr="00CC1733">
        <w:rPr>
          <w:rtl/>
        </w:rPr>
        <w:t xml:space="preserve"> </w:t>
      </w:r>
      <w:proofErr w:type="spellStart"/>
      <w:r w:rsidRPr="00CC1733">
        <w:rPr>
          <w:rtl/>
        </w:rPr>
        <w:t>تاليرو</w:t>
      </w:r>
      <w:proofErr w:type="spellEnd"/>
      <w:r w:rsidRPr="00CC1733">
        <w:rPr>
          <w:rtl/>
        </w:rPr>
        <w:t xml:space="preserve">، شكوى إلى محكمة العدل </w:t>
      </w:r>
      <w:proofErr w:type="gramStart"/>
      <w:r w:rsidRPr="00CC1733">
        <w:rPr>
          <w:rtl/>
        </w:rPr>
        <w:t>العليا</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6"/>
      </w:r>
      <w:r w:rsidRPr="00CC1733">
        <w:rPr>
          <w:vertAlign w:val="superscript"/>
          <w:rtl/>
        </w:rPr>
        <w:t>)</w:t>
      </w:r>
      <w:r w:rsidRPr="00CC1733">
        <w:rPr>
          <w:rtl/>
        </w:rPr>
        <w:t xml:space="preserve"> ضد عضو الكونغرس، </w:t>
      </w:r>
      <w:proofErr w:type="spellStart"/>
      <w:r w:rsidRPr="00CC1733">
        <w:rPr>
          <w:rtl/>
        </w:rPr>
        <w:t>ييديس</w:t>
      </w:r>
      <w:proofErr w:type="spellEnd"/>
      <w:r w:rsidRPr="00CC1733">
        <w:rPr>
          <w:rtl/>
        </w:rPr>
        <w:t xml:space="preserve"> ميدينا بادِيَّا</w:t>
      </w:r>
      <w:r w:rsidRPr="00CC1733">
        <w:rPr>
          <w:vertAlign w:val="superscript"/>
          <w:rtl/>
        </w:rPr>
        <w:t>(</w:t>
      </w:r>
      <w:r w:rsidRPr="00CC1733">
        <w:rPr>
          <w:rStyle w:val="FootnoteReference"/>
          <w:rFonts w:ascii="Times New Roman" w:hAnsi="Times New Roman" w:cs="Times New Roman" w:hint="eastAsia"/>
          <w:b w:val="0"/>
          <w:position w:val="4"/>
          <w:sz w:val="20"/>
        </w:rPr>
        <w:footnoteReference w:id="7"/>
      </w:r>
      <w:r w:rsidRPr="00CC1733">
        <w:rPr>
          <w:vertAlign w:val="superscript"/>
          <w:rtl/>
        </w:rPr>
        <w:t>)</w:t>
      </w:r>
      <w:r w:rsidRPr="00CC1733">
        <w:rPr>
          <w:rtl/>
        </w:rPr>
        <w:t xml:space="preserve">، </w:t>
      </w:r>
      <w:r w:rsidRPr="00CC1733">
        <w:rPr>
          <w:rtl/>
        </w:rPr>
        <w:lastRenderedPageBreak/>
        <w:t xml:space="preserve">بتهمة الرشوة. وفي </w:t>
      </w:r>
      <w:r w:rsidRPr="00CC1733">
        <w:rPr>
          <w:szCs w:val="20"/>
          <w:rtl/>
        </w:rPr>
        <w:t>23</w:t>
      </w:r>
      <w:r w:rsidRPr="00CC1733">
        <w:rPr>
          <w:rtl/>
        </w:rPr>
        <w:t xml:space="preserve"> شباط/فبراير </w:t>
      </w:r>
      <w:r w:rsidRPr="00CC1733">
        <w:rPr>
          <w:szCs w:val="20"/>
          <w:rtl/>
        </w:rPr>
        <w:t>2005</w:t>
      </w:r>
      <w:r w:rsidRPr="00CC1733">
        <w:rPr>
          <w:rtl/>
        </w:rPr>
        <w:t xml:space="preserve">، أصدرت المحكمة قراراً بالامتناع عن النظر في هذه الشكوى وحفظت ملف التحقيق </w:t>
      </w:r>
      <w:proofErr w:type="gramStart"/>
      <w:r w:rsidRPr="00CC1733">
        <w:rPr>
          <w:rtl/>
        </w:rPr>
        <w:t>فيها</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8"/>
      </w:r>
      <w:r w:rsidRPr="00CC1733">
        <w:rPr>
          <w:vertAlign w:val="superscript"/>
          <w:rtl/>
        </w:rPr>
        <w:t>)</w:t>
      </w:r>
      <w:r w:rsidRPr="00CC1733">
        <w:rPr>
          <w:rtl/>
        </w:rPr>
        <w:t xml:space="preserve">. </w:t>
      </w:r>
    </w:p>
    <w:p w14:paraId="3AB21600" w14:textId="109B7445" w:rsidR="00344CF9" w:rsidRPr="00CC1733" w:rsidRDefault="00344CF9" w:rsidP="00344CF9">
      <w:pPr>
        <w:pStyle w:val="SingleTxtGA"/>
        <w:rPr>
          <w:rtl/>
        </w:rPr>
      </w:pPr>
      <w:r w:rsidRPr="00CC1733">
        <w:rPr>
          <w:szCs w:val="20"/>
          <w:rtl/>
        </w:rPr>
        <w:t>2</w:t>
      </w:r>
      <w:r w:rsidRPr="00CC1733">
        <w:rPr>
          <w:rtl/>
        </w:rPr>
        <w:t>-</w:t>
      </w:r>
      <w:r w:rsidRPr="00CC1733">
        <w:rPr>
          <w:szCs w:val="20"/>
          <w:rtl/>
        </w:rPr>
        <w:t>3</w:t>
      </w:r>
      <w:r w:rsidRPr="00CC1733">
        <w:rPr>
          <w:rtl/>
        </w:rPr>
        <w:tab/>
        <w:t xml:space="preserve">وفي شهري آذار/مارس ونيسان/أبريل </w:t>
      </w:r>
      <w:r w:rsidRPr="00CC1733">
        <w:rPr>
          <w:szCs w:val="20"/>
          <w:rtl/>
        </w:rPr>
        <w:t>2008</w:t>
      </w:r>
      <w:r w:rsidRPr="00CC1733">
        <w:rPr>
          <w:rtl/>
        </w:rPr>
        <w:t xml:space="preserve">، نُشر في وسائط الإعلام مقالان </w:t>
      </w:r>
      <w:proofErr w:type="gramStart"/>
      <w:r w:rsidRPr="00CC1733">
        <w:rPr>
          <w:rtl/>
        </w:rPr>
        <w:t>صحفيان</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9"/>
      </w:r>
      <w:r w:rsidRPr="00CC1733">
        <w:rPr>
          <w:vertAlign w:val="superscript"/>
          <w:rtl/>
        </w:rPr>
        <w:t>)</w:t>
      </w:r>
      <w:r w:rsidRPr="00CC1733">
        <w:rPr>
          <w:rtl/>
        </w:rPr>
        <w:t xml:space="preserve">، </w:t>
      </w:r>
      <w:r w:rsidRPr="00CC1733">
        <w:rPr>
          <w:spacing w:val="-4"/>
          <w:sz w:val="18"/>
          <w:szCs w:val="26"/>
          <w:rtl/>
        </w:rPr>
        <w:t>اعترفت فيهما السيدة مدينا بادِيَّا بأنها قبلت امتيازات بيروقراطية عرضها عليها صاحب البلاغ ومسؤولون</w:t>
      </w:r>
      <w:r w:rsidRPr="00CC1733">
        <w:rPr>
          <w:rtl/>
        </w:rPr>
        <w:t xml:space="preserve"> كبار آخرون، مقابل تصويتها لصالح اعتماد القانون التشريعي </w:t>
      </w:r>
      <w:r w:rsidRPr="00CC1733">
        <w:rPr>
          <w:szCs w:val="20"/>
          <w:rtl/>
        </w:rPr>
        <w:t>267</w:t>
      </w:r>
      <w:r w:rsidRPr="00CC1733">
        <w:rPr>
          <w:rtl/>
        </w:rPr>
        <w:t xml:space="preserve"> لعام </w:t>
      </w:r>
      <w:r w:rsidRPr="00CC1733">
        <w:rPr>
          <w:szCs w:val="20"/>
          <w:rtl/>
        </w:rPr>
        <w:t>2004</w:t>
      </w:r>
      <w:r w:rsidRPr="00CC1733">
        <w:rPr>
          <w:rtl/>
        </w:rPr>
        <w:t xml:space="preserve">. وعقب نشر هذين المقالين الصحفيين، قررت محكمة العدل العليا، في </w:t>
      </w:r>
      <w:r w:rsidRPr="00CC1733">
        <w:rPr>
          <w:szCs w:val="20"/>
          <w:rtl/>
        </w:rPr>
        <w:t>10</w:t>
      </w:r>
      <w:r w:rsidRPr="00CC1733">
        <w:rPr>
          <w:rtl/>
        </w:rPr>
        <w:t xml:space="preserve"> نيسان/أبريل </w:t>
      </w:r>
      <w:r w:rsidRPr="00CC1733">
        <w:rPr>
          <w:szCs w:val="20"/>
          <w:rtl/>
        </w:rPr>
        <w:t>2008</w:t>
      </w:r>
      <w:r w:rsidRPr="00CC1733">
        <w:rPr>
          <w:rtl/>
        </w:rPr>
        <w:t xml:space="preserve">، إلغاء قرار الامتناع عن النظر في الشكوى، المؤرخ </w:t>
      </w:r>
      <w:r w:rsidRPr="00CC1733">
        <w:rPr>
          <w:szCs w:val="20"/>
          <w:rtl/>
        </w:rPr>
        <w:t>23</w:t>
      </w:r>
      <w:r w:rsidRPr="00CC1733">
        <w:rPr>
          <w:rtl/>
        </w:rPr>
        <w:t xml:space="preserve"> شباط/فبراير </w:t>
      </w:r>
      <w:r w:rsidRPr="00CC1733">
        <w:rPr>
          <w:szCs w:val="20"/>
          <w:rtl/>
        </w:rPr>
        <w:t>2005</w:t>
      </w:r>
      <w:r w:rsidRPr="00CC1733">
        <w:rPr>
          <w:rtl/>
        </w:rPr>
        <w:t xml:space="preserve">، وباشرت إجراءات جنائية ضد السيدة </w:t>
      </w:r>
      <w:proofErr w:type="spellStart"/>
      <w:r w:rsidRPr="00CC1733">
        <w:rPr>
          <w:rtl/>
        </w:rPr>
        <w:t>ييديس</w:t>
      </w:r>
      <w:proofErr w:type="spellEnd"/>
      <w:r w:rsidRPr="00CC1733">
        <w:rPr>
          <w:rtl/>
        </w:rPr>
        <w:t xml:space="preserve"> ميدينا بادِيَّا، العضو السابق في الكونغرس، التي أدينت في نهاية المطاف في </w:t>
      </w:r>
      <w:r w:rsidRPr="00CC1733">
        <w:rPr>
          <w:szCs w:val="20"/>
          <w:rtl/>
        </w:rPr>
        <w:t>26</w:t>
      </w:r>
      <w:r w:rsidRPr="00CC1733">
        <w:rPr>
          <w:rtl/>
        </w:rPr>
        <w:t xml:space="preserve"> حزيران/يونيه </w:t>
      </w:r>
      <w:r w:rsidRPr="00CC1733">
        <w:rPr>
          <w:szCs w:val="20"/>
          <w:rtl/>
        </w:rPr>
        <w:t>2008</w:t>
      </w:r>
      <w:r w:rsidRPr="00CC1733">
        <w:rPr>
          <w:rtl/>
        </w:rPr>
        <w:t xml:space="preserve"> من خلال حكم </w:t>
      </w:r>
      <w:proofErr w:type="gramStart"/>
      <w:r w:rsidRPr="00CC1733">
        <w:rPr>
          <w:rtl/>
        </w:rPr>
        <w:t>مستعجل</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10"/>
      </w:r>
      <w:r w:rsidRPr="00CC1733">
        <w:rPr>
          <w:vertAlign w:val="superscript"/>
          <w:rtl/>
        </w:rPr>
        <w:t>)</w:t>
      </w:r>
      <w:r w:rsidRPr="00CC1733">
        <w:rPr>
          <w:rtl/>
        </w:rPr>
        <w:t xml:space="preserve"> بتهمة تلقي الرشوة، بعدما اعترفت أنها قبلت وعداً بمكافأة من صاحب البلاغ ومسؤولين كبار آخرين، مقابل تصويتها لصالح مشروع القانون التشريعي </w:t>
      </w:r>
      <w:r w:rsidRPr="00CC1733">
        <w:rPr>
          <w:szCs w:val="20"/>
          <w:rtl/>
        </w:rPr>
        <w:t>267</w:t>
      </w:r>
      <w:r w:rsidRPr="00CC1733">
        <w:rPr>
          <w:rtl/>
        </w:rPr>
        <w:t>، الذي أتاح إمكانية إعادة انتخاب رئيس الجمهورية</w:t>
      </w:r>
      <w:r w:rsidRPr="00CC1733">
        <w:rPr>
          <w:vertAlign w:val="superscript"/>
          <w:rtl/>
        </w:rPr>
        <w:t>(</w:t>
      </w:r>
      <w:r w:rsidRPr="00CC1733">
        <w:rPr>
          <w:rStyle w:val="FootnoteReference"/>
          <w:rFonts w:ascii="Times New Roman" w:hAnsi="Times New Roman" w:cs="Times New Roman" w:hint="eastAsia"/>
          <w:b w:val="0"/>
          <w:position w:val="4"/>
          <w:sz w:val="20"/>
        </w:rPr>
        <w:footnoteReference w:id="11"/>
      </w:r>
      <w:r w:rsidRPr="00CC1733">
        <w:rPr>
          <w:vertAlign w:val="superscript"/>
          <w:rtl/>
        </w:rPr>
        <w:t>)</w:t>
      </w:r>
      <w:r w:rsidRPr="00CC1733">
        <w:rPr>
          <w:rtl/>
        </w:rPr>
        <w:t xml:space="preserve">. </w:t>
      </w:r>
    </w:p>
    <w:p w14:paraId="5D02CFAC" w14:textId="6A302FF5" w:rsidR="00344CF9" w:rsidRPr="00CC1733" w:rsidRDefault="00344CF9" w:rsidP="00344CF9">
      <w:pPr>
        <w:pStyle w:val="SingleTxtGA"/>
        <w:rPr>
          <w:rtl/>
        </w:rPr>
      </w:pPr>
      <w:r w:rsidRPr="00CC1733">
        <w:rPr>
          <w:szCs w:val="20"/>
          <w:rtl/>
        </w:rPr>
        <w:t>2</w:t>
      </w:r>
      <w:r w:rsidRPr="00CC1733">
        <w:rPr>
          <w:rtl/>
        </w:rPr>
        <w:t>-</w:t>
      </w:r>
      <w:r w:rsidRPr="00CC1733">
        <w:rPr>
          <w:szCs w:val="20"/>
          <w:rtl/>
        </w:rPr>
        <w:t>4</w:t>
      </w:r>
      <w:r w:rsidRPr="00CC1733">
        <w:rPr>
          <w:rtl/>
        </w:rPr>
        <w:tab/>
        <w:t xml:space="preserve">وعلاوة على ذلك، واستناداً إلى المعلومات التي قدمتها السيدة مدينا بادِيَّا إلى وسائط الإعلام، باشر مكتب المدعي العام، في </w:t>
      </w:r>
      <w:r w:rsidRPr="00CC1733">
        <w:rPr>
          <w:szCs w:val="20"/>
          <w:rtl/>
        </w:rPr>
        <w:t>14</w:t>
      </w:r>
      <w:r w:rsidRPr="00CC1733">
        <w:rPr>
          <w:rtl/>
        </w:rPr>
        <w:t xml:space="preserve"> أيار/مايو </w:t>
      </w:r>
      <w:r w:rsidRPr="00CC1733">
        <w:rPr>
          <w:szCs w:val="20"/>
          <w:rtl/>
        </w:rPr>
        <w:t>2008</w:t>
      </w:r>
      <w:r w:rsidRPr="00CC1733">
        <w:rPr>
          <w:rtl/>
        </w:rPr>
        <w:t xml:space="preserve">، بحكم وظيفته، تحقيقاً في سلوك صاحب البلاغ، أفضى إلى صدور قرار إداري بتبرئته في </w:t>
      </w:r>
      <w:r w:rsidRPr="00CC1733">
        <w:rPr>
          <w:szCs w:val="20"/>
          <w:rtl/>
        </w:rPr>
        <w:t>16</w:t>
      </w:r>
      <w:r w:rsidRPr="00CC1733">
        <w:rPr>
          <w:rtl/>
        </w:rPr>
        <w:t xml:space="preserve"> آذار/مارس </w:t>
      </w:r>
      <w:r w:rsidRPr="00CC1733">
        <w:rPr>
          <w:szCs w:val="20"/>
          <w:rtl/>
        </w:rPr>
        <w:t>2009</w:t>
      </w:r>
      <w:r w:rsidRPr="00CC1733">
        <w:rPr>
          <w:vertAlign w:val="superscript"/>
          <w:rtl/>
        </w:rPr>
        <w:t>(</w:t>
      </w:r>
      <w:r w:rsidRPr="00CC1733">
        <w:rPr>
          <w:rStyle w:val="FootnoteReference"/>
          <w:rFonts w:ascii="Times New Roman" w:hAnsi="Times New Roman" w:cs="Times New Roman" w:hint="eastAsia"/>
          <w:b w:val="0"/>
          <w:position w:val="4"/>
          <w:sz w:val="20"/>
        </w:rPr>
        <w:footnoteReference w:id="12"/>
      </w:r>
      <w:r w:rsidRPr="00CC1733">
        <w:rPr>
          <w:vertAlign w:val="superscript"/>
          <w:rtl/>
        </w:rPr>
        <w:t>)</w:t>
      </w:r>
      <w:r w:rsidRPr="00CC1733">
        <w:rPr>
          <w:rtl/>
        </w:rPr>
        <w:t>.</w:t>
      </w:r>
    </w:p>
    <w:p w14:paraId="4FE5D2E0" w14:textId="6B79D878" w:rsidR="00344CF9" w:rsidRPr="00CC1733" w:rsidRDefault="00344CF9" w:rsidP="00344CF9">
      <w:pPr>
        <w:pStyle w:val="SingleTxtGA"/>
        <w:rPr>
          <w:rtl/>
        </w:rPr>
      </w:pPr>
      <w:r w:rsidRPr="00CC1733">
        <w:rPr>
          <w:szCs w:val="20"/>
          <w:rtl/>
        </w:rPr>
        <w:t>2</w:t>
      </w:r>
      <w:r w:rsidRPr="00CC1733">
        <w:rPr>
          <w:rtl/>
        </w:rPr>
        <w:t>-</w:t>
      </w:r>
      <w:r w:rsidRPr="00CC1733">
        <w:rPr>
          <w:szCs w:val="20"/>
          <w:rtl/>
        </w:rPr>
        <w:t>5</w:t>
      </w:r>
      <w:r w:rsidRPr="00CC1733">
        <w:rPr>
          <w:rtl/>
        </w:rPr>
        <w:tab/>
        <w:t xml:space="preserve">وفي </w:t>
      </w:r>
      <w:r w:rsidRPr="00CC1733">
        <w:rPr>
          <w:szCs w:val="20"/>
          <w:rtl/>
        </w:rPr>
        <w:t>8</w:t>
      </w:r>
      <w:r w:rsidRPr="00CC1733">
        <w:rPr>
          <w:rtl/>
        </w:rPr>
        <w:t xml:space="preserve"> أيار/مايو </w:t>
      </w:r>
      <w:r w:rsidRPr="00CC1733">
        <w:rPr>
          <w:szCs w:val="20"/>
          <w:rtl/>
        </w:rPr>
        <w:t>2008</w:t>
      </w:r>
      <w:r w:rsidRPr="00CC1733">
        <w:rPr>
          <w:rtl/>
        </w:rPr>
        <w:t>، أحالت محكمة العدل العليا إلى مكتب المدعي العام وثائق ملف</w:t>
      </w:r>
      <w:r w:rsidR="009C196B" w:rsidRPr="00CC1733">
        <w:rPr>
          <w:rFonts w:hint="cs"/>
          <w:rtl/>
        </w:rPr>
        <w:t> </w:t>
      </w:r>
      <w:r w:rsidRPr="00CC1733">
        <w:rPr>
          <w:rtl/>
        </w:rPr>
        <w:t xml:space="preserve">قضية السيدة مدينا بادِيَّا كي يباشر، إن رأى ذلك مناسباً، التحقيق الجنائي ضد صاحب البلاغ. وفي </w:t>
      </w:r>
      <w:r w:rsidRPr="00CC1733">
        <w:rPr>
          <w:szCs w:val="20"/>
          <w:rtl/>
        </w:rPr>
        <w:t>13</w:t>
      </w:r>
      <w:r w:rsidRPr="00CC1733">
        <w:rPr>
          <w:rtl/>
        </w:rPr>
        <w:t xml:space="preserve"> حزيران/يونيه </w:t>
      </w:r>
      <w:r w:rsidRPr="00CC1733">
        <w:rPr>
          <w:szCs w:val="20"/>
          <w:rtl/>
        </w:rPr>
        <w:t>2008</w:t>
      </w:r>
      <w:r w:rsidRPr="00CC1733">
        <w:rPr>
          <w:rtl/>
        </w:rPr>
        <w:t xml:space="preserve">، أعلن المدعي العام آنذاك أن ثمة ما يمنعه من النظر في </w:t>
      </w:r>
      <w:proofErr w:type="gramStart"/>
      <w:r w:rsidRPr="00CC1733">
        <w:rPr>
          <w:rtl/>
        </w:rPr>
        <w:t>القضية</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13"/>
      </w:r>
      <w:r w:rsidRPr="00CC1733">
        <w:rPr>
          <w:vertAlign w:val="superscript"/>
          <w:rtl/>
        </w:rPr>
        <w:t>)</w:t>
      </w:r>
      <w:r w:rsidRPr="00CC1733">
        <w:rPr>
          <w:rtl/>
        </w:rPr>
        <w:t xml:space="preserve">. </w:t>
      </w:r>
      <w:r w:rsidR="009C196B" w:rsidRPr="00CC1733">
        <w:rPr>
          <w:rFonts w:hint="cs"/>
          <w:rtl/>
        </w:rPr>
        <w:t xml:space="preserve">        </w:t>
      </w:r>
      <w:r w:rsidRPr="00CC1733">
        <w:rPr>
          <w:rtl/>
        </w:rPr>
        <w:lastRenderedPageBreak/>
        <w:t xml:space="preserve">وفي </w:t>
      </w:r>
      <w:r w:rsidRPr="00CC1733">
        <w:rPr>
          <w:szCs w:val="20"/>
          <w:rtl/>
        </w:rPr>
        <w:t>23</w:t>
      </w:r>
      <w:r w:rsidRPr="00CC1733">
        <w:rPr>
          <w:rtl/>
        </w:rPr>
        <w:t xml:space="preserve"> حزيران/يونيه </w:t>
      </w:r>
      <w:r w:rsidRPr="00CC1733">
        <w:rPr>
          <w:szCs w:val="20"/>
          <w:rtl/>
        </w:rPr>
        <w:t>2008</w:t>
      </w:r>
      <w:r w:rsidRPr="00CC1733">
        <w:rPr>
          <w:rtl/>
        </w:rPr>
        <w:t xml:space="preserve">، تولى نائب المدعي العام آنذاك مهمة إجراء التحقيق الجنائي ضد صاحب البلاغ ومسؤولين كبار </w:t>
      </w:r>
      <w:proofErr w:type="gramStart"/>
      <w:r w:rsidRPr="00CC1733">
        <w:rPr>
          <w:rtl/>
        </w:rPr>
        <w:t>آخرين</w:t>
      </w:r>
      <w:r w:rsidRPr="00CC1733">
        <w:rPr>
          <w:vertAlign w:val="superscript"/>
          <w:rtl/>
        </w:rPr>
        <w:t>(</w:t>
      </w:r>
      <w:proofErr w:type="gramEnd"/>
      <w:r w:rsidRPr="00CC1733">
        <w:rPr>
          <w:rStyle w:val="FootnoteReference"/>
          <w:rFonts w:ascii="Times New Roman" w:hAnsi="Times New Roman" w:cs="Times New Roman" w:hint="eastAsia"/>
          <w:b w:val="0"/>
          <w:position w:val="4"/>
          <w:sz w:val="20"/>
        </w:rPr>
        <w:footnoteReference w:id="14"/>
      </w:r>
      <w:r w:rsidRPr="00CC1733">
        <w:rPr>
          <w:vertAlign w:val="superscript"/>
          <w:rtl/>
        </w:rPr>
        <w:t>)</w:t>
      </w:r>
      <w:r w:rsidRPr="00CC1733">
        <w:rPr>
          <w:rtl/>
        </w:rPr>
        <w:t xml:space="preserve">، وقرر، في </w:t>
      </w:r>
      <w:r w:rsidRPr="00CC1733">
        <w:rPr>
          <w:szCs w:val="20"/>
          <w:rtl/>
        </w:rPr>
        <w:t>8</w:t>
      </w:r>
      <w:r w:rsidRPr="00CC1733">
        <w:rPr>
          <w:rtl/>
        </w:rPr>
        <w:t xml:space="preserve"> تشرين الثاني/نوفمبر </w:t>
      </w:r>
      <w:r w:rsidRPr="00CC1733">
        <w:rPr>
          <w:szCs w:val="20"/>
          <w:rtl/>
        </w:rPr>
        <w:t>2010</w:t>
      </w:r>
      <w:r w:rsidRPr="00CC1733">
        <w:rPr>
          <w:rtl/>
        </w:rPr>
        <w:t>، إغلاق ملف التحقيق</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15"/>
      </w:r>
      <w:r w:rsidR="00375ABC" w:rsidRPr="00CC1733">
        <w:rPr>
          <w:vertAlign w:val="superscript"/>
          <w:rtl/>
        </w:rPr>
        <w:t>)</w:t>
      </w:r>
      <w:r w:rsidRPr="00CC1733">
        <w:rPr>
          <w:rtl/>
        </w:rPr>
        <w:t>.</w:t>
      </w:r>
    </w:p>
    <w:p w14:paraId="3ED7A99A" w14:textId="08C5E0CB" w:rsidR="00344CF9" w:rsidRPr="00CC1733" w:rsidRDefault="00344CF9" w:rsidP="00344CF9">
      <w:pPr>
        <w:pStyle w:val="SingleTxtGA"/>
        <w:rPr>
          <w:rtl/>
        </w:rPr>
      </w:pPr>
      <w:r w:rsidRPr="00CC1733">
        <w:rPr>
          <w:szCs w:val="20"/>
          <w:rtl/>
        </w:rPr>
        <w:t>2</w:t>
      </w:r>
      <w:r w:rsidRPr="00CC1733">
        <w:rPr>
          <w:rtl/>
        </w:rPr>
        <w:t>-</w:t>
      </w:r>
      <w:r w:rsidRPr="00CC1733">
        <w:rPr>
          <w:szCs w:val="20"/>
          <w:rtl/>
        </w:rPr>
        <w:t>6</w:t>
      </w:r>
      <w:r w:rsidRPr="00CC1733">
        <w:rPr>
          <w:rtl/>
        </w:rPr>
        <w:tab/>
        <w:t xml:space="preserve">وفي </w:t>
      </w:r>
      <w:r w:rsidRPr="00CC1733">
        <w:rPr>
          <w:szCs w:val="20"/>
          <w:rtl/>
        </w:rPr>
        <w:t>19</w:t>
      </w:r>
      <w:r w:rsidRPr="00CC1733">
        <w:rPr>
          <w:rtl/>
        </w:rPr>
        <w:t xml:space="preserve"> كانون الثاني/يناير </w:t>
      </w:r>
      <w:r w:rsidRPr="00CC1733">
        <w:rPr>
          <w:szCs w:val="20"/>
          <w:rtl/>
        </w:rPr>
        <w:t>2011</w:t>
      </w:r>
      <w:r w:rsidRPr="00CC1733">
        <w:rPr>
          <w:rtl/>
        </w:rPr>
        <w:t xml:space="preserve">، أعلن نائب المدعي العام </w:t>
      </w:r>
      <w:proofErr w:type="gramStart"/>
      <w:r w:rsidRPr="00CC1733">
        <w:rPr>
          <w:rtl/>
        </w:rPr>
        <w:t>الجديد</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16"/>
      </w:r>
      <w:r w:rsidR="00375ABC" w:rsidRPr="00CC1733">
        <w:rPr>
          <w:vertAlign w:val="superscript"/>
          <w:rtl/>
        </w:rPr>
        <w:t>)</w:t>
      </w:r>
      <w:r w:rsidRPr="00CC1733">
        <w:rPr>
          <w:rtl/>
        </w:rPr>
        <w:t>، بدوره، أن ثمة ما يمنعه من النظر في القضية، وقبلت محكمة العدل العليا ذلك المانع</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17"/>
      </w:r>
      <w:r w:rsidR="00375ABC" w:rsidRPr="00CC1733">
        <w:rPr>
          <w:vertAlign w:val="superscript"/>
          <w:rtl/>
        </w:rPr>
        <w:t>)</w:t>
      </w:r>
      <w:r w:rsidRPr="00CC1733">
        <w:rPr>
          <w:rtl/>
        </w:rPr>
        <w:t xml:space="preserve">، في </w:t>
      </w:r>
      <w:r w:rsidRPr="00CC1733">
        <w:rPr>
          <w:szCs w:val="20"/>
          <w:rtl/>
        </w:rPr>
        <w:t>6</w:t>
      </w:r>
      <w:r w:rsidRPr="00CC1733">
        <w:rPr>
          <w:rtl/>
        </w:rPr>
        <w:t xml:space="preserve"> نيسان/أبريل </w:t>
      </w:r>
      <w:r w:rsidRPr="00CC1733">
        <w:rPr>
          <w:szCs w:val="20"/>
          <w:rtl/>
        </w:rPr>
        <w:t>2011</w:t>
      </w:r>
      <w:r w:rsidRPr="00CC1733">
        <w:rPr>
          <w:rtl/>
        </w:rPr>
        <w:t xml:space="preserve">، وأمرت المدعيةَ العامة بمواصلة الإجراءات ذات الصلة. وفي </w:t>
      </w:r>
      <w:r w:rsidRPr="00CC1733">
        <w:rPr>
          <w:szCs w:val="20"/>
          <w:rtl/>
        </w:rPr>
        <w:t>23</w:t>
      </w:r>
      <w:r w:rsidRPr="00CC1733">
        <w:rPr>
          <w:rtl/>
        </w:rPr>
        <w:t xml:space="preserve"> آب/أغسطس </w:t>
      </w:r>
      <w:r w:rsidRPr="00CC1733">
        <w:rPr>
          <w:szCs w:val="20"/>
          <w:rtl/>
        </w:rPr>
        <w:t>2011</w:t>
      </w:r>
      <w:r w:rsidRPr="00CC1733">
        <w:rPr>
          <w:rtl/>
        </w:rPr>
        <w:t xml:space="preserve">، أعلنت المدعية العامة بطلان جميع الإجراءات المنجزة بدءاً بإغلاق ملف التحقيق وما تلاه، بالنظر إلى عدم اختصاص نائب المدعي العام باعتماد هذا </w:t>
      </w:r>
      <w:proofErr w:type="gramStart"/>
      <w:r w:rsidRPr="00CC1733">
        <w:rPr>
          <w:rtl/>
        </w:rPr>
        <w:t>القرار</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18"/>
      </w:r>
      <w:r w:rsidR="00375ABC" w:rsidRPr="00CC1733">
        <w:rPr>
          <w:vertAlign w:val="superscript"/>
          <w:rtl/>
        </w:rPr>
        <w:t>)</w:t>
      </w:r>
      <w:r w:rsidRPr="00CC1733">
        <w:rPr>
          <w:rtl/>
        </w:rPr>
        <w:t>.</w:t>
      </w:r>
    </w:p>
    <w:p w14:paraId="729244B2" w14:textId="05796768" w:rsidR="00344CF9" w:rsidRPr="00CC1733" w:rsidRDefault="00344CF9" w:rsidP="00344CF9">
      <w:pPr>
        <w:pStyle w:val="SingleTxtGA"/>
        <w:rPr>
          <w:rtl/>
        </w:rPr>
      </w:pPr>
      <w:r w:rsidRPr="00CC1733">
        <w:rPr>
          <w:szCs w:val="20"/>
          <w:rtl/>
        </w:rPr>
        <w:t>2</w:t>
      </w:r>
      <w:r w:rsidRPr="00CC1733">
        <w:rPr>
          <w:rtl/>
        </w:rPr>
        <w:t>-</w:t>
      </w:r>
      <w:r w:rsidRPr="00CC1733">
        <w:rPr>
          <w:szCs w:val="20"/>
          <w:rtl/>
        </w:rPr>
        <w:t>7</w:t>
      </w:r>
      <w:r w:rsidRPr="00CC1733">
        <w:rPr>
          <w:rtl/>
        </w:rPr>
        <w:tab/>
        <w:t xml:space="preserve">وفي </w:t>
      </w:r>
      <w:r w:rsidRPr="00CC1733">
        <w:rPr>
          <w:szCs w:val="20"/>
          <w:rtl/>
        </w:rPr>
        <w:t>7</w:t>
      </w:r>
      <w:r w:rsidRPr="00CC1733">
        <w:rPr>
          <w:rtl/>
        </w:rPr>
        <w:t xml:space="preserve"> شباط/فبراير </w:t>
      </w:r>
      <w:r w:rsidRPr="00CC1733">
        <w:rPr>
          <w:szCs w:val="20"/>
          <w:rtl/>
        </w:rPr>
        <w:t>2012</w:t>
      </w:r>
      <w:r w:rsidRPr="00CC1733">
        <w:rPr>
          <w:rtl/>
        </w:rPr>
        <w:t xml:space="preserve">، فوضت المدعية العامة آنذاك، بموجب القانون التشريعي رقم </w:t>
      </w:r>
      <w:r w:rsidRPr="00CC1733">
        <w:rPr>
          <w:szCs w:val="20"/>
          <w:rtl/>
        </w:rPr>
        <w:t>06</w:t>
      </w:r>
      <w:r w:rsidRPr="00CC1733">
        <w:rPr>
          <w:rtl/>
        </w:rPr>
        <w:t xml:space="preserve"> المؤرخ </w:t>
      </w:r>
      <w:r w:rsidRPr="00CC1733">
        <w:rPr>
          <w:szCs w:val="20"/>
          <w:rtl/>
        </w:rPr>
        <w:t>24</w:t>
      </w:r>
      <w:r w:rsidRPr="00CC1733">
        <w:rPr>
          <w:rtl/>
        </w:rPr>
        <w:t xml:space="preserve"> تشرين الثاني/نوفمبر </w:t>
      </w:r>
      <w:r w:rsidRPr="00CC1733">
        <w:rPr>
          <w:szCs w:val="20"/>
          <w:rtl/>
        </w:rPr>
        <w:t>2011</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19"/>
      </w:r>
      <w:r w:rsidR="00375ABC" w:rsidRPr="00CC1733">
        <w:rPr>
          <w:vertAlign w:val="superscript"/>
          <w:rtl/>
        </w:rPr>
        <w:t>)</w:t>
      </w:r>
      <w:r w:rsidRPr="00CC1733">
        <w:rPr>
          <w:rtl/>
        </w:rPr>
        <w:t xml:space="preserve">، إلى المدعي العام السادس المفوض لدى محكمة العدل العليا مهام التحقيق في هذه القضية وإعداد لائحة الاتهام والمشاركة في إجراءات المحاكمة. </w:t>
      </w:r>
    </w:p>
    <w:p w14:paraId="70625301" w14:textId="5C838451" w:rsidR="00344CF9" w:rsidRPr="00CC1733" w:rsidRDefault="00344CF9" w:rsidP="00344CF9">
      <w:pPr>
        <w:pStyle w:val="SingleTxtGA"/>
        <w:rPr>
          <w:rtl/>
        </w:rPr>
      </w:pPr>
      <w:r w:rsidRPr="00CC1733">
        <w:rPr>
          <w:szCs w:val="20"/>
          <w:rtl/>
        </w:rPr>
        <w:t>2</w:t>
      </w:r>
      <w:r w:rsidRPr="00CC1733">
        <w:rPr>
          <w:rtl/>
        </w:rPr>
        <w:t>-</w:t>
      </w:r>
      <w:r w:rsidRPr="00CC1733">
        <w:rPr>
          <w:szCs w:val="20"/>
          <w:rtl/>
        </w:rPr>
        <w:t>8</w:t>
      </w:r>
      <w:r w:rsidRPr="00CC1733">
        <w:rPr>
          <w:rtl/>
        </w:rPr>
        <w:tab/>
      </w:r>
      <w:r w:rsidRPr="00E42875">
        <w:rPr>
          <w:spacing w:val="-4"/>
          <w:rtl/>
        </w:rPr>
        <w:t xml:space="preserve">وفي </w:t>
      </w:r>
      <w:r w:rsidRPr="00E42875">
        <w:rPr>
          <w:spacing w:val="-4"/>
          <w:szCs w:val="20"/>
          <w:rtl/>
        </w:rPr>
        <w:t>6</w:t>
      </w:r>
      <w:r w:rsidRPr="00E42875">
        <w:rPr>
          <w:spacing w:val="-4"/>
          <w:rtl/>
        </w:rPr>
        <w:t xml:space="preserve"> آذار/مارس </w:t>
      </w:r>
      <w:r w:rsidRPr="00E42875">
        <w:rPr>
          <w:spacing w:val="-4"/>
          <w:szCs w:val="20"/>
          <w:rtl/>
        </w:rPr>
        <w:t>2012</w:t>
      </w:r>
      <w:r w:rsidRPr="00E42875">
        <w:rPr>
          <w:spacing w:val="-4"/>
          <w:rtl/>
        </w:rPr>
        <w:t>، أعاد المدعي العام السادس المفوض تقييم ملف التحقيق ووجه التهمة</w:t>
      </w:r>
      <w:r w:rsidRPr="00CC1733">
        <w:rPr>
          <w:rtl/>
        </w:rPr>
        <w:t xml:space="preserve"> </w:t>
      </w:r>
      <w:r w:rsidRPr="00E42875">
        <w:rPr>
          <w:spacing w:val="-4"/>
          <w:rtl/>
        </w:rPr>
        <w:t>إلى صاحب البلاغ باعتباره المسؤول المزعوم عن جريمة الرشوة، بإعطائها أو عرضها، مع ظروف التشديد</w:t>
      </w:r>
      <w:r w:rsidRPr="00CC1733">
        <w:rPr>
          <w:rtl/>
        </w:rPr>
        <w:t xml:space="preserve"> </w:t>
      </w:r>
      <w:r w:rsidRPr="00E42875">
        <w:rPr>
          <w:spacing w:val="-4"/>
          <w:rtl/>
        </w:rPr>
        <w:t xml:space="preserve">بالنظر إلى المنصب المتميز الذي كان </w:t>
      </w:r>
      <w:proofErr w:type="gramStart"/>
      <w:r w:rsidRPr="00E42875">
        <w:rPr>
          <w:spacing w:val="-4"/>
          <w:rtl/>
        </w:rPr>
        <w:t>يشغله</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20"/>
      </w:r>
      <w:r w:rsidR="00375ABC" w:rsidRPr="00CC1733">
        <w:rPr>
          <w:vertAlign w:val="superscript"/>
          <w:rtl/>
        </w:rPr>
        <w:t>)</w:t>
      </w:r>
      <w:r w:rsidRPr="00CC1733">
        <w:rPr>
          <w:rtl/>
        </w:rPr>
        <w:t xml:space="preserve"> </w:t>
      </w:r>
      <w:r w:rsidRPr="00E42875">
        <w:rPr>
          <w:spacing w:val="-4"/>
          <w:rtl/>
        </w:rPr>
        <w:t xml:space="preserve">وإلى </w:t>
      </w:r>
      <w:proofErr w:type="spellStart"/>
      <w:r w:rsidRPr="00E42875">
        <w:rPr>
          <w:spacing w:val="-4"/>
          <w:rtl/>
        </w:rPr>
        <w:t>تواطئه</w:t>
      </w:r>
      <w:proofErr w:type="spellEnd"/>
      <w:r w:rsidRPr="00E42875">
        <w:rPr>
          <w:spacing w:val="-4"/>
          <w:rtl/>
        </w:rPr>
        <w:t xml:space="preserve"> في ارتكاب فعل جنائي</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21"/>
      </w:r>
      <w:r w:rsidR="00375ABC" w:rsidRPr="00CC1733">
        <w:rPr>
          <w:vertAlign w:val="superscript"/>
          <w:rtl/>
        </w:rPr>
        <w:t>)</w:t>
      </w:r>
      <w:r w:rsidRPr="00CC1733">
        <w:rPr>
          <w:rtl/>
        </w:rPr>
        <w:t>، وظروف التخفيف بالنظر إلى خلو سجله من أي سوابق جنائية</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22"/>
      </w:r>
      <w:r w:rsidR="00375ABC" w:rsidRPr="00CC1733">
        <w:rPr>
          <w:vertAlign w:val="superscript"/>
          <w:rtl/>
        </w:rPr>
        <w:t>)</w:t>
      </w:r>
      <w:r w:rsidRPr="00CC1733">
        <w:rPr>
          <w:rtl/>
        </w:rPr>
        <w:t xml:space="preserve">. وفي وقت لاحق، أُحيلت القضية إلى محكمة العدل العليا لمباشرة إجراءات المحاكمة. </w:t>
      </w:r>
    </w:p>
    <w:p w14:paraId="07172E66" w14:textId="4446D29E" w:rsidR="00344CF9" w:rsidRPr="00CC1733" w:rsidRDefault="00344CF9" w:rsidP="00344CF9">
      <w:pPr>
        <w:pStyle w:val="SingleTxtGA"/>
        <w:rPr>
          <w:spacing w:val="-2"/>
          <w:rtl/>
        </w:rPr>
      </w:pPr>
      <w:r w:rsidRPr="00CC1733">
        <w:rPr>
          <w:spacing w:val="-2"/>
          <w:szCs w:val="20"/>
          <w:rtl/>
        </w:rPr>
        <w:lastRenderedPageBreak/>
        <w:t>2</w:t>
      </w:r>
      <w:r w:rsidRPr="00CC1733">
        <w:rPr>
          <w:spacing w:val="-2"/>
          <w:rtl/>
        </w:rPr>
        <w:t>-</w:t>
      </w:r>
      <w:r w:rsidRPr="00CC1733">
        <w:rPr>
          <w:spacing w:val="-2"/>
          <w:szCs w:val="20"/>
          <w:rtl/>
        </w:rPr>
        <w:t>9</w:t>
      </w:r>
      <w:r w:rsidRPr="00CC1733">
        <w:rPr>
          <w:spacing w:val="-2"/>
          <w:rtl/>
        </w:rPr>
        <w:tab/>
        <w:t xml:space="preserve">وفي </w:t>
      </w:r>
      <w:r w:rsidRPr="00CC1733">
        <w:rPr>
          <w:spacing w:val="-2"/>
          <w:szCs w:val="20"/>
          <w:rtl/>
        </w:rPr>
        <w:t>8</w:t>
      </w:r>
      <w:r w:rsidRPr="00CC1733">
        <w:rPr>
          <w:spacing w:val="-2"/>
          <w:rtl/>
        </w:rPr>
        <w:t xml:space="preserve"> آذار/مارس </w:t>
      </w:r>
      <w:r w:rsidRPr="00CC1733">
        <w:rPr>
          <w:spacing w:val="-2"/>
          <w:szCs w:val="20"/>
          <w:rtl/>
        </w:rPr>
        <w:t>2012</w:t>
      </w:r>
      <w:r w:rsidRPr="00CC1733">
        <w:rPr>
          <w:spacing w:val="-2"/>
          <w:rtl/>
        </w:rPr>
        <w:t xml:space="preserve">، قدم صاحب البلاغ إلى المدعي العام السادس طلباً لإعادة النظر في التهمة الجنائية الموجهة إليه؛ وفي </w:t>
      </w:r>
      <w:r w:rsidRPr="00CC1733">
        <w:rPr>
          <w:spacing w:val="-2"/>
          <w:szCs w:val="20"/>
          <w:rtl/>
        </w:rPr>
        <w:t>12</w:t>
      </w:r>
      <w:r w:rsidRPr="00CC1733">
        <w:rPr>
          <w:spacing w:val="-2"/>
          <w:rtl/>
        </w:rPr>
        <w:t xml:space="preserve"> آذار/مارس </w:t>
      </w:r>
      <w:r w:rsidRPr="00CC1733">
        <w:rPr>
          <w:spacing w:val="-2"/>
          <w:szCs w:val="20"/>
          <w:rtl/>
        </w:rPr>
        <w:t>2012</w:t>
      </w:r>
      <w:r w:rsidRPr="00CC1733">
        <w:rPr>
          <w:spacing w:val="-2"/>
          <w:rtl/>
        </w:rPr>
        <w:t xml:space="preserve">، طلب صاحب البلاغ تمديد الأجل القانوني لتقديم الأدلة الداعمة لهذا الطلب. وفي </w:t>
      </w:r>
      <w:r w:rsidRPr="00CC1733">
        <w:rPr>
          <w:spacing w:val="-2"/>
          <w:szCs w:val="20"/>
          <w:rtl/>
        </w:rPr>
        <w:t>13</w:t>
      </w:r>
      <w:r w:rsidRPr="00CC1733">
        <w:rPr>
          <w:spacing w:val="-2"/>
          <w:rtl/>
        </w:rPr>
        <w:t xml:space="preserve"> آذار/مارس </w:t>
      </w:r>
      <w:r w:rsidRPr="00CC1733">
        <w:rPr>
          <w:spacing w:val="-2"/>
          <w:szCs w:val="20"/>
          <w:rtl/>
        </w:rPr>
        <w:t>2012</w:t>
      </w:r>
      <w:r w:rsidRPr="00CC1733">
        <w:rPr>
          <w:spacing w:val="-2"/>
          <w:rtl/>
        </w:rPr>
        <w:t xml:space="preserve">، رفض المدعي العام السادس المفوض طلب التمديد، وقدم صاحب البلاغ في التاريخ ذاته طلباً لإبطال "إجراء تقييم ملف التحقيق" لعدم اختصاص المدعي العام المفوض، وفقاً للقانون الساري </w:t>
      </w:r>
      <w:proofErr w:type="gramStart"/>
      <w:r w:rsidRPr="00CC1733">
        <w:rPr>
          <w:spacing w:val="-2"/>
          <w:rtl/>
        </w:rPr>
        <w:t>آنذاك</w:t>
      </w:r>
      <w:r w:rsidR="00375ABC" w:rsidRPr="00CC1733">
        <w:rPr>
          <w:spacing w:val="-2"/>
          <w:vertAlign w:val="superscript"/>
          <w:rtl/>
        </w:rPr>
        <w:t>(</w:t>
      </w:r>
      <w:proofErr w:type="gramEnd"/>
      <w:r w:rsidR="00375ABC" w:rsidRPr="00CC1733">
        <w:rPr>
          <w:rStyle w:val="FootnoteReference"/>
          <w:rFonts w:ascii="Times New Roman" w:hAnsi="Times New Roman" w:cs="Times New Roman" w:hint="eastAsia"/>
          <w:b w:val="0"/>
          <w:spacing w:val="-2"/>
          <w:position w:val="4"/>
          <w:sz w:val="20"/>
        </w:rPr>
        <w:footnoteReference w:id="23"/>
      </w:r>
      <w:r w:rsidR="00375ABC" w:rsidRPr="00CC1733">
        <w:rPr>
          <w:spacing w:val="-2"/>
          <w:vertAlign w:val="superscript"/>
          <w:rtl/>
        </w:rPr>
        <w:t>)</w:t>
      </w:r>
      <w:r w:rsidRPr="00CC1733">
        <w:rPr>
          <w:spacing w:val="-2"/>
          <w:rtl/>
        </w:rPr>
        <w:t xml:space="preserve">. وفي </w:t>
      </w:r>
      <w:r w:rsidRPr="00CC1733">
        <w:rPr>
          <w:spacing w:val="-2"/>
          <w:szCs w:val="20"/>
          <w:rtl/>
        </w:rPr>
        <w:t>2</w:t>
      </w:r>
      <w:r w:rsidRPr="00CC1733">
        <w:rPr>
          <w:spacing w:val="-2"/>
          <w:rtl/>
        </w:rPr>
        <w:t xml:space="preserve"> أيار/مايو </w:t>
      </w:r>
      <w:r w:rsidRPr="00CC1733">
        <w:rPr>
          <w:spacing w:val="-2"/>
          <w:szCs w:val="20"/>
          <w:rtl/>
        </w:rPr>
        <w:t>2012</w:t>
      </w:r>
      <w:r w:rsidRPr="00CC1733">
        <w:rPr>
          <w:spacing w:val="-2"/>
          <w:rtl/>
        </w:rPr>
        <w:t xml:space="preserve">، أكد المدعي العام السادس المفوض التهم الجنائية الواردة في لائحة الاتهام. وفي </w:t>
      </w:r>
      <w:r w:rsidRPr="00CC1733">
        <w:rPr>
          <w:spacing w:val="-2"/>
          <w:szCs w:val="20"/>
          <w:rtl/>
        </w:rPr>
        <w:t>28</w:t>
      </w:r>
      <w:r w:rsidRPr="00CC1733">
        <w:rPr>
          <w:spacing w:val="-2"/>
          <w:rtl/>
        </w:rPr>
        <w:t xml:space="preserve"> آب/أغسطس </w:t>
      </w:r>
      <w:r w:rsidRPr="00CC1733">
        <w:rPr>
          <w:spacing w:val="-2"/>
          <w:szCs w:val="20"/>
          <w:rtl/>
        </w:rPr>
        <w:t>2012</w:t>
      </w:r>
      <w:r w:rsidRPr="00CC1733">
        <w:rPr>
          <w:spacing w:val="-2"/>
          <w:rtl/>
        </w:rPr>
        <w:t xml:space="preserve">، أمرت محكمة العدل العليا بضم قضية صاحب البلاغ إلى قضيتي مسؤوليْن كبيريْن </w:t>
      </w:r>
      <w:proofErr w:type="gramStart"/>
      <w:r w:rsidRPr="00CC1733">
        <w:rPr>
          <w:spacing w:val="-2"/>
          <w:rtl/>
        </w:rPr>
        <w:t>آخريْن</w:t>
      </w:r>
      <w:r w:rsidR="00375ABC" w:rsidRPr="00CC1733">
        <w:rPr>
          <w:spacing w:val="-2"/>
          <w:vertAlign w:val="superscript"/>
          <w:rtl/>
        </w:rPr>
        <w:t>(</w:t>
      </w:r>
      <w:proofErr w:type="gramEnd"/>
      <w:r w:rsidR="00375ABC" w:rsidRPr="00CC1733">
        <w:rPr>
          <w:rStyle w:val="FootnoteReference"/>
          <w:rFonts w:ascii="Times New Roman" w:hAnsi="Times New Roman" w:cs="Times New Roman" w:hint="eastAsia"/>
          <w:b w:val="0"/>
          <w:spacing w:val="-2"/>
          <w:position w:val="4"/>
          <w:sz w:val="20"/>
        </w:rPr>
        <w:footnoteReference w:id="24"/>
      </w:r>
      <w:r w:rsidR="00375ABC" w:rsidRPr="00CC1733">
        <w:rPr>
          <w:spacing w:val="-2"/>
          <w:vertAlign w:val="superscript"/>
          <w:rtl/>
        </w:rPr>
        <w:t>)</w:t>
      </w:r>
      <w:r w:rsidRPr="00CC1733">
        <w:rPr>
          <w:spacing w:val="-2"/>
          <w:rtl/>
        </w:rPr>
        <w:t xml:space="preserve">. وفي </w:t>
      </w:r>
      <w:r w:rsidRPr="00CC1733">
        <w:rPr>
          <w:spacing w:val="-2"/>
          <w:szCs w:val="20"/>
          <w:rtl/>
        </w:rPr>
        <w:t>4</w:t>
      </w:r>
      <w:r w:rsidRPr="00CC1733">
        <w:rPr>
          <w:spacing w:val="-2"/>
          <w:rtl/>
        </w:rPr>
        <w:t xml:space="preserve"> أيلول/سبتمبر </w:t>
      </w:r>
      <w:r w:rsidRPr="00CC1733">
        <w:rPr>
          <w:spacing w:val="-2"/>
          <w:szCs w:val="20"/>
          <w:rtl/>
        </w:rPr>
        <w:t>2012</w:t>
      </w:r>
      <w:r w:rsidRPr="00CC1733">
        <w:rPr>
          <w:spacing w:val="-2"/>
          <w:rtl/>
        </w:rPr>
        <w:t xml:space="preserve">، طلب صاحب البلاغ إبطال القرار القاضي بضم القضايا. وفي </w:t>
      </w:r>
      <w:r w:rsidRPr="00CC1733">
        <w:rPr>
          <w:spacing w:val="-2"/>
          <w:szCs w:val="20"/>
          <w:rtl/>
        </w:rPr>
        <w:t>19</w:t>
      </w:r>
      <w:r w:rsidRPr="00CC1733">
        <w:rPr>
          <w:spacing w:val="-2"/>
          <w:rtl/>
        </w:rPr>
        <w:t xml:space="preserve"> نيسان/أبريل </w:t>
      </w:r>
      <w:r w:rsidRPr="00CC1733">
        <w:rPr>
          <w:spacing w:val="-2"/>
          <w:szCs w:val="20"/>
          <w:rtl/>
        </w:rPr>
        <w:t>2013</w:t>
      </w:r>
      <w:r w:rsidRPr="00CC1733">
        <w:rPr>
          <w:spacing w:val="-2"/>
          <w:rtl/>
        </w:rPr>
        <w:t xml:space="preserve">، قررت محكمة العدل العليا رفض طلب إعادة النظر في لائحة الاتهام وطلب إبطال قرار ضم </w:t>
      </w:r>
      <w:proofErr w:type="gramStart"/>
      <w:r w:rsidRPr="00CC1733">
        <w:rPr>
          <w:spacing w:val="-2"/>
          <w:rtl/>
        </w:rPr>
        <w:t>القضايا</w:t>
      </w:r>
      <w:r w:rsidR="00375ABC" w:rsidRPr="00CC1733">
        <w:rPr>
          <w:spacing w:val="-2"/>
          <w:vertAlign w:val="superscript"/>
          <w:rtl/>
        </w:rPr>
        <w:t>(</w:t>
      </w:r>
      <w:proofErr w:type="gramEnd"/>
      <w:r w:rsidR="00375ABC" w:rsidRPr="00CC1733">
        <w:rPr>
          <w:rStyle w:val="FootnoteReference"/>
          <w:rFonts w:ascii="Times New Roman" w:hAnsi="Times New Roman" w:cs="Times New Roman" w:hint="eastAsia"/>
          <w:b w:val="0"/>
          <w:spacing w:val="-2"/>
          <w:position w:val="4"/>
          <w:sz w:val="20"/>
        </w:rPr>
        <w:footnoteReference w:id="25"/>
      </w:r>
      <w:r w:rsidR="00375ABC" w:rsidRPr="00CC1733">
        <w:rPr>
          <w:spacing w:val="-2"/>
          <w:vertAlign w:val="superscript"/>
          <w:rtl/>
        </w:rPr>
        <w:t>)</w:t>
      </w:r>
      <w:r w:rsidRPr="00CC1733">
        <w:rPr>
          <w:spacing w:val="-2"/>
          <w:rtl/>
        </w:rPr>
        <w:t>؛ وفيما يتعلق بطلب إبطال قرار تفويض القضية للمدعي العام السادس، كررت محكمة العدل العليا أن قرار الاتهام تناول مسألة التفويض، ووضح الأسباب التي اقتضت أن يباشر هذا الموظف تقييم ملف التحقيق</w:t>
      </w:r>
      <w:r w:rsidR="00375ABC" w:rsidRPr="00CC1733">
        <w:rPr>
          <w:spacing w:val="-2"/>
          <w:vertAlign w:val="superscript"/>
          <w:rtl/>
        </w:rPr>
        <w:t>(</w:t>
      </w:r>
      <w:r w:rsidR="00375ABC" w:rsidRPr="00CC1733">
        <w:rPr>
          <w:rStyle w:val="FootnoteReference"/>
          <w:rFonts w:ascii="Times New Roman" w:hAnsi="Times New Roman" w:cs="Times New Roman" w:hint="eastAsia"/>
          <w:b w:val="0"/>
          <w:spacing w:val="-2"/>
          <w:position w:val="4"/>
          <w:sz w:val="20"/>
        </w:rPr>
        <w:footnoteReference w:id="26"/>
      </w:r>
      <w:r w:rsidR="00375ABC" w:rsidRPr="00CC1733">
        <w:rPr>
          <w:spacing w:val="-2"/>
          <w:vertAlign w:val="superscript"/>
          <w:rtl/>
        </w:rPr>
        <w:t>)</w:t>
      </w:r>
      <w:r w:rsidRPr="00CC1733">
        <w:rPr>
          <w:spacing w:val="-2"/>
          <w:rtl/>
        </w:rPr>
        <w:t>.</w:t>
      </w:r>
    </w:p>
    <w:p w14:paraId="1F5BBB39" w14:textId="7CFD1600" w:rsidR="00344CF9" w:rsidRPr="00CC1733" w:rsidRDefault="00344CF9" w:rsidP="00344CF9">
      <w:pPr>
        <w:pStyle w:val="SingleTxtGA"/>
        <w:rPr>
          <w:rtl/>
        </w:rPr>
      </w:pPr>
      <w:r w:rsidRPr="00CC1733">
        <w:rPr>
          <w:szCs w:val="20"/>
          <w:rtl/>
        </w:rPr>
        <w:t>2</w:t>
      </w:r>
      <w:r w:rsidRPr="00CC1733">
        <w:rPr>
          <w:rtl/>
        </w:rPr>
        <w:t>-</w:t>
      </w:r>
      <w:r w:rsidRPr="00CC1733">
        <w:rPr>
          <w:szCs w:val="20"/>
          <w:rtl/>
        </w:rPr>
        <w:t>10</w:t>
      </w:r>
      <w:r w:rsidRPr="00CC1733">
        <w:rPr>
          <w:rtl/>
        </w:rPr>
        <w:tab/>
        <w:t xml:space="preserve">وفي </w:t>
      </w:r>
      <w:r w:rsidRPr="00CC1733">
        <w:rPr>
          <w:szCs w:val="20"/>
          <w:rtl/>
        </w:rPr>
        <w:t>5</w:t>
      </w:r>
      <w:r w:rsidRPr="00CC1733">
        <w:rPr>
          <w:rtl/>
        </w:rPr>
        <w:t xml:space="preserve"> تموز/يوليه </w:t>
      </w:r>
      <w:r w:rsidRPr="00CC1733">
        <w:rPr>
          <w:szCs w:val="20"/>
          <w:rtl/>
        </w:rPr>
        <w:t>2013</w:t>
      </w:r>
      <w:r w:rsidRPr="00CC1733">
        <w:rPr>
          <w:rtl/>
        </w:rPr>
        <w:t xml:space="preserve">، قدَّم أحد المتهمين في القضية الجنائية ذاتها المتعلقة بصاحب البلاغ </w:t>
      </w:r>
      <w:r w:rsidRPr="00CC1733">
        <w:rPr>
          <w:spacing w:val="-4"/>
          <w:rtl/>
        </w:rPr>
        <w:t xml:space="preserve">دعوى طلب الحماية الدستورية إلى دائرة النقض الجنائية بمحكمة العدل العليا وإلى مكتب المدعي العام، محتجاً بحقه في المحاكمة وفق الأصول القانونية وحقه في أن يضطلع القاضي الطبيعي بإجراء التحقيق وإعداد </w:t>
      </w:r>
      <w:r w:rsidRPr="00CC1733">
        <w:rPr>
          <w:rtl/>
        </w:rPr>
        <w:t xml:space="preserve">لائحة الاتهام وفقاً للقوانين السارية وقت حدوث الوقائع. وفي </w:t>
      </w:r>
      <w:r w:rsidRPr="00CC1733">
        <w:rPr>
          <w:szCs w:val="20"/>
          <w:rtl/>
        </w:rPr>
        <w:t>21</w:t>
      </w:r>
      <w:r w:rsidRPr="00CC1733">
        <w:rPr>
          <w:rtl/>
        </w:rPr>
        <w:t xml:space="preserve"> أيار/مايو </w:t>
      </w:r>
      <w:r w:rsidRPr="00CC1733">
        <w:rPr>
          <w:szCs w:val="20"/>
          <w:rtl/>
        </w:rPr>
        <w:t>2015</w:t>
      </w:r>
      <w:r w:rsidRPr="00CC1733">
        <w:rPr>
          <w:rtl/>
        </w:rPr>
        <w:t xml:space="preserve">، رفضت المحكمة </w:t>
      </w:r>
      <w:proofErr w:type="gramStart"/>
      <w:r w:rsidRPr="00CC1733">
        <w:rPr>
          <w:rtl/>
        </w:rPr>
        <w:t>الدستورية</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27"/>
      </w:r>
      <w:r w:rsidR="00375ABC" w:rsidRPr="00CC1733">
        <w:rPr>
          <w:vertAlign w:val="superscript"/>
          <w:rtl/>
        </w:rPr>
        <w:t>)</w:t>
      </w:r>
      <w:r w:rsidRPr="00CC1733">
        <w:rPr>
          <w:rtl/>
        </w:rPr>
        <w:t xml:space="preserve"> دعوى طلب الحماية الدستورية، بحجة أنه لم يثبت أن هذه المخالفة عُرضت للنظر فيها على الهيئة المعنية خلال الأجل المحدد لهذا الإجراء</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28"/>
      </w:r>
      <w:r w:rsidR="00375ABC" w:rsidRPr="00CC1733">
        <w:rPr>
          <w:vertAlign w:val="superscript"/>
          <w:rtl/>
        </w:rPr>
        <w:t>)</w:t>
      </w:r>
      <w:r w:rsidRPr="00CC1733">
        <w:rPr>
          <w:rtl/>
        </w:rPr>
        <w:t>.</w:t>
      </w:r>
    </w:p>
    <w:p w14:paraId="1D2A4E14" w14:textId="77777777" w:rsidR="00344CF9" w:rsidRPr="00CC1733" w:rsidRDefault="00344CF9" w:rsidP="00344CF9">
      <w:pPr>
        <w:pStyle w:val="SingleTxtGA"/>
        <w:rPr>
          <w:rtl/>
        </w:rPr>
      </w:pPr>
      <w:r w:rsidRPr="00CC1733">
        <w:rPr>
          <w:szCs w:val="20"/>
          <w:rtl/>
        </w:rPr>
        <w:t>2</w:t>
      </w:r>
      <w:r w:rsidRPr="00CC1733">
        <w:rPr>
          <w:rtl/>
        </w:rPr>
        <w:t>-</w:t>
      </w:r>
      <w:r w:rsidRPr="00CC1733">
        <w:rPr>
          <w:szCs w:val="20"/>
          <w:rtl/>
        </w:rPr>
        <w:t>11</w:t>
      </w:r>
      <w:r w:rsidRPr="00CC1733">
        <w:rPr>
          <w:rtl/>
        </w:rPr>
        <w:tab/>
        <w:t xml:space="preserve">وفي </w:t>
      </w:r>
      <w:r w:rsidRPr="00CC1733">
        <w:rPr>
          <w:szCs w:val="20"/>
          <w:rtl/>
        </w:rPr>
        <w:t>15</w:t>
      </w:r>
      <w:r w:rsidRPr="00CC1733">
        <w:rPr>
          <w:rtl/>
        </w:rPr>
        <w:t xml:space="preserve"> نيسان/أبريل </w:t>
      </w:r>
      <w:r w:rsidRPr="00CC1733">
        <w:rPr>
          <w:szCs w:val="20"/>
          <w:rtl/>
        </w:rPr>
        <w:t>2015</w:t>
      </w:r>
      <w:r w:rsidRPr="00CC1733">
        <w:rPr>
          <w:rtl/>
        </w:rPr>
        <w:t xml:space="preserve">، اعتبرت دائرة النقض الجنائي بمحكمة العدل العليا، في حكم ابتدائي ونهائي، صاحب البلاغ مسؤولاً من الناحية الجنائية باعتباره "مشاركاً في جريمة الرشوة، بإعطائها </w:t>
      </w:r>
      <w:r w:rsidRPr="00CC1733">
        <w:rPr>
          <w:spacing w:val="-4"/>
          <w:rtl/>
        </w:rPr>
        <w:t xml:space="preserve">أو عرضها"، وحكمت عليه بالحبس مدة </w:t>
      </w:r>
      <w:r w:rsidRPr="00CC1733">
        <w:rPr>
          <w:spacing w:val="-4"/>
          <w:szCs w:val="20"/>
          <w:rtl/>
        </w:rPr>
        <w:t>60</w:t>
      </w:r>
      <w:r w:rsidRPr="00CC1733">
        <w:rPr>
          <w:spacing w:val="-4"/>
          <w:rtl/>
        </w:rPr>
        <w:t xml:space="preserve"> شهراً، وبغرامة مالية تعادل قيمتها الحد الأنى القانوني للأجر</w:t>
      </w:r>
      <w:r w:rsidRPr="00CC1733">
        <w:rPr>
          <w:rtl/>
        </w:rPr>
        <w:t xml:space="preserve"> عن </w:t>
      </w:r>
      <w:r w:rsidRPr="00CC1733">
        <w:rPr>
          <w:szCs w:val="20"/>
          <w:rtl/>
        </w:rPr>
        <w:t>83</w:t>
      </w:r>
      <w:r w:rsidRPr="00CC1733">
        <w:rPr>
          <w:rtl/>
        </w:rPr>
        <w:t>,</w:t>
      </w:r>
      <w:r w:rsidRPr="00CC1733">
        <w:rPr>
          <w:szCs w:val="20"/>
          <w:rtl/>
        </w:rPr>
        <w:t>5</w:t>
      </w:r>
      <w:r w:rsidRPr="00CC1733">
        <w:rPr>
          <w:rtl/>
        </w:rPr>
        <w:t xml:space="preserve"> شهراً، وبالحرمان من الحقوق والوظائف العامة مدة </w:t>
      </w:r>
      <w:r w:rsidRPr="00CC1733">
        <w:rPr>
          <w:szCs w:val="20"/>
          <w:rtl/>
        </w:rPr>
        <w:t>84</w:t>
      </w:r>
      <w:r w:rsidRPr="00CC1733">
        <w:rPr>
          <w:rtl/>
        </w:rPr>
        <w:t xml:space="preserve"> شهراً.</w:t>
      </w:r>
    </w:p>
    <w:p w14:paraId="7B021CF8" w14:textId="274E4B96" w:rsidR="00344CF9" w:rsidRPr="00CC1733" w:rsidRDefault="00344CF9" w:rsidP="00886A73">
      <w:pPr>
        <w:pStyle w:val="SingleTxtGA"/>
        <w:spacing w:line="340" w:lineRule="exact"/>
        <w:rPr>
          <w:rtl/>
        </w:rPr>
      </w:pPr>
      <w:r w:rsidRPr="00CC1733">
        <w:rPr>
          <w:szCs w:val="20"/>
          <w:rtl/>
        </w:rPr>
        <w:lastRenderedPageBreak/>
        <w:t>2</w:t>
      </w:r>
      <w:r w:rsidRPr="00CC1733">
        <w:rPr>
          <w:rtl/>
        </w:rPr>
        <w:t>-</w:t>
      </w:r>
      <w:r w:rsidRPr="00CC1733">
        <w:rPr>
          <w:szCs w:val="20"/>
          <w:rtl/>
        </w:rPr>
        <w:t>12</w:t>
      </w:r>
      <w:r w:rsidRPr="00CC1733">
        <w:rPr>
          <w:rtl/>
        </w:rPr>
        <w:tab/>
      </w:r>
      <w:r w:rsidRPr="00CC1733">
        <w:rPr>
          <w:spacing w:val="-2"/>
          <w:rtl/>
        </w:rPr>
        <w:t xml:space="preserve">ويدعي صاحب البلاغ أنه استنفد سبل الانتصاف المحلية، لأن حكم الإدانة الابتدائي والنهائي نفسه الصادر في حقه عن الدائرة الجنائية بمحكمة العدل </w:t>
      </w:r>
      <w:proofErr w:type="gramStart"/>
      <w:r w:rsidRPr="00CC1733">
        <w:rPr>
          <w:spacing w:val="-2"/>
          <w:rtl/>
        </w:rPr>
        <w:t>العليا</w:t>
      </w:r>
      <w:r w:rsidR="00375ABC" w:rsidRPr="00CC1733">
        <w:rPr>
          <w:spacing w:val="-2"/>
          <w:vertAlign w:val="superscript"/>
          <w:rtl/>
        </w:rPr>
        <w:t>(</w:t>
      </w:r>
      <w:proofErr w:type="gramEnd"/>
      <w:r w:rsidR="00375ABC" w:rsidRPr="00CC1733">
        <w:rPr>
          <w:rStyle w:val="FootnoteReference"/>
          <w:rFonts w:ascii="Times New Roman" w:hAnsi="Times New Roman" w:cs="Times New Roman" w:hint="eastAsia"/>
          <w:b w:val="0"/>
          <w:spacing w:val="-2"/>
          <w:position w:val="4"/>
          <w:sz w:val="20"/>
        </w:rPr>
        <w:footnoteReference w:id="29"/>
      </w:r>
      <w:r w:rsidR="00375ABC" w:rsidRPr="00CC1733">
        <w:rPr>
          <w:spacing w:val="-2"/>
          <w:vertAlign w:val="superscript"/>
          <w:rtl/>
        </w:rPr>
        <w:t>)</w:t>
      </w:r>
      <w:r w:rsidRPr="00CC1733">
        <w:rPr>
          <w:spacing w:val="-2"/>
          <w:rtl/>
        </w:rPr>
        <w:t xml:space="preserve"> يشير إلى أنه حكم غير قابل لأي</w:t>
      </w:r>
      <w:r w:rsidRPr="00CC1733">
        <w:rPr>
          <w:rtl/>
        </w:rPr>
        <w:t xml:space="preserve"> طعن</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30"/>
      </w:r>
      <w:r w:rsidR="00375ABC" w:rsidRPr="00CC1733">
        <w:rPr>
          <w:vertAlign w:val="superscript"/>
          <w:rtl/>
        </w:rPr>
        <w:t>)</w:t>
      </w:r>
      <w:r w:rsidRPr="00CC1733">
        <w:rPr>
          <w:rtl/>
        </w:rPr>
        <w:t xml:space="preserve">. وبالإضافة إلى ذلك، يفيد صاحب البلاغ بأنه قدَّم، في </w:t>
      </w:r>
      <w:r w:rsidRPr="00CC1733">
        <w:rPr>
          <w:szCs w:val="20"/>
          <w:rtl/>
        </w:rPr>
        <w:t>27</w:t>
      </w:r>
      <w:r w:rsidRPr="00CC1733">
        <w:rPr>
          <w:rtl/>
        </w:rPr>
        <w:t xml:space="preserve"> تشرين الأول/أكتوبر </w:t>
      </w:r>
      <w:r w:rsidRPr="00CC1733">
        <w:rPr>
          <w:szCs w:val="20"/>
          <w:rtl/>
        </w:rPr>
        <w:t>2015</w:t>
      </w:r>
      <w:r w:rsidRPr="00CC1733">
        <w:rPr>
          <w:rtl/>
        </w:rPr>
        <w:t xml:space="preserve">، دعوى طلب الحماية الدستورية إلى الدائرة المدنية بمحكمة العدل العليا، على أساس أن حكم الإدانة </w:t>
      </w:r>
      <w:r w:rsidRPr="00CC1733">
        <w:rPr>
          <w:spacing w:val="-4"/>
          <w:rtl/>
        </w:rPr>
        <w:t xml:space="preserve">انتهك حقه في المحاكمة وفق الأصول القانونية ومبدأ </w:t>
      </w:r>
      <w:r w:rsidRPr="00CC1733">
        <w:rPr>
          <w:i/>
          <w:iCs/>
          <w:spacing w:val="-4"/>
          <w:rtl/>
        </w:rPr>
        <w:t>"تفسير الشك لصالح المتهم"</w:t>
      </w:r>
      <w:r w:rsidRPr="00CC1733">
        <w:rPr>
          <w:spacing w:val="-4"/>
          <w:rtl/>
        </w:rPr>
        <w:t xml:space="preserve">. وفي </w:t>
      </w:r>
      <w:r w:rsidRPr="00CC1733">
        <w:rPr>
          <w:spacing w:val="-4"/>
          <w:szCs w:val="20"/>
          <w:rtl/>
        </w:rPr>
        <w:t>11</w:t>
      </w:r>
      <w:r w:rsidRPr="00CC1733">
        <w:rPr>
          <w:spacing w:val="-4"/>
          <w:rtl/>
        </w:rPr>
        <w:t xml:space="preserve"> تشرين الثاني/</w:t>
      </w:r>
      <w:r w:rsidR="00734CE5" w:rsidRPr="00CC1733">
        <w:rPr>
          <w:rFonts w:hint="cs"/>
          <w:rtl/>
        </w:rPr>
        <w:t xml:space="preserve"> </w:t>
      </w:r>
      <w:r w:rsidRPr="00CC1733">
        <w:rPr>
          <w:rtl/>
        </w:rPr>
        <w:t xml:space="preserve">نوفمبر </w:t>
      </w:r>
      <w:r w:rsidRPr="00CC1733">
        <w:rPr>
          <w:szCs w:val="20"/>
          <w:rtl/>
        </w:rPr>
        <w:t>2015</w:t>
      </w:r>
      <w:r w:rsidRPr="00CC1733">
        <w:rPr>
          <w:rtl/>
        </w:rPr>
        <w:t xml:space="preserve">، رفضت دائرة النقض المدنية بمحكمة العدل العليا دعوى طلب الحماية الدستورية. </w:t>
      </w:r>
    </w:p>
    <w:p w14:paraId="1B1E4FC8" w14:textId="53AE2476" w:rsidR="00344CF9" w:rsidRPr="00CC1733" w:rsidRDefault="00344CF9" w:rsidP="00886A73">
      <w:pPr>
        <w:pStyle w:val="SingleTxtGA"/>
        <w:spacing w:line="340" w:lineRule="exact"/>
        <w:rPr>
          <w:rtl/>
        </w:rPr>
      </w:pPr>
      <w:r w:rsidRPr="00CC1733">
        <w:rPr>
          <w:szCs w:val="20"/>
          <w:rtl/>
        </w:rPr>
        <w:t>2</w:t>
      </w:r>
      <w:r w:rsidRPr="00CC1733">
        <w:rPr>
          <w:rtl/>
        </w:rPr>
        <w:t>-</w:t>
      </w:r>
      <w:r w:rsidRPr="00CC1733">
        <w:rPr>
          <w:szCs w:val="20"/>
          <w:rtl/>
        </w:rPr>
        <w:t>13</w:t>
      </w:r>
      <w:r w:rsidRPr="00CC1733">
        <w:rPr>
          <w:rtl/>
        </w:rPr>
        <w:tab/>
      </w:r>
      <w:r w:rsidRPr="00CC1733">
        <w:rPr>
          <w:spacing w:val="-4"/>
          <w:rtl/>
        </w:rPr>
        <w:t xml:space="preserve">وبالإضافة إلى ذلك، يشير صاحب البلاغ إلى أن المحكمة الدستورية حثت الكونغرس، من خلال القرار الصادر في </w:t>
      </w:r>
      <w:r w:rsidRPr="00CC1733">
        <w:rPr>
          <w:spacing w:val="-4"/>
          <w:szCs w:val="20"/>
          <w:rtl/>
        </w:rPr>
        <w:t>29</w:t>
      </w:r>
      <w:r w:rsidRPr="00CC1733">
        <w:rPr>
          <w:spacing w:val="-4"/>
          <w:rtl/>
        </w:rPr>
        <w:t xml:space="preserve"> تشرين الأول/أكتوبر </w:t>
      </w:r>
      <w:r w:rsidRPr="00CC1733">
        <w:rPr>
          <w:spacing w:val="-4"/>
          <w:szCs w:val="20"/>
          <w:rtl/>
        </w:rPr>
        <w:t>2014</w:t>
      </w:r>
      <w:r w:rsidRPr="00CC1733">
        <w:rPr>
          <w:spacing w:val="-4"/>
          <w:rtl/>
        </w:rPr>
        <w:t xml:space="preserve">، على أن يسوي بشكل تام، في غضون سنة واحدة من تاريخ إخطاره بهذا القرار، الحق في الطعن في جميع أحكام الإدانة. وإن لم يفعل ذلك، فسيُفهم أنه يجوز الطعن في جميع أحكام الإدانة أمام هيئة أعلى من الناحية الهرمية أو الوظيفية من تلك التي أصدرت حكم الإدانة. وبعد انقضاء المهلة المحددة في </w:t>
      </w:r>
      <w:r w:rsidRPr="00CC1733">
        <w:rPr>
          <w:spacing w:val="-4"/>
          <w:szCs w:val="20"/>
          <w:rtl/>
        </w:rPr>
        <w:t>25</w:t>
      </w:r>
      <w:r w:rsidRPr="00CC1733">
        <w:rPr>
          <w:spacing w:val="-4"/>
          <w:rtl/>
        </w:rPr>
        <w:t xml:space="preserve"> نيسان/أبريل </w:t>
      </w:r>
      <w:r w:rsidRPr="00CC1733">
        <w:rPr>
          <w:spacing w:val="-4"/>
          <w:szCs w:val="20"/>
          <w:rtl/>
        </w:rPr>
        <w:t>2016</w:t>
      </w:r>
      <w:r w:rsidRPr="00CC1733">
        <w:rPr>
          <w:spacing w:val="-4"/>
          <w:rtl/>
        </w:rPr>
        <w:t xml:space="preserve">، لم يمتثل الكونغرس لأمر المحكمة الدستورية، وهو ما ترتب عليه الأثر القانوني المبين في القرار المذكور. وفي </w:t>
      </w:r>
      <w:r w:rsidRPr="00CC1733">
        <w:rPr>
          <w:spacing w:val="-4"/>
          <w:szCs w:val="20"/>
          <w:rtl/>
        </w:rPr>
        <w:t>28</w:t>
      </w:r>
      <w:r w:rsidRPr="00CC1733">
        <w:rPr>
          <w:spacing w:val="-4"/>
          <w:rtl/>
        </w:rPr>
        <w:t xml:space="preserve"> نيسان/أبريل </w:t>
      </w:r>
      <w:r w:rsidRPr="00CC1733">
        <w:rPr>
          <w:spacing w:val="-4"/>
          <w:szCs w:val="20"/>
          <w:rtl/>
        </w:rPr>
        <w:t>2016</w:t>
      </w:r>
      <w:r w:rsidRPr="00CC1733">
        <w:rPr>
          <w:spacing w:val="-4"/>
          <w:rtl/>
        </w:rPr>
        <w:t xml:space="preserve">، أكدت محكمة العدل العليا، في البيان الصحفي رقم </w:t>
      </w:r>
      <w:r w:rsidRPr="00CC1733">
        <w:rPr>
          <w:spacing w:val="-4"/>
          <w:szCs w:val="20"/>
          <w:rtl/>
        </w:rPr>
        <w:t>08</w:t>
      </w:r>
      <w:r w:rsidRPr="00CC1733">
        <w:rPr>
          <w:spacing w:val="-4"/>
          <w:rtl/>
        </w:rPr>
        <w:t>/</w:t>
      </w:r>
      <w:r w:rsidRPr="00CC1733">
        <w:rPr>
          <w:spacing w:val="-4"/>
          <w:szCs w:val="20"/>
          <w:rtl/>
        </w:rPr>
        <w:t>16</w:t>
      </w:r>
      <w:r w:rsidRPr="00CC1733">
        <w:rPr>
          <w:spacing w:val="-4"/>
          <w:rtl/>
        </w:rPr>
        <w:t xml:space="preserve">، أن الأثر القانوني المنصوص عليه في قرار المحكمة الدستورية "غير قابل للتحقيق"، إذ لا يمكنها، باعتبارها المحكمة العليا والنهائية في نظام القضاء العادي، إنشاء هيئة أعلى من الناحية الهرمية لمراجعة الأحكام الصادرة عن دوائرها المتخصصة. وفي اليوم ذاته، أصدرت المحكمة الدستورية قراراً جديداً </w:t>
      </w:r>
      <w:r w:rsidRPr="00CC1733">
        <w:rPr>
          <w:spacing w:val="-4"/>
        </w:rPr>
        <w:t>SU</w:t>
      </w:r>
      <w:r w:rsidRPr="00CC1733">
        <w:rPr>
          <w:spacing w:val="-4"/>
          <w:szCs w:val="20"/>
        </w:rPr>
        <w:t>215</w:t>
      </w:r>
      <w:r w:rsidRPr="00CC1733">
        <w:rPr>
          <w:spacing w:val="-4"/>
        </w:rPr>
        <w:t>/</w:t>
      </w:r>
      <w:r w:rsidRPr="00CC1733">
        <w:rPr>
          <w:spacing w:val="-4"/>
          <w:szCs w:val="20"/>
        </w:rPr>
        <w:t>16</w:t>
      </w:r>
      <w:r w:rsidRPr="00CC1733">
        <w:rPr>
          <w:spacing w:val="-4"/>
          <w:rtl/>
        </w:rPr>
        <w:t>، ينص على أن التمتع بالحق في الطعن في أحكام الإدانة الابتدائية والنهائية لا</w:t>
      </w:r>
      <w:r w:rsidR="00AF021D" w:rsidRPr="00CC1733">
        <w:rPr>
          <w:rFonts w:hint="cs"/>
          <w:spacing w:val="-4"/>
          <w:rtl/>
        </w:rPr>
        <w:t> </w:t>
      </w:r>
      <w:r w:rsidRPr="00CC1733">
        <w:rPr>
          <w:spacing w:val="-4"/>
          <w:rtl/>
        </w:rPr>
        <w:t>ينطبق</w:t>
      </w:r>
      <w:r w:rsidRPr="00CC1733">
        <w:rPr>
          <w:rtl/>
        </w:rPr>
        <w:t xml:space="preserve"> إلا على القضايا التي صدرت بشأنها أحكام اعتباراً من </w:t>
      </w:r>
      <w:r w:rsidRPr="00CC1733">
        <w:rPr>
          <w:szCs w:val="20"/>
          <w:rtl/>
        </w:rPr>
        <w:t>24</w:t>
      </w:r>
      <w:r w:rsidRPr="00CC1733">
        <w:rPr>
          <w:rtl/>
        </w:rPr>
        <w:t xml:space="preserve"> نيسان/أبريل </w:t>
      </w:r>
      <w:r w:rsidRPr="00CC1733">
        <w:rPr>
          <w:szCs w:val="20"/>
          <w:rtl/>
        </w:rPr>
        <w:t>2016</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31"/>
      </w:r>
      <w:r w:rsidR="00375ABC" w:rsidRPr="00CC1733">
        <w:rPr>
          <w:vertAlign w:val="superscript"/>
          <w:rtl/>
        </w:rPr>
        <w:t>)</w:t>
      </w:r>
      <w:r w:rsidRPr="00CC1733">
        <w:rPr>
          <w:rtl/>
        </w:rPr>
        <w:t xml:space="preserve">. </w:t>
      </w:r>
    </w:p>
    <w:p w14:paraId="74E75E88" w14:textId="77777777" w:rsidR="00344CF9" w:rsidRPr="00CC1733" w:rsidRDefault="00344CF9" w:rsidP="00886A73">
      <w:pPr>
        <w:pStyle w:val="H23GA"/>
        <w:spacing w:line="340" w:lineRule="exact"/>
        <w:rPr>
          <w:rFonts w:hint="eastAsia"/>
          <w:rtl/>
        </w:rPr>
      </w:pPr>
      <w:r w:rsidRPr="00CC1733">
        <w:rPr>
          <w:rtl/>
        </w:rPr>
        <w:tab/>
      </w:r>
      <w:r w:rsidRPr="00CC1733">
        <w:rPr>
          <w:rtl/>
        </w:rPr>
        <w:tab/>
        <w:t>الشكوى</w:t>
      </w:r>
    </w:p>
    <w:p w14:paraId="6B226E0E" w14:textId="77777777" w:rsidR="00344CF9" w:rsidRPr="00CC1733" w:rsidRDefault="00344CF9" w:rsidP="00886A73">
      <w:pPr>
        <w:pStyle w:val="SingleTxtGA"/>
        <w:spacing w:line="340" w:lineRule="exact"/>
        <w:rPr>
          <w:rtl/>
        </w:rPr>
      </w:pPr>
      <w:r w:rsidRPr="00CC1733">
        <w:rPr>
          <w:szCs w:val="20"/>
          <w:rtl/>
        </w:rPr>
        <w:t>3</w:t>
      </w:r>
      <w:r w:rsidRPr="00CC1733">
        <w:rPr>
          <w:rtl/>
        </w:rPr>
        <w:t>-</w:t>
      </w:r>
      <w:r w:rsidRPr="00CC1733">
        <w:rPr>
          <w:szCs w:val="20"/>
          <w:rtl/>
        </w:rPr>
        <w:t>1</w:t>
      </w:r>
      <w:r w:rsidRPr="00CC1733">
        <w:rPr>
          <w:rtl/>
        </w:rPr>
        <w:tab/>
        <w:t xml:space="preserve">يدعي صاحب البلاغ أنه ضحية انتهاك حقوقه الواردة في المواد </w:t>
      </w:r>
      <w:r w:rsidRPr="00CC1733">
        <w:rPr>
          <w:szCs w:val="20"/>
          <w:rtl/>
        </w:rPr>
        <w:t>2</w:t>
      </w:r>
      <w:r w:rsidRPr="00CC1733">
        <w:rPr>
          <w:rtl/>
        </w:rPr>
        <w:t>، و</w:t>
      </w:r>
      <w:r w:rsidRPr="00CC1733">
        <w:rPr>
          <w:szCs w:val="20"/>
          <w:rtl/>
        </w:rPr>
        <w:t>3</w:t>
      </w:r>
      <w:r w:rsidRPr="00CC1733">
        <w:rPr>
          <w:rtl/>
        </w:rPr>
        <w:t>، و</w:t>
      </w:r>
      <w:r w:rsidRPr="00CC1733">
        <w:rPr>
          <w:szCs w:val="20"/>
          <w:rtl/>
        </w:rPr>
        <w:t>9</w:t>
      </w:r>
      <w:r w:rsidRPr="00CC1733">
        <w:rPr>
          <w:rtl/>
        </w:rPr>
        <w:t>، و</w:t>
      </w:r>
      <w:r w:rsidRPr="00CC1733">
        <w:rPr>
          <w:szCs w:val="20"/>
          <w:rtl/>
        </w:rPr>
        <w:t>14</w:t>
      </w:r>
      <w:r w:rsidRPr="00CC1733">
        <w:rPr>
          <w:rtl/>
        </w:rPr>
        <w:t>، و</w:t>
      </w:r>
      <w:r w:rsidRPr="00CC1733">
        <w:rPr>
          <w:szCs w:val="20"/>
          <w:rtl/>
        </w:rPr>
        <w:t>26</w:t>
      </w:r>
      <w:r w:rsidRPr="00CC1733">
        <w:rPr>
          <w:rtl/>
        </w:rPr>
        <w:t xml:space="preserve"> من العهد. </w:t>
      </w:r>
    </w:p>
    <w:p w14:paraId="22E50999" w14:textId="088082ED" w:rsidR="00344CF9" w:rsidRPr="00CC1733" w:rsidRDefault="00344CF9" w:rsidP="00886A73">
      <w:pPr>
        <w:pStyle w:val="SingleTxtGA"/>
        <w:spacing w:line="340" w:lineRule="exact"/>
        <w:rPr>
          <w:rtl/>
        </w:rPr>
      </w:pPr>
      <w:r w:rsidRPr="00CC1733">
        <w:rPr>
          <w:szCs w:val="20"/>
          <w:rtl/>
        </w:rPr>
        <w:t>3</w:t>
      </w:r>
      <w:r w:rsidRPr="00CC1733">
        <w:rPr>
          <w:rtl/>
        </w:rPr>
        <w:t>-</w:t>
      </w:r>
      <w:r w:rsidRPr="00CC1733">
        <w:rPr>
          <w:szCs w:val="20"/>
          <w:rtl/>
        </w:rPr>
        <w:t>2</w:t>
      </w:r>
      <w:r w:rsidRPr="00CC1733">
        <w:rPr>
          <w:rtl/>
        </w:rPr>
        <w:tab/>
        <w:t xml:space="preserve">ويؤكد صاحب البلاغ أن الدولة الطرف لم تف بالتزاماتها بموجب المادتين </w:t>
      </w:r>
      <w:r w:rsidRPr="00CC1733">
        <w:rPr>
          <w:szCs w:val="20"/>
          <w:rtl/>
        </w:rPr>
        <w:t>2</w:t>
      </w:r>
      <w:r w:rsidRPr="00CC1733">
        <w:rPr>
          <w:rtl/>
        </w:rPr>
        <w:t xml:space="preserve"> و</w:t>
      </w:r>
      <w:r w:rsidRPr="00CC1733">
        <w:rPr>
          <w:szCs w:val="20"/>
          <w:rtl/>
        </w:rPr>
        <w:t>3</w:t>
      </w:r>
      <w:r w:rsidRPr="00CC1733">
        <w:rPr>
          <w:rtl/>
        </w:rPr>
        <w:t xml:space="preserve">، لأن مركزه كمسؤول كبير لم يكفل تمتعه الفعلي بالحقوق المعترف بها في العهد، ولا سيما في المادة </w:t>
      </w:r>
      <w:r w:rsidRPr="00CC1733">
        <w:rPr>
          <w:szCs w:val="20"/>
          <w:rtl/>
        </w:rPr>
        <w:t>14</w:t>
      </w:r>
      <w:r w:rsidRPr="00CC1733">
        <w:rPr>
          <w:rtl/>
        </w:rPr>
        <w:t>(</w:t>
      </w:r>
      <w:r w:rsidRPr="00CC1733">
        <w:rPr>
          <w:szCs w:val="20"/>
          <w:rtl/>
        </w:rPr>
        <w:t>5</w:t>
      </w:r>
      <w:r w:rsidRPr="00CC1733">
        <w:rPr>
          <w:rtl/>
        </w:rPr>
        <w:t>)، بل</w:t>
      </w:r>
      <w:r w:rsidR="00886A73" w:rsidRPr="00CC1733">
        <w:rPr>
          <w:rFonts w:hint="cs"/>
          <w:rtl/>
        </w:rPr>
        <w:t> </w:t>
      </w:r>
      <w:r w:rsidRPr="00CC1733">
        <w:rPr>
          <w:rtl/>
        </w:rPr>
        <w:t>عرقله وأعاقه.</w:t>
      </w:r>
    </w:p>
    <w:p w14:paraId="47ADE575" w14:textId="6AF147A6" w:rsidR="00344CF9" w:rsidRPr="00CC1733" w:rsidRDefault="00344CF9" w:rsidP="00886A73">
      <w:pPr>
        <w:pStyle w:val="SingleTxtGA"/>
        <w:spacing w:line="340" w:lineRule="exact"/>
        <w:rPr>
          <w:rtl/>
        </w:rPr>
      </w:pPr>
      <w:r w:rsidRPr="00CC1733">
        <w:rPr>
          <w:szCs w:val="20"/>
          <w:rtl/>
        </w:rPr>
        <w:t>3</w:t>
      </w:r>
      <w:r w:rsidRPr="00CC1733">
        <w:rPr>
          <w:rtl/>
        </w:rPr>
        <w:t>-</w:t>
      </w:r>
      <w:r w:rsidRPr="00CC1733">
        <w:rPr>
          <w:szCs w:val="20"/>
          <w:rtl/>
        </w:rPr>
        <w:t>3</w:t>
      </w:r>
      <w:r w:rsidRPr="00CC1733">
        <w:rPr>
          <w:rtl/>
        </w:rPr>
        <w:tab/>
        <w:t xml:space="preserve">ففيما يتعلق بانتهاك المادة </w:t>
      </w:r>
      <w:r w:rsidRPr="00CC1733">
        <w:rPr>
          <w:szCs w:val="20"/>
          <w:rtl/>
        </w:rPr>
        <w:t>9</w:t>
      </w:r>
      <w:r w:rsidRPr="00CC1733">
        <w:rPr>
          <w:rtl/>
        </w:rPr>
        <w:t xml:space="preserve">، يؤكد صاحب البلاغ أن حريته قُيدت بموجب حكم إدانة جنائية، لا يستوفي المقتضيات الدنيا المنصوص عليها في المادة </w:t>
      </w:r>
      <w:r w:rsidRPr="00CC1733">
        <w:rPr>
          <w:szCs w:val="20"/>
          <w:rtl/>
        </w:rPr>
        <w:t>14</w:t>
      </w:r>
      <w:r w:rsidRPr="00CC1733">
        <w:rPr>
          <w:rtl/>
        </w:rPr>
        <w:t xml:space="preserve"> من العهد. ويفيد صاحب البلاغ بأن انتهاك هذا الحق يتمثل على وجه الخصوص في حرمانه من التمتع الفعلي بامتياز الإقامة الجبرية، رغم استيفائه الشروط القانونية المنصوص عليها لهذا الغرض في القانون </w:t>
      </w:r>
      <w:proofErr w:type="gramStart"/>
      <w:r w:rsidRPr="00CC1733">
        <w:rPr>
          <w:rtl/>
        </w:rPr>
        <w:t>المحلي</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32"/>
      </w:r>
      <w:r w:rsidR="00375ABC" w:rsidRPr="00CC1733">
        <w:rPr>
          <w:vertAlign w:val="superscript"/>
          <w:rtl/>
        </w:rPr>
        <w:t>)</w:t>
      </w:r>
      <w:r w:rsidRPr="00CC1733">
        <w:rPr>
          <w:rtl/>
        </w:rPr>
        <w:t xml:space="preserve">. </w:t>
      </w:r>
    </w:p>
    <w:p w14:paraId="7548A027" w14:textId="6F6C77E8" w:rsidR="00344CF9" w:rsidRPr="00CC1733" w:rsidRDefault="00344CF9" w:rsidP="00DB0FA8">
      <w:pPr>
        <w:pStyle w:val="SingleTxtGA"/>
        <w:spacing w:line="354" w:lineRule="exact"/>
        <w:rPr>
          <w:rtl/>
        </w:rPr>
      </w:pPr>
      <w:r w:rsidRPr="00CC1733">
        <w:rPr>
          <w:szCs w:val="20"/>
          <w:rtl/>
        </w:rPr>
        <w:lastRenderedPageBreak/>
        <w:t>3</w:t>
      </w:r>
      <w:r w:rsidRPr="00CC1733">
        <w:rPr>
          <w:rtl/>
        </w:rPr>
        <w:t>-</w:t>
      </w:r>
      <w:r w:rsidRPr="00CC1733">
        <w:rPr>
          <w:szCs w:val="20"/>
          <w:rtl/>
        </w:rPr>
        <w:t>4</w:t>
      </w:r>
      <w:r w:rsidRPr="00CC1733">
        <w:rPr>
          <w:rtl/>
        </w:rPr>
        <w:tab/>
        <w:t xml:space="preserve">ويدعي صاحب البلاغ أيضاً أنه واجه، في سياق الإجراءات الجنائية المتبعة ضده، حالة من عدم المساواة أمام القضاء نجمت عن تطبيق قانون صدر بعد ارتكاب الأفعال </w:t>
      </w:r>
      <w:proofErr w:type="gramStart"/>
      <w:r w:rsidRPr="00CC1733">
        <w:rPr>
          <w:rtl/>
        </w:rPr>
        <w:t>المعنية</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33"/>
      </w:r>
      <w:r w:rsidR="00375ABC" w:rsidRPr="00CC1733">
        <w:rPr>
          <w:vertAlign w:val="superscript"/>
          <w:rtl/>
        </w:rPr>
        <w:t>)</w:t>
      </w:r>
      <w:r w:rsidRPr="00CC1733">
        <w:rPr>
          <w:rtl/>
        </w:rPr>
        <w:t xml:space="preserve">، سمح بأن يُجري موظف مفوض وغير مختص التحقيق في قضيته ويُوجه إليه التهمة. ويشير صاحب البلاغ إلى عدم كفالة مبدأ تكافؤ وسائل الدفاع، إذ كان ينبغي الطعن في القرارات أمام المدعي العام نفسه الذي أصدرها. ويؤكد وقوع انتهاك للضمانة الواجبة المتمثلة في المحاكمة أمام محكمة مختصة، المنصوص عليها في المادة </w:t>
      </w:r>
      <w:r w:rsidRPr="00CC1733">
        <w:rPr>
          <w:szCs w:val="20"/>
          <w:rtl/>
        </w:rPr>
        <w:t>14</w:t>
      </w:r>
      <w:r w:rsidRPr="00CC1733">
        <w:rPr>
          <w:rtl/>
        </w:rPr>
        <w:t>(</w:t>
      </w:r>
      <w:r w:rsidRPr="00CC1733">
        <w:rPr>
          <w:szCs w:val="20"/>
          <w:rtl/>
        </w:rPr>
        <w:t>1</w:t>
      </w:r>
      <w:r w:rsidRPr="00CC1733">
        <w:rPr>
          <w:rtl/>
        </w:rPr>
        <w:t xml:space="preserve">) من العهد، بالنظر إلى أن المدعي العام، وفقاً للقانون المحلي، هو الهيئة الوحيدة المختصة بإجراء التحقيق في قضيته وملاحقته جنائياً. غير أن المدعي العام فوض اختصاصه لموظف تابع له. ويدعي صاحب البلاغ أيضاً أنه لم يُسمح بمحاكمته فردياً، مما قَيَّد حقه في محاكمة عادلة، وفي ذلك انتهاك للمادة </w:t>
      </w:r>
      <w:r w:rsidRPr="00CC1733">
        <w:rPr>
          <w:szCs w:val="20"/>
          <w:rtl/>
        </w:rPr>
        <w:t>14</w:t>
      </w:r>
      <w:r w:rsidRPr="00CC1733">
        <w:rPr>
          <w:rtl/>
        </w:rPr>
        <w:t>(</w:t>
      </w:r>
      <w:r w:rsidRPr="00CC1733">
        <w:rPr>
          <w:szCs w:val="20"/>
          <w:rtl/>
        </w:rPr>
        <w:t>1</w:t>
      </w:r>
      <w:r w:rsidRPr="00CC1733">
        <w:rPr>
          <w:rtl/>
        </w:rPr>
        <w:t xml:space="preserve">). </w:t>
      </w:r>
    </w:p>
    <w:p w14:paraId="7E34F286" w14:textId="5124F540" w:rsidR="00344CF9" w:rsidRPr="00CC1733" w:rsidRDefault="00344CF9" w:rsidP="00DB0FA8">
      <w:pPr>
        <w:pStyle w:val="SingleTxtGA"/>
        <w:spacing w:line="354" w:lineRule="exact"/>
        <w:rPr>
          <w:rtl/>
        </w:rPr>
      </w:pPr>
      <w:r w:rsidRPr="00CC1733">
        <w:rPr>
          <w:szCs w:val="20"/>
          <w:rtl/>
        </w:rPr>
        <w:t>3</w:t>
      </w:r>
      <w:r w:rsidRPr="00CC1733">
        <w:rPr>
          <w:rtl/>
        </w:rPr>
        <w:t>-</w:t>
      </w:r>
      <w:r w:rsidRPr="00CC1733">
        <w:rPr>
          <w:szCs w:val="20"/>
          <w:rtl/>
        </w:rPr>
        <w:t>5</w:t>
      </w:r>
      <w:r w:rsidRPr="00CC1733">
        <w:rPr>
          <w:rtl/>
        </w:rPr>
        <w:tab/>
      </w:r>
      <w:r w:rsidRPr="00CC1733">
        <w:rPr>
          <w:spacing w:val="-4"/>
          <w:rtl/>
        </w:rPr>
        <w:t>ويرى صاحب البلاغ أن الدولة الطرف انتهكت ضمانة المحاكمة أمام محكمة مستقلة ومحايدة،</w:t>
      </w:r>
      <w:r w:rsidRPr="00CC1733">
        <w:rPr>
          <w:rtl/>
        </w:rPr>
        <w:t xml:space="preserve"> بالنظر إلى أن القضاة الذين حاكموه أثَّروا، من جهة، في مسألة اختيار المدعي العام المكلف بالتحقيق معه خلال مرحلة التحقيق </w:t>
      </w:r>
      <w:proofErr w:type="gramStart"/>
      <w:r w:rsidRPr="00CC1733">
        <w:rPr>
          <w:rtl/>
        </w:rPr>
        <w:t>الجنائي</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34"/>
      </w:r>
      <w:r w:rsidR="00375ABC" w:rsidRPr="00CC1733">
        <w:rPr>
          <w:vertAlign w:val="superscript"/>
          <w:rtl/>
        </w:rPr>
        <w:t>)</w:t>
      </w:r>
      <w:r w:rsidRPr="00CC1733">
        <w:rPr>
          <w:rtl/>
        </w:rPr>
        <w:t xml:space="preserve">، </w:t>
      </w:r>
      <w:r w:rsidRPr="00CC1733">
        <w:rPr>
          <w:spacing w:val="-4"/>
          <w:rtl/>
        </w:rPr>
        <w:t>ولأنهم، من جهة أخرى، تأثروا في حكمهم عليه بالتحيز الشخصي</w:t>
      </w:r>
      <w:r w:rsidRPr="00CC1733">
        <w:rPr>
          <w:rtl/>
        </w:rPr>
        <w:t xml:space="preserve"> وبأفكار مسبقة عن هذه القضية. ويدعي صاحب البلاغ أن استقلالية القضاء نالت منها إشارة القضاة في قرار إدانته إلى الآثار السياسية لقراراتهم. ويشير صاحب البلاغ أيضاً إلى أن القاضي المقرر </w:t>
      </w:r>
      <w:r w:rsidRPr="00CC1733">
        <w:rPr>
          <w:spacing w:val="-4"/>
          <w:rtl/>
        </w:rPr>
        <w:t>قدَّم المشورة إلى أحد القضاة الذين أدانوا السيدة مدينا بادِيَّا، وأن المفوض السادس للمدعي العام أصبح</w:t>
      </w:r>
      <w:r w:rsidRPr="00CC1733">
        <w:rPr>
          <w:rtl/>
        </w:rPr>
        <w:t xml:space="preserve"> لاحقاً قاضياً مساعداً لأحد القضاة الذين حاكموه. ويدعي صاحب البلاغ أن القضاة الذين حاكموه سبق أن أبدوا رأيهم بشأن قضيته. </w:t>
      </w:r>
    </w:p>
    <w:p w14:paraId="5048F058" w14:textId="77777777" w:rsidR="00344CF9" w:rsidRPr="00CC1733" w:rsidRDefault="00344CF9" w:rsidP="00DB0FA8">
      <w:pPr>
        <w:pStyle w:val="SingleTxtGA"/>
        <w:spacing w:line="354" w:lineRule="exact"/>
        <w:rPr>
          <w:rtl/>
        </w:rPr>
      </w:pPr>
      <w:r w:rsidRPr="00CC1733">
        <w:rPr>
          <w:szCs w:val="20"/>
          <w:rtl/>
        </w:rPr>
        <w:t>3</w:t>
      </w:r>
      <w:r w:rsidRPr="00CC1733">
        <w:rPr>
          <w:rtl/>
        </w:rPr>
        <w:t>-</w:t>
      </w:r>
      <w:r w:rsidRPr="00CC1733">
        <w:rPr>
          <w:szCs w:val="20"/>
          <w:rtl/>
        </w:rPr>
        <w:t>6</w:t>
      </w:r>
      <w:r w:rsidRPr="00CC1733">
        <w:rPr>
          <w:rtl/>
        </w:rPr>
        <w:tab/>
        <w:t xml:space="preserve">ويرى صاحب البلاغ أن حقه في قرينة البراءة الوارد في المادة </w:t>
      </w:r>
      <w:r w:rsidRPr="00CC1733">
        <w:rPr>
          <w:szCs w:val="20"/>
          <w:rtl/>
        </w:rPr>
        <w:t>14</w:t>
      </w:r>
      <w:r w:rsidRPr="00CC1733">
        <w:rPr>
          <w:rtl/>
        </w:rPr>
        <w:t>(</w:t>
      </w:r>
      <w:r w:rsidRPr="00CC1733">
        <w:rPr>
          <w:szCs w:val="20"/>
          <w:rtl/>
        </w:rPr>
        <w:t>2</w:t>
      </w:r>
      <w:r w:rsidRPr="00CC1733">
        <w:rPr>
          <w:rtl/>
        </w:rPr>
        <w:t xml:space="preserve">) قد انتُهك، إذ افتُرض أنه </w:t>
      </w:r>
      <w:r w:rsidRPr="00CC1733">
        <w:rPr>
          <w:spacing w:val="-4"/>
          <w:rtl/>
        </w:rPr>
        <w:t>مذنب طوال الإجراءات القضائية بالنظر إلى أن إدانة السيدة مدينا بادِيَّا انطوت أيضاً على إدانته بشكل</w:t>
      </w:r>
      <w:r w:rsidRPr="00CC1733">
        <w:rPr>
          <w:rtl/>
        </w:rPr>
        <w:t xml:space="preserve"> غير رسمي، والدليل على ذلك نقلُ معظم الأدلة من إجراءات قضائية أخرى. </w:t>
      </w:r>
    </w:p>
    <w:p w14:paraId="19394EF1" w14:textId="23F7D5C6" w:rsidR="00344CF9" w:rsidRPr="00CC1733" w:rsidRDefault="00344CF9" w:rsidP="00DB0FA8">
      <w:pPr>
        <w:pStyle w:val="SingleTxtGA"/>
        <w:spacing w:line="354" w:lineRule="exact"/>
        <w:rPr>
          <w:rtl/>
        </w:rPr>
      </w:pPr>
      <w:r w:rsidRPr="00CC1733">
        <w:rPr>
          <w:szCs w:val="20"/>
          <w:rtl/>
        </w:rPr>
        <w:t>3</w:t>
      </w:r>
      <w:r w:rsidRPr="00CC1733">
        <w:rPr>
          <w:rtl/>
        </w:rPr>
        <w:t>-</w:t>
      </w:r>
      <w:r w:rsidRPr="00CC1733">
        <w:rPr>
          <w:szCs w:val="20"/>
          <w:rtl/>
        </w:rPr>
        <w:t>7</w:t>
      </w:r>
      <w:r w:rsidRPr="00CC1733">
        <w:rPr>
          <w:rtl/>
        </w:rPr>
        <w:tab/>
        <w:t xml:space="preserve">ويدعي صاحب البلاغ أن الضمانات الواردة في المادة </w:t>
      </w:r>
      <w:r w:rsidRPr="00CC1733">
        <w:rPr>
          <w:szCs w:val="20"/>
          <w:rtl/>
        </w:rPr>
        <w:t>14</w:t>
      </w:r>
      <w:r w:rsidRPr="00CC1733">
        <w:rPr>
          <w:rtl/>
        </w:rPr>
        <w:t>(</w:t>
      </w:r>
      <w:r w:rsidRPr="00CC1733">
        <w:rPr>
          <w:szCs w:val="20"/>
          <w:rtl/>
        </w:rPr>
        <w:t>3</w:t>
      </w:r>
      <w:r w:rsidRPr="00CC1733">
        <w:rPr>
          <w:rtl/>
        </w:rPr>
        <w:t xml:space="preserve">) قد انتُهكت للأسباب التالية: (أ) </w:t>
      </w:r>
      <w:r w:rsidRPr="00CC1733">
        <w:rPr>
          <w:spacing w:val="-4"/>
          <w:rtl/>
        </w:rPr>
        <w:t xml:space="preserve">حُرم صاحب البلاغ والمسؤولون الكبار الآخرون الذين </w:t>
      </w:r>
      <w:proofErr w:type="spellStart"/>
      <w:r w:rsidRPr="00CC1733">
        <w:rPr>
          <w:spacing w:val="-4"/>
          <w:rtl/>
        </w:rPr>
        <w:t>اتهمتهم</w:t>
      </w:r>
      <w:proofErr w:type="spellEnd"/>
      <w:r w:rsidRPr="00CC1733">
        <w:rPr>
          <w:spacing w:val="-4"/>
          <w:rtl/>
        </w:rPr>
        <w:t xml:space="preserve"> السيدة مدينا بادِيَّا من إمكانية الإدلاء بإفاداتهم أثناء محاكمتها ودحض ادعاءاتها</w:t>
      </w:r>
      <w:r w:rsidRPr="00CC1733">
        <w:rPr>
          <w:rtl/>
        </w:rPr>
        <w:t xml:space="preserve"> ضدهم</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35"/>
      </w:r>
      <w:r w:rsidR="00375ABC" w:rsidRPr="00CC1733">
        <w:rPr>
          <w:vertAlign w:val="superscript"/>
          <w:rtl/>
        </w:rPr>
        <w:t>)</w:t>
      </w:r>
      <w:r w:rsidRPr="00CC1733">
        <w:rPr>
          <w:rtl/>
        </w:rPr>
        <w:t xml:space="preserve">، </w:t>
      </w:r>
      <w:r w:rsidRPr="00CC1733">
        <w:rPr>
          <w:spacing w:val="-4"/>
          <w:rtl/>
        </w:rPr>
        <w:t>ولم يُسمح له أيضاً بالطعن في الأدلة المنقولة من إجراءات قضائية أخرى</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36"/>
      </w:r>
      <w:r w:rsidR="00375ABC" w:rsidRPr="00CC1733">
        <w:rPr>
          <w:vertAlign w:val="superscript"/>
          <w:rtl/>
        </w:rPr>
        <w:t>)</w:t>
      </w:r>
      <w:r w:rsidRPr="00CC1733">
        <w:rPr>
          <w:rtl/>
        </w:rPr>
        <w:t xml:space="preserve">؛ </w:t>
      </w:r>
      <w:r w:rsidRPr="00CC1733">
        <w:rPr>
          <w:spacing w:val="-4"/>
          <w:rtl/>
        </w:rPr>
        <w:t>و(ب) لم يُمنح دفاعُه الوقت اللازم لدراسة ملف القضية؛ و(ج) اضطر</w:t>
      </w:r>
      <w:r w:rsidRPr="00CC1733">
        <w:rPr>
          <w:rtl/>
        </w:rPr>
        <w:t xml:space="preserve"> لتحمل </w:t>
      </w:r>
      <w:r w:rsidRPr="00CC1733">
        <w:rPr>
          <w:spacing w:val="-4"/>
          <w:rtl/>
        </w:rPr>
        <w:lastRenderedPageBreak/>
        <w:t>إجراءات التحقيق الجنائي والمحاكمة التي طالت مدتها سبع سنوات تقريباً، إذ لا يوجد أي مبرر للفترة الزمنية</w:t>
      </w:r>
      <w:r w:rsidRPr="00CC1733">
        <w:rPr>
          <w:rtl/>
        </w:rPr>
        <w:t xml:space="preserve"> الفاصلة بين توجيه التهمة إليه رسمياً وبداية المحاكمة. </w:t>
      </w:r>
    </w:p>
    <w:p w14:paraId="46962767" w14:textId="23D4AA01" w:rsidR="00344CF9" w:rsidRPr="00CC1733" w:rsidRDefault="00344CF9" w:rsidP="00344CF9">
      <w:pPr>
        <w:pStyle w:val="SingleTxtGA"/>
        <w:rPr>
          <w:rtl/>
        </w:rPr>
      </w:pPr>
      <w:r w:rsidRPr="00CC1733">
        <w:rPr>
          <w:szCs w:val="20"/>
          <w:rtl/>
        </w:rPr>
        <w:t>3</w:t>
      </w:r>
      <w:r w:rsidRPr="00CC1733">
        <w:rPr>
          <w:rtl/>
        </w:rPr>
        <w:t>-</w:t>
      </w:r>
      <w:r w:rsidRPr="00CC1733">
        <w:rPr>
          <w:szCs w:val="20"/>
          <w:rtl/>
        </w:rPr>
        <w:t>8</w:t>
      </w:r>
      <w:r w:rsidRPr="00CC1733">
        <w:rPr>
          <w:rtl/>
        </w:rPr>
        <w:tab/>
        <w:t xml:space="preserve">وأخيراً، يفيد صاحب البلاغ بأن الدولة الطرف انتهكت حقه في عرض قرار إدانته على محكمة أعلى درجة على النحو المنصوص عليه في المادة </w:t>
      </w:r>
      <w:r w:rsidRPr="00CC1733">
        <w:rPr>
          <w:szCs w:val="20"/>
          <w:rtl/>
        </w:rPr>
        <w:t>14</w:t>
      </w:r>
      <w:r w:rsidRPr="00CC1733">
        <w:rPr>
          <w:rtl/>
        </w:rPr>
        <w:t>(</w:t>
      </w:r>
      <w:r w:rsidRPr="00CC1733">
        <w:rPr>
          <w:szCs w:val="20"/>
          <w:rtl/>
        </w:rPr>
        <w:t>5</w:t>
      </w:r>
      <w:r w:rsidRPr="00CC1733">
        <w:rPr>
          <w:rtl/>
        </w:rPr>
        <w:t xml:space="preserve">) من العهد، لأن القانون الكولومبي يُسند إلى محكمة العدل العليا مهمة النظر في القضية وإصدار حكم ابتدائي ونهائي بشأنها، لا يوجد أي سبيل انتصاف للطعن </w:t>
      </w:r>
      <w:proofErr w:type="gramStart"/>
      <w:r w:rsidRPr="00CC1733">
        <w:rPr>
          <w:rtl/>
        </w:rPr>
        <w:t>فيه</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37"/>
      </w:r>
      <w:r w:rsidR="00375ABC" w:rsidRPr="00CC1733">
        <w:rPr>
          <w:vertAlign w:val="superscript"/>
          <w:rtl/>
        </w:rPr>
        <w:t>)</w:t>
      </w:r>
      <w:r w:rsidRPr="00CC1733">
        <w:rPr>
          <w:rtl/>
        </w:rPr>
        <w:t>.</w:t>
      </w:r>
    </w:p>
    <w:p w14:paraId="09726892" w14:textId="77777777" w:rsidR="00344CF9" w:rsidRPr="00CC1733" w:rsidRDefault="00344CF9" w:rsidP="00344CF9">
      <w:pPr>
        <w:pStyle w:val="SingleTxtGA"/>
        <w:rPr>
          <w:rtl/>
        </w:rPr>
      </w:pPr>
      <w:r w:rsidRPr="00CC1733">
        <w:rPr>
          <w:szCs w:val="20"/>
          <w:rtl/>
        </w:rPr>
        <w:t>3</w:t>
      </w:r>
      <w:r w:rsidRPr="00CC1733">
        <w:rPr>
          <w:rtl/>
        </w:rPr>
        <w:t>-</w:t>
      </w:r>
      <w:r w:rsidRPr="00CC1733">
        <w:rPr>
          <w:szCs w:val="20"/>
          <w:rtl/>
        </w:rPr>
        <w:t>9</w:t>
      </w:r>
      <w:r w:rsidRPr="00CC1733">
        <w:rPr>
          <w:rtl/>
        </w:rPr>
        <w:tab/>
        <w:t xml:space="preserve">وفيما يتعلق بالمادة </w:t>
      </w:r>
      <w:r w:rsidRPr="00CC1733">
        <w:rPr>
          <w:szCs w:val="20"/>
          <w:rtl/>
        </w:rPr>
        <w:t>26</w:t>
      </w:r>
      <w:r w:rsidRPr="00CC1733">
        <w:rPr>
          <w:rtl/>
        </w:rPr>
        <w:t xml:space="preserve"> من العهد، يشير صاحب البلاغ إلى أن الدولة الطرف مارست التمييز ضده طوال إجراءات المحاكمة، ويتجلى هذا الانتهاك بوضوح في تقييد حقه في استئناف الحكم أمام محكمة أعلى درجة.</w:t>
      </w:r>
    </w:p>
    <w:p w14:paraId="05226DD4" w14:textId="77777777" w:rsidR="00344CF9" w:rsidRPr="00CC1733" w:rsidRDefault="00344CF9" w:rsidP="00375ABC">
      <w:pPr>
        <w:pStyle w:val="H23GA"/>
        <w:rPr>
          <w:rFonts w:hint="eastAsia"/>
          <w:rtl/>
        </w:rPr>
      </w:pPr>
      <w:r w:rsidRPr="00CC1733">
        <w:rPr>
          <w:rtl/>
        </w:rPr>
        <w:tab/>
      </w:r>
      <w:r w:rsidRPr="00CC1733">
        <w:rPr>
          <w:rtl/>
        </w:rPr>
        <w:tab/>
        <w:t xml:space="preserve">ملاحظات الدولة الطرف بشأن مقبولية البلاغ </w:t>
      </w:r>
    </w:p>
    <w:p w14:paraId="14DC07C1" w14:textId="77777777" w:rsidR="00344CF9" w:rsidRPr="00CC1733" w:rsidRDefault="00344CF9" w:rsidP="00344CF9">
      <w:pPr>
        <w:pStyle w:val="SingleTxtGA"/>
        <w:rPr>
          <w:rtl/>
        </w:rPr>
      </w:pPr>
      <w:r w:rsidRPr="00CC1733">
        <w:rPr>
          <w:szCs w:val="20"/>
          <w:rtl/>
        </w:rPr>
        <w:t>4</w:t>
      </w:r>
      <w:r w:rsidRPr="00CC1733">
        <w:rPr>
          <w:rtl/>
        </w:rPr>
        <w:t>-</w:t>
      </w:r>
      <w:r w:rsidRPr="00CC1733">
        <w:rPr>
          <w:szCs w:val="20"/>
          <w:rtl/>
        </w:rPr>
        <w:t>1</w:t>
      </w:r>
      <w:r w:rsidRPr="00CC1733">
        <w:rPr>
          <w:rtl/>
        </w:rPr>
        <w:tab/>
        <w:t xml:space="preserve">تشير الدولة الطرف، في ملاحظاتها المؤرخة </w:t>
      </w:r>
      <w:r w:rsidRPr="00CC1733">
        <w:rPr>
          <w:szCs w:val="20"/>
          <w:rtl/>
        </w:rPr>
        <w:t>20</w:t>
      </w:r>
      <w:r w:rsidRPr="00CC1733">
        <w:rPr>
          <w:rtl/>
        </w:rPr>
        <w:t xml:space="preserve"> شباط/فبراير </w:t>
      </w:r>
      <w:r w:rsidRPr="00CC1733">
        <w:rPr>
          <w:szCs w:val="20"/>
          <w:rtl/>
        </w:rPr>
        <w:t>2017</w:t>
      </w:r>
      <w:r w:rsidRPr="00CC1733">
        <w:rPr>
          <w:rtl/>
        </w:rPr>
        <w:t xml:space="preserve">، إلى أن البلاغ غير مقبول بموجب المادة </w:t>
      </w:r>
      <w:r w:rsidRPr="00CC1733">
        <w:rPr>
          <w:szCs w:val="20"/>
          <w:rtl/>
        </w:rPr>
        <w:t>5</w:t>
      </w:r>
      <w:r w:rsidRPr="00CC1733">
        <w:rPr>
          <w:rtl/>
        </w:rPr>
        <w:t>(</w:t>
      </w:r>
      <w:r w:rsidRPr="00CC1733">
        <w:rPr>
          <w:szCs w:val="20"/>
          <w:rtl/>
        </w:rPr>
        <w:t>2</w:t>
      </w:r>
      <w:r w:rsidRPr="00CC1733">
        <w:rPr>
          <w:rtl/>
        </w:rPr>
        <w:t>)(أ)</w:t>
      </w:r>
      <w:r w:rsidRPr="00CC1733">
        <w:rPr>
          <w:spacing w:val="-4"/>
          <w:rtl/>
        </w:rPr>
        <w:t xml:space="preserve"> من البروتوكول الاختياري، لأن المسألة عُرضت بالفعل على إجراء آخر من إجراءات </w:t>
      </w:r>
      <w:r w:rsidRPr="00CC1733">
        <w:rPr>
          <w:rtl/>
        </w:rPr>
        <w:t xml:space="preserve">التحقيق الدولي أو التسوية الدولية. </w:t>
      </w:r>
    </w:p>
    <w:p w14:paraId="58223142" w14:textId="77777777" w:rsidR="00344CF9" w:rsidRPr="00CC1733" w:rsidRDefault="00344CF9" w:rsidP="00344CF9">
      <w:pPr>
        <w:pStyle w:val="SingleTxtGA"/>
        <w:rPr>
          <w:rtl/>
        </w:rPr>
      </w:pPr>
      <w:r w:rsidRPr="00CC1733">
        <w:rPr>
          <w:szCs w:val="20"/>
          <w:rtl/>
        </w:rPr>
        <w:t>4</w:t>
      </w:r>
      <w:r w:rsidRPr="00CC1733">
        <w:rPr>
          <w:rtl/>
        </w:rPr>
        <w:t>-</w:t>
      </w:r>
      <w:r w:rsidRPr="00CC1733">
        <w:rPr>
          <w:szCs w:val="20"/>
          <w:rtl/>
        </w:rPr>
        <w:t>2</w:t>
      </w:r>
      <w:r w:rsidRPr="00CC1733">
        <w:rPr>
          <w:rtl/>
        </w:rPr>
        <w:tab/>
        <w:t xml:space="preserve">وتفيد الدولة الطرف بأن مجلس حقوق الإنسان أرسل إليها، من خلال الرسالة </w:t>
      </w:r>
      <w:r w:rsidRPr="00CC1733">
        <w:t>G/SO</w:t>
      </w:r>
      <w:r w:rsidRPr="00CC1733">
        <w:rPr>
          <w:szCs w:val="20"/>
        </w:rPr>
        <w:t>215</w:t>
      </w:r>
      <w:r w:rsidRPr="00CC1733">
        <w:t>/</w:t>
      </w:r>
      <w:r w:rsidRPr="00CC1733">
        <w:rPr>
          <w:szCs w:val="20"/>
        </w:rPr>
        <w:t>1</w:t>
      </w:r>
      <w:r w:rsidRPr="00CC1733">
        <w:t>COL</w:t>
      </w:r>
      <w:r w:rsidRPr="00CC1733">
        <w:rPr>
          <w:szCs w:val="20"/>
        </w:rPr>
        <w:t>222</w:t>
      </w:r>
      <w:r w:rsidRPr="00CC1733">
        <w:rPr>
          <w:rtl/>
        </w:rPr>
        <w:t xml:space="preserve"> المؤرخة </w:t>
      </w:r>
      <w:r w:rsidRPr="00CC1733">
        <w:rPr>
          <w:szCs w:val="20"/>
          <w:rtl/>
        </w:rPr>
        <w:t>22</w:t>
      </w:r>
      <w:r w:rsidRPr="00CC1733">
        <w:rPr>
          <w:rtl/>
        </w:rPr>
        <w:t xml:space="preserve"> أيلول/سبتمبر </w:t>
      </w:r>
      <w:r w:rsidRPr="00CC1733">
        <w:rPr>
          <w:szCs w:val="20"/>
          <w:rtl/>
        </w:rPr>
        <w:t>2015</w:t>
      </w:r>
      <w:r w:rsidRPr="00CC1733">
        <w:rPr>
          <w:rtl/>
        </w:rPr>
        <w:t xml:space="preserve"> والرسالة </w:t>
      </w:r>
      <w:r w:rsidRPr="00CC1733">
        <w:t>G/SO</w:t>
      </w:r>
      <w:r w:rsidRPr="00CC1733">
        <w:rPr>
          <w:szCs w:val="20"/>
        </w:rPr>
        <w:t>215</w:t>
      </w:r>
      <w:r w:rsidRPr="00CC1733">
        <w:t>/</w:t>
      </w:r>
      <w:r w:rsidRPr="00CC1733">
        <w:rPr>
          <w:szCs w:val="20"/>
        </w:rPr>
        <w:t>1</w:t>
      </w:r>
      <w:r w:rsidRPr="00CC1733">
        <w:t>COL</w:t>
      </w:r>
      <w:r w:rsidRPr="00CC1733">
        <w:rPr>
          <w:szCs w:val="20"/>
        </w:rPr>
        <w:t>222</w:t>
      </w:r>
      <w:r w:rsidRPr="00CC1733">
        <w:rPr>
          <w:rtl/>
        </w:rPr>
        <w:t xml:space="preserve"> المؤرخة </w:t>
      </w:r>
      <w:r w:rsidRPr="00CC1733">
        <w:rPr>
          <w:szCs w:val="20"/>
          <w:rtl/>
        </w:rPr>
        <w:t>22</w:t>
      </w:r>
      <w:r w:rsidRPr="00CC1733">
        <w:rPr>
          <w:rtl/>
        </w:rPr>
        <w:t xml:space="preserve"> أيار/مايو </w:t>
      </w:r>
      <w:r w:rsidRPr="00CC1733">
        <w:rPr>
          <w:szCs w:val="20"/>
          <w:rtl/>
        </w:rPr>
        <w:t>2016</w:t>
      </w:r>
      <w:r w:rsidRPr="00CC1733">
        <w:rPr>
          <w:rtl/>
        </w:rPr>
        <w:t xml:space="preserve">، كلا البلاغين اللذيْن قدمهما حزب المركز الديمقراطي ضد كولومبيا، بدعوى اضطهادها هذا الحزب وأعضاءه، وضَمَّنهما ادعاءات تتعلق صراحة بصاحب هذا البلاغ. ومن خلال المذكرة الشفوية </w:t>
      </w:r>
      <w:r w:rsidRPr="00CC1733">
        <w:t>G/SO</w:t>
      </w:r>
      <w:r w:rsidRPr="00CC1733">
        <w:rPr>
          <w:szCs w:val="20"/>
        </w:rPr>
        <w:t>215</w:t>
      </w:r>
      <w:r w:rsidRPr="00CC1733">
        <w:t>COL</w:t>
      </w:r>
      <w:r w:rsidRPr="00CC1733">
        <w:rPr>
          <w:szCs w:val="20"/>
        </w:rPr>
        <w:t>222</w:t>
      </w:r>
      <w:r w:rsidRPr="00CC1733">
        <w:rPr>
          <w:rtl/>
        </w:rPr>
        <w:t xml:space="preserve"> المؤرخة </w:t>
      </w:r>
      <w:r w:rsidRPr="00CC1733">
        <w:rPr>
          <w:szCs w:val="20"/>
          <w:rtl/>
        </w:rPr>
        <w:t>22</w:t>
      </w:r>
      <w:r w:rsidRPr="00CC1733">
        <w:rPr>
          <w:rtl/>
        </w:rPr>
        <w:t xml:space="preserve"> آب/أغسطس </w:t>
      </w:r>
      <w:r w:rsidRPr="00CC1733">
        <w:rPr>
          <w:szCs w:val="20"/>
          <w:rtl/>
        </w:rPr>
        <w:t>2016</w:t>
      </w:r>
      <w:r w:rsidRPr="00CC1733">
        <w:rPr>
          <w:rtl/>
        </w:rPr>
        <w:t>، أعلن مجلس حقوق الإنسان قبول ادعاءات الدولة الطرف بشأن القضية التي قدمها حزب المركز الديمقراطي وأعضاؤه، ورأى أن دوافعها سياسية على ما يبدو.</w:t>
      </w:r>
    </w:p>
    <w:p w14:paraId="32C88905" w14:textId="4D7B22D2" w:rsidR="00344CF9" w:rsidRPr="00CC1733" w:rsidRDefault="00344CF9" w:rsidP="00344CF9">
      <w:pPr>
        <w:pStyle w:val="SingleTxtGA"/>
        <w:rPr>
          <w:spacing w:val="2"/>
          <w:rtl/>
        </w:rPr>
      </w:pPr>
      <w:r w:rsidRPr="00CC1733">
        <w:rPr>
          <w:spacing w:val="2"/>
          <w:szCs w:val="20"/>
          <w:rtl/>
        </w:rPr>
        <w:t>4</w:t>
      </w:r>
      <w:r w:rsidRPr="00CC1733">
        <w:rPr>
          <w:spacing w:val="2"/>
          <w:rtl/>
        </w:rPr>
        <w:t>-</w:t>
      </w:r>
      <w:r w:rsidRPr="00CC1733">
        <w:rPr>
          <w:spacing w:val="2"/>
          <w:szCs w:val="20"/>
          <w:rtl/>
        </w:rPr>
        <w:t>3</w:t>
      </w:r>
      <w:r w:rsidRPr="00CC1733">
        <w:rPr>
          <w:spacing w:val="2"/>
          <w:rtl/>
        </w:rPr>
        <w:tab/>
        <w:t>وتشير الدولة الطرف أيضاً إلى أن صاحب البلاغ لم يستنفد سبل الانتصاف المحلية. وفي</w:t>
      </w:r>
      <w:r w:rsidR="00DB0FA8" w:rsidRPr="00CC1733">
        <w:rPr>
          <w:rFonts w:hint="cs"/>
          <w:spacing w:val="2"/>
          <w:rtl/>
        </w:rPr>
        <w:t> </w:t>
      </w:r>
      <w:r w:rsidRPr="00CC1733">
        <w:rPr>
          <w:spacing w:val="2"/>
          <w:szCs w:val="20"/>
          <w:rtl/>
        </w:rPr>
        <w:t>15</w:t>
      </w:r>
      <w:r w:rsidRPr="00CC1733">
        <w:rPr>
          <w:spacing w:val="2"/>
          <w:rtl/>
        </w:rPr>
        <w:t xml:space="preserve"> نيسان/أبريل </w:t>
      </w:r>
      <w:r w:rsidRPr="00CC1733">
        <w:rPr>
          <w:spacing w:val="2"/>
          <w:szCs w:val="20"/>
          <w:rtl/>
        </w:rPr>
        <w:t>2015</w:t>
      </w:r>
      <w:r w:rsidRPr="00CC1733">
        <w:rPr>
          <w:spacing w:val="2"/>
          <w:rtl/>
        </w:rPr>
        <w:t xml:space="preserve">، خلص القضاة التسعة في دائرة النقض الجنائية بمحكمة العدل العليا إلى أن صاحب البلاغ مسؤول جنائياً باعتباره شريكاً في جريمة إعطاء أو عرض الرشوة. ورغم صدور حكم ابتدائي ونهائي في حق صاحب البلاغ، باعتباره موظفاً يتمتع بالحصانة الدستورية، فلم يستنفد جميع سبل الانتصاف، بالنظر إلى أنه، وإن كان لا يجوز في حالته الطعن في الحكم أمام محكمة أعلى درجة، كان بإمكانه فعلاً من الناحية القانونية تقديم دعوى طلب مراجعة الحكم وفقاً لأحكام قانون الإجراءات </w:t>
      </w:r>
      <w:proofErr w:type="gramStart"/>
      <w:r w:rsidRPr="00CC1733">
        <w:rPr>
          <w:spacing w:val="2"/>
          <w:rtl/>
        </w:rPr>
        <w:t>الجنائية</w:t>
      </w:r>
      <w:r w:rsidR="00375ABC" w:rsidRPr="00CC1733">
        <w:rPr>
          <w:spacing w:val="2"/>
          <w:vertAlign w:val="superscript"/>
          <w:rtl/>
        </w:rPr>
        <w:t>(</w:t>
      </w:r>
      <w:proofErr w:type="gramEnd"/>
      <w:r w:rsidR="00375ABC" w:rsidRPr="00CC1733">
        <w:rPr>
          <w:rStyle w:val="FootnoteReference"/>
          <w:rFonts w:ascii="Times New Roman" w:hAnsi="Times New Roman" w:cs="Times New Roman" w:hint="eastAsia"/>
          <w:b w:val="0"/>
          <w:spacing w:val="2"/>
          <w:position w:val="4"/>
          <w:sz w:val="20"/>
        </w:rPr>
        <w:footnoteReference w:id="38"/>
      </w:r>
      <w:r w:rsidR="00375ABC" w:rsidRPr="00CC1733">
        <w:rPr>
          <w:spacing w:val="2"/>
          <w:vertAlign w:val="superscript"/>
          <w:rtl/>
        </w:rPr>
        <w:t>)</w:t>
      </w:r>
      <w:r w:rsidRPr="00CC1733">
        <w:rPr>
          <w:spacing w:val="2"/>
          <w:rtl/>
        </w:rPr>
        <w:t>.</w:t>
      </w:r>
    </w:p>
    <w:p w14:paraId="523D48B3" w14:textId="112469EF" w:rsidR="00344CF9" w:rsidRPr="00CC1733" w:rsidRDefault="00344CF9" w:rsidP="00344CF9">
      <w:pPr>
        <w:pStyle w:val="SingleTxtGA"/>
        <w:rPr>
          <w:rtl/>
        </w:rPr>
      </w:pPr>
      <w:r w:rsidRPr="00CC1733">
        <w:rPr>
          <w:szCs w:val="20"/>
          <w:rtl/>
        </w:rPr>
        <w:t>4</w:t>
      </w:r>
      <w:r w:rsidRPr="00CC1733">
        <w:rPr>
          <w:rtl/>
        </w:rPr>
        <w:t>-</w:t>
      </w:r>
      <w:r w:rsidRPr="00CC1733">
        <w:rPr>
          <w:szCs w:val="20"/>
          <w:rtl/>
        </w:rPr>
        <w:t>4</w:t>
      </w:r>
      <w:r w:rsidRPr="00CC1733">
        <w:rPr>
          <w:rtl/>
        </w:rPr>
        <w:tab/>
        <w:t>وتحاج الدولة الطرف أيضاً بأن المحكمة الدستورية نفسها شددت على أنه "تشكل دعوى طلب المراجعة، في التقليد القانوني الجنائي، أداة لحماية الحقوق الأساسية للمدان، بالنظر إلى طبيعة الحقوق المعرضة للخطر في هذا الصدد، ولا سيما الحق في الحرية الشخصية"</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39"/>
      </w:r>
      <w:r w:rsidR="00375ABC" w:rsidRPr="00CC1733">
        <w:rPr>
          <w:vertAlign w:val="superscript"/>
          <w:rtl/>
        </w:rPr>
        <w:t>)</w:t>
      </w:r>
      <w:r w:rsidRPr="00CC1733">
        <w:rPr>
          <w:rtl/>
        </w:rPr>
        <w:t>.</w:t>
      </w:r>
    </w:p>
    <w:p w14:paraId="141AEA99" w14:textId="77777777" w:rsidR="00344CF9" w:rsidRPr="00CC1733" w:rsidRDefault="00344CF9" w:rsidP="00375ABC">
      <w:pPr>
        <w:pStyle w:val="H23GA"/>
        <w:rPr>
          <w:rFonts w:hint="eastAsia"/>
          <w:rtl/>
        </w:rPr>
      </w:pPr>
      <w:r w:rsidRPr="00CC1733">
        <w:rPr>
          <w:rtl/>
        </w:rPr>
        <w:lastRenderedPageBreak/>
        <w:tab/>
      </w:r>
      <w:r w:rsidRPr="00CC1733">
        <w:rPr>
          <w:rtl/>
        </w:rPr>
        <w:tab/>
        <w:t xml:space="preserve">تعليقات صاحب البلاغ على ملاحظات الدولة الطرف بشأن مقبولية البلاغ </w:t>
      </w:r>
    </w:p>
    <w:p w14:paraId="67A6B4D0" w14:textId="77777777" w:rsidR="00344CF9" w:rsidRPr="00CC1733" w:rsidRDefault="00344CF9" w:rsidP="00344CF9">
      <w:pPr>
        <w:pStyle w:val="SingleTxtGA"/>
        <w:rPr>
          <w:spacing w:val="-4"/>
          <w:rtl/>
        </w:rPr>
      </w:pPr>
      <w:r w:rsidRPr="00CC1733">
        <w:rPr>
          <w:szCs w:val="20"/>
          <w:rtl/>
        </w:rPr>
        <w:t>5</w:t>
      </w:r>
      <w:r w:rsidRPr="00CC1733">
        <w:rPr>
          <w:rtl/>
        </w:rPr>
        <w:t>-</w:t>
      </w:r>
      <w:r w:rsidRPr="00CC1733">
        <w:rPr>
          <w:szCs w:val="20"/>
          <w:rtl/>
        </w:rPr>
        <w:t>1</w:t>
      </w:r>
      <w:r w:rsidRPr="00CC1733">
        <w:rPr>
          <w:rtl/>
        </w:rPr>
        <w:tab/>
        <w:t xml:space="preserve">يفيد صاحب البلاغ، في تعليقاته المؤرخة </w:t>
      </w:r>
      <w:r w:rsidRPr="00CC1733">
        <w:rPr>
          <w:szCs w:val="20"/>
          <w:rtl/>
        </w:rPr>
        <w:t>11</w:t>
      </w:r>
      <w:r w:rsidRPr="00CC1733">
        <w:rPr>
          <w:rtl/>
        </w:rPr>
        <w:t xml:space="preserve"> كانون الأول/ديسمبر </w:t>
      </w:r>
      <w:r w:rsidRPr="00CC1733">
        <w:rPr>
          <w:szCs w:val="20"/>
          <w:rtl/>
        </w:rPr>
        <w:t>2017</w:t>
      </w:r>
      <w:r w:rsidRPr="00CC1733">
        <w:rPr>
          <w:rtl/>
        </w:rPr>
        <w:t xml:space="preserve">، بأن بلاغه يستوفي </w:t>
      </w:r>
      <w:r w:rsidRPr="00CC1733">
        <w:rPr>
          <w:spacing w:val="-4"/>
          <w:rtl/>
        </w:rPr>
        <w:t xml:space="preserve">معايير المقبولية المنصوص عليها في البروتوكول الاختياري، ويكرر الادعاءات التي قدمها في رسالته الأولى. </w:t>
      </w:r>
    </w:p>
    <w:p w14:paraId="0173897A" w14:textId="035AF880" w:rsidR="00344CF9" w:rsidRPr="00CC1733" w:rsidRDefault="00344CF9" w:rsidP="00344CF9">
      <w:pPr>
        <w:pStyle w:val="SingleTxtGA"/>
        <w:rPr>
          <w:rtl/>
        </w:rPr>
      </w:pPr>
      <w:r w:rsidRPr="00CC1733">
        <w:rPr>
          <w:szCs w:val="20"/>
          <w:rtl/>
        </w:rPr>
        <w:t>5</w:t>
      </w:r>
      <w:r w:rsidRPr="00CC1733">
        <w:rPr>
          <w:rtl/>
        </w:rPr>
        <w:t>-</w:t>
      </w:r>
      <w:r w:rsidRPr="00CC1733">
        <w:rPr>
          <w:szCs w:val="20"/>
          <w:rtl/>
        </w:rPr>
        <w:t>2</w:t>
      </w:r>
      <w:r w:rsidRPr="00CC1733">
        <w:rPr>
          <w:rtl/>
        </w:rPr>
        <w:tab/>
      </w:r>
      <w:r w:rsidRPr="00CC1733">
        <w:rPr>
          <w:spacing w:val="-4"/>
          <w:rtl/>
        </w:rPr>
        <w:t>وفيما يتعلق بالحجج التي ساقتها الدولة الطرف بشأن عدم المقبولية، يشير صاحب البلاغ إلى أن مجلس حقوق الإنسان لا ينظر في قضايا المنازعات وأن إجراءاته ليست ملزمة، ولا يمكن بالتالي اعتباره سبيل انتصاف دولياً مستنفداً. ولا يُعتبر مجلس حقوق الإنسان ولا الإجراءات الخاصة هيئات دولية</w:t>
      </w:r>
      <w:r w:rsidRPr="00CC1733">
        <w:rPr>
          <w:rtl/>
        </w:rPr>
        <w:t xml:space="preserve"> </w:t>
      </w:r>
      <w:r w:rsidRPr="00CC1733">
        <w:rPr>
          <w:spacing w:val="-4"/>
          <w:rtl/>
        </w:rPr>
        <w:t>شبه قضائية، ولا يجوز بالتالي ادعاء عدم مقبولية البلاغ لأن المسألة المعنية سبق عرضها على هذه</w:t>
      </w:r>
      <w:r w:rsidRPr="00CC1733">
        <w:rPr>
          <w:rtl/>
        </w:rPr>
        <w:t xml:space="preserve"> </w:t>
      </w:r>
      <w:proofErr w:type="gramStart"/>
      <w:r w:rsidRPr="00CC1733">
        <w:rPr>
          <w:rtl/>
        </w:rPr>
        <w:t>الهيئات</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0"/>
      </w:r>
      <w:r w:rsidR="00375ABC" w:rsidRPr="00CC1733">
        <w:rPr>
          <w:vertAlign w:val="superscript"/>
          <w:rtl/>
        </w:rPr>
        <w:t>)</w:t>
      </w:r>
      <w:r w:rsidRPr="00CC1733">
        <w:rPr>
          <w:rtl/>
        </w:rPr>
        <w:t>.</w:t>
      </w:r>
    </w:p>
    <w:p w14:paraId="486DAEBD" w14:textId="2A615CB0" w:rsidR="00344CF9" w:rsidRPr="00CC1733" w:rsidRDefault="00344CF9" w:rsidP="00344CF9">
      <w:pPr>
        <w:pStyle w:val="SingleTxtGA"/>
        <w:rPr>
          <w:rtl/>
        </w:rPr>
      </w:pPr>
      <w:r w:rsidRPr="00CC1733">
        <w:rPr>
          <w:szCs w:val="20"/>
          <w:rtl/>
        </w:rPr>
        <w:t>5</w:t>
      </w:r>
      <w:r w:rsidRPr="00CC1733">
        <w:rPr>
          <w:rtl/>
        </w:rPr>
        <w:t>-</w:t>
      </w:r>
      <w:r w:rsidRPr="00CC1733">
        <w:rPr>
          <w:szCs w:val="20"/>
          <w:rtl/>
        </w:rPr>
        <w:t>3</w:t>
      </w:r>
      <w:r w:rsidRPr="00CC1733">
        <w:rPr>
          <w:rtl/>
        </w:rPr>
        <w:tab/>
        <w:t xml:space="preserve">ويكرر صاحب البلاغ ادعاءاته التي مفادها أن الدعوى الجنائية المقدمة ضده شكلت انتهاكاً للمادة </w:t>
      </w:r>
      <w:r w:rsidRPr="00CC1733">
        <w:rPr>
          <w:szCs w:val="20"/>
          <w:rtl/>
        </w:rPr>
        <w:t>14</w:t>
      </w:r>
      <w:r w:rsidRPr="00CC1733">
        <w:rPr>
          <w:rtl/>
        </w:rPr>
        <w:t>(</w:t>
      </w:r>
      <w:r w:rsidRPr="00CC1733">
        <w:rPr>
          <w:szCs w:val="20"/>
          <w:rtl/>
        </w:rPr>
        <w:t>5</w:t>
      </w:r>
      <w:r w:rsidRPr="00CC1733">
        <w:rPr>
          <w:rtl/>
        </w:rPr>
        <w:t xml:space="preserve">) من العهد. ولا تتيح سبلُ الانتصاف التي ذكرتها الدولة الطرف إمكانية إجراء مراجعة موضوعية لحكم الإدانة والعقوبة. ويشير صاحب البلاغ إلى أن الدولة الطرف تستند إلى قاعدة إجرائية </w:t>
      </w:r>
      <w:proofErr w:type="gramStart"/>
      <w:r w:rsidRPr="00CC1733">
        <w:rPr>
          <w:rtl/>
        </w:rPr>
        <w:t>جنائية</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1"/>
      </w:r>
      <w:r w:rsidR="00375ABC" w:rsidRPr="00CC1733">
        <w:rPr>
          <w:vertAlign w:val="superscript"/>
          <w:rtl/>
        </w:rPr>
        <w:t>)</w:t>
      </w:r>
      <w:r w:rsidRPr="00CC1733">
        <w:rPr>
          <w:rtl/>
        </w:rPr>
        <w:t xml:space="preserve"> لم يُحاكَم بموجبها</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42"/>
      </w:r>
      <w:r w:rsidR="00375ABC" w:rsidRPr="00CC1733">
        <w:rPr>
          <w:vertAlign w:val="superscript"/>
          <w:rtl/>
        </w:rPr>
        <w:t>)</w:t>
      </w:r>
      <w:r w:rsidRPr="00CC1733">
        <w:rPr>
          <w:rtl/>
        </w:rPr>
        <w:t xml:space="preserve">. وطلبُ مراجعة الأحكام القضائية سبيل انتصاف استثنائي، إذ لا يتيح إمكانية الاعتراض على القرارات أثناء المحاكمة، وإنما عندما تنتهي المحاكمة وتظهر أدلة جديدة </w:t>
      </w:r>
      <w:r w:rsidRPr="00CC1733">
        <w:rPr>
          <w:spacing w:val="-3"/>
          <w:rtl/>
        </w:rPr>
        <w:t>أو</w:t>
      </w:r>
      <w:r w:rsidR="00DB0FA8" w:rsidRPr="00CC1733">
        <w:rPr>
          <w:rFonts w:hint="cs"/>
          <w:spacing w:val="-3"/>
          <w:rtl/>
        </w:rPr>
        <w:t> </w:t>
      </w:r>
      <w:r w:rsidRPr="00CC1733">
        <w:rPr>
          <w:spacing w:val="-3"/>
          <w:rtl/>
        </w:rPr>
        <w:t>يحدث تغير في الاجتهادات القضائية أو يطرأ مستجد يبرر إعادة فتح المداولات، ولكنه لا يتيح إمكانية</w:t>
      </w:r>
      <w:r w:rsidRPr="00CC1733">
        <w:rPr>
          <w:rtl/>
        </w:rPr>
        <w:t xml:space="preserve"> الطعن فيما صدر بشأنه حكم نهائي. وعلاوةً على ذلك، تبت فيه المحكمة ذاتها التي أصدرت الحكم الابتدائي والنهائي، ولا يمكن بالتالي اعتباره سبيل انتصاف ملائماً. </w:t>
      </w:r>
    </w:p>
    <w:p w14:paraId="32D562F3" w14:textId="77777777" w:rsidR="00344CF9" w:rsidRPr="00CC1733" w:rsidRDefault="00344CF9" w:rsidP="00344CF9">
      <w:pPr>
        <w:pStyle w:val="SingleTxtGA"/>
        <w:rPr>
          <w:spacing w:val="-2"/>
          <w:rtl/>
        </w:rPr>
      </w:pPr>
      <w:r w:rsidRPr="00CC1733">
        <w:rPr>
          <w:szCs w:val="20"/>
          <w:rtl/>
        </w:rPr>
        <w:t>5</w:t>
      </w:r>
      <w:r w:rsidRPr="00CC1733">
        <w:rPr>
          <w:rtl/>
        </w:rPr>
        <w:t>-</w:t>
      </w:r>
      <w:r w:rsidRPr="00CC1733">
        <w:rPr>
          <w:szCs w:val="20"/>
          <w:rtl/>
        </w:rPr>
        <w:t>4</w:t>
      </w:r>
      <w:r w:rsidRPr="00CC1733">
        <w:rPr>
          <w:rtl/>
        </w:rPr>
        <w:tab/>
      </w:r>
      <w:r w:rsidRPr="00CC1733">
        <w:rPr>
          <w:spacing w:val="-4"/>
          <w:rtl/>
        </w:rPr>
        <w:t xml:space="preserve">ويشدد صاحب البلاغ على أن محكمة العدل العليا تؤكد في الحكم نفسه أنه حكم "غير قابل </w:t>
      </w:r>
      <w:r w:rsidRPr="00CC1733">
        <w:rPr>
          <w:spacing w:val="-2"/>
          <w:rtl/>
        </w:rPr>
        <w:t xml:space="preserve">لأي طعن". وبالتالي، لا يوجد أي سبيل انتصاف ملائم وفعال يتيح إمكانية طلب مراجعة حكم الإدانة والعقوبة الصادر عن محكمة العدل العليا في إطار محاكمة ابتدائية ونهائية. ويفيد صاحب البلاغ بأن سبيل الانتصاف الذي أشارت إليه الدولة الطرف ليس ملائماً ولا فعالاً. ويكرر صاحب البلاغ أن القواعد التي تنظم إجراءات محاكمة محكمة العدل العليا كبارَ المسؤولين المتمتعين بالحصانة محاكمةً جنائيةً ابتدائيةً ونهائيةً، من دون إمكانية عرض حكم الإدانة والعقوبة على محكمة أعلى درجة لمراجعته، تنتهك أحكام المادة </w:t>
      </w:r>
      <w:r w:rsidRPr="00CC1733">
        <w:rPr>
          <w:spacing w:val="-2"/>
          <w:szCs w:val="20"/>
          <w:rtl/>
        </w:rPr>
        <w:t>26</w:t>
      </w:r>
      <w:r w:rsidRPr="00CC1733">
        <w:rPr>
          <w:spacing w:val="-2"/>
          <w:rtl/>
        </w:rPr>
        <w:t xml:space="preserve"> من العهد، إذ تحرم بعض المسؤولين الحكوميين من التمتع بالحق المنصوص عليه في هذه المادة.</w:t>
      </w:r>
    </w:p>
    <w:p w14:paraId="3F41E4DC" w14:textId="77777777" w:rsidR="00344CF9" w:rsidRPr="00CC1733" w:rsidRDefault="00344CF9" w:rsidP="00375ABC">
      <w:pPr>
        <w:pStyle w:val="H23GA"/>
        <w:rPr>
          <w:rFonts w:hint="eastAsia"/>
          <w:rtl/>
        </w:rPr>
      </w:pPr>
      <w:r w:rsidRPr="00CC1733">
        <w:rPr>
          <w:rtl/>
        </w:rPr>
        <w:tab/>
      </w:r>
      <w:r w:rsidRPr="00CC1733">
        <w:rPr>
          <w:rtl/>
        </w:rPr>
        <w:tab/>
        <w:t>ملاحظات الدولة الطرف بشأن الأسس الموضوعية</w:t>
      </w:r>
    </w:p>
    <w:p w14:paraId="5DF5AAEE" w14:textId="77777777" w:rsidR="00344CF9" w:rsidRPr="00CC1733" w:rsidRDefault="00344CF9" w:rsidP="00344CF9">
      <w:pPr>
        <w:pStyle w:val="SingleTxtGA"/>
        <w:rPr>
          <w:rtl/>
        </w:rPr>
      </w:pPr>
      <w:r w:rsidRPr="00CC1733">
        <w:rPr>
          <w:szCs w:val="20"/>
          <w:rtl/>
        </w:rPr>
        <w:t>6</w:t>
      </w:r>
      <w:r w:rsidRPr="00CC1733">
        <w:rPr>
          <w:rtl/>
        </w:rPr>
        <w:t>-</w:t>
      </w:r>
      <w:r w:rsidRPr="00CC1733">
        <w:rPr>
          <w:szCs w:val="20"/>
          <w:rtl/>
        </w:rPr>
        <w:t>1</w:t>
      </w:r>
      <w:r w:rsidRPr="00CC1733">
        <w:rPr>
          <w:rtl/>
        </w:rPr>
        <w:tab/>
        <w:t xml:space="preserve">تكرر الدولة الطرف، في ملاحظاتها المؤرخة </w:t>
      </w:r>
      <w:r w:rsidRPr="00CC1733">
        <w:rPr>
          <w:szCs w:val="20"/>
          <w:rtl/>
        </w:rPr>
        <w:t>11</w:t>
      </w:r>
      <w:r w:rsidRPr="00CC1733">
        <w:rPr>
          <w:rtl/>
        </w:rPr>
        <w:t xml:space="preserve"> تموز/يوليه </w:t>
      </w:r>
      <w:r w:rsidRPr="00CC1733">
        <w:rPr>
          <w:szCs w:val="20"/>
          <w:rtl/>
        </w:rPr>
        <w:t>2017</w:t>
      </w:r>
      <w:r w:rsidRPr="00CC1733">
        <w:rPr>
          <w:rtl/>
        </w:rPr>
        <w:t>، أن البلاغ لا يستوفي معايير المقبولية المنصوص عليها في البروتوكول الاختياري. وبالإضافة إلى ذلك، تشير الدولة الطرف إلى عدم دعم صاحب البلاغ ادعاءاته بالأدلة.</w:t>
      </w:r>
    </w:p>
    <w:p w14:paraId="34AB5297" w14:textId="3C32E264" w:rsidR="00344CF9" w:rsidRPr="00CC1733" w:rsidRDefault="00344CF9" w:rsidP="00344CF9">
      <w:pPr>
        <w:pStyle w:val="SingleTxtGA"/>
        <w:rPr>
          <w:rtl/>
        </w:rPr>
      </w:pPr>
      <w:r w:rsidRPr="00CC1733">
        <w:rPr>
          <w:szCs w:val="20"/>
          <w:rtl/>
        </w:rPr>
        <w:t>6</w:t>
      </w:r>
      <w:r w:rsidRPr="00CC1733">
        <w:rPr>
          <w:rtl/>
        </w:rPr>
        <w:t>-</w:t>
      </w:r>
      <w:r w:rsidRPr="00CC1733">
        <w:rPr>
          <w:szCs w:val="20"/>
          <w:rtl/>
        </w:rPr>
        <w:t>2</w:t>
      </w:r>
      <w:r w:rsidRPr="00CC1733">
        <w:rPr>
          <w:rtl/>
        </w:rPr>
        <w:tab/>
        <w:t xml:space="preserve">وتكرر الدولة الطرف أن الإجراءات الجنائية المباشَرة أمام محكمة العدل العليا ضد صاحب البلاغ لا تشكل انتهاكاً للمادة </w:t>
      </w:r>
      <w:r w:rsidRPr="00CC1733">
        <w:rPr>
          <w:szCs w:val="20"/>
          <w:rtl/>
        </w:rPr>
        <w:t>14</w:t>
      </w:r>
      <w:r w:rsidRPr="00CC1733">
        <w:rPr>
          <w:rtl/>
        </w:rPr>
        <w:t>(</w:t>
      </w:r>
      <w:r w:rsidRPr="00CC1733">
        <w:rPr>
          <w:szCs w:val="20"/>
          <w:rtl/>
        </w:rPr>
        <w:t>5</w:t>
      </w:r>
      <w:r w:rsidRPr="00CC1733">
        <w:rPr>
          <w:rtl/>
        </w:rPr>
        <w:t xml:space="preserve">) من العهد. فقد صدر قرار إدانة صاحب البلاغ عن أعلى محكمة، ويجوز له قانوناً الطعن فيه من خلال دعوى طلب المراجعة أمام المحكمة ذاتها، التي هي أعلى </w:t>
      </w:r>
      <w:r w:rsidRPr="00CC1733">
        <w:rPr>
          <w:rtl/>
        </w:rPr>
        <w:lastRenderedPageBreak/>
        <w:t xml:space="preserve">هيئة في هرم الدولة </w:t>
      </w:r>
      <w:proofErr w:type="gramStart"/>
      <w:r w:rsidRPr="00CC1733">
        <w:rPr>
          <w:rtl/>
        </w:rPr>
        <w:t>القضائي</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3"/>
      </w:r>
      <w:r w:rsidR="00375ABC" w:rsidRPr="00CC1733">
        <w:rPr>
          <w:vertAlign w:val="superscript"/>
          <w:rtl/>
        </w:rPr>
        <w:t>)</w:t>
      </w:r>
      <w:r w:rsidRPr="00CC1733">
        <w:rPr>
          <w:rtl/>
        </w:rPr>
        <w:t xml:space="preserve">. وتشير الدولة الطرف أيضاً إلى أن السوابق القضائية </w:t>
      </w:r>
      <w:proofErr w:type="gramStart"/>
      <w:r w:rsidRPr="00CC1733">
        <w:rPr>
          <w:rtl/>
        </w:rPr>
        <w:t>الدستورية</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4"/>
      </w:r>
      <w:r w:rsidR="00375ABC" w:rsidRPr="00CC1733">
        <w:rPr>
          <w:vertAlign w:val="superscript"/>
          <w:rtl/>
        </w:rPr>
        <w:t>)</w:t>
      </w:r>
      <w:r w:rsidRPr="00CC1733">
        <w:rPr>
          <w:rtl/>
        </w:rPr>
        <w:t xml:space="preserve"> التي كانت سارية وقت المحاكمة أضفت الطابع الشرعي على محاكمة كبار المسؤولين المعنيين أمام محكمة العدل العليا باعتبار ذلك "الضمانة القصوى للمحاكمة وفق الأصول القانونية"، وبررت تقييد الحق في </w:t>
      </w:r>
      <w:r w:rsidRPr="0066561F">
        <w:rPr>
          <w:spacing w:val="-2"/>
          <w:rtl/>
        </w:rPr>
        <w:t>اللجوء إلى محكمة أعلى درجة بمحاكمتهم في المقابل أمام أعلى محكمة جنائية تصدر أحكاماً نهائية ذات</w:t>
      </w:r>
      <w:r w:rsidRPr="00CC1733">
        <w:rPr>
          <w:rtl/>
        </w:rPr>
        <w:t xml:space="preserve"> طابع جماعي. وعلاوةً على ذلك، أوضحت المحكمة الدستورية، على سبيل الحماية، أن قواعد مجموعة القوانين الدستورية المتعلقة بإمكانية الطعن في أي حكم لا تنطبق بالمعنى الدقيق عندما يصدر عن دائرة النقض الجنائية بمحكمة العدل </w:t>
      </w:r>
      <w:proofErr w:type="gramStart"/>
      <w:r w:rsidRPr="00CC1733">
        <w:rPr>
          <w:rtl/>
        </w:rPr>
        <w:t>العليا</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5"/>
      </w:r>
      <w:r w:rsidR="00375ABC" w:rsidRPr="00CC1733">
        <w:rPr>
          <w:vertAlign w:val="superscript"/>
          <w:rtl/>
        </w:rPr>
        <w:t>)</w:t>
      </w:r>
      <w:r w:rsidRPr="00CC1733">
        <w:rPr>
          <w:rtl/>
        </w:rPr>
        <w:t xml:space="preserve">. وعلى غرار ذلك، رأت المحكمة الدستورية أن تطبيق القواعد العامة المنصوص عليها في مجموعة القوانين الدستورية خلال محاكمات كبار المسؤولين ينبغي أن </w:t>
      </w:r>
      <w:r w:rsidRPr="00CC1733">
        <w:rPr>
          <w:spacing w:val="-4"/>
          <w:rtl/>
        </w:rPr>
        <w:t>يأخذ في الاعتبار مركزهم داخل الهيكل المؤسسي، وخصوصية صلاحياتهم ومكانتهم في التسلسل الهرمي؛</w:t>
      </w:r>
      <w:r w:rsidRPr="00CC1733">
        <w:rPr>
          <w:rtl/>
        </w:rPr>
        <w:t xml:space="preserve"> </w:t>
      </w:r>
      <w:r w:rsidRPr="00CC1733">
        <w:rPr>
          <w:spacing w:val="-4"/>
          <w:rtl/>
        </w:rPr>
        <w:t xml:space="preserve">و"ينبغي أن </w:t>
      </w:r>
      <w:r w:rsidRPr="0066561F">
        <w:rPr>
          <w:spacing w:val="-2"/>
          <w:rtl/>
        </w:rPr>
        <w:t>تكون القواعد الدولية، في حالة انطباقها، عامةً، بحيث تحترم طريقة المحاكمة الخاصة المعتمدة تبعاً لشكل الدولة</w:t>
      </w:r>
      <w:r w:rsidRPr="00CC1733">
        <w:rPr>
          <w:rtl/>
        </w:rPr>
        <w:t xml:space="preserve"> الطرف المعنية، أو نموذجها الديمقراطي أو نظامها الجمهوري المحدد"</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46"/>
      </w:r>
      <w:r w:rsidR="00375ABC" w:rsidRPr="00CC1733">
        <w:rPr>
          <w:vertAlign w:val="superscript"/>
          <w:rtl/>
        </w:rPr>
        <w:t>)</w:t>
      </w:r>
      <w:r w:rsidRPr="00CC1733">
        <w:rPr>
          <w:rtl/>
        </w:rPr>
        <w:t>.</w:t>
      </w:r>
    </w:p>
    <w:p w14:paraId="2B8C3470" w14:textId="70BD48B2" w:rsidR="00344CF9" w:rsidRPr="00CC1733" w:rsidRDefault="00344CF9" w:rsidP="00344CF9">
      <w:pPr>
        <w:pStyle w:val="SingleTxtGA"/>
        <w:rPr>
          <w:rtl/>
        </w:rPr>
      </w:pPr>
      <w:r w:rsidRPr="00CC1733">
        <w:rPr>
          <w:szCs w:val="20"/>
          <w:rtl/>
        </w:rPr>
        <w:t>6</w:t>
      </w:r>
      <w:r w:rsidRPr="00CC1733">
        <w:rPr>
          <w:rtl/>
        </w:rPr>
        <w:t>-</w:t>
      </w:r>
      <w:r w:rsidRPr="00CC1733">
        <w:rPr>
          <w:szCs w:val="20"/>
          <w:rtl/>
        </w:rPr>
        <w:t>3</w:t>
      </w:r>
      <w:r w:rsidRPr="00CC1733">
        <w:rPr>
          <w:rtl/>
        </w:rPr>
        <w:tab/>
        <w:t xml:space="preserve">وبخصوص الادعاءات المتعلقة بعدم النزاهة، تشير الدولة الطرف إلى أن عدم قبول صاحب </w:t>
      </w:r>
      <w:r w:rsidRPr="0066561F">
        <w:rPr>
          <w:spacing w:val="-2"/>
          <w:rtl/>
        </w:rPr>
        <w:t>البلاغ تقييم الأدلة أو اعتراضه على أدلة الإثبات لا يصح كحجة، وأنه كان على محاميه أن يثيروا خلال المرحلة</w:t>
      </w:r>
      <w:r w:rsidRPr="00CC1733">
        <w:rPr>
          <w:rtl/>
        </w:rPr>
        <w:t xml:space="preserve"> المناسبة من </w:t>
      </w:r>
      <w:proofErr w:type="gramStart"/>
      <w:r w:rsidRPr="00CC1733">
        <w:rPr>
          <w:rtl/>
        </w:rPr>
        <w:t>الإجراءات</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7"/>
      </w:r>
      <w:r w:rsidR="00375ABC" w:rsidRPr="00CC1733">
        <w:rPr>
          <w:vertAlign w:val="superscript"/>
          <w:rtl/>
        </w:rPr>
        <w:t>)</w:t>
      </w:r>
      <w:r w:rsidRPr="00CC1733">
        <w:rPr>
          <w:rtl/>
        </w:rPr>
        <w:t xml:space="preserve"> </w:t>
      </w:r>
      <w:r w:rsidRPr="0066561F">
        <w:rPr>
          <w:spacing w:val="-2"/>
          <w:rtl/>
        </w:rPr>
        <w:t>العيوب التي قد تكون شابت التحقيق أو المحاكمة، وكذلك دواعي</w:t>
      </w:r>
      <w:r w:rsidRPr="00CC1733">
        <w:rPr>
          <w:rtl/>
        </w:rPr>
        <w:t xml:space="preserve"> منع أو تنحي الموظفين القضائيين المعنيين.</w:t>
      </w:r>
    </w:p>
    <w:p w14:paraId="3CC46E66" w14:textId="77777777" w:rsidR="00344CF9" w:rsidRPr="00CC1733" w:rsidRDefault="00344CF9" w:rsidP="00344CF9">
      <w:pPr>
        <w:pStyle w:val="SingleTxtGA"/>
        <w:rPr>
          <w:rtl/>
        </w:rPr>
      </w:pPr>
      <w:r w:rsidRPr="00CC1733">
        <w:rPr>
          <w:szCs w:val="20"/>
          <w:rtl/>
        </w:rPr>
        <w:t>6</w:t>
      </w:r>
      <w:r w:rsidRPr="00CC1733">
        <w:rPr>
          <w:rtl/>
        </w:rPr>
        <w:t>-</w:t>
      </w:r>
      <w:r w:rsidRPr="00CC1733">
        <w:rPr>
          <w:szCs w:val="20"/>
          <w:rtl/>
        </w:rPr>
        <w:t>4</w:t>
      </w:r>
      <w:r w:rsidRPr="00CC1733">
        <w:rPr>
          <w:rtl/>
        </w:rPr>
        <w:tab/>
        <w:t xml:space="preserve">ولا تشكل المحاكمة الجنائية ولا الإدانة والعقوبة المفروضة أيضاً انتهاكاً للحق في المساواة أمام </w:t>
      </w:r>
      <w:r w:rsidRPr="0066561F">
        <w:rPr>
          <w:spacing w:val="-2"/>
          <w:rtl/>
        </w:rPr>
        <w:t>المحاكم والقانون، الذي تنص عليه المادتان</w:t>
      </w:r>
      <w:r w:rsidRPr="00CC1733">
        <w:rPr>
          <w:rtl/>
        </w:rPr>
        <w:t xml:space="preserve"> </w:t>
      </w:r>
      <w:r w:rsidRPr="00CC1733">
        <w:rPr>
          <w:szCs w:val="20"/>
          <w:rtl/>
        </w:rPr>
        <w:t>14</w:t>
      </w:r>
      <w:r w:rsidRPr="00CC1733">
        <w:rPr>
          <w:rtl/>
        </w:rPr>
        <w:t>(</w:t>
      </w:r>
      <w:r w:rsidRPr="00CC1733">
        <w:rPr>
          <w:szCs w:val="20"/>
          <w:rtl/>
        </w:rPr>
        <w:t>1</w:t>
      </w:r>
      <w:r w:rsidRPr="00CC1733">
        <w:rPr>
          <w:rtl/>
        </w:rPr>
        <w:t>) و</w:t>
      </w:r>
      <w:r w:rsidRPr="00CC1733">
        <w:rPr>
          <w:szCs w:val="20"/>
          <w:rtl/>
        </w:rPr>
        <w:t>26</w:t>
      </w:r>
      <w:r w:rsidRPr="00CC1733">
        <w:rPr>
          <w:rtl/>
        </w:rPr>
        <w:t xml:space="preserve"> </w:t>
      </w:r>
      <w:r w:rsidRPr="0066561F">
        <w:rPr>
          <w:spacing w:val="-2"/>
          <w:rtl/>
        </w:rPr>
        <w:t>من العهد. وأخيراً، تفيد الدولة الطرف بأن الحقوق</w:t>
      </w:r>
      <w:r w:rsidRPr="00CC1733">
        <w:rPr>
          <w:rtl/>
        </w:rPr>
        <w:t xml:space="preserve"> المعترف بها في المواد </w:t>
      </w:r>
      <w:r w:rsidRPr="00CC1733">
        <w:rPr>
          <w:szCs w:val="20"/>
          <w:rtl/>
        </w:rPr>
        <w:t>1</w:t>
      </w:r>
      <w:r w:rsidRPr="00CC1733">
        <w:rPr>
          <w:rtl/>
        </w:rPr>
        <w:t>، و</w:t>
      </w:r>
      <w:r w:rsidRPr="00CC1733">
        <w:rPr>
          <w:szCs w:val="20"/>
          <w:rtl/>
        </w:rPr>
        <w:t>2</w:t>
      </w:r>
      <w:r w:rsidRPr="00CC1733">
        <w:rPr>
          <w:rtl/>
        </w:rPr>
        <w:t>، و</w:t>
      </w:r>
      <w:r w:rsidRPr="00CC1733">
        <w:rPr>
          <w:szCs w:val="20"/>
          <w:rtl/>
        </w:rPr>
        <w:t>3</w:t>
      </w:r>
      <w:r w:rsidRPr="00CC1733">
        <w:rPr>
          <w:rtl/>
        </w:rPr>
        <w:t>، و</w:t>
      </w:r>
      <w:r w:rsidRPr="00CC1733">
        <w:rPr>
          <w:szCs w:val="20"/>
          <w:rtl/>
        </w:rPr>
        <w:t>9</w:t>
      </w:r>
      <w:r w:rsidRPr="00CC1733">
        <w:rPr>
          <w:rtl/>
        </w:rPr>
        <w:t xml:space="preserve"> من العهد </w:t>
      </w:r>
      <w:proofErr w:type="spellStart"/>
      <w:r w:rsidRPr="00CC1733">
        <w:rPr>
          <w:rtl/>
        </w:rPr>
        <w:t>رُوعيت</w:t>
      </w:r>
      <w:proofErr w:type="spellEnd"/>
      <w:r w:rsidRPr="00CC1733">
        <w:rPr>
          <w:rtl/>
        </w:rPr>
        <w:t xml:space="preserve"> واحتُرمت طوال الإجراءات الجنائية.</w:t>
      </w:r>
    </w:p>
    <w:p w14:paraId="56CC245B" w14:textId="77777777" w:rsidR="00344CF9" w:rsidRPr="00CC1733" w:rsidRDefault="00344CF9" w:rsidP="00375ABC">
      <w:pPr>
        <w:pStyle w:val="H23GA"/>
        <w:rPr>
          <w:rFonts w:hint="eastAsia"/>
          <w:rtl/>
        </w:rPr>
      </w:pPr>
      <w:r w:rsidRPr="00CC1733">
        <w:rPr>
          <w:rtl/>
        </w:rPr>
        <w:tab/>
      </w:r>
      <w:r w:rsidRPr="00CC1733">
        <w:rPr>
          <w:rtl/>
        </w:rPr>
        <w:tab/>
        <w:t>تعليقات صاحب البلاغ على ملاحظات الدولة الطرف بشأن الأسس الموضوعية</w:t>
      </w:r>
    </w:p>
    <w:p w14:paraId="709BA713" w14:textId="77777777" w:rsidR="00344CF9" w:rsidRPr="00CC1733" w:rsidRDefault="00344CF9" w:rsidP="00344CF9">
      <w:pPr>
        <w:pStyle w:val="SingleTxtGA"/>
        <w:rPr>
          <w:rtl/>
        </w:rPr>
      </w:pPr>
      <w:r w:rsidRPr="00CC1733">
        <w:rPr>
          <w:szCs w:val="20"/>
          <w:rtl/>
        </w:rPr>
        <w:t>7</w:t>
      </w:r>
      <w:r w:rsidRPr="00CC1733">
        <w:rPr>
          <w:rtl/>
        </w:rPr>
        <w:t>-</w:t>
      </w:r>
      <w:r w:rsidRPr="00CC1733">
        <w:rPr>
          <w:szCs w:val="20"/>
          <w:rtl/>
        </w:rPr>
        <w:t>1</w:t>
      </w:r>
      <w:r w:rsidRPr="00CC1733">
        <w:rPr>
          <w:rtl/>
        </w:rPr>
        <w:tab/>
        <w:t xml:space="preserve">يكرر صاحب البلاغ، في تعليقاته المؤرخة </w:t>
      </w:r>
      <w:r w:rsidRPr="00CC1733">
        <w:rPr>
          <w:szCs w:val="20"/>
          <w:rtl/>
        </w:rPr>
        <w:t>11</w:t>
      </w:r>
      <w:r w:rsidRPr="00CC1733">
        <w:rPr>
          <w:rtl/>
        </w:rPr>
        <w:t xml:space="preserve"> كانون الأول/ديسمبر </w:t>
      </w:r>
      <w:r w:rsidRPr="00CC1733">
        <w:rPr>
          <w:szCs w:val="20"/>
          <w:rtl/>
        </w:rPr>
        <w:t>2017</w:t>
      </w:r>
      <w:r w:rsidRPr="00CC1733">
        <w:rPr>
          <w:rtl/>
        </w:rPr>
        <w:t>، ادعاءاته السابقة ويشير إلى أن المدعي العام الذي أجرى التحقيق معه غير مختص، إذ طُبق على قضيته قانون صدر بعد حدوث الوقائع.</w:t>
      </w:r>
    </w:p>
    <w:p w14:paraId="1E6572F3" w14:textId="6EF79449" w:rsidR="00344CF9" w:rsidRPr="00CC1733" w:rsidRDefault="00344CF9" w:rsidP="00344CF9">
      <w:pPr>
        <w:pStyle w:val="SingleTxtGA"/>
        <w:rPr>
          <w:rtl/>
        </w:rPr>
      </w:pPr>
      <w:r w:rsidRPr="00CC1733">
        <w:rPr>
          <w:szCs w:val="20"/>
          <w:rtl/>
        </w:rPr>
        <w:t>7</w:t>
      </w:r>
      <w:r w:rsidRPr="00CC1733">
        <w:rPr>
          <w:rtl/>
        </w:rPr>
        <w:t>-</w:t>
      </w:r>
      <w:r w:rsidRPr="00CC1733">
        <w:rPr>
          <w:szCs w:val="20"/>
          <w:rtl/>
        </w:rPr>
        <w:t>2</w:t>
      </w:r>
      <w:r w:rsidRPr="00CC1733">
        <w:rPr>
          <w:rtl/>
        </w:rPr>
        <w:tab/>
        <w:t xml:space="preserve">ويشير صاحب البلاغ إلى أن ملف القضية أُحيل إلى المحكمة الدستورية في </w:t>
      </w:r>
      <w:r w:rsidRPr="00CC1733">
        <w:rPr>
          <w:szCs w:val="20"/>
          <w:rtl/>
        </w:rPr>
        <w:t>19</w:t>
      </w:r>
      <w:r w:rsidRPr="00CC1733">
        <w:rPr>
          <w:rtl/>
        </w:rPr>
        <w:t xml:space="preserve"> كانون الثاني/</w:t>
      </w:r>
      <w:r w:rsidR="00734CE5" w:rsidRPr="00CC1733">
        <w:rPr>
          <w:rFonts w:hint="cs"/>
          <w:rtl/>
        </w:rPr>
        <w:t xml:space="preserve"> </w:t>
      </w:r>
      <w:r w:rsidRPr="00CC1733">
        <w:rPr>
          <w:rtl/>
        </w:rPr>
        <w:t xml:space="preserve">يناير </w:t>
      </w:r>
      <w:r w:rsidRPr="00CC1733">
        <w:rPr>
          <w:szCs w:val="20"/>
          <w:rtl/>
        </w:rPr>
        <w:t>2016</w:t>
      </w:r>
      <w:r w:rsidRPr="00CC1733">
        <w:rPr>
          <w:rtl/>
        </w:rPr>
        <w:t xml:space="preserve">، بعد رفض دعوى طلب الحماية. وفي </w:t>
      </w:r>
      <w:r w:rsidRPr="00CC1733">
        <w:rPr>
          <w:szCs w:val="20"/>
          <w:rtl/>
        </w:rPr>
        <w:t>13</w:t>
      </w:r>
      <w:r w:rsidRPr="00CC1733">
        <w:rPr>
          <w:rtl/>
        </w:rPr>
        <w:t xml:space="preserve"> أيلول/سبتمبر </w:t>
      </w:r>
      <w:r w:rsidRPr="00CC1733">
        <w:rPr>
          <w:szCs w:val="20"/>
          <w:rtl/>
        </w:rPr>
        <w:t>2016</w:t>
      </w:r>
      <w:r w:rsidRPr="00CC1733">
        <w:rPr>
          <w:rtl/>
        </w:rPr>
        <w:t xml:space="preserve">، قررت المحكمة الدستورية، من خلال الحكم </w:t>
      </w:r>
      <w:r w:rsidRPr="00CC1733">
        <w:t xml:space="preserve">SU </w:t>
      </w:r>
      <w:r w:rsidRPr="00CC1733">
        <w:rPr>
          <w:szCs w:val="20"/>
        </w:rPr>
        <w:t>489</w:t>
      </w:r>
      <w:r w:rsidRPr="00CC1733">
        <w:t>/</w:t>
      </w:r>
      <w:r w:rsidRPr="00CC1733">
        <w:rPr>
          <w:szCs w:val="20"/>
        </w:rPr>
        <w:t>16</w:t>
      </w:r>
      <w:r w:rsidRPr="00CC1733">
        <w:rPr>
          <w:rtl/>
        </w:rPr>
        <w:t xml:space="preserve">، تأييد الحكم الصادر بشأن دعوى طلب الحماية عن دائرة النقض المدنية بمحكمة العدل العليا. وفي </w:t>
      </w:r>
      <w:r w:rsidRPr="00CC1733">
        <w:rPr>
          <w:szCs w:val="20"/>
          <w:rtl/>
        </w:rPr>
        <w:t>14</w:t>
      </w:r>
      <w:r w:rsidRPr="00CC1733">
        <w:rPr>
          <w:rtl/>
        </w:rPr>
        <w:t xml:space="preserve"> تشرين الأول/أكتوبر </w:t>
      </w:r>
      <w:r w:rsidRPr="00CC1733">
        <w:rPr>
          <w:szCs w:val="20"/>
          <w:rtl/>
        </w:rPr>
        <w:t>2016</w:t>
      </w:r>
      <w:r w:rsidRPr="00CC1733">
        <w:rPr>
          <w:rtl/>
        </w:rPr>
        <w:t xml:space="preserve">، أُبلغ صاحب البلاغ رسمياً بالحكم. وفي </w:t>
      </w:r>
      <w:r w:rsidRPr="00CC1733">
        <w:rPr>
          <w:szCs w:val="20"/>
          <w:rtl/>
        </w:rPr>
        <w:t>10</w:t>
      </w:r>
      <w:r w:rsidRPr="00CC1733">
        <w:rPr>
          <w:rtl/>
        </w:rPr>
        <w:t xml:space="preserve"> تشرين الثاني/نوفمبر </w:t>
      </w:r>
      <w:r w:rsidRPr="00CC1733">
        <w:rPr>
          <w:szCs w:val="20"/>
          <w:rtl/>
        </w:rPr>
        <w:t>2016</w:t>
      </w:r>
      <w:r w:rsidRPr="00CC1733">
        <w:rPr>
          <w:rtl/>
        </w:rPr>
        <w:t xml:space="preserve">، قدم إلى المحكمة الدستورية طلباً لإبطال الحكم، رفضته في </w:t>
      </w:r>
      <w:r w:rsidRPr="00CC1733">
        <w:rPr>
          <w:szCs w:val="20"/>
          <w:rtl/>
        </w:rPr>
        <w:t>31</w:t>
      </w:r>
      <w:r w:rsidRPr="00CC1733">
        <w:rPr>
          <w:rtl/>
        </w:rPr>
        <w:t xml:space="preserve"> كانون الثاني/</w:t>
      </w:r>
      <w:r w:rsidR="00734CE5" w:rsidRPr="00CC1733">
        <w:rPr>
          <w:rFonts w:hint="cs"/>
          <w:rtl/>
        </w:rPr>
        <w:t xml:space="preserve"> </w:t>
      </w:r>
      <w:r w:rsidRPr="00CC1733">
        <w:rPr>
          <w:rtl/>
        </w:rPr>
        <w:t xml:space="preserve">يناير </w:t>
      </w:r>
      <w:r w:rsidRPr="00CC1733">
        <w:rPr>
          <w:szCs w:val="20"/>
          <w:rtl/>
        </w:rPr>
        <w:t>2017</w:t>
      </w:r>
      <w:r w:rsidRPr="00CC1733">
        <w:rPr>
          <w:rtl/>
        </w:rPr>
        <w:t>.</w:t>
      </w:r>
    </w:p>
    <w:p w14:paraId="34F78F3F" w14:textId="77777777" w:rsidR="00344CF9" w:rsidRPr="00CC1733" w:rsidRDefault="00344CF9" w:rsidP="00344CF9">
      <w:pPr>
        <w:pStyle w:val="SingleTxtGA"/>
        <w:rPr>
          <w:rtl/>
        </w:rPr>
      </w:pPr>
      <w:r w:rsidRPr="00CC1733">
        <w:rPr>
          <w:szCs w:val="20"/>
          <w:rtl/>
        </w:rPr>
        <w:lastRenderedPageBreak/>
        <w:t>7</w:t>
      </w:r>
      <w:r w:rsidRPr="00CC1733">
        <w:rPr>
          <w:rtl/>
        </w:rPr>
        <w:t>-</w:t>
      </w:r>
      <w:r w:rsidRPr="00CC1733">
        <w:rPr>
          <w:szCs w:val="20"/>
          <w:rtl/>
        </w:rPr>
        <w:t>3</w:t>
      </w:r>
      <w:r w:rsidRPr="00CC1733">
        <w:rPr>
          <w:rtl/>
        </w:rPr>
        <w:tab/>
      </w:r>
      <w:r w:rsidRPr="00CC1733">
        <w:rPr>
          <w:spacing w:val="-4"/>
          <w:rtl/>
        </w:rPr>
        <w:t xml:space="preserve">ويضيف صاحب البلاغ أنه جرى، فيما يتعلق بالعقوبة التأديبية، انتهاك مبدأ </w:t>
      </w:r>
      <w:r w:rsidRPr="00CC1733">
        <w:rPr>
          <w:i/>
          <w:iCs/>
          <w:spacing w:val="-4"/>
          <w:rtl/>
        </w:rPr>
        <w:t>عدم جواز المحاكمة</w:t>
      </w:r>
      <w:r w:rsidRPr="00CC1733">
        <w:rPr>
          <w:rtl/>
        </w:rPr>
        <w:t xml:space="preserve"> على ذات الجرم مرتين، الذي يرد في المادة </w:t>
      </w:r>
      <w:r w:rsidRPr="00CC1733">
        <w:rPr>
          <w:szCs w:val="20"/>
          <w:rtl/>
        </w:rPr>
        <w:t>14</w:t>
      </w:r>
      <w:r w:rsidRPr="00CC1733">
        <w:rPr>
          <w:rtl/>
        </w:rPr>
        <w:t>(</w:t>
      </w:r>
      <w:r w:rsidRPr="00CC1733">
        <w:rPr>
          <w:szCs w:val="20"/>
          <w:rtl/>
        </w:rPr>
        <w:t>7</w:t>
      </w:r>
      <w:r w:rsidRPr="00CC1733">
        <w:rPr>
          <w:rtl/>
        </w:rPr>
        <w:t>).</w:t>
      </w:r>
    </w:p>
    <w:p w14:paraId="183F3BDB" w14:textId="77777777" w:rsidR="00344CF9" w:rsidRPr="00CC1733" w:rsidRDefault="00344CF9" w:rsidP="00344CF9">
      <w:pPr>
        <w:pStyle w:val="SingleTxtGA"/>
        <w:rPr>
          <w:rtl/>
        </w:rPr>
      </w:pPr>
      <w:r w:rsidRPr="00CC1733">
        <w:rPr>
          <w:szCs w:val="20"/>
          <w:rtl/>
        </w:rPr>
        <w:t>7</w:t>
      </w:r>
      <w:r w:rsidRPr="00CC1733">
        <w:rPr>
          <w:rtl/>
        </w:rPr>
        <w:t>-</w:t>
      </w:r>
      <w:r w:rsidRPr="00CC1733">
        <w:rPr>
          <w:szCs w:val="20"/>
          <w:rtl/>
        </w:rPr>
        <w:t>4</w:t>
      </w:r>
      <w:r w:rsidRPr="00CC1733">
        <w:rPr>
          <w:rtl/>
        </w:rPr>
        <w:tab/>
      </w:r>
      <w:r w:rsidRPr="0066561F">
        <w:rPr>
          <w:spacing w:val="-4"/>
          <w:rtl/>
        </w:rPr>
        <w:t>ويكرر صاحب البلاغ أنه، بصفته مسؤولاً كبيراً سابقاً، حُرم من تدبير الإقامة الجبرية رغم استيفائه</w:t>
      </w:r>
      <w:r w:rsidRPr="00CC1733">
        <w:rPr>
          <w:rtl/>
        </w:rPr>
        <w:t xml:space="preserve"> جميع الشروط اللازمة لذلك.</w:t>
      </w:r>
    </w:p>
    <w:p w14:paraId="4CE7FD7A" w14:textId="77777777" w:rsidR="00344CF9" w:rsidRPr="00CC1733" w:rsidRDefault="00344CF9" w:rsidP="00375ABC">
      <w:pPr>
        <w:pStyle w:val="H23GA"/>
        <w:rPr>
          <w:rFonts w:hint="eastAsia"/>
          <w:rtl/>
        </w:rPr>
      </w:pPr>
      <w:r w:rsidRPr="00CC1733">
        <w:rPr>
          <w:rtl/>
        </w:rPr>
        <w:tab/>
      </w:r>
      <w:r w:rsidRPr="00CC1733">
        <w:rPr>
          <w:rtl/>
        </w:rPr>
        <w:tab/>
        <w:t>المسائل والإجراءات المعروضة على اللجنة</w:t>
      </w:r>
    </w:p>
    <w:p w14:paraId="7AF3FEA5" w14:textId="77777777" w:rsidR="00344CF9" w:rsidRPr="00CC1733" w:rsidRDefault="00344CF9" w:rsidP="00375ABC">
      <w:pPr>
        <w:pStyle w:val="H4GA"/>
        <w:rPr>
          <w:rtl/>
        </w:rPr>
      </w:pPr>
      <w:r w:rsidRPr="00CC1733">
        <w:rPr>
          <w:rtl/>
        </w:rPr>
        <w:tab/>
      </w:r>
      <w:r w:rsidRPr="00CC1733">
        <w:rPr>
          <w:rtl/>
        </w:rPr>
        <w:tab/>
        <w:t>النظر في المقبولية</w:t>
      </w:r>
    </w:p>
    <w:p w14:paraId="7D7CEB29" w14:textId="77777777" w:rsidR="00344CF9" w:rsidRPr="00CC1733" w:rsidRDefault="00344CF9" w:rsidP="00344CF9">
      <w:pPr>
        <w:pStyle w:val="SingleTxtGA"/>
        <w:rPr>
          <w:rtl/>
        </w:rPr>
      </w:pPr>
      <w:r w:rsidRPr="00CC1733">
        <w:rPr>
          <w:szCs w:val="20"/>
          <w:rtl/>
        </w:rPr>
        <w:t>8</w:t>
      </w:r>
      <w:r w:rsidRPr="00CC1733">
        <w:rPr>
          <w:rtl/>
        </w:rPr>
        <w:t>-</w:t>
      </w:r>
      <w:r w:rsidRPr="00CC1733">
        <w:rPr>
          <w:szCs w:val="20"/>
          <w:rtl/>
        </w:rPr>
        <w:t>1</w:t>
      </w:r>
      <w:r w:rsidRPr="00CC1733">
        <w:rPr>
          <w:rtl/>
        </w:rPr>
        <w:tab/>
        <w:t xml:space="preserve">قبل النظر في أي ادعاء يرد في بلاغ ما، يتعين على اللجنة أن تقرر، وفقاً للمادة </w:t>
      </w:r>
      <w:r w:rsidRPr="00CC1733">
        <w:rPr>
          <w:szCs w:val="20"/>
          <w:rtl/>
        </w:rPr>
        <w:t>97</w:t>
      </w:r>
      <w:r w:rsidRPr="00CC1733">
        <w:rPr>
          <w:rtl/>
        </w:rPr>
        <w:t xml:space="preserve"> من نظامها الداخلي، ما إذا كان هذا البلاغ مقبولاً أم لا بموجب البروتوكول الاختياري الملحق بالعهد.</w:t>
      </w:r>
    </w:p>
    <w:p w14:paraId="3C568166" w14:textId="1B0B8F6F" w:rsidR="00344CF9" w:rsidRPr="00CC1733" w:rsidRDefault="00344CF9" w:rsidP="00344CF9">
      <w:pPr>
        <w:pStyle w:val="SingleTxtGA"/>
        <w:rPr>
          <w:rtl/>
        </w:rPr>
      </w:pPr>
      <w:r w:rsidRPr="00CC1733">
        <w:rPr>
          <w:szCs w:val="20"/>
          <w:rtl/>
        </w:rPr>
        <w:t>8</w:t>
      </w:r>
      <w:r w:rsidRPr="00CC1733">
        <w:rPr>
          <w:rtl/>
        </w:rPr>
        <w:t>-</w:t>
      </w:r>
      <w:r w:rsidRPr="00CC1733">
        <w:rPr>
          <w:szCs w:val="20"/>
          <w:rtl/>
        </w:rPr>
        <w:t>2</w:t>
      </w:r>
      <w:r w:rsidRPr="00CC1733">
        <w:rPr>
          <w:rtl/>
        </w:rPr>
        <w:tab/>
        <w:t xml:space="preserve">وتحيط اللجنة علماً بحجة الدولة الطرف التي مفادها أن مجلس حقوق الإنسان أعلن قبول ادعاءاتها بشأن القضية التي قدمها حزب المركز الديمقراطي وأعضاؤه، ورأى أن دوافعها سياسية على ما يبدو. وتحيط اللجنة علماً أيضاً بادعاءات صاحب البلاغ أن مجلس حقوق الإنسان لا ينظر في قضايا المنازعات وأن إجراءاته ليست ملزمة، ولا يمكن بالتالي اعتباره سبيل انتصاف دولياً مستنفداً. وتلاحظ اللجنة أن مجلس حقوق الإنسان ليس هيئة للفصل في القضايا ولا لتسوية المنازعات بالمعنى المقصود في المادة </w:t>
      </w:r>
      <w:r w:rsidRPr="00CC1733">
        <w:rPr>
          <w:szCs w:val="20"/>
          <w:rtl/>
        </w:rPr>
        <w:t>5</w:t>
      </w:r>
      <w:r w:rsidRPr="00CC1733">
        <w:rPr>
          <w:rtl/>
        </w:rPr>
        <w:t>(</w:t>
      </w:r>
      <w:r w:rsidRPr="00CC1733">
        <w:rPr>
          <w:szCs w:val="20"/>
          <w:rtl/>
        </w:rPr>
        <w:t>2</w:t>
      </w:r>
      <w:r w:rsidRPr="00CC1733">
        <w:rPr>
          <w:rtl/>
        </w:rPr>
        <w:t xml:space="preserve">)(أ) من البروتوكول الاختياري، وأن الإجراء المعروض على المجلس قد انتهى على أية </w:t>
      </w:r>
      <w:proofErr w:type="gramStart"/>
      <w:r w:rsidRPr="00CC1733">
        <w:rPr>
          <w:rtl/>
        </w:rPr>
        <w:t>حال</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48"/>
      </w:r>
      <w:r w:rsidR="00375ABC" w:rsidRPr="00CC1733">
        <w:rPr>
          <w:vertAlign w:val="superscript"/>
          <w:rtl/>
        </w:rPr>
        <w:t>)</w:t>
      </w:r>
      <w:r w:rsidRPr="00CC1733">
        <w:rPr>
          <w:rtl/>
        </w:rPr>
        <w:t xml:space="preserve">. وبالتالي، تخلص اللجنة إلى أنه لا يوجد أي مانع يَحول دون إعلان قبول البلاغ بموجب المادة </w:t>
      </w:r>
      <w:r w:rsidRPr="00CC1733">
        <w:rPr>
          <w:szCs w:val="20"/>
          <w:rtl/>
        </w:rPr>
        <w:t>5</w:t>
      </w:r>
      <w:r w:rsidRPr="00CC1733">
        <w:rPr>
          <w:rtl/>
        </w:rPr>
        <w:t>(</w:t>
      </w:r>
      <w:r w:rsidRPr="00CC1733">
        <w:rPr>
          <w:szCs w:val="20"/>
          <w:rtl/>
        </w:rPr>
        <w:t>2</w:t>
      </w:r>
      <w:r w:rsidRPr="00CC1733">
        <w:rPr>
          <w:rtl/>
        </w:rPr>
        <w:t xml:space="preserve">)(أ). </w:t>
      </w:r>
    </w:p>
    <w:p w14:paraId="5DAF097C" w14:textId="4812F521" w:rsidR="00344CF9" w:rsidRPr="00CC1733" w:rsidRDefault="00344CF9" w:rsidP="00344CF9">
      <w:pPr>
        <w:pStyle w:val="SingleTxtGA"/>
        <w:rPr>
          <w:rtl/>
        </w:rPr>
      </w:pPr>
      <w:r w:rsidRPr="00CC1733">
        <w:rPr>
          <w:szCs w:val="20"/>
          <w:rtl/>
        </w:rPr>
        <w:t>8</w:t>
      </w:r>
      <w:r w:rsidRPr="00CC1733">
        <w:rPr>
          <w:rtl/>
        </w:rPr>
        <w:t>-</w:t>
      </w:r>
      <w:r w:rsidRPr="00CC1733">
        <w:rPr>
          <w:szCs w:val="20"/>
          <w:rtl/>
        </w:rPr>
        <w:t>3</w:t>
      </w:r>
      <w:r w:rsidRPr="00CC1733">
        <w:rPr>
          <w:rtl/>
        </w:rPr>
        <w:tab/>
        <w:t xml:space="preserve">وتحيط اللجنة علماً بإشارة الدولة الطرف أيضاً إلى أن صاحب البلاغ لم يستنفد جميع سبل الانتصاف المحلية المتاحة، إذ كان بإمكانه تقديم دعوى طلب المراجعة كسبيل انتصاف للطعن في حكم الإدانة الصادر عن محكمة العدل العليا في </w:t>
      </w:r>
      <w:r w:rsidRPr="00CC1733">
        <w:rPr>
          <w:szCs w:val="20"/>
          <w:rtl/>
        </w:rPr>
        <w:t>15</w:t>
      </w:r>
      <w:r w:rsidRPr="00CC1733">
        <w:rPr>
          <w:rtl/>
        </w:rPr>
        <w:t xml:space="preserve"> نيسان/أبريل </w:t>
      </w:r>
      <w:r w:rsidRPr="00CC1733">
        <w:rPr>
          <w:szCs w:val="20"/>
          <w:rtl/>
        </w:rPr>
        <w:t>2015</w:t>
      </w:r>
      <w:r w:rsidRPr="00CC1733">
        <w:rPr>
          <w:rtl/>
        </w:rPr>
        <w:t xml:space="preserve">. وتحيط اللجنة علماً أيضاً بادعاءات صاحب البلاغ التي مفادها أن سبل الانتصاف هذه ليست ملائمة ولا فعالة وأن محكمة العدل العليا تؤكد في الحكم نفسه أنه </w:t>
      </w:r>
      <w:proofErr w:type="gramStart"/>
      <w:r w:rsidRPr="00CC1733">
        <w:rPr>
          <w:rtl/>
        </w:rPr>
        <w:t>حكم ”غير</w:t>
      </w:r>
      <w:proofErr w:type="gramEnd"/>
      <w:r w:rsidRPr="00CC1733">
        <w:rPr>
          <w:rtl/>
        </w:rPr>
        <w:t xml:space="preserve"> قابل لأي طعن“؛ وتلاحظ اللجنة أن الدولة الطرف لم توضح كيف يمكن أن تكون سبل الانتصاف المذكورة في ملاحظاتها فعالة في قضية صاحب البلاغ، أي أن من شأنها أن تتيح إمكانية مراجعة حكم الإدانة والعقوبة</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49"/>
      </w:r>
      <w:r w:rsidR="00375ABC" w:rsidRPr="00CC1733">
        <w:rPr>
          <w:vertAlign w:val="superscript"/>
          <w:rtl/>
        </w:rPr>
        <w:t>)</w:t>
      </w:r>
      <w:r w:rsidRPr="00CC1733">
        <w:rPr>
          <w:rtl/>
        </w:rPr>
        <w:t xml:space="preserve">. وعليه، ترى اللجنة أن الشروط المنصوص عليها في المادة </w:t>
      </w:r>
      <w:r w:rsidRPr="00CC1733">
        <w:rPr>
          <w:szCs w:val="20"/>
          <w:rtl/>
        </w:rPr>
        <w:t>5</w:t>
      </w:r>
      <w:r w:rsidRPr="00CC1733">
        <w:rPr>
          <w:rtl/>
        </w:rPr>
        <w:t>(</w:t>
      </w:r>
      <w:r w:rsidRPr="00CC1733">
        <w:rPr>
          <w:szCs w:val="20"/>
          <w:rtl/>
        </w:rPr>
        <w:t>2</w:t>
      </w:r>
      <w:r w:rsidRPr="00CC1733">
        <w:rPr>
          <w:rtl/>
        </w:rPr>
        <w:t>)(ب) من البروتوكول الاختياري قد استوفيت.</w:t>
      </w:r>
    </w:p>
    <w:p w14:paraId="1F0BB550" w14:textId="77777777" w:rsidR="00344CF9" w:rsidRPr="00CC1733" w:rsidRDefault="00344CF9" w:rsidP="00344CF9">
      <w:pPr>
        <w:pStyle w:val="SingleTxtGA"/>
        <w:rPr>
          <w:rtl/>
        </w:rPr>
      </w:pPr>
      <w:r w:rsidRPr="00CC1733">
        <w:rPr>
          <w:szCs w:val="20"/>
          <w:rtl/>
        </w:rPr>
        <w:t>8</w:t>
      </w:r>
      <w:r w:rsidRPr="00CC1733">
        <w:rPr>
          <w:rtl/>
        </w:rPr>
        <w:t>-</w:t>
      </w:r>
      <w:r w:rsidRPr="00CC1733">
        <w:rPr>
          <w:szCs w:val="20"/>
          <w:rtl/>
        </w:rPr>
        <w:t>4</w:t>
      </w:r>
      <w:r w:rsidRPr="00CC1733">
        <w:rPr>
          <w:rtl/>
        </w:rPr>
        <w:tab/>
        <w:t xml:space="preserve">وتحيط اللجنة علماً باحتجاج صاحب البلاغ بوقوع انتهاك للمواد </w:t>
      </w:r>
      <w:r w:rsidRPr="00CC1733">
        <w:rPr>
          <w:szCs w:val="20"/>
          <w:rtl/>
        </w:rPr>
        <w:t>2</w:t>
      </w:r>
      <w:r w:rsidRPr="00CC1733">
        <w:rPr>
          <w:rtl/>
        </w:rPr>
        <w:t xml:space="preserve"> و</w:t>
      </w:r>
      <w:r w:rsidRPr="00CC1733">
        <w:rPr>
          <w:szCs w:val="20"/>
          <w:rtl/>
        </w:rPr>
        <w:t>3</w:t>
      </w:r>
      <w:r w:rsidRPr="00CC1733">
        <w:rPr>
          <w:rtl/>
        </w:rPr>
        <w:t xml:space="preserve"> و</w:t>
      </w:r>
      <w:r w:rsidRPr="00CC1733">
        <w:rPr>
          <w:szCs w:val="20"/>
          <w:rtl/>
        </w:rPr>
        <w:t>26</w:t>
      </w:r>
      <w:r w:rsidRPr="00CC1733">
        <w:rPr>
          <w:rtl/>
        </w:rPr>
        <w:t xml:space="preserve"> من العهد، من </w:t>
      </w:r>
      <w:r w:rsidRPr="00CC1733">
        <w:rPr>
          <w:spacing w:val="-4"/>
          <w:rtl/>
        </w:rPr>
        <w:t>دون تقديم أي تعليل أو حجة ملائمة بشأن معاملته بطريقة مختلفة عن أشخاص آخرين في حالات مماثلة،</w:t>
      </w:r>
      <w:r w:rsidRPr="00CC1733">
        <w:rPr>
          <w:rtl/>
        </w:rPr>
        <w:t xml:space="preserve"> وتعلن بالتالي عدم قبول هذه الادعاءات لعدم دعمها بأدلة، وفقاً للمادة </w:t>
      </w:r>
      <w:r w:rsidRPr="00CC1733">
        <w:rPr>
          <w:szCs w:val="20"/>
          <w:rtl/>
        </w:rPr>
        <w:t>2</w:t>
      </w:r>
      <w:r w:rsidRPr="00CC1733">
        <w:rPr>
          <w:rtl/>
        </w:rPr>
        <w:t xml:space="preserve"> من البروتوكول الاختياري.</w:t>
      </w:r>
    </w:p>
    <w:p w14:paraId="1F377AAF" w14:textId="77777777" w:rsidR="00344CF9" w:rsidRPr="00CC1733" w:rsidRDefault="00344CF9" w:rsidP="00344CF9">
      <w:pPr>
        <w:pStyle w:val="SingleTxtGA"/>
        <w:rPr>
          <w:rtl/>
        </w:rPr>
      </w:pPr>
      <w:r w:rsidRPr="00CC1733">
        <w:rPr>
          <w:szCs w:val="20"/>
          <w:rtl/>
        </w:rPr>
        <w:t>8</w:t>
      </w:r>
      <w:r w:rsidRPr="00CC1733">
        <w:rPr>
          <w:rtl/>
        </w:rPr>
        <w:t>-</w:t>
      </w:r>
      <w:r w:rsidRPr="00CC1733">
        <w:rPr>
          <w:szCs w:val="20"/>
          <w:rtl/>
        </w:rPr>
        <w:t>5</w:t>
      </w:r>
      <w:r w:rsidRPr="00CC1733">
        <w:rPr>
          <w:rtl/>
        </w:rPr>
        <w:tab/>
        <w:t xml:space="preserve">وتحيط اللجنة علماً بادعاءات صاحب البلاغ المتعلقة بالمادة </w:t>
      </w:r>
      <w:r w:rsidRPr="00CC1733">
        <w:rPr>
          <w:szCs w:val="20"/>
          <w:rtl/>
        </w:rPr>
        <w:t>9</w:t>
      </w:r>
      <w:r w:rsidRPr="00CC1733">
        <w:rPr>
          <w:rtl/>
        </w:rPr>
        <w:t xml:space="preserve"> من العهد، ومفادها أنه جرى تقييد حريته، حيث أُجبر على تحمل عقوبة تعسفية بسبب عدم تصنيف الجريمة وتحديد العقوبة على النحو الواجب، وحرمانه من التمتع الفعلي بامتياز الإقامة الجبرية بصفته مسؤولاً كبيراً سابقاً. بيد أن اللجنة تلاحظ أن هذه الادعاءات عامة وغير معللة على النحو الكافي. وفي هذا الصدد، ترى اللجنة أن صاحب البلاغ لم يدعم بما يكفي من الأدلة هذه الشكوى لأغراض المقبولية، وتعلن عدم قبولها بموجب المادة </w:t>
      </w:r>
      <w:r w:rsidRPr="00CC1733">
        <w:rPr>
          <w:szCs w:val="20"/>
          <w:rtl/>
        </w:rPr>
        <w:t>2</w:t>
      </w:r>
      <w:r w:rsidRPr="00CC1733">
        <w:rPr>
          <w:rtl/>
        </w:rPr>
        <w:t xml:space="preserve"> من البروتوكول الاختياري.</w:t>
      </w:r>
    </w:p>
    <w:p w14:paraId="2E6A3D07" w14:textId="77777777" w:rsidR="00344CF9" w:rsidRPr="00CC1733" w:rsidRDefault="00344CF9" w:rsidP="00DB0FA8">
      <w:pPr>
        <w:pStyle w:val="SingleTxtGA"/>
        <w:rPr>
          <w:rtl/>
        </w:rPr>
      </w:pPr>
      <w:r w:rsidRPr="00CC1733">
        <w:rPr>
          <w:szCs w:val="20"/>
          <w:rtl/>
        </w:rPr>
        <w:lastRenderedPageBreak/>
        <w:t>8</w:t>
      </w:r>
      <w:r w:rsidRPr="00CC1733">
        <w:rPr>
          <w:rtl/>
        </w:rPr>
        <w:t>-</w:t>
      </w:r>
      <w:r w:rsidRPr="00CC1733">
        <w:rPr>
          <w:szCs w:val="20"/>
          <w:rtl/>
        </w:rPr>
        <w:t>6</w:t>
      </w:r>
      <w:r w:rsidRPr="00CC1733">
        <w:rPr>
          <w:rtl/>
        </w:rPr>
        <w:tab/>
        <w:t xml:space="preserve">وتحيط اللجنة علماً بادعاءات صاحب البلاغ أن الدولة الطرف انتهكت حقه في المساواة أمام المحاكم والقانون وحقه في محاكمة عادلة، المنصوص عليهما في المادة </w:t>
      </w:r>
      <w:r w:rsidRPr="00CC1733">
        <w:rPr>
          <w:szCs w:val="20"/>
          <w:rtl/>
        </w:rPr>
        <w:t>14</w:t>
      </w:r>
      <w:r w:rsidRPr="00CC1733">
        <w:rPr>
          <w:rtl/>
        </w:rPr>
        <w:t>(</w:t>
      </w:r>
      <w:r w:rsidRPr="00CC1733">
        <w:rPr>
          <w:szCs w:val="20"/>
          <w:rtl/>
        </w:rPr>
        <w:t>1</w:t>
      </w:r>
      <w:r w:rsidRPr="00CC1733">
        <w:rPr>
          <w:rtl/>
        </w:rPr>
        <w:t xml:space="preserve">) من العهد، بالنظر إلى عدم تكافؤ وسائل الدفاع؛ وأن المدعي العام الذي وجه إليه التهمة غير مختص، بالنظر إلى تطبيق قانون صدر بعد حدوث الوقائع، وهو ما يشكل انتهاكاً لحقه في القاضي الطبيعي؛ وأن القضاة الذين حاكموه كان لديهم رأي مسبق بشأن قضيته، وأن المدعي العام الذي وجه إليه التهمة صار في نهاية </w:t>
      </w:r>
      <w:r w:rsidRPr="00CC1733">
        <w:rPr>
          <w:spacing w:val="-4"/>
          <w:rtl/>
        </w:rPr>
        <w:t>المطاف القاضي الذي حاكمه. وتحيط اللجنة علماً أيضاً بحجج الدولة الطرف التي مفادها أن الإجراءات</w:t>
      </w:r>
      <w:r w:rsidRPr="00CC1733">
        <w:rPr>
          <w:rtl/>
        </w:rPr>
        <w:t xml:space="preserve"> </w:t>
      </w:r>
      <w:r w:rsidRPr="00CC1733">
        <w:rPr>
          <w:spacing w:val="-4"/>
          <w:rtl/>
        </w:rPr>
        <w:t>المباشَرة ضد صاحب البلاغ تتوافق مع الإجراءات الجنائية المتبعة في حالة المواطنين الذين يتمتعون بالحصانة</w:t>
      </w:r>
      <w:r w:rsidRPr="00CC1733">
        <w:rPr>
          <w:rtl/>
        </w:rPr>
        <w:t xml:space="preserve"> البرلمانية بحكم المهام التي يؤدونها بصفتهم مسؤولين كباراً؛ وأنه لا يوجد أي أساس للتشكيك في سلطة محكمة العدل العليا أو نزاهتها؛ وأن لائحة الاتهام أعدها المدعي العام المختص. وتلاحظ اللجنة أن صاحب البلاغ لم يوضح كيف جرى انتهاك حقه في المساواة أمام المحاكم، ولا كيف أدى تعيين المدعي العام المكلف بالتحقيق في قضيته وإعداد لائحة الاتهام إلى انتهاك حقه في المحاكمة أمام محكمة مختصة ومستقلة ونزيهة، ولا سيما بالنظر إلى أنه أُتيحت له إمكانية الطعن في هذه الوقائع أمام المحاكم. وفي ضوء ما تقدم، ترى اللجنة أن صاحب البلاغ لم يدعم هذه الادعاءات بما يكفي من الأدلة لأغراض المقبولية، وتعلن عدم قبولها بموجب المادة </w:t>
      </w:r>
      <w:r w:rsidRPr="00CC1733">
        <w:rPr>
          <w:szCs w:val="20"/>
          <w:rtl/>
        </w:rPr>
        <w:t>2</w:t>
      </w:r>
      <w:r w:rsidRPr="00CC1733">
        <w:rPr>
          <w:rtl/>
        </w:rPr>
        <w:t xml:space="preserve"> من البروتوكول الاختياري. </w:t>
      </w:r>
    </w:p>
    <w:p w14:paraId="3CB40AE3" w14:textId="52369094" w:rsidR="00344CF9" w:rsidRPr="00CC1733" w:rsidRDefault="00344CF9" w:rsidP="00DB0FA8">
      <w:pPr>
        <w:pStyle w:val="SingleTxtGA"/>
        <w:rPr>
          <w:rtl/>
        </w:rPr>
      </w:pPr>
      <w:r w:rsidRPr="00CC1733">
        <w:rPr>
          <w:szCs w:val="20"/>
          <w:rtl/>
        </w:rPr>
        <w:t>8</w:t>
      </w:r>
      <w:r w:rsidRPr="00CC1733">
        <w:rPr>
          <w:rtl/>
        </w:rPr>
        <w:t>-</w:t>
      </w:r>
      <w:r w:rsidRPr="00CC1733">
        <w:rPr>
          <w:szCs w:val="20"/>
          <w:rtl/>
        </w:rPr>
        <w:t>7</w:t>
      </w:r>
      <w:r w:rsidRPr="00CC1733">
        <w:rPr>
          <w:rtl/>
        </w:rPr>
        <w:tab/>
        <w:t xml:space="preserve">وتحيط اللجنة علماً بادعاءات صاحب البلاغ أنه انتُهك حقه في قرينة البراءة وحقه في الطعن في الأدلة؛ ولم يُمنح ما يكفي من الوقت والتسهيلات لإعداد دفاعه؛ وأن السلطات منعته من الاطلاع </w:t>
      </w:r>
      <w:r w:rsidRPr="00CC1733">
        <w:rPr>
          <w:spacing w:val="-4"/>
          <w:rtl/>
        </w:rPr>
        <w:t>على الأدلة؛ وأن محكمة العدل العليا لم تقبل الأدلة الأساسية التي قدمها للدفاع عن نفسه؛ وأنه لم يحاكم</w:t>
      </w:r>
      <w:r w:rsidRPr="00CC1733">
        <w:rPr>
          <w:rtl/>
        </w:rPr>
        <w:t xml:space="preserve"> خلال أجل معقول. وتحيط اللجنة علماً أيضاً بملاحظات الدولة الطرف التي مفادها أن صاحب البلاغ مُنح كل التسهيلات اللازمة لإعداد دفاعه وتقديم أدلة خلال الإجراءات الجنائية؛ وأن الهيئات القضائية قيمت كل الأدلة على النحو الواجب؛ وأنه أُتيحت لصاحب البلاغ فرصة الطعن في هذه الأدلة خلال </w:t>
      </w:r>
      <w:r w:rsidRPr="00CC1733">
        <w:rPr>
          <w:spacing w:val="-4"/>
          <w:rtl/>
        </w:rPr>
        <w:t xml:space="preserve">الإجراءات. وفيما يتعلق بادعاءات صاحب البلاغ بشأن فحص محكمة العدل العليا للأدلة، تُذكر اللجنة </w:t>
      </w:r>
      <w:r w:rsidRPr="00CC1733">
        <w:rPr>
          <w:rtl/>
        </w:rPr>
        <w:t xml:space="preserve">باجتهاداتها التي تقع على هيئات الدول الأطراف، وفقاً لها، مسؤولية تقييم الوقائع والأدلة في كل حالة بعينها، أو تطبيق القانون المحلي، ما لم يثبت أن هذين الإجراءين اتَّسمَا بتعسف واضح أو كانا بمثابة خطأ بيِّن أو إنكار </w:t>
      </w:r>
      <w:proofErr w:type="gramStart"/>
      <w:r w:rsidRPr="00CC1733">
        <w:rPr>
          <w:rtl/>
        </w:rPr>
        <w:t>للعدالة</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0"/>
      </w:r>
      <w:r w:rsidR="00375ABC" w:rsidRPr="00CC1733">
        <w:rPr>
          <w:vertAlign w:val="superscript"/>
          <w:rtl/>
        </w:rPr>
        <w:t>)</w:t>
      </w:r>
      <w:r w:rsidRPr="00CC1733">
        <w:rPr>
          <w:rtl/>
        </w:rPr>
        <w:t>. وفي هذه القضية، تلاحظ اللجنة أن صاحب البلاغ لم يحدد ما رُفض من الأدلة الأساسية التي قدمها للدفاع عن نفسه، ولا الأدلةَ التي لم تُتح له إمكانية الاطلاع عليها. ولا</w:t>
      </w:r>
      <w:r w:rsidR="00734CE5" w:rsidRPr="00CC1733">
        <w:rPr>
          <w:rFonts w:hint="cs"/>
          <w:rtl/>
        </w:rPr>
        <w:t> </w:t>
      </w:r>
      <w:r w:rsidRPr="00CC1733">
        <w:rPr>
          <w:rtl/>
        </w:rPr>
        <w:t xml:space="preserve">تتضح هذه المعلومات أيضاً من حكم محكمة العدل العليا، المتاح للجنة. وبناء على ذلك، ترى اللجنة أن صاحب البلاغ لم يدعم بما يكفي من الأدلة شكواه المتعلقة بانتهاك حقوقه المكفولة بموجب الفقرتين </w:t>
      </w:r>
      <w:r w:rsidRPr="00CC1733">
        <w:rPr>
          <w:szCs w:val="20"/>
          <w:rtl/>
        </w:rPr>
        <w:t>2</w:t>
      </w:r>
      <w:r w:rsidRPr="00CC1733">
        <w:rPr>
          <w:rtl/>
        </w:rPr>
        <w:t>، و</w:t>
      </w:r>
      <w:r w:rsidRPr="00CC1733">
        <w:rPr>
          <w:szCs w:val="20"/>
          <w:rtl/>
        </w:rPr>
        <w:t>3</w:t>
      </w:r>
      <w:r w:rsidRPr="00CC1733">
        <w:rPr>
          <w:rtl/>
        </w:rPr>
        <w:t xml:space="preserve">(أ) و(ب) و(ج) و(ه) من المادة </w:t>
      </w:r>
      <w:r w:rsidRPr="00CC1733">
        <w:rPr>
          <w:szCs w:val="20"/>
          <w:rtl/>
        </w:rPr>
        <w:t>14</w:t>
      </w:r>
      <w:r w:rsidRPr="00CC1733">
        <w:rPr>
          <w:rtl/>
        </w:rPr>
        <w:t xml:space="preserve"> من العهد، وتعلن عدم قبول هذا الجزء من البلاغ بموجب المادة </w:t>
      </w:r>
      <w:r w:rsidRPr="00CC1733">
        <w:rPr>
          <w:szCs w:val="20"/>
          <w:rtl/>
        </w:rPr>
        <w:t>2</w:t>
      </w:r>
      <w:r w:rsidRPr="00CC1733">
        <w:rPr>
          <w:rtl/>
        </w:rPr>
        <w:t xml:space="preserve"> من البروتوكول الاختياري.</w:t>
      </w:r>
    </w:p>
    <w:p w14:paraId="62127C08" w14:textId="21669CB7" w:rsidR="00344CF9" w:rsidRPr="00CC1733" w:rsidRDefault="00344CF9" w:rsidP="00734CE5">
      <w:pPr>
        <w:pStyle w:val="SingleTxtGA"/>
        <w:spacing w:line="350" w:lineRule="exact"/>
        <w:rPr>
          <w:rtl/>
        </w:rPr>
      </w:pPr>
      <w:r w:rsidRPr="00CC1733">
        <w:rPr>
          <w:szCs w:val="20"/>
          <w:rtl/>
        </w:rPr>
        <w:t>8</w:t>
      </w:r>
      <w:r w:rsidRPr="00CC1733">
        <w:rPr>
          <w:rtl/>
        </w:rPr>
        <w:t>-</w:t>
      </w:r>
      <w:r w:rsidRPr="00CC1733">
        <w:rPr>
          <w:szCs w:val="20"/>
          <w:rtl/>
        </w:rPr>
        <w:t>8</w:t>
      </w:r>
      <w:r w:rsidRPr="00CC1733">
        <w:rPr>
          <w:rtl/>
        </w:rPr>
        <w:tab/>
        <w:t xml:space="preserve">وتحيط اللجنة علماً بادّعاءات صاحب البلاغ المتعلقة بالمادة </w:t>
      </w:r>
      <w:r w:rsidRPr="00CC1733">
        <w:rPr>
          <w:szCs w:val="20"/>
          <w:rtl/>
        </w:rPr>
        <w:t>14</w:t>
      </w:r>
      <w:r w:rsidRPr="00CC1733">
        <w:rPr>
          <w:rtl/>
        </w:rPr>
        <w:t>(</w:t>
      </w:r>
      <w:r w:rsidRPr="00CC1733">
        <w:rPr>
          <w:szCs w:val="20"/>
          <w:rtl/>
        </w:rPr>
        <w:t>7</w:t>
      </w:r>
      <w:r w:rsidRPr="00CC1733">
        <w:rPr>
          <w:rtl/>
        </w:rPr>
        <w:t xml:space="preserve">) من العهد، التي مفادها </w:t>
      </w:r>
      <w:r w:rsidRPr="00CC1733">
        <w:rPr>
          <w:spacing w:val="-4"/>
          <w:rtl/>
        </w:rPr>
        <w:t>أنه حوكم مرتين على الأفعال نفسها. غير أن اللجنة تلاحظ أن المعلومات المقدمة إليها لا تسمح باستنتاج</w:t>
      </w:r>
      <w:r w:rsidRPr="00CC1733">
        <w:rPr>
          <w:rtl/>
        </w:rPr>
        <w:t xml:space="preserve"> أن تبرئة مكتب المدعي العام صاحب البلاغ، في إطار إجراءات إدارية تأديبية، تعد بمثابة قرار ذي طابع جنائي، وتذكِّر بأن الضمانات التي تكفلها هذه المادة من العهد تتعلق بالجرائم الجنائية فقط، وليس بالتدابير التأديبية التي لا تُعتبر عقوبة على جريمة، بالمعنى المقصود في المادة </w:t>
      </w:r>
      <w:r w:rsidRPr="00CC1733">
        <w:rPr>
          <w:szCs w:val="20"/>
          <w:rtl/>
        </w:rPr>
        <w:t>14</w:t>
      </w:r>
      <w:r w:rsidRPr="00CC1733">
        <w:rPr>
          <w:rtl/>
        </w:rPr>
        <w:t xml:space="preserve"> من </w:t>
      </w:r>
      <w:proofErr w:type="gramStart"/>
      <w:r w:rsidRPr="00CC1733">
        <w:rPr>
          <w:rtl/>
        </w:rPr>
        <w:t>العهد</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1"/>
      </w:r>
      <w:r w:rsidR="00375ABC" w:rsidRPr="00CC1733">
        <w:rPr>
          <w:vertAlign w:val="superscript"/>
          <w:rtl/>
        </w:rPr>
        <w:t>)</w:t>
      </w:r>
      <w:r w:rsidRPr="00CC1733">
        <w:rPr>
          <w:rtl/>
        </w:rPr>
        <w:t xml:space="preserve">. </w:t>
      </w:r>
      <w:r w:rsidRPr="00CC1733">
        <w:rPr>
          <w:rtl/>
        </w:rPr>
        <w:lastRenderedPageBreak/>
        <w:t xml:space="preserve">وعليه، ترى اللجنة أن هذه الادعاءات لم تُدعم أيضاً بما يكفي من الأدلة لأغراض المقبولية، وتعلن عدم قبولها بموجب المادة </w:t>
      </w:r>
      <w:r w:rsidRPr="00CC1733">
        <w:rPr>
          <w:szCs w:val="20"/>
          <w:rtl/>
        </w:rPr>
        <w:t>2</w:t>
      </w:r>
      <w:r w:rsidRPr="00CC1733">
        <w:rPr>
          <w:rtl/>
        </w:rPr>
        <w:t xml:space="preserve"> من العهد.</w:t>
      </w:r>
    </w:p>
    <w:p w14:paraId="7A2D2960" w14:textId="77777777" w:rsidR="00344CF9" w:rsidRPr="00CC1733" w:rsidRDefault="00344CF9" w:rsidP="00DB0FA8">
      <w:pPr>
        <w:pStyle w:val="SingleTxtGA"/>
        <w:spacing w:line="380" w:lineRule="exact"/>
        <w:rPr>
          <w:rtl/>
        </w:rPr>
      </w:pPr>
      <w:r w:rsidRPr="00CC1733">
        <w:rPr>
          <w:szCs w:val="20"/>
          <w:rtl/>
        </w:rPr>
        <w:t>8</w:t>
      </w:r>
      <w:r w:rsidRPr="00CC1733">
        <w:rPr>
          <w:rtl/>
        </w:rPr>
        <w:t>-</w:t>
      </w:r>
      <w:r w:rsidRPr="00CC1733">
        <w:rPr>
          <w:szCs w:val="20"/>
          <w:rtl/>
        </w:rPr>
        <w:t>9</w:t>
      </w:r>
      <w:r w:rsidRPr="00CC1733">
        <w:rPr>
          <w:rtl/>
        </w:rPr>
        <w:tab/>
      </w:r>
      <w:r w:rsidRPr="00CC1733">
        <w:rPr>
          <w:spacing w:val="-4"/>
          <w:rtl/>
        </w:rPr>
        <w:t xml:space="preserve">غير أن اللجنة ترى أن صاحب البلاغ دعم بما يكفي من الأدلة ادعاءاته المتعلقة بالمادة </w:t>
      </w:r>
      <w:r w:rsidRPr="00CC1733">
        <w:rPr>
          <w:spacing w:val="-4"/>
          <w:szCs w:val="20"/>
          <w:rtl/>
        </w:rPr>
        <w:t>14</w:t>
      </w:r>
      <w:r w:rsidRPr="00CC1733">
        <w:rPr>
          <w:spacing w:val="-4"/>
          <w:rtl/>
        </w:rPr>
        <w:t>(</w:t>
      </w:r>
      <w:r w:rsidRPr="00CC1733">
        <w:rPr>
          <w:spacing w:val="-4"/>
          <w:szCs w:val="20"/>
          <w:rtl/>
        </w:rPr>
        <w:t>5</w:t>
      </w:r>
      <w:r w:rsidRPr="00CC1733">
        <w:rPr>
          <w:spacing w:val="-4"/>
          <w:rtl/>
        </w:rPr>
        <w:t>)</w:t>
      </w:r>
      <w:r w:rsidRPr="00CC1733">
        <w:rPr>
          <w:rtl/>
        </w:rPr>
        <w:t xml:space="preserve"> من العهد، التي مفادها أنه حوكم ابتدائياً ونهائياً من دون إمكانية مراجعة حكم الإدانة والعقوبة. وبالتالي، تعلن اللجنة قبول شكوى صاحب البلاغ المقدمة بموجب المادة </w:t>
      </w:r>
      <w:r w:rsidRPr="00CC1733">
        <w:rPr>
          <w:szCs w:val="20"/>
          <w:rtl/>
        </w:rPr>
        <w:t>14</w:t>
      </w:r>
      <w:r w:rsidRPr="00CC1733">
        <w:rPr>
          <w:rtl/>
        </w:rPr>
        <w:t>(</w:t>
      </w:r>
      <w:r w:rsidRPr="00CC1733">
        <w:rPr>
          <w:szCs w:val="20"/>
          <w:rtl/>
        </w:rPr>
        <w:t>5</w:t>
      </w:r>
      <w:r w:rsidRPr="00CC1733">
        <w:rPr>
          <w:rtl/>
        </w:rPr>
        <w:t>) من العقد، وتنتقل إلى النظر في أسسها الموضوعية.</w:t>
      </w:r>
    </w:p>
    <w:p w14:paraId="31994C59" w14:textId="77777777" w:rsidR="00344CF9" w:rsidRPr="00CC1733" w:rsidRDefault="00344CF9" w:rsidP="00375ABC">
      <w:pPr>
        <w:pStyle w:val="H4GA"/>
        <w:rPr>
          <w:rtl/>
        </w:rPr>
      </w:pPr>
      <w:r w:rsidRPr="00CC1733">
        <w:rPr>
          <w:rtl/>
        </w:rPr>
        <w:tab/>
      </w:r>
      <w:r w:rsidRPr="00CC1733">
        <w:rPr>
          <w:rtl/>
        </w:rPr>
        <w:tab/>
        <w:t>النظر في الأسس الموضوعية</w:t>
      </w:r>
    </w:p>
    <w:p w14:paraId="6112D190" w14:textId="77777777" w:rsidR="00344CF9" w:rsidRPr="00CC1733" w:rsidRDefault="00344CF9" w:rsidP="00DB0FA8">
      <w:pPr>
        <w:pStyle w:val="SingleTxtGA"/>
        <w:spacing w:line="380" w:lineRule="exact"/>
        <w:rPr>
          <w:rtl/>
        </w:rPr>
      </w:pPr>
      <w:r w:rsidRPr="00CC1733">
        <w:rPr>
          <w:szCs w:val="20"/>
          <w:rtl/>
        </w:rPr>
        <w:t>9</w:t>
      </w:r>
      <w:r w:rsidRPr="00CC1733">
        <w:rPr>
          <w:rtl/>
        </w:rPr>
        <w:t>-</w:t>
      </w:r>
      <w:r w:rsidRPr="00CC1733">
        <w:rPr>
          <w:szCs w:val="20"/>
          <w:rtl/>
        </w:rPr>
        <w:t>1</w:t>
      </w:r>
      <w:r w:rsidRPr="00CC1733">
        <w:rPr>
          <w:rtl/>
        </w:rPr>
        <w:tab/>
        <w:t xml:space="preserve">نظرت اللجنة في هذا البلاغ في ضوء جميع المعلومات التي أتاحها لها الطرفان، على النحو المنصوص عليه في المادة </w:t>
      </w:r>
      <w:r w:rsidRPr="00CC1733">
        <w:rPr>
          <w:szCs w:val="20"/>
          <w:rtl/>
        </w:rPr>
        <w:t>5</w:t>
      </w:r>
      <w:r w:rsidRPr="00CC1733">
        <w:rPr>
          <w:rtl/>
        </w:rPr>
        <w:t>(</w:t>
      </w:r>
      <w:r w:rsidRPr="00CC1733">
        <w:rPr>
          <w:szCs w:val="20"/>
          <w:rtl/>
        </w:rPr>
        <w:t>1</w:t>
      </w:r>
      <w:r w:rsidRPr="00CC1733">
        <w:rPr>
          <w:rtl/>
        </w:rPr>
        <w:t>) من البروتوكول الاختياري.</w:t>
      </w:r>
    </w:p>
    <w:p w14:paraId="29FE7C59" w14:textId="0043DDF9" w:rsidR="00344CF9" w:rsidRPr="00CC1733" w:rsidRDefault="00344CF9" w:rsidP="00DB0FA8">
      <w:pPr>
        <w:pStyle w:val="SingleTxtGA"/>
        <w:spacing w:line="380" w:lineRule="exact"/>
        <w:rPr>
          <w:rtl/>
        </w:rPr>
      </w:pPr>
      <w:r w:rsidRPr="00CC1733">
        <w:rPr>
          <w:szCs w:val="20"/>
          <w:rtl/>
        </w:rPr>
        <w:t>9</w:t>
      </w:r>
      <w:r w:rsidRPr="00CC1733">
        <w:rPr>
          <w:rtl/>
        </w:rPr>
        <w:t>-</w:t>
      </w:r>
      <w:r w:rsidRPr="00CC1733">
        <w:rPr>
          <w:szCs w:val="20"/>
          <w:rtl/>
        </w:rPr>
        <w:t>2</w:t>
      </w:r>
      <w:r w:rsidRPr="00CC1733">
        <w:rPr>
          <w:rtl/>
        </w:rPr>
        <w:tab/>
        <w:t xml:space="preserve">وتحيط اللجنة علماً بادعاء صاحب البلاغ أن الإجراءات الجنائية المباشَرة ضده شكلت انتهاكاً لأحكام المادة </w:t>
      </w:r>
      <w:r w:rsidRPr="00CC1733">
        <w:rPr>
          <w:szCs w:val="20"/>
          <w:rtl/>
        </w:rPr>
        <w:t>14</w:t>
      </w:r>
      <w:r w:rsidRPr="00CC1733">
        <w:rPr>
          <w:rtl/>
        </w:rPr>
        <w:t>(</w:t>
      </w:r>
      <w:r w:rsidRPr="00CC1733">
        <w:rPr>
          <w:szCs w:val="20"/>
          <w:rtl/>
        </w:rPr>
        <w:t>5</w:t>
      </w:r>
      <w:r w:rsidRPr="00CC1733">
        <w:rPr>
          <w:rtl/>
        </w:rPr>
        <w:t>) من العهد، بالنظر إلى أنه لم تكن ثمة آلية فعالة لاستئناف الحكم وطلب مراجعة محكمة أعلى درجة حكمَ الإدانة والعقوبة الصادر عن الدائرة الجنائية بمحكمة العدل العليا في</w:t>
      </w:r>
      <w:r w:rsidR="00375ABC" w:rsidRPr="00CC1733">
        <w:rPr>
          <w:rFonts w:hint="cs"/>
          <w:rtl/>
        </w:rPr>
        <w:t> </w:t>
      </w:r>
      <w:r w:rsidRPr="00CC1733">
        <w:rPr>
          <w:szCs w:val="20"/>
          <w:rtl/>
        </w:rPr>
        <w:t>15</w:t>
      </w:r>
      <w:r w:rsidRPr="00CC1733">
        <w:rPr>
          <w:rtl/>
        </w:rPr>
        <w:t xml:space="preserve"> نيسان/أبريل </w:t>
      </w:r>
      <w:r w:rsidRPr="00CC1733">
        <w:rPr>
          <w:szCs w:val="20"/>
          <w:rtl/>
        </w:rPr>
        <w:t>2015</w:t>
      </w:r>
      <w:r w:rsidRPr="00CC1733">
        <w:rPr>
          <w:rtl/>
        </w:rPr>
        <w:t xml:space="preserve">. </w:t>
      </w:r>
    </w:p>
    <w:p w14:paraId="22F51F8D" w14:textId="77777777" w:rsidR="00344CF9" w:rsidRPr="00CC1733" w:rsidRDefault="00344CF9" w:rsidP="00DB0FA8">
      <w:pPr>
        <w:pStyle w:val="SingleTxtGA"/>
        <w:spacing w:line="380" w:lineRule="exact"/>
        <w:rPr>
          <w:rtl/>
        </w:rPr>
      </w:pPr>
      <w:r w:rsidRPr="00CC1733">
        <w:rPr>
          <w:szCs w:val="20"/>
          <w:rtl/>
        </w:rPr>
        <w:t>9</w:t>
      </w:r>
      <w:r w:rsidRPr="00CC1733">
        <w:rPr>
          <w:rtl/>
        </w:rPr>
        <w:t>-</w:t>
      </w:r>
      <w:r w:rsidRPr="00CC1733">
        <w:rPr>
          <w:szCs w:val="20"/>
          <w:rtl/>
        </w:rPr>
        <w:t>3</w:t>
      </w:r>
      <w:r w:rsidRPr="00CC1733">
        <w:rPr>
          <w:rtl/>
        </w:rPr>
        <w:tab/>
        <w:t>وتحيط اللجنة علماً أيضاً بحجج الدولة الطرف بأن السوابق القضائية الدستورية التي كانت سارية وقت المحاكمة سمحت بمحاكمة هؤلاء المسؤولين الكبار من قبل محكمة العدل العليا باعتبار ذلك "الضمانة القصوى للمحاكمة وفق الأصول القانونية"، وبررت تقييد الحق في اللجوء إلى محكمة أعلى درجة بمحاكمتهم أمام أعلى محكمة تصدر أحكاماً ذات طابع جماعي، بما لذلك من مزايا مثل اختصار الإجراءات وتفادي الأخطاء التي قد يرتكبها القضاة أو المحاكم الأدنى درجة؛ وبأن محاكمة هؤلاء الأشخاص، بصفتهم مسؤولين كباراً متمتعين بالحصانة، أمام أعلى هيئة مختصة في القضايا الجنائية شكلت في حد ذاتها ضمانة شاملة للحق في المحاكمة وفق الأصول القانونية.</w:t>
      </w:r>
    </w:p>
    <w:p w14:paraId="30C8270F" w14:textId="4DEA6F52" w:rsidR="00344CF9" w:rsidRPr="00CC1733" w:rsidRDefault="00344CF9" w:rsidP="00344CF9">
      <w:pPr>
        <w:pStyle w:val="SingleTxtGA"/>
        <w:rPr>
          <w:rtl/>
        </w:rPr>
      </w:pPr>
      <w:r w:rsidRPr="00CC1733">
        <w:rPr>
          <w:szCs w:val="20"/>
          <w:rtl/>
        </w:rPr>
        <w:t>9</w:t>
      </w:r>
      <w:r w:rsidRPr="00CC1733">
        <w:rPr>
          <w:rtl/>
        </w:rPr>
        <w:t>-</w:t>
      </w:r>
      <w:r w:rsidRPr="00CC1733">
        <w:rPr>
          <w:szCs w:val="20"/>
          <w:rtl/>
        </w:rPr>
        <w:t>4</w:t>
      </w:r>
      <w:r w:rsidRPr="00CC1733">
        <w:rPr>
          <w:rtl/>
        </w:rPr>
        <w:tab/>
        <w:t xml:space="preserve">وتذكِّر اللجنة بأن المادة </w:t>
      </w:r>
      <w:r w:rsidRPr="00CC1733">
        <w:rPr>
          <w:szCs w:val="20"/>
          <w:rtl/>
        </w:rPr>
        <w:t>14</w:t>
      </w:r>
      <w:r w:rsidRPr="00CC1733">
        <w:rPr>
          <w:rtl/>
        </w:rPr>
        <w:t>(</w:t>
      </w:r>
      <w:r w:rsidRPr="00CC1733">
        <w:rPr>
          <w:szCs w:val="20"/>
          <w:rtl/>
        </w:rPr>
        <w:t>5</w:t>
      </w:r>
      <w:r w:rsidRPr="00CC1733">
        <w:rPr>
          <w:rtl/>
        </w:rPr>
        <w:t xml:space="preserve">) من العهد تنصّ على أن لكل شخص مدان حق اللجوء، وفقاً للقانون، إلى محكمة أعلى لتعيد النظر في قرار إدانته وعقوبته. وتُذكر اللجنة بأن عبارة "وفقاً للقانون" لا يُقصد بها أن وجود الحق في المراجعة في حد ذاته مسألة متروكة للسلطة التقديرية للدول الأطراف. وحتى لو كانت تشريعات دولة طرف تنص، في حالات معينة، على محاكمة شخص ما، بحكم منصبه، أمام محكمة أعلى درجة من تلك التي تنظر عادة في القضايا المماثلة، فلا يجوز أن يمس ذلك في حد ذاته بحق المتهم في أن تراجع محكمة أعلى قرار إدانته </w:t>
      </w:r>
      <w:proofErr w:type="gramStart"/>
      <w:r w:rsidRPr="00CC1733">
        <w:rPr>
          <w:rtl/>
        </w:rPr>
        <w:t>وعقوبته</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2"/>
      </w:r>
      <w:r w:rsidR="00375ABC" w:rsidRPr="00CC1733">
        <w:rPr>
          <w:vertAlign w:val="superscript"/>
          <w:rtl/>
        </w:rPr>
        <w:t>)</w:t>
      </w:r>
      <w:r w:rsidRPr="00CC1733">
        <w:rPr>
          <w:rtl/>
        </w:rPr>
        <w:t xml:space="preserve">. وفي هذه القضية، تلاحظ اللجنة أنه لم يُتَح لصاحب البلاغ سبيل انتصاف فعال لطلب مراجعة حكم الإدانة والعقوبة </w:t>
      </w:r>
      <w:r w:rsidRPr="00CC1733">
        <w:rPr>
          <w:rtl/>
        </w:rPr>
        <w:lastRenderedPageBreak/>
        <w:t xml:space="preserve">الصادر في حقه من قبل هيئة </w:t>
      </w:r>
      <w:proofErr w:type="gramStart"/>
      <w:r w:rsidRPr="00CC1733">
        <w:rPr>
          <w:rtl/>
        </w:rPr>
        <w:t>أعلى</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3"/>
      </w:r>
      <w:r w:rsidR="00375ABC" w:rsidRPr="00CC1733">
        <w:rPr>
          <w:vertAlign w:val="superscript"/>
          <w:rtl/>
        </w:rPr>
        <w:t>)</w:t>
      </w:r>
      <w:r w:rsidRPr="00CC1733">
        <w:rPr>
          <w:rtl/>
        </w:rPr>
        <w:t xml:space="preserve">. وبناءً على ذلك، تخلص اللجنة إلى أن الدولة الطرف انتهكت حقوق صاحب البلاغ المكفولة بموجب المادة </w:t>
      </w:r>
      <w:r w:rsidRPr="00CC1733">
        <w:rPr>
          <w:szCs w:val="20"/>
          <w:rtl/>
        </w:rPr>
        <w:t>14</w:t>
      </w:r>
      <w:r w:rsidRPr="00CC1733">
        <w:rPr>
          <w:rtl/>
        </w:rPr>
        <w:t>(</w:t>
      </w:r>
      <w:r w:rsidRPr="00CC1733">
        <w:rPr>
          <w:szCs w:val="20"/>
          <w:rtl/>
        </w:rPr>
        <w:t>5</w:t>
      </w:r>
      <w:r w:rsidRPr="00CC1733">
        <w:rPr>
          <w:rtl/>
        </w:rPr>
        <w:t xml:space="preserve">) من </w:t>
      </w:r>
      <w:proofErr w:type="gramStart"/>
      <w:r w:rsidRPr="00CC1733">
        <w:rPr>
          <w:rtl/>
        </w:rPr>
        <w:t>العهد</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4"/>
      </w:r>
      <w:r w:rsidR="00375ABC" w:rsidRPr="00CC1733">
        <w:rPr>
          <w:vertAlign w:val="superscript"/>
          <w:rtl/>
        </w:rPr>
        <w:t>)</w:t>
      </w:r>
      <w:r w:rsidRPr="00CC1733">
        <w:rPr>
          <w:rtl/>
        </w:rPr>
        <w:t>.</w:t>
      </w:r>
    </w:p>
    <w:p w14:paraId="098F4531" w14:textId="77777777" w:rsidR="00344CF9" w:rsidRPr="00CC1733" w:rsidRDefault="00344CF9" w:rsidP="00344CF9">
      <w:pPr>
        <w:pStyle w:val="SingleTxtGA"/>
        <w:rPr>
          <w:rtl/>
        </w:rPr>
      </w:pPr>
      <w:r w:rsidRPr="00CC1733">
        <w:rPr>
          <w:szCs w:val="20"/>
          <w:rtl/>
        </w:rPr>
        <w:t>10</w:t>
      </w:r>
      <w:r w:rsidRPr="00CC1733">
        <w:rPr>
          <w:rtl/>
        </w:rPr>
        <w:t>-</w:t>
      </w:r>
      <w:r w:rsidRPr="00CC1733">
        <w:rPr>
          <w:rtl/>
        </w:rPr>
        <w:tab/>
        <w:t xml:space="preserve">وترى اللجنة، وهي تتصرف بموجب المادة </w:t>
      </w:r>
      <w:r w:rsidRPr="00CC1733">
        <w:rPr>
          <w:szCs w:val="20"/>
          <w:rtl/>
        </w:rPr>
        <w:t>5</w:t>
      </w:r>
      <w:r w:rsidRPr="00CC1733">
        <w:rPr>
          <w:rtl/>
        </w:rPr>
        <w:t>(</w:t>
      </w:r>
      <w:r w:rsidRPr="00CC1733">
        <w:rPr>
          <w:szCs w:val="20"/>
          <w:rtl/>
        </w:rPr>
        <w:t>4</w:t>
      </w:r>
      <w:r w:rsidRPr="00CC1733">
        <w:rPr>
          <w:rtl/>
        </w:rPr>
        <w:t xml:space="preserve">) من البروتوكول الاختياري الملحق بالعهد الدولي الخاص بالحقوق المدنية والسياسية، أن الوقائع المعروضة عليها تُبين وقوع انتهاك للمادة </w:t>
      </w:r>
      <w:r w:rsidRPr="00CC1733">
        <w:rPr>
          <w:szCs w:val="20"/>
          <w:rtl/>
        </w:rPr>
        <w:t>14</w:t>
      </w:r>
      <w:r w:rsidRPr="00CC1733">
        <w:rPr>
          <w:rtl/>
        </w:rPr>
        <w:t>(</w:t>
      </w:r>
      <w:r w:rsidRPr="00CC1733">
        <w:rPr>
          <w:szCs w:val="20"/>
          <w:rtl/>
        </w:rPr>
        <w:t>5</w:t>
      </w:r>
      <w:r w:rsidRPr="00CC1733">
        <w:rPr>
          <w:rtl/>
        </w:rPr>
        <w:t>) من العهد.</w:t>
      </w:r>
    </w:p>
    <w:p w14:paraId="585E1B00" w14:textId="78149B30" w:rsidR="00344CF9" w:rsidRPr="00CC1733" w:rsidRDefault="00344CF9" w:rsidP="00344CF9">
      <w:pPr>
        <w:pStyle w:val="SingleTxtGA"/>
        <w:rPr>
          <w:rtl/>
        </w:rPr>
      </w:pPr>
      <w:r w:rsidRPr="00CC1733">
        <w:rPr>
          <w:szCs w:val="20"/>
          <w:rtl/>
        </w:rPr>
        <w:t>11</w:t>
      </w:r>
      <w:r w:rsidRPr="00CC1733">
        <w:rPr>
          <w:rtl/>
        </w:rPr>
        <w:t>-</w:t>
      </w:r>
      <w:r w:rsidRPr="00CC1733">
        <w:rPr>
          <w:rtl/>
        </w:rPr>
        <w:tab/>
        <w:t xml:space="preserve">ووفقاً لأحكام المادة </w:t>
      </w:r>
      <w:r w:rsidRPr="00CC1733">
        <w:rPr>
          <w:szCs w:val="20"/>
          <w:rtl/>
        </w:rPr>
        <w:t>2</w:t>
      </w:r>
      <w:r w:rsidRPr="00CC1733">
        <w:rPr>
          <w:rtl/>
        </w:rPr>
        <w:t>(</w:t>
      </w:r>
      <w:r w:rsidRPr="00CC1733">
        <w:rPr>
          <w:szCs w:val="20"/>
          <w:rtl/>
        </w:rPr>
        <w:t>3</w:t>
      </w:r>
      <w:r w:rsidRPr="00CC1733">
        <w:rPr>
          <w:rtl/>
        </w:rPr>
        <w:t xml:space="preserve">)(أ) من العهد، يقع على الدولة الطرف التزام بتوفير سبيل انتصاف </w:t>
      </w:r>
      <w:r w:rsidRPr="00CC1733">
        <w:rPr>
          <w:spacing w:val="-2"/>
          <w:rtl/>
        </w:rPr>
        <w:t>فعال لصاحب البلاغ. ويقتضي ذلك تقديمَ تعويض كامل للأشخاص الذين انتُهِكت حقوقهم. والدولة</w:t>
      </w:r>
      <w:r w:rsidRPr="00CC1733">
        <w:rPr>
          <w:rtl/>
        </w:rPr>
        <w:t xml:space="preserve"> </w:t>
      </w:r>
      <w:r w:rsidRPr="00CC1733">
        <w:rPr>
          <w:spacing w:val="-2"/>
          <w:rtl/>
        </w:rPr>
        <w:t>الطرف ملزمة بتقديم تعويض ملائم لصاحب البلاغ وباعتماد جميع التدابير اللازمة لمنع حدوث انتهاكات</w:t>
      </w:r>
      <w:r w:rsidRPr="00CC1733">
        <w:rPr>
          <w:rtl/>
        </w:rPr>
        <w:t xml:space="preserve"> مماثلة في المستقبل. وفي هذا الصدد، تلاحظ اللجنة أن السلطة التشريعية عدَّلت الدستور في </w:t>
      </w:r>
      <w:r w:rsidRPr="00CC1733">
        <w:rPr>
          <w:szCs w:val="20"/>
          <w:rtl/>
        </w:rPr>
        <w:t>18</w:t>
      </w:r>
      <w:r w:rsidRPr="00CC1733">
        <w:rPr>
          <w:rtl/>
        </w:rPr>
        <w:t xml:space="preserve"> كانون الثاني/يناير </w:t>
      </w:r>
      <w:r w:rsidRPr="00CC1733">
        <w:rPr>
          <w:szCs w:val="20"/>
          <w:rtl/>
        </w:rPr>
        <w:t>2018</w:t>
      </w:r>
      <w:r w:rsidRPr="00CC1733">
        <w:rPr>
          <w:rtl/>
        </w:rPr>
        <w:t xml:space="preserve">، بموجب القانون التشريعي رقم </w:t>
      </w:r>
      <w:r w:rsidRPr="00CC1733">
        <w:rPr>
          <w:szCs w:val="20"/>
          <w:rtl/>
        </w:rPr>
        <w:t>01</w:t>
      </w:r>
      <w:r w:rsidRPr="00CC1733">
        <w:rPr>
          <w:rtl/>
        </w:rPr>
        <w:t xml:space="preserve"> لعام </w:t>
      </w:r>
      <w:r w:rsidRPr="00CC1733">
        <w:rPr>
          <w:szCs w:val="20"/>
          <w:rtl/>
        </w:rPr>
        <w:t>2018</w:t>
      </w:r>
      <w:r w:rsidRPr="00CC1733">
        <w:rPr>
          <w:rtl/>
        </w:rPr>
        <w:t xml:space="preserve">، لكفالة الحق في التقاضي جنائياً على درجتين لكبار </w:t>
      </w:r>
      <w:proofErr w:type="gramStart"/>
      <w:r w:rsidRPr="00CC1733">
        <w:rPr>
          <w:rtl/>
        </w:rPr>
        <w:t>المسؤولين</w:t>
      </w:r>
      <w:r w:rsidR="00375ABC" w:rsidRPr="00CC1733">
        <w:rPr>
          <w:vertAlign w:val="superscript"/>
          <w:rtl/>
        </w:rPr>
        <w:t>(</w:t>
      </w:r>
      <w:proofErr w:type="gramEnd"/>
      <w:r w:rsidR="00375ABC" w:rsidRPr="00CC1733">
        <w:rPr>
          <w:rStyle w:val="FootnoteReference"/>
          <w:rFonts w:ascii="Times New Roman" w:hAnsi="Times New Roman" w:cs="Times New Roman" w:hint="eastAsia"/>
          <w:b w:val="0"/>
          <w:position w:val="4"/>
          <w:sz w:val="20"/>
        </w:rPr>
        <w:footnoteReference w:id="55"/>
      </w:r>
      <w:r w:rsidR="00375ABC" w:rsidRPr="00CC1733">
        <w:rPr>
          <w:vertAlign w:val="superscript"/>
          <w:rtl/>
        </w:rPr>
        <w:t>)</w:t>
      </w:r>
      <w:r w:rsidRPr="00CC1733">
        <w:rPr>
          <w:rtl/>
        </w:rPr>
        <w:t>، وهذا تدبير تعتبره اللجنة ضمانة لعدم التكرار</w:t>
      </w:r>
      <w:r w:rsidR="00375ABC" w:rsidRPr="00CC1733">
        <w:rPr>
          <w:vertAlign w:val="superscript"/>
          <w:rtl/>
        </w:rPr>
        <w:t>(</w:t>
      </w:r>
      <w:r w:rsidR="00375ABC" w:rsidRPr="00CC1733">
        <w:rPr>
          <w:rStyle w:val="FootnoteReference"/>
          <w:rFonts w:ascii="Times New Roman" w:hAnsi="Times New Roman" w:cs="Times New Roman" w:hint="eastAsia"/>
          <w:b w:val="0"/>
          <w:position w:val="4"/>
          <w:sz w:val="20"/>
        </w:rPr>
        <w:footnoteReference w:id="56"/>
      </w:r>
      <w:r w:rsidR="00375ABC" w:rsidRPr="00CC1733">
        <w:rPr>
          <w:vertAlign w:val="superscript"/>
          <w:rtl/>
        </w:rPr>
        <w:t>)</w:t>
      </w:r>
      <w:r w:rsidRPr="00CC1733">
        <w:rPr>
          <w:rtl/>
        </w:rPr>
        <w:t>.</w:t>
      </w:r>
    </w:p>
    <w:p w14:paraId="2D3EC3AA" w14:textId="661F07E1" w:rsidR="00344CF9" w:rsidRDefault="00344CF9" w:rsidP="00344CF9">
      <w:pPr>
        <w:pStyle w:val="SingleTxtGA"/>
        <w:rPr>
          <w:rtl/>
        </w:rPr>
      </w:pPr>
      <w:r w:rsidRPr="00CC1733">
        <w:rPr>
          <w:szCs w:val="20"/>
          <w:rtl/>
        </w:rPr>
        <w:t>12</w:t>
      </w:r>
      <w:r w:rsidRPr="00CC1733">
        <w:rPr>
          <w:rtl/>
        </w:rPr>
        <w:t>-</w:t>
      </w:r>
      <w:r w:rsidRPr="00CC1733">
        <w:rPr>
          <w:rtl/>
        </w:rPr>
        <w:tab/>
        <w:t xml:space="preserve">وإذ تضع اللجنة في اعتبارها أن الدولة الطرف اعترفت، بانضمامها إلى البروتوكول الاختياري، باختصاص اللجنة في تحديد ما إذا حدث انتهاك للعهد أم لا، وأنها تعهّدت، بموجب المادة </w:t>
      </w:r>
      <w:r w:rsidRPr="00CC1733">
        <w:rPr>
          <w:szCs w:val="20"/>
          <w:rtl/>
        </w:rPr>
        <w:t>2</w:t>
      </w:r>
      <w:r w:rsidRPr="00CC1733">
        <w:rPr>
          <w:rtl/>
        </w:rPr>
        <w:t xml:space="preserve"> من العهد، بأن تكفل تمتع جميع الأفراد الموجودين في إقليمها أو الخاضعين لولايتها بالحقوق المعترف بها في</w:t>
      </w:r>
      <w:r w:rsidR="00DB0FA8" w:rsidRPr="00CC1733">
        <w:rPr>
          <w:rFonts w:hint="cs"/>
          <w:rtl/>
        </w:rPr>
        <w:t> </w:t>
      </w:r>
      <w:r w:rsidRPr="00CC1733">
        <w:rPr>
          <w:rtl/>
        </w:rPr>
        <w:t xml:space="preserve">العهد وبأن تتيح سبيل انتصاف فعالاً وقابلاً للإنفاذ قانونياً في حالة ثبوت وقوع انتهاك ما، فهي تودّ </w:t>
      </w:r>
      <w:r w:rsidRPr="00CC1733">
        <w:rPr>
          <w:spacing w:val="-4"/>
          <w:rtl/>
        </w:rPr>
        <w:t xml:space="preserve">أن تتلقى من الدولة الطرف، في غضون </w:t>
      </w:r>
      <w:r w:rsidRPr="00CC1733">
        <w:rPr>
          <w:spacing w:val="-4"/>
          <w:szCs w:val="20"/>
          <w:rtl/>
        </w:rPr>
        <w:t>180</w:t>
      </w:r>
      <w:r w:rsidRPr="00CC1733">
        <w:rPr>
          <w:spacing w:val="-4"/>
          <w:rtl/>
        </w:rPr>
        <w:t xml:space="preserve"> يوماً، معلومات عن التدابير التي اتخذتها لتنفيذ هذه الآراء.</w:t>
      </w:r>
      <w:r w:rsidRPr="00CC1733">
        <w:rPr>
          <w:rtl/>
        </w:rPr>
        <w:t xml:space="preserve"> وتطلب اللجنة إلى الدولة الطرف أيضاً أن تنشر هذه الآراء وتعممها على نطاق واسع.</w:t>
      </w:r>
    </w:p>
    <w:p w14:paraId="3F462A65" w14:textId="7F26B96E" w:rsidR="00375ABC" w:rsidRPr="00375ABC" w:rsidRDefault="00375ABC" w:rsidP="00375ABC">
      <w:pPr>
        <w:pStyle w:val="SingleTxtGA"/>
        <w:jc w:val="center"/>
        <w:rPr>
          <w:u w:val="single"/>
          <w:rtl/>
        </w:rPr>
      </w:pPr>
      <w:r>
        <w:rPr>
          <w:u w:val="single"/>
          <w:rtl/>
        </w:rPr>
        <w:tab/>
      </w:r>
      <w:r>
        <w:rPr>
          <w:u w:val="single"/>
          <w:rtl/>
        </w:rPr>
        <w:tab/>
      </w:r>
      <w:r>
        <w:rPr>
          <w:u w:val="single"/>
          <w:rtl/>
        </w:rPr>
        <w:tab/>
      </w:r>
    </w:p>
    <w:sectPr w:rsidR="00375ABC" w:rsidRPr="00375ABC" w:rsidSect="001564B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EE4F" w14:textId="77777777" w:rsidR="00886A73" w:rsidRPr="002901D9" w:rsidRDefault="00886A73" w:rsidP="002901D9">
      <w:pPr>
        <w:spacing w:after="60" w:line="240" w:lineRule="auto"/>
        <w:rPr>
          <w:i/>
          <w:iCs/>
        </w:rPr>
      </w:pPr>
      <w:r>
        <w:rPr>
          <w:rFonts w:hint="cs"/>
          <w:i/>
          <w:iCs/>
          <w:rtl/>
        </w:rPr>
        <w:t>الحواشي</w:t>
      </w:r>
    </w:p>
  </w:endnote>
  <w:endnote w:type="continuationSeparator" w:id="0">
    <w:p w14:paraId="1DC8C6F8" w14:textId="77777777" w:rsidR="00886A73" w:rsidRDefault="00886A7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5CB8" w14:textId="77777777" w:rsidR="00886A73" w:rsidRPr="001564B1" w:rsidRDefault="00886A73" w:rsidP="001564B1">
    <w:pPr>
      <w:pStyle w:val="Footer"/>
      <w:tabs>
        <w:tab w:val="right" w:pos="9638"/>
      </w:tabs>
      <w:rPr>
        <w:b/>
        <w:sz w:val="18"/>
        <w:lang w:val="en-US"/>
      </w:rPr>
    </w:pPr>
    <w:r w:rsidRPr="0066561F">
      <w:rPr>
        <w:lang w:val="en-US"/>
      </w:rPr>
      <w:t>GE.20-17016</w:t>
    </w:r>
    <w:r w:rsidRPr="0066561F">
      <w:rPr>
        <w:lang w:val="en-US"/>
      </w:rPr>
      <w:tab/>
    </w:r>
    <w:r w:rsidRPr="0066561F">
      <w:rPr>
        <w:b/>
        <w:sz w:val="18"/>
        <w:lang w:val="en-US"/>
      </w:rPr>
      <w:fldChar w:fldCharType="begin"/>
    </w:r>
    <w:r w:rsidRPr="0066561F">
      <w:rPr>
        <w:b/>
        <w:sz w:val="18"/>
        <w:lang w:val="en-US"/>
      </w:rPr>
      <w:instrText xml:space="preserve"> PAGE  \* MERGEFORMAT </w:instrText>
    </w:r>
    <w:r w:rsidRPr="0066561F">
      <w:rPr>
        <w:b/>
        <w:sz w:val="18"/>
        <w:lang w:val="en-US"/>
      </w:rPr>
      <w:fldChar w:fldCharType="separate"/>
    </w:r>
    <w:r w:rsidRPr="0066561F">
      <w:rPr>
        <w:b/>
        <w:noProof/>
        <w:sz w:val="18"/>
        <w:lang w:val="en-US"/>
      </w:rPr>
      <w:t>2</w:t>
    </w:r>
    <w:r w:rsidRPr="0066561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0BED" w14:textId="77777777" w:rsidR="00886A73" w:rsidRPr="001564B1" w:rsidRDefault="00886A73" w:rsidP="001564B1">
    <w:pPr>
      <w:pStyle w:val="Footer"/>
      <w:tabs>
        <w:tab w:val="right" w:pos="9638"/>
      </w:tabs>
      <w:jc w:val="left"/>
      <w:rPr>
        <w:lang w:val="en-US"/>
      </w:rPr>
    </w:pPr>
    <w:r w:rsidRPr="0066561F">
      <w:rPr>
        <w:b/>
        <w:sz w:val="18"/>
        <w:lang w:val="en-US"/>
      </w:rPr>
      <w:fldChar w:fldCharType="begin"/>
    </w:r>
    <w:r w:rsidRPr="0066561F">
      <w:rPr>
        <w:b/>
        <w:sz w:val="18"/>
        <w:lang w:val="en-US"/>
      </w:rPr>
      <w:instrText xml:space="preserve"> PAGE  \* MERGEFORMAT </w:instrText>
    </w:r>
    <w:r w:rsidRPr="0066561F">
      <w:rPr>
        <w:b/>
        <w:sz w:val="18"/>
        <w:lang w:val="en-US"/>
      </w:rPr>
      <w:fldChar w:fldCharType="separate"/>
    </w:r>
    <w:r w:rsidRPr="0066561F">
      <w:rPr>
        <w:b/>
        <w:noProof/>
        <w:sz w:val="18"/>
        <w:lang w:val="en-US"/>
      </w:rPr>
      <w:t>3</w:t>
    </w:r>
    <w:r w:rsidRPr="0066561F">
      <w:rPr>
        <w:b/>
        <w:sz w:val="18"/>
        <w:lang w:val="en-US"/>
      </w:rPr>
      <w:fldChar w:fldCharType="end"/>
    </w:r>
    <w:r w:rsidRPr="0066561F">
      <w:rPr>
        <w:b/>
        <w:sz w:val="18"/>
        <w:lang w:val="en-US"/>
      </w:rPr>
      <w:tab/>
    </w:r>
    <w:r w:rsidRPr="0066561F">
      <w:rPr>
        <w:lang w:val="en-US"/>
      </w:rPr>
      <w:t>GE.20-17016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1D24" w14:textId="77777777" w:rsidR="00886A73" w:rsidRPr="001564B1" w:rsidRDefault="00886A73" w:rsidP="001564B1">
    <w:pPr>
      <w:pStyle w:val="Footer"/>
      <w:spacing w:before="600"/>
      <w:ind w:left="567"/>
      <w:jc w:val="right"/>
      <w:rPr>
        <w:sz w:val="20"/>
        <w:lang w:val="en-US"/>
      </w:rPr>
    </w:pPr>
    <w:r w:rsidRPr="00B7140F">
      <w:rPr>
        <w:sz w:val="20"/>
        <w:lang w:val="en-US"/>
      </w:rPr>
      <w:t>GE.</w:t>
    </w:r>
    <w:r w:rsidRPr="00B7140F">
      <w:rPr>
        <w:noProof/>
      </w:rPr>
      <w:drawing>
        <wp:anchor distT="0" distB="0" distL="114300" distR="114300" simplePos="0" relativeHeight="251658240" behindDoc="1" locked="1" layoutInCell="0" allowOverlap="1" wp14:anchorId="4AAB4E3B" wp14:editId="28E4FAD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B7140F">
      <w:rPr>
        <w:sz w:val="20"/>
        <w:lang w:val="en-US"/>
      </w:rPr>
      <w:t>20-17016 (A)</w:t>
    </w:r>
    <w:r w:rsidRPr="00B7140F">
      <w:rPr>
        <w:noProof/>
        <w:sz w:val="20"/>
        <w:lang w:val="en-US"/>
      </w:rPr>
      <w:drawing>
        <wp:anchor distT="0" distB="0" distL="114300" distR="114300" simplePos="0" relativeHeight="251659264" behindDoc="0" locked="0" layoutInCell="1" allowOverlap="1" wp14:anchorId="73EC5260" wp14:editId="4C212A14">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14E6" w14:textId="77777777" w:rsidR="00886A73" w:rsidRDefault="00886A73" w:rsidP="000437B8">
      <w:pPr>
        <w:pStyle w:val="Footer"/>
        <w:bidi/>
        <w:spacing w:after="80" w:line="200" w:lineRule="exact"/>
        <w:ind w:left="680"/>
        <w:rPr>
          <w:rtl/>
        </w:rPr>
      </w:pPr>
      <w:r>
        <w:rPr>
          <w:rtl/>
        </w:rPr>
        <w:t>__________</w:t>
      </w:r>
    </w:p>
  </w:footnote>
  <w:footnote w:type="continuationSeparator" w:id="0">
    <w:p w14:paraId="2B7BC9E9" w14:textId="77777777" w:rsidR="00886A73" w:rsidRDefault="00886A73" w:rsidP="00656392">
      <w:pPr>
        <w:spacing w:line="240" w:lineRule="auto"/>
      </w:pPr>
      <w:r>
        <w:continuationSeparator/>
      </w:r>
    </w:p>
  </w:footnote>
  <w:footnote w:id="1">
    <w:p w14:paraId="67DBDF5F" w14:textId="46EA97FB" w:rsidR="00886A73" w:rsidRPr="0066561F" w:rsidRDefault="00886A73" w:rsidP="008F657D">
      <w:pPr>
        <w:pStyle w:val="FootnoteText1"/>
      </w:pPr>
      <w:r w:rsidRPr="0066561F">
        <w:rPr>
          <w:rtl/>
        </w:rPr>
        <w:t>*</w:t>
      </w:r>
      <w:r w:rsidRPr="0066561F">
        <w:rPr>
          <w:rtl/>
        </w:rPr>
        <w:tab/>
        <w:t xml:space="preserve">اعتمدتها اللجنة في دورتها </w:t>
      </w:r>
      <w:r w:rsidRPr="0066561F">
        <w:rPr>
          <w:szCs w:val="18"/>
          <w:rtl/>
        </w:rPr>
        <w:t>129</w:t>
      </w:r>
      <w:r w:rsidRPr="0066561F">
        <w:rPr>
          <w:rtl/>
        </w:rPr>
        <w:t xml:space="preserve"> (</w:t>
      </w:r>
      <w:r w:rsidRPr="0066561F">
        <w:rPr>
          <w:szCs w:val="18"/>
          <w:rtl/>
        </w:rPr>
        <w:t>29</w:t>
      </w:r>
      <w:r w:rsidRPr="0066561F">
        <w:rPr>
          <w:rtl/>
        </w:rPr>
        <w:t xml:space="preserve"> حزيران/</w:t>
      </w:r>
      <w:proofErr w:type="gramStart"/>
      <w:r w:rsidRPr="0066561F">
        <w:rPr>
          <w:rtl/>
        </w:rPr>
        <w:t>يونيه</w:t>
      </w:r>
      <w:proofErr w:type="gramEnd"/>
      <w:r w:rsidRPr="0066561F">
        <w:rPr>
          <w:rtl/>
        </w:rPr>
        <w:t xml:space="preserve"> - </w:t>
      </w:r>
      <w:r w:rsidRPr="0066561F">
        <w:rPr>
          <w:szCs w:val="18"/>
          <w:rtl/>
        </w:rPr>
        <w:t>24</w:t>
      </w:r>
      <w:r w:rsidRPr="0066561F">
        <w:rPr>
          <w:rtl/>
        </w:rPr>
        <w:t xml:space="preserve"> تموز/يوليه </w:t>
      </w:r>
      <w:r w:rsidRPr="0066561F">
        <w:rPr>
          <w:szCs w:val="18"/>
          <w:rtl/>
        </w:rPr>
        <w:t>2020</w:t>
      </w:r>
      <w:r w:rsidRPr="0066561F">
        <w:rPr>
          <w:rtl/>
        </w:rPr>
        <w:t>).</w:t>
      </w:r>
    </w:p>
  </w:footnote>
  <w:footnote w:id="2">
    <w:p w14:paraId="71CB2165" w14:textId="00F82B35" w:rsidR="00886A73" w:rsidRPr="0066561F" w:rsidRDefault="00886A73" w:rsidP="008F657D">
      <w:pPr>
        <w:pStyle w:val="FootnoteText1"/>
      </w:pPr>
      <w:r w:rsidRPr="0066561F">
        <w:rPr>
          <w:rtl/>
        </w:rPr>
        <w:t>**</w:t>
      </w:r>
      <w:r w:rsidRPr="0066561F">
        <w:rPr>
          <w:rtl/>
        </w:rPr>
        <w:tab/>
        <w:t xml:space="preserve">شارك في دراسة هذا البلاغ أعضاء اللجنة التالية أسماؤهم: تانيا عبدو </w:t>
      </w:r>
      <w:proofErr w:type="spellStart"/>
      <w:r w:rsidRPr="0066561F">
        <w:rPr>
          <w:rtl/>
        </w:rPr>
        <w:t>روتشول</w:t>
      </w:r>
      <w:proofErr w:type="spellEnd"/>
      <w:r w:rsidRPr="0066561F">
        <w:rPr>
          <w:rtl/>
        </w:rPr>
        <w:t xml:space="preserve">، وعياض بن عاشور، وعارف بلقان، </w:t>
      </w:r>
      <w:proofErr w:type="spellStart"/>
      <w:r w:rsidRPr="0066561F">
        <w:rPr>
          <w:rtl/>
        </w:rPr>
        <w:t>وشويتشي</w:t>
      </w:r>
      <w:proofErr w:type="spellEnd"/>
      <w:r w:rsidRPr="0066561F">
        <w:rPr>
          <w:rtl/>
        </w:rPr>
        <w:t xml:space="preserve"> </w:t>
      </w:r>
      <w:proofErr w:type="spellStart"/>
      <w:r w:rsidRPr="0066561F">
        <w:rPr>
          <w:rtl/>
        </w:rPr>
        <w:t>فورويا</w:t>
      </w:r>
      <w:proofErr w:type="spellEnd"/>
      <w:r w:rsidRPr="0066561F">
        <w:rPr>
          <w:rtl/>
        </w:rPr>
        <w:t xml:space="preserve">، </w:t>
      </w:r>
      <w:proofErr w:type="spellStart"/>
      <w:r w:rsidRPr="0066561F">
        <w:rPr>
          <w:rtl/>
        </w:rPr>
        <w:t>وبامريم</w:t>
      </w:r>
      <w:proofErr w:type="spellEnd"/>
      <w:r w:rsidRPr="0066561F">
        <w:rPr>
          <w:rtl/>
        </w:rPr>
        <w:t xml:space="preserve"> كويتا، </w:t>
      </w:r>
      <w:proofErr w:type="spellStart"/>
      <w:r w:rsidRPr="0066561F">
        <w:rPr>
          <w:rtl/>
        </w:rPr>
        <w:t>ومارسيا</w:t>
      </w:r>
      <w:proofErr w:type="spellEnd"/>
      <w:r w:rsidRPr="0066561F">
        <w:rPr>
          <w:rtl/>
        </w:rPr>
        <w:t xml:space="preserve"> ف. ج. كران، </w:t>
      </w:r>
      <w:proofErr w:type="spellStart"/>
      <w:r w:rsidRPr="0066561F">
        <w:rPr>
          <w:rtl/>
        </w:rPr>
        <w:t>ودنكان</w:t>
      </w:r>
      <w:proofErr w:type="spellEnd"/>
      <w:r w:rsidRPr="0066561F">
        <w:rPr>
          <w:rtl/>
        </w:rPr>
        <w:t xml:space="preserve"> </w:t>
      </w:r>
      <w:proofErr w:type="spellStart"/>
      <w:r w:rsidRPr="0066561F">
        <w:rPr>
          <w:rtl/>
        </w:rPr>
        <w:t>لاكي</w:t>
      </w:r>
      <w:proofErr w:type="spellEnd"/>
      <w:r w:rsidRPr="0066561F">
        <w:rPr>
          <w:rtl/>
        </w:rPr>
        <w:t xml:space="preserve"> </w:t>
      </w:r>
      <w:proofErr w:type="spellStart"/>
      <w:r w:rsidRPr="0066561F">
        <w:rPr>
          <w:rtl/>
        </w:rPr>
        <w:t>موهوموزا</w:t>
      </w:r>
      <w:proofErr w:type="spellEnd"/>
      <w:r w:rsidRPr="0066561F">
        <w:rPr>
          <w:rtl/>
        </w:rPr>
        <w:t xml:space="preserve">، وفوتيني </w:t>
      </w:r>
      <w:proofErr w:type="spellStart"/>
      <w:r w:rsidRPr="0066561F">
        <w:rPr>
          <w:rtl/>
        </w:rPr>
        <w:t>بازارتزيس</w:t>
      </w:r>
      <w:proofErr w:type="spellEnd"/>
      <w:r w:rsidRPr="0066561F">
        <w:rPr>
          <w:rtl/>
        </w:rPr>
        <w:t xml:space="preserve">، </w:t>
      </w:r>
      <w:proofErr w:type="spellStart"/>
      <w:r w:rsidRPr="0066561F">
        <w:rPr>
          <w:rtl/>
        </w:rPr>
        <w:t>وإيرنان</w:t>
      </w:r>
      <w:proofErr w:type="spellEnd"/>
      <w:r w:rsidRPr="0066561F">
        <w:rPr>
          <w:rtl/>
        </w:rPr>
        <w:t xml:space="preserve"> </w:t>
      </w:r>
      <w:proofErr w:type="spellStart"/>
      <w:r w:rsidRPr="0066561F">
        <w:rPr>
          <w:rtl/>
        </w:rPr>
        <w:t>كيسادا</w:t>
      </w:r>
      <w:proofErr w:type="spellEnd"/>
      <w:r w:rsidRPr="0066561F">
        <w:rPr>
          <w:rtl/>
        </w:rPr>
        <w:t xml:space="preserve"> </w:t>
      </w:r>
      <w:proofErr w:type="spellStart"/>
      <w:r w:rsidRPr="0066561F">
        <w:rPr>
          <w:rtl/>
        </w:rPr>
        <w:t>كابريرا</w:t>
      </w:r>
      <w:proofErr w:type="spellEnd"/>
      <w:r w:rsidRPr="0066561F">
        <w:rPr>
          <w:rtl/>
        </w:rPr>
        <w:t xml:space="preserve">، </w:t>
      </w:r>
      <w:proofErr w:type="spellStart"/>
      <w:r w:rsidRPr="0066561F">
        <w:rPr>
          <w:rtl/>
        </w:rPr>
        <w:t>وفاسيلكا</w:t>
      </w:r>
      <w:proofErr w:type="spellEnd"/>
      <w:r w:rsidRPr="0066561F">
        <w:rPr>
          <w:rtl/>
        </w:rPr>
        <w:t xml:space="preserve"> </w:t>
      </w:r>
      <w:proofErr w:type="spellStart"/>
      <w:r w:rsidRPr="0066561F">
        <w:rPr>
          <w:rtl/>
        </w:rPr>
        <w:t>سانسين</w:t>
      </w:r>
      <w:proofErr w:type="spellEnd"/>
      <w:r w:rsidRPr="0066561F">
        <w:rPr>
          <w:rtl/>
        </w:rPr>
        <w:t xml:space="preserve">، وخوسيه مانويل سانتوس </w:t>
      </w:r>
      <w:proofErr w:type="spellStart"/>
      <w:r w:rsidRPr="0066561F">
        <w:rPr>
          <w:rtl/>
        </w:rPr>
        <w:t>باييس</w:t>
      </w:r>
      <w:proofErr w:type="spellEnd"/>
      <w:r w:rsidRPr="0066561F">
        <w:rPr>
          <w:rtl/>
        </w:rPr>
        <w:t xml:space="preserve">، ويوفال </w:t>
      </w:r>
      <w:proofErr w:type="spellStart"/>
      <w:r w:rsidRPr="0066561F">
        <w:rPr>
          <w:rtl/>
        </w:rPr>
        <w:t>شاني</w:t>
      </w:r>
      <w:proofErr w:type="spellEnd"/>
      <w:r w:rsidRPr="0066561F">
        <w:rPr>
          <w:rtl/>
        </w:rPr>
        <w:t xml:space="preserve">، وإيلين </w:t>
      </w:r>
      <w:proofErr w:type="spellStart"/>
      <w:r w:rsidRPr="0066561F">
        <w:rPr>
          <w:rtl/>
        </w:rPr>
        <w:t>تيغرودجا</w:t>
      </w:r>
      <w:proofErr w:type="spellEnd"/>
      <w:r w:rsidRPr="0066561F">
        <w:rPr>
          <w:rtl/>
        </w:rPr>
        <w:t xml:space="preserve">، وأندرياس </w:t>
      </w:r>
      <w:proofErr w:type="spellStart"/>
      <w:r w:rsidRPr="0066561F">
        <w:rPr>
          <w:rtl/>
        </w:rPr>
        <w:t>زيمرمان</w:t>
      </w:r>
      <w:proofErr w:type="spellEnd"/>
      <w:r w:rsidRPr="0066561F">
        <w:rPr>
          <w:rtl/>
        </w:rPr>
        <w:t xml:space="preserve">، </w:t>
      </w:r>
      <w:proofErr w:type="spellStart"/>
      <w:r w:rsidRPr="0066561F">
        <w:rPr>
          <w:rtl/>
        </w:rPr>
        <w:t>وجينتيان</w:t>
      </w:r>
      <w:proofErr w:type="spellEnd"/>
      <w:r w:rsidRPr="0066561F">
        <w:rPr>
          <w:rtl/>
        </w:rPr>
        <w:t xml:space="preserve"> </w:t>
      </w:r>
      <w:proofErr w:type="spellStart"/>
      <w:r w:rsidRPr="0066561F">
        <w:rPr>
          <w:rtl/>
        </w:rPr>
        <w:t>زيبري</w:t>
      </w:r>
      <w:proofErr w:type="spellEnd"/>
      <w:r w:rsidRPr="0066561F">
        <w:rPr>
          <w:rtl/>
        </w:rPr>
        <w:t>.</w:t>
      </w:r>
    </w:p>
  </w:footnote>
  <w:footnote w:id="3">
    <w:p w14:paraId="412A0176" w14:textId="10DA8E76"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في </w:t>
      </w:r>
      <w:r w:rsidRPr="0066561F">
        <w:rPr>
          <w:szCs w:val="18"/>
          <w:rtl/>
        </w:rPr>
        <w:t>7</w:t>
      </w:r>
      <w:r w:rsidRPr="0066561F">
        <w:rPr>
          <w:rtl/>
        </w:rPr>
        <w:t xml:space="preserve"> شباط/فبراير </w:t>
      </w:r>
      <w:r w:rsidRPr="0066561F">
        <w:rPr>
          <w:szCs w:val="18"/>
          <w:rtl/>
        </w:rPr>
        <w:t>2017</w:t>
      </w:r>
      <w:r w:rsidRPr="0066561F">
        <w:rPr>
          <w:rtl/>
        </w:rPr>
        <w:t xml:space="preserve">، طلب صاحب البلاغ تمتيعه بتدابير مؤقتة بحجة تفاقم حالة صحته العقلية بسبب نقله من منزله، حيث كان قيد الإقامة الجبرية، إلى ثكنة عسكرية. </w:t>
      </w:r>
    </w:p>
  </w:footnote>
  <w:footnote w:id="4">
    <w:p w14:paraId="42BCF6A3" w14:textId="5F271CBB" w:rsidR="00886A73" w:rsidRPr="0066561F" w:rsidRDefault="00886A73" w:rsidP="008F657D">
      <w:pPr>
        <w:pStyle w:val="FootnoteText1"/>
      </w:pPr>
      <w:r w:rsidRPr="0066561F">
        <w:rPr>
          <w:spacing w:val="2"/>
          <w:rtl/>
        </w:rPr>
        <w:t>(</w:t>
      </w:r>
      <w:r w:rsidRPr="0066561F">
        <w:rPr>
          <w:rStyle w:val="FootnoteReference"/>
          <w:rFonts w:ascii="Times New Roman" w:hAnsi="Times New Roman" w:cs="Times New Roman" w:hint="eastAsia"/>
          <w:b w:val="0"/>
          <w:spacing w:val="2"/>
          <w:vertAlign w:val="baseline"/>
        </w:rPr>
        <w:footnoteRef/>
      </w:r>
      <w:r w:rsidRPr="0066561F">
        <w:rPr>
          <w:spacing w:val="2"/>
          <w:rtl/>
        </w:rPr>
        <w:t>)</w:t>
      </w:r>
      <w:r w:rsidRPr="0066561F">
        <w:rPr>
          <w:spacing w:val="2"/>
          <w:rtl/>
        </w:rPr>
        <w:tab/>
      </w:r>
      <w:r w:rsidRPr="0066561F">
        <w:rPr>
          <w:spacing w:val="-2"/>
          <w:rtl/>
        </w:rPr>
        <w:t xml:space="preserve">في </w:t>
      </w:r>
      <w:r w:rsidRPr="0066561F">
        <w:rPr>
          <w:spacing w:val="-2"/>
          <w:szCs w:val="18"/>
          <w:rtl/>
        </w:rPr>
        <w:t>13</w:t>
      </w:r>
      <w:r w:rsidRPr="0066561F">
        <w:rPr>
          <w:spacing w:val="-2"/>
          <w:rtl/>
        </w:rPr>
        <w:t xml:space="preserve"> شباط/فبراير </w:t>
      </w:r>
      <w:r w:rsidRPr="0066561F">
        <w:rPr>
          <w:spacing w:val="-2"/>
          <w:szCs w:val="18"/>
          <w:rtl/>
        </w:rPr>
        <w:t>2017</w:t>
      </w:r>
      <w:r w:rsidRPr="0066561F">
        <w:rPr>
          <w:spacing w:val="-2"/>
          <w:rtl/>
        </w:rPr>
        <w:t>، طلبت الدولة الطرف إلغاء التدابير المتخذة، وقدم صاحب البلاغ تعليقاته، ولكنها</w:t>
      </w:r>
      <w:r w:rsidRPr="0066561F">
        <w:rPr>
          <w:spacing w:val="2"/>
          <w:rtl/>
        </w:rPr>
        <w:t xml:space="preserve"> لم</w:t>
      </w:r>
      <w:r w:rsidRPr="0066561F">
        <w:rPr>
          <w:rFonts w:hint="cs"/>
          <w:spacing w:val="2"/>
          <w:rtl/>
        </w:rPr>
        <w:t> </w:t>
      </w:r>
      <w:r w:rsidRPr="0066561F">
        <w:rPr>
          <w:spacing w:val="2"/>
          <w:rtl/>
        </w:rPr>
        <w:t xml:space="preserve">تُحل إلى الدولة الطرف، ولم يُتخذ قرار بشأن إلغاء أو عدم إلغاء التدابير المؤقتة. وأُفرج عن صاحب البلاغ في عام </w:t>
      </w:r>
      <w:r w:rsidRPr="0066561F">
        <w:rPr>
          <w:spacing w:val="2"/>
          <w:szCs w:val="18"/>
          <w:rtl/>
        </w:rPr>
        <w:t>2018</w:t>
      </w:r>
      <w:r w:rsidRPr="0066561F">
        <w:rPr>
          <w:spacing w:val="2"/>
          <w:rtl/>
        </w:rPr>
        <w:t xml:space="preserve">. </w:t>
      </w:r>
    </w:p>
  </w:footnote>
  <w:footnote w:id="5">
    <w:p w14:paraId="5E395CA4" w14:textId="44B2D357"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rFonts w:hint="cs"/>
          <w:rtl/>
        </w:rPr>
        <w:t xml:space="preserve">انظر </w:t>
      </w:r>
      <w:hyperlink r:id="rId1" w:history="1">
        <w:r w:rsidRPr="0066561F">
          <w:rPr>
            <w:rStyle w:val="Hyperlink"/>
            <w:u w:val="none"/>
          </w:rPr>
          <w:t>www.camara.gov.co/sites/default/files/</w:t>
        </w:r>
        <w:r w:rsidRPr="0066561F">
          <w:rPr>
            <w:rStyle w:val="Hyperlink"/>
            <w:szCs w:val="18"/>
            <w:u w:val="none"/>
          </w:rPr>
          <w:t>2017</w:t>
        </w:r>
        <w:r w:rsidRPr="0066561F">
          <w:rPr>
            <w:rStyle w:val="Hyperlink"/>
            <w:u w:val="none"/>
          </w:rPr>
          <w:t>-</w:t>
        </w:r>
        <w:r w:rsidRPr="0066561F">
          <w:rPr>
            <w:rStyle w:val="Hyperlink"/>
            <w:szCs w:val="18"/>
            <w:u w:val="none"/>
          </w:rPr>
          <w:t>11</w:t>
        </w:r>
        <w:r w:rsidRPr="0066561F">
          <w:rPr>
            <w:rStyle w:val="Hyperlink"/>
            <w:u w:val="none"/>
          </w:rPr>
          <w:t>/</w:t>
        </w:r>
        <w:r w:rsidRPr="0066561F">
          <w:rPr>
            <w:rStyle w:val="Hyperlink"/>
            <w:szCs w:val="18"/>
            <w:u w:val="none"/>
          </w:rPr>
          <w:t>042</w:t>
        </w:r>
        <w:r w:rsidRPr="0066561F">
          <w:rPr>
            <w:rStyle w:val="Hyperlink"/>
            <w:u w:val="none"/>
          </w:rPr>
          <w:t>%</w:t>
        </w:r>
        <w:r w:rsidRPr="0066561F">
          <w:rPr>
            <w:rStyle w:val="Hyperlink"/>
            <w:szCs w:val="18"/>
            <w:u w:val="none"/>
          </w:rPr>
          <w:t>20</w:t>
        </w:r>
        <w:r w:rsidRPr="0066561F">
          <w:rPr>
            <w:rStyle w:val="Hyperlink"/>
            <w:u w:val="none"/>
          </w:rPr>
          <w:t>REELECCION%</w:t>
        </w:r>
        <w:r w:rsidRPr="0066561F">
          <w:rPr>
            <w:rStyle w:val="Hyperlink"/>
            <w:szCs w:val="18"/>
            <w:u w:val="none"/>
          </w:rPr>
          <w:t>20</w:t>
        </w:r>
        <w:r w:rsidRPr="0066561F">
          <w:rPr>
            <w:rStyle w:val="Hyperlink"/>
            <w:u w:val="none"/>
          </w:rPr>
          <w:t>PRESIDENCIAL</w:t>
        </w:r>
        <w:r w:rsidRPr="0066561F">
          <w:rPr>
            <w:rStyle w:val="Hyperlink"/>
            <w:u w:val="none"/>
          </w:rPr>
          <w:br/>
          <w:t>%</w:t>
        </w:r>
        <w:r w:rsidRPr="0066561F">
          <w:rPr>
            <w:rStyle w:val="Hyperlink"/>
            <w:szCs w:val="18"/>
            <w:u w:val="none"/>
          </w:rPr>
          <w:t>20</w:t>
        </w:r>
        <w:r w:rsidRPr="0066561F">
          <w:rPr>
            <w:rStyle w:val="Hyperlink"/>
            <w:u w:val="none"/>
          </w:rPr>
          <w:t>INMEDIATA.pdf</w:t>
        </w:r>
      </w:hyperlink>
      <w:r w:rsidRPr="0066561F">
        <w:rPr>
          <w:rFonts w:hint="cs"/>
          <w:rtl/>
        </w:rPr>
        <w:t>.</w:t>
      </w:r>
      <w:r w:rsidRPr="0066561F">
        <w:rPr>
          <w:rtl/>
        </w:rPr>
        <w:t xml:space="preserve"> </w:t>
      </w:r>
    </w:p>
  </w:footnote>
  <w:footnote w:id="6">
    <w:p w14:paraId="5ED686A5" w14:textId="5F7A6492"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تعمل محكمة العدل العليا بوصفها القاضي الطبيعي بالنسبة لموظفي الكونغرس المتمتعين بالحصانة، ويعمل المدعي</w:t>
      </w:r>
      <w:r w:rsidRPr="0066561F">
        <w:rPr>
          <w:rtl/>
        </w:rPr>
        <w:t xml:space="preserve"> العام بوصفه القاضي الطبيعي بالنسبة لموظفي السلطة التنفيذية. </w:t>
      </w:r>
    </w:p>
  </w:footnote>
  <w:footnote w:id="7">
    <w:p w14:paraId="010756D4" w14:textId="6669B2CB" w:rsidR="00886A73" w:rsidRPr="0066561F" w:rsidRDefault="00886A73" w:rsidP="008F657D">
      <w:pPr>
        <w:pStyle w:val="FootnoteText1"/>
      </w:pPr>
      <w:r w:rsidRPr="0066561F">
        <w:rPr>
          <w:spacing w:val="4"/>
          <w:rtl/>
        </w:rPr>
        <w:t>(</w:t>
      </w:r>
      <w:r w:rsidRPr="0066561F">
        <w:rPr>
          <w:rStyle w:val="FootnoteReference"/>
          <w:rFonts w:ascii="Times New Roman" w:hAnsi="Times New Roman" w:cs="Times New Roman" w:hint="eastAsia"/>
          <w:b w:val="0"/>
          <w:spacing w:val="4"/>
          <w:vertAlign w:val="baseline"/>
        </w:rPr>
        <w:footnoteRef/>
      </w:r>
      <w:r w:rsidRPr="0066561F">
        <w:rPr>
          <w:spacing w:val="4"/>
          <w:rtl/>
        </w:rPr>
        <w:t>)</w:t>
      </w:r>
      <w:r w:rsidRPr="0066561F">
        <w:rPr>
          <w:spacing w:val="4"/>
          <w:rtl/>
        </w:rPr>
        <w:tab/>
        <w:t xml:space="preserve">شاركت السيدة مدينا بادِيَّا في مناقشات اللجنة الأولى لمجلس النواب بشأن مشروع الإصلاح الدستوري الذي استحدث مبدأ إعادة انتخاب رئيس الجمهورية وسمح للرئيس </w:t>
      </w:r>
      <w:proofErr w:type="spellStart"/>
      <w:r w:rsidRPr="0066561F">
        <w:rPr>
          <w:spacing w:val="4"/>
          <w:rtl/>
        </w:rPr>
        <w:t>أوريبي</w:t>
      </w:r>
      <w:proofErr w:type="spellEnd"/>
      <w:r w:rsidRPr="0066561F">
        <w:rPr>
          <w:spacing w:val="4"/>
          <w:rtl/>
        </w:rPr>
        <w:t xml:space="preserve"> بالسعي إلى ولاية ثانية؛ وكان صوتها حاسماً. </w:t>
      </w:r>
    </w:p>
  </w:footnote>
  <w:footnote w:id="8">
    <w:p w14:paraId="65F3FB27" w14:textId="418361D2"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محكمة العدل العليا، القرار المؤرخ </w:t>
      </w:r>
      <w:r w:rsidRPr="0066561F">
        <w:rPr>
          <w:szCs w:val="18"/>
          <w:rtl/>
        </w:rPr>
        <w:t>23</w:t>
      </w:r>
      <w:r w:rsidRPr="0066561F">
        <w:rPr>
          <w:rtl/>
        </w:rPr>
        <w:t xml:space="preserve"> شباط/فبراير </w:t>
      </w:r>
      <w:r w:rsidRPr="0066561F">
        <w:rPr>
          <w:szCs w:val="18"/>
          <w:rtl/>
        </w:rPr>
        <w:t>2005</w:t>
      </w:r>
      <w:r w:rsidRPr="0066561F">
        <w:rPr>
          <w:rtl/>
        </w:rPr>
        <w:t xml:space="preserve">: "إن الاجتماعات المستمرة التي عقدتها المعنية مع مختلف الفرق البرلمانية أو المعلومات التي قدمتها بشأن مختلف خطط وبرامج الحكومة الوطنية - بما فيها برنامج الاستثمار الاجتماعي - تندرج في إطار النشاط السياسي المتصل بوظيفتها، ولا يوجد دليل على أن هذه الوقائع حدثت أو كان يمكن أن تحدث خارج نطاق القانون أو على نحو مخالف له". </w:t>
      </w:r>
    </w:p>
  </w:footnote>
  <w:footnote w:id="9">
    <w:p w14:paraId="0B976245" w14:textId="657EDBC5"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صحيفة</w:t>
      </w:r>
      <w:r w:rsidRPr="0066561F">
        <w:rPr>
          <w:rFonts w:hint="cs"/>
          <w:spacing w:val="-4"/>
          <w:rtl/>
        </w:rPr>
        <w:t xml:space="preserve"> </w:t>
      </w:r>
      <w:r w:rsidRPr="0066561F">
        <w:rPr>
          <w:rFonts w:ascii="Traditional Arabic" w:hAnsi="Traditional Arabic"/>
          <w:spacing w:val="-4"/>
          <w:sz w:val="20"/>
          <w:szCs w:val="20"/>
        </w:rPr>
        <w:t>”</w:t>
      </w:r>
      <w:r w:rsidRPr="0066561F">
        <w:rPr>
          <w:spacing w:val="-4"/>
          <w:sz w:val="2"/>
          <w:szCs w:val="2"/>
          <w:rtl/>
        </w:rPr>
        <w:t xml:space="preserve"> </w:t>
      </w:r>
      <w:r w:rsidRPr="0066561F">
        <w:rPr>
          <w:i/>
          <w:iCs/>
          <w:spacing w:val="-4"/>
        </w:rPr>
        <w:t xml:space="preserve">El </w:t>
      </w:r>
      <w:proofErr w:type="spellStart"/>
      <w:r w:rsidRPr="0066561F">
        <w:rPr>
          <w:i/>
          <w:iCs/>
          <w:spacing w:val="-4"/>
        </w:rPr>
        <w:t>Espectador</w:t>
      </w:r>
      <w:proofErr w:type="spellEnd"/>
      <w:r w:rsidRPr="0066561F">
        <w:rPr>
          <w:spacing w:val="-4"/>
          <w:sz w:val="20"/>
          <w:szCs w:val="20"/>
          <w:rtl/>
        </w:rPr>
        <w:t>“</w:t>
      </w:r>
      <w:r w:rsidRPr="0066561F">
        <w:rPr>
          <w:spacing w:val="-4"/>
          <w:rtl/>
        </w:rPr>
        <w:t xml:space="preserve">، </w:t>
      </w:r>
      <w:r w:rsidRPr="0066561F">
        <w:rPr>
          <w:spacing w:val="-4"/>
          <w:szCs w:val="18"/>
          <w:rtl/>
        </w:rPr>
        <w:t>28</w:t>
      </w:r>
      <w:r w:rsidRPr="0066561F">
        <w:rPr>
          <w:spacing w:val="-4"/>
          <w:rtl/>
        </w:rPr>
        <w:t xml:space="preserve"> آذار/مارس </w:t>
      </w:r>
      <w:r w:rsidRPr="0066561F">
        <w:rPr>
          <w:spacing w:val="-4"/>
          <w:szCs w:val="18"/>
          <w:rtl/>
        </w:rPr>
        <w:t>2008</w:t>
      </w:r>
      <w:r w:rsidRPr="0066561F">
        <w:rPr>
          <w:spacing w:val="-4"/>
          <w:rtl/>
        </w:rPr>
        <w:t xml:space="preserve">، المقال المعنون </w:t>
      </w:r>
      <w:r w:rsidRPr="0066561F">
        <w:rPr>
          <w:rFonts w:ascii="Traditional Arabic" w:hAnsi="Traditional Arabic"/>
          <w:spacing w:val="-4"/>
          <w:sz w:val="20"/>
          <w:szCs w:val="20"/>
        </w:rPr>
        <w:t>“</w:t>
      </w:r>
      <w:proofErr w:type="spellStart"/>
      <w:r w:rsidRPr="0066561F">
        <w:rPr>
          <w:spacing w:val="-4"/>
        </w:rPr>
        <w:t>Votar</w:t>
      </w:r>
      <w:proofErr w:type="spellEnd"/>
      <w:r w:rsidRPr="0066561F">
        <w:rPr>
          <w:spacing w:val="-4"/>
        </w:rPr>
        <w:t xml:space="preserve"> la </w:t>
      </w:r>
      <w:proofErr w:type="spellStart"/>
      <w:r w:rsidRPr="0066561F">
        <w:rPr>
          <w:spacing w:val="-4"/>
        </w:rPr>
        <w:t>reelección</w:t>
      </w:r>
      <w:proofErr w:type="spellEnd"/>
      <w:r w:rsidRPr="0066561F">
        <w:rPr>
          <w:spacing w:val="-4"/>
        </w:rPr>
        <w:t xml:space="preserve"> me </w:t>
      </w:r>
      <w:proofErr w:type="spellStart"/>
      <w:r w:rsidRPr="0066561F">
        <w:rPr>
          <w:spacing w:val="-4"/>
        </w:rPr>
        <w:t>mató</w:t>
      </w:r>
      <w:proofErr w:type="spellEnd"/>
      <w:r w:rsidRPr="0066561F">
        <w:rPr>
          <w:rFonts w:ascii="Traditional Arabic" w:hAnsi="Traditional Arabic"/>
          <w:spacing w:val="-4"/>
          <w:sz w:val="20"/>
          <w:szCs w:val="20"/>
        </w:rPr>
        <w:t>”</w:t>
      </w:r>
      <w:r w:rsidRPr="0066561F">
        <w:rPr>
          <w:spacing w:val="-4"/>
          <w:sz w:val="28"/>
          <w:szCs w:val="28"/>
          <w:rtl/>
        </w:rPr>
        <w:t>،</w:t>
      </w:r>
      <w:r w:rsidRPr="0066561F">
        <w:rPr>
          <w:spacing w:val="-4"/>
          <w:rtl/>
        </w:rPr>
        <w:t xml:space="preserve"> متاح في: </w:t>
      </w:r>
      <w:hyperlink r:id="rId2" w:history="1">
        <w:r w:rsidRPr="0066561F">
          <w:rPr>
            <w:rStyle w:val="Hyperlink"/>
            <w:spacing w:val="-6"/>
            <w:u w:val="none"/>
          </w:rPr>
          <w:t>www.elespectador.com/noticias/politica/votar-reeleccion-me-mato-entrevista-genero-el-proceso-d-articulo-</w:t>
        </w:r>
        <w:r w:rsidRPr="0066561F">
          <w:rPr>
            <w:rStyle w:val="Hyperlink"/>
            <w:spacing w:val="-6"/>
            <w:szCs w:val="18"/>
            <w:u w:val="none"/>
          </w:rPr>
          <w:t>555314</w:t>
        </w:r>
      </w:hyperlink>
      <w:r w:rsidRPr="0066561F">
        <w:rPr>
          <w:spacing w:val="-4"/>
          <w:rtl/>
        </w:rPr>
        <w:t>؛ وصحيفة</w:t>
      </w:r>
      <w:r w:rsidRPr="0066561F">
        <w:rPr>
          <w:rFonts w:hint="cs"/>
          <w:rtl/>
        </w:rPr>
        <w:t xml:space="preserve"> </w:t>
      </w:r>
      <w:r w:rsidRPr="0066561F">
        <w:rPr>
          <w:rFonts w:ascii="Traditional Arabic" w:hAnsi="Traditional Arabic"/>
          <w:sz w:val="20"/>
          <w:szCs w:val="20"/>
        </w:rPr>
        <w:t>“</w:t>
      </w:r>
      <w:r w:rsidRPr="0066561F">
        <w:t xml:space="preserve">y </w:t>
      </w:r>
      <w:proofErr w:type="spellStart"/>
      <w:r w:rsidRPr="0066561F">
        <w:rPr>
          <w:i/>
          <w:iCs/>
        </w:rPr>
        <w:t>Semana</w:t>
      </w:r>
      <w:proofErr w:type="spellEnd"/>
      <w:r w:rsidRPr="0066561F">
        <w:rPr>
          <w:rFonts w:ascii="Traditional Arabic" w:hAnsi="Traditional Arabic"/>
          <w:sz w:val="20"/>
          <w:szCs w:val="20"/>
        </w:rPr>
        <w:t>”</w:t>
      </w:r>
      <w:r w:rsidRPr="0066561F">
        <w:rPr>
          <w:rtl/>
        </w:rPr>
        <w:t xml:space="preserve">، </w:t>
      </w:r>
      <w:r w:rsidRPr="0066561F">
        <w:rPr>
          <w:szCs w:val="18"/>
          <w:rtl/>
        </w:rPr>
        <w:t>5</w:t>
      </w:r>
      <w:r w:rsidRPr="0066561F">
        <w:rPr>
          <w:rtl/>
        </w:rPr>
        <w:t xml:space="preserve"> نيسان/أبريل </w:t>
      </w:r>
      <w:r w:rsidRPr="0066561F">
        <w:rPr>
          <w:szCs w:val="18"/>
          <w:rtl/>
        </w:rPr>
        <w:t>2008</w:t>
      </w:r>
      <w:r w:rsidRPr="0066561F">
        <w:rPr>
          <w:rtl/>
        </w:rPr>
        <w:t xml:space="preserve">، المقال المعنون </w:t>
      </w:r>
      <w:r w:rsidRPr="0066561F">
        <w:rPr>
          <w:rFonts w:ascii="Traditional Arabic" w:hAnsi="Traditional Arabic"/>
          <w:sz w:val="20"/>
          <w:szCs w:val="20"/>
        </w:rPr>
        <w:t>”</w:t>
      </w:r>
      <w:r w:rsidRPr="0066561F">
        <w:t xml:space="preserve">La </w:t>
      </w:r>
      <w:proofErr w:type="spellStart"/>
      <w:r w:rsidRPr="0066561F">
        <w:t>historia</w:t>
      </w:r>
      <w:proofErr w:type="spellEnd"/>
      <w:r w:rsidRPr="0066561F">
        <w:t xml:space="preserve"> no </w:t>
      </w:r>
      <w:proofErr w:type="spellStart"/>
      <w:r w:rsidRPr="0066561F">
        <w:t>contada</w:t>
      </w:r>
      <w:proofErr w:type="spellEnd"/>
      <w:r w:rsidRPr="0066561F">
        <w:rPr>
          <w:rFonts w:ascii="Traditional Arabic" w:hAnsi="Traditional Arabic"/>
          <w:sz w:val="20"/>
          <w:szCs w:val="20"/>
        </w:rPr>
        <w:t>“</w:t>
      </w:r>
      <w:r w:rsidRPr="0066561F">
        <w:rPr>
          <w:rtl/>
        </w:rPr>
        <w:t xml:space="preserve">، متاح في: </w:t>
      </w:r>
      <w:hyperlink r:id="rId3" w:history="1">
        <w:r w:rsidRPr="0066561F">
          <w:rPr>
            <w:rStyle w:val="Hyperlink"/>
            <w:u w:val="none"/>
          </w:rPr>
          <w:t>www.semana.com/opinion/articulo/la-historia-no-contada/</w:t>
        </w:r>
        <w:r w:rsidRPr="0066561F">
          <w:rPr>
            <w:rStyle w:val="Hyperlink"/>
            <w:szCs w:val="18"/>
            <w:u w:val="none"/>
          </w:rPr>
          <w:t>91968</w:t>
        </w:r>
        <w:r w:rsidRPr="0066561F">
          <w:rPr>
            <w:rStyle w:val="Hyperlink"/>
            <w:u w:val="none"/>
          </w:rPr>
          <w:t>-</w:t>
        </w:r>
        <w:r w:rsidRPr="0066561F">
          <w:rPr>
            <w:rStyle w:val="Hyperlink"/>
            <w:szCs w:val="18"/>
            <w:u w:val="none"/>
          </w:rPr>
          <w:t>3</w:t>
        </w:r>
      </w:hyperlink>
      <w:r w:rsidRPr="0066561F">
        <w:rPr>
          <w:rtl/>
        </w:rPr>
        <w:t xml:space="preserve">. </w:t>
      </w:r>
    </w:p>
  </w:footnote>
  <w:footnote w:id="10">
    <w:p w14:paraId="34332406" w14:textId="5CCF950F"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القرار رقم </w:t>
      </w:r>
      <w:r w:rsidRPr="0066561F">
        <w:rPr>
          <w:szCs w:val="18"/>
          <w:rtl/>
        </w:rPr>
        <w:t>173</w:t>
      </w:r>
      <w:r w:rsidRPr="0066561F">
        <w:rPr>
          <w:rtl/>
        </w:rPr>
        <w:t xml:space="preserve">، الحكم المستعجل الصادر في إطار القضية المباشَرة ضد السيدة مدينا بادِيَّا، التي قبلت، بصفتها ممثلة سابقة في مجلس النواب، تهمة تلقي الرشوة الموجهة إليها. ورأت المحكمة الدستورية، في الحكم رقم </w:t>
      </w:r>
      <w:r w:rsidRPr="0066561F">
        <w:t xml:space="preserve">SU </w:t>
      </w:r>
      <w:r w:rsidRPr="0066561F">
        <w:rPr>
          <w:szCs w:val="18"/>
        </w:rPr>
        <w:t>1300</w:t>
      </w:r>
      <w:r w:rsidRPr="0066561F">
        <w:rPr>
          <w:rtl/>
        </w:rPr>
        <w:t xml:space="preserve"> المؤرخ </w:t>
      </w:r>
      <w:r w:rsidRPr="0066561F">
        <w:rPr>
          <w:szCs w:val="18"/>
          <w:rtl/>
        </w:rPr>
        <w:t>6</w:t>
      </w:r>
      <w:r w:rsidRPr="0066561F">
        <w:rPr>
          <w:rtl/>
        </w:rPr>
        <w:t xml:space="preserve"> كانون الأول/ديسمبر </w:t>
      </w:r>
      <w:r w:rsidRPr="0066561F">
        <w:rPr>
          <w:szCs w:val="18"/>
          <w:rtl/>
        </w:rPr>
        <w:t>2001</w:t>
      </w:r>
      <w:r w:rsidRPr="0066561F">
        <w:rPr>
          <w:rtl/>
        </w:rPr>
        <w:t xml:space="preserve">، أن قبول التهم يشكل اعترافاً صِرفاً، يترتب عليه تنازل الطرفين، حيث تتنازل الدولة عن ممارسة صلاحيات التحقيق المخولة لها، في حين يتنازل المتهم عن استنفاد الإجراءات المعتادة للقضية، وكذلك عن الاعتراض على لائحة الاتهام والأدلة التي تستند إليها. </w:t>
      </w:r>
    </w:p>
  </w:footnote>
  <w:footnote w:id="11">
    <w:p w14:paraId="36C843D3" w14:textId="3DB419B2"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يتضمن هذا الحكم تحليلاً لشهادات السيدة مدينا بادِيَّا وشهود آخرين، ينسبون فيها المسؤولية عن جريمة الرشوة إلى صاحب البلاغ. ويشير صاحب البلاغ إلى أنه حُرم من إمكانية الدفاع عن نفسه والاعتراض على الأدلة في تلك القضية؛ غير أن نص الحكم الصادر في حق السيدة مدينا بادِيَّا لا يتضمن أي تقييم لسلوك صاحب البلاغ ولا يشير إلى مسؤوليته عن الأفعال المرتكبة. </w:t>
      </w:r>
    </w:p>
  </w:footnote>
  <w:footnote w:id="12">
    <w:p w14:paraId="55ACB5E6" w14:textId="120EC8F8"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القرار رقم </w:t>
      </w:r>
      <w:r w:rsidRPr="0066561F">
        <w:rPr>
          <w:szCs w:val="18"/>
          <w:rtl/>
        </w:rPr>
        <w:t>002</w:t>
      </w:r>
      <w:r w:rsidRPr="0066561F">
        <w:rPr>
          <w:rtl/>
        </w:rPr>
        <w:t>-</w:t>
      </w:r>
      <w:r w:rsidRPr="0066561F">
        <w:rPr>
          <w:szCs w:val="18"/>
          <w:rtl/>
        </w:rPr>
        <w:t>173076</w:t>
      </w:r>
      <w:r w:rsidRPr="0066561F">
        <w:rPr>
          <w:rtl/>
        </w:rPr>
        <w:t>-</w:t>
      </w:r>
      <w:r w:rsidRPr="0066561F">
        <w:rPr>
          <w:szCs w:val="18"/>
          <w:rtl/>
        </w:rPr>
        <w:t>08</w:t>
      </w:r>
      <w:r w:rsidRPr="0066561F">
        <w:rPr>
          <w:rtl/>
        </w:rPr>
        <w:t xml:space="preserve"> الصادر عن مكتب المدعي العام في </w:t>
      </w:r>
      <w:r w:rsidRPr="0066561F">
        <w:rPr>
          <w:szCs w:val="18"/>
          <w:rtl/>
        </w:rPr>
        <w:t>16</w:t>
      </w:r>
      <w:r w:rsidRPr="0066561F">
        <w:rPr>
          <w:rtl/>
        </w:rPr>
        <w:t xml:space="preserve"> آذار/مارس </w:t>
      </w:r>
      <w:r w:rsidRPr="0066561F">
        <w:rPr>
          <w:szCs w:val="18"/>
          <w:rtl/>
        </w:rPr>
        <w:t>2009</w:t>
      </w:r>
      <w:r w:rsidRPr="0066561F">
        <w:rPr>
          <w:rtl/>
        </w:rPr>
        <w:t xml:space="preserve">. </w:t>
      </w:r>
    </w:p>
  </w:footnote>
  <w:footnote w:id="13">
    <w:p w14:paraId="286CAFB0" w14:textId="7DAE09B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 xml:space="preserve">أُسندت مهمة النظر في القضية إلى </w:t>
      </w:r>
      <w:proofErr w:type="spellStart"/>
      <w:r w:rsidRPr="0066561F">
        <w:rPr>
          <w:spacing w:val="-4"/>
          <w:rtl/>
        </w:rPr>
        <w:t>غييرمو</w:t>
      </w:r>
      <w:proofErr w:type="spellEnd"/>
      <w:r w:rsidRPr="0066561F">
        <w:rPr>
          <w:spacing w:val="-4"/>
          <w:rtl/>
        </w:rPr>
        <w:t xml:space="preserve"> </w:t>
      </w:r>
      <w:proofErr w:type="spellStart"/>
      <w:r w:rsidRPr="0066561F">
        <w:rPr>
          <w:spacing w:val="-4"/>
          <w:rtl/>
        </w:rPr>
        <w:t>ميندوثا</w:t>
      </w:r>
      <w:proofErr w:type="spellEnd"/>
      <w:r w:rsidRPr="0066561F">
        <w:rPr>
          <w:spacing w:val="-4"/>
          <w:rtl/>
        </w:rPr>
        <w:t xml:space="preserve"> دياغو، نائب المدعي العام، بعد قبول المانع الذي قدمه المدعي العام آنذاك، ماريو </w:t>
      </w:r>
      <w:proofErr w:type="spellStart"/>
      <w:r w:rsidRPr="0066561F">
        <w:rPr>
          <w:spacing w:val="-4"/>
          <w:rtl/>
        </w:rPr>
        <w:t>إيغواران</w:t>
      </w:r>
      <w:proofErr w:type="spellEnd"/>
      <w:r w:rsidRPr="0066561F">
        <w:rPr>
          <w:spacing w:val="-4"/>
          <w:rtl/>
        </w:rPr>
        <w:t xml:space="preserve"> أرانا، الذي كان نائب وزير العدل عندما كان أحد المتهمين (</w:t>
      </w:r>
      <w:proofErr w:type="spellStart"/>
      <w:r w:rsidRPr="0066561F">
        <w:rPr>
          <w:spacing w:val="-4"/>
          <w:rtl/>
        </w:rPr>
        <w:t>ساباس</w:t>
      </w:r>
      <w:proofErr w:type="spellEnd"/>
      <w:r w:rsidRPr="0066561F">
        <w:rPr>
          <w:spacing w:val="-4"/>
          <w:rtl/>
        </w:rPr>
        <w:t xml:space="preserve"> </w:t>
      </w:r>
      <w:proofErr w:type="spellStart"/>
      <w:r w:rsidRPr="0066561F">
        <w:rPr>
          <w:spacing w:val="-4"/>
          <w:rtl/>
        </w:rPr>
        <w:t>بريتيلت</w:t>
      </w:r>
      <w:proofErr w:type="spellEnd"/>
      <w:r w:rsidRPr="0066561F">
        <w:rPr>
          <w:spacing w:val="-4"/>
          <w:rtl/>
        </w:rPr>
        <w:t xml:space="preserve"> دي لا بيغا)</w:t>
      </w:r>
      <w:r w:rsidRPr="0066561F">
        <w:rPr>
          <w:rtl/>
        </w:rPr>
        <w:t xml:space="preserve"> يشغل منصب وزير العدل. ولدى تقييم الأدلة، كان السيد </w:t>
      </w:r>
      <w:proofErr w:type="spellStart"/>
      <w:r w:rsidRPr="0066561F">
        <w:rPr>
          <w:rtl/>
        </w:rPr>
        <w:t>ميندوثا</w:t>
      </w:r>
      <w:proofErr w:type="spellEnd"/>
      <w:r w:rsidRPr="0066561F">
        <w:rPr>
          <w:rtl/>
        </w:rPr>
        <w:t xml:space="preserve"> دياغو يمارس مهام </w:t>
      </w:r>
      <w:r w:rsidRPr="0066561F">
        <w:rPr>
          <w:spacing w:val="-4"/>
          <w:rtl/>
        </w:rPr>
        <w:t xml:space="preserve">المدعي العام المكلف، وكان فيرناندو </w:t>
      </w:r>
      <w:proofErr w:type="spellStart"/>
      <w:r w:rsidRPr="0066561F">
        <w:rPr>
          <w:spacing w:val="-4"/>
          <w:rtl/>
        </w:rPr>
        <w:t>باريخا</w:t>
      </w:r>
      <w:proofErr w:type="spellEnd"/>
      <w:r w:rsidRPr="0066561F">
        <w:rPr>
          <w:spacing w:val="-4"/>
          <w:rtl/>
        </w:rPr>
        <w:t xml:space="preserve"> يشغل منصب نائب المدعي العام، الذي أقر، في </w:t>
      </w:r>
      <w:r w:rsidRPr="0066561F">
        <w:rPr>
          <w:spacing w:val="-4"/>
          <w:szCs w:val="18"/>
          <w:rtl/>
        </w:rPr>
        <w:t>13</w:t>
      </w:r>
      <w:r w:rsidRPr="0066561F">
        <w:rPr>
          <w:spacing w:val="-4"/>
          <w:rtl/>
        </w:rPr>
        <w:t xml:space="preserve"> أيار/مايو </w:t>
      </w:r>
      <w:r w:rsidRPr="0066561F">
        <w:rPr>
          <w:spacing w:val="-4"/>
          <w:szCs w:val="18"/>
          <w:rtl/>
        </w:rPr>
        <w:t>2010</w:t>
      </w:r>
      <w:r w:rsidRPr="0066561F">
        <w:rPr>
          <w:spacing w:val="-4"/>
          <w:rtl/>
        </w:rPr>
        <w:t>،</w:t>
      </w:r>
      <w:r w:rsidRPr="0066561F">
        <w:rPr>
          <w:rtl/>
        </w:rPr>
        <w:t xml:space="preserve"> بوجود أدلة إثبات كافية وأصدر قرار الاتهام. </w:t>
      </w:r>
    </w:p>
  </w:footnote>
  <w:footnote w:id="14">
    <w:p w14:paraId="6C8F6DA3" w14:textId="6F80EA3F"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في </w:t>
      </w:r>
      <w:r w:rsidRPr="0066561F">
        <w:rPr>
          <w:szCs w:val="18"/>
          <w:rtl/>
        </w:rPr>
        <w:t>22</w:t>
      </w:r>
      <w:r w:rsidRPr="0066561F">
        <w:rPr>
          <w:rtl/>
        </w:rPr>
        <w:t xml:space="preserve"> تموز/يوليه </w:t>
      </w:r>
      <w:r w:rsidRPr="0066561F">
        <w:rPr>
          <w:szCs w:val="18"/>
          <w:rtl/>
        </w:rPr>
        <w:t>2008</w:t>
      </w:r>
      <w:r w:rsidRPr="0066561F">
        <w:rPr>
          <w:rtl/>
        </w:rPr>
        <w:t xml:space="preserve">، قدم أحد كبار المسؤولين المعنيين إلى محكمة العدل العليا دعوى لطلب الحماية الدستورية، حيث اعتبر أن الحكم الصادر في حق السيدة مدينا بادِيَّا ينتهك حقوقه في "حماية السمعة والشرف، وفي قرينة البراءة، وفي المساواة"؛ وفي اليوم ذاته، رفضت محكمة العدل العليا الدعوى، فقدم إلى المجلس الفرعي </w:t>
      </w:r>
      <w:r w:rsidRPr="0066561F">
        <w:rPr>
          <w:spacing w:val="-4"/>
          <w:rtl/>
        </w:rPr>
        <w:t xml:space="preserve">للقضاء في </w:t>
      </w:r>
      <w:proofErr w:type="spellStart"/>
      <w:r w:rsidRPr="0066561F">
        <w:rPr>
          <w:spacing w:val="-4"/>
          <w:rtl/>
        </w:rPr>
        <w:t>كونديناماركا</w:t>
      </w:r>
      <w:proofErr w:type="spellEnd"/>
      <w:r w:rsidRPr="0066561F">
        <w:rPr>
          <w:spacing w:val="-4"/>
          <w:rtl/>
        </w:rPr>
        <w:t xml:space="preserve"> طعناً في قرار محكمة العدل العليا، رُفض بدوره. وطعن صاحب البلاغ في القرار وأُحيلت</w:t>
      </w:r>
      <w:r w:rsidRPr="0066561F">
        <w:rPr>
          <w:rtl/>
        </w:rPr>
        <w:t xml:space="preserve"> الدعوى إلى المجلس الأعلى للقضاء الذي منحه الحماية الدستورية، بموجب الحكم الصادر في </w:t>
      </w:r>
      <w:r w:rsidRPr="0066561F">
        <w:rPr>
          <w:szCs w:val="18"/>
          <w:rtl/>
        </w:rPr>
        <w:t>2</w:t>
      </w:r>
      <w:r w:rsidRPr="0066561F">
        <w:rPr>
          <w:rtl/>
        </w:rPr>
        <w:t xml:space="preserve"> تشرين الأول/</w:t>
      </w:r>
      <w:r w:rsidRPr="0066561F">
        <w:rPr>
          <w:rFonts w:hint="cs"/>
          <w:rtl/>
        </w:rPr>
        <w:t xml:space="preserve"> </w:t>
      </w:r>
      <w:r w:rsidRPr="0066561F">
        <w:rPr>
          <w:rtl/>
        </w:rPr>
        <w:t xml:space="preserve">أكتوبر </w:t>
      </w:r>
      <w:r w:rsidRPr="0066561F">
        <w:rPr>
          <w:szCs w:val="18"/>
          <w:rtl/>
        </w:rPr>
        <w:t>2008</w:t>
      </w:r>
      <w:r w:rsidRPr="0066561F">
        <w:rPr>
          <w:rtl/>
        </w:rPr>
        <w:t xml:space="preserve">. وأُسندت مهمة النظر في القضية إلى نائب المدعي العام، بعد قبول المانع الذي ساقه المدعي العام آنذاك. </w:t>
      </w:r>
    </w:p>
  </w:footnote>
  <w:footnote w:id="15">
    <w:p w14:paraId="3B04D1A8" w14:textId="734ADDD5"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 xml:space="preserve">ينص حكم محكمة العدل العليا </w:t>
      </w:r>
      <w:r w:rsidRPr="0066561F">
        <w:rPr>
          <w:spacing w:val="-4"/>
        </w:rPr>
        <w:t>SP</w:t>
      </w:r>
      <w:r w:rsidRPr="0066561F">
        <w:rPr>
          <w:spacing w:val="-4"/>
          <w:szCs w:val="18"/>
        </w:rPr>
        <w:t>4250</w:t>
      </w:r>
      <w:r w:rsidRPr="0066561F">
        <w:rPr>
          <w:spacing w:val="-4"/>
        </w:rPr>
        <w:t>-</w:t>
      </w:r>
      <w:r w:rsidRPr="0066561F">
        <w:rPr>
          <w:spacing w:val="-4"/>
          <w:szCs w:val="18"/>
        </w:rPr>
        <w:t>2015</w:t>
      </w:r>
      <w:r w:rsidRPr="0066561F">
        <w:rPr>
          <w:spacing w:val="-4"/>
          <w:rtl/>
        </w:rPr>
        <w:t xml:space="preserve"> على ما يلي: "بعد جمع إفادات بعض الشهود وأدلة وثائقية شتى، </w:t>
      </w:r>
      <w:r w:rsidRPr="0066561F">
        <w:rPr>
          <w:rtl/>
        </w:rPr>
        <w:t xml:space="preserve">قرر نائب المدعي العام، في </w:t>
      </w:r>
      <w:r w:rsidRPr="0066561F">
        <w:rPr>
          <w:szCs w:val="18"/>
          <w:rtl/>
        </w:rPr>
        <w:t>8</w:t>
      </w:r>
      <w:r w:rsidRPr="0066561F">
        <w:rPr>
          <w:rtl/>
        </w:rPr>
        <w:t xml:space="preserve"> تشرين الثاني/نوفمبر </w:t>
      </w:r>
      <w:r w:rsidRPr="0066561F">
        <w:rPr>
          <w:szCs w:val="18"/>
          <w:rtl/>
        </w:rPr>
        <w:t>2010</w:t>
      </w:r>
      <w:r w:rsidRPr="0066561F">
        <w:rPr>
          <w:rtl/>
        </w:rPr>
        <w:t xml:space="preserve">، إغلاق ملف التحقيق المتعلق بهؤلاء المتهمين الثلاثة" (الصفحة </w:t>
      </w:r>
      <w:r w:rsidRPr="0066561F">
        <w:rPr>
          <w:szCs w:val="18"/>
          <w:rtl/>
        </w:rPr>
        <w:t>13</w:t>
      </w:r>
      <w:r w:rsidRPr="0066561F">
        <w:rPr>
          <w:rtl/>
        </w:rPr>
        <w:t xml:space="preserve">). </w:t>
      </w:r>
    </w:p>
  </w:footnote>
  <w:footnote w:id="16">
    <w:p w14:paraId="3ED24388" w14:textId="2A56E7B0"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خوان كارلوس </w:t>
      </w:r>
      <w:proofErr w:type="spellStart"/>
      <w:r w:rsidRPr="0066561F">
        <w:rPr>
          <w:rtl/>
        </w:rPr>
        <w:t>فوريرو</w:t>
      </w:r>
      <w:proofErr w:type="spellEnd"/>
      <w:r w:rsidRPr="0066561F">
        <w:rPr>
          <w:rtl/>
        </w:rPr>
        <w:t xml:space="preserve"> </w:t>
      </w:r>
      <w:proofErr w:type="spellStart"/>
      <w:r w:rsidRPr="0066561F">
        <w:rPr>
          <w:rtl/>
        </w:rPr>
        <w:t>راميريث</w:t>
      </w:r>
      <w:proofErr w:type="spellEnd"/>
      <w:r w:rsidRPr="0066561F">
        <w:rPr>
          <w:rtl/>
        </w:rPr>
        <w:t xml:space="preserve">، نائب المدعية العامة، </w:t>
      </w:r>
      <w:proofErr w:type="spellStart"/>
      <w:r w:rsidRPr="0066561F">
        <w:rPr>
          <w:rtl/>
        </w:rPr>
        <w:t>بيبيان</w:t>
      </w:r>
      <w:proofErr w:type="spellEnd"/>
      <w:r w:rsidRPr="0066561F">
        <w:rPr>
          <w:rtl/>
        </w:rPr>
        <w:t xml:space="preserve"> موراليس. </w:t>
      </w:r>
    </w:p>
  </w:footnote>
  <w:footnote w:id="17">
    <w:p w14:paraId="2A4D75C8" w14:textId="1A311C2B"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أفاد نائب المدعي العام آنذاك بأنه أصدر رأياً مهنياً بشأن هذه القضية وجازف بمصداقيته، مما أثر على مبدأ </w:t>
      </w:r>
      <w:r w:rsidRPr="0066561F">
        <w:rPr>
          <w:spacing w:val="-2"/>
          <w:rtl/>
        </w:rPr>
        <w:t>النزاهة الذي ينبغي أن يحكم عمله بوصفه هيئة تحقيق. انظر أيضاً قرار دائرة النقض الجنائية بمحكمة العدل العليا</w:t>
      </w:r>
      <w:r w:rsidRPr="0066561F">
        <w:rPr>
          <w:rtl/>
        </w:rPr>
        <w:t xml:space="preserve"> رقم </w:t>
      </w:r>
      <w:r w:rsidRPr="0066561F">
        <w:rPr>
          <w:szCs w:val="18"/>
          <w:rtl/>
        </w:rPr>
        <w:t>268</w:t>
      </w:r>
      <w:r w:rsidRPr="0066561F">
        <w:rPr>
          <w:rtl/>
        </w:rPr>
        <w:t xml:space="preserve">، المؤرخ </w:t>
      </w:r>
      <w:r w:rsidRPr="0066561F">
        <w:rPr>
          <w:szCs w:val="18"/>
          <w:rtl/>
        </w:rPr>
        <w:t>29</w:t>
      </w:r>
      <w:r w:rsidRPr="0066561F">
        <w:rPr>
          <w:rtl/>
        </w:rPr>
        <w:t xml:space="preserve"> تموز/يوليه </w:t>
      </w:r>
      <w:r w:rsidRPr="0066561F">
        <w:rPr>
          <w:szCs w:val="18"/>
          <w:rtl/>
        </w:rPr>
        <w:t>2011</w:t>
      </w:r>
      <w:r w:rsidRPr="0066561F">
        <w:rPr>
          <w:rtl/>
        </w:rPr>
        <w:t xml:space="preserve">. </w:t>
      </w:r>
    </w:p>
  </w:footnote>
  <w:footnote w:id="18">
    <w:p w14:paraId="3C7767FF" w14:textId="66430340"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أُسس هذا القرار هي بالأساس تلك التي عرضتها الدائرة الجنائية بمحكمة العدل العليا خلال جلسة الاستماع التمهيدية المعقودة في </w:t>
      </w:r>
      <w:r w:rsidRPr="0066561F">
        <w:rPr>
          <w:szCs w:val="18"/>
          <w:rtl/>
        </w:rPr>
        <w:t>29</w:t>
      </w:r>
      <w:r w:rsidRPr="0066561F">
        <w:rPr>
          <w:rtl/>
        </w:rPr>
        <w:t xml:space="preserve"> تموز/يوليه </w:t>
      </w:r>
      <w:r w:rsidRPr="0066561F">
        <w:rPr>
          <w:szCs w:val="18"/>
          <w:rtl/>
        </w:rPr>
        <w:t>2011</w:t>
      </w:r>
      <w:r w:rsidRPr="0066561F">
        <w:rPr>
          <w:rtl/>
        </w:rPr>
        <w:t xml:space="preserve">، المتعلقة بأحد كبار المسؤولين الملاحقين، وهو </w:t>
      </w:r>
      <w:proofErr w:type="spellStart"/>
      <w:r w:rsidRPr="0066561F">
        <w:rPr>
          <w:rtl/>
        </w:rPr>
        <w:t>ساباس</w:t>
      </w:r>
      <w:proofErr w:type="spellEnd"/>
      <w:r w:rsidRPr="0066561F">
        <w:rPr>
          <w:rtl/>
        </w:rPr>
        <w:t xml:space="preserve"> </w:t>
      </w:r>
      <w:proofErr w:type="spellStart"/>
      <w:r w:rsidRPr="0066561F">
        <w:rPr>
          <w:rtl/>
        </w:rPr>
        <w:t>بريتيلت</w:t>
      </w:r>
      <w:proofErr w:type="spellEnd"/>
      <w:r w:rsidRPr="0066561F">
        <w:rPr>
          <w:rtl/>
        </w:rPr>
        <w:t xml:space="preserve"> دي لا بيغا. وقد أصدرت محكمة العدل العليا قراراً ببطلان الإجراءات المنجزة منذ صدور قرار اتهام السيد </w:t>
      </w:r>
      <w:proofErr w:type="spellStart"/>
      <w:r w:rsidRPr="0066561F">
        <w:rPr>
          <w:rtl/>
        </w:rPr>
        <w:t>بريتيلت</w:t>
      </w:r>
      <w:proofErr w:type="spellEnd"/>
      <w:r w:rsidRPr="0066561F">
        <w:rPr>
          <w:rtl/>
        </w:rPr>
        <w:t xml:space="preserve"> دي لا بيغا، لعدم اختصاص نائب المدعي العام آنذاك، على أساس انتفاء الأسباب التي استدعت حينها إسناد الاختصاص إليه، بعد أن تولى منصب المدعي العام شخصٌ لا توجد موانع تحول دون أداء مهمته. </w:t>
      </w:r>
    </w:p>
  </w:footnote>
  <w:footnote w:id="19">
    <w:p w14:paraId="1D80C63E" w14:textId="5DAED8D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القانون التشريعي رقم </w:t>
      </w:r>
      <w:r w:rsidRPr="0066561F">
        <w:rPr>
          <w:szCs w:val="18"/>
          <w:rtl/>
        </w:rPr>
        <w:t>06</w:t>
      </w:r>
      <w:r w:rsidRPr="0066561F">
        <w:rPr>
          <w:rtl/>
        </w:rPr>
        <w:t xml:space="preserve"> المؤرخ </w:t>
      </w:r>
      <w:r w:rsidRPr="0066561F">
        <w:rPr>
          <w:szCs w:val="18"/>
          <w:rtl/>
        </w:rPr>
        <w:t>24</w:t>
      </w:r>
      <w:r w:rsidRPr="0066561F">
        <w:rPr>
          <w:rtl/>
        </w:rPr>
        <w:t xml:space="preserve"> تشرين الثاني/نوفمبر </w:t>
      </w:r>
      <w:r w:rsidRPr="0066561F">
        <w:rPr>
          <w:szCs w:val="18"/>
          <w:rtl/>
        </w:rPr>
        <w:t>2011</w:t>
      </w:r>
      <w:r w:rsidRPr="0066561F">
        <w:rPr>
          <w:rtl/>
        </w:rPr>
        <w:t xml:space="preserve">، الذي عدّل المادتين </w:t>
      </w:r>
      <w:r w:rsidRPr="0066561F">
        <w:rPr>
          <w:szCs w:val="18"/>
          <w:rtl/>
        </w:rPr>
        <w:t>251</w:t>
      </w:r>
      <w:r w:rsidRPr="0066561F">
        <w:rPr>
          <w:rtl/>
        </w:rPr>
        <w:t xml:space="preserve"> و</w:t>
      </w:r>
      <w:r w:rsidRPr="0066561F">
        <w:rPr>
          <w:szCs w:val="18"/>
          <w:rtl/>
        </w:rPr>
        <w:t>235</w:t>
      </w:r>
      <w:r w:rsidRPr="0066561F">
        <w:rPr>
          <w:rtl/>
        </w:rPr>
        <w:t xml:space="preserve"> من الميثاق </w:t>
      </w:r>
      <w:r w:rsidRPr="0066561F">
        <w:rPr>
          <w:spacing w:val="-2"/>
          <w:rtl/>
        </w:rPr>
        <w:t>السياسي، حيث خول للمدعي العام صلاحية تفويض مهمتي التحقيق وإعداد لائحة الاتهام فيما يتعلق بالموظفين</w:t>
      </w:r>
      <w:r w:rsidRPr="0066561F">
        <w:rPr>
          <w:rtl/>
        </w:rPr>
        <w:t xml:space="preserve"> المتمتعين بالحصانة الدستورية الخاضعين لدائرة اختصاصه إلى نائب المدعي العام والمدعين المفوضين لدى محكمة العدل العليا. </w:t>
      </w:r>
    </w:p>
  </w:footnote>
  <w:footnote w:id="20">
    <w:p w14:paraId="387581A1" w14:textId="070CE979"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المادة </w:t>
      </w:r>
      <w:r w:rsidRPr="0066561F">
        <w:rPr>
          <w:szCs w:val="18"/>
          <w:rtl/>
        </w:rPr>
        <w:t>58</w:t>
      </w:r>
      <w:r w:rsidRPr="0066561F">
        <w:rPr>
          <w:rtl/>
        </w:rPr>
        <w:t>-</w:t>
      </w:r>
      <w:r w:rsidRPr="0066561F">
        <w:rPr>
          <w:szCs w:val="18"/>
          <w:rtl/>
        </w:rPr>
        <w:t>9</w:t>
      </w:r>
      <w:r w:rsidRPr="0066561F">
        <w:rPr>
          <w:rtl/>
        </w:rPr>
        <w:t xml:space="preserve"> من قانون العقوبات. </w:t>
      </w:r>
    </w:p>
  </w:footnote>
  <w:footnote w:id="21">
    <w:p w14:paraId="44E4B7F7" w14:textId="49DF9BFA"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المادة </w:t>
      </w:r>
      <w:r w:rsidR="00D7596A" w:rsidRPr="0066561F">
        <w:rPr>
          <w:szCs w:val="18"/>
          <w:rtl/>
        </w:rPr>
        <w:t>58</w:t>
      </w:r>
      <w:r w:rsidR="00D7596A" w:rsidRPr="0066561F">
        <w:rPr>
          <w:rtl/>
        </w:rPr>
        <w:t>-</w:t>
      </w:r>
      <w:r w:rsidR="00D7596A" w:rsidRPr="0066561F">
        <w:rPr>
          <w:szCs w:val="18"/>
          <w:rtl/>
        </w:rPr>
        <w:t>10</w:t>
      </w:r>
      <w:r w:rsidR="00D7596A" w:rsidRPr="0066561F">
        <w:rPr>
          <w:rtl/>
        </w:rPr>
        <w:t xml:space="preserve"> </w:t>
      </w:r>
      <w:r w:rsidRPr="0066561F">
        <w:rPr>
          <w:rtl/>
        </w:rPr>
        <w:t xml:space="preserve">من قانون العقوبات. </w:t>
      </w:r>
    </w:p>
  </w:footnote>
  <w:footnote w:id="22">
    <w:p w14:paraId="3C77FB28" w14:textId="1787A55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المادة </w:t>
      </w:r>
      <w:r w:rsidR="00D7596A" w:rsidRPr="0066561F">
        <w:rPr>
          <w:szCs w:val="18"/>
          <w:rtl/>
        </w:rPr>
        <w:t>55</w:t>
      </w:r>
      <w:r w:rsidR="00D7596A" w:rsidRPr="0066561F">
        <w:rPr>
          <w:rtl/>
        </w:rPr>
        <w:t>-</w:t>
      </w:r>
      <w:proofErr w:type="gramStart"/>
      <w:r w:rsidR="00D7596A" w:rsidRPr="0066561F">
        <w:rPr>
          <w:szCs w:val="18"/>
          <w:rtl/>
        </w:rPr>
        <w:t>1</w:t>
      </w:r>
      <w:r w:rsidR="00D7596A" w:rsidRPr="0066561F">
        <w:rPr>
          <w:rtl/>
        </w:rPr>
        <w:t xml:space="preserve"> </w:t>
      </w:r>
      <w:r w:rsidR="00D7596A" w:rsidRPr="0066561F">
        <w:rPr>
          <w:rFonts w:hint="cs"/>
          <w:rtl/>
        </w:rPr>
        <w:t xml:space="preserve"> </w:t>
      </w:r>
      <w:r w:rsidRPr="0066561F">
        <w:rPr>
          <w:rtl/>
        </w:rPr>
        <w:t>من</w:t>
      </w:r>
      <w:proofErr w:type="gramEnd"/>
      <w:r w:rsidRPr="0066561F">
        <w:rPr>
          <w:rtl/>
        </w:rPr>
        <w:t xml:space="preserve"> قانون العقوبات. </w:t>
      </w:r>
    </w:p>
  </w:footnote>
  <w:footnote w:id="23">
    <w:p w14:paraId="77676CB1" w14:textId="5EE5F706"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طلب مكتب المدعي العام، بدوره، إعلان بطلان قرار الاتهام، "على أساس أن القانون التشريعي </w:t>
      </w:r>
      <w:r w:rsidRPr="0066561F">
        <w:rPr>
          <w:szCs w:val="18"/>
          <w:rtl/>
        </w:rPr>
        <w:t>06</w:t>
      </w:r>
      <w:r w:rsidRPr="0066561F">
        <w:rPr>
          <w:rtl/>
        </w:rPr>
        <w:t xml:space="preserve"> لعام </w:t>
      </w:r>
      <w:r w:rsidRPr="0066561F">
        <w:rPr>
          <w:szCs w:val="18"/>
          <w:rtl/>
        </w:rPr>
        <w:t>2011</w:t>
      </w:r>
      <w:r w:rsidRPr="0066561F">
        <w:rPr>
          <w:rtl/>
        </w:rPr>
        <w:t xml:space="preserve"> لا يسري إلا على القرارات التي تلت سَنَّه، بحيث ينطوي تطبيقه بأثر رجعي على عدم احترام مبدأ القاضي </w:t>
      </w:r>
      <w:r w:rsidRPr="0066561F">
        <w:rPr>
          <w:spacing w:val="-2"/>
          <w:rtl/>
        </w:rPr>
        <w:t>الطبيعي، الذي يتمثل حصراً فيما نص عليه القانون من قبل". وخلصت محكمة العدل العليا إلى أن النيابة العامة</w:t>
      </w:r>
      <w:r w:rsidRPr="0066561F">
        <w:rPr>
          <w:rtl/>
        </w:rPr>
        <w:t xml:space="preserve"> </w:t>
      </w:r>
      <w:r w:rsidRPr="0066561F">
        <w:rPr>
          <w:spacing w:val="-2"/>
          <w:rtl/>
        </w:rPr>
        <w:t xml:space="preserve">لا تملك صلاحية النظر في طلب البطلان المقدم. السجل رقم </w:t>
      </w:r>
      <w:r w:rsidRPr="0066561F">
        <w:rPr>
          <w:spacing w:val="-2"/>
          <w:szCs w:val="18"/>
          <w:rtl/>
        </w:rPr>
        <w:t>118</w:t>
      </w:r>
      <w:r w:rsidRPr="0066561F">
        <w:rPr>
          <w:spacing w:val="-2"/>
          <w:rtl/>
        </w:rPr>
        <w:t xml:space="preserve">، الحكم الابتدائي والنهائي رقم </w:t>
      </w:r>
      <w:r w:rsidRPr="0066561F">
        <w:rPr>
          <w:spacing w:val="-2"/>
          <w:szCs w:val="18"/>
          <w:rtl/>
        </w:rPr>
        <w:t>39156</w:t>
      </w:r>
      <w:r w:rsidRPr="0066561F">
        <w:rPr>
          <w:spacing w:val="-2"/>
          <w:rtl/>
        </w:rPr>
        <w:t xml:space="preserve"> الصادر</w:t>
      </w:r>
      <w:r w:rsidRPr="0066561F">
        <w:rPr>
          <w:rtl/>
        </w:rPr>
        <w:t xml:space="preserve"> عن محكمة العدل العليا، في </w:t>
      </w:r>
      <w:r w:rsidRPr="0066561F">
        <w:rPr>
          <w:szCs w:val="18"/>
          <w:rtl/>
        </w:rPr>
        <w:t>19</w:t>
      </w:r>
      <w:r w:rsidRPr="0066561F">
        <w:rPr>
          <w:rtl/>
        </w:rPr>
        <w:t xml:space="preserve"> نيسان/أبريل </w:t>
      </w:r>
      <w:r w:rsidRPr="0066561F">
        <w:rPr>
          <w:szCs w:val="18"/>
          <w:rtl/>
        </w:rPr>
        <w:t>2013</w:t>
      </w:r>
      <w:r w:rsidRPr="0066561F">
        <w:rPr>
          <w:rtl/>
        </w:rPr>
        <w:t xml:space="preserve">. </w:t>
      </w:r>
    </w:p>
  </w:footnote>
  <w:footnote w:id="24">
    <w:p w14:paraId="069ACC26" w14:textId="0E88CE7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دييغو </w:t>
      </w:r>
      <w:proofErr w:type="spellStart"/>
      <w:r w:rsidRPr="0066561F">
        <w:rPr>
          <w:rtl/>
        </w:rPr>
        <w:t>بالاثيوس</w:t>
      </w:r>
      <w:proofErr w:type="spellEnd"/>
      <w:r w:rsidRPr="0066561F">
        <w:rPr>
          <w:rtl/>
        </w:rPr>
        <w:t xml:space="preserve"> </w:t>
      </w:r>
      <w:proofErr w:type="spellStart"/>
      <w:r w:rsidRPr="0066561F">
        <w:rPr>
          <w:rtl/>
        </w:rPr>
        <w:t>بيتانكورت</w:t>
      </w:r>
      <w:proofErr w:type="spellEnd"/>
      <w:r w:rsidRPr="0066561F">
        <w:rPr>
          <w:rtl/>
        </w:rPr>
        <w:t xml:space="preserve"> </w:t>
      </w:r>
      <w:proofErr w:type="spellStart"/>
      <w:r w:rsidRPr="0066561F">
        <w:rPr>
          <w:rtl/>
        </w:rPr>
        <w:t>وساباس</w:t>
      </w:r>
      <w:proofErr w:type="spellEnd"/>
      <w:r w:rsidRPr="0066561F">
        <w:rPr>
          <w:rtl/>
        </w:rPr>
        <w:t xml:space="preserve"> </w:t>
      </w:r>
      <w:proofErr w:type="spellStart"/>
      <w:r w:rsidRPr="0066561F">
        <w:rPr>
          <w:rtl/>
        </w:rPr>
        <w:t>بريتيلت</w:t>
      </w:r>
      <w:proofErr w:type="spellEnd"/>
      <w:r w:rsidRPr="0066561F">
        <w:rPr>
          <w:rtl/>
        </w:rPr>
        <w:t xml:space="preserve"> دي لا بيغا. </w:t>
      </w:r>
    </w:p>
  </w:footnote>
  <w:footnote w:id="25">
    <w:p w14:paraId="6843E55C" w14:textId="2F6A26EA"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رأت محكمة العدل العليا أن ثمة بالضرورة صلة بين الأفعال المنسوبة إلى كل واحد من المتهمين: "بالطبع ليست تهمة ارتكاب جريمة الرشوة موجهةً إلى جميع المتهمين، ولكنهم، على العكس من ذلك، يتحملون المسؤولية فردياً عن أفعال مختلفة بشكل واضح، ولكن ذلك لا يعني أن الأمر يتعلق بقضايا معزولة، لأن لائحة الاتهام تستند بالتحديد إلى سياق تاريخي محدد، يُزعم أن كل واحد منهم اضطلع فيه بدور معين بهدف تحقيق الغاية </w:t>
      </w:r>
      <w:r w:rsidRPr="0066561F">
        <w:rPr>
          <w:spacing w:val="-4"/>
          <w:rtl/>
        </w:rPr>
        <w:t>ذاتها داخل الحكومة القائمة آنذاك، أي موافقة الكونغرس، خلال المناقشة النهائية، على مشروع القانون التشريعي</w:t>
      </w:r>
      <w:r w:rsidRPr="0066561F">
        <w:rPr>
          <w:rtl/>
        </w:rPr>
        <w:t xml:space="preserve"> الذي أتاح إمكانية إعادة انتخاب رئيس الجمهورية". السجل رقم </w:t>
      </w:r>
      <w:r w:rsidRPr="0066561F">
        <w:rPr>
          <w:szCs w:val="18"/>
          <w:rtl/>
        </w:rPr>
        <w:t>118</w:t>
      </w:r>
      <w:r w:rsidRPr="0066561F">
        <w:rPr>
          <w:rtl/>
        </w:rPr>
        <w:t xml:space="preserve">، الحكم الابتدائي والنهائي رقم </w:t>
      </w:r>
      <w:r w:rsidRPr="0066561F">
        <w:rPr>
          <w:szCs w:val="18"/>
          <w:rtl/>
        </w:rPr>
        <w:t>39156</w:t>
      </w:r>
      <w:r w:rsidRPr="0066561F">
        <w:rPr>
          <w:rtl/>
        </w:rPr>
        <w:t xml:space="preserve"> الصادر عن محكمة العدل العليا، في </w:t>
      </w:r>
      <w:r w:rsidRPr="0066561F">
        <w:rPr>
          <w:szCs w:val="18"/>
          <w:rtl/>
        </w:rPr>
        <w:t>19</w:t>
      </w:r>
      <w:r w:rsidRPr="0066561F">
        <w:rPr>
          <w:rtl/>
        </w:rPr>
        <w:t xml:space="preserve"> نيسان/أبريل </w:t>
      </w:r>
      <w:r w:rsidRPr="0066561F">
        <w:rPr>
          <w:szCs w:val="18"/>
          <w:rtl/>
        </w:rPr>
        <w:t>2013</w:t>
      </w:r>
      <w:r w:rsidRPr="0066561F">
        <w:rPr>
          <w:rtl/>
        </w:rPr>
        <w:t xml:space="preserve">، الصفحة </w:t>
      </w:r>
      <w:r w:rsidRPr="0066561F">
        <w:rPr>
          <w:szCs w:val="18"/>
          <w:rtl/>
        </w:rPr>
        <w:t>48</w:t>
      </w:r>
      <w:r w:rsidRPr="0066561F">
        <w:rPr>
          <w:rtl/>
        </w:rPr>
        <w:t xml:space="preserve">. </w:t>
      </w:r>
    </w:p>
  </w:footnote>
  <w:footnote w:id="26">
    <w:p w14:paraId="6C0ADC1A" w14:textId="65A0AA76"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2"/>
          <w:rtl/>
        </w:rPr>
        <w:t>فيما يتعلق بمسألة التفويض، رأت محكمة العدل العليا في حججها ما يلي: "رغم أن التفويض - لأسباب أساسية</w:t>
      </w:r>
      <w:r w:rsidRPr="0066561F">
        <w:rPr>
          <w:rtl/>
        </w:rPr>
        <w:t xml:space="preserve"> وواضحة - يعني أن المدعي العام لا ينظر في القضية بشكل مباشر، فإن هذه الحالة، في حد ذاتها، لا تنطوي </w:t>
      </w:r>
      <w:r w:rsidRPr="0066561F">
        <w:rPr>
          <w:spacing w:val="-2"/>
          <w:rtl/>
        </w:rPr>
        <w:t>على عدم احترام مبدأ القاضي الطبيعي، لأن هذه المهمة تبقى منوطة بالرئيس الأعلى لهيئة التحقيق، وهو بالتالي</w:t>
      </w:r>
      <w:r w:rsidRPr="0066561F">
        <w:rPr>
          <w:rtl/>
        </w:rPr>
        <w:t xml:space="preserve"> من يتولى مسؤولية منح التفويض ويحتفظ بسلطة المراقبة واتخاذ القرار بشأن المهمة المفوَّضة، ويجوز له استئناف ممارستها في أي وقت". (القرار الصادر بشأن طلب إعادة النظر، في </w:t>
      </w:r>
      <w:r w:rsidRPr="0066561F">
        <w:rPr>
          <w:szCs w:val="18"/>
          <w:rtl/>
        </w:rPr>
        <w:t>19</w:t>
      </w:r>
      <w:r w:rsidRPr="0066561F">
        <w:rPr>
          <w:rtl/>
        </w:rPr>
        <w:t xml:space="preserve"> نيسان/أبريل </w:t>
      </w:r>
      <w:r w:rsidRPr="0066561F">
        <w:rPr>
          <w:szCs w:val="18"/>
          <w:rtl/>
        </w:rPr>
        <w:t>2013</w:t>
      </w:r>
      <w:r w:rsidRPr="0066561F">
        <w:rPr>
          <w:rtl/>
        </w:rPr>
        <w:t xml:space="preserve">، الصفحة </w:t>
      </w:r>
      <w:r w:rsidRPr="0066561F">
        <w:rPr>
          <w:szCs w:val="18"/>
          <w:rtl/>
        </w:rPr>
        <w:t>25</w:t>
      </w:r>
      <w:r w:rsidRPr="0066561F">
        <w:rPr>
          <w:rtl/>
        </w:rPr>
        <w:t xml:space="preserve">). </w:t>
      </w:r>
    </w:p>
  </w:footnote>
  <w:footnote w:id="27">
    <w:p w14:paraId="155E4724" w14:textId="07C1AA57"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المحكمة الدستورية، الحكم </w:t>
      </w:r>
      <w:r w:rsidRPr="0066561F">
        <w:t>SU-</w:t>
      </w:r>
      <w:r w:rsidRPr="0066561F">
        <w:rPr>
          <w:szCs w:val="18"/>
        </w:rPr>
        <w:t>279</w:t>
      </w:r>
      <w:r w:rsidRPr="0066561F">
        <w:rPr>
          <w:rtl/>
        </w:rPr>
        <w:t xml:space="preserve"> المؤرخ </w:t>
      </w:r>
      <w:r w:rsidRPr="0066561F">
        <w:rPr>
          <w:szCs w:val="18"/>
          <w:rtl/>
        </w:rPr>
        <w:t>21</w:t>
      </w:r>
      <w:r w:rsidRPr="0066561F">
        <w:rPr>
          <w:rtl/>
        </w:rPr>
        <w:t xml:space="preserve"> أيار/مايو </w:t>
      </w:r>
      <w:r w:rsidRPr="0066561F">
        <w:rPr>
          <w:szCs w:val="18"/>
          <w:rtl/>
        </w:rPr>
        <w:t>2015</w:t>
      </w:r>
      <w:r w:rsidRPr="0066561F">
        <w:rPr>
          <w:rtl/>
        </w:rPr>
        <w:t xml:space="preserve">. </w:t>
      </w:r>
    </w:p>
  </w:footnote>
  <w:footnote w:id="28">
    <w:p w14:paraId="1442052C" w14:textId="712796C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المحكمة الدستورية، الحكم </w:t>
      </w:r>
      <w:r w:rsidRPr="0066561F">
        <w:t>SU</w:t>
      </w:r>
      <w:r w:rsidRPr="0066561F">
        <w:rPr>
          <w:szCs w:val="18"/>
        </w:rPr>
        <w:t>297</w:t>
      </w:r>
      <w:r w:rsidRPr="0066561F">
        <w:t>/</w:t>
      </w:r>
      <w:r w:rsidRPr="0066561F">
        <w:rPr>
          <w:szCs w:val="18"/>
        </w:rPr>
        <w:t>15</w:t>
      </w:r>
      <w:r w:rsidRPr="0066561F">
        <w:rPr>
          <w:rtl/>
        </w:rPr>
        <w:t xml:space="preserve"> المؤرخ </w:t>
      </w:r>
      <w:r w:rsidRPr="0066561F">
        <w:rPr>
          <w:szCs w:val="18"/>
          <w:rtl/>
        </w:rPr>
        <w:t>21</w:t>
      </w:r>
      <w:r w:rsidRPr="0066561F">
        <w:rPr>
          <w:rtl/>
        </w:rPr>
        <w:t xml:space="preserve"> أيار/مايو </w:t>
      </w:r>
      <w:r w:rsidRPr="0066561F">
        <w:rPr>
          <w:szCs w:val="18"/>
          <w:rtl/>
        </w:rPr>
        <w:t>2015</w:t>
      </w:r>
      <w:r w:rsidRPr="0066561F">
        <w:rPr>
          <w:rtl/>
        </w:rPr>
        <w:t xml:space="preserve">. </w:t>
      </w:r>
    </w:p>
  </w:footnote>
  <w:footnote w:id="29">
    <w:p w14:paraId="71A4F578" w14:textId="30F8133B"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تنص المادة </w:t>
      </w:r>
      <w:r w:rsidRPr="0066561F">
        <w:rPr>
          <w:szCs w:val="18"/>
          <w:rtl/>
        </w:rPr>
        <w:t>235</w:t>
      </w:r>
      <w:r w:rsidRPr="0066561F">
        <w:rPr>
          <w:rtl/>
        </w:rPr>
        <w:t>-</w:t>
      </w:r>
      <w:r w:rsidRPr="0066561F">
        <w:rPr>
          <w:szCs w:val="18"/>
          <w:rtl/>
        </w:rPr>
        <w:t>4</w:t>
      </w:r>
      <w:r w:rsidRPr="0066561F">
        <w:rPr>
          <w:rtl/>
        </w:rPr>
        <w:t xml:space="preserve"> من الدستور على ما يلي: "تتمثل صلاحيات محكمة العدل العليا في محاكمة [...] الوزراء عمَّا قد يُنسب إليهم من أفعال موجبة للعقاب"، ويتمتع صاحب البلاغ بدوره بالحصانة الدستورية. وعلاوة </w:t>
      </w:r>
      <w:r w:rsidRPr="0066561F">
        <w:rPr>
          <w:spacing w:val="-4"/>
          <w:rtl/>
        </w:rPr>
        <w:t xml:space="preserve">على ذلك، ينص قانون الإجراءات الجنائية (القانون </w:t>
      </w:r>
      <w:r w:rsidRPr="0066561F">
        <w:rPr>
          <w:spacing w:val="-4"/>
          <w:szCs w:val="18"/>
          <w:rtl/>
        </w:rPr>
        <w:t>906</w:t>
      </w:r>
      <w:r w:rsidRPr="0066561F">
        <w:rPr>
          <w:spacing w:val="-4"/>
          <w:rtl/>
        </w:rPr>
        <w:t xml:space="preserve"> لعام </w:t>
      </w:r>
      <w:r w:rsidRPr="0066561F">
        <w:rPr>
          <w:spacing w:val="-4"/>
          <w:szCs w:val="18"/>
          <w:rtl/>
        </w:rPr>
        <w:t>2004</w:t>
      </w:r>
      <w:r w:rsidRPr="0066561F">
        <w:rPr>
          <w:spacing w:val="-4"/>
          <w:rtl/>
        </w:rPr>
        <w:t xml:space="preserve">) في المادة </w:t>
      </w:r>
      <w:r w:rsidRPr="0066561F">
        <w:rPr>
          <w:spacing w:val="-4"/>
          <w:szCs w:val="18"/>
          <w:rtl/>
        </w:rPr>
        <w:t>32</w:t>
      </w:r>
      <w:r w:rsidRPr="0066561F">
        <w:rPr>
          <w:spacing w:val="-4"/>
          <w:rtl/>
        </w:rPr>
        <w:t>-</w:t>
      </w:r>
      <w:r w:rsidRPr="0066561F">
        <w:rPr>
          <w:spacing w:val="-4"/>
          <w:szCs w:val="18"/>
          <w:rtl/>
        </w:rPr>
        <w:t>6</w:t>
      </w:r>
      <w:r w:rsidRPr="0066561F">
        <w:rPr>
          <w:spacing w:val="-4"/>
          <w:rtl/>
        </w:rPr>
        <w:t xml:space="preserve"> منه على أن "دائرة النقض الجنائية بمحكمة العدل العليا مختصة بما يلي: [...] محاكمة الموظفين المشار إليهم في المادة </w:t>
      </w:r>
      <w:r w:rsidRPr="0066561F">
        <w:rPr>
          <w:spacing w:val="-4"/>
          <w:szCs w:val="18"/>
          <w:rtl/>
        </w:rPr>
        <w:t>235</w:t>
      </w:r>
      <w:r w:rsidRPr="0066561F">
        <w:rPr>
          <w:spacing w:val="-4"/>
          <w:rtl/>
        </w:rPr>
        <w:t>-</w:t>
      </w:r>
      <w:r w:rsidRPr="0066561F">
        <w:rPr>
          <w:spacing w:val="-4"/>
          <w:szCs w:val="18"/>
          <w:rtl/>
        </w:rPr>
        <w:t>4</w:t>
      </w:r>
      <w:r w:rsidRPr="0066561F">
        <w:rPr>
          <w:spacing w:val="-4"/>
          <w:rtl/>
        </w:rPr>
        <w:t xml:space="preserve"> من الدستور</w:t>
      </w:r>
      <w:r w:rsidRPr="0066561F">
        <w:rPr>
          <w:rtl/>
        </w:rPr>
        <w:t xml:space="preserve">". </w:t>
      </w:r>
    </w:p>
  </w:footnote>
  <w:footnote w:id="30">
    <w:p w14:paraId="7C5CE9AF" w14:textId="558EFB34"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الفقرة </w:t>
      </w:r>
      <w:r w:rsidRPr="0066561F">
        <w:rPr>
          <w:szCs w:val="18"/>
          <w:rtl/>
        </w:rPr>
        <w:t>11</w:t>
      </w:r>
      <w:r w:rsidRPr="0066561F">
        <w:rPr>
          <w:rtl/>
        </w:rPr>
        <w:t xml:space="preserve"> من منطوق الحكم </w:t>
      </w:r>
      <w:r w:rsidRPr="0066561F">
        <w:t>SP</w:t>
      </w:r>
      <w:r w:rsidRPr="0066561F">
        <w:rPr>
          <w:szCs w:val="18"/>
        </w:rPr>
        <w:t>4250</w:t>
      </w:r>
      <w:r w:rsidRPr="0066561F">
        <w:t>-</w:t>
      </w:r>
      <w:r w:rsidRPr="0066561F">
        <w:rPr>
          <w:szCs w:val="18"/>
        </w:rPr>
        <w:t>2015</w:t>
      </w:r>
      <w:r w:rsidRPr="0066561F">
        <w:rPr>
          <w:rtl/>
        </w:rPr>
        <w:t xml:space="preserve">، المؤرخ </w:t>
      </w:r>
      <w:r w:rsidRPr="0066561F">
        <w:rPr>
          <w:szCs w:val="18"/>
          <w:rtl/>
        </w:rPr>
        <w:t>15</w:t>
      </w:r>
      <w:r w:rsidRPr="0066561F">
        <w:rPr>
          <w:rtl/>
        </w:rPr>
        <w:t xml:space="preserve"> نيسان/أبريل </w:t>
      </w:r>
      <w:r w:rsidRPr="0066561F">
        <w:rPr>
          <w:szCs w:val="18"/>
          <w:rtl/>
        </w:rPr>
        <w:t>2015</w:t>
      </w:r>
      <w:r w:rsidRPr="0066561F">
        <w:rPr>
          <w:rtl/>
        </w:rPr>
        <w:t xml:space="preserve">، الصفحة </w:t>
      </w:r>
      <w:r w:rsidRPr="0066561F">
        <w:rPr>
          <w:szCs w:val="18"/>
          <w:rtl/>
        </w:rPr>
        <w:t>319</w:t>
      </w:r>
      <w:r w:rsidRPr="0066561F">
        <w:rPr>
          <w:rtl/>
        </w:rPr>
        <w:t xml:space="preserve">. </w:t>
      </w:r>
    </w:p>
  </w:footnote>
  <w:footnote w:id="31">
    <w:p w14:paraId="6F5E7C26" w14:textId="6F5A4F1E"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يدعي صاحب البلاغ أنه حُرم، بحكم السوابق القضائية، من الحق في الطعن في حكم الإدانة الابتدائي والنهائي الصادر في حقه. </w:t>
      </w:r>
    </w:p>
  </w:footnote>
  <w:footnote w:id="32">
    <w:p w14:paraId="4556940E" w14:textId="127B7879"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تنص المادة </w:t>
      </w:r>
      <w:r w:rsidRPr="0066561F">
        <w:rPr>
          <w:szCs w:val="18"/>
          <w:rtl/>
        </w:rPr>
        <w:t>38</w:t>
      </w:r>
      <w:r w:rsidRPr="0066561F">
        <w:rPr>
          <w:rtl/>
        </w:rPr>
        <w:t xml:space="preserve"> من قانون العقوبات (القانون </w:t>
      </w:r>
      <w:r w:rsidRPr="0066561F">
        <w:rPr>
          <w:szCs w:val="18"/>
          <w:rtl/>
        </w:rPr>
        <w:t>599</w:t>
      </w:r>
      <w:r w:rsidRPr="0066561F">
        <w:rPr>
          <w:rtl/>
        </w:rPr>
        <w:t xml:space="preserve"> لعام </w:t>
      </w:r>
      <w:r w:rsidRPr="0066561F">
        <w:rPr>
          <w:szCs w:val="18"/>
          <w:rtl/>
        </w:rPr>
        <w:t>2000</w:t>
      </w:r>
      <w:r w:rsidRPr="0066561F">
        <w:rPr>
          <w:rtl/>
        </w:rPr>
        <w:t xml:space="preserve">)، الساري المفعول وقت ارتكاب الأفعال المعنية، على ما يلي: "يقضي الشخص المحكوم عليه العقوبة السالبة للحرية في محل إقامته أو مسكنه أو، إن لم يوجد، في المكان الذي يحدده القاضي، شريطة استيفاء الشروط التالية: </w:t>
      </w:r>
      <w:r w:rsidRPr="0066561F">
        <w:rPr>
          <w:szCs w:val="18"/>
          <w:rtl/>
        </w:rPr>
        <w:t>1</w:t>
      </w:r>
      <w:r w:rsidRPr="0066561F">
        <w:rPr>
          <w:rtl/>
        </w:rPr>
        <w:t>- أن يكون سبب العقوبة فعلاً يقتضي القانون المعاقبة عليه كحد أدنى بالحبس مدة خمس (</w:t>
      </w:r>
      <w:r w:rsidRPr="0066561F">
        <w:rPr>
          <w:szCs w:val="18"/>
          <w:rtl/>
        </w:rPr>
        <w:t>5</w:t>
      </w:r>
      <w:r w:rsidRPr="0066561F">
        <w:rPr>
          <w:rtl/>
        </w:rPr>
        <w:t xml:space="preserve">) سنوات أو أقل. </w:t>
      </w:r>
      <w:r w:rsidRPr="0066561F">
        <w:rPr>
          <w:szCs w:val="18"/>
          <w:rtl/>
        </w:rPr>
        <w:t>2</w:t>
      </w:r>
      <w:r w:rsidRPr="0066561F">
        <w:rPr>
          <w:rtl/>
        </w:rPr>
        <w:t xml:space="preserve">- أن يسمح وضع المدان الشخصي أو المهني أو الأسري أو الاجتماعي للقاضي بأن يستنتج، بناءً على أسس معقولة ووجيهة ومعللة، أن الشخص المعني لن يُعرض المجتمع للخطر ولن يفلت من قضاء العقوبة". </w:t>
      </w:r>
    </w:p>
  </w:footnote>
  <w:footnote w:id="33">
    <w:p w14:paraId="2F40E975" w14:textId="3E636B5F"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يدعي صاحب البلاغ أن المادة </w:t>
      </w:r>
      <w:r w:rsidRPr="0066561F">
        <w:rPr>
          <w:szCs w:val="18"/>
          <w:rtl/>
        </w:rPr>
        <w:t>235</w:t>
      </w:r>
      <w:r w:rsidRPr="0066561F">
        <w:rPr>
          <w:rtl/>
        </w:rPr>
        <w:t xml:space="preserve"> من الدستور الساري وقت ارتكاب الأفعال المعنية لا تمنح صلاحية إعداد لائحة الاتهام سوى للمدعي العام؛ في حين يمنح القانون المطبق عليه، الذي بدأ سريانه منذ </w:t>
      </w:r>
      <w:r w:rsidRPr="0066561F">
        <w:rPr>
          <w:szCs w:val="18"/>
          <w:rtl/>
        </w:rPr>
        <w:t>24</w:t>
      </w:r>
      <w:r w:rsidRPr="0066561F">
        <w:rPr>
          <w:rtl/>
        </w:rPr>
        <w:t xml:space="preserve"> تشرين الثاني/</w:t>
      </w:r>
      <w:r w:rsidRPr="0066561F">
        <w:rPr>
          <w:rFonts w:hint="cs"/>
          <w:rtl/>
        </w:rPr>
        <w:t xml:space="preserve"> </w:t>
      </w:r>
      <w:r w:rsidRPr="0066561F">
        <w:rPr>
          <w:rtl/>
        </w:rPr>
        <w:t xml:space="preserve">نوفمبر </w:t>
      </w:r>
      <w:r w:rsidRPr="0066561F">
        <w:rPr>
          <w:szCs w:val="18"/>
          <w:rtl/>
        </w:rPr>
        <w:t>2011</w:t>
      </w:r>
      <w:r w:rsidRPr="0066561F">
        <w:rPr>
          <w:rtl/>
        </w:rPr>
        <w:t xml:space="preserve">، هذه الصلاحية أيضاً لنائب المدعي العام أو مفوضيه لدى محكمة العدل العليا. </w:t>
      </w:r>
    </w:p>
  </w:footnote>
  <w:footnote w:id="34">
    <w:p w14:paraId="11E1674D" w14:textId="49B2042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يشير صاحب البلاغ إلى أن وسائط إعلام كولومبية شتى نشرت في تشرين الأول/أكتوبر </w:t>
      </w:r>
      <w:r w:rsidRPr="0066561F">
        <w:rPr>
          <w:szCs w:val="18"/>
          <w:rtl/>
        </w:rPr>
        <w:t>2015</w:t>
      </w:r>
      <w:r w:rsidRPr="0066561F">
        <w:rPr>
          <w:rtl/>
        </w:rPr>
        <w:t xml:space="preserve"> تسجيلات تبين أن قرار تعيين نائب المدعي العام عوض مدعٍ عام مخصص طغت عليه الاعتبارات السياسية أكثر من القانونية، بغرض إتاحة إمكانية إدانة المسؤولين الكبار الخاضعين للتحقيق. </w:t>
      </w:r>
    </w:p>
  </w:footnote>
  <w:footnote w:id="35">
    <w:p w14:paraId="12BE50DB" w14:textId="30998B7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يوضح صاحب البلاغ أن الجريمة الجنائية التي اعترفت السيدة مدينا بادِيَّا بارتكابها </w:t>
      </w:r>
      <w:proofErr w:type="spellStart"/>
      <w:r w:rsidRPr="0066561F">
        <w:rPr>
          <w:rtl/>
        </w:rPr>
        <w:t>وأُدينت</w:t>
      </w:r>
      <w:proofErr w:type="spellEnd"/>
      <w:r w:rsidRPr="0066561F">
        <w:rPr>
          <w:rtl/>
        </w:rPr>
        <w:t xml:space="preserve"> بسببها، تقتضي بالضرورة وجود شخص راشٍ وشخص مرتشٍ، يتحمل الأول المسؤولية الجنائية عن عرض أو إعطاء الرشوة والآخر عن تلقيها. وبالإضافة إلى ذلك، يؤكد أن المحكمة نسبت، في قرار إدانة السيدة </w:t>
      </w:r>
      <w:proofErr w:type="spellStart"/>
      <w:r w:rsidRPr="0066561F">
        <w:rPr>
          <w:rtl/>
        </w:rPr>
        <w:t>ييديس</w:t>
      </w:r>
      <w:proofErr w:type="spellEnd"/>
      <w:r w:rsidRPr="0066561F">
        <w:rPr>
          <w:rtl/>
        </w:rPr>
        <w:t xml:space="preserve"> مدينا، المسؤولية الجنائية المباشرة إلى المسؤولين الحكوميين الكبار المعنيين. </w:t>
      </w:r>
    </w:p>
  </w:footnote>
  <w:footnote w:id="36">
    <w:p w14:paraId="75D0C63F" w14:textId="2E11D58C" w:rsidR="00886A73" w:rsidRPr="0066561F" w:rsidRDefault="00886A73" w:rsidP="008F657D">
      <w:pPr>
        <w:pStyle w:val="FootnoteText1"/>
      </w:pPr>
      <w:r w:rsidRPr="0066561F">
        <w:rPr>
          <w:spacing w:val="-2"/>
          <w:rtl/>
        </w:rPr>
        <w:t>(</w:t>
      </w:r>
      <w:r w:rsidRPr="0066561F">
        <w:rPr>
          <w:rStyle w:val="FootnoteReference"/>
          <w:rFonts w:ascii="Times New Roman" w:hAnsi="Times New Roman" w:cs="Times New Roman" w:hint="eastAsia"/>
          <w:b w:val="0"/>
          <w:spacing w:val="-2"/>
          <w:vertAlign w:val="baseline"/>
        </w:rPr>
        <w:footnoteRef/>
      </w:r>
      <w:r w:rsidRPr="0066561F">
        <w:rPr>
          <w:spacing w:val="-2"/>
          <w:rtl/>
        </w:rPr>
        <w:t>)</w:t>
      </w:r>
      <w:r w:rsidRPr="0066561F">
        <w:rPr>
          <w:spacing w:val="-2"/>
          <w:rtl/>
        </w:rPr>
        <w:tab/>
        <w:t xml:space="preserve">قرار محكمة العدل العليا الصادر في </w:t>
      </w:r>
      <w:r w:rsidRPr="0066561F">
        <w:rPr>
          <w:spacing w:val="-2"/>
          <w:szCs w:val="18"/>
          <w:rtl/>
        </w:rPr>
        <w:t>19</w:t>
      </w:r>
      <w:r w:rsidRPr="0066561F">
        <w:rPr>
          <w:spacing w:val="-2"/>
          <w:rtl/>
        </w:rPr>
        <w:t xml:space="preserve"> نيسان/أبريل </w:t>
      </w:r>
      <w:r w:rsidRPr="0066561F">
        <w:rPr>
          <w:spacing w:val="-2"/>
          <w:szCs w:val="18"/>
          <w:rtl/>
        </w:rPr>
        <w:t>2013</w:t>
      </w:r>
      <w:r w:rsidRPr="0066561F">
        <w:rPr>
          <w:spacing w:val="-2"/>
          <w:rtl/>
        </w:rPr>
        <w:t xml:space="preserve"> (الصفحة </w:t>
      </w:r>
      <w:r w:rsidRPr="0066561F">
        <w:rPr>
          <w:spacing w:val="-2"/>
          <w:szCs w:val="18"/>
          <w:rtl/>
        </w:rPr>
        <w:t>17</w:t>
      </w:r>
      <w:r w:rsidRPr="0066561F">
        <w:rPr>
          <w:spacing w:val="-2"/>
          <w:rtl/>
        </w:rPr>
        <w:t xml:space="preserve">): "خلافاً للنظام الاتهامي الشفوي المنصوص عليه في القانون </w:t>
      </w:r>
      <w:r w:rsidRPr="0066561F">
        <w:rPr>
          <w:spacing w:val="-2"/>
          <w:szCs w:val="18"/>
          <w:rtl/>
        </w:rPr>
        <w:t>906</w:t>
      </w:r>
      <w:r w:rsidRPr="0066561F">
        <w:rPr>
          <w:spacing w:val="-2"/>
          <w:rtl/>
        </w:rPr>
        <w:t xml:space="preserve"> لعام </w:t>
      </w:r>
      <w:r w:rsidRPr="0066561F">
        <w:rPr>
          <w:spacing w:val="-2"/>
          <w:szCs w:val="18"/>
          <w:rtl/>
        </w:rPr>
        <w:t>2004</w:t>
      </w:r>
      <w:r w:rsidRPr="0066561F">
        <w:rPr>
          <w:spacing w:val="-2"/>
          <w:rtl/>
        </w:rPr>
        <w:t xml:space="preserve">، يعطي الإجراء المنصوص عليه في القانون </w:t>
      </w:r>
      <w:r w:rsidRPr="0066561F">
        <w:rPr>
          <w:spacing w:val="-2"/>
          <w:szCs w:val="18"/>
          <w:rtl/>
        </w:rPr>
        <w:t>600</w:t>
      </w:r>
      <w:r w:rsidRPr="0066561F">
        <w:rPr>
          <w:spacing w:val="-2"/>
          <w:rtl/>
        </w:rPr>
        <w:t xml:space="preserve"> لعام </w:t>
      </w:r>
      <w:r w:rsidRPr="0066561F">
        <w:rPr>
          <w:spacing w:val="-2"/>
          <w:szCs w:val="18"/>
          <w:rtl/>
        </w:rPr>
        <w:t>2000</w:t>
      </w:r>
      <w:r w:rsidRPr="0066561F">
        <w:rPr>
          <w:spacing w:val="-2"/>
          <w:rtl/>
        </w:rPr>
        <w:t xml:space="preserve"> الأولوية لمبدأ استمرارية الأدلة، وهو ما يعني أنه لا يجوز اعتبار مرحلة جمع الأدلة اللازمة للمحاكمة فرصة إضافية للعودة إلى مرحلة التحقيق، وإنما لعرض أدلة جديدة أو إضافية لم يتسن للأطراف تقديمها خلال التحقيق أو ممارسة حقهم في الاعتراض عليها، وقد قيَّمت الدائرة، استناداً إلى هذا المعيار، الطلبات التي قدمها في هذا الصدد مختلف أطراف الإجراءات القضائية". ويدعي صاحب البلاغ "أن الشاهد هو من ينفي أو يؤكد ما إذا كان مكتب المدعي العام قد قيَّم الأدلة بشكل صحيح أم لا، والواقع أن ذلك من اختصاص الدفاع والمحكمة" (الصفحة </w:t>
      </w:r>
      <w:r w:rsidRPr="0066561F">
        <w:rPr>
          <w:spacing w:val="-2"/>
          <w:szCs w:val="18"/>
          <w:rtl/>
        </w:rPr>
        <w:t>52</w:t>
      </w:r>
      <w:r w:rsidRPr="0066561F">
        <w:rPr>
          <w:spacing w:val="-2"/>
          <w:rtl/>
        </w:rPr>
        <w:t xml:space="preserve">). </w:t>
      </w:r>
    </w:p>
  </w:footnote>
  <w:footnote w:id="37">
    <w:p w14:paraId="308AAD73" w14:textId="16E31DF6"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الحكم </w:t>
      </w:r>
      <w:r w:rsidRPr="0066561F">
        <w:t>SP</w:t>
      </w:r>
      <w:r w:rsidRPr="0066561F">
        <w:rPr>
          <w:szCs w:val="18"/>
        </w:rPr>
        <w:t>4250</w:t>
      </w:r>
      <w:r w:rsidRPr="0066561F">
        <w:t>-</w:t>
      </w:r>
      <w:r w:rsidRPr="0066561F">
        <w:rPr>
          <w:szCs w:val="18"/>
        </w:rPr>
        <w:t>2015</w:t>
      </w:r>
      <w:r w:rsidRPr="0066561F">
        <w:rPr>
          <w:rtl/>
        </w:rPr>
        <w:t xml:space="preserve"> الصادر في </w:t>
      </w:r>
      <w:r w:rsidRPr="0066561F">
        <w:rPr>
          <w:szCs w:val="18"/>
          <w:rtl/>
        </w:rPr>
        <w:t>15</w:t>
      </w:r>
      <w:r w:rsidRPr="0066561F">
        <w:rPr>
          <w:rtl/>
        </w:rPr>
        <w:t xml:space="preserve"> نيسان/أبريل </w:t>
      </w:r>
      <w:r w:rsidRPr="0066561F">
        <w:rPr>
          <w:szCs w:val="18"/>
          <w:rtl/>
        </w:rPr>
        <w:t>2015</w:t>
      </w:r>
      <w:r w:rsidRPr="0066561F">
        <w:rPr>
          <w:rtl/>
        </w:rPr>
        <w:t xml:space="preserve">. </w:t>
      </w:r>
    </w:p>
  </w:footnote>
  <w:footnote w:id="38">
    <w:p w14:paraId="1FE4DE74" w14:textId="15E2BE69"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ينص قانون الإجراءات الجنائية (القانون </w:t>
      </w:r>
      <w:r w:rsidRPr="0066561F">
        <w:rPr>
          <w:szCs w:val="18"/>
          <w:rtl/>
        </w:rPr>
        <w:t>906</w:t>
      </w:r>
      <w:r w:rsidRPr="0066561F">
        <w:rPr>
          <w:rtl/>
        </w:rPr>
        <w:t xml:space="preserve"> لعام </w:t>
      </w:r>
      <w:r w:rsidRPr="0066561F">
        <w:rPr>
          <w:szCs w:val="18"/>
          <w:rtl/>
        </w:rPr>
        <w:t>2004</w:t>
      </w:r>
      <w:r w:rsidRPr="0066561F">
        <w:rPr>
          <w:rtl/>
        </w:rPr>
        <w:t xml:space="preserve">)، في المادة </w:t>
      </w:r>
      <w:r w:rsidRPr="0066561F">
        <w:rPr>
          <w:szCs w:val="18"/>
          <w:rtl/>
        </w:rPr>
        <w:t>32</w:t>
      </w:r>
      <w:r w:rsidRPr="0066561F">
        <w:rPr>
          <w:rtl/>
        </w:rPr>
        <w:t xml:space="preserve"> منه، على ما يلي: "محكمة العدل العليا. تنظر دائرة النقض الجنائية بمحكمة العدل العليا في: [...] </w:t>
      </w:r>
      <w:r w:rsidRPr="0066561F">
        <w:rPr>
          <w:szCs w:val="18"/>
          <w:rtl/>
        </w:rPr>
        <w:t>2</w:t>
      </w:r>
      <w:r w:rsidRPr="0066561F">
        <w:rPr>
          <w:rtl/>
        </w:rPr>
        <w:t xml:space="preserve">- دعوى طلب المراجعة عندما يصدر الحكم أو قرار إنهاء التحقيق ابتدائياً ونهائياً أو استئنافياً عن هذه الهيئة أو عن المحاكم الأخرى". </w:t>
      </w:r>
    </w:p>
  </w:footnote>
  <w:footnote w:id="39">
    <w:p w14:paraId="3D00BE6E" w14:textId="17D7C26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المحكمة الدستورية، الحكم </w:t>
      </w:r>
      <w:r w:rsidRPr="0066561F">
        <w:t xml:space="preserve">C </w:t>
      </w:r>
      <w:r w:rsidRPr="0066561F">
        <w:rPr>
          <w:szCs w:val="18"/>
        </w:rPr>
        <w:t>979</w:t>
      </w:r>
      <w:r w:rsidRPr="0066561F">
        <w:t>/</w:t>
      </w:r>
      <w:r w:rsidRPr="0066561F">
        <w:rPr>
          <w:szCs w:val="18"/>
        </w:rPr>
        <w:t>05</w:t>
      </w:r>
      <w:r w:rsidRPr="0066561F">
        <w:rPr>
          <w:rtl/>
        </w:rPr>
        <w:t xml:space="preserve">. </w:t>
      </w:r>
    </w:p>
  </w:footnote>
  <w:footnote w:id="40">
    <w:p w14:paraId="53FC0B49" w14:textId="35B698CF"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تؤكد اللجنة المعنية بحقوق الإنسان أنه يجوز لها النظر في البلاغات التي سبق عرضها على هيئات شبه قضائية أخرى، ما لم تنظر في أسسها الموضوعية. ويشير صاحب البلاغ إلى قضية </w:t>
      </w:r>
      <w:proofErr w:type="spellStart"/>
      <w:r w:rsidRPr="0066561F">
        <w:rPr>
          <w:i/>
          <w:iCs/>
          <w:rtl/>
        </w:rPr>
        <w:t>أشابال</w:t>
      </w:r>
      <w:proofErr w:type="spellEnd"/>
      <w:r w:rsidRPr="0066561F">
        <w:rPr>
          <w:i/>
          <w:iCs/>
          <w:rtl/>
        </w:rPr>
        <w:t xml:space="preserve"> </w:t>
      </w:r>
      <w:proofErr w:type="spellStart"/>
      <w:r w:rsidRPr="0066561F">
        <w:rPr>
          <w:i/>
          <w:iCs/>
          <w:rtl/>
        </w:rPr>
        <w:t>بويرتاس</w:t>
      </w:r>
      <w:proofErr w:type="spellEnd"/>
      <w:r w:rsidRPr="0066561F">
        <w:rPr>
          <w:i/>
          <w:iCs/>
          <w:rtl/>
        </w:rPr>
        <w:t xml:space="preserve"> ضد إسبانيا</w:t>
      </w:r>
      <w:r w:rsidRPr="0066561F">
        <w:rPr>
          <w:rtl/>
        </w:rPr>
        <w:t xml:space="preserve"> (</w:t>
      </w:r>
      <w:r w:rsidRPr="0066561F">
        <w:t>CCPR/C/</w:t>
      </w:r>
      <w:r w:rsidRPr="0066561F">
        <w:rPr>
          <w:szCs w:val="18"/>
        </w:rPr>
        <w:t>107</w:t>
      </w:r>
      <w:r w:rsidRPr="0066561F">
        <w:t>/D/</w:t>
      </w:r>
      <w:r w:rsidRPr="0066561F">
        <w:rPr>
          <w:szCs w:val="18"/>
        </w:rPr>
        <w:t>1945</w:t>
      </w:r>
      <w:r w:rsidRPr="0066561F">
        <w:t>/</w:t>
      </w:r>
      <w:r w:rsidRPr="0066561F">
        <w:rPr>
          <w:szCs w:val="18"/>
        </w:rPr>
        <w:t>2010</w:t>
      </w:r>
      <w:r w:rsidRPr="0066561F">
        <w:rPr>
          <w:rtl/>
        </w:rPr>
        <w:t xml:space="preserve">)؛ وقضية </w:t>
      </w:r>
      <w:proofErr w:type="spellStart"/>
      <w:r w:rsidRPr="0066561F">
        <w:rPr>
          <w:i/>
          <w:iCs/>
          <w:rtl/>
        </w:rPr>
        <w:t>أتاتشاوا</w:t>
      </w:r>
      <w:proofErr w:type="spellEnd"/>
      <w:r w:rsidRPr="0066561F">
        <w:rPr>
          <w:i/>
          <w:iCs/>
          <w:rtl/>
        </w:rPr>
        <w:t xml:space="preserve"> ضد بيرو</w:t>
      </w:r>
      <w:r w:rsidRPr="0066561F">
        <w:rPr>
          <w:rtl/>
        </w:rPr>
        <w:t xml:space="preserve"> (</w:t>
      </w:r>
      <w:r w:rsidRPr="0066561F">
        <w:t>CCPR/C/</w:t>
      </w:r>
      <w:r w:rsidRPr="0066561F">
        <w:rPr>
          <w:szCs w:val="18"/>
        </w:rPr>
        <w:t>56</w:t>
      </w:r>
      <w:r w:rsidRPr="0066561F">
        <w:t>/D/</w:t>
      </w:r>
      <w:r w:rsidRPr="0066561F">
        <w:rPr>
          <w:szCs w:val="18"/>
        </w:rPr>
        <w:t>540</w:t>
      </w:r>
      <w:r w:rsidRPr="0066561F">
        <w:t>/</w:t>
      </w:r>
      <w:r w:rsidRPr="0066561F">
        <w:rPr>
          <w:szCs w:val="18"/>
        </w:rPr>
        <w:t>1993</w:t>
      </w:r>
      <w:r w:rsidRPr="0066561F">
        <w:rPr>
          <w:rtl/>
        </w:rPr>
        <w:t xml:space="preserve">)؛ وقضية </w:t>
      </w:r>
      <w:proofErr w:type="spellStart"/>
      <w:r w:rsidRPr="0066561F">
        <w:rPr>
          <w:i/>
          <w:iCs/>
          <w:rtl/>
        </w:rPr>
        <w:t>شيدولال</w:t>
      </w:r>
      <w:proofErr w:type="spellEnd"/>
      <w:r w:rsidRPr="0066561F">
        <w:rPr>
          <w:i/>
          <w:iCs/>
          <w:rtl/>
        </w:rPr>
        <w:t xml:space="preserve"> </w:t>
      </w:r>
      <w:proofErr w:type="spellStart"/>
      <w:r w:rsidRPr="0066561F">
        <w:rPr>
          <w:i/>
          <w:iCs/>
          <w:rtl/>
        </w:rPr>
        <w:t>ثارو</w:t>
      </w:r>
      <w:proofErr w:type="spellEnd"/>
      <w:r w:rsidRPr="0066561F">
        <w:rPr>
          <w:i/>
          <w:iCs/>
          <w:rtl/>
        </w:rPr>
        <w:t xml:space="preserve"> وآخرين ضد نيبال</w:t>
      </w:r>
      <w:r w:rsidRPr="0066561F">
        <w:rPr>
          <w:rtl/>
        </w:rPr>
        <w:t xml:space="preserve"> (البلاغ رقم </w:t>
      </w:r>
      <w:r w:rsidRPr="0066561F">
        <w:rPr>
          <w:szCs w:val="18"/>
          <w:rtl/>
        </w:rPr>
        <w:t>2038</w:t>
      </w:r>
      <w:r w:rsidRPr="0066561F">
        <w:rPr>
          <w:rtl/>
        </w:rPr>
        <w:t>/</w:t>
      </w:r>
      <w:r w:rsidRPr="0066561F">
        <w:rPr>
          <w:szCs w:val="18"/>
          <w:rtl/>
        </w:rPr>
        <w:t>2011</w:t>
      </w:r>
      <w:r w:rsidRPr="0066561F">
        <w:rPr>
          <w:rtl/>
        </w:rPr>
        <w:t xml:space="preserve">)، الفقرة </w:t>
      </w:r>
      <w:r w:rsidRPr="0066561F">
        <w:rPr>
          <w:szCs w:val="18"/>
          <w:rtl/>
        </w:rPr>
        <w:t>9</w:t>
      </w:r>
      <w:r w:rsidRPr="0066561F">
        <w:rPr>
          <w:rtl/>
        </w:rPr>
        <w:t>-</w:t>
      </w:r>
      <w:r w:rsidRPr="0066561F">
        <w:rPr>
          <w:szCs w:val="18"/>
          <w:rtl/>
        </w:rPr>
        <w:t>2</w:t>
      </w:r>
      <w:r w:rsidRPr="0066561F">
        <w:rPr>
          <w:rtl/>
        </w:rPr>
        <w:t xml:space="preserve">. </w:t>
      </w:r>
    </w:p>
  </w:footnote>
  <w:footnote w:id="41">
    <w:p w14:paraId="104ECC53" w14:textId="1142BD99"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القانون </w:t>
      </w:r>
      <w:r w:rsidRPr="0066561F">
        <w:rPr>
          <w:szCs w:val="18"/>
          <w:rtl/>
        </w:rPr>
        <w:t>906</w:t>
      </w:r>
      <w:r w:rsidRPr="0066561F">
        <w:rPr>
          <w:rtl/>
        </w:rPr>
        <w:t xml:space="preserve"> لعام </w:t>
      </w:r>
      <w:r w:rsidRPr="0066561F">
        <w:rPr>
          <w:szCs w:val="18"/>
          <w:rtl/>
        </w:rPr>
        <w:t>2004</w:t>
      </w:r>
      <w:r w:rsidRPr="0066561F">
        <w:rPr>
          <w:rtl/>
        </w:rPr>
        <w:t xml:space="preserve">. </w:t>
      </w:r>
    </w:p>
  </w:footnote>
  <w:footnote w:id="42">
    <w:p w14:paraId="4124F557" w14:textId="5D81BC7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القانون </w:t>
      </w:r>
      <w:r w:rsidRPr="0066561F">
        <w:rPr>
          <w:szCs w:val="18"/>
          <w:rtl/>
        </w:rPr>
        <w:t>600</w:t>
      </w:r>
      <w:r w:rsidRPr="0066561F">
        <w:rPr>
          <w:rtl/>
        </w:rPr>
        <w:t xml:space="preserve"> لعام </w:t>
      </w:r>
      <w:r w:rsidRPr="0066561F">
        <w:rPr>
          <w:szCs w:val="18"/>
          <w:rtl/>
        </w:rPr>
        <w:t>2000</w:t>
      </w:r>
      <w:r w:rsidRPr="0066561F">
        <w:rPr>
          <w:rtl/>
        </w:rPr>
        <w:t xml:space="preserve">. </w:t>
      </w:r>
    </w:p>
  </w:footnote>
  <w:footnote w:id="43">
    <w:p w14:paraId="0B275592" w14:textId="552BFC34"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i/>
          <w:iCs/>
          <w:rtl/>
        </w:rPr>
        <w:t>المرجع نفسه</w:t>
      </w:r>
      <w:r w:rsidRPr="0066561F">
        <w:rPr>
          <w:rtl/>
        </w:rPr>
        <w:t xml:space="preserve">. </w:t>
      </w:r>
    </w:p>
  </w:footnote>
  <w:footnote w:id="44">
    <w:p w14:paraId="6BF5367A" w14:textId="6E8864A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الحكم </w:t>
      </w:r>
      <w:r w:rsidRPr="0066561F">
        <w:t>C-</w:t>
      </w:r>
      <w:r w:rsidRPr="0066561F">
        <w:rPr>
          <w:szCs w:val="18"/>
        </w:rPr>
        <w:t>142</w:t>
      </w:r>
      <w:r w:rsidRPr="0066561F">
        <w:rPr>
          <w:rtl/>
        </w:rPr>
        <w:t xml:space="preserve"> لعام </w:t>
      </w:r>
      <w:r w:rsidRPr="0066561F">
        <w:rPr>
          <w:szCs w:val="18"/>
          <w:rtl/>
        </w:rPr>
        <w:t>1993</w:t>
      </w:r>
      <w:r w:rsidRPr="0066561F">
        <w:rPr>
          <w:rtl/>
        </w:rPr>
        <w:t xml:space="preserve">، والحكم </w:t>
      </w:r>
      <w:r w:rsidRPr="0066561F">
        <w:t>C-</w:t>
      </w:r>
      <w:r w:rsidRPr="0066561F">
        <w:rPr>
          <w:szCs w:val="18"/>
        </w:rPr>
        <w:t>411</w:t>
      </w:r>
      <w:r w:rsidRPr="0066561F">
        <w:rPr>
          <w:rtl/>
        </w:rPr>
        <w:t xml:space="preserve"> لعام </w:t>
      </w:r>
      <w:r w:rsidRPr="0066561F">
        <w:rPr>
          <w:szCs w:val="18"/>
          <w:rtl/>
        </w:rPr>
        <w:t>1997</w:t>
      </w:r>
      <w:r w:rsidRPr="0066561F">
        <w:rPr>
          <w:rtl/>
        </w:rPr>
        <w:t xml:space="preserve">، والحكم </w:t>
      </w:r>
      <w:r w:rsidRPr="0066561F">
        <w:t>C-</w:t>
      </w:r>
      <w:r w:rsidRPr="0066561F">
        <w:rPr>
          <w:szCs w:val="18"/>
        </w:rPr>
        <w:t>934</w:t>
      </w:r>
      <w:r w:rsidRPr="0066561F">
        <w:rPr>
          <w:rtl/>
        </w:rPr>
        <w:t xml:space="preserve"> لعام </w:t>
      </w:r>
      <w:r w:rsidRPr="0066561F">
        <w:rPr>
          <w:szCs w:val="18"/>
          <w:rtl/>
        </w:rPr>
        <w:t>2006</w:t>
      </w:r>
      <w:r w:rsidRPr="0066561F">
        <w:rPr>
          <w:rtl/>
        </w:rPr>
        <w:t xml:space="preserve">. </w:t>
      </w:r>
    </w:p>
  </w:footnote>
  <w:footnote w:id="45">
    <w:p w14:paraId="3E37490C" w14:textId="4584935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الحكم </w:t>
      </w:r>
      <w:r w:rsidRPr="0066561F">
        <w:t>T-</w:t>
      </w:r>
      <w:r w:rsidRPr="0066561F">
        <w:rPr>
          <w:szCs w:val="18"/>
        </w:rPr>
        <w:t>146</w:t>
      </w:r>
      <w:r w:rsidRPr="0066561F">
        <w:rPr>
          <w:rtl/>
        </w:rPr>
        <w:t xml:space="preserve"> لعام </w:t>
      </w:r>
      <w:r w:rsidRPr="0066561F">
        <w:rPr>
          <w:szCs w:val="18"/>
          <w:rtl/>
        </w:rPr>
        <w:t>2010</w:t>
      </w:r>
      <w:r w:rsidRPr="0066561F">
        <w:rPr>
          <w:rtl/>
        </w:rPr>
        <w:t xml:space="preserve">، والحكم </w:t>
      </w:r>
      <w:r w:rsidRPr="0066561F">
        <w:t>SU-</w:t>
      </w:r>
      <w:r w:rsidRPr="0066561F">
        <w:rPr>
          <w:szCs w:val="18"/>
        </w:rPr>
        <w:t>198</w:t>
      </w:r>
      <w:r w:rsidRPr="0066561F">
        <w:rPr>
          <w:rtl/>
        </w:rPr>
        <w:t xml:space="preserve"> لعام </w:t>
      </w:r>
      <w:r w:rsidRPr="0066561F">
        <w:rPr>
          <w:szCs w:val="18"/>
          <w:rtl/>
        </w:rPr>
        <w:t>2013</w:t>
      </w:r>
      <w:r w:rsidRPr="0066561F">
        <w:rPr>
          <w:rtl/>
        </w:rPr>
        <w:t xml:space="preserve">. </w:t>
      </w:r>
    </w:p>
  </w:footnote>
  <w:footnote w:id="46">
    <w:p w14:paraId="0723EE13" w14:textId="497C04ED"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i/>
          <w:iCs/>
          <w:rtl/>
        </w:rPr>
        <w:t>المرجع نفسه</w:t>
      </w:r>
      <w:r w:rsidRPr="0066561F">
        <w:rPr>
          <w:rtl/>
        </w:rPr>
        <w:t xml:space="preserve">. </w:t>
      </w:r>
    </w:p>
  </w:footnote>
  <w:footnote w:id="47">
    <w:p w14:paraId="289ABEC4" w14:textId="26273E9C"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تؤكد الدولة الطرف أنه لم يجر الطعن في الوقت المناسب في قانونية الأدلة، أو التصنيف القانوني للوقائع، أو نطاق</w:t>
      </w:r>
      <w:r w:rsidRPr="0066561F">
        <w:rPr>
          <w:rtl/>
        </w:rPr>
        <w:t xml:space="preserve"> الجريمة الجنائية، أو تحديد العقوبة، أو الحرمان من تدبير الإقامة الجبرية. وتشير أيضاً إلى أن الادعاءات المتعلقة بإسناد القضية إلى مفوضي المدعي العام، أو بتأخر التصديق على نسخ الوثائق، أو انتهاك الحق في الطعن في الأدلة لا تمتُّ إلى الواقع بصلة، وتستشهد بحكم الإدانة. </w:t>
      </w:r>
    </w:p>
  </w:footnote>
  <w:footnote w:id="48">
    <w:p w14:paraId="258A681F" w14:textId="43E81274"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i/>
          <w:iCs/>
          <w:rtl/>
        </w:rPr>
        <w:t xml:space="preserve">مورينو دي </w:t>
      </w:r>
      <w:proofErr w:type="spellStart"/>
      <w:r w:rsidRPr="0066561F">
        <w:rPr>
          <w:i/>
          <w:iCs/>
          <w:rtl/>
        </w:rPr>
        <w:t>كاستيُّو</w:t>
      </w:r>
      <w:proofErr w:type="spellEnd"/>
      <w:r w:rsidRPr="0066561F">
        <w:rPr>
          <w:i/>
          <w:iCs/>
          <w:rtl/>
        </w:rPr>
        <w:t xml:space="preserve"> ضد جمهورية فنزويلا البوليفارية</w:t>
      </w:r>
      <w:r w:rsidRPr="0066561F">
        <w:rPr>
          <w:rtl/>
        </w:rPr>
        <w:t xml:space="preserve"> (</w:t>
      </w:r>
      <w:r w:rsidRPr="0066561F">
        <w:t>CCPR/C/</w:t>
      </w:r>
      <w:r w:rsidRPr="0066561F">
        <w:rPr>
          <w:szCs w:val="18"/>
        </w:rPr>
        <w:t>121</w:t>
      </w:r>
      <w:r w:rsidRPr="0066561F">
        <w:t>/D/</w:t>
      </w:r>
      <w:r w:rsidRPr="0066561F">
        <w:rPr>
          <w:szCs w:val="18"/>
        </w:rPr>
        <w:t>2610</w:t>
      </w:r>
      <w:r w:rsidRPr="0066561F">
        <w:t>/</w:t>
      </w:r>
      <w:r w:rsidRPr="0066561F">
        <w:rPr>
          <w:szCs w:val="18"/>
        </w:rPr>
        <w:t>2015</w:t>
      </w:r>
      <w:r w:rsidRPr="0066561F">
        <w:rPr>
          <w:rtl/>
        </w:rPr>
        <w:t xml:space="preserve">)، الفقرة </w:t>
      </w:r>
      <w:r w:rsidRPr="0066561F">
        <w:rPr>
          <w:szCs w:val="18"/>
          <w:rtl/>
        </w:rPr>
        <w:t>8</w:t>
      </w:r>
      <w:r w:rsidRPr="0066561F">
        <w:rPr>
          <w:rtl/>
        </w:rPr>
        <w:t>-</w:t>
      </w:r>
      <w:r w:rsidRPr="0066561F">
        <w:rPr>
          <w:szCs w:val="18"/>
          <w:rtl/>
        </w:rPr>
        <w:t>3</w:t>
      </w:r>
      <w:r w:rsidRPr="0066561F">
        <w:rPr>
          <w:rtl/>
        </w:rPr>
        <w:t xml:space="preserve">. </w:t>
      </w:r>
    </w:p>
  </w:footnote>
  <w:footnote w:id="49">
    <w:p w14:paraId="1A52C45D" w14:textId="1CD79554"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2"/>
          <w:rtl/>
        </w:rPr>
        <w:t xml:space="preserve">انظر تعليق اللجنة العام رقم </w:t>
      </w:r>
      <w:r w:rsidRPr="0066561F">
        <w:rPr>
          <w:spacing w:val="-2"/>
          <w:szCs w:val="18"/>
          <w:rtl/>
        </w:rPr>
        <w:t>32</w:t>
      </w:r>
      <w:r w:rsidRPr="0066561F">
        <w:rPr>
          <w:spacing w:val="-2"/>
          <w:rtl/>
        </w:rPr>
        <w:t>(</w:t>
      </w:r>
      <w:r w:rsidRPr="0066561F">
        <w:rPr>
          <w:spacing w:val="-2"/>
          <w:szCs w:val="18"/>
          <w:rtl/>
        </w:rPr>
        <w:t>2007</w:t>
      </w:r>
      <w:r w:rsidRPr="0066561F">
        <w:rPr>
          <w:spacing w:val="-2"/>
          <w:rtl/>
        </w:rPr>
        <w:t>) بشأن الحق في المساواة أمام المحاكم والهيئات القضائية وفي محاكمة عادلة،</w:t>
      </w:r>
      <w:r w:rsidRPr="0066561F">
        <w:rPr>
          <w:rtl/>
        </w:rPr>
        <w:t xml:space="preserve"> الفقرة </w:t>
      </w:r>
      <w:r w:rsidRPr="0066561F">
        <w:rPr>
          <w:szCs w:val="18"/>
          <w:rtl/>
        </w:rPr>
        <w:t>48</w:t>
      </w:r>
      <w:r w:rsidRPr="0066561F">
        <w:rPr>
          <w:rtl/>
        </w:rPr>
        <w:t xml:space="preserve">. </w:t>
      </w:r>
    </w:p>
  </w:footnote>
  <w:footnote w:id="50">
    <w:p w14:paraId="57DD74D4" w14:textId="23B3577C"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قضية </w:t>
      </w:r>
      <w:proofErr w:type="spellStart"/>
      <w:r w:rsidRPr="0066561F">
        <w:rPr>
          <w:i/>
          <w:iCs/>
          <w:rtl/>
        </w:rPr>
        <w:t>مانزانو</w:t>
      </w:r>
      <w:proofErr w:type="spellEnd"/>
      <w:r w:rsidRPr="0066561F">
        <w:rPr>
          <w:i/>
          <w:iCs/>
          <w:rtl/>
        </w:rPr>
        <w:t xml:space="preserve"> وآخرين ضد كولومبيا</w:t>
      </w:r>
      <w:r w:rsidRPr="0066561F">
        <w:rPr>
          <w:rtl/>
        </w:rPr>
        <w:t xml:space="preserve"> (</w:t>
      </w:r>
      <w:r w:rsidRPr="0066561F">
        <w:t>CCPR/C/</w:t>
      </w:r>
      <w:r w:rsidRPr="0066561F">
        <w:rPr>
          <w:szCs w:val="18"/>
        </w:rPr>
        <w:t>98</w:t>
      </w:r>
      <w:r w:rsidRPr="0066561F">
        <w:t>/D/</w:t>
      </w:r>
      <w:r w:rsidRPr="0066561F">
        <w:rPr>
          <w:szCs w:val="18"/>
        </w:rPr>
        <w:t>1616</w:t>
      </w:r>
      <w:r w:rsidRPr="0066561F">
        <w:t>/</w:t>
      </w:r>
      <w:r w:rsidRPr="0066561F">
        <w:rPr>
          <w:szCs w:val="18"/>
        </w:rPr>
        <w:t>2007</w:t>
      </w:r>
      <w:r w:rsidRPr="0066561F">
        <w:rPr>
          <w:rtl/>
        </w:rPr>
        <w:t xml:space="preserve">)، الفقرة </w:t>
      </w:r>
      <w:r w:rsidRPr="0066561F">
        <w:rPr>
          <w:szCs w:val="18"/>
          <w:rtl/>
        </w:rPr>
        <w:t>6</w:t>
      </w:r>
      <w:r w:rsidRPr="0066561F">
        <w:rPr>
          <w:rtl/>
        </w:rPr>
        <w:t>-</w:t>
      </w:r>
      <w:r w:rsidRPr="0066561F">
        <w:rPr>
          <w:szCs w:val="18"/>
          <w:rtl/>
        </w:rPr>
        <w:t>4</w:t>
      </w:r>
      <w:r w:rsidRPr="0066561F">
        <w:rPr>
          <w:rtl/>
        </w:rPr>
        <w:t xml:space="preserve">، وقضية </w:t>
      </w:r>
      <w:r w:rsidRPr="0066561F">
        <w:rPr>
          <w:i/>
          <w:iCs/>
          <w:rtl/>
        </w:rPr>
        <w:t xml:space="preserve">ل. د. ل. ب. ضد إسبانيا </w:t>
      </w:r>
      <w:r w:rsidRPr="0066561F">
        <w:rPr>
          <w:rtl/>
        </w:rPr>
        <w:t>(</w:t>
      </w:r>
      <w:r w:rsidRPr="0066561F">
        <w:t>CCPR/C/</w:t>
      </w:r>
      <w:r w:rsidRPr="0066561F">
        <w:rPr>
          <w:szCs w:val="18"/>
        </w:rPr>
        <w:t>102</w:t>
      </w:r>
      <w:r w:rsidRPr="0066561F">
        <w:t>/D/</w:t>
      </w:r>
      <w:r w:rsidRPr="0066561F">
        <w:rPr>
          <w:szCs w:val="18"/>
        </w:rPr>
        <w:t>1622</w:t>
      </w:r>
      <w:r w:rsidRPr="0066561F">
        <w:t>/</w:t>
      </w:r>
      <w:r w:rsidRPr="0066561F">
        <w:rPr>
          <w:szCs w:val="18"/>
        </w:rPr>
        <w:t>2007</w:t>
      </w:r>
      <w:r w:rsidRPr="0066561F">
        <w:rPr>
          <w:rtl/>
        </w:rPr>
        <w:t xml:space="preserve">)، الفقرة </w:t>
      </w:r>
      <w:r w:rsidRPr="0066561F">
        <w:rPr>
          <w:szCs w:val="18"/>
          <w:rtl/>
        </w:rPr>
        <w:t>6</w:t>
      </w:r>
      <w:r w:rsidRPr="0066561F">
        <w:rPr>
          <w:rtl/>
        </w:rPr>
        <w:t>-</w:t>
      </w:r>
      <w:r w:rsidRPr="0066561F">
        <w:rPr>
          <w:szCs w:val="18"/>
          <w:rtl/>
        </w:rPr>
        <w:t>3</w:t>
      </w:r>
      <w:r w:rsidRPr="0066561F">
        <w:rPr>
          <w:rtl/>
        </w:rPr>
        <w:t xml:space="preserve">. </w:t>
      </w:r>
    </w:p>
  </w:footnote>
  <w:footnote w:id="51">
    <w:p w14:paraId="7896E162" w14:textId="741587E1"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التعليق العام رقم </w:t>
      </w:r>
      <w:r w:rsidRPr="0066561F">
        <w:rPr>
          <w:szCs w:val="18"/>
          <w:rtl/>
        </w:rPr>
        <w:t>32</w:t>
      </w:r>
      <w:r w:rsidRPr="0066561F">
        <w:rPr>
          <w:rtl/>
        </w:rPr>
        <w:t xml:space="preserve">، الفقرة </w:t>
      </w:r>
      <w:r w:rsidRPr="0066561F">
        <w:rPr>
          <w:szCs w:val="18"/>
          <w:rtl/>
        </w:rPr>
        <w:t>57</w:t>
      </w:r>
      <w:r w:rsidRPr="0066561F">
        <w:rPr>
          <w:rtl/>
        </w:rPr>
        <w:t xml:space="preserve">. </w:t>
      </w:r>
    </w:p>
  </w:footnote>
  <w:footnote w:id="52">
    <w:p w14:paraId="76838072" w14:textId="4967A8AC" w:rsidR="00886A73" w:rsidRPr="0066561F" w:rsidRDefault="00886A73" w:rsidP="00DB0FA8">
      <w:pPr>
        <w:pStyle w:val="FootnoteText1"/>
        <w:spacing w:line="300" w:lineRule="exact"/>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قضية </w:t>
      </w:r>
      <w:r w:rsidRPr="0066561F">
        <w:rPr>
          <w:i/>
          <w:iCs/>
          <w:rtl/>
        </w:rPr>
        <w:t>تيرون ضدّ إسبانيا</w:t>
      </w:r>
      <w:r w:rsidRPr="0066561F">
        <w:rPr>
          <w:rtl/>
        </w:rPr>
        <w:t xml:space="preserve"> (</w:t>
      </w:r>
      <w:r w:rsidRPr="0066561F">
        <w:t>CCPR/C/</w:t>
      </w:r>
      <w:r w:rsidRPr="0066561F">
        <w:rPr>
          <w:szCs w:val="18"/>
        </w:rPr>
        <w:t>82</w:t>
      </w:r>
      <w:r w:rsidRPr="0066561F">
        <w:t>/D/</w:t>
      </w:r>
      <w:r w:rsidRPr="0066561F">
        <w:rPr>
          <w:szCs w:val="18"/>
        </w:rPr>
        <w:t>1073</w:t>
      </w:r>
      <w:r w:rsidRPr="0066561F">
        <w:t>/</w:t>
      </w:r>
      <w:r w:rsidRPr="0066561F">
        <w:rPr>
          <w:szCs w:val="18"/>
        </w:rPr>
        <w:t>2002</w:t>
      </w:r>
      <w:r w:rsidRPr="0066561F">
        <w:rPr>
          <w:rtl/>
        </w:rPr>
        <w:t xml:space="preserve">)، الفقرة </w:t>
      </w:r>
      <w:r w:rsidRPr="0066561F">
        <w:rPr>
          <w:szCs w:val="18"/>
          <w:rtl/>
        </w:rPr>
        <w:t>7</w:t>
      </w:r>
      <w:r w:rsidRPr="0066561F">
        <w:rPr>
          <w:rtl/>
        </w:rPr>
        <w:t>-</w:t>
      </w:r>
      <w:r w:rsidRPr="0066561F">
        <w:rPr>
          <w:szCs w:val="18"/>
          <w:rtl/>
        </w:rPr>
        <w:t>4</w:t>
      </w:r>
      <w:r w:rsidRPr="0066561F">
        <w:rPr>
          <w:rtl/>
        </w:rPr>
        <w:t xml:space="preserve">؛ وقضية </w:t>
      </w:r>
      <w:r w:rsidRPr="0066561F">
        <w:rPr>
          <w:i/>
          <w:iCs/>
          <w:rtl/>
        </w:rPr>
        <w:t xml:space="preserve">أ. د. م. ضد كولومبيا </w:t>
      </w:r>
      <w:r w:rsidRPr="0066561F">
        <w:rPr>
          <w:spacing w:val="4"/>
          <w:rtl/>
        </w:rPr>
        <w:t>(</w:t>
      </w:r>
      <w:r w:rsidRPr="0066561F">
        <w:rPr>
          <w:spacing w:val="4"/>
        </w:rPr>
        <w:t>CCPR/C/</w:t>
      </w:r>
      <w:r w:rsidRPr="0066561F">
        <w:rPr>
          <w:spacing w:val="4"/>
          <w:szCs w:val="18"/>
        </w:rPr>
        <w:t>123</w:t>
      </w:r>
      <w:r w:rsidRPr="0066561F">
        <w:rPr>
          <w:spacing w:val="4"/>
        </w:rPr>
        <w:t>/D/</w:t>
      </w:r>
      <w:r w:rsidRPr="0066561F">
        <w:rPr>
          <w:spacing w:val="4"/>
          <w:szCs w:val="18"/>
        </w:rPr>
        <w:t>2414</w:t>
      </w:r>
      <w:r w:rsidRPr="0066561F">
        <w:rPr>
          <w:spacing w:val="4"/>
        </w:rPr>
        <w:t>/</w:t>
      </w:r>
      <w:r w:rsidRPr="0066561F">
        <w:rPr>
          <w:spacing w:val="4"/>
          <w:szCs w:val="18"/>
        </w:rPr>
        <w:t>2014</w:t>
      </w:r>
      <w:r w:rsidRPr="0066561F">
        <w:rPr>
          <w:spacing w:val="4"/>
          <w:rtl/>
        </w:rPr>
        <w:t xml:space="preserve">)، الفقرة </w:t>
      </w:r>
      <w:r w:rsidRPr="0066561F">
        <w:rPr>
          <w:spacing w:val="4"/>
          <w:szCs w:val="18"/>
          <w:rtl/>
        </w:rPr>
        <w:t>10</w:t>
      </w:r>
      <w:r w:rsidRPr="0066561F">
        <w:rPr>
          <w:spacing w:val="4"/>
          <w:rtl/>
        </w:rPr>
        <w:t>-</w:t>
      </w:r>
      <w:r w:rsidRPr="0066561F">
        <w:rPr>
          <w:spacing w:val="4"/>
          <w:szCs w:val="18"/>
          <w:rtl/>
        </w:rPr>
        <w:t>4</w:t>
      </w:r>
      <w:r w:rsidRPr="0066561F">
        <w:rPr>
          <w:spacing w:val="4"/>
          <w:rtl/>
        </w:rPr>
        <w:t xml:space="preserve">؛ وقضية </w:t>
      </w:r>
      <w:proofErr w:type="spellStart"/>
      <w:r w:rsidRPr="0066561F">
        <w:rPr>
          <w:i/>
          <w:iCs/>
          <w:spacing w:val="4"/>
          <w:rtl/>
        </w:rPr>
        <w:t>أرياس</w:t>
      </w:r>
      <w:proofErr w:type="spellEnd"/>
      <w:r w:rsidRPr="0066561F">
        <w:rPr>
          <w:i/>
          <w:iCs/>
          <w:spacing w:val="4"/>
          <w:rtl/>
        </w:rPr>
        <w:t xml:space="preserve"> ليفا ضد كولومبيا</w:t>
      </w:r>
      <w:r w:rsidRPr="0066561F">
        <w:rPr>
          <w:spacing w:val="4"/>
          <w:rtl/>
        </w:rPr>
        <w:t xml:space="preserve"> (</w:t>
      </w:r>
      <w:r w:rsidRPr="0066561F">
        <w:rPr>
          <w:spacing w:val="4"/>
        </w:rPr>
        <w:t>CCPR/C/</w:t>
      </w:r>
      <w:r w:rsidRPr="0066561F">
        <w:rPr>
          <w:spacing w:val="4"/>
          <w:szCs w:val="18"/>
        </w:rPr>
        <w:t>123</w:t>
      </w:r>
      <w:r w:rsidRPr="0066561F">
        <w:rPr>
          <w:spacing w:val="4"/>
        </w:rPr>
        <w:t>/D/</w:t>
      </w:r>
      <w:r w:rsidRPr="0066561F">
        <w:rPr>
          <w:spacing w:val="4"/>
          <w:szCs w:val="18"/>
        </w:rPr>
        <w:t>2537</w:t>
      </w:r>
      <w:r w:rsidRPr="0066561F">
        <w:rPr>
          <w:spacing w:val="4"/>
        </w:rPr>
        <w:t>/</w:t>
      </w:r>
      <w:r w:rsidRPr="0066561F">
        <w:rPr>
          <w:spacing w:val="4"/>
          <w:szCs w:val="18"/>
        </w:rPr>
        <w:t>2015</w:t>
      </w:r>
      <w:r w:rsidRPr="0066561F">
        <w:rPr>
          <w:spacing w:val="4"/>
          <w:rtl/>
        </w:rPr>
        <w:t>)،</w:t>
      </w:r>
      <w:r w:rsidRPr="0066561F">
        <w:rPr>
          <w:rtl/>
        </w:rPr>
        <w:t xml:space="preserve"> الفقرة </w:t>
      </w:r>
      <w:r w:rsidRPr="0066561F">
        <w:rPr>
          <w:szCs w:val="18"/>
          <w:rtl/>
        </w:rPr>
        <w:t>11</w:t>
      </w:r>
      <w:r w:rsidRPr="0066561F">
        <w:rPr>
          <w:rtl/>
        </w:rPr>
        <w:t>-</w:t>
      </w:r>
      <w:r w:rsidRPr="0066561F">
        <w:rPr>
          <w:szCs w:val="18"/>
          <w:rtl/>
        </w:rPr>
        <w:t>4</w:t>
      </w:r>
      <w:r w:rsidRPr="0066561F">
        <w:rPr>
          <w:rtl/>
        </w:rPr>
        <w:t xml:space="preserve">. انظر أيضاً التعليق العام رقم </w:t>
      </w:r>
      <w:r w:rsidRPr="0066561F">
        <w:rPr>
          <w:szCs w:val="18"/>
          <w:rtl/>
        </w:rPr>
        <w:t>32</w:t>
      </w:r>
      <w:r w:rsidRPr="0066561F">
        <w:rPr>
          <w:rtl/>
        </w:rPr>
        <w:t xml:space="preserve">، الفقرات من </w:t>
      </w:r>
      <w:r w:rsidRPr="0066561F">
        <w:rPr>
          <w:szCs w:val="18"/>
          <w:rtl/>
        </w:rPr>
        <w:t>45</w:t>
      </w:r>
      <w:r w:rsidRPr="0066561F">
        <w:rPr>
          <w:rtl/>
        </w:rPr>
        <w:t xml:space="preserve"> إلى </w:t>
      </w:r>
      <w:r w:rsidRPr="0066561F">
        <w:rPr>
          <w:szCs w:val="18"/>
          <w:rtl/>
        </w:rPr>
        <w:t>47</w:t>
      </w:r>
      <w:r w:rsidRPr="0066561F">
        <w:rPr>
          <w:rtl/>
        </w:rPr>
        <w:t xml:space="preserve">. وانظر أيضاً الحكم </w:t>
      </w:r>
      <w:r w:rsidRPr="0066561F">
        <w:t>SU</w:t>
      </w:r>
      <w:r w:rsidRPr="0066561F">
        <w:rPr>
          <w:szCs w:val="18"/>
        </w:rPr>
        <w:t>146</w:t>
      </w:r>
      <w:r w:rsidRPr="0066561F">
        <w:t>/</w:t>
      </w:r>
      <w:r w:rsidRPr="0066561F">
        <w:rPr>
          <w:szCs w:val="18"/>
        </w:rPr>
        <w:t>20</w:t>
      </w:r>
      <w:r w:rsidRPr="0066561F">
        <w:rPr>
          <w:rtl/>
        </w:rPr>
        <w:t xml:space="preserve"> الصادر عن المحكمة الدستورية في </w:t>
      </w:r>
      <w:r w:rsidRPr="0066561F">
        <w:rPr>
          <w:szCs w:val="18"/>
          <w:rtl/>
        </w:rPr>
        <w:t>21</w:t>
      </w:r>
      <w:r w:rsidRPr="0066561F">
        <w:rPr>
          <w:rtl/>
        </w:rPr>
        <w:t xml:space="preserve"> أيار/مايو </w:t>
      </w:r>
      <w:r w:rsidRPr="0066561F">
        <w:rPr>
          <w:szCs w:val="18"/>
          <w:rtl/>
        </w:rPr>
        <w:t>2020</w:t>
      </w:r>
      <w:r w:rsidRPr="0066561F">
        <w:rPr>
          <w:rtl/>
        </w:rPr>
        <w:t xml:space="preserve">، متاح في </w:t>
      </w:r>
      <w:hyperlink r:id="rId4" w:history="1">
        <w:r w:rsidRPr="0066561F">
          <w:rPr>
            <w:rStyle w:val="Hyperlink"/>
            <w:u w:val="none"/>
          </w:rPr>
          <w:t>www.corteconstitucional.gov.co/relatoria/</w:t>
        </w:r>
        <w:r w:rsidRPr="0066561F">
          <w:rPr>
            <w:rStyle w:val="Hyperlink"/>
            <w:szCs w:val="18"/>
            <w:u w:val="none"/>
          </w:rPr>
          <w:t>2020</w:t>
        </w:r>
        <w:r w:rsidRPr="0066561F">
          <w:rPr>
            <w:rStyle w:val="Hyperlink"/>
            <w:u w:val="none"/>
          </w:rPr>
          <w:t>/su</w:t>
        </w:r>
        <w:r w:rsidRPr="0066561F">
          <w:rPr>
            <w:rStyle w:val="Hyperlink"/>
            <w:szCs w:val="18"/>
            <w:u w:val="none"/>
          </w:rPr>
          <w:t>146</w:t>
        </w:r>
        <w:r w:rsidRPr="0066561F">
          <w:rPr>
            <w:rStyle w:val="Hyperlink"/>
            <w:u w:val="none"/>
          </w:rPr>
          <w:t>-</w:t>
        </w:r>
        <w:r w:rsidRPr="0066561F">
          <w:rPr>
            <w:rStyle w:val="Hyperlink"/>
            <w:szCs w:val="18"/>
            <w:u w:val="none"/>
          </w:rPr>
          <w:t>20</w:t>
        </w:r>
        <w:r w:rsidRPr="0066561F">
          <w:rPr>
            <w:rStyle w:val="Hyperlink"/>
            <w:u w:val="none"/>
          </w:rPr>
          <w:t>.htm</w:t>
        </w:r>
      </w:hyperlink>
      <w:r w:rsidRPr="0066561F">
        <w:rPr>
          <w:rtl/>
        </w:rPr>
        <w:t xml:space="preserve">. </w:t>
      </w:r>
    </w:p>
  </w:footnote>
  <w:footnote w:id="53">
    <w:p w14:paraId="452C827D" w14:textId="2DCB5EF4"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تلاحظ اللجنة أيضاً أن كونغرس الجمهورية، وإن حثته المحكمة الدستورية على أن ينظم على نحو كامل الحق في الطعن في جميع أحكام الإدانة، لم يمتثل حينها لما أمرت به هذه المحكمة. وبالإضافة إلى ذلك، أكدت محكمة العدل العليا، في </w:t>
      </w:r>
      <w:r w:rsidRPr="0066561F">
        <w:rPr>
          <w:szCs w:val="18"/>
          <w:rtl/>
        </w:rPr>
        <w:t>28</w:t>
      </w:r>
      <w:r w:rsidRPr="0066561F">
        <w:rPr>
          <w:rtl/>
        </w:rPr>
        <w:t xml:space="preserve"> نيسان/أبريل </w:t>
      </w:r>
      <w:r w:rsidRPr="0066561F">
        <w:rPr>
          <w:szCs w:val="18"/>
          <w:rtl/>
        </w:rPr>
        <w:t>2016</w:t>
      </w:r>
      <w:r w:rsidRPr="0066561F">
        <w:rPr>
          <w:rtl/>
        </w:rPr>
        <w:t xml:space="preserve">، أن الأثر القانوني المنصوص عليه في قرار المحكمة الدستورية "غير قابل </w:t>
      </w:r>
      <w:r w:rsidRPr="0066561F">
        <w:rPr>
          <w:spacing w:val="-4"/>
          <w:rtl/>
        </w:rPr>
        <w:t>للتحقيق"، إذ لا يمكنها، باعتبارها المحكمة العليا والنهائية في نظام القضاء العادي، إنشاء هيئة أعلى من الناحية</w:t>
      </w:r>
      <w:r w:rsidRPr="0066561F">
        <w:rPr>
          <w:rtl/>
        </w:rPr>
        <w:t xml:space="preserve"> الهرمية لمراجعة الأحكام الصادرة عن دوائرها المتخصصة. وتحيط اللجنة علماً أيضاً بالقرار </w:t>
      </w:r>
      <w:r w:rsidRPr="0066561F">
        <w:t>SU</w:t>
      </w:r>
      <w:r w:rsidRPr="0066561F">
        <w:rPr>
          <w:szCs w:val="18"/>
        </w:rPr>
        <w:t>215</w:t>
      </w:r>
      <w:r w:rsidRPr="0066561F">
        <w:t>/</w:t>
      </w:r>
      <w:r w:rsidRPr="0066561F">
        <w:rPr>
          <w:szCs w:val="18"/>
        </w:rPr>
        <w:t>16</w:t>
      </w:r>
      <w:r w:rsidRPr="0066561F">
        <w:rPr>
          <w:rtl/>
        </w:rPr>
        <w:t xml:space="preserve"> الصادر عن المحكمة الدستورية في </w:t>
      </w:r>
      <w:r w:rsidRPr="0066561F">
        <w:rPr>
          <w:szCs w:val="18"/>
          <w:rtl/>
        </w:rPr>
        <w:t>28</w:t>
      </w:r>
      <w:r w:rsidRPr="0066561F">
        <w:rPr>
          <w:rtl/>
        </w:rPr>
        <w:t xml:space="preserve"> نيسان/أبريل </w:t>
      </w:r>
      <w:r w:rsidRPr="0066561F">
        <w:rPr>
          <w:szCs w:val="18"/>
          <w:rtl/>
        </w:rPr>
        <w:t>2016</w:t>
      </w:r>
      <w:r w:rsidRPr="0066561F">
        <w:rPr>
          <w:rtl/>
        </w:rPr>
        <w:t xml:space="preserve">، الذي ينص على أن التمتع بالحق في الطعن في أحكام الإدانة الابتدائية والنهائية لا ينطبق إلا على القضايا التي صدرت بشأنها أحكام اعتباراً من </w:t>
      </w:r>
      <w:r w:rsidRPr="0066561F">
        <w:rPr>
          <w:szCs w:val="18"/>
          <w:rtl/>
        </w:rPr>
        <w:t>24</w:t>
      </w:r>
      <w:r w:rsidRPr="0066561F">
        <w:rPr>
          <w:rtl/>
        </w:rPr>
        <w:t xml:space="preserve"> نيسان/أبريل </w:t>
      </w:r>
      <w:r w:rsidRPr="0066561F">
        <w:rPr>
          <w:szCs w:val="18"/>
          <w:rtl/>
        </w:rPr>
        <w:t>2016</w:t>
      </w:r>
      <w:r w:rsidRPr="0066561F">
        <w:rPr>
          <w:rtl/>
        </w:rPr>
        <w:t xml:space="preserve">، </w:t>
      </w:r>
      <w:r w:rsidRPr="0066561F">
        <w:rPr>
          <w:spacing w:val="-4"/>
          <w:rtl/>
        </w:rPr>
        <w:t>والذي ترتب عليه عدم قبول أي طعن قدمه صاحب البلاغ إلى دائرة النقض الجنائية بمحكمة العدل العليا. انظر</w:t>
      </w:r>
      <w:r w:rsidRPr="0066561F">
        <w:rPr>
          <w:rtl/>
        </w:rPr>
        <w:t xml:space="preserve"> البيان الصحفي رقم </w:t>
      </w:r>
      <w:r w:rsidRPr="0066561F">
        <w:rPr>
          <w:szCs w:val="18"/>
          <w:rtl/>
        </w:rPr>
        <w:t>08</w:t>
      </w:r>
      <w:r w:rsidRPr="0066561F">
        <w:rPr>
          <w:rtl/>
        </w:rPr>
        <w:t>/</w:t>
      </w:r>
      <w:r w:rsidRPr="0066561F">
        <w:rPr>
          <w:szCs w:val="18"/>
          <w:rtl/>
        </w:rPr>
        <w:t>16</w:t>
      </w:r>
      <w:r w:rsidRPr="0066561F">
        <w:rPr>
          <w:rtl/>
        </w:rPr>
        <w:t xml:space="preserve"> والقرار رقم </w:t>
      </w:r>
      <w:r w:rsidRPr="0066561F">
        <w:rPr>
          <w:szCs w:val="18"/>
          <w:rtl/>
        </w:rPr>
        <w:t>39156</w:t>
      </w:r>
      <w:r w:rsidRPr="0066561F">
        <w:rPr>
          <w:rtl/>
        </w:rPr>
        <w:t xml:space="preserve"> الصادر عن دائرة النقض الجنائية بمحكمة العدل العليا، في </w:t>
      </w:r>
      <w:r w:rsidRPr="0066561F">
        <w:rPr>
          <w:szCs w:val="18"/>
          <w:rtl/>
        </w:rPr>
        <w:t>18</w:t>
      </w:r>
      <w:r w:rsidRPr="0066561F">
        <w:rPr>
          <w:rtl/>
        </w:rPr>
        <w:t xml:space="preserve"> أيار/مايو </w:t>
      </w:r>
      <w:r w:rsidRPr="0066561F">
        <w:rPr>
          <w:szCs w:val="18"/>
          <w:rtl/>
        </w:rPr>
        <w:t>2016</w:t>
      </w:r>
      <w:r w:rsidRPr="0066561F">
        <w:rPr>
          <w:rtl/>
        </w:rPr>
        <w:t xml:space="preserve">. </w:t>
      </w:r>
    </w:p>
  </w:footnote>
  <w:footnote w:id="54">
    <w:p w14:paraId="35BD7A86" w14:textId="36A65F73"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قضية </w:t>
      </w:r>
      <w:proofErr w:type="spellStart"/>
      <w:r w:rsidRPr="0066561F">
        <w:rPr>
          <w:i/>
          <w:iCs/>
          <w:rtl/>
        </w:rPr>
        <w:t>أرياس</w:t>
      </w:r>
      <w:proofErr w:type="spellEnd"/>
      <w:r w:rsidRPr="0066561F">
        <w:rPr>
          <w:i/>
          <w:iCs/>
          <w:rtl/>
        </w:rPr>
        <w:t xml:space="preserve"> ليفا ضد كولومبيا</w:t>
      </w:r>
      <w:r w:rsidRPr="0066561F">
        <w:rPr>
          <w:rtl/>
        </w:rPr>
        <w:t xml:space="preserve">، الفقرة </w:t>
      </w:r>
      <w:r w:rsidRPr="0066561F">
        <w:rPr>
          <w:szCs w:val="18"/>
          <w:rtl/>
        </w:rPr>
        <w:t>11</w:t>
      </w:r>
      <w:r w:rsidRPr="0066561F">
        <w:rPr>
          <w:rtl/>
        </w:rPr>
        <w:t>-</w:t>
      </w:r>
      <w:r w:rsidRPr="0066561F">
        <w:rPr>
          <w:szCs w:val="18"/>
          <w:rtl/>
        </w:rPr>
        <w:t>4</w:t>
      </w:r>
      <w:r w:rsidRPr="0066561F">
        <w:rPr>
          <w:rtl/>
        </w:rPr>
        <w:t xml:space="preserve">؛ وقضية </w:t>
      </w:r>
      <w:r w:rsidRPr="0066561F">
        <w:rPr>
          <w:i/>
          <w:iCs/>
          <w:rtl/>
        </w:rPr>
        <w:t>أ. د. م. ضد كولومبيا</w:t>
      </w:r>
      <w:r w:rsidRPr="0066561F">
        <w:rPr>
          <w:rtl/>
        </w:rPr>
        <w:t xml:space="preserve">، الفقرة </w:t>
      </w:r>
      <w:r w:rsidRPr="0066561F">
        <w:rPr>
          <w:szCs w:val="18"/>
          <w:rtl/>
        </w:rPr>
        <w:t>10</w:t>
      </w:r>
      <w:r w:rsidRPr="0066561F">
        <w:rPr>
          <w:rtl/>
        </w:rPr>
        <w:t>-</w:t>
      </w:r>
      <w:r w:rsidRPr="0066561F">
        <w:rPr>
          <w:szCs w:val="18"/>
          <w:rtl/>
        </w:rPr>
        <w:t>4</w:t>
      </w:r>
      <w:r w:rsidRPr="0066561F">
        <w:rPr>
          <w:rtl/>
        </w:rPr>
        <w:t xml:space="preserve">؛ وقضية </w:t>
      </w:r>
      <w:proofErr w:type="spellStart"/>
      <w:r w:rsidRPr="0066561F">
        <w:rPr>
          <w:i/>
          <w:iCs/>
          <w:rtl/>
        </w:rPr>
        <w:t>غوميث</w:t>
      </w:r>
      <w:proofErr w:type="spellEnd"/>
      <w:r w:rsidRPr="0066561F">
        <w:rPr>
          <w:i/>
          <w:iCs/>
          <w:rtl/>
        </w:rPr>
        <w:t xml:space="preserve"> </w:t>
      </w:r>
      <w:proofErr w:type="spellStart"/>
      <w:r w:rsidRPr="0066561F">
        <w:rPr>
          <w:i/>
          <w:iCs/>
          <w:rtl/>
        </w:rPr>
        <w:t>باسكيث</w:t>
      </w:r>
      <w:proofErr w:type="spellEnd"/>
      <w:r w:rsidRPr="0066561F">
        <w:rPr>
          <w:i/>
          <w:iCs/>
          <w:rtl/>
        </w:rPr>
        <w:t xml:space="preserve"> ضد إسبانيا </w:t>
      </w:r>
      <w:r w:rsidRPr="0066561F">
        <w:rPr>
          <w:rtl/>
        </w:rPr>
        <w:t>(</w:t>
      </w:r>
      <w:r w:rsidRPr="0066561F">
        <w:t>CCPR/C/</w:t>
      </w:r>
      <w:r w:rsidRPr="0066561F">
        <w:rPr>
          <w:szCs w:val="18"/>
        </w:rPr>
        <w:t>69</w:t>
      </w:r>
      <w:r w:rsidRPr="0066561F">
        <w:t>/D/</w:t>
      </w:r>
      <w:r w:rsidRPr="0066561F">
        <w:rPr>
          <w:szCs w:val="18"/>
        </w:rPr>
        <w:t>701</w:t>
      </w:r>
      <w:r w:rsidRPr="0066561F">
        <w:t>/</w:t>
      </w:r>
      <w:r w:rsidRPr="0066561F">
        <w:rPr>
          <w:szCs w:val="18"/>
        </w:rPr>
        <w:t>1996</w:t>
      </w:r>
      <w:r w:rsidRPr="0066561F">
        <w:rPr>
          <w:rtl/>
        </w:rPr>
        <w:t xml:space="preserve">)، الفقرة </w:t>
      </w:r>
      <w:r w:rsidRPr="0066561F">
        <w:rPr>
          <w:szCs w:val="18"/>
          <w:rtl/>
        </w:rPr>
        <w:t>11</w:t>
      </w:r>
      <w:r w:rsidRPr="0066561F">
        <w:rPr>
          <w:rtl/>
        </w:rPr>
        <w:t>-</w:t>
      </w:r>
      <w:r w:rsidRPr="0066561F">
        <w:rPr>
          <w:szCs w:val="18"/>
          <w:rtl/>
        </w:rPr>
        <w:t>1</w:t>
      </w:r>
      <w:r w:rsidRPr="0066561F">
        <w:rPr>
          <w:rtl/>
        </w:rPr>
        <w:t xml:space="preserve">. </w:t>
      </w:r>
    </w:p>
  </w:footnote>
  <w:footnote w:id="55">
    <w:p w14:paraId="65C19F49" w14:textId="0A74AC4B" w:rsidR="00886A73" w:rsidRPr="0066561F"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t xml:space="preserve">محكمة العدل العليا ومجلس الدولة بالنسبة لنائب رئيس الجمهورية، والوزراء، والمدعي العام، وأمين المظالم، وموظفي النيابة العامة؛ والمحاكم بالنسبة لمديري الأقسام الإدارية، والمراقب المالي العام للجمهورية، والسفراء، ورؤساء البعثات الدبلوماسية أو القنصلية، وحكام المحافظات، وقضاة المحاكم، والجنرالات </w:t>
      </w:r>
      <w:proofErr w:type="spellStart"/>
      <w:r w:rsidRPr="0066561F">
        <w:rPr>
          <w:rtl/>
        </w:rPr>
        <w:t>والأميرالات</w:t>
      </w:r>
      <w:proofErr w:type="spellEnd"/>
      <w:r w:rsidRPr="0066561F">
        <w:rPr>
          <w:rtl/>
        </w:rPr>
        <w:t xml:space="preserve"> في القوات العامة. </w:t>
      </w:r>
    </w:p>
  </w:footnote>
  <w:footnote w:id="56">
    <w:p w14:paraId="49927600" w14:textId="7174436E" w:rsidR="00886A73" w:rsidRPr="00296A22" w:rsidRDefault="00886A73" w:rsidP="008F657D">
      <w:pPr>
        <w:pStyle w:val="FootnoteText1"/>
      </w:pPr>
      <w:r w:rsidRPr="0066561F">
        <w:rPr>
          <w:rtl/>
        </w:rPr>
        <w:t>(</w:t>
      </w:r>
      <w:r w:rsidRPr="0066561F">
        <w:rPr>
          <w:rStyle w:val="FootnoteReference"/>
          <w:rFonts w:ascii="Times New Roman" w:hAnsi="Times New Roman" w:cs="Times New Roman" w:hint="eastAsia"/>
          <w:b w:val="0"/>
          <w:vertAlign w:val="baseline"/>
        </w:rPr>
        <w:footnoteRef/>
      </w:r>
      <w:r w:rsidRPr="0066561F">
        <w:rPr>
          <w:rtl/>
        </w:rPr>
        <w:t>)</w:t>
      </w:r>
      <w:r w:rsidRPr="0066561F">
        <w:rPr>
          <w:rtl/>
        </w:rPr>
        <w:tab/>
      </w:r>
      <w:r w:rsidRPr="0066561F">
        <w:rPr>
          <w:spacing w:val="-4"/>
          <w:rtl/>
        </w:rPr>
        <w:t xml:space="preserve">القانون التشريعي </w:t>
      </w:r>
      <w:r w:rsidRPr="0066561F">
        <w:rPr>
          <w:spacing w:val="-4"/>
          <w:szCs w:val="18"/>
          <w:rtl/>
        </w:rPr>
        <w:t>01</w:t>
      </w:r>
      <w:r w:rsidRPr="0066561F">
        <w:rPr>
          <w:spacing w:val="-4"/>
          <w:rtl/>
        </w:rPr>
        <w:t xml:space="preserve"> لعام </w:t>
      </w:r>
      <w:r w:rsidRPr="0066561F">
        <w:rPr>
          <w:spacing w:val="-4"/>
          <w:szCs w:val="18"/>
          <w:rtl/>
        </w:rPr>
        <w:t>2018</w:t>
      </w:r>
      <w:r w:rsidRPr="0066561F">
        <w:rPr>
          <w:spacing w:val="-4"/>
          <w:rtl/>
        </w:rPr>
        <w:t xml:space="preserve">، متاح في: </w:t>
      </w:r>
      <w:hyperlink r:id="rId5" w:history="1">
        <w:r w:rsidR="007908C3" w:rsidRPr="0066561F">
          <w:rPr>
            <w:rStyle w:val="Hyperlink"/>
            <w:spacing w:val="-4"/>
          </w:rPr>
          <w:t>www.funcionpublica.gov.co/eva/gestornormativo/norma.php?</w:t>
        </w:r>
        <w:r w:rsidR="007908C3" w:rsidRPr="0066561F">
          <w:rPr>
            <w:rStyle w:val="Hyperlink"/>
            <w:spacing w:val="-4"/>
          </w:rPr>
          <w:br/>
          <w:t>i=</w:t>
        </w:r>
        <w:r w:rsidR="007908C3" w:rsidRPr="0066561F">
          <w:rPr>
            <w:rStyle w:val="Hyperlink"/>
            <w:spacing w:val="-4"/>
            <w:szCs w:val="18"/>
          </w:rPr>
          <w:t>85699</w:t>
        </w:r>
      </w:hyperlink>
      <w:r w:rsidRPr="0066561F">
        <w:rPr>
          <w:rFonts w:hint="cs"/>
          <w:rtl/>
        </w:rPr>
        <w:t>.</w:t>
      </w:r>
      <w:r w:rsidRPr="00296A2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52AC" w14:textId="36442AD0" w:rsidR="00886A73" w:rsidRPr="001564B1" w:rsidRDefault="00ED191E" w:rsidP="001564B1">
    <w:pPr>
      <w:pStyle w:val="Header"/>
      <w:jc w:val="right"/>
    </w:pPr>
    <w:r w:rsidRPr="0066561F">
      <w:fldChar w:fldCharType="begin"/>
    </w:r>
    <w:r w:rsidRPr="0066561F">
      <w:instrText xml:space="preserve"> TITLE  \* MERGEFORMAT </w:instrText>
    </w:r>
    <w:r w:rsidRPr="0066561F">
      <w:fldChar w:fldCharType="separate"/>
    </w:r>
    <w:r>
      <w:t>CCPR/C/129/D/2931/2017</w:t>
    </w:r>
    <w:r w:rsidRPr="0066561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761E" w14:textId="43377BF1" w:rsidR="00886A73" w:rsidRPr="001564B1" w:rsidRDefault="00ED191E" w:rsidP="001564B1">
    <w:pPr>
      <w:pStyle w:val="Header"/>
    </w:pPr>
    <w:r w:rsidRPr="0066561F">
      <w:fldChar w:fldCharType="begin"/>
    </w:r>
    <w:r w:rsidRPr="0066561F">
      <w:instrText xml:space="preserve"> TITLE  \* MERGEFORMAT </w:instrText>
    </w:r>
    <w:r w:rsidRPr="0066561F">
      <w:fldChar w:fldCharType="separate"/>
    </w:r>
    <w:r>
      <w:t>CCPR/C/129/D/2931/2017</w:t>
    </w:r>
    <w:r w:rsidRPr="006656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0"/>
  </w:num>
  <w:num w:numId="13">
    <w:abstractNumId w:val="3"/>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16"/>
    <w:rsid w:val="000076D5"/>
    <w:rsid w:val="00043663"/>
    <w:rsid w:val="000437B8"/>
    <w:rsid w:val="000505CF"/>
    <w:rsid w:val="000D701C"/>
    <w:rsid w:val="000E2A71"/>
    <w:rsid w:val="001564B1"/>
    <w:rsid w:val="00160263"/>
    <w:rsid w:val="00161239"/>
    <w:rsid w:val="00181F96"/>
    <w:rsid w:val="001A1371"/>
    <w:rsid w:val="001B346A"/>
    <w:rsid w:val="001E1CAD"/>
    <w:rsid w:val="001E290D"/>
    <w:rsid w:val="002144FA"/>
    <w:rsid w:val="0023469A"/>
    <w:rsid w:val="00243C8A"/>
    <w:rsid w:val="00267A0E"/>
    <w:rsid w:val="002901D9"/>
    <w:rsid w:val="00296A22"/>
    <w:rsid w:val="002976C2"/>
    <w:rsid w:val="003068BC"/>
    <w:rsid w:val="003260FF"/>
    <w:rsid w:val="00343D95"/>
    <w:rsid w:val="00344CF9"/>
    <w:rsid w:val="00363A18"/>
    <w:rsid w:val="00374341"/>
    <w:rsid w:val="00375ABC"/>
    <w:rsid w:val="003D1062"/>
    <w:rsid w:val="00420D7B"/>
    <w:rsid w:val="00450B21"/>
    <w:rsid w:val="00453B63"/>
    <w:rsid w:val="00455780"/>
    <w:rsid w:val="004B0A1C"/>
    <w:rsid w:val="004D298E"/>
    <w:rsid w:val="00517BC9"/>
    <w:rsid w:val="0054472E"/>
    <w:rsid w:val="00550A16"/>
    <w:rsid w:val="005662A9"/>
    <w:rsid w:val="005827D4"/>
    <w:rsid w:val="0058508B"/>
    <w:rsid w:val="0059622A"/>
    <w:rsid w:val="005B51C4"/>
    <w:rsid w:val="005C5878"/>
    <w:rsid w:val="005C7CEA"/>
    <w:rsid w:val="005D3C0B"/>
    <w:rsid w:val="005E5217"/>
    <w:rsid w:val="005F0FA4"/>
    <w:rsid w:val="005F30EE"/>
    <w:rsid w:val="0060473A"/>
    <w:rsid w:val="00617024"/>
    <w:rsid w:val="00652221"/>
    <w:rsid w:val="00656392"/>
    <w:rsid w:val="0066561F"/>
    <w:rsid w:val="0067492B"/>
    <w:rsid w:val="0068781D"/>
    <w:rsid w:val="006959B0"/>
    <w:rsid w:val="006B3E27"/>
    <w:rsid w:val="006B6507"/>
    <w:rsid w:val="006C104C"/>
    <w:rsid w:val="00733704"/>
    <w:rsid w:val="00734CE5"/>
    <w:rsid w:val="0078071A"/>
    <w:rsid w:val="00787E1E"/>
    <w:rsid w:val="007908C3"/>
    <w:rsid w:val="00852A9A"/>
    <w:rsid w:val="00886A73"/>
    <w:rsid w:val="008F49E1"/>
    <w:rsid w:val="008F657D"/>
    <w:rsid w:val="0090370F"/>
    <w:rsid w:val="009269D2"/>
    <w:rsid w:val="00942135"/>
    <w:rsid w:val="009521B0"/>
    <w:rsid w:val="00982139"/>
    <w:rsid w:val="009867A8"/>
    <w:rsid w:val="00991F44"/>
    <w:rsid w:val="009A7E9F"/>
    <w:rsid w:val="009C196B"/>
    <w:rsid w:val="009E5018"/>
    <w:rsid w:val="00A03700"/>
    <w:rsid w:val="00A12B37"/>
    <w:rsid w:val="00AB512E"/>
    <w:rsid w:val="00AB6758"/>
    <w:rsid w:val="00AB727F"/>
    <w:rsid w:val="00AF021D"/>
    <w:rsid w:val="00B13763"/>
    <w:rsid w:val="00B477A4"/>
    <w:rsid w:val="00B54045"/>
    <w:rsid w:val="00B7140F"/>
    <w:rsid w:val="00C22F95"/>
    <w:rsid w:val="00C42AF7"/>
    <w:rsid w:val="00C438D7"/>
    <w:rsid w:val="00C81B50"/>
    <w:rsid w:val="00CB6622"/>
    <w:rsid w:val="00CC1733"/>
    <w:rsid w:val="00CD1801"/>
    <w:rsid w:val="00CF65C6"/>
    <w:rsid w:val="00D10EF1"/>
    <w:rsid w:val="00D42810"/>
    <w:rsid w:val="00D7596A"/>
    <w:rsid w:val="00D914A7"/>
    <w:rsid w:val="00DA3F2E"/>
    <w:rsid w:val="00DB0FA8"/>
    <w:rsid w:val="00DD13C3"/>
    <w:rsid w:val="00DD596E"/>
    <w:rsid w:val="00DD621E"/>
    <w:rsid w:val="00DE50B1"/>
    <w:rsid w:val="00DF0575"/>
    <w:rsid w:val="00E2228E"/>
    <w:rsid w:val="00E42875"/>
    <w:rsid w:val="00E70E04"/>
    <w:rsid w:val="00E77E6C"/>
    <w:rsid w:val="00EC05A7"/>
    <w:rsid w:val="00EC4B6B"/>
    <w:rsid w:val="00ED191E"/>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77AF91"/>
  <w15:docId w15:val="{FC00AEFB-D382-4766-BCCC-F229A4DF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7D"/>
    <w:pPr>
      <w:bidi/>
      <w:spacing w:line="240" w:lineRule="atLeast"/>
      <w:jc w:val="lowKashida"/>
    </w:pPr>
    <w:rPr>
      <w:rFonts w:ascii="Times New Roman" w:eastAsia="PMingLiU" w:hAnsi="Times New Roman" w:cs="Traditional Arabic"/>
      <w:szCs w:val="28"/>
      <w:lang w:eastAsia="en-US"/>
    </w:rPr>
  </w:style>
  <w:style w:type="paragraph" w:styleId="Heading1">
    <w:name w:val="heading 1"/>
    <w:aliases w:val="Table_GA"/>
    <w:basedOn w:val="SingleTxtGA"/>
    <w:next w:val="Normal"/>
    <w:link w:val="Heading1Char"/>
    <w:qFormat/>
    <w:rsid w:val="008F657D"/>
    <w:pPr>
      <w:suppressAutoHyphens/>
      <w:bidi w:val="0"/>
      <w:outlineLvl w:val="0"/>
    </w:pPr>
  </w:style>
  <w:style w:type="paragraph" w:styleId="Heading2">
    <w:name w:val="heading 2"/>
    <w:basedOn w:val="Normal"/>
    <w:next w:val="Normal"/>
    <w:link w:val="Heading2Char"/>
    <w:uiPriority w:val="9"/>
    <w:unhideWhenUsed/>
    <w:rsid w:val="008F657D"/>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8F657D"/>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8F657D"/>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8F657D"/>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8F657D"/>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8F657D"/>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8F657D"/>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8F657D"/>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657D"/>
    <w:pPr>
      <w:spacing w:line="240" w:lineRule="auto"/>
    </w:pPr>
    <w:rPr>
      <w:szCs w:val="20"/>
    </w:rPr>
  </w:style>
  <w:style w:type="character" w:customStyle="1" w:styleId="FootnoteTextChar">
    <w:name w:val="Footnote Text Char"/>
    <w:link w:val="FootnoteText"/>
    <w:uiPriority w:val="99"/>
    <w:semiHidden/>
    <w:rsid w:val="008F657D"/>
    <w:rPr>
      <w:rFonts w:ascii="Times New Roman" w:eastAsia="PMingLiU" w:hAnsi="Times New Roman" w:cs="Traditional Arabic"/>
      <w:lang w:eastAsia="en-US"/>
    </w:rPr>
  </w:style>
  <w:style w:type="character" w:styleId="FootnoteReference">
    <w:name w:val="footnote reference"/>
    <w:aliases w:val="4_GA"/>
    <w:qFormat/>
    <w:rsid w:val="008F657D"/>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8F657D"/>
    <w:pPr>
      <w:keepNext/>
      <w:keepLines/>
      <w:tabs>
        <w:tab w:val="right" w:pos="1021"/>
      </w:tabs>
      <w:suppressAutoHyphens/>
      <w:spacing w:before="360" w:after="240" w:line="480" w:lineRule="exact"/>
      <w:ind w:left="1247" w:right="1247" w:hanging="1247"/>
      <w:outlineLvl w:val="0"/>
    </w:pPr>
    <w:rPr>
      <w:b/>
      <w:bCs/>
      <w:sz w:val="34"/>
      <w:szCs w:val="44"/>
    </w:rPr>
  </w:style>
  <w:style w:type="paragraph" w:customStyle="1" w:styleId="HChGA">
    <w:name w:val="_ H _Ch_GA"/>
    <w:basedOn w:val="Normal"/>
    <w:next w:val="Normal"/>
    <w:qFormat/>
    <w:rsid w:val="008F657D"/>
    <w:pPr>
      <w:keepNext/>
      <w:keepLines/>
      <w:tabs>
        <w:tab w:val="right" w:pos="1021"/>
      </w:tabs>
      <w:suppressAutoHyphens/>
      <w:spacing w:before="360" w:after="240" w:line="440" w:lineRule="exact"/>
      <w:ind w:left="1247" w:right="1247" w:hanging="1247"/>
      <w:outlineLvl w:val="1"/>
    </w:pPr>
    <w:rPr>
      <w:b/>
      <w:bCs/>
      <w:sz w:val="28"/>
      <w:szCs w:val="38"/>
    </w:rPr>
  </w:style>
  <w:style w:type="paragraph" w:customStyle="1" w:styleId="H1GA">
    <w:name w:val="_ H_1_GA"/>
    <w:basedOn w:val="Normal"/>
    <w:next w:val="Normal"/>
    <w:qFormat/>
    <w:rsid w:val="008F657D"/>
    <w:pPr>
      <w:keepNext/>
      <w:keepLines/>
      <w:tabs>
        <w:tab w:val="right" w:pos="1021"/>
      </w:tabs>
      <w:suppressAutoHyphens/>
      <w:spacing w:before="240" w:after="240" w:line="400" w:lineRule="exact"/>
      <w:ind w:left="1247" w:right="1247" w:hanging="1247"/>
      <w:outlineLvl w:val="2"/>
    </w:pPr>
    <w:rPr>
      <w:b/>
      <w:bCs/>
      <w:sz w:val="24"/>
      <w:szCs w:val="34"/>
    </w:rPr>
  </w:style>
  <w:style w:type="paragraph" w:customStyle="1" w:styleId="H23GA">
    <w:name w:val="_ H_2/3_GA"/>
    <w:basedOn w:val="Normal"/>
    <w:next w:val="Normal"/>
    <w:qFormat/>
    <w:rsid w:val="008F657D"/>
    <w:pPr>
      <w:keepNext/>
      <w:keepLines/>
      <w:tabs>
        <w:tab w:val="right" w:pos="1021"/>
      </w:tabs>
      <w:suppressAutoHyphens/>
      <w:spacing w:before="240" w:after="120" w:line="380" w:lineRule="exact"/>
      <w:ind w:left="1247" w:right="1247" w:hanging="1247"/>
      <w:outlineLvl w:val="3"/>
    </w:pPr>
    <w:rPr>
      <w:rFonts w:ascii="Times New Roman Bold" w:hAnsi="Times New Roman Bold"/>
      <w:b/>
      <w:bCs/>
      <w:lang w:eastAsia="ar-SA"/>
    </w:rPr>
  </w:style>
  <w:style w:type="paragraph" w:customStyle="1" w:styleId="H4GA">
    <w:name w:val="_ H_4_GA"/>
    <w:basedOn w:val="Normal"/>
    <w:next w:val="Normal"/>
    <w:qFormat/>
    <w:rsid w:val="008F657D"/>
    <w:pPr>
      <w:keepNext/>
      <w:keepLines/>
      <w:tabs>
        <w:tab w:val="right" w:pos="1021"/>
      </w:tabs>
      <w:suppressAutoHyphens/>
      <w:spacing w:before="240" w:after="120" w:line="380" w:lineRule="exact"/>
      <w:ind w:left="1247" w:right="1247" w:hanging="1247"/>
      <w:outlineLvl w:val="4"/>
    </w:pPr>
    <w:rPr>
      <w:i/>
      <w:iCs/>
    </w:rPr>
  </w:style>
  <w:style w:type="paragraph" w:customStyle="1" w:styleId="H56GA">
    <w:name w:val="_ H_5/6_GA"/>
    <w:basedOn w:val="Normal"/>
    <w:next w:val="Normal"/>
    <w:qFormat/>
    <w:rsid w:val="008F657D"/>
    <w:pPr>
      <w:keepNext/>
      <w:keepLines/>
      <w:tabs>
        <w:tab w:val="right" w:pos="1021"/>
      </w:tabs>
      <w:suppressAutoHyphens/>
      <w:spacing w:before="240" w:after="120" w:line="380" w:lineRule="exact"/>
      <w:ind w:left="1247" w:right="1247" w:hanging="1247"/>
      <w:outlineLvl w:val="5"/>
    </w:pPr>
  </w:style>
  <w:style w:type="paragraph" w:customStyle="1" w:styleId="SingleTxtGA">
    <w:name w:val="_ Single Txt_GA"/>
    <w:basedOn w:val="Normal"/>
    <w:link w:val="SingleTxtGAChar"/>
    <w:qFormat/>
    <w:rsid w:val="008F657D"/>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8F657D"/>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8F657D"/>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8F657D"/>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8F657D"/>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8F657D"/>
    <w:pPr>
      <w:numPr>
        <w:numId w:val="3"/>
      </w:numPr>
      <w:suppressAutoHyphens/>
      <w:bidi w:val="0"/>
      <w:spacing w:after="120" w:line="360" w:lineRule="exact"/>
      <w:ind w:left="2494" w:right="1247" w:hanging="544"/>
    </w:pPr>
  </w:style>
  <w:style w:type="paragraph" w:customStyle="1" w:styleId="Bullet2GA">
    <w:name w:val="_Bullet 2_GA"/>
    <w:basedOn w:val="Normal"/>
    <w:qFormat/>
    <w:rsid w:val="008F657D"/>
    <w:pPr>
      <w:numPr>
        <w:numId w:val="4"/>
      </w:numPr>
      <w:tabs>
        <w:tab w:val="left" w:pos="3062"/>
      </w:tabs>
      <w:suppressAutoHyphens/>
      <w:bidi w:val="0"/>
      <w:spacing w:after="120" w:line="360" w:lineRule="exact"/>
      <w:ind w:right="1247" w:hanging="357"/>
    </w:pPr>
  </w:style>
  <w:style w:type="paragraph" w:customStyle="1" w:styleId="ParaNoGA">
    <w:name w:val="_ParaNo._GA"/>
    <w:basedOn w:val="SingleTxtGA"/>
    <w:qFormat/>
    <w:rsid w:val="008F657D"/>
    <w:pPr>
      <w:numPr>
        <w:numId w:val="5"/>
      </w:numPr>
      <w:suppressAutoHyphens/>
      <w:bidi w:val="0"/>
    </w:pPr>
  </w:style>
  <w:style w:type="paragraph" w:customStyle="1" w:styleId="Roman1GA">
    <w:name w:val="_Roman 1_GA"/>
    <w:basedOn w:val="Bullet1GA"/>
    <w:qFormat/>
    <w:rsid w:val="008F657D"/>
    <w:pPr>
      <w:numPr>
        <w:numId w:val="6"/>
      </w:numPr>
      <w:ind w:left="2307" w:hanging="357"/>
    </w:pPr>
  </w:style>
  <w:style w:type="paragraph" w:customStyle="1" w:styleId="Roman2GA">
    <w:name w:val="_Roman 2_GA"/>
    <w:basedOn w:val="Bullet2GA"/>
    <w:next w:val="Normal"/>
    <w:qFormat/>
    <w:rsid w:val="008F657D"/>
    <w:pPr>
      <w:numPr>
        <w:numId w:val="7"/>
      </w:numPr>
    </w:pPr>
  </w:style>
  <w:style w:type="paragraph" w:styleId="EndnoteText">
    <w:name w:val="endnote text"/>
    <w:aliases w:val="2_ GA"/>
    <w:basedOn w:val="Normal"/>
    <w:link w:val="EndnoteTextChar"/>
    <w:qFormat/>
    <w:rsid w:val="008F657D"/>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8F657D"/>
    <w:rPr>
      <w:rFonts w:ascii="Times New Roman" w:eastAsia="PMingLiU" w:hAnsi="Times New Roman" w:cs="Traditional Arabic"/>
      <w:sz w:val="18"/>
      <w:szCs w:val="26"/>
      <w:lang w:eastAsia="en-US"/>
    </w:rPr>
  </w:style>
  <w:style w:type="character" w:customStyle="1" w:styleId="EndtnoteReference">
    <w:name w:val="Endtnote Reference"/>
    <w:aliases w:val="1_GA"/>
    <w:qFormat/>
    <w:rsid w:val="008F657D"/>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8F657D"/>
    <w:pPr>
      <w:suppressAutoHyphens/>
      <w:bidi w:val="0"/>
      <w:spacing w:line="240" w:lineRule="auto"/>
    </w:pPr>
    <w:rPr>
      <w:sz w:val="16"/>
      <w:szCs w:val="22"/>
      <w:lang w:val="en-GB"/>
    </w:rPr>
  </w:style>
  <w:style w:type="character" w:customStyle="1" w:styleId="FooterChar">
    <w:name w:val="Footer Char"/>
    <w:aliases w:val="3_GA Char,3_G Char"/>
    <w:link w:val="Footer"/>
    <w:rsid w:val="008F657D"/>
    <w:rPr>
      <w:rFonts w:ascii="Times New Roman" w:eastAsia="PMingLiU" w:hAnsi="Times New Roman" w:cs="Traditional Arabic"/>
      <w:sz w:val="16"/>
      <w:szCs w:val="22"/>
      <w:lang w:val="en-GB" w:eastAsia="en-US"/>
    </w:rPr>
  </w:style>
  <w:style w:type="paragraph" w:customStyle="1" w:styleId="FootnoteText1">
    <w:name w:val="Footnote Text1"/>
    <w:aliases w:val="5_GA"/>
    <w:basedOn w:val="Normal"/>
    <w:qFormat/>
    <w:rsid w:val="008F657D"/>
    <w:pPr>
      <w:spacing w:after="60" w:line="280" w:lineRule="exact"/>
      <w:ind w:left="1247" w:right="1247" w:hanging="567"/>
    </w:pPr>
    <w:rPr>
      <w:sz w:val="18"/>
      <w:szCs w:val="26"/>
    </w:rPr>
  </w:style>
  <w:style w:type="paragraph" w:styleId="Header">
    <w:name w:val="header"/>
    <w:aliases w:val="6_GA"/>
    <w:basedOn w:val="Normal"/>
    <w:link w:val="HeaderChar"/>
    <w:qFormat/>
    <w:rsid w:val="008F657D"/>
    <w:pPr>
      <w:pBdr>
        <w:bottom w:val="single" w:sz="4" w:space="4" w:color="auto"/>
      </w:pBdr>
      <w:suppressAutoHyphens/>
      <w:bidi w:val="0"/>
    </w:pPr>
    <w:rPr>
      <w:b/>
      <w:bCs/>
      <w:sz w:val="18"/>
      <w:szCs w:val="26"/>
    </w:rPr>
  </w:style>
  <w:style w:type="character" w:customStyle="1" w:styleId="HeaderChar">
    <w:name w:val="Header Char"/>
    <w:aliases w:val="6_GA Char"/>
    <w:link w:val="Header"/>
    <w:rsid w:val="008F657D"/>
    <w:rPr>
      <w:rFonts w:ascii="Times New Roman" w:eastAsia="PMingLiU" w:hAnsi="Times New Roman" w:cs="Traditional Arabic"/>
      <w:b/>
      <w:bCs/>
      <w:sz w:val="18"/>
      <w:szCs w:val="26"/>
      <w:lang w:eastAsia="en-US"/>
    </w:rPr>
  </w:style>
  <w:style w:type="character" w:customStyle="1" w:styleId="Heading1Char">
    <w:name w:val="Heading 1 Char"/>
    <w:aliases w:val="Table_GA Char"/>
    <w:link w:val="Heading1"/>
    <w:rsid w:val="008F657D"/>
    <w:rPr>
      <w:rFonts w:ascii="Times New Roman" w:eastAsia="PMingLiU" w:hAnsi="Times New Roman" w:cs="Traditional Arabic"/>
      <w:szCs w:val="28"/>
      <w:lang w:eastAsia="en-US"/>
    </w:rPr>
  </w:style>
  <w:style w:type="character" w:styleId="PageNumber">
    <w:name w:val="page number"/>
    <w:aliases w:val="7_GA"/>
    <w:qFormat/>
    <w:rsid w:val="008F657D"/>
    <w:rPr>
      <w:rFonts w:ascii="Times New Roman" w:hAnsi="Times New Roman"/>
      <w:b/>
      <w:sz w:val="18"/>
    </w:rPr>
  </w:style>
  <w:style w:type="paragraph" w:customStyle="1" w:styleId="XXLargeGA">
    <w:name w:val="XXLarge_GA"/>
    <w:basedOn w:val="XLargeGA"/>
    <w:next w:val="Normal"/>
    <w:qFormat/>
    <w:rsid w:val="008F657D"/>
    <w:pPr>
      <w:spacing w:line="820" w:lineRule="exact"/>
    </w:pPr>
    <w:rPr>
      <w:spacing w:val="-8"/>
      <w:w w:val="96"/>
      <w:sz w:val="57"/>
      <w:szCs w:val="86"/>
    </w:rPr>
  </w:style>
  <w:style w:type="character" w:customStyle="1" w:styleId="Heading2Char">
    <w:name w:val="Heading 2 Char"/>
    <w:link w:val="Heading2"/>
    <w:uiPriority w:val="9"/>
    <w:rsid w:val="008F657D"/>
    <w:rPr>
      <w:rFonts w:ascii="Cambria" w:eastAsia="SimSun" w:hAnsi="Cambria" w:cs="Times New Roman"/>
      <w:b/>
      <w:bCs/>
      <w:color w:val="4F81BD"/>
      <w:sz w:val="26"/>
      <w:szCs w:val="26"/>
      <w:lang w:eastAsia="en-US"/>
    </w:rPr>
  </w:style>
  <w:style w:type="character" w:styleId="BookTitle">
    <w:name w:val="Book Title"/>
    <w:uiPriority w:val="33"/>
    <w:rsid w:val="008F657D"/>
    <w:rPr>
      <w:b/>
      <w:bCs/>
      <w:smallCaps/>
      <w:spacing w:val="5"/>
    </w:rPr>
  </w:style>
  <w:style w:type="character" w:customStyle="1" w:styleId="Heading3Char">
    <w:name w:val="Heading 3 Char"/>
    <w:link w:val="Heading3"/>
    <w:uiPriority w:val="9"/>
    <w:rsid w:val="008F657D"/>
    <w:rPr>
      <w:rFonts w:ascii="Cambria" w:eastAsia="SimSun" w:hAnsi="Cambria" w:cs="Times New Roman"/>
      <w:b/>
      <w:bCs/>
      <w:color w:val="4F81BD"/>
      <w:szCs w:val="28"/>
      <w:lang w:eastAsia="en-US"/>
    </w:rPr>
  </w:style>
  <w:style w:type="character" w:customStyle="1" w:styleId="Heading4Char">
    <w:name w:val="Heading 4 Char"/>
    <w:link w:val="Heading4"/>
    <w:uiPriority w:val="9"/>
    <w:rsid w:val="008F657D"/>
    <w:rPr>
      <w:rFonts w:ascii="Cambria" w:eastAsia="SimSun" w:hAnsi="Cambria" w:cs="Times New Roman"/>
      <w:b/>
      <w:bCs/>
      <w:i/>
      <w:iCs/>
      <w:color w:val="4F81BD"/>
      <w:szCs w:val="28"/>
      <w:lang w:eastAsia="en-US"/>
    </w:rPr>
  </w:style>
  <w:style w:type="character" w:customStyle="1" w:styleId="Heading5Char">
    <w:name w:val="Heading 5 Char"/>
    <w:link w:val="Heading5"/>
    <w:uiPriority w:val="9"/>
    <w:rsid w:val="008F657D"/>
    <w:rPr>
      <w:rFonts w:ascii="Cambria" w:eastAsia="SimSun" w:hAnsi="Cambria" w:cs="Times New Roman"/>
      <w:color w:val="243F60"/>
      <w:szCs w:val="28"/>
      <w:lang w:eastAsia="en-US"/>
    </w:rPr>
  </w:style>
  <w:style w:type="character" w:customStyle="1" w:styleId="Heading6Char">
    <w:name w:val="Heading 6 Char"/>
    <w:link w:val="Heading6"/>
    <w:uiPriority w:val="9"/>
    <w:rsid w:val="008F657D"/>
    <w:rPr>
      <w:rFonts w:ascii="Cambria" w:eastAsia="SimSun" w:hAnsi="Cambria" w:cs="Times New Roman"/>
      <w:i/>
      <w:iCs/>
      <w:color w:val="243F60"/>
      <w:szCs w:val="28"/>
      <w:lang w:eastAsia="en-US"/>
    </w:rPr>
  </w:style>
  <w:style w:type="character" w:customStyle="1" w:styleId="Heading7Char">
    <w:name w:val="Heading 7 Char"/>
    <w:link w:val="Heading7"/>
    <w:uiPriority w:val="9"/>
    <w:rsid w:val="008F657D"/>
    <w:rPr>
      <w:rFonts w:ascii="Cambria" w:eastAsia="SimSun" w:hAnsi="Cambria" w:cs="Times New Roman"/>
      <w:i/>
      <w:iCs/>
      <w:color w:val="404040"/>
      <w:szCs w:val="28"/>
      <w:lang w:eastAsia="en-US"/>
    </w:rPr>
  </w:style>
  <w:style w:type="character" w:customStyle="1" w:styleId="Heading8Char">
    <w:name w:val="Heading 8 Char"/>
    <w:link w:val="Heading8"/>
    <w:uiPriority w:val="9"/>
    <w:rsid w:val="008F657D"/>
    <w:rPr>
      <w:rFonts w:ascii="Cambria" w:eastAsia="SimSun" w:hAnsi="Cambria" w:cs="Times New Roman"/>
      <w:color w:val="404040"/>
      <w:lang w:eastAsia="en-US"/>
    </w:rPr>
  </w:style>
  <w:style w:type="character" w:customStyle="1" w:styleId="Heading9Char">
    <w:name w:val="Heading 9 Char"/>
    <w:link w:val="Heading9"/>
    <w:uiPriority w:val="9"/>
    <w:rsid w:val="008F657D"/>
    <w:rPr>
      <w:rFonts w:ascii="Cambria" w:eastAsia="SimSun" w:hAnsi="Cambria" w:cs="Times New Roman"/>
      <w:i/>
      <w:iCs/>
      <w:color w:val="404040"/>
      <w:lang w:eastAsia="en-US"/>
    </w:rPr>
  </w:style>
  <w:style w:type="paragraph" w:styleId="Title">
    <w:name w:val="Title"/>
    <w:basedOn w:val="Normal"/>
    <w:next w:val="Normal"/>
    <w:link w:val="TitleChar"/>
    <w:uiPriority w:val="10"/>
    <w:rsid w:val="008F657D"/>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8F657D"/>
    <w:rPr>
      <w:rFonts w:ascii="Cambria" w:eastAsia="SimSun" w:hAnsi="Cambria" w:cs="Times New Roman"/>
      <w:color w:val="17365D"/>
      <w:spacing w:val="5"/>
      <w:kern w:val="28"/>
      <w:sz w:val="52"/>
      <w:szCs w:val="52"/>
      <w:lang w:eastAsia="en-US"/>
    </w:rPr>
  </w:style>
  <w:style w:type="paragraph" w:styleId="Subtitle">
    <w:name w:val="Subtitle"/>
    <w:basedOn w:val="Normal"/>
    <w:next w:val="Normal"/>
    <w:link w:val="SubtitleChar"/>
    <w:uiPriority w:val="11"/>
    <w:rsid w:val="008F657D"/>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8F657D"/>
    <w:rPr>
      <w:rFonts w:ascii="Cambria" w:eastAsia="SimSun" w:hAnsi="Cambria" w:cs="Times New Roman"/>
      <w:i/>
      <w:iCs/>
      <w:color w:val="4F81BD"/>
      <w:spacing w:val="15"/>
      <w:sz w:val="24"/>
      <w:szCs w:val="24"/>
      <w:lang w:eastAsia="en-US"/>
    </w:rPr>
  </w:style>
  <w:style w:type="character" w:styleId="SubtleEmphasis">
    <w:name w:val="Subtle Emphasis"/>
    <w:uiPriority w:val="19"/>
    <w:rsid w:val="008F657D"/>
    <w:rPr>
      <w:i/>
      <w:iCs/>
      <w:color w:val="808080"/>
    </w:rPr>
  </w:style>
  <w:style w:type="table" w:styleId="ColorfulGrid-Accent6">
    <w:name w:val="Colorful Grid Accent 6"/>
    <w:basedOn w:val="TableNormal"/>
    <w:uiPriority w:val="73"/>
    <w:rsid w:val="008F657D"/>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F657D"/>
    <w:rPr>
      <w:i/>
      <w:iCs/>
    </w:rPr>
  </w:style>
  <w:style w:type="character" w:styleId="IntenseEmphasis">
    <w:name w:val="Intense Emphasis"/>
    <w:uiPriority w:val="21"/>
    <w:rsid w:val="008F657D"/>
    <w:rPr>
      <w:b/>
      <w:bCs/>
      <w:i/>
      <w:iCs/>
      <w:color w:val="4F81BD"/>
    </w:rPr>
  </w:style>
  <w:style w:type="character" w:styleId="Strong">
    <w:name w:val="Strong"/>
    <w:uiPriority w:val="22"/>
    <w:rsid w:val="008F657D"/>
    <w:rPr>
      <w:b/>
      <w:bCs/>
    </w:rPr>
  </w:style>
  <w:style w:type="paragraph" w:styleId="Quote">
    <w:name w:val="Quote"/>
    <w:basedOn w:val="Normal"/>
    <w:next w:val="Normal"/>
    <w:link w:val="QuoteChar"/>
    <w:uiPriority w:val="29"/>
    <w:rsid w:val="008F657D"/>
    <w:rPr>
      <w:i/>
      <w:iCs/>
      <w:color w:val="000000"/>
    </w:rPr>
  </w:style>
  <w:style w:type="character" w:customStyle="1" w:styleId="QuoteChar">
    <w:name w:val="Quote Char"/>
    <w:link w:val="Quote"/>
    <w:uiPriority w:val="29"/>
    <w:rsid w:val="008F657D"/>
    <w:rPr>
      <w:rFonts w:ascii="Times New Roman" w:eastAsia="PMingLiU" w:hAnsi="Times New Roman" w:cs="Traditional Arabic"/>
      <w:i/>
      <w:iCs/>
      <w:color w:val="000000"/>
      <w:szCs w:val="28"/>
      <w:lang w:eastAsia="en-US"/>
    </w:rPr>
  </w:style>
  <w:style w:type="paragraph" w:styleId="IntenseQuote">
    <w:name w:val="Intense Quote"/>
    <w:basedOn w:val="Normal"/>
    <w:next w:val="Normal"/>
    <w:link w:val="IntenseQuoteChar"/>
    <w:uiPriority w:val="30"/>
    <w:rsid w:val="008F65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F657D"/>
    <w:rPr>
      <w:rFonts w:ascii="Times New Roman" w:eastAsia="PMingLiU" w:hAnsi="Times New Roman" w:cs="Traditional Arabic"/>
      <w:b/>
      <w:bCs/>
      <w:i/>
      <w:iCs/>
      <w:color w:val="4F81BD"/>
      <w:szCs w:val="28"/>
      <w:lang w:eastAsia="en-US"/>
    </w:rPr>
  </w:style>
  <w:style w:type="character" w:styleId="SubtleReference">
    <w:name w:val="Subtle Reference"/>
    <w:uiPriority w:val="31"/>
    <w:rsid w:val="008F657D"/>
    <w:rPr>
      <w:smallCaps/>
      <w:color w:val="C0504D"/>
      <w:u w:val="single"/>
    </w:rPr>
  </w:style>
  <w:style w:type="character" w:styleId="IntenseReference">
    <w:name w:val="Intense Reference"/>
    <w:uiPriority w:val="32"/>
    <w:rsid w:val="008F657D"/>
    <w:rPr>
      <w:b/>
      <w:bCs/>
      <w:smallCaps/>
      <w:color w:val="C0504D"/>
      <w:spacing w:val="5"/>
      <w:u w:val="single"/>
    </w:rPr>
  </w:style>
  <w:style w:type="paragraph" w:styleId="ListParagraph">
    <w:name w:val="List Paragraph"/>
    <w:basedOn w:val="Normal"/>
    <w:uiPriority w:val="34"/>
    <w:rsid w:val="008F657D"/>
    <w:pPr>
      <w:ind w:left="720"/>
      <w:contextualSpacing/>
    </w:pPr>
  </w:style>
  <w:style w:type="table" w:styleId="MediumShading1-Accent4">
    <w:name w:val="Medium Shading 1 Accent 4"/>
    <w:basedOn w:val="TableNormal"/>
    <w:uiPriority w:val="63"/>
    <w:rsid w:val="008F657D"/>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8F657D"/>
    <w:rPr>
      <w:vertAlign w:val="superscript"/>
    </w:rPr>
  </w:style>
  <w:style w:type="table" w:styleId="TableGrid">
    <w:name w:val="Table Grid"/>
    <w:basedOn w:val="TableNormal"/>
    <w:rsid w:val="008F657D"/>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5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57D"/>
    <w:rPr>
      <w:rFonts w:ascii="Tahoma" w:eastAsia="PMingLiU" w:hAnsi="Tahoma" w:cs="Tahoma"/>
      <w:sz w:val="16"/>
      <w:szCs w:val="16"/>
      <w:lang w:eastAsia="en-US"/>
    </w:rPr>
  </w:style>
  <w:style w:type="character" w:styleId="Hyperlink">
    <w:name w:val="Hyperlink"/>
    <w:uiPriority w:val="99"/>
    <w:unhideWhenUsed/>
    <w:rsid w:val="008F657D"/>
    <w:rPr>
      <w:color w:val="0000FF"/>
      <w:u w:val="single"/>
    </w:rPr>
  </w:style>
  <w:style w:type="paragraph" w:styleId="TOC1">
    <w:name w:val="toc 1"/>
    <w:basedOn w:val="Normal"/>
    <w:next w:val="Normal"/>
    <w:link w:val="TOC1Char"/>
    <w:autoRedefine/>
    <w:uiPriority w:val="39"/>
    <w:unhideWhenUsed/>
    <w:rsid w:val="008F657D"/>
    <w:pPr>
      <w:tabs>
        <w:tab w:val="right" w:pos="1021"/>
        <w:tab w:val="left" w:pos="1077"/>
        <w:tab w:val="left" w:pos="1525"/>
        <w:tab w:val="left" w:leader="dot" w:pos="7467"/>
        <w:tab w:val="left" w:pos="7972"/>
        <w:tab w:val="right" w:pos="9639"/>
      </w:tabs>
      <w:spacing w:before="120" w:line="360" w:lineRule="exact"/>
      <w:ind w:left="1525" w:right="2211" w:hanging="1525"/>
    </w:pPr>
    <w:rPr>
      <w:rFonts w:eastAsia="Times New Roman"/>
      <w:noProof/>
      <w:lang w:val="fr-CH" w:bidi="ar-EG"/>
    </w:rPr>
  </w:style>
  <w:style w:type="paragraph" w:styleId="TOC2">
    <w:name w:val="toc 2"/>
    <w:basedOn w:val="Normal"/>
    <w:next w:val="Normal"/>
    <w:link w:val="TOC2Char"/>
    <w:autoRedefine/>
    <w:uiPriority w:val="39"/>
    <w:unhideWhenUsed/>
    <w:rsid w:val="008F657D"/>
    <w:pPr>
      <w:tabs>
        <w:tab w:val="left" w:pos="1843"/>
        <w:tab w:val="left" w:pos="2206"/>
        <w:tab w:val="left" w:leader="dot" w:pos="7467"/>
        <w:tab w:val="left" w:pos="7972"/>
        <w:tab w:val="right" w:pos="9639"/>
      </w:tabs>
      <w:spacing w:line="360" w:lineRule="exact"/>
      <w:ind w:left="2205" w:right="2206" w:hanging="680"/>
    </w:pPr>
    <w:rPr>
      <w:rFonts w:eastAsia="DengXian"/>
      <w:noProof/>
      <w:lang w:val="fr-CH"/>
    </w:rPr>
  </w:style>
  <w:style w:type="paragraph" w:styleId="TOC3">
    <w:name w:val="toc 3"/>
    <w:basedOn w:val="TOC2"/>
    <w:next w:val="Normal"/>
    <w:link w:val="TOC3Char"/>
    <w:autoRedefine/>
    <w:uiPriority w:val="39"/>
    <w:unhideWhenUsed/>
    <w:rsid w:val="008F657D"/>
    <w:pPr>
      <w:tabs>
        <w:tab w:val="clear" w:pos="1843"/>
        <w:tab w:val="clear" w:pos="2206"/>
        <w:tab w:val="left" w:pos="2325"/>
      </w:tabs>
      <w:bidi w:val="0"/>
      <w:ind w:left="2886"/>
    </w:pPr>
    <w:rPr>
      <w:lang w:bidi="ar-EG"/>
    </w:rPr>
  </w:style>
  <w:style w:type="character" w:customStyle="1" w:styleId="PagesNumbers">
    <w:name w:val="Pages Numbers"/>
    <w:uiPriority w:val="1"/>
    <w:qFormat/>
    <w:rsid w:val="008F657D"/>
    <w:rPr>
      <w:rFonts w:eastAsia="DengXian"/>
      <w:color w:val="auto"/>
      <w:sz w:val="20"/>
      <w:szCs w:val="20"/>
      <w:u w:val="none"/>
      <w:lang w:eastAsia="zh-CN" w:bidi="ar-EG"/>
    </w:rPr>
  </w:style>
  <w:style w:type="paragraph" w:styleId="TOC4">
    <w:name w:val="toc 4"/>
    <w:basedOn w:val="Normal"/>
    <w:next w:val="Normal"/>
    <w:link w:val="TOC4Char"/>
    <w:autoRedefine/>
    <w:uiPriority w:val="39"/>
    <w:unhideWhenUsed/>
    <w:rsid w:val="008F657D"/>
    <w:pPr>
      <w:tabs>
        <w:tab w:val="right" w:pos="1021"/>
        <w:tab w:val="left" w:pos="1077"/>
        <w:tab w:val="left" w:pos="1525"/>
        <w:tab w:val="left" w:leader="dot" w:pos="9065"/>
        <w:tab w:val="right" w:pos="9639"/>
      </w:tabs>
      <w:spacing w:before="120" w:line="360" w:lineRule="exact"/>
      <w:ind w:left="1525" w:right="567" w:hanging="1525"/>
    </w:pPr>
    <w:rPr>
      <w:rFonts w:eastAsia="Times New Roman"/>
      <w:noProof/>
    </w:rPr>
  </w:style>
  <w:style w:type="paragraph" w:styleId="TOC5">
    <w:name w:val="toc 5"/>
    <w:basedOn w:val="Normal"/>
    <w:next w:val="Normal"/>
    <w:link w:val="TOC5Char"/>
    <w:autoRedefine/>
    <w:uiPriority w:val="39"/>
    <w:unhideWhenUsed/>
    <w:rsid w:val="008F657D"/>
    <w:pPr>
      <w:tabs>
        <w:tab w:val="left" w:pos="1843"/>
        <w:tab w:val="left" w:pos="2206"/>
        <w:tab w:val="left" w:leader="dot" w:pos="9065"/>
        <w:tab w:val="right" w:pos="9639"/>
      </w:tabs>
      <w:spacing w:line="360" w:lineRule="exact"/>
      <w:ind w:left="2205" w:right="567" w:hanging="680"/>
    </w:pPr>
    <w:rPr>
      <w:rFonts w:eastAsia="Times New Roman"/>
      <w:noProof/>
    </w:rPr>
  </w:style>
  <w:style w:type="paragraph" w:styleId="TOC6">
    <w:name w:val="toc 6"/>
    <w:basedOn w:val="Normal"/>
    <w:next w:val="Normal"/>
    <w:link w:val="TOC6Char"/>
    <w:autoRedefine/>
    <w:uiPriority w:val="39"/>
    <w:unhideWhenUsed/>
    <w:rsid w:val="008F657D"/>
    <w:pPr>
      <w:tabs>
        <w:tab w:val="left" w:pos="2325"/>
        <w:tab w:val="left" w:leader="dot" w:pos="9065"/>
        <w:tab w:val="right" w:pos="9639"/>
      </w:tabs>
      <w:spacing w:line="360" w:lineRule="exact"/>
      <w:ind w:left="2886" w:right="567" w:hanging="680"/>
    </w:pPr>
    <w:rPr>
      <w:rFonts w:eastAsia="Times New Roman"/>
    </w:rPr>
  </w:style>
  <w:style w:type="paragraph" w:customStyle="1" w:styleId="a">
    <w:name w:val="المحتويات_بلا_فقرات"/>
    <w:rsid w:val="008F657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Traditional Arabic"/>
      <w:szCs w:val="28"/>
      <w:lang w:eastAsia="en-US"/>
    </w:rPr>
  </w:style>
  <w:style w:type="table" w:customStyle="1" w:styleId="TABLEA">
    <w:name w:val="TABLE_A"/>
    <w:basedOn w:val="TableNormal"/>
    <w:uiPriority w:val="99"/>
    <w:rsid w:val="008F657D"/>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F657D"/>
    <w:rPr>
      <w:rFonts w:ascii="Times New Roman" w:eastAsia="PMingLiU" w:hAnsi="Times New Roman" w:cs="Traditional Arabic"/>
      <w:szCs w:val="28"/>
      <w:lang w:eastAsia="en-US"/>
    </w:rPr>
  </w:style>
  <w:style w:type="character" w:styleId="UnresolvedMention">
    <w:name w:val="Unresolved Mention"/>
    <w:basedOn w:val="DefaultParagraphFont"/>
    <w:uiPriority w:val="99"/>
    <w:semiHidden/>
    <w:unhideWhenUsed/>
    <w:rsid w:val="008F657D"/>
    <w:rPr>
      <w:color w:val="605E5C"/>
      <w:shd w:val="clear" w:color="auto" w:fill="E1DFDD"/>
    </w:rPr>
  </w:style>
  <w:style w:type="character" w:customStyle="1" w:styleId="TOC1Char">
    <w:name w:val="TOC 1 Char"/>
    <w:basedOn w:val="DefaultParagraphFont"/>
    <w:link w:val="TOC1"/>
    <w:uiPriority w:val="39"/>
    <w:rsid w:val="008F657D"/>
    <w:rPr>
      <w:rFonts w:ascii="Times New Roman" w:hAnsi="Times New Roman" w:cs="Traditional Arabic"/>
      <w:noProof/>
      <w:szCs w:val="28"/>
      <w:lang w:val="fr-CH" w:eastAsia="en-US" w:bidi="ar-EG"/>
    </w:rPr>
  </w:style>
  <w:style w:type="character" w:customStyle="1" w:styleId="TOC2Char">
    <w:name w:val="TOC 2 Char"/>
    <w:basedOn w:val="DefaultParagraphFont"/>
    <w:link w:val="TOC2"/>
    <w:uiPriority w:val="39"/>
    <w:rsid w:val="008F657D"/>
    <w:rPr>
      <w:rFonts w:ascii="Times New Roman" w:eastAsia="DengXian" w:hAnsi="Times New Roman" w:cs="Traditional Arabic"/>
      <w:noProof/>
      <w:szCs w:val="28"/>
      <w:lang w:val="fr-CH" w:eastAsia="en-US"/>
    </w:rPr>
  </w:style>
  <w:style w:type="character" w:customStyle="1" w:styleId="TOC3Char">
    <w:name w:val="TOC 3 Char"/>
    <w:basedOn w:val="TOC2Char"/>
    <w:link w:val="TOC3"/>
    <w:uiPriority w:val="39"/>
    <w:rsid w:val="008F657D"/>
    <w:rPr>
      <w:rFonts w:ascii="Times New Roman" w:eastAsia="DengXian" w:hAnsi="Times New Roman" w:cs="Traditional Arabic"/>
      <w:noProof/>
      <w:szCs w:val="28"/>
      <w:lang w:val="fr-CH" w:eastAsia="en-US" w:bidi="ar-EG"/>
    </w:rPr>
  </w:style>
  <w:style w:type="character" w:customStyle="1" w:styleId="TOC4Char">
    <w:name w:val="TOC 4 Char"/>
    <w:basedOn w:val="DefaultParagraphFont"/>
    <w:link w:val="TOC4"/>
    <w:uiPriority w:val="39"/>
    <w:rsid w:val="008F657D"/>
    <w:rPr>
      <w:rFonts w:ascii="Times New Roman" w:hAnsi="Times New Roman" w:cs="Traditional Arabic"/>
      <w:noProof/>
      <w:szCs w:val="28"/>
      <w:lang w:eastAsia="en-US"/>
    </w:rPr>
  </w:style>
  <w:style w:type="character" w:customStyle="1" w:styleId="TOC5Char">
    <w:name w:val="TOC 5 Char"/>
    <w:basedOn w:val="DefaultParagraphFont"/>
    <w:link w:val="TOC5"/>
    <w:uiPriority w:val="39"/>
    <w:rsid w:val="008F657D"/>
    <w:rPr>
      <w:rFonts w:ascii="Times New Roman" w:hAnsi="Times New Roman" w:cs="Traditional Arabic"/>
      <w:noProof/>
      <w:szCs w:val="28"/>
      <w:lang w:eastAsia="en-US"/>
    </w:rPr>
  </w:style>
  <w:style w:type="character" w:customStyle="1" w:styleId="TOC6Char">
    <w:name w:val="TOC 6 Char"/>
    <w:basedOn w:val="DefaultParagraphFont"/>
    <w:link w:val="TOC6"/>
    <w:uiPriority w:val="39"/>
    <w:rsid w:val="008F657D"/>
    <w:rPr>
      <w:rFonts w:ascii="Times New Roman" w:hAnsi="Times New Roman" w:cs="Traditional Arabic"/>
      <w:szCs w:val="28"/>
      <w:lang w:eastAsia="en-US"/>
    </w:rPr>
  </w:style>
  <w:style w:type="paragraph" w:customStyle="1" w:styleId="SessionDate">
    <w:name w:val="Session_Date"/>
    <w:basedOn w:val="Normal"/>
    <w:qFormat/>
    <w:rsid w:val="008F657D"/>
    <w:pPr>
      <w:spacing w:before="240" w:after="240" w:line="460" w:lineRule="exact"/>
      <w:ind w:left="1247"/>
    </w:pPr>
    <w:rPr>
      <w:b/>
      <w:bCs/>
      <w:sz w:val="32"/>
      <w:szCs w:val="44"/>
    </w:rPr>
  </w:style>
  <w:style w:type="paragraph" w:customStyle="1" w:styleId="SessionNumber">
    <w:name w:val="Session_Number"/>
    <w:basedOn w:val="Normal"/>
    <w:qFormat/>
    <w:rsid w:val="008F657D"/>
    <w:pPr>
      <w:spacing w:line="480" w:lineRule="exact"/>
      <w:ind w:left="1247"/>
    </w:pPr>
    <w:rPr>
      <w:b/>
      <w:bCs/>
      <w:sz w:val="28"/>
      <w:szCs w:val="38"/>
    </w:rPr>
  </w:style>
  <w:style w:type="paragraph" w:customStyle="1" w:styleId="CityandYear">
    <w:name w:val="City and Year"/>
    <w:basedOn w:val="SingleTxtGA"/>
    <w:qFormat/>
    <w:rsid w:val="008F657D"/>
    <w:pPr>
      <w:spacing w:line="480" w:lineRule="exact"/>
    </w:pPr>
    <w:rPr>
      <w:rFonts w:ascii="Times New Roman Bold" w:hAnsi="Times New Roman Bold"/>
      <w:b/>
      <w:bCs/>
      <w:sz w:val="30"/>
      <w:szCs w:val="3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mana.com/opinion/articulo/la-historia-no-contada/91968-3" TargetMode="External"/><Relationship Id="rId2" Type="http://schemas.openxmlformats.org/officeDocument/2006/relationships/hyperlink" Target="http://www.elespectador.com/noticias/politica/votar-reeleccion-me-mato-entrevista-genero-el-proceso-d-articulo-555314" TargetMode="External"/><Relationship Id="rId1" Type="http://schemas.openxmlformats.org/officeDocument/2006/relationships/hyperlink" Target="http://www.camara.gov.co/sites/default/files/2017-11/042%20REELECCION%20PRESIDENCIAL%20INMEDIATA.pdf" TargetMode="External"/><Relationship Id="rId5" Type="http://schemas.openxmlformats.org/officeDocument/2006/relationships/hyperlink" Target="http://www.funcionpublica.gov.co/eva/gestornormativo/norma.php?i=85699" TargetMode="External"/><Relationship Id="rId4" Type="http://schemas.openxmlformats.org/officeDocument/2006/relationships/hyperlink" Target="http://www.corteconstitucional.gov.co/relatoria/2020/su146-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5A7F-9379-423D-9512-FB9E7B5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CCPR/C/129/D/2931/2017</vt:lpstr>
    </vt:vector>
  </TitlesOfParts>
  <Company>DCM</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CCPR/C/129/D/2931/2017</dc:title>
  <dc:subject>GE.2017016</dc:subject>
  <dc:creator>Gamal MAHMOUD-AGHA</dc:creator>
  <cp:keywords>ODS No.2034177</cp:keywords>
  <dc:description>Distr.: General_x000d_
14 December 2020_x000d_
Original: Spanish</dc:description>
  <cp:lastModifiedBy>Gamal Mohamed Abdelhamid Mahmoud</cp:lastModifiedBy>
  <cp:revision>3</cp:revision>
  <cp:lastPrinted>2021-01-13T13:59:00Z</cp:lastPrinted>
  <dcterms:created xsi:type="dcterms:W3CDTF">2021-01-13T13:59:00Z</dcterms:created>
  <dcterms:modified xsi:type="dcterms:W3CDTF">2021-01-13T14:00:00Z</dcterms:modified>
  <cp:category>Finale</cp:category>
</cp:coreProperties>
</file>