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046E2C">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46E2C" w:rsidP="00046E2C">
            <w:pPr>
              <w:jc w:val="right"/>
            </w:pPr>
            <w:r w:rsidRPr="00046E2C">
              <w:rPr>
                <w:sz w:val="40"/>
              </w:rPr>
              <w:t>CCPR</w:t>
            </w:r>
            <w:r>
              <w:t>/C/125/D/2684/2015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46E2C" w:rsidP="002B7BC7">
            <w:pPr>
              <w:spacing w:before="240"/>
            </w:pPr>
            <w:r>
              <w:t>Distr. générale</w:t>
            </w:r>
          </w:p>
          <w:p w:rsidR="00046E2C" w:rsidRDefault="00046E2C" w:rsidP="00046E2C">
            <w:pPr>
              <w:spacing w:line="240" w:lineRule="exact"/>
            </w:pPr>
            <w:r>
              <w:t>8 mai 2019</w:t>
            </w:r>
          </w:p>
          <w:p w:rsidR="00046E2C" w:rsidRDefault="00046E2C" w:rsidP="00046E2C">
            <w:pPr>
              <w:spacing w:line="240" w:lineRule="exact"/>
            </w:pPr>
            <w:r>
              <w:t>Français</w:t>
            </w:r>
          </w:p>
          <w:p w:rsidR="00046E2C" w:rsidRPr="00DB58B5" w:rsidRDefault="00046E2C" w:rsidP="00046E2C">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046E2C" w:rsidRDefault="00046E2C" w:rsidP="00046E2C">
      <w:pPr>
        <w:pStyle w:val="HChG"/>
        <w:rPr>
          <w:b w:val="0"/>
          <w:sz w:val="20"/>
        </w:rPr>
      </w:pPr>
      <w:r>
        <w:rPr>
          <w:shd w:val="clear" w:color="auto" w:fill="FFFFFF"/>
        </w:rPr>
        <w:tab/>
      </w:r>
      <w:r>
        <w:rPr>
          <w:shd w:val="clear" w:color="auto" w:fill="FFFFFF"/>
        </w:rPr>
        <w:tab/>
        <w:t>Décision adoptée par le Comité en vertu du Protocole facultatif, concernant la communication</w:t>
      </w:r>
      <w:r w:rsidRPr="006D452F">
        <w:t xml:space="preserve"> n</w:t>
      </w:r>
      <w:r w:rsidRPr="006D452F">
        <w:rPr>
          <w:vertAlign w:val="superscript"/>
        </w:rPr>
        <w:t>o</w:t>
      </w:r>
      <w:r w:rsidRPr="006D452F">
        <w:t> </w:t>
      </w:r>
      <w:r>
        <w:t>2684/2015</w:t>
      </w:r>
      <w:r w:rsidRPr="00046E2C">
        <w:rPr>
          <w:b w:val="0"/>
          <w:sz w:val="20"/>
        </w:rPr>
        <w:footnoteReference w:customMarkFollows="1" w:id="2"/>
        <w:t>*</w:t>
      </w:r>
      <w:r w:rsidRPr="00046E2C">
        <w:rPr>
          <w:b w:val="0"/>
          <w:position w:val="6"/>
          <w:sz w:val="20"/>
        </w:rPr>
        <w:t xml:space="preserve">, </w:t>
      </w:r>
      <w:r w:rsidRPr="00046E2C">
        <w:rPr>
          <w:b w:val="0"/>
          <w:sz w:val="20"/>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1"/>
        <w:gridCol w:w="4263"/>
      </w:tblGrid>
      <w:tr w:rsidR="00046E2C" w:rsidRPr="006D452F" w:rsidTr="00046E2C">
        <w:tc>
          <w:tcPr>
            <w:tcW w:w="2541" w:type="dxa"/>
          </w:tcPr>
          <w:p w:rsidR="00046E2C" w:rsidRPr="006D452F" w:rsidRDefault="00046E2C" w:rsidP="00E5138C">
            <w:pPr>
              <w:spacing w:after="120"/>
            </w:pPr>
            <w:r w:rsidRPr="006D452F">
              <w:rPr>
                <w:i/>
              </w:rPr>
              <w:t>Communication présentée par</w:t>
            </w:r>
            <w:r>
              <w:t> :</w:t>
            </w:r>
          </w:p>
        </w:tc>
        <w:tc>
          <w:tcPr>
            <w:tcW w:w="4263" w:type="dxa"/>
          </w:tcPr>
          <w:p w:rsidR="00046E2C" w:rsidRPr="006D452F" w:rsidRDefault="00046E2C" w:rsidP="00E5138C">
            <w:pPr>
              <w:spacing w:after="120"/>
            </w:pPr>
            <w:r>
              <w:t>T. (représenté par un conseil, Tony Ellis)</w:t>
            </w:r>
          </w:p>
        </w:tc>
      </w:tr>
      <w:tr w:rsidR="00046E2C" w:rsidRPr="006D452F" w:rsidTr="00046E2C">
        <w:tc>
          <w:tcPr>
            <w:tcW w:w="2541" w:type="dxa"/>
          </w:tcPr>
          <w:p w:rsidR="00046E2C" w:rsidRPr="006D452F" w:rsidRDefault="00046E2C" w:rsidP="00E5138C">
            <w:pPr>
              <w:spacing w:after="120"/>
            </w:pPr>
            <w:r w:rsidRPr="006D452F">
              <w:rPr>
                <w:i/>
              </w:rPr>
              <w:t>Au nom de</w:t>
            </w:r>
            <w:r>
              <w:t> :</w:t>
            </w:r>
          </w:p>
        </w:tc>
        <w:tc>
          <w:tcPr>
            <w:tcW w:w="4263" w:type="dxa"/>
          </w:tcPr>
          <w:p w:rsidR="00046E2C" w:rsidRPr="006D452F" w:rsidRDefault="00046E2C" w:rsidP="00E5138C">
            <w:pPr>
              <w:spacing w:after="120"/>
            </w:pPr>
            <w:r>
              <w:t>T.</w:t>
            </w:r>
          </w:p>
        </w:tc>
      </w:tr>
      <w:tr w:rsidR="00046E2C" w:rsidRPr="006D452F" w:rsidTr="00046E2C">
        <w:tc>
          <w:tcPr>
            <w:tcW w:w="2541" w:type="dxa"/>
          </w:tcPr>
          <w:p w:rsidR="00046E2C" w:rsidRPr="006D452F" w:rsidRDefault="00046E2C" w:rsidP="00E5138C">
            <w:pPr>
              <w:spacing w:after="120"/>
            </w:pPr>
            <w:r w:rsidRPr="006D452F">
              <w:rPr>
                <w:i/>
              </w:rPr>
              <w:t>État partie</w:t>
            </w:r>
            <w:r>
              <w:t> :</w:t>
            </w:r>
          </w:p>
        </w:tc>
        <w:tc>
          <w:tcPr>
            <w:tcW w:w="4263" w:type="dxa"/>
          </w:tcPr>
          <w:p w:rsidR="00046E2C" w:rsidRPr="006D452F" w:rsidRDefault="00046E2C" w:rsidP="00E5138C">
            <w:pPr>
              <w:spacing w:after="120"/>
            </w:pPr>
            <w:r>
              <w:t>Nouvelle-Zélande</w:t>
            </w:r>
          </w:p>
        </w:tc>
      </w:tr>
      <w:tr w:rsidR="00046E2C" w:rsidRPr="006D452F" w:rsidTr="00046E2C">
        <w:tc>
          <w:tcPr>
            <w:tcW w:w="2541" w:type="dxa"/>
          </w:tcPr>
          <w:p w:rsidR="00046E2C" w:rsidRPr="006D452F" w:rsidRDefault="00046E2C" w:rsidP="00E5138C">
            <w:pPr>
              <w:spacing w:after="120"/>
            </w:pPr>
            <w:r w:rsidRPr="006D452F">
              <w:rPr>
                <w:i/>
              </w:rPr>
              <w:t>Date de la communication</w:t>
            </w:r>
            <w:r>
              <w:t> :</w:t>
            </w:r>
          </w:p>
        </w:tc>
        <w:tc>
          <w:tcPr>
            <w:tcW w:w="4263" w:type="dxa"/>
          </w:tcPr>
          <w:p w:rsidR="00046E2C" w:rsidRPr="006D452F" w:rsidRDefault="00046E2C" w:rsidP="00E5138C">
            <w:pPr>
              <w:spacing w:after="120"/>
            </w:pPr>
            <w:r>
              <w:t>2 juin 2015</w:t>
            </w:r>
            <w:r w:rsidRPr="006D452F">
              <w:t xml:space="preserve"> (date de la lettre initiale)</w:t>
            </w:r>
          </w:p>
        </w:tc>
      </w:tr>
      <w:tr w:rsidR="00046E2C" w:rsidRPr="006D452F" w:rsidTr="00046E2C">
        <w:tc>
          <w:tcPr>
            <w:tcW w:w="2541" w:type="dxa"/>
          </w:tcPr>
          <w:p w:rsidR="00046E2C" w:rsidRPr="006D452F" w:rsidRDefault="00046E2C" w:rsidP="00E5138C">
            <w:pPr>
              <w:spacing w:after="120"/>
            </w:pPr>
            <w:r w:rsidRPr="006D452F">
              <w:rPr>
                <w:i/>
              </w:rPr>
              <w:t>Références</w:t>
            </w:r>
            <w:r>
              <w:t> :</w:t>
            </w:r>
          </w:p>
        </w:tc>
        <w:tc>
          <w:tcPr>
            <w:tcW w:w="4263" w:type="dxa"/>
          </w:tcPr>
          <w:p w:rsidR="00046E2C" w:rsidRPr="00C37C60" w:rsidRDefault="00046E2C" w:rsidP="00E5138C">
            <w:pPr>
              <w:spacing w:after="120"/>
              <w:rPr>
                <w:lang w:val="fr-FR"/>
              </w:rPr>
            </w:pPr>
            <w:r w:rsidRPr="00D67179">
              <w:rPr>
                <w:lang w:val="fr-FR"/>
              </w:rPr>
              <w:t>Décision prise en application de l</w:t>
            </w:r>
            <w:r>
              <w:rPr>
                <w:lang w:val="fr-FR"/>
              </w:rPr>
              <w:t>’</w:t>
            </w:r>
            <w:r w:rsidRPr="00D67179">
              <w:rPr>
                <w:lang w:val="fr-FR"/>
              </w:rPr>
              <w:t>article</w:t>
            </w:r>
            <w:r>
              <w:rPr>
                <w:lang w:val="fr-FR"/>
              </w:rPr>
              <w:t> </w:t>
            </w:r>
            <w:r w:rsidRPr="00D67179">
              <w:rPr>
                <w:lang w:val="fr-FR"/>
              </w:rPr>
              <w:t>97 du</w:t>
            </w:r>
            <w:r>
              <w:rPr>
                <w:lang w:val="fr-FR"/>
              </w:rPr>
              <w:t> </w:t>
            </w:r>
            <w:r w:rsidRPr="00D67179">
              <w:rPr>
                <w:lang w:val="fr-FR"/>
              </w:rPr>
              <w:t>règlement intérieur du Comité, communiquée à</w:t>
            </w:r>
            <w:r>
              <w:rPr>
                <w:lang w:val="fr-FR"/>
              </w:rPr>
              <w:t> </w:t>
            </w:r>
            <w:r w:rsidRPr="00D67179">
              <w:rPr>
                <w:lang w:val="fr-FR"/>
              </w:rPr>
              <w:t>l</w:t>
            </w:r>
            <w:r>
              <w:rPr>
                <w:lang w:val="fr-FR"/>
              </w:rPr>
              <w:t>’</w:t>
            </w:r>
            <w:r w:rsidRPr="00D67179">
              <w:rPr>
                <w:lang w:val="fr-FR"/>
              </w:rPr>
              <w:t xml:space="preserve">État partie le </w:t>
            </w:r>
            <w:r>
              <w:rPr>
                <w:lang w:val="fr-FR"/>
              </w:rPr>
              <w:t xml:space="preserve">20 novembre 2015 </w:t>
            </w:r>
            <w:r>
              <w:rPr>
                <w:lang w:val="fr-FR"/>
              </w:rPr>
              <w:br/>
            </w:r>
            <w:r w:rsidRPr="00D67179">
              <w:rPr>
                <w:lang w:val="fr-FR"/>
              </w:rPr>
              <w:t>(non publiée sous forme de document)</w:t>
            </w:r>
          </w:p>
        </w:tc>
      </w:tr>
      <w:tr w:rsidR="00046E2C" w:rsidRPr="006D452F" w:rsidTr="00046E2C">
        <w:tc>
          <w:tcPr>
            <w:tcW w:w="2541" w:type="dxa"/>
          </w:tcPr>
          <w:p w:rsidR="00046E2C" w:rsidRPr="006D452F" w:rsidRDefault="00046E2C" w:rsidP="00E5138C">
            <w:pPr>
              <w:spacing w:after="120"/>
            </w:pPr>
            <w:r w:rsidRPr="006D452F">
              <w:rPr>
                <w:i/>
              </w:rPr>
              <w:t xml:space="preserve">Date </w:t>
            </w:r>
            <w:r>
              <w:rPr>
                <w:i/>
              </w:rPr>
              <w:t>de la décision</w:t>
            </w:r>
            <w:r>
              <w:t> :</w:t>
            </w:r>
          </w:p>
        </w:tc>
        <w:tc>
          <w:tcPr>
            <w:tcW w:w="4263" w:type="dxa"/>
          </w:tcPr>
          <w:p w:rsidR="00046E2C" w:rsidRPr="006D452F" w:rsidRDefault="00046E2C" w:rsidP="00E5138C">
            <w:pPr>
              <w:spacing w:after="120"/>
            </w:pPr>
            <w:r>
              <w:t>29 mars 2019</w:t>
            </w:r>
          </w:p>
        </w:tc>
      </w:tr>
      <w:tr w:rsidR="00046E2C" w:rsidRPr="006D452F" w:rsidTr="00046E2C">
        <w:tc>
          <w:tcPr>
            <w:tcW w:w="2541" w:type="dxa"/>
          </w:tcPr>
          <w:p w:rsidR="00046E2C" w:rsidRPr="006D452F" w:rsidRDefault="00046E2C" w:rsidP="00E5138C">
            <w:pPr>
              <w:spacing w:after="120"/>
            </w:pPr>
            <w:r w:rsidRPr="006D452F">
              <w:rPr>
                <w:i/>
                <w:iCs/>
              </w:rPr>
              <w:t>Objet</w:t>
            </w:r>
            <w:r>
              <w:t> :</w:t>
            </w:r>
          </w:p>
        </w:tc>
        <w:tc>
          <w:tcPr>
            <w:tcW w:w="4263" w:type="dxa"/>
          </w:tcPr>
          <w:p w:rsidR="00046E2C" w:rsidRPr="006D452F" w:rsidRDefault="00046E2C" w:rsidP="00E5138C">
            <w:pPr>
              <w:spacing w:after="120"/>
              <w:rPr>
                <w:b/>
              </w:rPr>
            </w:pPr>
            <w:r>
              <w:rPr>
                <w:lang w:val="fr-FR"/>
              </w:rPr>
              <w:t xml:space="preserve">Procès d’un </w:t>
            </w:r>
            <w:r w:rsidRPr="00C76E18">
              <w:rPr>
                <w:lang w:val="fr-FR"/>
              </w:rPr>
              <w:t>défendeur</w:t>
            </w:r>
            <w:r>
              <w:rPr>
                <w:lang w:val="fr-FR"/>
              </w:rPr>
              <w:t xml:space="preserve"> souffrant d’une déficience intellectuelle</w:t>
            </w:r>
          </w:p>
        </w:tc>
      </w:tr>
      <w:tr w:rsidR="00046E2C" w:rsidRPr="006D452F" w:rsidTr="00046E2C">
        <w:tc>
          <w:tcPr>
            <w:tcW w:w="2541" w:type="dxa"/>
          </w:tcPr>
          <w:p w:rsidR="00046E2C" w:rsidRPr="006D452F" w:rsidRDefault="00046E2C" w:rsidP="00E5138C">
            <w:pPr>
              <w:spacing w:after="120"/>
            </w:pPr>
            <w:r w:rsidRPr="006D452F">
              <w:rPr>
                <w:i/>
                <w:iCs/>
              </w:rPr>
              <w:t>Question</w:t>
            </w:r>
            <w:r>
              <w:rPr>
                <w:i/>
                <w:iCs/>
              </w:rPr>
              <w:t>(</w:t>
            </w:r>
            <w:r w:rsidRPr="006D452F">
              <w:rPr>
                <w:i/>
                <w:iCs/>
              </w:rPr>
              <w:t>s</w:t>
            </w:r>
            <w:r>
              <w:rPr>
                <w:i/>
                <w:iCs/>
              </w:rPr>
              <w:t>)</w:t>
            </w:r>
            <w:r w:rsidRPr="006D452F">
              <w:rPr>
                <w:i/>
                <w:iCs/>
              </w:rPr>
              <w:t xml:space="preserve"> de procédure</w:t>
            </w:r>
            <w:r>
              <w:t> :</w:t>
            </w:r>
          </w:p>
        </w:tc>
        <w:tc>
          <w:tcPr>
            <w:tcW w:w="4263" w:type="dxa"/>
          </w:tcPr>
          <w:p w:rsidR="00046E2C" w:rsidRPr="006D452F" w:rsidRDefault="00046E2C" w:rsidP="00E5138C">
            <w:pPr>
              <w:spacing w:after="120"/>
              <w:rPr>
                <w:b/>
              </w:rPr>
            </w:pPr>
            <w:r w:rsidRPr="00A27D18">
              <w:rPr>
                <w:iCs/>
                <w:lang w:val="fr-FR"/>
              </w:rPr>
              <w:t>É</w:t>
            </w:r>
            <w:r>
              <w:rPr>
                <w:iCs/>
                <w:lang w:val="fr-FR"/>
              </w:rPr>
              <w:t>puisement des recours internes </w:t>
            </w:r>
            <w:r w:rsidRPr="00A27D18">
              <w:rPr>
                <w:iCs/>
                <w:spacing w:val="-2"/>
                <w:lang w:val="fr-FR"/>
              </w:rPr>
              <w:t xml:space="preserve">; </w:t>
            </w:r>
            <w:r>
              <w:rPr>
                <w:iCs/>
                <w:spacing w:val="-2"/>
                <w:lang w:val="fr-FR"/>
              </w:rPr>
              <w:t>abus du droit de présenter une communication </w:t>
            </w:r>
            <w:r w:rsidRPr="00A27D18">
              <w:rPr>
                <w:iCs/>
                <w:spacing w:val="-2"/>
                <w:lang w:val="fr-FR"/>
              </w:rPr>
              <w:t xml:space="preserve">; </w:t>
            </w:r>
            <w:r>
              <w:rPr>
                <w:iCs/>
                <w:spacing w:val="-2"/>
                <w:lang w:val="fr-FR"/>
              </w:rPr>
              <w:t xml:space="preserve">recevabilité </w:t>
            </w:r>
            <w:r w:rsidRPr="00A27D18">
              <w:rPr>
                <w:i/>
                <w:iCs/>
                <w:lang w:val="fr-FR"/>
              </w:rPr>
              <w:t>ratione</w:t>
            </w:r>
            <w:r>
              <w:rPr>
                <w:i/>
                <w:iCs/>
                <w:lang w:val="fr-FR"/>
              </w:rPr>
              <w:t> </w:t>
            </w:r>
            <w:r w:rsidRPr="00A27D18">
              <w:rPr>
                <w:i/>
                <w:iCs/>
                <w:lang w:val="fr-FR"/>
              </w:rPr>
              <w:t>temporis</w:t>
            </w:r>
          </w:p>
        </w:tc>
      </w:tr>
      <w:tr w:rsidR="00046E2C" w:rsidRPr="006D452F" w:rsidTr="00046E2C">
        <w:tc>
          <w:tcPr>
            <w:tcW w:w="2541" w:type="dxa"/>
          </w:tcPr>
          <w:p w:rsidR="00046E2C" w:rsidRPr="006D452F" w:rsidRDefault="00046E2C" w:rsidP="00E5138C">
            <w:pPr>
              <w:spacing w:after="120"/>
            </w:pPr>
            <w:r w:rsidRPr="006D452F">
              <w:rPr>
                <w:i/>
                <w:iCs/>
              </w:rPr>
              <w:t>Question</w:t>
            </w:r>
            <w:r>
              <w:rPr>
                <w:i/>
                <w:iCs/>
              </w:rPr>
              <w:t>(</w:t>
            </w:r>
            <w:r w:rsidRPr="006D452F">
              <w:rPr>
                <w:i/>
                <w:iCs/>
              </w:rPr>
              <w:t>s</w:t>
            </w:r>
            <w:r>
              <w:rPr>
                <w:i/>
                <w:iCs/>
              </w:rPr>
              <w:t>)</w:t>
            </w:r>
            <w:r w:rsidRPr="006D452F">
              <w:rPr>
                <w:i/>
                <w:iCs/>
              </w:rPr>
              <w:t xml:space="preserve"> de fond</w:t>
            </w:r>
            <w:r>
              <w:t> :</w:t>
            </w:r>
          </w:p>
        </w:tc>
        <w:tc>
          <w:tcPr>
            <w:tcW w:w="4263" w:type="dxa"/>
          </w:tcPr>
          <w:p w:rsidR="00046E2C" w:rsidRPr="006D452F" w:rsidRDefault="00046E2C" w:rsidP="00E5138C">
            <w:pPr>
              <w:spacing w:after="120"/>
              <w:rPr>
                <w:b/>
              </w:rPr>
            </w:pPr>
            <w:r>
              <w:rPr>
                <w:iCs/>
                <w:lang w:val="fr-FR"/>
              </w:rPr>
              <w:t>Peine ou traitement cruel, inhumain ou dégradant ; arrestation/</w:t>
            </w:r>
            <w:r w:rsidRPr="00A27D18">
              <w:rPr>
                <w:iCs/>
                <w:lang w:val="fr-FR"/>
              </w:rPr>
              <w:t>d</w:t>
            </w:r>
            <w:r>
              <w:rPr>
                <w:iCs/>
                <w:lang w:val="fr-FR"/>
              </w:rPr>
              <w:t>é</w:t>
            </w:r>
            <w:r w:rsidRPr="00A27D18">
              <w:rPr>
                <w:iCs/>
                <w:lang w:val="fr-FR"/>
              </w:rPr>
              <w:t>tention</w:t>
            </w:r>
            <w:r>
              <w:rPr>
                <w:iCs/>
                <w:lang w:val="fr-FR"/>
              </w:rPr>
              <w:t xml:space="preserve"> arbitraires </w:t>
            </w:r>
            <w:r w:rsidRPr="00A27D18">
              <w:rPr>
                <w:iCs/>
                <w:lang w:val="fr-FR"/>
              </w:rPr>
              <w:t xml:space="preserve">; </w:t>
            </w:r>
            <w:r>
              <w:rPr>
                <w:iCs/>
                <w:lang w:val="fr-FR"/>
              </w:rPr>
              <w:t>procès équitable</w:t>
            </w:r>
          </w:p>
        </w:tc>
      </w:tr>
      <w:tr w:rsidR="00046E2C" w:rsidRPr="006D452F" w:rsidTr="00046E2C">
        <w:tc>
          <w:tcPr>
            <w:tcW w:w="2541" w:type="dxa"/>
          </w:tcPr>
          <w:p w:rsidR="00046E2C" w:rsidRPr="006D452F" w:rsidRDefault="00046E2C" w:rsidP="00E5138C">
            <w:pPr>
              <w:spacing w:after="120"/>
            </w:pPr>
            <w:r w:rsidRPr="006D452F">
              <w:rPr>
                <w:i/>
                <w:iCs/>
              </w:rPr>
              <w:t>Article</w:t>
            </w:r>
            <w:r>
              <w:rPr>
                <w:i/>
                <w:iCs/>
              </w:rPr>
              <w:t>(</w:t>
            </w:r>
            <w:r w:rsidRPr="006D452F">
              <w:rPr>
                <w:i/>
                <w:iCs/>
              </w:rPr>
              <w:t>s</w:t>
            </w:r>
            <w:r>
              <w:rPr>
                <w:i/>
                <w:iCs/>
              </w:rPr>
              <w:t>)</w:t>
            </w:r>
            <w:r w:rsidRPr="006D452F">
              <w:rPr>
                <w:i/>
                <w:iCs/>
              </w:rPr>
              <w:t xml:space="preserve"> du Pacte</w:t>
            </w:r>
            <w:r>
              <w:t> :</w:t>
            </w:r>
          </w:p>
        </w:tc>
        <w:tc>
          <w:tcPr>
            <w:tcW w:w="4263" w:type="dxa"/>
          </w:tcPr>
          <w:p w:rsidR="00046E2C" w:rsidRPr="006D452F" w:rsidRDefault="00046E2C" w:rsidP="00E5138C">
            <w:pPr>
              <w:spacing w:after="120"/>
              <w:rPr>
                <w:b/>
              </w:rPr>
            </w:pPr>
            <w:r w:rsidRPr="00A27D18">
              <w:rPr>
                <w:lang w:val="fr-FR"/>
              </w:rPr>
              <w:t>7, 9 (</w:t>
            </w:r>
            <w:r>
              <w:rPr>
                <w:lang w:val="fr-FR"/>
              </w:rPr>
              <w:t>par. </w:t>
            </w:r>
            <w:r w:rsidRPr="00A27D18">
              <w:rPr>
                <w:lang w:val="fr-FR"/>
              </w:rPr>
              <w:t>1), 10 (</w:t>
            </w:r>
            <w:r>
              <w:rPr>
                <w:lang w:val="fr-FR"/>
              </w:rPr>
              <w:t xml:space="preserve">par. 1) et </w:t>
            </w:r>
            <w:r w:rsidRPr="00A27D18">
              <w:rPr>
                <w:lang w:val="fr-FR"/>
              </w:rPr>
              <w:t>14 (</w:t>
            </w:r>
            <w:r>
              <w:rPr>
                <w:lang w:val="fr-FR"/>
              </w:rPr>
              <w:t>par. </w:t>
            </w:r>
            <w:r w:rsidRPr="00A27D18">
              <w:rPr>
                <w:lang w:val="fr-FR"/>
              </w:rPr>
              <w:t>1</w:t>
            </w:r>
            <w:r>
              <w:rPr>
                <w:lang w:val="fr-FR"/>
              </w:rPr>
              <w:t xml:space="preserve"> et 3 </w:t>
            </w:r>
            <w:r w:rsidRPr="00A27D18">
              <w:rPr>
                <w:lang w:val="fr-FR"/>
              </w:rPr>
              <w:t>a</w:t>
            </w:r>
            <w:r>
              <w:rPr>
                <w:lang w:val="fr-FR"/>
              </w:rPr>
              <w:t>)</w:t>
            </w:r>
            <w:r w:rsidRPr="00A27D18">
              <w:rPr>
                <w:lang w:val="fr-FR"/>
              </w:rPr>
              <w:t>, d</w:t>
            </w:r>
            <w:r>
              <w:rPr>
                <w:lang w:val="fr-FR"/>
              </w:rPr>
              <w:t>)</w:t>
            </w:r>
            <w:r w:rsidRPr="00A27D18">
              <w:rPr>
                <w:lang w:val="fr-FR"/>
              </w:rPr>
              <w:t>, f</w:t>
            </w:r>
            <w:r>
              <w:rPr>
                <w:lang w:val="fr-FR"/>
              </w:rPr>
              <w:t>)</w:t>
            </w:r>
            <w:r w:rsidRPr="00A27D18">
              <w:rPr>
                <w:lang w:val="fr-FR"/>
              </w:rPr>
              <w:t xml:space="preserve"> </w:t>
            </w:r>
            <w:r>
              <w:rPr>
                <w:lang w:val="fr-FR"/>
              </w:rPr>
              <w:t>et </w:t>
            </w:r>
            <w:r w:rsidRPr="00A27D18">
              <w:rPr>
                <w:lang w:val="fr-FR"/>
              </w:rPr>
              <w:t>g)</w:t>
            </w:r>
            <w:r>
              <w:rPr>
                <w:lang w:val="fr-FR"/>
              </w:rPr>
              <w:t>)</w:t>
            </w:r>
          </w:p>
        </w:tc>
      </w:tr>
      <w:tr w:rsidR="00046E2C" w:rsidRPr="006D452F" w:rsidTr="00046E2C">
        <w:tc>
          <w:tcPr>
            <w:tcW w:w="2541" w:type="dxa"/>
          </w:tcPr>
          <w:p w:rsidR="00046E2C" w:rsidRPr="006D452F" w:rsidRDefault="00046E2C" w:rsidP="00E5138C">
            <w:pPr>
              <w:spacing w:after="120"/>
            </w:pPr>
            <w:r w:rsidRPr="006D452F">
              <w:rPr>
                <w:i/>
                <w:iCs/>
              </w:rPr>
              <w:t>Article</w:t>
            </w:r>
            <w:r>
              <w:rPr>
                <w:i/>
                <w:iCs/>
              </w:rPr>
              <w:t>(</w:t>
            </w:r>
            <w:r w:rsidRPr="006D452F">
              <w:rPr>
                <w:i/>
                <w:iCs/>
              </w:rPr>
              <w:t>s</w:t>
            </w:r>
            <w:r>
              <w:rPr>
                <w:i/>
                <w:iCs/>
              </w:rPr>
              <w:t>)</w:t>
            </w:r>
            <w:r w:rsidRPr="006D452F">
              <w:rPr>
                <w:i/>
                <w:iCs/>
              </w:rPr>
              <w:t xml:space="preserve"> du Protocole facultatif</w:t>
            </w:r>
            <w:r>
              <w:t> :</w:t>
            </w:r>
          </w:p>
        </w:tc>
        <w:tc>
          <w:tcPr>
            <w:tcW w:w="4263" w:type="dxa"/>
          </w:tcPr>
          <w:p w:rsidR="00046E2C" w:rsidRPr="006D452F" w:rsidRDefault="00046E2C" w:rsidP="00E5138C">
            <w:pPr>
              <w:spacing w:after="120"/>
              <w:rPr>
                <w:b/>
              </w:rPr>
            </w:pPr>
            <w:r w:rsidRPr="00A27D18">
              <w:rPr>
                <w:iCs/>
                <w:lang w:val="fr-FR"/>
              </w:rPr>
              <w:t xml:space="preserve">3 </w:t>
            </w:r>
            <w:r>
              <w:rPr>
                <w:iCs/>
                <w:lang w:val="fr-FR"/>
              </w:rPr>
              <w:t xml:space="preserve">et </w:t>
            </w:r>
            <w:r w:rsidRPr="00A27D18">
              <w:rPr>
                <w:iCs/>
                <w:lang w:val="fr-FR"/>
              </w:rPr>
              <w:t>5 (</w:t>
            </w:r>
            <w:r>
              <w:rPr>
                <w:iCs/>
                <w:lang w:val="fr-FR"/>
              </w:rPr>
              <w:t>par. </w:t>
            </w:r>
            <w:r w:rsidRPr="00A27D18">
              <w:rPr>
                <w:iCs/>
                <w:lang w:val="fr-FR"/>
              </w:rPr>
              <w:t>2</w:t>
            </w:r>
            <w:r>
              <w:rPr>
                <w:iCs/>
                <w:lang w:val="fr-FR"/>
              </w:rPr>
              <w:t> </w:t>
            </w:r>
            <w:r w:rsidRPr="00A27D18">
              <w:rPr>
                <w:iCs/>
                <w:lang w:val="fr-FR"/>
              </w:rPr>
              <w:t>b)</w:t>
            </w:r>
            <w:r>
              <w:rPr>
                <w:iCs/>
                <w:lang w:val="fr-FR"/>
              </w:rPr>
              <w:t>)</w:t>
            </w:r>
          </w:p>
        </w:tc>
      </w:tr>
    </w:tbl>
    <w:p w:rsidR="00046E2C" w:rsidRPr="00A27D18" w:rsidRDefault="00046E2C" w:rsidP="00046E2C">
      <w:pPr>
        <w:pStyle w:val="SingleTxtG"/>
        <w:rPr>
          <w:lang w:val="fr-FR"/>
        </w:rPr>
      </w:pPr>
      <w:r>
        <w:br w:type="page"/>
      </w:r>
      <w:r w:rsidRPr="00A27D18">
        <w:rPr>
          <w:lang w:val="fr-FR"/>
        </w:rPr>
        <w:lastRenderedPageBreak/>
        <w:t>1.1</w:t>
      </w:r>
      <w:r w:rsidRPr="00A27D18">
        <w:rPr>
          <w:lang w:val="fr-FR"/>
        </w:rPr>
        <w:tab/>
        <w:t>L</w:t>
      </w:r>
      <w:r>
        <w:rPr>
          <w:lang w:val="fr-FR"/>
        </w:rPr>
        <w:t>’</w:t>
      </w:r>
      <w:r w:rsidRPr="00A27D18">
        <w:rPr>
          <w:lang w:val="fr-FR"/>
        </w:rPr>
        <w:t xml:space="preserve">auteur </w:t>
      </w:r>
      <w:r>
        <w:rPr>
          <w:lang w:val="fr-FR"/>
        </w:rPr>
        <w:t xml:space="preserve">de la </w:t>
      </w:r>
      <w:r w:rsidRPr="00A27D18">
        <w:rPr>
          <w:lang w:val="fr-FR"/>
        </w:rPr>
        <w:t xml:space="preserve">communication </w:t>
      </w:r>
      <w:r>
        <w:rPr>
          <w:lang w:val="fr-FR"/>
        </w:rPr>
        <w:t>est T.</w:t>
      </w:r>
      <w:r w:rsidRPr="00A27D18">
        <w:rPr>
          <w:lang w:val="fr-FR"/>
        </w:rPr>
        <w:t xml:space="preserve">, </w:t>
      </w:r>
      <w:r>
        <w:rPr>
          <w:lang w:val="fr-FR"/>
        </w:rPr>
        <w:t xml:space="preserve">de nationalité néo-zélandaise, né en </w:t>
      </w:r>
      <w:r w:rsidRPr="00A27D18">
        <w:rPr>
          <w:lang w:val="fr-FR"/>
        </w:rPr>
        <w:t xml:space="preserve">1976. </w:t>
      </w:r>
      <w:r>
        <w:rPr>
          <w:lang w:val="fr-FR"/>
        </w:rPr>
        <w:t xml:space="preserve">Il affirme que </w:t>
      </w:r>
      <w:r w:rsidRPr="00A27D18">
        <w:rPr>
          <w:lang w:val="fr-FR"/>
        </w:rPr>
        <w:t>l</w:t>
      </w:r>
      <w:r>
        <w:rPr>
          <w:lang w:val="fr-FR"/>
        </w:rPr>
        <w:t>’</w:t>
      </w:r>
      <w:r w:rsidRPr="00A27D18">
        <w:rPr>
          <w:lang w:val="fr-FR"/>
        </w:rPr>
        <w:t xml:space="preserve">État partie </w:t>
      </w:r>
      <w:r>
        <w:rPr>
          <w:lang w:val="fr-FR"/>
        </w:rPr>
        <w:t>a violé les droits qu’il tient de l’article </w:t>
      </w:r>
      <w:r w:rsidRPr="00A27D18">
        <w:rPr>
          <w:lang w:val="fr-FR"/>
        </w:rPr>
        <w:t xml:space="preserve">7 </w:t>
      </w:r>
      <w:r>
        <w:rPr>
          <w:lang w:val="fr-FR"/>
        </w:rPr>
        <w:t>et</w:t>
      </w:r>
      <w:r w:rsidRPr="00A27D18">
        <w:rPr>
          <w:lang w:val="fr-FR"/>
        </w:rPr>
        <w:t>/o</w:t>
      </w:r>
      <w:r>
        <w:rPr>
          <w:lang w:val="fr-FR"/>
        </w:rPr>
        <w:t>u</w:t>
      </w:r>
      <w:r w:rsidRPr="00A27D18">
        <w:rPr>
          <w:lang w:val="fr-FR"/>
        </w:rPr>
        <w:t xml:space="preserve"> </w:t>
      </w:r>
      <w:r>
        <w:rPr>
          <w:lang w:val="fr-FR"/>
        </w:rPr>
        <w:t xml:space="preserve">du paragraphe 1 de l’article 9, du paragraphe 1 de l’article 10 et des paragraphes 1 et 3 </w:t>
      </w:r>
      <w:r w:rsidRPr="00A27D18">
        <w:rPr>
          <w:lang w:val="fr-FR"/>
        </w:rPr>
        <w:t>a</w:t>
      </w:r>
      <w:r>
        <w:rPr>
          <w:lang w:val="fr-FR"/>
        </w:rPr>
        <w:t>)</w:t>
      </w:r>
      <w:r w:rsidRPr="00A27D18">
        <w:rPr>
          <w:lang w:val="fr-FR"/>
        </w:rPr>
        <w:t>, d</w:t>
      </w:r>
      <w:r>
        <w:rPr>
          <w:lang w:val="fr-FR"/>
        </w:rPr>
        <w:t>)</w:t>
      </w:r>
      <w:r w:rsidRPr="00A27D18">
        <w:rPr>
          <w:lang w:val="fr-FR"/>
        </w:rPr>
        <w:t>, f</w:t>
      </w:r>
      <w:r>
        <w:rPr>
          <w:lang w:val="fr-FR"/>
        </w:rPr>
        <w:t>)</w:t>
      </w:r>
      <w:r w:rsidRPr="00A27D18">
        <w:rPr>
          <w:lang w:val="fr-FR"/>
        </w:rPr>
        <w:t xml:space="preserve"> </w:t>
      </w:r>
      <w:r>
        <w:rPr>
          <w:lang w:val="fr-FR"/>
        </w:rPr>
        <w:t>et </w:t>
      </w:r>
      <w:r w:rsidRPr="00A27D18">
        <w:rPr>
          <w:lang w:val="fr-FR"/>
        </w:rPr>
        <w:t>g)</w:t>
      </w:r>
      <w:r>
        <w:rPr>
          <w:lang w:val="fr-FR"/>
        </w:rPr>
        <w:t xml:space="preserve"> de l’article </w:t>
      </w:r>
      <w:r w:rsidRPr="00A27D18">
        <w:rPr>
          <w:lang w:val="fr-FR"/>
        </w:rPr>
        <w:t xml:space="preserve">14 du Pacte. </w:t>
      </w:r>
      <w:r>
        <w:rPr>
          <w:lang w:val="fr-FR"/>
        </w:rPr>
        <w:t xml:space="preserve">Le </w:t>
      </w:r>
      <w:r w:rsidRPr="00A27D18">
        <w:rPr>
          <w:lang w:val="fr-FR"/>
        </w:rPr>
        <w:t xml:space="preserve">Protocole facultatif </w:t>
      </w:r>
      <w:r>
        <w:rPr>
          <w:lang w:val="fr-FR"/>
        </w:rPr>
        <w:t>est entré en vigueur pour l’État partie</w:t>
      </w:r>
      <w:r w:rsidRPr="00A27D18">
        <w:rPr>
          <w:lang w:val="fr-FR"/>
        </w:rPr>
        <w:t xml:space="preserve"> </w:t>
      </w:r>
      <w:r>
        <w:rPr>
          <w:lang w:val="fr-FR"/>
        </w:rPr>
        <w:t xml:space="preserve">le </w:t>
      </w:r>
      <w:r w:rsidRPr="00A27D18">
        <w:rPr>
          <w:lang w:val="fr-FR"/>
        </w:rPr>
        <w:t>26</w:t>
      </w:r>
      <w:r>
        <w:rPr>
          <w:lang w:val="fr-FR"/>
        </w:rPr>
        <w:t> </w:t>
      </w:r>
      <w:r w:rsidRPr="00A27D18">
        <w:rPr>
          <w:lang w:val="fr-FR"/>
        </w:rPr>
        <w:t>août 1989. L</w:t>
      </w:r>
      <w:r>
        <w:rPr>
          <w:lang w:val="fr-FR"/>
        </w:rPr>
        <w:t>’</w:t>
      </w:r>
      <w:r w:rsidRPr="00A27D18">
        <w:rPr>
          <w:lang w:val="fr-FR"/>
        </w:rPr>
        <w:t xml:space="preserve">auteur </w:t>
      </w:r>
      <w:r>
        <w:rPr>
          <w:lang w:val="fr-FR"/>
        </w:rPr>
        <w:t>est représenté par un conseil</w:t>
      </w:r>
      <w:r w:rsidRPr="00A27D18">
        <w:rPr>
          <w:lang w:val="fr-FR"/>
        </w:rPr>
        <w:t>.</w:t>
      </w:r>
    </w:p>
    <w:p w:rsidR="00046E2C" w:rsidRPr="00A27D18" w:rsidRDefault="00046E2C" w:rsidP="00046E2C">
      <w:pPr>
        <w:pStyle w:val="SingleTxtG"/>
        <w:rPr>
          <w:spacing w:val="-1"/>
          <w:lang w:val="fr-FR"/>
        </w:rPr>
      </w:pPr>
      <w:r w:rsidRPr="00A27D18">
        <w:rPr>
          <w:spacing w:val="-1"/>
          <w:lang w:val="fr-FR"/>
        </w:rPr>
        <w:t>1.2</w:t>
      </w:r>
      <w:r w:rsidRPr="00A27D18">
        <w:rPr>
          <w:spacing w:val="-1"/>
          <w:lang w:val="fr-FR"/>
        </w:rPr>
        <w:tab/>
      </w:r>
      <w:r>
        <w:rPr>
          <w:spacing w:val="-1"/>
          <w:lang w:val="fr-FR"/>
        </w:rPr>
        <w:t>Le 14 </w:t>
      </w:r>
      <w:r w:rsidRPr="00A27D18">
        <w:rPr>
          <w:spacing w:val="-1"/>
          <w:lang w:val="fr-FR"/>
        </w:rPr>
        <w:t xml:space="preserve">mars 2016, </w:t>
      </w:r>
      <w:r>
        <w:rPr>
          <w:spacing w:val="-1"/>
          <w:lang w:val="fr-FR"/>
        </w:rPr>
        <w:t xml:space="preserve">à la suite d’une demande faite en ce sens par </w:t>
      </w:r>
      <w:r w:rsidRPr="00A27D18">
        <w:rPr>
          <w:spacing w:val="-1"/>
          <w:lang w:val="fr-FR"/>
        </w:rPr>
        <w:t>l</w:t>
      </w:r>
      <w:r>
        <w:rPr>
          <w:spacing w:val="-1"/>
          <w:lang w:val="fr-FR"/>
        </w:rPr>
        <w:t>’</w:t>
      </w:r>
      <w:r w:rsidRPr="00A27D18">
        <w:rPr>
          <w:spacing w:val="-1"/>
          <w:lang w:val="fr-FR"/>
        </w:rPr>
        <w:t>État partie</w:t>
      </w:r>
      <w:r>
        <w:rPr>
          <w:spacing w:val="-1"/>
          <w:lang w:val="fr-FR"/>
        </w:rPr>
        <w:t xml:space="preserve"> en date du 19 </w:t>
      </w:r>
      <w:r w:rsidRPr="00A27D18">
        <w:rPr>
          <w:spacing w:val="-1"/>
          <w:lang w:val="fr-FR"/>
        </w:rPr>
        <w:t xml:space="preserve">janvier 2016, </w:t>
      </w:r>
      <w:r w:rsidRPr="00A27D18">
        <w:rPr>
          <w:lang w:val="fr-FR"/>
        </w:rPr>
        <w:t>le Comité</w:t>
      </w:r>
      <w:r>
        <w:rPr>
          <w:lang w:val="fr-FR"/>
        </w:rPr>
        <w:t xml:space="preserve">, agissant par l’intermédiaire de son </w:t>
      </w:r>
      <w:r w:rsidRPr="00A27D18">
        <w:rPr>
          <w:lang w:val="fr-FR"/>
        </w:rPr>
        <w:t xml:space="preserve">Rapporteur </w:t>
      </w:r>
      <w:r>
        <w:rPr>
          <w:lang w:val="fr-FR"/>
        </w:rPr>
        <w:t xml:space="preserve">spécial chargé des nouvelles </w:t>
      </w:r>
      <w:r w:rsidRPr="00A27D18">
        <w:rPr>
          <w:lang w:val="fr-FR"/>
        </w:rPr>
        <w:t xml:space="preserve">communications </w:t>
      </w:r>
      <w:r>
        <w:rPr>
          <w:lang w:val="fr-FR"/>
        </w:rPr>
        <w:t xml:space="preserve">et des mesures provisoires et </w:t>
      </w:r>
      <w:r>
        <w:rPr>
          <w:color w:val="000000"/>
          <w:shd w:val="clear" w:color="auto" w:fill="FFFFFF"/>
        </w:rPr>
        <w:t>conformément à l’article 97 de son règlement intérieur</w:t>
      </w:r>
      <w:r>
        <w:rPr>
          <w:lang w:val="fr-FR"/>
        </w:rPr>
        <w:t>, a décidé d’examiner la recevabilité de la communication séparément du fond</w:t>
      </w:r>
      <w:r w:rsidRPr="00A27D18">
        <w:rPr>
          <w:lang w:val="fr-FR"/>
        </w:rPr>
        <w:t>.</w:t>
      </w:r>
    </w:p>
    <w:p w:rsidR="00046E2C" w:rsidRPr="00A27D18" w:rsidRDefault="00046E2C" w:rsidP="00046E2C">
      <w:pPr>
        <w:pStyle w:val="H23G"/>
        <w:rPr>
          <w:lang w:val="fr-FR"/>
        </w:rPr>
      </w:pPr>
      <w:r w:rsidRPr="00A27D18">
        <w:rPr>
          <w:lang w:val="fr-FR"/>
        </w:rPr>
        <w:tab/>
      </w:r>
      <w:r w:rsidRPr="00A27D18">
        <w:rPr>
          <w:lang w:val="fr-FR"/>
        </w:rPr>
        <w:tab/>
      </w:r>
      <w:r>
        <w:rPr>
          <w:lang w:val="fr-FR"/>
        </w:rPr>
        <w:t>Exposé des faits</w:t>
      </w:r>
    </w:p>
    <w:p w:rsidR="00046E2C" w:rsidRPr="00A27D18" w:rsidRDefault="00046E2C" w:rsidP="00046E2C">
      <w:pPr>
        <w:pStyle w:val="SingleTxtG"/>
        <w:rPr>
          <w:lang w:val="fr-FR"/>
        </w:rPr>
      </w:pPr>
      <w:r w:rsidRPr="00A27D18">
        <w:rPr>
          <w:lang w:val="fr-FR"/>
        </w:rPr>
        <w:t>2.1</w:t>
      </w:r>
      <w:r w:rsidRPr="00A27D18">
        <w:rPr>
          <w:lang w:val="fr-FR"/>
        </w:rPr>
        <w:tab/>
      </w:r>
      <w:r>
        <w:rPr>
          <w:lang w:val="fr-FR"/>
        </w:rPr>
        <w:t>Au moment de la soumission de la communication,</w:t>
      </w:r>
      <w:r w:rsidRPr="00A27D18">
        <w:rPr>
          <w:lang w:val="fr-FR"/>
        </w:rPr>
        <w:t xml:space="preserve"> l</w:t>
      </w:r>
      <w:r>
        <w:rPr>
          <w:lang w:val="fr-FR"/>
        </w:rPr>
        <w:t>’</w:t>
      </w:r>
      <w:r w:rsidRPr="00A27D18">
        <w:rPr>
          <w:lang w:val="fr-FR"/>
        </w:rPr>
        <w:t xml:space="preserve">auteur </w:t>
      </w:r>
      <w:r>
        <w:rPr>
          <w:lang w:val="fr-FR"/>
        </w:rPr>
        <w:t>souffrait d’une déficience intellectuelle et avait un quotient intellectuel (QI)</w:t>
      </w:r>
      <w:r w:rsidRPr="00A27D18">
        <w:rPr>
          <w:lang w:val="fr-FR"/>
        </w:rPr>
        <w:t xml:space="preserve"> </w:t>
      </w:r>
      <w:r>
        <w:rPr>
          <w:lang w:val="fr-FR"/>
        </w:rPr>
        <w:t xml:space="preserve">de </w:t>
      </w:r>
      <w:r w:rsidRPr="00A27D18">
        <w:rPr>
          <w:lang w:val="fr-FR"/>
        </w:rPr>
        <w:t xml:space="preserve">62, </w:t>
      </w:r>
      <w:r>
        <w:rPr>
          <w:lang w:val="fr-FR"/>
        </w:rPr>
        <w:t xml:space="preserve">ce qui le plaçait dans la catégorie du </w:t>
      </w:r>
      <w:r w:rsidRPr="00A27D18">
        <w:rPr>
          <w:lang w:val="fr-FR"/>
        </w:rPr>
        <w:t>1</w:t>
      </w:r>
      <w:r>
        <w:rPr>
          <w:lang w:val="fr-FR"/>
        </w:rPr>
        <w:t> </w:t>
      </w:r>
      <w:r w:rsidRPr="00A27D18">
        <w:rPr>
          <w:lang w:val="fr-FR"/>
        </w:rPr>
        <w:t xml:space="preserve">% </w:t>
      </w:r>
      <w:r>
        <w:rPr>
          <w:lang w:val="fr-FR"/>
        </w:rPr>
        <w:t>inférieur de son groupe d’âge.</w:t>
      </w:r>
    </w:p>
    <w:p w:rsidR="00046E2C" w:rsidRPr="00A27D18" w:rsidRDefault="00046E2C" w:rsidP="00046E2C">
      <w:pPr>
        <w:pStyle w:val="SingleTxtG"/>
        <w:rPr>
          <w:lang w:val="fr-FR"/>
        </w:rPr>
      </w:pPr>
      <w:r w:rsidRPr="00A27D18">
        <w:rPr>
          <w:lang w:val="fr-FR"/>
        </w:rPr>
        <w:t>2.2.</w:t>
      </w:r>
      <w:r w:rsidRPr="00A27D18">
        <w:rPr>
          <w:lang w:val="fr-FR"/>
        </w:rPr>
        <w:tab/>
      </w:r>
      <w:r>
        <w:rPr>
          <w:lang w:val="fr-FR"/>
        </w:rPr>
        <w:t>Le 27 </w:t>
      </w:r>
      <w:r w:rsidRPr="00A27D18">
        <w:rPr>
          <w:lang w:val="fr-FR"/>
        </w:rPr>
        <w:t xml:space="preserve">mai 2004, </w:t>
      </w:r>
      <w:r>
        <w:rPr>
          <w:lang w:val="fr-FR"/>
        </w:rPr>
        <w:t xml:space="preserve">l’auteur a été arrêté par la </w:t>
      </w:r>
      <w:r w:rsidRPr="00A27D18">
        <w:rPr>
          <w:lang w:val="fr-FR"/>
        </w:rPr>
        <w:t xml:space="preserve">police </w:t>
      </w:r>
      <w:r>
        <w:rPr>
          <w:lang w:val="fr-FR"/>
        </w:rPr>
        <w:t>pour trouble à l’ordre public</w:t>
      </w:r>
      <w:r w:rsidRPr="00DE6DC6">
        <w:rPr>
          <w:lang w:val="fr-FR"/>
        </w:rPr>
        <w:t xml:space="preserve"> </w:t>
      </w:r>
      <w:r>
        <w:rPr>
          <w:lang w:val="fr-FR"/>
        </w:rPr>
        <w:t>dans une gare</w:t>
      </w:r>
      <w:r w:rsidRPr="00A27D18">
        <w:rPr>
          <w:lang w:val="fr-FR"/>
        </w:rPr>
        <w:t xml:space="preserve">. </w:t>
      </w:r>
      <w:r>
        <w:rPr>
          <w:lang w:val="fr-FR"/>
        </w:rPr>
        <w:t xml:space="preserve">Il a été conduit au centre de police de proximité de </w:t>
      </w:r>
      <w:r w:rsidRPr="00A27D18">
        <w:rPr>
          <w:lang w:val="fr-FR"/>
        </w:rPr>
        <w:t xml:space="preserve">Johnsonville, </w:t>
      </w:r>
      <w:r>
        <w:rPr>
          <w:lang w:val="fr-FR"/>
        </w:rPr>
        <w:t>où il a reconnu avoir commis un vol dans un magasin de vins et spiritueux.</w:t>
      </w:r>
      <w:r w:rsidRPr="00A27D18">
        <w:rPr>
          <w:lang w:val="fr-FR"/>
        </w:rPr>
        <w:t xml:space="preserve"> </w:t>
      </w:r>
      <w:r>
        <w:rPr>
          <w:lang w:val="fr-FR"/>
        </w:rPr>
        <w:t xml:space="preserve">Puis il a été conduit au </w:t>
      </w:r>
      <w:r w:rsidRPr="00A27D18">
        <w:rPr>
          <w:lang w:val="fr-FR"/>
        </w:rPr>
        <w:t>commissariat</w:t>
      </w:r>
      <w:r>
        <w:rPr>
          <w:lang w:val="fr-FR"/>
        </w:rPr>
        <w:t xml:space="preserve"> de</w:t>
      </w:r>
      <w:r w:rsidRPr="008750B8">
        <w:rPr>
          <w:lang w:val="fr-FR"/>
        </w:rPr>
        <w:t xml:space="preserve"> </w:t>
      </w:r>
      <w:r w:rsidRPr="00A27D18">
        <w:rPr>
          <w:lang w:val="fr-FR"/>
        </w:rPr>
        <w:t xml:space="preserve">Porirua, </w:t>
      </w:r>
      <w:r>
        <w:rPr>
          <w:lang w:val="fr-FR"/>
        </w:rPr>
        <w:t>où il a de nouveau été interrogé et a signé le procès-verbal d’interrogatoire, déclaré « exact et authentique »</w:t>
      </w:r>
      <w:r w:rsidRPr="00A27D18">
        <w:rPr>
          <w:lang w:val="fr-FR"/>
        </w:rPr>
        <w:t xml:space="preserve">. </w:t>
      </w:r>
      <w:r>
        <w:rPr>
          <w:lang w:val="fr-FR"/>
        </w:rPr>
        <w:t>Plus tard dans la matinée, il a été présenté devant le tribunal de district</w:t>
      </w:r>
      <w:r w:rsidRPr="00A27D18">
        <w:rPr>
          <w:lang w:val="fr-FR"/>
        </w:rPr>
        <w:t xml:space="preserve"> </w:t>
      </w:r>
      <w:r>
        <w:rPr>
          <w:lang w:val="fr-FR"/>
        </w:rPr>
        <w:t xml:space="preserve">de </w:t>
      </w:r>
      <w:r w:rsidRPr="00A27D18">
        <w:rPr>
          <w:lang w:val="fr-FR"/>
        </w:rPr>
        <w:t xml:space="preserve">Porirua </w:t>
      </w:r>
      <w:r>
        <w:rPr>
          <w:lang w:val="fr-FR"/>
        </w:rPr>
        <w:t xml:space="preserve">pour vol aggravé. En présence d’un </w:t>
      </w:r>
      <w:r w:rsidRPr="00C80CF7">
        <w:rPr>
          <w:i/>
          <w:lang w:val="fr-FR"/>
        </w:rPr>
        <w:t>solicitor</w:t>
      </w:r>
      <w:r>
        <w:rPr>
          <w:lang w:val="fr-FR"/>
        </w:rPr>
        <w:t xml:space="preserve"> de permanence</w:t>
      </w:r>
      <w:r w:rsidRPr="00A27D18">
        <w:rPr>
          <w:lang w:val="fr-FR"/>
        </w:rPr>
        <w:t xml:space="preserve">, </w:t>
      </w:r>
      <w:r>
        <w:rPr>
          <w:lang w:val="fr-FR"/>
        </w:rPr>
        <w:t xml:space="preserve">le tribunal a placé </w:t>
      </w:r>
      <w:r w:rsidRPr="00A27D18">
        <w:rPr>
          <w:lang w:val="fr-FR"/>
        </w:rPr>
        <w:t>l</w:t>
      </w:r>
      <w:r>
        <w:rPr>
          <w:lang w:val="fr-FR"/>
        </w:rPr>
        <w:t>’</w:t>
      </w:r>
      <w:r w:rsidRPr="00A27D18">
        <w:rPr>
          <w:lang w:val="fr-FR"/>
        </w:rPr>
        <w:t xml:space="preserve">auteur </w:t>
      </w:r>
      <w:r>
        <w:rPr>
          <w:lang w:val="fr-FR"/>
        </w:rPr>
        <w:t xml:space="preserve">en détention provisoire jusqu’au </w:t>
      </w:r>
      <w:r w:rsidRPr="00A27D18">
        <w:rPr>
          <w:lang w:val="fr-FR"/>
        </w:rPr>
        <w:t>1</w:t>
      </w:r>
      <w:r w:rsidRPr="00455192">
        <w:rPr>
          <w:vertAlign w:val="superscript"/>
          <w:lang w:val="fr-FR"/>
        </w:rPr>
        <w:t>er</w:t>
      </w:r>
      <w:r>
        <w:rPr>
          <w:lang w:val="fr-FR"/>
        </w:rPr>
        <w:t> </w:t>
      </w:r>
      <w:r w:rsidRPr="00A27D18">
        <w:rPr>
          <w:lang w:val="fr-FR"/>
        </w:rPr>
        <w:t xml:space="preserve">juin 2004. </w:t>
      </w:r>
    </w:p>
    <w:p w:rsidR="00046E2C" w:rsidRPr="00A27D18" w:rsidRDefault="00046E2C" w:rsidP="00046E2C">
      <w:pPr>
        <w:pStyle w:val="SingleTxtG"/>
        <w:rPr>
          <w:lang w:val="fr-FR"/>
        </w:rPr>
      </w:pPr>
      <w:r w:rsidRPr="00A27D18">
        <w:rPr>
          <w:lang w:val="fr-FR"/>
        </w:rPr>
        <w:t>2.3</w:t>
      </w:r>
      <w:r w:rsidRPr="00A27D18">
        <w:rPr>
          <w:lang w:val="fr-FR"/>
        </w:rPr>
        <w:tab/>
      </w:r>
      <w:r>
        <w:rPr>
          <w:lang w:val="fr-FR"/>
        </w:rPr>
        <w:t>Le 31 </w:t>
      </w:r>
      <w:r w:rsidRPr="00A27D18">
        <w:rPr>
          <w:lang w:val="fr-FR"/>
        </w:rPr>
        <w:t xml:space="preserve">mai 2004, </w:t>
      </w:r>
      <w:r>
        <w:rPr>
          <w:lang w:val="fr-FR"/>
        </w:rPr>
        <w:t>le docteur </w:t>
      </w:r>
      <w:r w:rsidRPr="00A27D18">
        <w:rPr>
          <w:lang w:val="fr-FR"/>
        </w:rPr>
        <w:t>B</w:t>
      </w:r>
      <w:r w:rsidR="000A0F64">
        <w:rPr>
          <w:lang w:val="fr-FR"/>
        </w:rPr>
        <w:t>.</w:t>
      </w:r>
      <w:r>
        <w:rPr>
          <w:lang w:val="fr-FR"/>
        </w:rPr>
        <w:t>-W</w:t>
      </w:r>
      <w:r w:rsidR="000A0F64">
        <w:rPr>
          <w:lang w:val="fr-FR"/>
        </w:rPr>
        <w:t>.</w:t>
      </w:r>
      <w:r w:rsidRPr="00A27D18">
        <w:rPr>
          <w:lang w:val="fr-FR"/>
        </w:rPr>
        <w:t xml:space="preserve"> </w:t>
      </w:r>
      <w:r>
        <w:rPr>
          <w:lang w:val="fr-FR"/>
        </w:rPr>
        <w:t>− un psychologue-conseil −</w:t>
      </w:r>
      <w:r w:rsidRPr="00A27D18">
        <w:rPr>
          <w:lang w:val="fr-FR"/>
        </w:rPr>
        <w:t xml:space="preserve"> </w:t>
      </w:r>
      <w:r>
        <w:rPr>
          <w:lang w:val="fr-FR"/>
        </w:rPr>
        <w:t xml:space="preserve">s’est entretenu avec </w:t>
      </w:r>
      <w:r w:rsidRPr="00A27D18">
        <w:rPr>
          <w:lang w:val="fr-FR"/>
        </w:rPr>
        <w:t>l</w:t>
      </w:r>
      <w:r>
        <w:rPr>
          <w:lang w:val="fr-FR"/>
        </w:rPr>
        <w:t>’</w:t>
      </w:r>
      <w:r w:rsidRPr="00A27D18">
        <w:rPr>
          <w:lang w:val="fr-FR"/>
        </w:rPr>
        <w:t xml:space="preserve">auteur </w:t>
      </w:r>
      <w:r>
        <w:rPr>
          <w:lang w:val="fr-FR"/>
        </w:rPr>
        <w:t xml:space="preserve">dans la prison de </w:t>
      </w:r>
      <w:r w:rsidRPr="00A27D18">
        <w:rPr>
          <w:lang w:val="fr-FR"/>
        </w:rPr>
        <w:t xml:space="preserve">Rimutaka. </w:t>
      </w:r>
      <w:r>
        <w:rPr>
          <w:lang w:val="fr-FR"/>
        </w:rPr>
        <w:t>Le même jour, il a écrit au tribunal de district</w:t>
      </w:r>
      <w:r w:rsidRPr="00A27D18">
        <w:rPr>
          <w:lang w:val="fr-FR"/>
        </w:rPr>
        <w:t xml:space="preserve"> </w:t>
      </w:r>
      <w:r>
        <w:rPr>
          <w:lang w:val="fr-FR"/>
        </w:rPr>
        <w:t xml:space="preserve">que </w:t>
      </w:r>
      <w:r w:rsidRPr="00A27D18">
        <w:rPr>
          <w:lang w:val="fr-FR"/>
        </w:rPr>
        <w:t>l</w:t>
      </w:r>
      <w:r>
        <w:rPr>
          <w:lang w:val="fr-FR"/>
        </w:rPr>
        <w:t>’</w:t>
      </w:r>
      <w:r w:rsidRPr="00A27D18">
        <w:rPr>
          <w:lang w:val="fr-FR"/>
        </w:rPr>
        <w:t xml:space="preserve">auteur </w:t>
      </w:r>
      <w:r>
        <w:rPr>
          <w:lang w:val="fr-FR"/>
        </w:rPr>
        <w:t xml:space="preserve">souffrait d’une </w:t>
      </w:r>
      <w:r w:rsidRPr="002251E1">
        <w:rPr>
          <w:lang w:val="fr-FR"/>
        </w:rPr>
        <w:t xml:space="preserve">déficience intellectuelle </w:t>
      </w:r>
      <w:r>
        <w:rPr>
          <w:lang w:val="fr-FR"/>
        </w:rPr>
        <w:t xml:space="preserve">modérée et de toxicomanie et qu’il présentait un comportement </w:t>
      </w:r>
      <w:r w:rsidRPr="00A27D18">
        <w:rPr>
          <w:lang w:val="fr-FR"/>
        </w:rPr>
        <w:t xml:space="preserve">antisocial </w:t>
      </w:r>
      <w:r>
        <w:rPr>
          <w:lang w:val="fr-FR"/>
        </w:rPr>
        <w:t>et une personnalité borderline</w:t>
      </w:r>
      <w:r w:rsidRPr="00A27D18">
        <w:rPr>
          <w:lang w:val="fr-FR"/>
        </w:rPr>
        <w:t xml:space="preserve">. </w:t>
      </w:r>
      <w:r>
        <w:rPr>
          <w:lang w:val="fr-FR"/>
        </w:rPr>
        <w:t>Le docteur </w:t>
      </w:r>
      <w:r w:rsidRPr="00A27D18">
        <w:rPr>
          <w:lang w:val="fr-FR"/>
        </w:rPr>
        <w:t>B</w:t>
      </w:r>
      <w:r>
        <w:rPr>
          <w:lang w:val="fr-FR"/>
        </w:rPr>
        <w:t>.-W. recommandait au tribunal de district de demander qu’un rapport soit rédigé au titre de l’article </w:t>
      </w:r>
      <w:r w:rsidRPr="00A27D18">
        <w:rPr>
          <w:lang w:val="fr-FR"/>
        </w:rPr>
        <w:t>121</w:t>
      </w:r>
      <w:r>
        <w:rPr>
          <w:lang w:val="fr-FR"/>
        </w:rPr>
        <w:t> </w:t>
      </w:r>
      <w:r w:rsidRPr="00A27D18">
        <w:rPr>
          <w:lang w:val="fr-FR"/>
        </w:rPr>
        <w:t>2</w:t>
      </w:r>
      <w:r>
        <w:rPr>
          <w:lang w:val="fr-FR"/>
        </w:rPr>
        <w:t> </w:t>
      </w:r>
      <w:r w:rsidRPr="00A27D18">
        <w:rPr>
          <w:lang w:val="fr-FR"/>
        </w:rPr>
        <w:t>b)</w:t>
      </w:r>
      <w:r>
        <w:rPr>
          <w:lang w:val="fr-FR"/>
        </w:rPr>
        <w:t> </w:t>
      </w:r>
      <w:r w:rsidRPr="00A27D18">
        <w:rPr>
          <w:lang w:val="fr-FR"/>
        </w:rPr>
        <w:t xml:space="preserve">i) </w:t>
      </w:r>
      <w:r>
        <w:rPr>
          <w:lang w:val="fr-FR"/>
        </w:rPr>
        <w:t>de la loi sur la justice pénale</w:t>
      </w:r>
      <w:r w:rsidRPr="00A27D18">
        <w:rPr>
          <w:lang w:val="fr-FR"/>
        </w:rPr>
        <w:t xml:space="preserve"> (</w:t>
      </w:r>
      <w:r>
        <w:rPr>
          <w:lang w:val="fr-FR"/>
        </w:rPr>
        <w:t>qui porte sur le pouvoir du tribunal de demander un rapport psychiatrique</w:t>
      </w:r>
      <w:r w:rsidRPr="00A27D18">
        <w:rPr>
          <w:lang w:val="fr-FR"/>
        </w:rPr>
        <w:t xml:space="preserve">). </w:t>
      </w:r>
      <w:r>
        <w:rPr>
          <w:lang w:val="fr-FR"/>
        </w:rPr>
        <w:t>Le 1</w:t>
      </w:r>
      <w:r w:rsidRPr="004B18CD">
        <w:rPr>
          <w:vertAlign w:val="superscript"/>
          <w:lang w:val="fr-FR"/>
        </w:rPr>
        <w:t>er</w:t>
      </w:r>
      <w:r>
        <w:rPr>
          <w:lang w:val="fr-FR"/>
        </w:rPr>
        <w:t> </w:t>
      </w:r>
      <w:r w:rsidRPr="00A27D18">
        <w:rPr>
          <w:lang w:val="fr-FR"/>
        </w:rPr>
        <w:t xml:space="preserve">juin 2004, </w:t>
      </w:r>
      <w:r>
        <w:rPr>
          <w:lang w:val="fr-FR"/>
        </w:rPr>
        <w:t>le tribunal de district</w:t>
      </w:r>
      <w:r w:rsidRPr="00A27D18">
        <w:rPr>
          <w:lang w:val="fr-FR"/>
        </w:rPr>
        <w:t xml:space="preserve"> </w:t>
      </w:r>
      <w:r>
        <w:rPr>
          <w:lang w:val="fr-FR"/>
        </w:rPr>
        <w:t>a prolongé la détention provisoire de l’auteur jusqu’au 15 </w:t>
      </w:r>
      <w:r w:rsidRPr="00A27D18">
        <w:rPr>
          <w:lang w:val="fr-FR"/>
        </w:rPr>
        <w:t>juin 2004</w:t>
      </w:r>
      <w:r>
        <w:rPr>
          <w:lang w:val="fr-FR"/>
        </w:rPr>
        <w:t>,</w:t>
      </w:r>
      <w:r w:rsidRPr="00A27D18">
        <w:rPr>
          <w:lang w:val="fr-FR"/>
        </w:rPr>
        <w:t xml:space="preserve"> </w:t>
      </w:r>
      <w:r>
        <w:rPr>
          <w:lang w:val="fr-FR"/>
        </w:rPr>
        <w:t>le temps qu’un examen psychiatrique soit effectué</w:t>
      </w:r>
      <w:r w:rsidRPr="00A27D18">
        <w:rPr>
          <w:lang w:val="fr-FR"/>
        </w:rPr>
        <w:t xml:space="preserve">. </w:t>
      </w:r>
      <w:r>
        <w:rPr>
          <w:lang w:val="fr-FR"/>
        </w:rPr>
        <w:t xml:space="preserve">Le </w:t>
      </w:r>
      <w:r w:rsidRPr="00A27D18">
        <w:rPr>
          <w:lang w:val="fr-FR"/>
        </w:rPr>
        <w:t>2</w:t>
      </w:r>
      <w:r>
        <w:rPr>
          <w:lang w:val="fr-FR"/>
        </w:rPr>
        <w:t> </w:t>
      </w:r>
      <w:r w:rsidRPr="00A27D18">
        <w:rPr>
          <w:lang w:val="fr-FR"/>
        </w:rPr>
        <w:t xml:space="preserve">juin 2004, </w:t>
      </w:r>
      <w:r>
        <w:rPr>
          <w:lang w:val="fr-FR"/>
        </w:rPr>
        <w:t xml:space="preserve">le directeur de la </w:t>
      </w:r>
      <w:r w:rsidRPr="00A27D18">
        <w:rPr>
          <w:lang w:val="fr-FR"/>
        </w:rPr>
        <w:t xml:space="preserve">prison </w:t>
      </w:r>
      <w:r>
        <w:rPr>
          <w:lang w:val="fr-FR"/>
        </w:rPr>
        <w:t xml:space="preserve">a demandé que l’auteur soit soumis à un examen psychiatrique parce qu’il s’automutilait et s’était notamment arraché un morceau de chair de son bras et l’avait ensuite mangé. </w:t>
      </w:r>
      <w:r w:rsidRPr="00A27D18">
        <w:rPr>
          <w:lang w:val="fr-FR"/>
        </w:rPr>
        <w:t>L</w:t>
      </w:r>
      <w:r>
        <w:rPr>
          <w:lang w:val="fr-FR"/>
        </w:rPr>
        <w:t>’</w:t>
      </w:r>
      <w:r w:rsidRPr="00A27D18">
        <w:rPr>
          <w:lang w:val="fr-FR"/>
        </w:rPr>
        <w:t xml:space="preserve">auteur </w:t>
      </w:r>
      <w:r>
        <w:rPr>
          <w:lang w:val="fr-FR"/>
        </w:rPr>
        <w:t xml:space="preserve">a été admis à l’hôpital de </w:t>
      </w:r>
      <w:r w:rsidRPr="00A27D18">
        <w:rPr>
          <w:lang w:val="fr-FR"/>
        </w:rPr>
        <w:t xml:space="preserve">Porirua </w:t>
      </w:r>
      <w:r>
        <w:rPr>
          <w:lang w:val="fr-FR"/>
        </w:rPr>
        <w:t xml:space="preserve">le même jour. Le </w:t>
      </w:r>
      <w:r w:rsidRPr="00A27D18">
        <w:rPr>
          <w:lang w:val="fr-FR"/>
        </w:rPr>
        <w:t>11</w:t>
      </w:r>
      <w:r>
        <w:rPr>
          <w:lang w:val="fr-FR"/>
        </w:rPr>
        <w:t> </w:t>
      </w:r>
      <w:r w:rsidRPr="00A27D18">
        <w:rPr>
          <w:lang w:val="fr-FR"/>
        </w:rPr>
        <w:t xml:space="preserve">juin 2004, </w:t>
      </w:r>
      <w:r>
        <w:rPr>
          <w:lang w:val="fr-FR"/>
        </w:rPr>
        <w:t>un rapport psychiatrique a été établi par le docteur </w:t>
      </w:r>
      <w:r w:rsidRPr="00A27D18">
        <w:rPr>
          <w:lang w:val="fr-FR"/>
        </w:rPr>
        <w:t>B</w:t>
      </w:r>
      <w:r>
        <w:rPr>
          <w:lang w:val="fr-FR"/>
        </w:rPr>
        <w:t>.</w:t>
      </w:r>
      <w:r w:rsidRPr="00A27D18">
        <w:rPr>
          <w:lang w:val="fr-FR"/>
        </w:rPr>
        <w:t>-W</w:t>
      </w:r>
      <w:r>
        <w:rPr>
          <w:lang w:val="fr-FR"/>
        </w:rPr>
        <w:t>.</w:t>
      </w:r>
      <w:r w:rsidRPr="00A27D18">
        <w:rPr>
          <w:lang w:val="fr-FR"/>
        </w:rPr>
        <w:t xml:space="preserve"> </w:t>
      </w:r>
      <w:r>
        <w:rPr>
          <w:lang w:val="fr-FR"/>
        </w:rPr>
        <w:t>au titre de l’article </w:t>
      </w:r>
      <w:r w:rsidRPr="00A27D18">
        <w:rPr>
          <w:lang w:val="fr-FR"/>
        </w:rPr>
        <w:t xml:space="preserve">121 </w:t>
      </w:r>
      <w:r>
        <w:rPr>
          <w:lang w:val="fr-FR"/>
        </w:rPr>
        <w:t>de la loi sur la justice pénale</w:t>
      </w:r>
      <w:r w:rsidRPr="00A27D18">
        <w:rPr>
          <w:lang w:val="fr-FR"/>
        </w:rPr>
        <w:t xml:space="preserve">. </w:t>
      </w:r>
      <w:r>
        <w:rPr>
          <w:lang w:val="fr-FR"/>
        </w:rPr>
        <w:t xml:space="preserve">Le rapport concluait que </w:t>
      </w:r>
      <w:r w:rsidRPr="00A27D18">
        <w:rPr>
          <w:lang w:val="fr-FR"/>
        </w:rPr>
        <w:t>l</w:t>
      </w:r>
      <w:r>
        <w:rPr>
          <w:lang w:val="fr-FR"/>
        </w:rPr>
        <w:t>’</w:t>
      </w:r>
      <w:r w:rsidRPr="00A27D18">
        <w:rPr>
          <w:lang w:val="fr-FR"/>
        </w:rPr>
        <w:t xml:space="preserve">auteur </w:t>
      </w:r>
      <w:r>
        <w:rPr>
          <w:lang w:val="fr-FR"/>
        </w:rPr>
        <w:t>était en état de plaider</w:t>
      </w:r>
      <w:r w:rsidRPr="00A27D18">
        <w:rPr>
          <w:lang w:val="fr-FR"/>
        </w:rPr>
        <w:t xml:space="preserve"> </w:t>
      </w:r>
      <w:r>
        <w:rPr>
          <w:lang w:val="fr-FR"/>
        </w:rPr>
        <w:t>mais souffrait d’une déficience intellectuelle,</w:t>
      </w:r>
      <w:r w:rsidRPr="00A27D18">
        <w:rPr>
          <w:lang w:val="fr-FR"/>
        </w:rPr>
        <w:t xml:space="preserve"> </w:t>
      </w:r>
      <w:r>
        <w:rPr>
          <w:lang w:val="fr-FR"/>
        </w:rPr>
        <w:t>dont le degré n’était pas déterminé, le psychiatre n’ayant pas examiné les tests neuropsychologiques</w:t>
      </w:r>
      <w:r w:rsidRPr="00A27D18">
        <w:rPr>
          <w:lang w:val="fr-FR"/>
        </w:rPr>
        <w:t>.</w:t>
      </w:r>
    </w:p>
    <w:p w:rsidR="00046E2C" w:rsidRPr="00A27D18" w:rsidRDefault="00046E2C" w:rsidP="00046E2C">
      <w:pPr>
        <w:pStyle w:val="SingleTxtG"/>
        <w:rPr>
          <w:lang w:val="fr-FR"/>
        </w:rPr>
      </w:pPr>
      <w:r w:rsidRPr="00A27D18">
        <w:rPr>
          <w:lang w:val="fr-FR"/>
        </w:rPr>
        <w:t>2.4</w:t>
      </w:r>
      <w:r w:rsidRPr="00A27D18">
        <w:rPr>
          <w:lang w:val="fr-FR"/>
        </w:rPr>
        <w:tab/>
      </w:r>
      <w:r>
        <w:rPr>
          <w:lang w:val="fr-FR"/>
        </w:rPr>
        <w:t>Le 29 </w:t>
      </w:r>
      <w:r w:rsidRPr="00A27D18">
        <w:rPr>
          <w:lang w:val="fr-FR"/>
        </w:rPr>
        <w:t xml:space="preserve">juin 2004, </w:t>
      </w:r>
      <w:r>
        <w:rPr>
          <w:lang w:val="fr-FR"/>
        </w:rPr>
        <w:t>sur le conseil d’un avocat commis d’office, l’</w:t>
      </w:r>
      <w:r w:rsidRPr="00A27D18">
        <w:rPr>
          <w:lang w:val="fr-FR"/>
        </w:rPr>
        <w:t xml:space="preserve">auteur </w:t>
      </w:r>
      <w:r>
        <w:rPr>
          <w:lang w:val="fr-FR"/>
        </w:rPr>
        <w:t>a plaidé coupable de vol aggravé.</w:t>
      </w:r>
      <w:r w:rsidRPr="00A27D18">
        <w:rPr>
          <w:vertAlign w:val="superscript"/>
          <w:lang w:val="fr-FR"/>
        </w:rPr>
        <w:t xml:space="preserve"> </w:t>
      </w:r>
      <w:r>
        <w:rPr>
          <w:lang w:val="fr-FR"/>
        </w:rPr>
        <w:t xml:space="preserve">Le </w:t>
      </w:r>
      <w:r w:rsidRPr="00A27D18">
        <w:rPr>
          <w:lang w:val="fr-FR"/>
        </w:rPr>
        <w:t>13</w:t>
      </w:r>
      <w:r>
        <w:rPr>
          <w:lang w:val="fr-FR"/>
        </w:rPr>
        <w:t> </w:t>
      </w:r>
      <w:r w:rsidRPr="00A27D18">
        <w:rPr>
          <w:lang w:val="fr-FR"/>
        </w:rPr>
        <w:t xml:space="preserve">août 2004, </w:t>
      </w:r>
      <w:r>
        <w:rPr>
          <w:lang w:val="fr-FR"/>
        </w:rPr>
        <w:t>le tribunal de district</w:t>
      </w:r>
      <w:r w:rsidRPr="00A27D18">
        <w:rPr>
          <w:lang w:val="fr-FR"/>
        </w:rPr>
        <w:t xml:space="preserve"> </w:t>
      </w:r>
      <w:r>
        <w:rPr>
          <w:lang w:val="fr-FR"/>
        </w:rPr>
        <w:t xml:space="preserve">de </w:t>
      </w:r>
      <w:r w:rsidRPr="00A27D18">
        <w:rPr>
          <w:lang w:val="fr-FR"/>
        </w:rPr>
        <w:t xml:space="preserve">Wellington </w:t>
      </w:r>
      <w:r>
        <w:rPr>
          <w:lang w:val="fr-FR"/>
        </w:rPr>
        <w:t>l’a condamné à une peine de trois ans et six mois</w:t>
      </w:r>
      <w:r w:rsidRPr="007A76A2">
        <w:rPr>
          <w:lang w:val="fr-FR"/>
        </w:rPr>
        <w:t xml:space="preserve"> </w:t>
      </w:r>
      <w:r>
        <w:rPr>
          <w:lang w:val="fr-FR"/>
        </w:rPr>
        <w:t>d’emprisonnement.</w:t>
      </w:r>
    </w:p>
    <w:p w:rsidR="00046E2C" w:rsidRPr="00A27D18" w:rsidRDefault="00046E2C" w:rsidP="00046E2C">
      <w:pPr>
        <w:pStyle w:val="SingleTxtG"/>
        <w:rPr>
          <w:lang w:val="fr-FR"/>
        </w:rPr>
      </w:pPr>
      <w:r w:rsidRPr="00A27D18">
        <w:rPr>
          <w:lang w:val="fr-FR"/>
        </w:rPr>
        <w:t>2.5</w:t>
      </w:r>
      <w:r w:rsidRPr="00A27D18">
        <w:rPr>
          <w:lang w:val="fr-FR"/>
        </w:rPr>
        <w:tab/>
      </w:r>
      <w:r>
        <w:rPr>
          <w:lang w:val="fr-FR"/>
        </w:rPr>
        <w:t xml:space="preserve">Le </w:t>
      </w:r>
      <w:r w:rsidRPr="00A27D18">
        <w:rPr>
          <w:lang w:val="fr-FR"/>
        </w:rPr>
        <w:t>29</w:t>
      </w:r>
      <w:r>
        <w:rPr>
          <w:lang w:val="fr-FR"/>
        </w:rPr>
        <w:t> juillet</w:t>
      </w:r>
      <w:r w:rsidRPr="00A27D18">
        <w:rPr>
          <w:lang w:val="fr-FR"/>
        </w:rPr>
        <w:t xml:space="preserve"> 2005, l</w:t>
      </w:r>
      <w:r>
        <w:rPr>
          <w:lang w:val="fr-FR"/>
        </w:rPr>
        <w:t>’</w:t>
      </w:r>
      <w:r w:rsidRPr="00A27D18">
        <w:rPr>
          <w:lang w:val="fr-FR"/>
        </w:rPr>
        <w:t xml:space="preserve">auteur </w:t>
      </w:r>
      <w:r>
        <w:rPr>
          <w:lang w:val="fr-FR"/>
        </w:rPr>
        <w:t>pouvait prétendre à une libération conditionnelle</w:t>
      </w:r>
      <w:r w:rsidRPr="00A27D18">
        <w:rPr>
          <w:lang w:val="fr-FR"/>
        </w:rPr>
        <w:t xml:space="preserve">. </w:t>
      </w:r>
      <w:r>
        <w:rPr>
          <w:lang w:val="fr-FR"/>
        </w:rPr>
        <w:t>Le 23 </w:t>
      </w:r>
      <w:r w:rsidRPr="00A27D18">
        <w:rPr>
          <w:lang w:val="fr-FR"/>
        </w:rPr>
        <w:t xml:space="preserve">février 2006, </w:t>
      </w:r>
      <w:r>
        <w:rPr>
          <w:lang w:val="fr-FR"/>
        </w:rPr>
        <w:t xml:space="preserve">alors que l’auteur était toujours en </w:t>
      </w:r>
      <w:r w:rsidRPr="00A27D18">
        <w:rPr>
          <w:lang w:val="fr-FR"/>
        </w:rPr>
        <w:t xml:space="preserve">prison, </w:t>
      </w:r>
      <w:r>
        <w:rPr>
          <w:lang w:val="fr-FR"/>
        </w:rPr>
        <w:t xml:space="preserve">le </w:t>
      </w:r>
      <w:r w:rsidRPr="00A27D18">
        <w:rPr>
          <w:lang w:val="fr-FR"/>
        </w:rPr>
        <w:t>tribunal des affaires familiales (</w:t>
      </w:r>
      <w:r>
        <w:rPr>
          <w:lang w:val="fr-FR"/>
        </w:rPr>
        <w:t>une subdivision du tribunal de district</w:t>
      </w:r>
      <w:r w:rsidRPr="00A27D18">
        <w:rPr>
          <w:lang w:val="fr-FR"/>
        </w:rPr>
        <w:t xml:space="preserve">) </w:t>
      </w:r>
      <w:r>
        <w:rPr>
          <w:lang w:val="fr-FR"/>
        </w:rPr>
        <w:t xml:space="preserve">a ordonné son placement </w:t>
      </w:r>
      <w:r w:rsidRPr="00DC70FF">
        <w:rPr>
          <w:lang w:val="fr-FR"/>
        </w:rPr>
        <w:t xml:space="preserve">dans une unité d’obligation de soins pour déficients intellectuels </w:t>
      </w:r>
      <w:r>
        <w:rPr>
          <w:lang w:val="fr-FR"/>
        </w:rPr>
        <w:t>au titre de l’article </w:t>
      </w:r>
      <w:r w:rsidRPr="00A27D18">
        <w:rPr>
          <w:lang w:val="fr-FR"/>
        </w:rPr>
        <w:t xml:space="preserve">45 </w:t>
      </w:r>
      <w:r>
        <w:rPr>
          <w:lang w:val="fr-FR"/>
        </w:rPr>
        <w:t>(Compétence pour délivrer une ordonnance d’obligation de soins)</w:t>
      </w:r>
      <w:r w:rsidR="00BB77D2">
        <w:rPr>
          <w:lang w:val="fr-FR"/>
        </w:rPr>
        <w:t xml:space="preserve"> </w:t>
      </w:r>
      <w:r>
        <w:rPr>
          <w:lang w:val="fr-FR"/>
        </w:rPr>
        <w:t xml:space="preserve">de la loi de </w:t>
      </w:r>
      <w:r w:rsidRPr="00A27D18">
        <w:rPr>
          <w:lang w:val="fr-FR"/>
        </w:rPr>
        <w:t xml:space="preserve">2003 </w:t>
      </w:r>
      <w:r>
        <w:rPr>
          <w:lang w:val="fr-FR"/>
        </w:rPr>
        <w:t xml:space="preserve">sur le handicap intellectuel. La décision du tribunal des affaires familiales se fondait sur la conclusion selon laquelle </w:t>
      </w:r>
      <w:r w:rsidRPr="00A27D18">
        <w:rPr>
          <w:lang w:val="fr-FR"/>
        </w:rPr>
        <w:t>l</w:t>
      </w:r>
      <w:r>
        <w:rPr>
          <w:lang w:val="fr-FR"/>
        </w:rPr>
        <w:t>’</w:t>
      </w:r>
      <w:r w:rsidRPr="00A27D18">
        <w:rPr>
          <w:lang w:val="fr-FR"/>
        </w:rPr>
        <w:t xml:space="preserve">auteur </w:t>
      </w:r>
      <w:r>
        <w:rPr>
          <w:lang w:val="fr-FR"/>
        </w:rPr>
        <w:t>souffrait d’une déficience intellectuelle</w:t>
      </w:r>
      <w:r w:rsidRPr="00A27D18">
        <w:rPr>
          <w:lang w:val="fr-FR"/>
        </w:rPr>
        <w:t xml:space="preserve">. </w:t>
      </w:r>
      <w:r>
        <w:rPr>
          <w:lang w:val="fr-FR"/>
        </w:rPr>
        <w:t>La date fixée pour la fin de cette détention correspondait à celle du terme de sa peine de prison, à savoir le 29 </w:t>
      </w:r>
      <w:r w:rsidRPr="00A27D18">
        <w:rPr>
          <w:lang w:val="fr-FR"/>
        </w:rPr>
        <w:t xml:space="preserve">novembre 2007. </w:t>
      </w:r>
      <w:r>
        <w:rPr>
          <w:lang w:val="fr-FR"/>
        </w:rPr>
        <w:t xml:space="preserve">Malgré cet ordre de placement, </w:t>
      </w:r>
      <w:r w:rsidRPr="00A27D18">
        <w:rPr>
          <w:lang w:val="fr-FR"/>
        </w:rPr>
        <w:t>l</w:t>
      </w:r>
      <w:r>
        <w:rPr>
          <w:lang w:val="fr-FR"/>
        </w:rPr>
        <w:t>’</w:t>
      </w:r>
      <w:r w:rsidRPr="00A27D18">
        <w:rPr>
          <w:lang w:val="fr-FR"/>
        </w:rPr>
        <w:t xml:space="preserve">auteur </w:t>
      </w:r>
      <w:r>
        <w:rPr>
          <w:lang w:val="fr-FR"/>
        </w:rPr>
        <w:t xml:space="preserve">est resté en </w:t>
      </w:r>
      <w:r w:rsidRPr="00A27D18">
        <w:rPr>
          <w:lang w:val="fr-FR"/>
        </w:rPr>
        <w:t>prison</w:t>
      </w:r>
      <w:r>
        <w:rPr>
          <w:lang w:val="fr-FR"/>
        </w:rPr>
        <w:t xml:space="preserve">. Le </w:t>
      </w:r>
      <w:r w:rsidRPr="00A27D18">
        <w:rPr>
          <w:lang w:val="fr-FR"/>
        </w:rPr>
        <w:t>6</w:t>
      </w:r>
      <w:r>
        <w:rPr>
          <w:lang w:val="fr-FR"/>
        </w:rPr>
        <w:t> </w:t>
      </w:r>
      <w:r w:rsidRPr="00A27D18">
        <w:rPr>
          <w:lang w:val="fr-FR"/>
        </w:rPr>
        <w:t>avril</w:t>
      </w:r>
      <w:r>
        <w:rPr>
          <w:lang w:val="fr-FR"/>
        </w:rPr>
        <w:t> </w:t>
      </w:r>
      <w:r w:rsidRPr="00A27D18">
        <w:rPr>
          <w:lang w:val="fr-FR"/>
        </w:rPr>
        <w:t xml:space="preserve">2006, </w:t>
      </w:r>
      <w:r>
        <w:rPr>
          <w:lang w:val="fr-FR"/>
        </w:rPr>
        <w:t xml:space="preserve">la commission des libérations conditionnelles a autorisé le placement de l’auteur en libération conditionnelle à compter du </w:t>
      </w:r>
      <w:r w:rsidRPr="00A27D18">
        <w:rPr>
          <w:lang w:val="fr-FR"/>
        </w:rPr>
        <w:t>19</w:t>
      </w:r>
      <w:r>
        <w:rPr>
          <w:lang w:val="fr-FR"/>
        </w:rPr>
        <w:t> </w:t>
      </w:r>
      <w:r w:rsidRPr="00A27D18">
        <w:rPr>
          <w:lang w:val="fr-FR"/>
        </w:rPr>
        <w:t>avril 2006. L</w:t>
      </w:r>
      <w:r>
        <w:rPr>
          <w:lang w:val="fr-FR"/>
        </w:rPr>
        <w:t>’</w:t>
      </w:r>
      <w:r w:rsidRPr="00A27D18">
        <w:rPr>
          <w:lang w:val="fr-FR"/>
        </w:rPr>
        <w:t xml:space="preserve">auteur </w:t>
      </w:r>
      <w:r>
        <w:rPr>
          <w:lang w:val="fr-FR"/>
        </w:rPr>
        <w:t xml:space="preserve">devait résider à </w:t>
      </w:r>
      <w:r w:rsidRPr="00A27D18">
        <w:rPr>
          <w:lang w:val="fr-FR"/>
        </w:rPr>
        <w:t xml:space="preserve">Timata Hou </w:t>
      </w:r>
      <w:r>
        <w:rPr>
          <w:lang w:val="fr-FR"/>
        </w:rPr>
        <w:t>− un centre de soins −</w:t>
      </w:r>
      <w:r w:rsidRPr="00A27D18">
        <w:rPr>
          <w:lang w:val="fr-FR"/>
        </w:rPr>
        <w:t xml:space="preserve"> </w:t>
      </w:r>
      <w:r>
        <w:rPr>
          <w:lang w:val="fr-FR"/>
        </w:rPr>
        <w:t>où devait s’appliquer l’obligation de soins ordonnée par le t</w:t>
      </w:r>
      <w:r w:rsidRPr="00A27D18">
        <w:rPr>
          <w:lang w:val="fr-FR"/>
        </w:rPr>
        <w:t xml:space="preserve">ribunal des affaires familiales. </w:t>
      </w:r>
      <w:r>
        <w:rPr>
          <w:lang w:val="fr-FR"/>
        </w:rPr>
        <w:t xml:space="preserve">Le </w:t>
      </w:r>
      <w:r w:rsidRPr="00A27D18">
        <w:rPr>
          <w:lang w:val="fr-FR"/>
        </w:rPr>
        <w:t>12</w:t>
      </w:r>
      <w:r>
        <w:rPr>
          <w:lang w:val="fr-FR"/>
        </w:rPr>
        <w:t> </w:t>
      </w:r>
      <w:r w:rsidRPr="00A27D18">
        <w:rPr>
          <w:lang w:val="fr-FR"/>
        </w:rPr>
        <w:t xml:space="preserve">octobre 2006, </w:t>
      </w:r>
      <w:r>
        <w:rPr>
          <w:lang w:val="fr-FR"/>
        </w:rPr>
        <w:t>le t</w:t>
      </w:r>
      <w:r w:rsidRPr="00A27D18">
        <w:rPr>
          <w:lang w:val="fr-FR"/>
        </w:rPr>
        <w:t xml:space="preserve">ribunal des affaires familiales </w:t>
      </w:r>
      <w:r>
        <w:rPr>
          <w:lang w:val="fr-FR"/>
        </w:rPr>
        <w:t>a renforcé le niveau de surveillance de l’</w:t>
      </w:r>
      <w:r w:rsidRPr="00A27D18">
        <w:rPr>
          <w:lang w:val="fr-FR"/>
        </w:rPr>
        <w:t xml:space="preserve">auteur </w:t>
      </w:r>
      <w:r>
        <w:rPr>
          <w:lang w:val="fr-FR"/>
        </w:rPr>
        <w:t xml:space="preserve">à </w:t>
      </w:r>
      <w:r w:rsidRPr="00A27D18">
        <w:rPr>
          <w:lang w:val="fr-FR"/>
        </w:rPr>
        <w:t>Timata Hou</w:t>
      </w:r>
      <w:r>
        <w:rPr>
          <w:lang w:val="fr-FR"/>
        </w:rPr>
        <w:t>. Le 15 </w:t>
      </w:r>
      <w:r w:rsidRPr="00A27D18">
        <w:rPr>
          <w:lang w:val="fr-FR"/>
        </w:rPr>
        <w:t xml:space="preserve">mai 2007, </w:t>
      </w:r>
      <w:r>
        <w:rPr>
          <w:lang w:val="fr-FR"/>
        </w:rPr>
        <w:t xml:space="preserve">il a ordonné l’annulation de l’obligation de soins avec effet à compter du </w:t>
      </w:r>
      <w:r w:rsidRPr="00A27D18">
        <w:rPr>
          <w:lang w:val="fr-FR"/>
        </w:rPr>
        <w:t>29</w:t>
      </w:r>
      <w:r>
        <w:rPr>
          <w:lang w:val="fr-FR"/>
        </w:rPr>
        <w:t> </w:t>
      </w:r>
      <w:r w:rsidRPr="00A27D18">
        <w:rPr>
          <w:lang w:val="fr-FR"/>
        </w:rPr>
        <w:t xml:space="preserve">mai 2007. </w:t>
      </w:r>
      <w:r>
        <w:rPr>
          <w:lang w:val="fr-FR"/>
        </w:rPr>
        <w:t xml:space="preserve">Sa décision se fondait sur un rapport en date du </w:t>
      </w:r>
      <w:r>
        <w:rPr>
          <w:lang w:val="fr-FR"/>
        </w:rPr>
        <w:lastRenderedPageBreak/>
        <w:t>26 </w:t>
      </w:r>
      <w:r w:rsidRPr="00A27D18">
        <w:rPr>
          <w:lang w:val="fr-FR"/>
        </w:rPr>
        <w:t xml:space="preserve">janvier 2007 </w:t>
      </w:r>
      <w:r>
        <w:rPr>
          <w:lang w:val="fr-FR"/>
        </w:rPr>
        <w:t>dans lequel le docteur</w:t>
      </w:r>
      <w:r w:rsidRPr="00A27D18">
        <w:rPr>
          <w:lang w:val="fr-FR"/>
        </w:rPr>
        <w:t xml:space="preserve"> W</w:t>
      </w:r>
      <w:r w:rsidR="00A32C52">
        <w:rPr>
          <w:lang w:val="fr-FR"/>
        </w:rPr>
        <w:t>.</w:t>
      </w:r>
      <w:r w:rsidRPr="00A27D18">
        <w:rPr>
          <w:lang w:val="fr-FR"/>
        </w:rPr>
        <w:t xml:space="preserve">, expert </w:t>
      </w:r>
      <w:r>
        <w:rPr>
          <w:lang w:val="fr-FR"/>
        </w:rPr>
        <w:t>en déficience intellectuelle</w:t>
      </w:r>
      <w:r w:rsidRPr="00A27D18">
        <w:rPr>
          <w:lang w:val="fr-FR"/>
        </w:rPr>
        <w:t xml:space="preserve">, </w:t>
      </w:r>
      <w:r>
        <w:rPr>
          <w:lang w:val="fr-FR"/>
        </w:rPr>
        <w:t xml:space="preserve">indiquait que </w:t>
      </w:r>
      <w:r w:rsidRPr="00A27D18">
        <w:rPr>
          <w:lang w:val="fr-FR"/>
        </w:rPr>
        <w:t>l</w:t>
      </w:r>
      <w:r>
        <w:rPr>
          <w:lang w:val="fr-FR"/>
        </w:rPr>
        <w:t>’</w:t>
      </w:r>
      <w:r w:rsidRPr="00A27D18">
        <w:rPr>
          <w:lang w:val="fr-FR"/>
        </w:rPr>
        <w:t xml:space="preserve">auteur </w:t>
      </w:r>
      <w:r>
        <w:rPr>
          <w:lang w:val="fr-FR"/>
        </w:rPr>
        <w:t>n’avait plus besoin de soins spécialisés</w:t>
      </w:r>
      <w:r w:rsidRPr="00A27D18">
        <w:rPr>
          <w:lang w:val="fr-FR"/>
        </w:rPr>
        <w:t>.</w:t>
      </w:r>
    </w:p>
    <w:p w:rsidR="00046E2C" w:rsidRPr="00A27D18" w:rsidRDefault="00046E2C" w:rsidP="00046E2C">
      <w:pPr>
        <w:pStyle w:val="SingleTxtG"/>
        <w:rPr>
          <w:lang w:val="fr-FR"/>
        </w:rPr>
      </w:pPr>
      <w:r w:rsidRPr="00A27D18">
        <w:rPr>
          <w:lang w:val="fr-FR"/>
        </w:rPr>
        <w:t>2.6</w:t>
      </w:r>
      <w:r w:rsidRPr="00A27D18">
        <w:rPr>
          <w:lang w:val="fr-FR"/>
        </w:rPr>
        <w:tab/>
        <w:t>À Timata Hou, l</w:t>
      </w:r>
      <w:r>
        <w:rPr>
          <w:lang w:val="fr-FR"/>
        </w:rPr>
        <w:t>’</w:t>
      </w:r>
      <w:r w:rsidRPr="00A27D18">
        <w:rPr>
          <w:lang w:val="fr-FR"/>
        </w:rPr>
        <w:t xml:space="preserve">auteur </w:t>
      </w:r>
      <w:r>
        <w:rPr>
          <w:lang w:val="fr-FR"/>
        </w:rPr>
        <w:t>a noué une relation avec une employée du centre et a même emménagé avec elle.</w:t>
      </w:r>
      <w:r w:rsidRPr="00A27D18">
        <w:rPr>
          <w:lang w:val="fr-FR"/>
        </w:rPr>
        <w:t xml:space="preserve"> </w:t>
      </w:r>
      <w:r>
        <w:rPr>
          <w:lang w:val="fr-FR"/>
        </w:rPr>
        <w:t xml:space="preserve">Cette relation s’est terminée à la fin de </w:t>
      </w:r>
      <w:r w:rsidRPr="00A27D18">
        <w:rPr>
          <w:lang w:val="fr-FR"/>
        </w:rPr>
        <w:t>janvier 2007</w:t>
      </w:r>
      <w:r>
        <w:rPr>
          <w:lang w:val="fr-FR"/>
        </w:rPr>
        <w:t xml:space="preserve">, quand </w:t>
      </w:r>
      <w:r w:rsidRPr="00A27D18">
        <w:rPr>
          <w:lang w:val="fr-FR"/>
        </w:rPr>
        <w:t>l</w:t>
      </w:r>
      <w:r>
        <w:rPr>
          <w:lang w:val="fr-FR"/>
        </w:rPr>
        <w:t>’</w:t>
      </w:r>
      <w:r w:rsidRPr="00A27D18">
        <w:rPr>
          <w:lang w:val="fr-FR"/>
        </w:rPr>
        <w:t xml:space="preserve">auteur </w:t>
      </w:r>
      <w:r>
        <w:rPr>
          <w:lang w:val="fr-FR"/>
        </w:rPr>
        <w:t>a été dénoncé pour propos menaçants</w:t>
      </w:r>
      <w:r w:rsidRPr="00A27D18">
        <w:rPr>
          <w:lang w:val="fr-FR"/>
        </w:rPr>
        <w:t xml:space="preserve">. </w:t>
      </w:r>
      <w:r>
        <w:rPr>
          <w:lang w:val="fr-FR"/>
        </w:rPr>
        <w:t xml:space="preserve">Il a plaidé coupable et, le </w:t>
      </w:r>
      <w:r w:rsidRPr="00A27D18">
        <w:rPr>
          <w:lang w:val="fr-FR"/>
        </w:rPr>
        <w:t>31</w:t>
      </w:r>
      <w:r>
        <w:rPr>
          <w:lang w:val="fr-FR"/>
        </w:rPr>
        <w:t> </w:t>
      </w:r>
      <w:r w:rsidRPr="00A27D18">
        <w:rPr>
          <w:lang w:val="fr-FR"/>
        </w:rPr>
        <w:t xml:space="preserve">janvier 2007, </w:t>
      </w:r>
      <w:r>
        <w:rPr>
          <w:lang w:val="fr-FR"/>
        </w:rPr>
        <w:t>la commission des libérations conditionnelles l’a renvoyé en prison</w:t>
      </w:r>
      <w:r w:rsidRPr="00A27D18">
        <w:rPr>
          <w:lang w:val="fr-FR"/>
        </w:rPr>
        <w:t xml:space="preserve">. </w:t>
      </w:r>
      <w:r>
        <w:rPr>
          <w:lang w:val="fr-FR"/>
        </w:rPr>
        <w:t>À une date non précisée</w:t>
      </w:r>
      <w:r w:rsidRPr="00A27D18">
        <w:rPr>
          <w:lang w:val="fr-FR"/>
        </w:rPr>
        <w:t xml:space="preserve"> </w:t>
      </w:r>
      <w:r>
        <w:rPr>
          <w:lang w:val="fr-FR"/>
        </w:rPr>
        <w:t xml:space="preserve">en </w:t>
      </w:r>
      <w:r w:rsidRPr="00A27D18">
        <w:rPr>
          <w:lang w:val="fr-FR"/>
        </w:rPr>
        <w:t xml:space="preserve">2007, </w:t>
      </w:r>
      <w:r>
        <w:rPr>
          <w:lang w:val="fr-FR"/>
        </w:rPr>
        <w:t>la Haute Cour</w:t>
      </w:r>
      <w:r w:rsidRPr="00A27D18">
        <w:rPr>
          <w:lang w:val="fr-FR"/>
        </w:rPr>
        <w:t xml:space="preserve"> </w:t>
      </w:r>
      <w:r>
        <w:rPr>
          <w:lang w:val="fr-FR"/>
        </w:rPr>
        <w:t>a adopté à son égard une ordonnance d’</w:t>
      </w:r>
      <w:r w:rsidRPr="00B95286">
        <w:rPr>
          <w:i/>
          <w:lang w:val="fr-FR"/>
        </w:rPr>
        <w:t xml:space="preserve">habeas corpus </w:t>
      </w:r>
      <w:r>
        <w:rPr>
          <w:lang w:val="fr-FR"/>
        </w:rPr>
        <w:t>intérimaire</w:t>
      </w:r>
      <w:r w:rsidRPr="00A27D18">
        <w:rPr>
          <w:lang w:val="fr-FR"/>
        </w:rPr>
        <w:t xml:space="preserve">, </w:t>
      </w:r>
      <w:r>
        <w:rPr>
          <w:lang w:val="fr-FR"/>
        </w:rPr>
        <w:t xml:space="preserve">à la demande de l’actuel conseil de </w:t>
      </w:r>
      <w:r w:rsidRPr="00A27D18">
        <w:rPr>
          <w:lang w:val="fr-FR"/>
        </w:rPr>
        <w:t>l</w:t>
      </w:r>
      <w:r>
        <w:rPr>
          <w:lang w:val="fr-FR"/>
        </w:rPr>
        <w:t>’</w:t>
      </w:r>
      <w:r w:rsidRPr="00A27D18">
        <w:rPr>
          <w:lang w:val="fr-FR"/>
        </w:rPr>
        <w:t xml:space="preserve">auteur, </w:t>
      </w:r>
      <w:r>
        <w:rPr>
          <w:lang w:val="fr-FR"/>
        </w:rPr>
        <w:t xml:space="preserve">renvoyant </w:t>
      </w:r>
      <w:r w:rsidRPr="00A27D18">
        <w:rPr>
          <w:lang w:val="fr-FR"/>
        </w:rPr>
        <w:t>l</w:t>
      </w:r>
      <w:r>
        <w:rPr>
          <w:lang w:val="fr-FR"/>
        </w:rPr>
        <w:t>’</w:t>
      </w:r>
      <w:r w:rsidRPr="00A27D18">
        <w:rPr>
          <w:lang w:val="fr-FR"/>
        </w:rPr>
        <w:t xml:space="preserve">auteur </w:t>
      </w:r>
      <w:r>
        <w:rPr>
          <w:lang w:val="fr-FR"/>
        </w:rPr>
        <w:t>devant les autorités de santé mentale.</w:t>
      </w:r>
    </w:p>
    <w:p w:rsidR="00046E2C" w:rsidRPr="00A27D18" w:rsidRDefault="00046E2C" w:rsidP="00046E2C">
      <w:pPr>
        <w:pStyle w:val="SingleTxtG"/>
        <w:rPr>
          <w:lang w:val="fr-FR"/>
        </w:rPr>
      </w:pPr>
      <w:r w:rsidRPr="00A27D18">
        <w:rPr>
          <w:lang w:val="fr-FR"/>
        </w:rPr>
        <w:t>2.7</w:t>
      </w:r>
      <w:r w:rsidRPr="00A27D18">
        <w:rPr>
          <w:lang w:val="fr-FR"/>
        </w:rPr>
        <w:tab/>
        <w:t>L</w:t>
      </w:r>
      <w:r>
        <w:rPr>
          <w:lang w:val="fr-FR"/>
        </w:rPr>
        <w:t>’</w:t>
      </w:r>
      <w:r w:rsidRPr="00A27D18">
        <w:rPr>
          <w:lang w:val="fr-FR"/>
        </w:rPr>
        <w:t xml:space="preserve">auteur </w:t>
      </w:r>
      <w:r>
        <w:rPr>
          <w:lang w:val="fr-FR"/>
        </w:rPr>
        <w:t xml:space="preserve">a soumis deux autres requêtes en </w:t>
      </w:r>
      <w:r w:rsidRPr="00455192">
        <w:rPr>
          <w:i/>
          <w:lang w:val="fr-FR"/>
        </w:rPr>
        <w:t>habeas</w:t>
      </w:r>
      <w:r>
        <w:rPr>
          <w:i/>
          <w:lang w:val="fr-FR"/>
        </w:rPr>
        <w:t> </w:t>
      </w:r>
      <w:r w:rsidRPr="00455192">
        <w:rPr>
          <w:i/>
          <w:lang w:val="fr-FR"/>
        </w:rPr>
        <w:t>corpus</w:t>
      </w:r>
      <w:r w:rsidRPr="00A27D18">
        <w:rPr>
          <w:lang w:val="fr-FR"/>
        </w:rPr>
        <w:t xml:space="preserve">. </w:t>
      </w:r>
      <w:r>
        <w:rPr>
          <w:lang w:val="fr-FR"/>
        </w:rPr>
        <w:t xml:space="preserve">Dans l’une, il faisait valoir que </w:t>
      </w:r>
      <w:r w:rsidRPr="00532FCF">
        <w:rPr>
          <w:lang w:val="fr-FR"/>
        </w:rPr>
        <w:t xml:space="preserve">la décision initiale </w:t>
      </w:r>
      <w:r>
        <w:rPr>
          <w:lang w:val="fr-FR"/>
        </w:rPr>
        <w:t>imposée par le tribunal de district</w:t>
      </w:r>
      <w:r w:rsidRPr="00A27D18">
        <w:rPr>
          <w:lang w:val="fr-FR"/>
        </w:rPr>
        <w:t xml:space="preserve"> </w:t>
      </w:r>
      <w:r>
        <w:rPr>
          <w:lang w:val="fr-FR"/>
        </w:rPr>
        <w:t xml:space="preserve">de Porirua et la décision ordonnant sa détention, notamment sa détention aux fins d’examen psychiatrique en </w:t>
      </w:r>
      <w:r w:rsidRPr="00A27D18">
        <w:rPr>
          <w:lang w:val="fr-FR"/>
        </w:rPr>
        <w:t xml:space="preserve">juin 2004, </w:t>
      </w:r>
      <w:r>
        <w:rPr>
          <w:lang w:val="fr-FR"/>
        </w:rPr>
        <w:t>étaient arbitraires</w:t>
      </w:r>
      <w:r w:rsidRPr="00A27D18">
        <w:rPr>
          <w:lang w:val="fr-FR"/>
        </w:rPr>
        <w:t xml:space="preserve">. </w:t>
      </w:r>
      <w:r>
        <w:rPr>
          <w:lang w:val="fr-FR"/>
        </w:rPr>
        <w:t>Dans l’autre, il affirmait que la procédure réglementaire n’avait pas été observée lorsque l’obligation de soins initiale pour déficience intellectuelle avait été ordonnée, le </w:t>
      </w:r>
      <w:r w:rsidRPr="00A27D18">
        <w:rPr>
          <w:lang w:val="fr-FR"/>
        </w:rPr>
        <w:t>23</w:t>
      </w:r>
      <w:r>
        <w:rPr>
          <w:lang w:val="fr-FR"/>
        </w:rPr>
        <w:t> </w:t>
      </w:r>
      <w:r w:rsidRPr="00A27D18">
        <w:rPr>
          <w:lang w:val="fr-FR"/>
        </w:rPr>
        <w:t xml:space="preserve">février 2006, </w:t>
      </w:r>
      <w:r>
        <w:rPr>
          <w:lang w:val="fr-FR"/>
        </w:rPr>
        <w:t>et que sa détention ultérieure était illégale</w:t>
      </w:r>
      <w:r w:rsidRPr="00A27D18">
        <w:rPr>
          <w:lang w:val="fr-FR"/>
        </w:rPr>
        <w:t xml:space="preserve">. </w:t>
      </w:r>
      <w:r>
        <w:rPr>
          <w:lang w:val="fr-FR"/>
        </w:rPr>
        <w:t xml:space="preserve">Ces deux requêtes ont été rejetées par la Haute Cour, décisions de rejet contre lesquelles l’auteur a interjeté appel devant </w:t>
      </w:r>
      <w:r w:rsidRPr="002E35B7">
        <w:rPr>
          <w:lang w:val="fr-FR"/>
        </w:rPr>
        <w:t>la Cour d’appel. Dans un jugement rendu le 2</w:t>
      </w:r>
      <w:r>
        <w:rPr>
          <w:lang w:val="fr-FR"/>
        </w:rPr>
        <w:t>8 </w:t>
      </w:r>
      <w:r w:rsidRPr="00A27D18">
        <w:rPr>
          <w:lang w:val="fr-FR"/>
        </w:rPr>
        <w:t xml:space="preserve">mai 2007, </w:t>
      </w:r>
      <w:r>
        <w:rPr>
          <w:lang w:val="fr-FR"/>
        </w:rPr>
        <w:t>la Cour d’appel</w:t>
      </w:r>
      <w:r w:rsidRPr="00A27D18">
        <w:rPr>
          <w:lang w:val="fr-FR"/>
        </w:rPr>
        <w:t xml:space="preserve"> </w:t>
      </w:r>
      <w:r>
        <w:rPr>
          <w:lang w:val="fr-FR"/>
        </w:rPr>
        <w:t xml:space="preserve">a débouté </w:t>
      </w:r>
      <w:r w:rsidRPr="00A27D18">
        <w:rPr>
          <w:lang w:val="fr-FR"/>
        </w:rPr>
        <w:t>l</w:t>
      </w:r>
      <w:r>
        <w:rPr>
          <w:lang w:val="fr-FR"/>
        </w:rPr>
        <w:t>’</w:t>
      </w:r>
      <w:r w:rsidRPr="00A27D18">
        <w:rPr>
          <w:lang w:val="fr-FR"/>
        </w:rPr>
        <w:t>auteur</w:t>
      </w:r>
      <w:r>
        <w:rPr>
          <w:lang w:val="fr-FR"/>
        </w:rPr>
        <w:t xml:space="preserve"> de ses deux recours</w:t>
      </w:r>
      <w:r w:rsidRPr="00A27D18">
        <w:rPr>
          <w:lang w:val="fr-FR"/>
        </w:rPr>
        <w:t xml:space="preserve">. </w:t>
      </w:r>
      <w:r>
        <w:rPr>
          <w:lang w:val="fr-FR"/>
        </w:rPr>
        <w:t>Elle a considéré que la peine initiale et l’ordre du t</w:t>
      </w:r>
      <w:r w:rsidRPr="00A27D18">
        <w:rPr>
          <w:lang w:val="fr-FR"/>
        </w:rPr>
        <w:t xml:space="preserve">ribunal des affaires familiales </w:t>
      </w:r>
      <w:r>
        <w:rPr>
          <w:lang w:val="fr-FR"/>
        </w:rPr>
        <w:t>auraient dû être contestés dans le cadre d’une procédure d’appel ordinaire</w:t>
      </w:r>
      <w:r w:rsidRPr="00A27D18">
        <w:rPr>
          <w:lang w:val="fr-FR"/>
        </w:rPr>
        <w:t xml:space="preserve">, </w:t>
      </w:r>
      <w:r>
        <w:rPr>
          <w:lang w:val="fr-FR"/>
        </w:rPr>
        <w:t>ce que l’auteur n’avait pas fait</w:t>
      </w:r>
      <w:r w:rsidRPr="00A27D18">
        <w:rPr>
          <w:lang w:val="fr-FR"/>
        </w:rPr>
        <w:t xml:space="preserve">. </w:t>
      </w:r>
      <w:r>
        <w:rPr>
          <w:lang w:val="fr-FR"/>
        </w:rPr>
        <w:t>L’engagement d’une procédure d’</w:t>
      </w:r>
      <w:r w:rsidRPr="00455192">
        <w:rPr>
          <w:i/>
          <w:lang w:val="fr-FR"/>
        </w:rPr>
        <w:t xml:space="preserve">habeas corpus </w:t>
      </w:r>
      <w:r>
        <w:rPr>
          <w:lang w:val="fr-FR"/>
        </w:rPr>
        <w:t xml:space="preserve">n’était pas le moyen indiqué pour contester les décisions judiciaires en </w:t>
      </w:r>
      <w:r w:rsidRPr="00A27D18">
        <w:rPr>
          <w:lang w:val="fr-FR"/>
        </w:rPr>
        <w:t>question</w:t>
      </w:r>
      <w:r>
        <w:rPr>
          <w:lang w:val="fr-FR"/>
        </w:rPr>
        <w:t>.</w:t>
      </w:r>
    </w:p>
    <w:p w:rsidR="00046E2C" w:rsidRPr="00A27D18" w:rsidRDefault="00046E2C" w:rsidP="00046E2C">
      <w:pPr>
        <w:pStyle w:val="SingleTxtG"/>
        <w:rPr>
          <w:lang w:val="fr-FR"/>
        </w:rPr>
      </w:pPr>
      <w:r w:rsidRPr="00A27D18">
        <w:rPr>
          <w:lang w:val="fr-FR"/>
        </w:rPr>
        <w:t>2.8</w:t>
      </w:r>
      <w:r w:rsidRPr="00A27D18">
        <w:rPr>
          <w:lang w:val="fr-FR"/>
        </w:rPr>
        <w:tab/>
      </w:r>
      <w:r>
        <w:rPr>
          <w:lang w:val="fr-FR"/>
        </w:rPr>
        <w:t>Le 23 </w:t>
      </w:r>
      <w:r w:rsidRPr="00A27D18">
        <w:rPr>
          <w:lang w:val="fr-FR"/>
        </w:rPr>
        <w:t>avril 2007, l</w:t>
      </w:r>
      <w:r>
        <w:rPr>
          <w:lang w:val="fr-FR"/>
        </w:rPr>
        <w:t>’</w:t>
      </w:r>
      <w:r w:rsidRPr="00A27D18">
        <w:rPr>
          <w:lang w:val="fr-FR"/>
        </w:rPr>
        <w:t xml:space="preserve">auteur </w:t>
      </w:r>
      <w:r>
        <w:rPr>
          <w:lang w:val="fr-FR"/>
        </w:rPr>
        <w:t>a saisi la Haute Cour</w:t>
      </w:r>
      <w:r w:rsidRPr="00A27D18">
        <w:rPr>
          <w:lang w:val="fr-FR"/>
        </w:rPr>
        <w:t xml:space="preserve"> </w:t>
      </w:r>
      <w:r>
        <w:rPr>
          <w:lang w:val="fr-FR"/>
        </w:rPr>
        <w:t>d’une demande d’autorisation de faire appel de sa condamnation et de sa peine</w:t>
      </w:r>
      <w:r w:rsidRPr="00BB0A0D">
        <w:rPr>
          <w:lang w:val="fr-FR"/>
        </w:rPr>
        <w:t xml:space="preserve"> </w:t>
      </w:r>
      <w:r>
        <w:rPr>
          <w:lang w:val="fr-FR"/>
        </w:rPr>
        <w:t>après le délai imparti. Il a fait valoir, entre autres choses, qu’à cause de sa déficience intellectuelle,</w:t>
      </w:r>
      <w:r w:rsidRPr="00A27D18">
        <w:rPr>
          <w:lang w:val="fr-FR"/>
        </w:rPr>
        <w:t xml:space="preserve"> </w:t>
      </w:r>
      <w:r>
        <w:rPr>
          <w:lang w:val="fr-FR"/>
        </w:rPr>
        <w:t>il n’avait pas été en état de plaider devant le tribunal de district de Wellington</w:t>
      </w:r>
      <w:r w:rsidRPr="00A27D18">
        <w:rPr>
          <w:lang w:val="fr-FR"/>
        </w:rPr>
        <w:t xml:space="preserve"> </w:t>
      </w:r>
      <w:r>
        <w:rPr>
          <w:lang w:val="fr-FR"/>
        </w:rPr>
        <w:t>et que le tribunal n’avait pas correctement apprécié le degré de son handicap, faute de tenir une audience séparée sur son aptitude à plaider</w:t>
      </w:r>
      <w:r w:rsidRPr="00A27D18">
        <w:rPr>
          <w:lang w:val="fr-FR"/>
        </w:rPr>
        <w:t xml:space="preserve">. </w:t>
      </w:r>
      <w:r>
        <w:rPr>
          <w:lang w:val="fr-FR"/>
        </w:rPr>
        <w:t>Il a fait aussi valoir qu’il aurait dû bénéficier de l’assistance d’un spécialiste de la santé mentale indépendant qui serait intervenu pour son compte quand le tribunal de district</w:t>
      </w:r>
      <w:r w:rsidRPr="00A27D18">
        <w:rPr>
          <w:lang w:val="fr-FR"/>
        </w:rPr>
        <w:t xml:space="preserve"> </w:t>
      </w:r>
      <w:r>
        <w:rPr>
          <w:lang w:val="fr-FR"/>
        </w:rPr>
        <w:t>a ordonné l’établissement d’un rapport au titre de l’article </w:t>
      </w:r>
      <w:r w:rsidRPr="00A27D18">
        <w:rPr>
          <w:lang w:val="fr-FR"/>
        </w:rPr>
        <w:t xml:space="preserve">121 </w:t>
      </w:r>
      <w:r>
        <w:rPr>
          <w:lang w:val="fr-FR"/>
        </w:rPr>
        <w:t>de la loi sur la justice pénale.</w:t>
      </w:r>
    </w:p>
    <w:p w:rsidR="00046E2C" w:rsidRDefault="00046E2C" w:rsidP="00046E2C">
      <w:pPr>
        <w:pStyle w:val="SingleTxtG"/>
      </w:pPr>
      <w:r w:rsidRPr="00A27D18">
        <w:rPr>
          <w:lang w:val="fr-FR"/>
        </w:rPr>
        <w:t>2.9</w:t>
      </w:r>
      <w:r w:rsidRPr="00A27D18">
        <w:rPr>
          <w:lang w:val="fr-FR"/>
        </w:rPr>
        <w:tab/>
      </w:r>
      <w:r>
        <w:rPr>
          <w:lang w:val="fr-FR"/>
        </w:rPr>
        <w:t>Après avoir examiné les éléments dont elle était saisie</w:t>
      </w:r>
      <w:r w:rsidRPr="00046E2C">
        <w:rPr>
          <w:rStyle w:val="Appelnotedebasdep"/>
        </w:rPr>
        <w:footnoteReference w:id="4"/>
      </w:r>
      <w:r>
        <w:rPr>
          <w:lang w:val="fr-FR"/>
        </w:rPr>
        <w:t>,</w:t>
      </w:r>
      <w:r w:rsidRPr="00A27D18">
        <w:rPr>
          <w:lang w:val="fr-FR"/>
        </w:rPr>
        <w:t xml:space="preserve"> </w:t>
      </w:r>
      <w:r>
        <w:rPr>
          <w:lang w:val="fr-FR"/>
        </w:rPr>
        <w:t>la Haute Cour</w:t>
      </w:r>
      <w:r w:rsidRPr="00A27D18">
        <w:rPr>
          <w:lang w:val="fr-FR"/>
        </w:rPr>
        <w:t xml:space="preserve"> </w:t>
      </w:r>
      <w:r>
        <w:rPr>
          <w:lang w:val="fr-FR"/>
        </w:rPr>
        <w:t>a rejeté,</w:t>
      </w:r>
      <w:r w:rsidRPr="000134BF">
        <w:rPr>
          <w:lang w:val="fr-FR"/>
        </w:rPr>
        <w:t xml:space="preserve"> </w:t>
      </w:r>
      <w:r>
        <w:rPr>
          <w:lang w:val="fr-FR"/>
        </w:rPr>
        <w:t>le 17 </w:t>
      </w:r>
      <w:r w:rsidRPr="00A27D18">
        <w:rPr>
          <w:lang w:val="fr-FR"/>
        </w:rPr>
        <w:t>mars 2009</w:t>
      </w:r>
      <w:r>
        <w:rPr>
          <w:lang w:val="fr-FR"/>
        </w:rPr>
        <w:t>, la demande d’autorisation d’appel tardif</w:t>
      </w:r>
      <w:r w:rsidRPr="00A27D18">
        <w:rPr>
          <w:lang w:val="fr-FR"/>
        </w:rPr>
        <w:t xml:space="preserve">. </w:t>
      </w:r>
      <w:r>
        <w:rPr>
          <w:lang w:val="fr-FR"/>
        </w:rPr>
        <w:t xml:space="preserve">Elle a conclu que </w:t>
      </w:r>
      <w:r w:rsidRPr="00A27D18">
        <w:rPr>
          <w:lang w:val="fr-FR"/>
        </w:rPr>
        <w:t>l</w:t>
      </w:r>
      <w:r>
        <w:rPr>
          <w:lang w:val="fr-FR"/>
        </w:rPr>
        <w:t>’</w:t>
      </w:r>
      <w:r w:rsidRPr="00A27D18">
        <w:rPr>
          <w:lang w:val="fr-FR"/>
        </w:rPr>
        <w:t xml:space="preserve">auteur </w:t>
      </w:r>
      <w:r>
        <w:rPr>
          <w:lang w:val="fr-FR"/>
        </w:rPr>
        <w:t>était en état de plaider</w:t>
      </w:r>
      <w:r w:rsidRPr="00046E2C">
        <w:rPr>
          <w:rStyle w:val="Appelnotedebasdep"/>
        </w:rPr>
        <w:footnoteReference w:id="5"/>
      </w:r>
      <w:r w:rsidRPr="00A27D18">
        <w:rPr>
          <w:vertAlign w:val="superscript"/>
          <w:lang w:val="fr-FR"/>
        </w:rPr>
        <w:t xml:space="preserve"> </w:t>
      </w:r>
      <w:r>
        <w:rPr>
          <w:lang w:val="fr-FR"/>
        </w:rPr>
        <w:t>et qu’il n’était pas nécessaire de consacrer à ce sujet une audience séparée en vertu de la loi sur la justice pénale</w:t>
      </w:r>
      <w:r w:rsidRPr="00A27D18">
        <w:rPr>
          <w:lang w:val="fr-FR"/>
        </w:rPr>
        <w:t xml:space="preserve">. </w:t>
      </w:r>
      <w:r>
        <w:rPr>
          <w:lang w:val="fr-FR"/>
        </w:rPr>
        <w:t>Le rapport psychiatrique ordonné par le tribunal de district</w:t>
      </w:r>
      <w:r w:rsidRPr="00A27D18">
        <w:rPr>
          <w:lang w:val="fr-FR"/>
        </w:rPr>
        <w:t xml:space="preserve"> </w:t>
      </w:r>
      <w:r>
        <w:rPr>
          <w:lang w:val="fr-FR"/>
        </w:rPr>
        <w:t>au titre de l’article </w:t>
      </w:r>
      <w:r w:rsidRPr="00A27D18">
        <w:rPr>
          <w:lang w:val="fr-FR"/>
        </w:rPr>
        <w:t xml:space="preserve">121 </w:t>
      </w:r>
      <w:r>
        <w:rPr>
          <w:lang w:val="fr-FR"/>
        </w:rPr>
        <w:t xml:space="preserve">de la loi sur la justice pénale ayant conclu que </w:t>
      </w:r>
      <w:r w:rsidRPr="00A27D18">
        <w:rPr>
          <w:lang w:val="fr-FR"/>
        </w:rPr>
        <w:t>l</w:t>
      </w:r>
      <w:r>
        <w:rPr>
          <w:lang w:val="fr-FR"/>
        </w:rPr>
        <w:t>’</w:t>
      </w:r>
      <w:r w:rsidRPr="00A27D18">
        <w:rPr>
          <w:lang w:val="fr-FR"/>
        </w:rPr>
        <w:t xml:space="preserve">auteur </w:t>
      </w:r>
      <w:r>
        <w:rPr>
          <w:lang w:val="fr-FR"/>
        </w:rPr>
        <w:t>n’était pas déficient et était en état de plaider, le tribunal de district</w:t>
      </w:r>
      <w:r w:rsidRPr="00A27D18">
        <w:rPr>
          <w:lang w:val="fr-FR"/>
        </w:rPr>
        <w:t xml:space="preserve"> </w:t>
      </w:r>
      <w:r>
        <w:rPr>
          <w:lang w:val="fr-FR"/>
        </w:rPr>
        <w:t xml:space="preserve">de Wellington s’était conformé à cette conclusion et n’était pas obligé de tenir une audience séparée sur la </w:t>
      </w:r>
      <w:r>
        <w:rPr>
          <w:lang w:val="fr-FR"/>
        </w:rPr>
        <w:lastRenderedPageBreak/>
        <w:t>question</w:t>
      </w:r>
      <w:r w:rsidRPr="00046E2C">
        <w:rPr>
          <w:rStyle w:val="Appelnotedebasdep"/>
        </w:rPr>
        <w:footnoteReference w:id="6"/>
      </w:r>
      <w:r>
        <w:rPr>
          <w:lang w:val="fr-FR"/>
        </w:rPr>
        <w:t>. Les allégations de l’</w:t>
      </w:r>
      <w:r w:rsidRPr="00A27D18">
        <w:rPr>
          <w:lang w:val="fr-FR"/>
        </w:rPr>
        <w:t>auteur</w:t>
      </w:r>
      <w:r>
        <w:rPr>
          <w:lang w:val="fr-FR"/>
        </w:rPr>
        <w:t xml:space="preserve"> selon lesquelles il n’aurait pas été en mesure de donner des instructions à ses conseils et aurait été mal représenté ont de même été jugées non fondées par la Haute Cour.</w:t>
      </w:r>
      <w:r w:rsidRPr="00A27D18">
        <w:rPr>
          <w:lang w:val="fr-FR"/>
        </w:rPr>
        <w:t xml:space="preserve"> </w:t>
      </w:r>
      <w:r>
        <w:rPr>
          <w:lang w:val="fr-FR"/>
        </w:rPr>
        <w:t xml:space="preserve">En ce qui concerne l’allégation de </w:t>
      </w:r>
      <w:r w:rsidRPr="00A27D18">
        <w:rPr>
          <w:lang w:val="fr-FR"/>
        </w:rPr>
        <w:t>l</w:t>
      </w:r>
      <w:r>
        <w:rPr>
          <w:lang w:val="fr-FR"/>
        </w:rPr>
        <w:t>’</w:t>
      </w:r>
      <w:r w:rsidRPr="00A27D18">
        <w:rPr>
          <w:lang w:val="fr-FR"/>
        </w:rPr>
        <w:t>auteur</w:t>
      </w:r>
      <w:r>
        <w:rPr>
          <w:lang w:val="fr-FR"/>
        </w:rPr>
        <w:t xml:space="preserve"> qui dénonçait le caractère arbitraire d’une détention de quatorze</w:t>
      </w:r>
      <w:r w:rsidRPr="00A27D18">
        <w:rPr>
          <w:lang w:val="fr-FR"/>
        </w:rPr>
        <w:t xml:space="preserve"> </w:t>
      </w:r>
      <w:r>
        <w:rPr>
          <w:lang w:val="fr-FR"/>
        </w:rPr>
        <w:t>jours pour un examen psychiatrique qui avait duré deux heures</w:t>
      </w:r>
      <w:r w:rsidRPr="00A27D18">
        <w:rPr>
          <w:lang w:val="fr-FR"/>
        </w:rPr>
        <w:t xml:space="preserve">, </w:t>
      </w:r>
      <w:r>
        <w:rPr>
          <w:lang w:val="fr-FR"/>
        </w:rPr>
        <w:t>la Haute Cour a répondu que la durée de la détention n’avait pas dépassé la limite légale et était adéquate au regard du but poursuivi.</w:t>
      </w:r>
      <w:r w:rsidRPr="00A27D18">
        <w:rPr>
          <w:lang w:val="fr-FR"/>
        </w:rPr>
        <w:t xml:space="preserve"> </w:t>
      </w:r>
      <w:r>
        <w:rPr>
          <w:lang w:val="fr-FR"/>
        </w:rPr>
        <w:t>La Haute Cour</w:t>
      </w:r>
      <w:r w:rsidRPr="00A27D18">
        <w:rPr>
          <w:lang w:val="fr-FR"/>
        </w:rPr>
        <w:t xml:space="preserve"> </w:t>
      </w:r>
      <w:r>
        <w:rPr>
          <w:lang w:val="fr-FR"/>
        </w:rPr>
        <w:t>a conclu que l’auteur n’avait pas établi l’existence d’une erreur judiciaire de nature à mettre en question sa condamnation ou sa peine et elle a rejeté sa demande d’autorisation de faire appel.</w:t>
      </w:r>
      <w:r w:rsidRPr="00A27D18">
        <w:rPr>
          <w:lang w:val="fr-FR"/>
        </w:rPr>
        <w:t xml:space="preserve"> </w:t>
      </w:r>
      <w:r>
        <w:rPr>
          <w:lang w:val="fr-FR"/>
        </w:rPr>
        <w:t xml:space="preserve">À une date non précisée, </w:t>
      </w:r>
      <w:r w:rsidRPr="00A27D18">
        <w:rPr>
          <w:lang w:val="fr-FR"/>
        </w:rPr>
        <w:t>l</w:t>
      </w:r>
      <w:r>
        <w:rPr>
          <w:lang w:val="fr-FR"/>
        </w:rPr>
        <w:t>’</w:t>
      </w:r>
      <w:r w:rsidRPr="00A27D18">
        <w:rPr>
          <w:lang w:val="fr-FR"/>
        </w:rPr>
        <w:t xml:space="preserve">auteur </w:t>
      </w:r>
      <w:r>
        <w:rPr>
          <w:lang w:val="fr-FR"/>
        </w:rPr>
        <w:t>a contesté cette décision de rejet devant la Cour d’appel</w:t>
      </w:r>
      <w:r w:rsidRPr="00A27D18">
        <w:rPr>
          <w:lang w:val="fr-FR"/>
        </w:rPr>
        <w:t xml:space="preserve">. </w:t>
      </w:r>
      <w:r>
        <w:rPr>
          <w:lang w:val="fr-FR"/>
        </w:rPr>
        <w:t>Il est cependant revenu sur ce recours, se rendant à l’avis de la partie intimée sur la question de la compétence. Il a par la suite demandé à la Haute Cour</w:t>
      </w:r>
      <w:r w:rsidRPr="00A27D18">
        <w:rPr>
          <w:lang w:val="fr-FR"/>
        </w:rPr>
        <w:t xml:space="preserve"> </w:t>
      </w:r>
      <w:r>
        <w:rPr>
          <w:lang w:val="fr-FR"/>
        </w:rPr>
        <w:t xml:space="preserve">d’annuler sa décision du </w:t>
      </w:r>
      <w:r w:rsidRPr="00A27D18">
        <w:rPr>
          <w:lang w:val="fr-FR"/>
        </w:rPr>
        <w:t>17</w:t>
      </w:r>
      <w:r>
        <w:rPr>
          <w:lang w:val="fr-FR"/>
        </w:rPr>
        <w:t> </w:t>
      </w:r>
      <w:r w:rsidRPr="00A27D18">
        <w:rPr>
          <w:lang w:val="fr-FR"/>
        </w:rPr>
        <w:t>mars 2009</w:t>
      </w:r>
      <w:r>
        <w:rPr>
          <w:lang w:val="fr-FR"/>
        </w:rPr>
        <w:t>, ce que celle-ci</w:t>
      </w:r>
      <w:r w:rsidRPr="00A27D18">
        <w:rPr>
          <w:lang w:val="fr-FR"/>
        </w:rPr>
        <w:t xml:space="preserve"> </w:t>
      </w:r>
      <w:r>
        <w:rPr>
          <w:lang w:val="fr-FR"/>
        </w:rPr>
        <w:t xml:space="preserve">a refusé de faire le </w:t>
      </w:r>
      <w:r w:rsidRPr="00A27D18">
        <w:rPr>
          <w:lang w:val="fr-FR"/>
        </w:rPr>
        <w:t>14</w:t>
      </w:r>
      <w:r>
        <w:rPr>
          <w:lang w:val="fr-FR"/>
        </w:rPr>
        <w:t> </w:t>
      </w:r>
      <w:r w:rsidRPr="00A27D18">
        <w:rPr>
          <w:lang w:val="fr-FR"/>
        </w:rPr>
        <w:t xml:space="preserve">juin 2010. </w:t>
      </w:r>
      <w:r>
        <w:rPr>
          <w:lang w:val="fr-FR"/>
        </w:rPr>
        <w:t>La Haute Cour a notamment fait observer que la plainte concernait des événements remontant à 2004 et qu’il n’était donc guère utile de l’examiner plus avant</w:t>
      </w:r>
      <w:r w:rsidRPr="00A27D18">
        <w:rPr>
          <w:lang w:val="fr-FR"/>
        </w:rPr>
        <w:t xml:space="preserve">. </w:t>
      </w:r>
      <w:r>
        <w:rPr>
          <w:lang w:val="fr-FR"/>
        </w:rPr>
        <w:t>Le fait que l’auteur faisait l’objet de nouvelles procédures pénales devant le tribunal de district pouvait plutôt être l’occasion de réexaminer les éventuelles questions concernant sa capacité à passer en jugement</w:t>
      </w:r>
      <w:r w:rsidRPr="00817BB1">
        <w:t>.</w:t>
      </w:r>
    </w:p>
    <w:p w:rsidR="00046E2C" w:rsidRPr="00817BB1" w:rsidRDefault="00046E2C" w:rsidP="00046E2C">
      <w:pPr>
        <w:pStyle w:val="SingleTxtG"/>
      </w:pPr>
      <w:r>
        <w:t>2.10</w:t>
      </w:r>
      <w:r>
        <w:tab/>
        <w:t>L’auteur signale, à titre d’information, qu’en 2012 il a reçu des coups qui ont causé des lésions cérébrales. En 2014, après de nouveaux coups, il a perdu un œil et son QI est tombé à</w:t>
      </w:r>
      <w:r w:rsidRPr="00916BAE">
        <w:t xml:space="preserve"> 56. </w:t>
      </w:r>
      <w:r>
        <w:t>En</w:t>
      </w:r>
      <w:r w:rsidRPr="00916BAE">
        <w:t xml:space="preserve"> 2014, </w:t>
      </w:r>
      <w:r>
        <w:t>il a été déclaré inapte à passer en jugement et a été placé en unité de soins surveillée pour douze mois.</w:t>
      </w:r>
    </w:p>
    <w:p w:rsidR="00046E2C" w:rsidRPr="00A27D18" w:rsidRDefault="00046E2C" w:rsidP="00046E2C">
      <w:pPr>
        <w:pStyle w:val="H23G"/>
        <w:rPr>
          <w:lang w:val="fr-FR"/>
        </w:rPr>
      </w:pPr>
      <w:r w:rsidRPr="00A27D18">
        <w:rPr>
          <w:lang w:val="fr-FR"/>
        </w:rPr>
        <w:tab/>
      </w:r>
      <w:r w:rsidRPr="00A27D18">
        <w:rPr>
          <w:lang w:val="fr-FR"/>
        </w:rPr>
        <w:tab/>
      </w:r>
      <w:r w:rsidRPr="0031274F">
        <w:rPr>
          <w:lang w:val="fr-FR"/>
        </w:rPr>
        <w:t>Teneur de la plainte</w:t>
      </w:r>
    </w:p>
    <w:p w:rsidR="00046E2C" w:rsidRPr="00A27D18" w:rsidRDefault="00046E2C" w:rsidP="00046E2C">
      <w:pPr>
        <w:pStyle w:val="SingleTxtG"/>
        <w:rPr>
          <w:lang w:val="fr-FR"/>
        </w:rPr>
      </w:pPr>
      <w:r w:rsidRPr="00A27D18">
        <w:rPr>
          <w:lang w:val="fr-FR"/>
        </w:rPr>
        <w:t>3.1</w:t>
      </w:r>
      <w:r w:rsidRPr="00A27D18">
        <w:rPr>
          <w:lang w:val="fr-FR"/>
        </w:rPr>
        <w:tab/>
        <w:t>L</w:t>
      </w:r>
      <w:r>
        <w:rPr>
          <w:lang w:val="fr-FR"/>
        </w:rPr>
        <w:t>’</w:t>
      </w:r>
      <w:r w:rsidRPr="00A27D18">
        <w:rPr>
          <w:lang w:val="fr-FR"/>
        </w:rPr>
        <w:t xml:space="preserve">auteur </w:t>
      </w:r>
      <w:r>
        <w:rPr>
          <w:lang w:val="fr-FR"/>
        </w:rPr>
        <w:t xml:space="preserve">dénonce une </w:t>
      </w:r>
      <w:r w:rsidRPr="00A27D18">
        <w:rPr>
          <w:lang w:val="fr-FR"/>
        </w:rPr>
        <w:t xml:space="preserve">violation </w:t>
      </w:r>
      <w:r>
        <w:rPr>
          <w:lang w:val="fr-FR"/>
        </w:rPr>
        <w:t>du paragraphe 1 de l’article </w:t>
      </w:r>
      <w:r w:rsidRPr="00A27D18">
        <w:rPr>
          <w:lang w:val="fr-FR"/>
        </w:rPr>
        <w:t xml:space="preserve">9 du Pacte </w:t>
      </w:r>
      <w:r>
        <w:rPr>
          <w:lang w:val="fr-FR"/>
        </w:rPr>
        <w:t>pour deux motifs</w:t>
      </w:r>
      <w:r w:rsidRPr="00A27D18">
        <w:rPr>
          <w:lang w:val="fr-FR"/>
        </w:rPr>
        <w:t xml:space="preserve">. </w:t>
      </w:r>
      <w:r>
        <w:rPr>
          <w:lang w:val="fr-FR"/>
        </w:rPr>
        <w:t>Premièrement, il a été détenu arbitrairement pendant quatorze</w:t>
      </w:r>
      <w:r w:rsidRPr="00A27D18">
        <w:rPr>
          <w:lang w:val="fr-FR"/>
        </w:rPr>
        <w:t xml:space="preserve"> </w:t>
      </w:r>
      <w:r>
        <w:rPr>
          <w:lang w:val="fr-FR"/>
        </w:rPr>
        <w:t xml:space="preserve">jours en </w:t>
      </w:r>
      <w:r w:rsidRPr="00A27D18">
        <w:rPr>
          <w:lang w:val="fr-FR"/>
        </w:rPr>
        <w:t>juin</w:t>
      </w:r>
      <w:r>
        <w:rPr>
          <w:lang w:val="fr-FR"/>
        </w:rPr>
        <w:t> </w:t>
      </w:r>
      <w:r w:rsidRPr="00A27D18">
        <w:rPr>
          <w:lang w:val="fr-FR"/>
        </w:rPr>
        <w:t xml:space="preserve">2004 </w:t>
      </w:r>
      <w:r>
        <w:rPr>
          <w:lang w:val="fr-FR"/>
        </w:rPr>
        <w:t>pour un examen psychiatrique qui n’a pas duré plus de deux heures</w:t>
      </w:r>
      <w:r w:rsidRPr="00A27D18">
        <w:rPr>
          <w:lang w:val="fr-FR"/>
        </w:rPr>
        <w:t xml:space="preserve">. </w:t>
      </w:r>
      <w:r>
        <w:rPr>
          <w:lang w:val="fr-FR"/>
        </w:rPr>
        <w:t>Deuxièmement, sa condamnation à une peine de prison était totalement arbitraire parce que le tribunal de district</w:t>
      </w:r>
      <w:r w:rsidRPr="00A27D18">
        <w:rPr>
          <w:lang w:val="fr-FR"/>
        </w:rPr>
        <w:t xml:space="preserve"> </w:t>
      </w:r>
      <w:r>
        <w:rPr>
          <w:lang w:val="fr-FR"/>
        </w:rPr>
        <w:t>n’avait pas évalué correctement sa déficience intellectuelle</w:t>
      </w:r>
      <w:r w:rsidRPr="00A27D18">
        <w:rPr>
          <w:lang w:val="fr-FR"/>
        </w:rPr>
        <w:t xml:space="preserve"> </w:t>
      </w:r>
      <w:r>
        <w:rPr>
          <w:lang w:val="fr-FR"/>
        </w:rPr>
        <w:t>et les questions y afférentes.</w:t>
      </w:r>
    </w:p>
    <w:p w:rsidR="00046E2C" w:rsidRPr="00A27D18" w:rsidRDefault="00046E2C" w:rsidP="00046E2C">
      <w:pPr>
        <w:pStyle w:val="SingleTxtG"/>
        <w:rPr>
          <w:lang w:val="fr-FR"/>
        </w:rPr>
      </w:pPr>
      <w:r w:rsidRPr="00A27D18">
        <w:rPr>
          <w:lang w:val="fr-FR"/>
        </w:rPr>
        <w:t>3.2</w:t>
      </w:r>
      <w:r w:rsidRPr="00A27D18">
        <w:rPr>
          <w:lang w:val="fr-FR"/>
        </w:rPr>
        <w:tab/>
        <w:t>L</w:t>
      </w:r>
      <w:r>
        <w:rPr>
          <w:lang w:val="fr-FR"/>
        </w:rPr>
        <w:t>’</w:t>
      </w:r>
      <w:r w:rsidRPr="00A27D18">
        <w:rPr>
          <w:lang w:val="fr-FR"/>
        </w:rPr>
        <w:t xml:space="preserve">auteur </w:t>
      </w:r>
      <w:r>
        <w:rPr>
          <w:lang w:val="fr-FR"/>
        </w:rPr>
        <w:t>dit que sa condamnation à de la prison a constitué un traitement cruel, inhumain ou dégradant en violation de l’</w:t>
      </w:r>
      <w:r w:rsidRPr="00A27D18">
        <w:rPr>
          <w:lang w:val="fr-FR"/>
        </w:rPr>
        <w:t>article</w:t>
      </w:r>
      <w:r>
        <w:rPr>
          <w:lang w:val="fr-FR"/>
        </w:rPr>
        <w:t> </w:t>
      </w:r>
      <w:r w:rsidRPr="00A27D18">
        <w:rPr>
          <w:lang w:val="fr-FR"/>
        </w:rPr>
        <w:t xml:space="preserve">7 </w:t>
      </w:r>
      <w:r>
        <w:rPr>
          <w:lang w:val="fr-FR"/>
        </w:rPr>
        <w:t>et</w:t>
      </w:r>
      <w:r w:rsidRPr="00A27D18">
        <w:rPr>
          <w:lang w:val="fr-FR"/>
        </w:rPr>
        <w:t>/o</w:t>
      </w:r>
      <w:r>
        <w:rPr>
          <w:lang w:val="fr-FR"/>
        </w:rPr>
        <w:t>u</w:t>
      </w:r>
      <w:r w:rsidRPr="00A27D18">
        <w:rPr>
          <w:lang w:val="fr-FR"/>
        </w:rPr>
        <w:t xml:space="preserve"> </w:t>
      </w:r>
      <w:r>
        <w:rPr>
          <w:lang w:val="fr-FR"/>
        </w:rPr>
        <w:t>du paragraphe 1 de l’article </w:t>
      </w:r>
      <w:r w:rsidRPr="00A27D18">
        <w:rPr>
          <w:lang w:val="fr-FR"/>
        </w:rPr>
        <w:t xml:space="preserve">10 du Pacte, </w:t>
      </w:r>
      <w:r>
        <w:rPr>
          <w:lang w:val="fr-FR"/>
        </w:rPr>
        <w:t>étant donné sa déficience intellectuelle et ses antécédents d’automutilation .</w:t>
      </w:r>
    </w:p>
    <w:p w:rsidR="00046E2C" w:rsidRPr="00A27D18" w:rsidRDefault="00046E2C" w:rsidP="00046E2C">
      <w:pPr>
        <w:pStyle w:val="SingleTxtG"/>
        <w:rPr>
          <w:lang w:val="fr-FR"/>
        </w:rPr>
      </w:pPr>
      <w:r w:rsidRPr="00A27D18">
        <w:rPr>
          <w:lang w:val="fr-FR"/>
        </w:rPr>
        <w:t>3.3</w:t>
      </w:r>
      <w:r w:rsidRPr="00A27D18">
        <w:rPr>
          <w:lang w:val="fr-FR"/>
        </w:rPr>
        <w:tab/>
        <w:t>L</w:t>
      </w:r>
      <w:r>
        <w:rPr>
          <w:lang w:val="fr-FR"/>
        </w:rPr>
        <w:t>’</w:t>
      </w:r>
      <w:r w:rsidRPr="00A27D18">
        <w:rPr>
          <w:lang w:val="fr-FR"/>
        </w:rPr>
        <w:t xml:space="preserve">auteur </w:t>
      </w:r>
      <w:r>
        <w:rPr>
          <w:lang w:val="fr-FR"/>
        </w:rPr>
        <w:t>affirme qu’il y a eu violation du paragraphe 1 de l’</w:t>
      </w:r>
      <w:r w:rsidRPr="00A27D18">
        <w:rPr>
          <w:lang w:val="fr-FR"/>
        </w:rPr>
        <w:t>article</w:t>
      </w:r>
      <w:r>
        <w:rPr>
          <w:lang w:val="fr-FR"/>
        </w:rPr>
        <w:t> </w:t>
      </w:r>
      <w:r w:rsidRPr="00A27D18">
        <w:rPr>
          <w:lang w:val="fr-FR"/>
        </w:rPr>
        <w:t xml:space="preserve">14 du Pacte </w:t>
      </w:r>
      <w:r>
        <w:rPr>
          <w:lang w:val="fr-FR"/>
        </w:rPr>
        <w:t>parce qu’il a fait l’objet d’un procès inéquitable au cours duquel sa déficience intellectuelle</w:t>
      </w:r>
      <w:r w:rsidRPr="00A27D18">
        <w:rPr>
          <w:lang w:val="fr-FR"/>
        </w:rPr>
        <w:t xml:space="preserve"> </w:t>
      </w:r>
      <w:r>
        <w:rPr>
          <w:lang w:val="fr-FR"/>
        </w:rPr>
        <w:t>n’a pas été correctement évaluée et parce qu’il n’y avait pas d’intention délictueuse</w:t>
      </w:r>
      <w:r w:rsidRPr="00A27D18">
        <w:rPr>
          <w:lang w:val="fr-FR"/>
        </w:rPr>
        <w:t>.</w:t>
      </w:r>
    </w:p>
    <w:p w:rsidR="00046E2C" w:rsidRPr="00A27D18" w:rsidRDefault="00046E2C" w:rsidP="00046E2C">
      <w:pPr>
        <w:pStyle w:val="SingleTxtG"/>
        <w:rPr>
          <w:lang w:val="fr-FR"/>
        </w:rPr>
      </w:pPr>
      <w:r w:rsidRPr="00A27D18">
        <w:rPr>
          <w:lang w:val="fr-FR"/>
        </w:rPr>
        <w:t>3.4</w:t>
      </w:r>
      <w:r w:rsidRPr="00A27D18">
        <w:rPr>
          <w:lang w:val="fr-FR"/>
        </w:rPr>
        <w:tab/>
      </w:r>
      <w:r>
        <w:rPr>
          <w:lang w:val="fr-FR"/>
        </w:rPr>
        <w:t xml:space="preserve">Il dénonce également une </w:t>
      </w:r>
      <w:r w:rsidRPr="00A27D18">
        <w:rPr>
          <w:lang w:val="fr-FR"/>
        </w:rPr>
        <w:t xml:space="preserve">violation </w:t>
      </w:r>
      <w:r>
        <w:rPr>
          <w:lang w:val="fr-FR"/>
        </w:rPr>
        <w:t>du paragraphe 3 de l’article </w:t>
      </w:r>
      <w:r w:rsidRPr="00A27D18">
        <w:rPr>
          <w:lang w:val="fr-FR"/>
        </w:rPr>
        <w:t>14 du Pacte</w:t>
      </w:r>
      <w:r>
        <w:rPr>
          <w:lang w:val="fr-FR"/>
        </w:rPr>
        <w:t xml:space="preserve"> parce qu’à cause de sa déficience, il n’a pas pu bien communiquer avec son conseil aux fins de la conduite de sa défense</w:t>
      </w:r>
      <w:r w:rsidRPr="00A27D18">
        <w:rPr>
          <w:lang w:val="fr-FR"/>
        </w:rPr>
        <w:t>.</w:t>
      </w:r>
    </w:p>
    <w:p w:rsidR="00046E2C" w:rsidRPr="00A27D18" w:rsidRDefault="00046E2C" w:rsidP="00046E2C">
      <w:pPr>
        <w:pStyle w:val="SingleTxtG"/>
        <w:rPr>
          <w:lang w:val="fr-FR"/>
        </w:rPr>
      </w:pPr>
      <w:r w:rsidRPr="00A27D18">
        <w:rPr>
          <w:lang w:val="fr-FR"/>
        </w:rPr>
        <w:t>3.5</w:t>
      </w:r>
      <w:r w:rsidRPr="00A27D18">
        <w:rPr>
          <w:lang w:val="fr-FR"/>
        </w:rPr>
        <w:tab/>
        <w:t>L</w:t>
      </w:r>
      <w:r>
        <w:rPr>
          <w:lang w:val="fr-FR"/>
        </w:rPr>
        <w:t>’</w:t>
      </w:r>
      <w:r w:rsidRPr="00A27D18">
        <w:rPr>
          <w:lang w:val="fr-FR"/>
        </w:rPr>
        <w:t>auteur</w:t>
      </w:r>
      <w:r>
        <w:rPr>
          <w:lang w:val="fr-FR"/>
        </w:rPr>
        <w:t xml:space="preserve"> affirme en outre qu’il y a eu </w:t>
      </w:r>
      <w:r w:rsidRPr="00A27D18">
        <w:rPr>
          <w:lang w:val="fr-FR"/>
        </w:rPr>
        <w:t xml:space="preserve">violation </w:t>
      </w:r>
      <w:r>
        <w:rPr>
          <w:lang w:val="fr-FR"/>
        </w:rPr>
        <w:t>du paragraphe 3 </w:t>
      </w:r>
      <w:r w:rsidRPr="00A27D18">
        <w:rPr>
          <w:lang w:val="fr-FR"/>
        </w:rPr>
        <w:t>a</w:t>
      </w:r>
      <w:r>
        <w:rPr>
          <w:lang w:val="fr-FR"/>
        </w:rPr>
        <w:t>)</w:t>
      </w:r>
      <w:r w:rsidRPr="00A27D18">
        <w:rPr>
          <w:lang w:val="fr-FR"/>
        </w:rPr>
        <w:t>,</w:t>
      </w:r>
      <w:r>
        <w:rPr>
          <w:lang w:val="fr-FR"/>
        </w:rPr>
        <w:t> </w:t>
      </w:r>
      <w:r w:rsidRPr="00A27D18">
        <w:rPr>
          <w:lang w:val="fr-FR"/>
        </w:rPr>
        <w:t>d</w:t>
      </w:r>
      <w:r>
        <w:rPr>
          <w:lang w:val="fr-FR"/>
        </w:rPr>
        <w:t>)</w:t>
      </w:r>
      <w:r w:rsidRPr="00A27D18">
        <w:rPr>
          <w:lang w:val="fr-FR"/>
        </w:rPr>
        <w:t>,</w:t>
      </w:r>
      <w:r>
        <w:rPr>
          <w:lang w:val="fr-FR"/>
        </w:rPr>
        <w:t> </w:t>
      </w:r>
      <w:r w:rsidRPr="00A27D18">
        <w:rPr>
          <w:lang w:val="fr-FR"/>
        </w:rPr>
        <w:t>f</w:t>
      </w:r>
      <w:r>
        <w:rPr>
          <w:lang w:val="fr-FR"/>
        </w:rPr>
        <w:t xml:space="preserve">) et </w:t>
      </w:r>
      <w:r w:rsidRPr="00A27D18">
        <w:rPr>
          <w:lang w:val="fr-FR"/>
        </w:rPr>
        <w:t>g)</w:t>
      </w:r>
      <w:r>
        <w:rPr>
          <w:lang w:val="fr-FR"/>
        </w:rPr>
        <w:t xml:space="preserve"> de l’article </w:t>
      </w:r>
      <w:r w:rsidRPr="00A27D18">
        <w:rPr>
          <w:lang w:val="fr-FR"/>
        </w:rPr>
        <w:t>14 du Pacte</w:t>
      </w:r>
      <w:r>
        <w:rPr>
          <w:lang w:val="fr-FR"/>
        </w:rPr>
        <w:t xml:space="preserve"> parce que ni le tribunal de district</w:t>
      </w:r>
      <w:r w:rsidRPr="00A27D18">
        <w:rPr>
          <w:lang w:val="fr-FR"/>
        </w:rPr>
        <w:t xml:space="preserve"> </w:t>
      </w:r>
      <w:r>
        <w:rPr>
          <w:lang w:val="fr-FR"/>
        </w:rPr>
        <w:t>ni le docteur B</w:t>
      </w:r>
      <w:r w:rsidR="00942CE4">
        <w:rPr>
          <w:lang w:val="fr-FR"/>
        </w:rPr>
        <w:t>.</w:t>
      </w:r>
      <w:r w:rsidRPr="00A27D18">
        <w:rPr>
          <w:lang w:val="fr-FR"/>
        </w:rPr>
        <w:t>-W</w:t>
      </w:r>
      <w:r w:rsidR="00942CE4">
        <w:rPr>
          <w:lang w:val="fr-FR"/>
        </w:rPr>
        <w:t>.</w:t>
      </w:r>
      <w:r w:rsidRPr="00A27D18">
        <w:rPr>
          <w:lang w:val="fr-FR"/>
        </w:rPr>
        <w:t xml:space="preserve"> </w:t>
      </w:r>
      <w:r>
        <w:rPr>
          <w:lang w:val="fr-FR"/>
        </w:rPr>
        <w:t>ne l’ont informé de son droit de consulter un avocat et de lui donner ses instructions, et de son droit de garder le silence lorsqu’il se trouvait en détention pour examen psychiatrique</w:t>
      </w:r>
      <w:r w:rsidRPr="00A27D18">
        <w:rPr>
          <w:lang w:val="fr-FR"/>
        </w:rPr>
        <w:t xml:space="preserve"> </w:t>
      </w:r>
      <w:r>
        <w:rPr>
          <w:lang w:val="fr-FR"/>
        </w:rPr>
        <w:t>et pendant l’examen.</w:t>
      </w:r>
    </w:p>
    <w:p w:rsidR="00046E2C" w:rsidRPr="00A27D18" w:rsidRDefault="00046E2C" w:rsidP="00046E2C">
      <w:pPr>
        <w:pStyle w:val="SingleTxtG"/>
        <w:rPr>
          <w:lang w:val="fr-FR"/>
        </w:rPr>
      </w:pPr>
      <w:r w:rsidRPr="00A27D18">
        <w:rPr>
          <w:lang w:val="fr-FR"/>
        </w:rPr>
        <w:t>3.6</w:t>
      </w:r>
      <w:r w:rsidRPr="00A27D18">
        <w:rPr>
          <w:lang w:val="fr-FR"/>
        </w:rPr>
        <w:tab/>
      </w:r>
      <w:r>
        <w:rPr>
          <w:lang w:val="fr-FR"/>
        </w:rPr>
        <w:t>Enfin, l’</w:t>
      </w:r>
      <w:r w:rsidRPr="00A27D18">
        <w:rPr>
          <w:lang w:val="fr-FR"/>
        </w:rPr>
        <w:t xml:space="preserve">auteur </w:t>
      </w:r>
      <w:r>
        <w:rPr>
          <w:lang w:val="fr-FR"/>
        </w:rPr>
        <w:t xml:space="preserve">affirme qu’il a fait l’objet d’une discrimination fondée sur sa déficience intellectuelle, en </w:t>
      </w:r>
      <w:r w:rsidRPr="00A27D18">
        <w:rPr>
          <w:lang w:val="fr-FR"/>
        </w:rPr>
        <w:t xml:space="preserve">violation </w:t>
      </w:r>
      <w:r>
        <w:rPr>
          <w:lang w:val="fr-FR"/>
        </w:rPr>
        <w:t>de l’article </w:t>
      </w:r>
      <w:r w:rsidRPr="00A27D18">
        <w:rPr>
          <w:lang w:val="fr-FR"/>
        </w:rPr>
        <w:t>26 du Pacte.</w:t>
      </w:r>
    </w:p>
    <w:p w:rsidR="00046E2C" w:rsidRPr="00A27D18" w:rsidRDefault="00046E2C" w:rsidP="00046E2C">
      <w:pPr>
        <w:pStyle w:val="H23G"/>
        <w:rPr>
          <w:lang w:val="fr-FR"/>
        </w:rPr>
      </w:pPr>
      <w:r w:rsidRPr="00A27D18">
        <w:rPr>
          <w:lang w:val="fr-FR"/>
        </w:rPr>
        <w:lastRenderedPageBreak/>
        <w:tab/>
      </w:r>
      <w:r w:rsidRPr="00A27D18">
        <w:rPr>
          <w:lang w:val="fr-FR"/>
        </w:rPr>
        <w:tab/>
      </w:r>
      <w:r>
        <w:rPr>
          <w:lang w:val="fr-FR"/>
        </w:rPr>
        <w:t>O</w:t>
      </w:r>
      <w:r w:rsidRPr="00A27D18">
        <w:rPr>
          <w:lang w:val="fr-FR"/>
        </w:rPr>
        <w:t xml:space="preserve">bservations </w:t>
      </w:r>
      <w:r>
        <w:rPr>
          <w:lang w:val="fr-FR"/>
        </w:rPr>
        <w:t>de l’État partie sur la recevabilité et sur le fond</w:t>
      </w:r>
    </w:p>
    <w:p w:rsidR="00046E2C" w:rsidRPr="00817BB1" w:rsidRDefault="00046E2C" w:rsidP="00046E2C">
      <w:pPr>
        <w:pStyle w:val="SingleTxtG"/>
      </w:pPr>
      <w:r w:rsidRPr="00817BB1">
        <w:t>4.1</w:t>
      </w:r>
      <w:r w:rsidRPr="00817BB1">
        <w:tab/>
        <w:t>Dans une note verbale datée du 19</w:t>
      </w:r>
      <w:r>
        <w:t> </w:t>
      </w:r>
      <w:r w:rsidRPr="00817BB1">
        <w:t xml:space="preserve">janvier 2015, l’État partie a fait part de ses observations, arguant que la communication </w:t>
      </w:r>
      <w:r>
        <w:t>était</w:t>
      </w:r>
      <w:r w:rsidRPr="00817BB1">
        <w:t xml:space="preserve"> irrecevable au regard de l’article</w:t>
      </w:r>
      <w:r>
        <w:t> </w:t>
      </w:r>
      <w:r w:rsidRPr="00817BB1">
        <w:t>3 du Protocole facultatif parce que l’auteur, en dépassant le délai imparti pour soumettre sa communication au Comité, a</w:t>
      </w:r>
      <w:r>
        <w:t>vait</w:t>
      </w:r>
      <w:r w:rsidRPr="00817BB1">
        <w:t xml:space="preserve"> abusé de son droit de plainte. La communication </w:t>
      </w:r>
      <w:r>
        <w:t>était</w:t>
      </w:r>
      <w:r w:rsidRPr="00817BB1">
        <w:t xml:space="preserve"> également irrecevable au regard du paragraphe</w:t>
      </w:r>
      <w:r>
        <w:t> </w:t>
      </w:r>
      <w:r w:rsidRPr="00817BB1">
        <w:t>2</w:t>
      </w:r>
      <w:r>
        <w:t xml:space="preserve"> b) </w:t>
      </w:r>
      <w:r w:rsidRPr="00817BB1">
        <w:t>de l’</w:t>
      </w:r>
      <w:r>
        <w:t>article </w:t>
      </w:r>
      <w:r w:rsidRPr="00817BB1">
        <w:t>5 du Protocole facultatif parce que l’auteur n’a</w:t>
      </w:r>
      <w:r>
        <w:t>vait</w:t>
      </w:r>
      <w:r w:rsidRPr="00817BB1">
        <w:t xml:space="preserve"> pas épuisé à temps les recours internes dont il disposait.</w:t>
      </w:r>
    </w:p>
    <w:p w:rsidR="00046E2C" w:rsidRPr="00A27D18" w:rsidRDefault="00046E2C" w:rsidP="00046E2C">
      <w:pPr>
        <w:pStyle w:val="SingleTxtG"/>
        <w:rPr>
          <w:lang w:val="fr-FR"/>
        </w:rPr>
      </w:pPr>
      <w:r w:rsidRPr="00A27D18">
        <w:rPr>
          <w:lang w:val="fr-FR"/>
        </w:rPr>
        <w:t>4.2</w:t>
      </w:r>
      <w:r w:rsidRPr="00A27D18">
        <w:rPr>
          <w:lang w:val="fr-FR"/>
        </w:rPr>
        <w:tab/>
        <w:t>L</w:t>
      </w:r>
      <w:r>
        <w:rPr>
          <w:lang w:val="fr-FR"/>
        </w:rPr>
        <w:t>’</w:t>
      </w:r>
      <w:r w:rsidRPr="00A27D18">
        <w:rPr>
          <w:lang w:val="fr-FR"/>
        </w:rPr>
        <w:t xml:space="preserve">État partie </w:t>
      </w:r>
      <w:r>
        <w:rPr>
          <w:lang w:val="fr-FR"/>
        </w:rPr>
        <w:t>relève que la condamnation et la peine imposées à l’auteur pour vol aggravé dont il est question dans la communication remontent à 2004, mais que c’est seulement en avril 2007 que l’auteur a soumis une demande d’autorisation d’appel tardif</w:t>
      </w:r>
      <w:r w:rsidRPr="00A27D18">
        <w:rPr>
          <w:lang w:val="fr-FR"/>
        </w:rPr>
        <w:t xml:space="preserve">. </w:t>
      </w:r>
      <w:r>
        <w:rPr>
          <w:lang w:val="fr-FR"/>
        </w:rPr>
        <w:t>La décision définitive de la Haute Cour</w:t>
      </w:r>
      <w:r w:rsidRPr="00A27D18">
        <w:rPr>
          <w:lang w:val="fr-FR"/>
        </w:rPr>
        <w:t xml:space="preserve"> </w:t>
      </w:r>
      <w:r>
        <w:rPr>
          <w:lang w:val="fr-FR"/>
        </w:rPr>
        <w:t>rejetant cette demande date du 14 </w:t>
      </w:r>
      <w:r w:rsidRPr="00A27D18">
        <w:rPr>
          <w:lang w:val="fr-FR"/>
        </w:rPr>
        <w:t>juin 2010. L</w:t>
      </w:r>
      <w:r>
        <w:rPr>
          <w:lang w:val="fr-FR"/>
        </w:rPr>
        <w:t>’</w:t>
      </w:r>
      <w:r w:rsidRPr="00A27D18">
        <w:rPr>
          <w:lang w:val="fr-FR"/>
        </w:rPr>
        <w:t xml:space="preserve">auteur </w:t>
      </w:r>
      <w:r>
        <w:rPr>
          <w:lang w:val="fr-FR"/>
        </w:rPr>
        <w:t xml:space="preserve">a alors saisi le </w:t>
      </w:r>
      <w:r w:rsidRPr="00A27D18">
        <w:rPr>
          <w:lang w:val="fr-FR"/>
        </w:rPr>
        <w:t xml:space="preserve">Comité </w:t>
      </w:r>
      <w:r>
        <w:rPr>
          <w:lang w:val="fr-FR"/>
        </w:rPr>
        <w:t>le 2 </w:t>
      </w:r>
      <w:r w:rsidRPr="00A27D18">
        <w:rPr>
          <w:lang w:val="fr-FR"/>
        </w:rPr>
        <w:t xml:space="preserve">juin 2015, </w:t>
      </w:r>
      <w:r>
        <w:rPr>
          <w:lang w:val="fr-FR"/>
        </w:rPr>
        <w:t>soit cinq ans après en avoir terminé avec les recours internes, sans expliquer ce délai.</w:t>
      </w:r>
    </w:p>
    <w:p w:rsidR="00046E2C" w:rsidRDefault="00046E2C" w:rsidP="00046E2C">
      <w:pPr>
        <w:pStyle w:val="SingleTxtG"/>
        <w:rPr>
          <w:lang w:val="fr-FR"/>
        </w:rPr>
      </w:pPr>
      <w:r w:rsidRPr="00A27D18">
        <w:rPr>
          <w:lang w:val="fr-FR"/>
        </w:rPr>
        <w:t>4.3</w:t>
      </w:r>
      <w:r w:rsidRPr="00A27D18">
        <w:rPr>
          <w:lang w:val="fr-FR"/>
        </w:rPr>
        <w:tab/>
      </w:r>
      <w:r>
        <w:rPr>
          <w:lang w:val="fr-FR"/>
        </w:rPr>
        <w:t xml:space="preserve">Le retard avec lequel la présente </w:t>
      </w:r>
      <w:r w:rsidRPr="00A27D18">
        <w:rPr>
          <w:lang w:val="fr-FR"/>
        </w:rPr>
        <w:t xml:space="preserve">communication </w:t>
      </w:r>
      <w:r>
        <w:rPr>
          <w:lang w:val="fr-FR"/>
        </w:rPr>
        <w:t xml:space="preserve">a été soumise est d’autant plus important que la condamnation et la peine contestées par l’auteur remontent à </w:t>
      </w:r>
      <w:r w:rsidRPr="00A27D18">
        <w:rPr>
          <w:lang w:val="fr-FR"/>
        </w:rPr>
        <w:t xml:space="preserve">2004 </w:t>
      </w:r>
      <w:r>
        <w:rPr>
          <w:lang w:val="fr-FR"/>
        </w:rPr>
        <w:t>et qu’il s’agit des conclusions concernant les capacités intellectuelles de l’auteur à l’époque</w:t>
      </w:r>
      <w:r w:rsidRPr="00A27D18">
        <w:rPr>
          <w:lang w:val="fr-FR"/>
        </w:rPr>
        <w:t xml:space="preserve">. </w:t>
      </w:r>
      <w:r>
        <w:rPr>
          <w:lang w:val="fr-FR"/>
        </w:rPr>
        <w:t xml:space="preserve">Compte tenu de ce retard, il est difficile pour </w:t>
      </w:r>
      <w:r w:rsidRPr="00A27D18">
        <w:rPr>
          <w:lang w:val="fr-FR"/>
        </w:rPr>
        <w:t>l</w:t>
      </w:r>
      <w:r>
        <w:rPr>
          <w:lang w:val="fr-FR"/>
        </w:rPr>
        <w:t>’</w:t>
      </w:r>
      <w:r w:rsidRPr="00A27D18">
        <w:rPr>
          <w:lang w:val="fr-FR"/>
        </w:rPr>
        <w:t>État partie</w:t>
      </w:r>
      <w:r>
        <w:rPr>
          <w:lang w:val="fr-FR"/>
        </w:rPr>
        <w:t xml:space="preserve"> de répondre aux griefs de </w:t>
      </w:r>
      <w:r w:rsidRPr="00A27D18">
        <w:rPr>
          <w:lang w:val="fr-FR"/>
        </w:rPr>
        <w:t>l</w:t>
      </w:r>
      <w:r>
        <w:rPr>
          <w:lang w:val="fr-FR"/>
        </w:rPr>
        <w:t>’</w:t>
      </w:r>
      <w:r w:rsidRPr="00A27D18">
        <w:rPr>
          <w:lang w:val="fr-FR"/>
        </w:rPr>
        <w:t>auteur</w:t>
      </w:r>
      <w:r>
        <w:rPr>
          <w:lang w:val="fr-FR"/>
        </w:rPr>
        <w:t>, une grande partie des éléments de preuve risquant de ne plus être disponibles en raison du temps écoulé.</w:t>
      </w:r>
    </w:p>
    <w:p w:rsidR="00046E2C" w:rsidRPr="00A27D18" w:rsidRDefault="00046E2C" w:rsidP="00046E2C">
      <w:pPr>
        <w:pStyle w:val="SingleTxtG"/>
        <w:rPr>
          <w:lang w:val="fr-FR"/>
        </w:rPr>
      </w:pPr>
      <w:r w:rsidRPr="00A27D18">
        <w:rPr>
          <w:lang w:val="fr-FR"/>
        </w:rPr>
        <w:t>4.4</w:t>
      </w:r>
      <w:r w:rsidRPr="00A27D18">
        <w:rPr>
          <w:lang w:val="fr-FR"/>
        </w:rPr>
        <w:tab/>
        <w:t>L</w:t>
      </w:r>
      <w:r>
        <w:rPr>
          <w:lang w:val="fr-FR"/>
        </w:rPr>
        <w:t>’</w:t>
      </w:r>
      <w:r w:rsidRPr="00A27D18">
        <w:rPr>
          <w:lang w:val="fr-FR"/>
        </w:rPr>
        <w:t xml:space="preserve">État partie </w:t>
      </w:r>
      <w:r>
        <w:rPr>
          <w:lang w:val="fr-FR"/>
        </w:rPr>
        <w:t xml:space="preserve">prend note de la déclaration de </w:t>
      </w:r>
      <w:r w:rsidRPr="00A27D18">
        <w:rPr>
          <w:lang w:val="fr-FR"/>
        </w:rPr>
        <w:t>l</w:t>
      </w:r>
      <w:r>
        <w:rPr>
          <w:lang w:val="fr-FR"/>
        </w:rPr>
        <w:t>’</w:t>
      </w:r>
      <w:r w:rsidRPr="00A27D18">
        <w:rPr>
          <w:lang w:val="fr-FR"/>
        </w:rPr>
        <w:t>auteur</w:t>
      </w:r>
      <w:r>
        <w:rPr>
          <w:lang w:val="fr-FR"/>
        </w:rPr>
        <w:t xml:space="preserve"> indiquant qu’il a eu entre temps des lésions cérébrales qui ont réduit encore son QI</w:t>
      </w:r>
      <w:r w:rsidRPr="00A27D18">
        <w:rPr>
          <w:lang w:val="fr-FR"/>
        </w:rPr>
        <w:t xml:space="preserve">. </w:t>
      </w:r>
      <w:r>
        <w:rPr>
          <w:lang w:val="fr-FR"/>
        </w:rPr>
        <w:t>Il a de ce fait été jugé inapte à passer en jugement pour d’autres chefs d’accusation</w:t>
      </w:r>
      <w:r w:rsidRPr="00A27D18">
        <w:rPr>
          <w:lang w:val="fr-FR"/>
        </w:rPr>
        <w:t xml:space="preserve"> (</w:t>
      </w:r>
      <w:r>
        <w:rPr>
          <w:lang w:val="fr-FR"/>
        </w:rPr>
        <w:t xml:space="preserve">portés contre lui en </w:t>
      </w:r>
      <w:r w:rsidRPr="00A27D18">
        <w:rPr>
          <w:lang w:val="fr-FR"/>
        </w:rPr>
        <w:t>2007)</w:t>
      </w:r>
      <w:r>
        <w:rPr>
          <w:lang w:val="fr-FR"/>
        </w:rPr>
        <w:t>.</w:t>
      </w:r>
      <w:r w:rsidRPr="00A27D18">
        <w:rPr>
          <w:lang w:val="fr-FR"/>
        </w:rPr>
        <w:t xml:space="preserve"> </w:t>
      </w:r>
      <w:r>
        <w:rPr>
          <w:lang w:val="fr-FR"/>
        </w:rPr>
        <w:t xml:space="preserve">Compte tenu de l’altération des capacités intellectuelles de l’auteur, il est aujourd’hui difficile de vérifier la justesse des examens psychiatriques effectués en </w:t>
      </w:r>
      <w:r w:rsidRPr="00A27D18">
        <w:rPr>
          <w:lang w:val="fr-FR"/>
        </w:rPr>
        <w:t xml:space="preserve">2004. </w:t>
      </w:r>
      <w:r>
        <w:rPr>
          <w:lang w:val="fr-FR"/>
        </w:rPr>
        <w:t xml:space="preserve">Le temps écoulé empêche également </w:t>
      </w:r>
      <w:r w:rsidRPr="00A27D18">
        <w:rPr>
          <w:lang w:val="fr-FR"/>
        </w:rPr>
        <w:t>l</w:t>
      </w:r>
      <w:r>
        <w:rPr>
          <w:lang w:val="fr-FR"/>
        </w:rPr>
        <w:t>’</w:t>
      </w:r>
      <w:r w:rsidRPr="00A27D18">
        <w:rPr>
          <w:lang w:val="fr-FR"/>
        </w:rPr>
        <w:t xml:space="preserve">auteur </w:t>
      </w:r>
      <w:r>
        <w:rPr>
          <w:lang w:val="fr-FR"/>
        </w:rPr>
        <w:t>d’avoir accès à un recours utile.</w:t>
      </w:r>
    </w:p>
    <w:p w:rsidR="00046E2C" w:rsidRPr="00A27D18" w:rsidRDefault="00046E2C" w:rsidP="00046E2C">
      <w:pPr>
        <w:pStyle w:val="SingleTxtG"/>
        <w:rPr>
          <w:lang w:val="fr-FR"/>
        </w:rPr>
      </w:pPr>
      <w:r w:rsidRPr="00A27D18">
        <w:rPr>
          <w:lang w:val="fr-FR"/>
        </w:rPr>
        <w:t>4.5</w:t>
      </w:r>
      <w:r w:rsidRPr="00A27D18">
        <w:rPr>
          <w:lang w:val="fr-FR"/>
        </w:rPr>
        <w:tab/>
        <w:t>L</w:t>
      </w:r>
      <w:r>
        <w:rPr>
          <w:lang w:val="fr-FR"/>
        </w:rPr>
        <w:t>’</w:t>
      </w:r>
      <w:r w:rsidRPr="00A27D18">
        <w:rPr>
          <w:lang w:val="fr-FR"/>
        </w:rPr>
        <w:t xml:space="preserve">État partie </w:t>
      </w:r>
      <w:r>
        <w:rPr>
          <w:lang w:val="fr-FR"/>
        </w:rPr>
        <w:t xml:space="preserve">affirme aussi que </w:t>
      </w:r>
      <w:r w:rsidRPr="00A27D18">
        <w:rPr>
          <w:lang w:val="fr-FR"/>
        </w:rPr>
        <w:t>l</w:t>
      </w:r>
      <w:r>
        <w:rPr>
          <w:lang w:val="fr-FR"/>
        </w:rPr>
        <w:t>’</w:t>
      </w:r>
      <w:r w:rsidRPr="00A27D18">
        <w:rPr>
          <w:lang w:val="fr-FR"/>
        </w:rPr>
        <w:t xml:space="preserve">auteur </w:t>
      </w:r>
      <w:r>
        <w:rPr>
          <w:lang w:val="fr-FR"/>
        </w:rPr>
        <w:t>n’a pas fait appel de sa condamnation et de sa peine dans le délai fixé de vingt-huit</w:t>
      </w:r>
      <w:r w:rsidRPr="00A27D18">
        <w:rPr>
          <w:lang w:val="fr-FR"/>
        </w:rPr>
        <w:t xml:space="preserve"> </w:t>
      </w:r>
      <w:r>
        <w:rPr>
          <w:lang w:val="fr-FR"/>
        </w:rPr>
        <w:t>jours</w:t>
      </w:r>
      <w:r w:rsidRPr="00A27D18">
        <w:rPr>
          <w:lang w:val="fr-FR"/>
        </w:rPr>
        <w:t xml:space="preserve">. </w:t>
      </w:r>
      <w:r>
        <w:rPr>
          <w:lang w:val="fr-FR"/>
        </w:rPr>
        <w:t>Il a soumis une demande d’autorisation de faire appel seulement deux ans et huit mois après avoir été condamné, demande qui a été rejetée par la Haute Cour</w:t>
      </w:r>
      <w:r w:rsidRPr="00A27D18">
        <w:rPr>
          <w:lang w:val="fr-FR"/>
        </w:rPr>
        <w:t xml:space="preserve"> </w:t>
      </w:r>
      <w:r>
        <w:rPr>
          <w:lang w:val="fr-FR"/>
        </w:rPr>
        <w:t>le 17 </w:t>
      </w:r>
      <w:r w:rsidRPr="00A27D18">
        <w:rPr>
          <w:lang w:val="fr-FR"/>
        </w:rPr>
        <w:t xml:space="preserve">mars 2009. </w:t>
      </w:r>
      <w:r>
        <w:rPr>
          <w:lang w:val="fr-FR"/>
        </w:rPr>
        <w:t>S’il avait exercé son droit de recours dans le délai de vingt-huit jours imparti, son appel aurait été examiné sur le fond par la Haute Cour</w:t>
      </w:r>
      <w:r w:rsidRPr="00A27D18">
        <w:rPr>
          <w:lang w:val="fr-FR"/>
        </w:rPr>
        <w:t xml:space="preserve">. </w:t>
      </w:r>
      <w:r>
        <w:rPr>
          <w:lang w:val="fr-FR"/>
        </w:rPr>
        <w:t>S’il avait été débouté de son appel, il aurait encore eu la possibilité de saisir la Cour d’appel,</w:t>
      </w:r>
      <w:r w:rsidRPr="00A27D18">
        <w:rPr>
          <w:lang w:val="fr-FR"/>
        </w:rPr>
        <w:t xml:space="preserve"> </w:t>
      </w:r>
      <w:r>
        <w:rPr>
          <w:lang w:val="fr-FR"/>
        </w:rPr>
        <w:t xml:space="preserve">puis la </w:t>
      </w:r>
      <w:r w:rsidRPr="00A27D18">
        <w:rPr>
          <w:lang w:val="fr-FR"/>
        </w:rPr>
        <w:t xml:space="preserve">Cour suprême. </w:t>
      </w:r>
      <w:r>
        <w:rPr>
          <w:lang w:val="fr-FR"/>
        </w:rPr>
        <w:t xml:space="preserve">Faute d’avoir soumis sa demande d’appel dans les délais, </w:t>
      </w:r>
      <w:r w:rsidRPr="00A27D18">
        <w:rPr>
          <w:lang w:val="fr-FR"/>
        </w:rPr>
        <w:t>l</w:t>
      </w:r>
      <w:r>
        <w:rPr>
          <w:lang w:val="fr-FR"/>
        </w:rPr>
        <w:t>’</w:t>
      </w:r>
      <w:r w:rsidRPr="00A27D18">
        <w:rPr>
          <w:lang w:val="fr-FR"/>
        </w:rPr>
        <w:t xml:space="preserve">auteur </w:t>
      </w:r>
      <w:r>
        <w:rPr>
          <w:lang w:val="fr-FR"/>
        </w:rPr>
        <w:t>n’avait d’autre recours à exercer que contre la décision de la Haute Cour</w:t>
      </w:r>
      <w:r w:rsidRPr="00A27D18">
        <w:rPr>
          <w:lang w:val="fr-FR"/>
        </w:rPr>
        <w:t xml:space="preserve"> </w:t>
      </w:r>
      <w:r>
        <w:rPr>
          <w:lang w:val="fr-FR"/>
        </w:rPr>
        <w:t>sur sa demande d’autorisation d’appel tardif.</w:t>
      </w:r>
    </w:p>
    <w:p w:rsidR="00046E2C" w:rsidRPr="00A27D18" w:rsidRDefault="00046E2C" w:rsidP="00046E2C">
      <w:pPr>
        <w:pStyle w:val="H23G"/>
        <w:rPr>
          <w:lang w:val="fr-FR"/>
        </w:rPr>
      </w:pPr>
      <w:r w:rsidRPr="00A27D18">
        <w:rPr>
          <w:lang w:val="fr-FR"/>
        </w:rPr>
        <w:tab/>
      </w:r>
      <w:r w:rsidRPr="00A27D18">
        <w:rPr>
          <w:lang w:val="fr-FR"/>
        </w:rPr>
        <w:tab/>
      </w:r>
      <w:r>
        <w:rPr>
          <w:lang w:val="fr-FR"/>
        </w:rPr>
        <w:t xml:space="preserve">Commentaires de l’auteur sur les observations de </w:t>
      </w:r>
      <w:r w:rsidRPr="00A27D18">
        <w:rPr>
          <w:lang w:val="fr-FR"/>
        </w:rPr>
        <w:t>l</w:t>
      </w:r>
      <w:r>
        <w:rPr>
          <w:lang w:val="fr-FR"/>
        </w:rPr>
        <w:t>’</w:t>
      </w:r>
      <w:r w:rsidRPr="00A27D18">
        <w:rPr>
          <w:lang w:val="fr-FR"/>
        </w:rPr>
        <w:t>État partie</w:t>
      </w:r>
    </w:p>
    <w:p w:rsidR="00046E2C" w:rsidRPr="00A27D18" w:rsidRDefault="00046E2C" w:rsidP="00046E2C">
      <w:pPr>
        <w:pStyle w:val="SingleTxtG"/>
        <w:rPr>
          <w:lang w:val="fr-FR"/>
        </w:rPr>
      </w:pPr>
      <w:r w:rsidRPr="00A27D18">
        <w:rPr>
          <w:lang w:val="fr-FR"/>
        </w:rPr>
        <w:t>5.1</w:t>
      </w:r>
      <w:r w:rsidRPr="00A27D18">
        <w:rPr>
          <w:lang w:val="fr-FR"/>
        </w:rPr>
        <w:tab/>
      </w:r>
      <w:r>
        <w:rPr>
          <w:lang w:val="fr-FR"/>
        </w:rPr>
        <w:t>Le 23 </w:t>
      </w:r>
      <w:r w:rsidRPr="00A27D18">
        <w:rPr>
          <w:lang w:val="fr-FR"/>
        </w:rPr>
        <w:t>février 2016, l</w:t>
      </w:r>
      <w:r>
        <w:rPr>
          <w:lang w:val="fr-FR"/>
        </w:rPr>
        <w:t>’</w:t>
      </w:r>
      <w:r w:rsidRPr="00A27D18">
        <w:rPr>
          <w:lang w:val="fr-FR"/>
        </w:rPr>
        <w:t xml:space="preserve">auteur </w:t>
      </w:r>
      <w:r>
        <w:rPr>
          <w:lang w:val="fr-FR"/>
        </w:rPr>
        <w:t xml:space="preserve">a répondu aux observations de </w:t>
      </w:r>
      <w:r w:rsidRPr="00A27D18">
        <w:rPr>
          <w:lang w:val="fr-FR"/>
        </w:rPr>
        <w:t>l</w:t>
      </w:r>
      <w:r>
        <w:rPr>
          <w:lang w:val="fr-FR"/>
        </w:rPr>
        <w:t>’</w:t>
      </w:r>
      <w:r w:rsidRPr="00A27D18">
        <w:rPr>
          <w:lang w:val="fr-FR"/>
        </w:rPr>
        <w:t xml:space="preserve">État partie. </w:t>
      </w:r>
      <w:r>
        <w:rPr>
          <w:lang w:val="fr-FR"/>
        </w:rPr>
        <w:t xml:space="preserve">Il fait valoir que, s’il n’a pas contesté sa condamnation en </w:t>
      </w:r>
      <w:r w:rsidRPr="00A27D18">
        <w:rPr>
          <w:lang w:val="fr-FR"/>
        </w:rPr>
        <w:t>2004</w:t>
      </w:r>
      <w:r>
        <w:rPr>
          <w:lang w:val="fr-FR"/>
        </w:rPr>
        <w:t>,</w:t>
      </w:r>
      <w:r w:rsidRPr="00A27D18">
        <w:rPr>
          <w:lang w:val="fr-FR"/>
        </w:rPr>
        <w:t xml:space="preserve"> </w:t>
      </w:r>
      <w:r>
        <w:rPr>
          <w:lang w:val="fr-FR"/>
        </w:rPr>
        <w:t>c’est simplement parce qu’il n’en était intellectuellement pas capable</w:t>
      </w:r>
      <w:r w:rsidRPr="00A27D18">
        <w:rPr>
          <w:lang w:val="fr-FR"/>
        </w:rPr>
        <w:t xml:space="preserve">. </w:t>
      </w:r>
      <w:r>
        <w:rPr>
          <w:lang w:val="fr-FR"/>
        </w:rPr>
        <w:t xml:space="preserve">Il prétend que </w:t>
      </w:r>
      <w:r w:rsidRPr="00A27D18">
        <w:rPr>
          <w:lang w:val="fr-FR"/>
        </w:rPr>
        <w:t>l</w:t>
      </w:r>
      <w:r>
        <w:rPr>
          <w:lang w:val="fr-FR"/>
        </w:rPr>
        <w:t>’</w:t>
      </w:r>
      <w:r w:rsidRPr="00A27D18">
        <w:rPr>
          <w:lang w:val="fr-FR"/>
        </w:rPr>
        <w:t xml:space="preserve">État partie </w:t>
      </w:r>
      <w:r>
        <w:rPr>
          <w:lang w:val="fr-FR"/>
        </w:rPr>
        <w:t>n’a pas expliqué comment un homme souffrant d’une déficience intellectuelle</w:t>
      </w:r>
      <w:r w:rsidRPr="00A27D18">
        <w:rPr>
          <w:lang w:val="fr-FR"/>
        </w:rPr>
        <w:t xml:space="preserve"> </w:t>
      </w:r>
      <w:r>
        <w:rPr>
          <w:lang w:val="fr-FR"/>
        </w:rPr>
        <w:t>est censé faire appel dans les délais − alors qu’il a besoin de temps pour comprendre le processus de détermination de la peine et le droit de recours</w:t>
      </w:r>
      <w:r w:rsidRPr="00A27D18">
        <w:rPr>
          <w:lang w:val="fr-FR"/>
        </w:rPr>
        <w:t>.</w:t>
      </w:r>
    </w:p>
    <w:p w:rsidR="00046E2C" w:rsidRPr="00A27D18" w:rsidRDefault="00046E2C" w:rsidP="00046E2C">
      <w:pPr>
        <w:pStyle w:val="SingleTxtG"/>
        <w:rPr>
          <w:lang w:val="fr-FR"/>
        </w:rPr>
      </w:pPr>
      <w:r w:rsidRPr="002251E1">
        <w:rPr>
          <w:lang w:val="fr-FR"/>
        </w:rPr>
        <w:t>5.2</w:t>
      </w:r>
      <w:r w:rsidRPr="002251E1">
        <w:rPr>
          <w:lang w:val="fr-FR"/>
        </w:rPr>
        <w:tab/>
        <w:t>L’auteur souligne qu’il a bien épuisé tous les recours internes en soumettant une demande d’autorisation d’appel tardif auprès de la Haute Cour ainsi que trois requêtes en habeas corpus, dont il a contesté, pour</w:t>
      </w:r>
      <w:r>
        <w:rPr>
          <w:lang w:val="fr-FR"/>
        </w:rPr>
        <w:t xml:space="preserve"> deux d’entre elles, le rejet</w:t>
      </w:r>
      <w:r w:rsidRPr="00A27D18">
        <w:rPr>
          <w:lang w:val="fr-FR"/>
        </w:rPr>
        <w:t xml:space="preserve">. </w:t>
      </w:r>
      <w:r>
        <w:rPr>
          <w:lang w:val="fr-FR"/>
        </w:rPr>
        <w:t xml:space="preserve">Il affirme en outre que l’approche de </w:t>
      </w:r>
      <w:r w:rsidRPr="00A27D18">
        <w:rPr>
          <w:lang w:val="fr-FR"/>
        </w:rPr>
        <w:t>l</w:t>
      </w:r>
      <w:r>
        <w:rPr>
          <w:lang w:val="fr-FR"/>
        </w:rPr>
        <w:t>’</w:t>
      </w:r>
      <w:r w:rsidRPr="00A27D18">
        <w:rPr>
          <w:lang w:val="fr-FR"/>
        </w:rPr>
        <w:t xml:space="preserve">État partie </w:t>
      </w:r>
      <w:r>
        <w:rPr>
          <w:lang w:val="fr-FR"/>
        </w:rPr>
        <w:t>en matière pénale est discriminatoire au regard de la procédure civile qui permet aux personnes souffrant d’une déficience intellectuelle de bénéficier d’une prolongation du délai fixé pour intenter une action.</w:t>
      </w:r>
      <w:r w:rsidRPr="00A27D18">
        <w:rPr>
          <w:lang w:val="fr-FR"/>
        </w:rPr>
        <w:t xml:space="preserve"> </w:t>
      </w:r>
      <w:r>
        <w:rPr>
          <w:lang w:val="fr-FR"/>
        </w:rPr>
        <w:t xml:space="preserve">Il prétend qu’une telle </w:t>
      </w:r>
      <w:r w:rsidRPr="00A27D18">
        <w:rPr>
          <w:lang w:val="fr-FR"/>
        </w:rPr>
        <w:t xml:space="preserve">discrimination </w:t>
      </w:r>
      <w:r>
        <w:rPr>
          <w:lang w:val="fr-FR"/>
        </w:rPr>
        <w:t>constitue une violation du paragraphe 1 de l’article </w:t>
      </w:r>
      <w:r w:rsidRPr="00A27D18">
        <w:rPr>
          <w:lang w:val="fr-FR"/>
        </w:rPr>
        <w:t xml:space="preserve">14 </w:t>
      </w:r>
      <w:r>
        <w:rPr>
          <w:lang w:val="fr-FR"/>
        </w:rPr>
        <w:t>et de l’article </w:t>
      </w:r>
      <w:r w:rsidRPr="00A27D18">
        <w:rPr>
          <w:lang w:val="fr-FR"/>
        </w:rPr>
        <w:t>26 du Pacte</w:t>
      </w:r>
      <w:r>
        <w:rPr>
          <w:lang w:val="fr-FR"/>
        </w:rPr>
        <w:t xml:space="preserve"> parce qu’il n’y a pas eu d’aménagement raisonnable du temps imparti</w:t>
      </w:r>
      <w:r w:rsidRPr="00046E2C">
        <w:rPr>
          <w:rStyle w:val="Appelnotedebasdep"/>
        </w:rPr>
        <w:footnoteReference w:id="7"/>
      </w:r>
      <w:r>
        <w:rPr>
          <w:lang w:val="fr-FR"/>
        </w:rPr>
        <w:t>.</w:t>
      </w:r>
    </w:p>
    <w:p w:rsidR="00046E2C" w:rsidRPr="00A27D18" w:rsidRDefault="00046E2C" w:rsidP="00046E2C">
      <w:pPr>
        <w:pStyle w:val="SingleTxtG"/>
        <w:keepNext/>
        <w:keepLines/>
        <w:rPr>
          <w:lang w:val="fr-FR"/>
        </w:rPr>
      </w:pPr>
      <w:r w:rsidRPr="00A27D18">
        <w:rPr>
          <w:lang w:val="fr-FR"/>
        </w:rPr>
        <w:lastRenderedPageBreak/>
        <w:t>5.3</w:t>
      </w:r>
      <w:r w:rsidRPr="00A27D18">
        <w:rPr>
          <w:lang w:val="fr-FR"/>
        </w:rPr>
        <w:tab/>
        <w:t>L</w:t>
      </w:r>
      <w:r>
        <w:rPr>
          <w:lang w:val="fr-FR"/>
        </w:rPr>
        <w:t>’</w:t>
      </w:r>
      <w:r w:rsidRPr="00A27D18">
        <w:rPr>
          <w:lang w:val="fr-FR"/>
        </w:rPr>
        <w:t xml:space="preserve">auteur </w:t>
      </w:r>
      <w:r>
        <w:rPr>
          <w:lang w:val="fr-FR"/>
        </w:rPr>
        <w:t xml:space="preserve">soutient que, si l’approche de </w:t>
      </w:r>
      <w:r w:rsidRPr="00A27D18">
        <w:rPr>
          <w:lang w:val="fr-FR"/>
        </w:rPr>
        <w:t>l</w:t>
      </w:r>
      <w:r>
        <w:rPr>
          <w:lang w:val="fr-FR"/>
        </w:rPr>
        <w:t>’</w:t>
      </w:r>
      <w:r w:rsidRPr="00A27D18">
        <w:rPr>
          <w:lang w:val="fr-FR"/>
        </w:rPr>
        <w:t>État partie</w:t>
      </w:r>
      <w:r>
        <w:rPr>
          <w:lang w:val="fr-FR"/>
        </w:rPr>
        <w:t xml:space="preserve"> était acceptée, cela aurait des effets considérables pour toute personne devant épuiser les recours internes</w:t>
      </w:r>
      <w:r w:rsidRPr="00A27D18">
        <w:rPr>
          <w:lang w:val="fr-FR"/>
        </w:rPr>
        <w:t xml:space="preserve">. </w:t>
      </w:r>
      <w:r>
        <w:rPr>
          <w:lang w:val="fr-FR"/>
        </w:rPr>
        <w:t xml:space="preserve">Il ajoute qu’il a dû s’en remettre entièrement à l’intervention non rémunérée de son conseil actuel pour de nombreuses audiences internes et pour la présente </w:t>
      </w:r>
      <w:r w:rsidRPr="00A27D18">
        <w:rPr>
          <w:lang w:val="fr-FR"/>
        </w:rPr>
        <w:t>communication.</w:t>
      </w:r>
    </w:p>
    <w:p w:rsidR="00046E2C" w:rsidRPr="00A27D18" w:rsidRDefault="00046E2C" w:rsidP="00046E2C">
      <w:pPr>
        <w:pStyle w:val="SingleTxtG"/>
        <w:rPr>
          <w:lang w:val="fr-FR"/>
        </w:rPr>
      </w:pPr>
      <w:r w:rsidRPr="00A27D18">
        <w:rPr>
          <w:lang w:val="fr-FR"/>
        </w:rPr>
        <w:t>5.4</w:t>
      </w:r>
      <w:r w:rsidRPr="00A27D18">
        <w:rPr>
          <w:lang w:val="fr-FR"/>
        </w:rPr>
        <w:tab/>
      </w:r>
      <w:r>
        <w:rPr>
          <w:lang w:val="fr-FR"/>
        </w:rPr>
        <w:t xml:space="preserve">En ce qui concerne la soumission tardive de sa </w:t>
      </w:r>
      <w:r w:rsidRPr="00A27D18">
        <w:rPr>
          <w:lang w:val="fr-FR"/>
        </w:rPr>
        <w:t xml:space="preserve">communication </w:t>
      </w:r>
      <w:r>
        <w:rPr>
          <w:lang w:val="fr-FR"/>
        </w:rPr>
        <w:t xml:space="preserve">au </w:t>
      </w:r>
      <w:r w:rsidRPr="00A27D18">
        <w:rPr>
          <w:lang w:val="fr-FR"/>
        </w:rPr>
        <w:t>Comité</w:t>
      </w:r>
      <w:r>
        <w:rPr>
          <w:lang w:val="fr-FR"/>
        </w:rPr>
        <w:t xml:space="preserve">, </w:t>
      </w:r>
      <w:r w:rsidRPr="00A27D18">
        <w:rPr>
          <w:lang w:val="fr-FR"/>
        </w:rPr>
        <w:t>l</w:t>
      </w:r>
      <w:r>
        <w:rPr>
          <w:lang w:val="fr-FR"/>
        </w:rPr>
        <w:t>’</w:t>
      </w:r>
      <w:r w:rsidRPr="00A27D18">
        <w:rPr>
          <w:lang w:val="fr-FR"/>
        </w:rPr>
        <w:t>auteur</w:t>
      </w:r>
      <w:r>
        <w:rPr>
          <w:lang w:val="fr-FR"/>
        </w:rPr>
        <w:t xml:space="preserve"> affirme</w:t>
      </w:r>
      <w:r w:rsidRPr="00A27D18">
        <w:rPr>
          <w:lang w:val="fr-FR"/>
        </w:rPr>
        <w:t xml:space="preserve"> </w:t>
      </w:r>
      <w:r>
        <w:rPr>
          <w:lang w:val="fr-FR"/>
        </w:rPr>
        <w:t>essentiellement que sa déficience intellectuelle</w:t>
      </w:r>
      <w:r w:rsidRPr="00A27D18">
        <w:rPr>
          <w:lang w:val="fr-FR"/>
        </w:rPr>
        <w:t xml:space="preserve">, </w:t>
      </w:r>
      <w:r>
        <w:rPr>
          <w:lang w:val="fr-FR"/>
        </w:rPr>
        <w:t>à laquelle s’ajoutent les coups qu’il a reçus par la suite et ses lésions cérébrales, suffit à expliquer un tel retard.</w:t>
      </w:r>
    </w:p>
    <w:p w:rsidR="00046E2C" w:rsidRPr="00A27D18" w:rsidRDefault="00046E2C" w:rsidP="00046E2C">
      <w:pPr>
        <w:pStyle w:val="H23G"/>
        <w:rPr>
          <w:lang w:val="fr-FR"/>
        </w:rPr>
      </w:pPr>
      <w:r w:rsidRPr="00A27D18">
        <w:rPr>
          <w:lang w:val="fr-FR"/>
        </w:rPr>
        <w:tab/>
      </w:r>
      <w:r w:rsidRPr="00A27D18">
        <w:rPr>
          <w:lang w:val="fr-FR"/>
        </w:rPr>
        <w:tab/>
      </w:r>
      <w:r>
        <w:rPr>
          <w:lang w:val="fr-FR"/>
        </w:rPr>
        <w:t xml:space="preserve">Délibérations du </w:t>
      </w:r>
      <w:r w:rsidRPr="00A27D18">
        <w:rPr>
          <w:lang w:val="fr-FR"/>
        </w:rPr>
        <w:t>Comité</w:t>
      </w:r>
    </w:p>
    <w:p w:rsidR="00046E2C" w:rsidRPr="00A27D18" w:rsidRDefault="00046E2C" w:rsidP="00046E2C">
      <w:pPr>
        <w:pStyle w:val="H4G"/>
        <w:rPr>
          <w:lang w:val="fr-FR"/>
        </w:rPr>
      </w:pPr>
      <w:r>
        <w:rPr>
          <w:lang w:val="fr-FR"/>
        </w:rPr>
        <w:tab/>
      </w:r>
      <w:r>
        <w:rPr>
          <w:lang w:val="fr-FR"/>
        </w:rPr>
        <w:tab/>
        <w:t>Examen de la recevabilité</w:t>
      </w:r>
    </w:p>
    <w:p w:rsidR="00046E2C" w:rsidRPr="00D67179" w:rsidRDefault="00046E2C" w:rsidP="00046E2C">
      <w:pPr>
        <w:pStyle w:val="SingleTxtG"/>
        <w:rPr>
          <w:lang w:val="fr-FR"/>
        </w:rPr>
      </w:pPr>
      <w:r w:rsidRPr="00A27D18">
        <w:rPr>
          <w:lang w:val="fr-FR"/>
        </w:rPr>
        <w:t>6.1</w:t>
      </w:r>
      <w:r w:rsidRPr="00A27D18">
        <w:rPr>
          <w:lang w:val="fr-FR"/>
        </w:rPr>
        <w:tab/>
      </w:r>
      <w:r w:rsidRPr="00D67179">
        <w:rPr>
          <w:lang w:val="fr-FR"/>
        </w:rPr>
        <w:t>Avant d</w:t>
      </w:r>
      <w:r>
        <w:rPr>
          <w:lang w:val="fr-FR"/>
        </w:rPr>
        <w:t>’</w:t>
      </w:r>
      <w:r w:rsidRPr="00D67179">
        <w:rPr>
          <w:lang w:val="fr-FR"/>
        </w:rPr>
        <w:t>examiner tout grief formulé dans une communication, le Comité des droits de l</w:t>
      </w:r>
      <w:r>
        <w:rPr>
          <w:lang w:val="fr-FR"/>
        </w:rPr>
        <w:t>’</w:t>
      </w:r>
      <w:r w:rsidRPr="00D67179">
        <w:rPr>
          <w:lang w:val="fr-FR"/>
        </w:rPr>
        <w:t>homme doit, conformément à l</w:t>
      </w:r>
      <w:r>
        <w:rPr>
          <w:lang w:val="fr-FR"/>
        </w:rPr>
        <w:t>’</w:t>
      </w:r>
      <w:r w:rsidRPr="00D67179">
        <w:rPr>
          <w:lang w:val="fr-FR"/>
        </w:rPr>
        <w:t>article</w:t>
      </w:r>
      <w:r>
        <w:rPr>
          <w:lang w:val="fr-FR"/>
        </w:rPr>
        <w:t> </w:t>
      </w:r>
      <w:r w:rsidRPr="00D67179">
        <w:rPr>
          <w:lang w:val="fr-FR"/>
        </w:rPr>
        <w:t>93 de son règlement intérieur, déterminer si la communication est recevable au regard du Protocole facultatif se rapportant au Pacte.</w:t>
      </w:r>
    </w:p>
    <w:p w:rsidR="00046E2C" w:rsidRPr="00D43574" w:rsidRDefault="00046E2C" w:rsidP="00046E2C">
      <w:pPr>
        <w:pStyle w:val="SingleTxtG"/>
        <w:rPr>
          <w:lang w:val="fr-FR"/>
        </w:rPr>
      </w:pPr>
      <w:r w:rsidRPr="00A27D18">
        <w:rPr>
          <w:lang w:val="fr-FR"/>
        </w:rPr>
        <w:t>6.2</w:t>
      </w:r>
      <w:r w:rsidRPr="00A27D18">
        <w:rPr>
          <w:lang w:val="fr-FR"/>
        </w:rPr>
        <w:tab/>
      </w:r>
      <w:r w:rsidRPr="00D67179">
        <w:rPr>
          <w:lang w:val="fr-FR"/>
        </w:rPr>
        <w:t>Le Comité s</w:t>
      </w:r>
      <w:r>
        <w:rPr>
          <w:lang w:val="fr-FR"/>
        </w:rPr>
        <w:t>’</w:t>
      </w:r>
      <w:r w:rsidRPr="00D67179">
        <w:rPr>
          <w:lang w:val="fr-FR"/>
        </w:rPr>
        <w:t>est assuré, comme il est tenu de le faire conformément paragraphe</w:t>
      </w:r>
      <w:r>
        <w:rPr>
          <w:lang w:val="fr-FR"/>
        </w:rPr>
        <w:t xml:space="preserve"> 2 a) </w:t>
      </w:r>
      <w:r w:rsidRPr="00D67179">
        <w:rPr>
          <w:lang w:val="fr-FR"/>
        </w:rPr>
        <w:t>de l</w:t>
      </w:r>
      <w:r>
        <w:rPr>
          <w:lang w:val="fr-FR"/>
        </w:rPr>
        <w:t>’</w:t>
      </w:r>
      <w:r w:rsidRPr="00D67179">
        <w:rPr>
          <w:lang w:val="fr-FR"/>
        </w:rPr>
        <w:t>article</w:t>
      </w:r>
      <w:r>
        <w:rPr>
          <w:lang w:val="fr-FR"/>
        </w:rPr>
        <w:t> </w:t>
      </w:r>
      <w:r w:rsidRPr="00D67179">
        <w:rPr>
          <w:lang w:val="fr-FR"/>
        </w:rPr>
        <w:t>5 du Protocole facultatif, que la même question n</w:t>
      </w:r>
      <w:r>
        <w:rPr>
          <w:lang w:val="fr-FR"/>
        </w:rPr>
        <w:t>’</w:t>
      </w:r>
      <w:r w:rsidRPr="00D67179">
        <w:rPr>
          <w:lang w:val="fr-FR"/>
        </w:rPr>
        <w:t>était pas déjà en cours d</w:t>
      </w:r>
      <w:r>
        <w:rPr>
          <w:lang w:val="fr-FR"/>
        </w:rPr>
        <w:t>’</w:t>
      </w:r>
      <w:r w:rsidRPr="00D67179">
        <w:rPr>
          <w:lang w:val="fr-FR"/>
        </w:rPr>
        <w:t xml:space="preserve">examen devant une autre instance internationale </w:t>
      </w:r>
      <w:r w:rsidRPr="00D43574">
        <w:rPr>
          <w:lang w:val="fr-FR"/>
        </w:rPr>
        <w:t>d</w:t>
      </w:r>
      <w:r>
        <w:rPr>
          <w:lang w:val="fr-FR"/>
        </w:rPr>
        <w:t>’</w:t>
      </w:r>
      <w:r w:rsidRPr="00D43574">
        <w:rPr>
          <w:lang w:val="fr-FR"/>
        </w:rPr>
        <w:t>enquête ou de règlement.</w:t>
      </w:r>
    </w:p>
    <w:p w:rsidR="00046E2C" w:rsidRPr="00565AC4" w:rsidRDefault="00046E2C" w:rsidP="00046E2C">
      <w:pPr>
        <w:pStyle w:val="SingleTxtG"/>
        <w:rPr>
          <w:lang w:val="fr-FR"/>
        </w:rPr>
      </w:pPr>
      <w:r w:rsidRPr="00A27D18">
        <w:rPr>
          <w:lang w:val="fr-FR"/>
        </w:rPr>
        <w:t>6.3</w:t>
      </w:r>
      <w:r w:rsidRPr="00A27D18">
        <w:rPr>
          <w:lang w:val="fr-FR"/>
        </w:rPr>
        <w:tab/>
      </w:r>
      <w:r w:rsidRPr="00565AC4">
        <w:rPr>
          <w:lang w:val="fr-FR"/>
        </w:rPr>
        <w:t>Le Comité prend note de l</w:t>
      </w:r>
      <w:r>
        <w:rPr>
          <w:lang w:val="fr-FR"/>
        </w:rPr>
        <w:t>’</w:t>
      </w:r>
      <w:r w:rsidRPr="00565AC4">
        <w:rPr>
          <w:lang w:val="fr-FR"/>
        </w:rPr>
        <w:t>observation de l</w:t>
      </w:r>
      <w:r>
        <w:rPr>
          <w:lang w:val="fr-FR"/>
        </w:rPr>
        <w:t>’</w:t>
      </w:r>
      <w:r w:rsidRPr="00565AC4">
        <w:rPr>
          <w:lang w:val="fr-FR"/>
        </w:rPr>
        <w:t xml:space="preserve">État partie selon laquelle la communication constitue un abus du droit de </w:t>
      </w:r>
      <w:r>
        <w:rPr>
          <w:lang w:val="fr-FR"/>
        </w:rPr>
        <w:t>soumettre une communication</w:t>
      </w:r>
      <w:r w:rsidRPr="00565AC4">
        <w:rPr>
          <w:lang w:val="fr-FR"/>
        </w:rPr>
        <w:t xml:space="preserve"> au regard de l</w:t>
      </w:r>
      <w:r>
        <w:rPr>
          <w:lang w:val="fr-FR"/>
        </w:rPr>
        <w:t>’</w:t>
      </w:r>
      <w:r w:rsidRPr="00565AC4">
        <w:rPr>
          <w:lang w:val="fr-FR"/>
        </w:rPr>
        <w:t>article</w:t>
      </w:r>
      <w:r>
        <w:rPr>
          <w:lang w:val="fr-FR"/>
        </w:rPr>
        <w:t> </w:t>
      </w:r>
      <w:r w:rsidRPr="00565AC4">
        <w:rPr>
          <w:lang w:val="fr-FR"/>
        </w:rPr>
        <w:t>3 du Protocole facultatif parce que l</w:t>
      </w:r>
      <w:r>
        <w:rPr>
          <w:lang w:val="fr-FR"/>
        </w:rPr>
        <w:t>’</w:t>
      </w:r>
      <w:r w:rsidRPr="00565AC4">
        <w:rPr>
          <w:lang w:val="fr-FR"/>
        </w:rPr>
        <w:t>auteur a soumis sa plainte au Comité cinq ans après l</w:t>
      </w:r>
      <w:r>
        <w:rPr>
          <w:lang w:val="fr-FR"/>
        </w:rPr>
        <w:t>’</w:t>
      </w:r>
      <w:r w:rsidRPr="00565AC4">
        <w:rPr>
          <w:lang w:val="fr-FR"/>
        </w:rPr>
        <w:t>adoption de la décision définitive rendue par le tribunal dans son affaire et n</w:t>
      </w:r>
      <w:r>
        <w:rPr>
          <w:lang w:val="fr-FR"/>
        </w:rPr>
        <w:t>’</w:t>
      </w:r>
      <w:r w:rsidRPr="00565AC4">
        <w:rPr>
          <w:lang w:val="fr-FR"/>
        </w:rPr>
        <w:t>a pas expliqué ce retard de façon convaincante. Le Comité prend note de l</w:t>
      </w:r>
      <w:r>
        <w:rPr>
          <w:lang w:val="fr-FR"/>
        </w:rPr>
        <w:t>’</w:t>
      </w:r>
      <w:r w:rsidRPr="00565AC4">
        <w:rPr>
          <w:lang w:val="fr-FR"/>
        </w:rPr>
        <w:t>argument de l</w:t>
      </w:r>
      <w:r>
        <w:rPr>
          <w:lang w:val="fr-FR"/>
        </w:rPr>
        <w:t>’</w:t>
      </w:r>
      <w:r w:rsidRPr="00565AC4">
        <w:rPr>
          <w:lang w:val="fr-FR"/>
        </w:rPr>
        <w:t xml:space="preserve">auteur </w:t>
      </w:r>
      <w:r>
        <w:rPr>
          <w:lang w:val="fr-FR"/>
        </w:rPr>
        <w:t xml:space="preserve">qui soutient que </w:t>
      </w:r>
      <w:r w:rsidRPr="00565AC4">
        <w:rPr>
          <w:lang w:val="fr-FR"/>
        </w:rPr>
        <w:t>sa déficience intellectuelle, encore aggravée par des lésions cérébrales, suffisait à expliquer ce retard. Le Comité rappelle qu</w:t>
      </w:r>
      <w:r>
        <w:rPr>
          <w:lang w:val="fr-FR"/>
        </w:rPr>
        <w:t>’</w:t>
      </w:r>
      <w:r w:rsidRPr="00565AC4">
        <w:rPr>
          <w:lang w:val="fr-FR"/>
        </w:rPr>
        <w:t>il n</w:t>
      </w:r>
      <w:r>
        <w:rPr>
          <w:lang w:val="fr-FR"/>
        </w:rPr>
        <w:t>’</w:t>
      </w:r>
      <w:r w:rsidRPr="00565AC4">
        <w:rPr>
          <w:lang w:val="fr-FR"/>
        </w:rPr>
        <w:t>existe aucune échéance précise pour la présentation des communications en vertu du Protocole facultatif et que le simple fait d</w:t>
      </w:r>
      <w:r>
        <w:rPr>
          <w:lang w:val="fr-FR"/>
        </w:rPr>
        <w:t>’</w:t>
      </w:r>
      <w:r w:rsidRPr="00565AC4">
        <w:rPr>
          <w:lang w:val="fr-FR"/>
        </w:rPr>
        <w:t>avoir attendu longtemps avant d</w:t>
      </w:r>
      <w:r>
        <w:rPr>
          <w:lang w:val="fr-FR"/>
        </w:rPr>
        <w:t>’</w:t>
      </w:r>
      <w:r w:rsidRPr="00565AC4">
        <w:rPr>
          <w:lang w:val="fr-FR"/>
        </w:rPr>
        <w:t>adresser la communication ne constitue pas en soi un abus du droit de plainte. Cela étant, dans certaines circonstances, le Comité attend une explication raisonnable pour justifier le retard</w:t>
      </w:r>
      <w:r w:rsidRPr="00046E2C">
        <w:rPr>
          <w:rStyle w:val="Appelnotedebasdep"/>
        </w:rPr>
        <w:footnoteReference w:id="8"/>
      </w:r>
      <w:r w:rsidRPr="00565AC4">
        <w:rPr>
          <w:lang w:val="fr-FR"/>
        </w:rPr>
        <w:t>. En outre, conformément à l</w:t>
      </w:r>
      <w:r>
        <w:rPr>
          <w:lang w:val="fr-FR"/>
        </w:rPr>
        <w:t>’article 96 </w:t>
      </w:r>
      <w:r w:rsidRPr="00565AC4">
        <w:rPr>
          <w:lang w:val="fr-FR"/>
        </w:rPr>
        <w:t>c) du règlement intérieur du Comité, une communication peut constituer un abus du droit de plainte si elle est « soumise cinq ans après l</w:t>
      </w:r>
      <w:r>
        <w:rPr>
          <w:lang w:val="fr-FR"/>
        </w:rPr>
        <w:t>’</w:t>
      </w:r>
      <w:r w:rsidRPr="00565AC4">
        <w:rPr>
          <w:lang w:val="fr-FR"/>
        </w:rPr>
        <w:t>épuisement des recours internes par son auteur ou, selon le cas, trois ans après l</w:t>
      </w:r>
      <w:r>
        <w:rPr>
          <w:lang w:val="fr-FR"/>
        </w:rPr>
        <w:t>’</w:t>
      </w:r>
      <w:r w:rsidRPr="00565AC4">
        <w:rPr>
          <w:lang w:val="fr-FR"/>
        </w:rPr>
        <w:t>achèvement d</w:t>
      </w:r>
      <w:r>
        <w:rPr>
          <w:lang w:val="fr-FR"/>
        </w:rPr>
        <w:t>’</w:t>
      </w:r>
      <w:r w:rsidRPr="00565AC4">
        <w:rPr>
          <w:lang w:val="fr-FR"/>
        </w:rPr>
        <w:t>une autre procédure internationale d</w:t>
      </w:r>
      <w:r>
        <w:rPr>
          <w:lang w:val="fr-FR"/>
        </w:rPr>
        <w:t>’</w:t>
      </w:r>
      <w:r w:rsidRPr="00565AC4">
        <w:rPr>
          <w:lang w:val="fr-FR"/>
        </w:rPr>
        <w:t>enquête ou de règlement, sauf s</w:t>
      </w:r>
      <w:r>
        <w:rPr>
          <w:lang w:val="fr-FR"/>
        </w:rPr>
        <w:t>’</w:t>
      </w:r>
      <w:r w:rsidRPr="00565AC4">
        <w:rPr>
          <w:lang w:val="fr-FR"/>
        </w:rPr>
        <w:t>il existe des raisons justifiant le retard compte tenu de toutes les circonstances de l</w:t>
      </w:r>
      <w:r>
        <w:rPr>
          <w:lang w:val="fr-FR"/>
        </w:rPr>
        <w:t>’</w:t>
      </w:r>
      <w:r w:rsidRPr="00565AC4">
        <w:rPr>
          <w:lang w:val="fr-FR"/>
        </w:rPr>
        <w:t>affaire »</w:t>
      </w:r>
      <w:r w:rsidRPr="00046E2C">
        <w:rPr>
          <w:rStyle w:val="Appelnotedebasdep"/>
        </w:rPr>
        <w:footnoteReference w:id="9"/>
      </w:r>
      <w:r w:rsidRPr="00565AC4">
        <w:rPr>
          <w:lang w:val="fr-FR"/>
        </w:rPr>
        <w:t>.</w:t>
      </w:r>
    </w:p>
    <w:p w:rsidR="00046E2C" w:rsidRPr="00A27D18" w:rsidRDefault="00046E2C" w:rsidP="00046E2C">
      <w:pPr>
        <w:pStyle w:val="SingleTxtG"/>
        <w:rPr>
          <w:lang w:val="fr-FR"/>
        </w:rPr>
      </w:pPr>
      <w:r w:rsidRPr="00A27D18">
        <w:rPr>
          <w:lang w:val="fr-FR"/>
        </w:rPr>
        <w:t>6.4</w:t>
      </w:r>
      <w:r w:rsidRPr="00A27D18">
        <w:rPr>
          <w:lang w:val="fr-FR"/>
        </w:rPr>
        <w:tab/>
        <w:t>L</w:t>
      </w:r>
      <w:r>
        <w:rPr>
          <w:lang w:val="fr-FR"/>
        </w:rPr>
        <w:t>’</w:t>
      </w:r>
      <w:r w:rsidRPr="00A27D18">
        <w:rPr>
          <w:lang w:val="fr-FR"/>
        </w:rPr>
        <w:t>État partie</w:t>
      </w:r>
      <w:r>
        <w:rPr>
          <w:lang w:val="fr-FR"/>
        </w:rPr>
        <w:t xml:space="preserve"> a indiqué que la décision définitive dans l’affaire de l’auteur était celle qui avait été rendue par la Haute Cour</w:t>
      </w:r>
      <w:r w:rsidRPr="00A27D18">
        <w:rPr>
          <w:lang w:val="fr-FR"/>
        </w:rPr>
        <w:t xml:space="preserve"> </w:t>
      </w:r>
      <w:r>
        <w:rPr>
          <w:lang w:val="fr-FR"/>
        </w:rPr>
        <w:t xml:space="preserve">le </w:t>
      </w:r>
      <w:r w:rsidRPr="00A27D18">
        <w:rPr>
          <w:lang w:val="fr-FR"/>
        </w:rPr>
        <w:t>14</w:t>
      </w:r>
      <w:r>
        <w:rPr>
          <w:lang w:val="fr-FR"/>
        </w:rPr>
        <w:t> j</w:t>
      </w:r>
      <w:r w:rsidRPr="00A27D18">
        <w:rPr>
          <w:lang w:val="fr-FR"/>
        </w:rPr>
        <w:t xml:space="preserve">uin 2010. </w:t>
      </w:r>
      <w:r>
        <w:rPr>
          <w:lang w:val="fr-FR"/>
        </w:rPr>
        <w:t xml:space="preserve">Il a aussi fait observer que </w:t>
      </w:r>
      <w:r w:rsidRPr="00A27D18">
        <w:rPr>
          <w:lang w:val="fr-FR"/>
        </w:rPr>
        <w:t>l</w:t>
      </w:r>
      <w:r>
        <w:rPr>
          <w:lang w:val="fr-FR"/>
        </w:rPr>
        <w:t>’</w:t>
      </w:r>
      <w:r w:rsidRPr="00A27D18">
        <w:rPr>
          <w:lang w:val="fr-FR"/>
        </w:rPr>
        <w:t xml:space="preserve">auteur </w:t>
      </w:r>
      <w:r>
        <w:rPr>
          <w:lang w:val="fr-FR"/>
        </w:rPr>
        <w:t xml:space="preserve">avait saisi le </w:t>
      </w:r>
      <w:r w:rsidRPr="00A27D18">
        <w:rPr>
          <w:lang w:val="fr-FR"/>
        </w:rPr>
        <w:t xml:space="preserve">Comité </w:t>
      </w:r>
      <w:r>
        <w:rPr>
          <w:lang w:val="fr-FR"/>
        </w:rPr>
        <w:t xml:space="preserve">le </w:t>
      </w:r>
      <w:r w:rsidRPr="00A27D18">
        <w:rPr>
          <w:lang w:val="fr-FR"/>
        </w:rPr>
        <w:t>2</w:t>
      </w:r>
      <w:r>
        <w:rPr>
          <w:lang w:val="fr-FR"/>
        </w:rPr>
        <w:t> </w:t>
      </w:r>
      <w:r w:rsidRPr="00A27D18">
        <w:rPr>
          <w:lang w:val="fr-FR"/>
        </w:rPr>
        <w:t xml:space="preserve">juin 2015. Le Comité </w:t>
      </w:r>
      <w:r>
        <w:rPr>
          <w:lang w:val="fr-FR"/>
        </w:rPr>
        <w:t>note que,</w:t>
      </w:r>
      <w:r w:rsidRPr="00A27D18">
        <w:rPr>
          <w:lang w:val="fr-FR"/>
        </w:rPr>
        <w:t xml:space="preserve"> </w:t>
      </w:r>
      <w:r w:rsidRPr="00A27D18">
        <w:rPr>
          <w:i/>
          <w:lang w:val="fr-FR"/>
        </w:rPr>
        <w:t xml:space="preserve">stricto sensu, </w:t>
      </w:r>
      <w:r w:rsidRPr="00A27D18">
        <w:rPr>
          <w:lang w:val="fr-FR"/>
        </w:rPr>
        <w:t>l</w:t>
      </w:r>
      <w:r>
        <w:rPr>
          <w:lang w:val="fr-FR"/>
        </w:rPr>
        <w:t>’</w:t>
      </w:r>
      <w:r w:rsidRPr="00A27D18">
        <w:rPr>
          <w:lang w:val="fr-FR"/>
        </w:rPr>
        <w:t xml:space="preserve">auteur </w:t>
      </w:r>
      <w:r>
        <w:rPr>
          <w:lang w:val="fr-FR"/>
        </w:rPr>
        <w:t>lui a soumis sa communication environ deux semaines avant l’échéance de cinq ans prévue à l’article 96 </w:t>
      </w:r>
      <w:r w:rsidRPr="00A27D18">
        <w:rPr>
          <w:lang w:val="fr-FR"/>
        </w:rPr>
        <w:t xml:space="preserve">c) </w:t>
      </w:r>
      <w:r>
        <w:rPr>
          <w:lang w:val="fr-FR"/>
        </w:rPr>
        <w:t>de son règlement intérieur</w:t>
      </w:r>
      <w:r w:rsidRPr="00A27D18">
        <w:rPr>
          <w:lang w:val="fr-FR"/>
        </w:rPr>
        <w:t xml:space="preserve">. </w:t>
      </w:r>
      <w:r>
        <w:rPr>
          <w:lang w:val="fr-FR"/>
        </w:rPr>
        <w:t>Il considère par conséquent qu’il n’y a pas eu abus du droit de soumettre une communication en l’espèce.</w:t>
      </w:r>
    </w:p>
    <w:p w:rsidR="00046E2C" w:rsidRPr="00A27D18" w:rsidRDefault="00046E2C" w:rsidP="00046E2C">
      <w:pPr>
        <w:pStyle w:val="SingleTxtG"/>
        <w:rPr>
          <w:lang w:val="fr-FR"/>
        </w:rPr>
      </w:pPr>
      <w:r w:rsidRPr="00A27D18">
        <w:rPr>
          <w:lang w:val="fr-FR"/>
        </w:rPr>
        <w:t>6.5</w:t>
      </w:r>
      <w:r w:rsidRPr="00A27D18">
        <w:rPr>
          <w:lang w:val="fr-FR"/>
        </w:rPr>
        <w:tab/>
        <w:t xml:space="preserve">Le Comité </w:t>
      </w:r>
      <w:r>
        <w:rPr>
          <w:lang w:val="fr-FR"/>
        </w:rPr>
        <w:t>prend note de l’</w:t>
      </w:r>
      <w:r w:rsidRPr="00A27D18">
        <w:rPr>
          <w:lang w:val="fr-FR"/>
        </w:rPr>
        <w:t xml:space="preserve">observation </w:t>
      </w:r>
      <w:r>
        <w:rPr>
          <w:lang w:val="fr-FR"/>
        </w:rPr>
        <w:t xml:space="preserve">de l’État partie selon laquelle </w:t>
      </w:r>
      <w:r w:rsidRPr="00A27D18">
        <w:rPr>
          <w:lang w:val="fr-FR"/>
        </w:rPr>
        <w:t>l</w:t>
      </w:r>
      <w:r>
        <w:rPr>
          <w:lang w:val="fr-FR"/>
        </w:rPr>
        <w:t>’</w:t>
      </w:r>
      <w:r w:rsidRPr="00A27D18">
        <w:rPr>
          <w:lang w:val="fr-FR"/>
        </w:rPr>
        <w:t xml:space="preserve">auteur </w:t>
      </w:r>
      <w:r>
        <w:rPr>
          <w:lang w:val="fr-FR"/>
        </w:rPr>
        <w:t>n’a pas épuisé les recours internes parce qu’il n’a pas contesté sa condamnation et sa peine dans le délai réglementaire de vingt-huit jours</w:t>
      </w:r>
      <w:r w:rsidRPr="00A27D18">
        <w:rPr>
          <w:lang w:val="fr-FR"/>
        </w:rPr>
        <w:t xml:space="preserve">. Le Comité </w:t>
      </w:r>
      <w:r>
        <w:rPr>
          <w:lang w:val="fr-FR"/>
        </w:rPr>
        <w:t xml:space="preserve">prend note aussi du contre-argument de </w:t>
      </w:r>
      <w:r w:rsidRPr="00A27D18">
        <w:rPr>
          <w:lang w:val="fr-FR"/>
        </w:rPr>
        <w:t>l</w:t>
      </w:r>
      <w:r>
        <w:rPr>
          <w:lang w:val="fr-FR"/>
        </w:rPr>
        <w:t>’</w:t>
      </w:r>
      <w:r w:rsidRPr="00A27D18">
        <w:rPr>
          <w:lang w:val="fr-FR"/>
        </w:rPr>
        <w:t>auteur</w:t>
      </w:r>
      <w:r>
        <w:rPr>
          <w:lang w:val="fr-FR"/>
        </w:rPr>
        <w:t xml:space="preserve"> disant qu’il a dépassé ce délai à cause de sa déficience intellectuelle</w:t>
      </w:r>
      <w:r w:rsidRPr="00A27D18">
        <w:rPr>
          <w:lang w:val="fr-FR"/>
        </w:rPr>
        <w:t xml:space="preserve"> </w:t>
      </w:r>
      <w:r>
        <w:rPr>
          <w:lang w:val="fr-FR"/>
        </w:rPr>
        <w:t>et que, avec la demande d’autorisation de faire appel tardivement adressée à la Haute Cour</w:t>
      </w:r>
      <w:r w:rsidRPr="00A27D18">
        <w:rPr>
          <w:lang w:val="fr-FR"/>
        </w:rPr>
        <w:t xml:space="preserve"> </w:t>
      </w:r>
      <w:r>
        <w:rPr>
          <w:lang w:val="fr-FR"/>
        </w:rPr>
        <w:t xml:space="preserve">et ses requêtes en </w:t>
      </w:r>
      <w:r w:rsidRPr="00456565">
        <w:rPr>
          <w:i/>
          <w:lang w:val="fr-FR"/>
        </w:rPr>
        <w:t>habeas corpus</w:t>
      </w:r>
      <w:r w:rsidRPr="00A27D18">
        <w:rPr>
          <w:lang w:val="fr-FR"/>
        </w:rPr>
        <w:t xml:space="preserve">, </w:t>
      </w:r>
      <w:r>
        <w:rPr>
          <w:lang w:val="fr-FR"/>
        </w:rPr>
        <w:t>il a bien épuisé les recours internes.</w:t>
      </w:r>
    </w:p>
    <w:p w:rsidR="00046E2C" w:rsidRPr="004C3619" w:rsidRDefault="00046E2C" w:rsidP="00046E2C">
      <w:pPr>
        <w:pStyle w:val="SingleTxtG"/>
        <w:rPr>
          <w:lang w:val="fr-FR"/>
        </w:rPr>
      </w:pPr>
      <w:r w:rsidRPr="00A27D18">
        <w:rPr>
          <w:lang w:val="fr-FR"/>
        </w:rPr>
        <w:t>6.6</w:t>
      </w:r>
      <w:r w:rsidRPr="00A27D18">
        <w:rPr>
          <w:lang w:val="fr-FR"/>
        </w:rPr>
        <w:tab/>
      </w:r>
      <w:r w:rsidRPr="004C3619">
        <w:rPr>
          <w:lang w:val="fr-FR"/>
        </w:rPr>
        <w:t>S</w:t>
      </w:r>
      <w:r>
        <w:rPr>
          <w:lang w:val="fr-FR"/>
        </w:rPr>
        <w:t>’</w:t>
      </w:r>
      <w:r w:rsidRPr="004C3619">
        <w:rPr>
          <w:lang w:val="fr-FR"/>
        </w:rPr>
        <w:t xml:space="preserve">agissant de </w:t>
      </w:r>
      <w:r>
        <w:rPr>
          <w:lang w:val="fr-FR"/>
        </w:rPr>
        <w:t xml:space="preserve">l’épuisement des </w:t>
      </w:r>
      <w:r w:rsidRPr="004C3619">
        <w:rPr>
          <w:lang w:val="fr-FR"/>
        </w:rPr>
        <w:t xml:space="preserve">recours internes, le Comité rappelle que la disposition énoncée </w:t>
      </w:r>
      <w:r>
        <w:rPr>
          <w:lang w:val="fr-FR"/>
        </w:rPr>
        <w:t>à l’alinéa b) du</w:t>
      </w:r>
      <w:r w:rsidRPr="004C3619">
        <w:rPr>
          <w:lang w:val="fr-FR"/>
        </w:rPr>
        <w:t xml:space="preserve"> paragraphe 2 de l</w:t>
      </w:r>
      <w:r>
        <w:rPr>
          <w:lang w:val="fr-FR"/>
        </w:rPr>
        <w:t>’</w:t>
      </w:r>
      <w:r w:rsidRPr="004C3619">
        <w:rPr>
          <w:lang w:val="fr-FR"/>
        </w:rPr>
        <w:t>article 5 du Protocole facultatif vise à offrir à l</w:t>
      </w:r>
      <w:r>
        <w:rPr>
          <w:lang w:val="fr-FR"/>
        </w:rPr>
        <w:t>’</w:t>
      </w:r>
      <w:r w:rsidRPr="004C3619">
        <w:rPr>
          <w:lang w:val="fr-FR"/>
        </w:rPr>
        <w:t>État partie lui</w:t>
      </w:r>
      <w:r w:rsidRPr="004C3619">
        <w:rPr>
          <w:lang w:val="fr-FR"/>
        </w:rPr>
        <w:noBreakHyphen/>
        <w:t>même la possibilité de réparer la violation subie par une personne</w:t>
      </w:r>
      <w:r w:rsidRPr="00046E2C">
        <w:rPr>
          <w:rStyle w:val="Appelnotedebasdep"/>
        </w:rPr>
        <w:footnoteReference w:id="10"/>
      </w:r>
      <w:r>
        <w:rPr>
          <w:lang w:val="fr-FR"/>
        </w:rPr>
        <w:t>. En </w:t>
      </w:r>
      <w:r w:rsidRPr="004C3619">
        <w:rPr>
          <w:lang w:val="fr-FR"/>
        </w:rPr>
        <w:t>l</w:t>
      </w:r>
      <w:r>
        <w:rPr>
          <w:lang w:val="fr-FR"/>
        </w:rPr>
        <w:t>’</w:t>
      </w:r>
      <w:r w:rsidRPr="004C3619">
        <w:rPr>
          <w:lang w:val="fr-FR"/>
        </w:rPr>
        <w:t>espèce, l</w:t>
      </w:r>
      <w:r>
        <w:rPr>
          <w:lang w:val="fr-FR"/>
        </w:rPr>
        <w:t>’</w:t>
      </w:r>
      <w:r w:rsidRPr="004C3619">
        <w:rPr>
          <w:lang w:val="fr-FR"/>
        </w:rPr>
        <w:t xml:space="preserve">auteur, </w:t>
      </w:r>
      <w:r>
        <w:rPr>
          <w:lang w:val="fr-FR"/>
        </w:rPr>
        <w:t>bien que représenté par un conseil devant le tribunal de district</w:t>
      </w:r>
      <w:r w:rsidRPr="004C3619">
        <w:rPr>
          <w:lang w:val="fr-FR"/>
        </w:rPr>
        <w:t xml:space="preserve">, </w:t>
      </w:r>
      <w:r>
        <w:rPr>
          <w:lang w:val="fr-FR"/>
        </w:rPr>
        <w:t>a dépassé le délai de vingt-huit jours qui était imparti pour faire appel auprès de la Haute Cour</w:t>
      </w:r>
      <w:r w:rsidRPr="004C3619">
        <w:rPr>
          <w:lang w:val="fr-FR"/>
        </w:rPr>
        <w:t xml:space="preserve">. </w:t>
      </w:r>
      <w:r>
        <w:rPr>
          <w:lang w:val="fr-FR"/>
        </w:rPr>
        <w:t>Selon</w:t>
      </w:r>
      <w:r w:rsidRPr="004C3619">
        <w:rPr>
          <w:lang w:val="fr-FR"/>
        </w:rPr>
        <w:t xml:space="preserve"> l</w:t>
      </w:r>
      <w:r>
        <w:rPr>
          <w:lang w:val="fr-FR"/>
        </w:rPr>
        <w:t>’</w:t>
      </w:r>
      <w:r w:rsidRPr="004C3619">
        <w:rPr>
          <w:lang w:val="fr-FR"/>
        </w:rPr>
        <w:t xml:space="preserve">État partie, </w:t>
      </w:r>
      <w:r>
        <w:rPr>
          <w:lang w:val="fr-FR"/>
        </w:rPr>
        <w:t xml:space="preserve">si l’appel avait été rejeté, il aurait pu être porté devant des </w:t>
      </w:r>
      <w:r>
        <w:rPr>
          <w:lang w:val="fr-FR"/>
        </w:rPr>
        <w:lastRenderedPageBreak/>
        <w:t>juridictions supérieures, à savoir la Cour d’appel</w:t>
      </w:r>
      <w:r w:rsidRPr="004C3619">
        <w:rPr>
          <w:lang w:val="fr-FR"/>
        </w:rPr>
        <w:t xml:space="preserve"> </w:t>
      </w:r>
      <w:r>
        <w:rPr>
          <w:lang w:val="fr-FR"/>
        </w:rPr>
        <w:t xml:space="preserve">et même la </w:t>
      </w:r>
      <w:r w:rsidRPr="004C3619">
        <w:rPr>
          <w:lang w:val="fr-FR"/>
        </w:rPr>
        <w:t xml:space="preserve">Cour suprême. </w:t>
      </w:r>
      <w:r>
        <w:rPr>
          <w:lang w:val="fr-FR"/>
        </w:rPr>
        <w:t xml:space="preserve">Ayant laissé passer le moyen d’appel ordinaire, </w:t>
      </w:r>
      <w:r w:rsidRPr="004C3619">
        <w:rPr>
          <w:lang w:val="fr-FR"/>
        </w:rPr>
        <w:t>l</w:t>
      </w:r>
      <w:r>
        <w:rPr>
          <w:lang w:val="fr-FR"/>
        </w:rPr>
        <w:t>’</w:t>
      </w:r>
      <w:r w:rsidRPr="004C3619">
        <w:rPr>
          <w:lang w:val="fr-FR"/>
        </w:rPr>
        <w:t xml:space="preserve">auteur </w:t>
      </w:r>
      <w:r>
        <w:rPr>
          <w:lang w:val="fr-FR"/>
        </w:rPr>
        <w:t xml:space="preserve">a soumis une demande d’autorisation d’appel tardif en </w:t>
      </w:r>
      <w:r w:rsidRPr="004C3619">
        <w:rPr>
          <w:lang w:val="fr-FR"/>
        </w:rPr>
        <w:t xml:space="preserve">2007, </w:t>
      </w:r>
      <w:r>
        <w:rPr>
          <w:lang w:val="fr-FR"/>
        </w:rPr>
        <w:t>c’est-à-dire deux ans et huit mois après sa condamnation effective</w:t>
      </w:r>
      <w:r w:rsidRPr="004C3619">
        <w:rPr>
          <w:lang w:val="fr-FR"/>
        </w:rPr>
        <w:t xml:space="preserve">. </w:t>
      </w:r>
      <w:r>
        <w:rPr>
          <w:lang w:val="fr-FR"/>
        </w:rPr>
        <w:t>Le rejet par la Haute Cour</w:t>
      </w:r>
      <w:r w:rsidRPr="004C3619">
        <w:rPr>
          <w:lang w:val="fr-FR"/>
        </w:rPr>
        <w:t xml:space="preserve"> </w:t>
      </w:r>
      <w:r>
        <w:rPr>
          <w:lang w:val="fr-FR"/>
        </w:rPr>
        <w:t>de cette demande pouvait être attaqué devant la Cour d’appel uniquement</w:t>
      </w:r>
      <w:r w:rsidRPr="004C3619">
        <w:rPr>
          <w:lang w:val="fr-FR"/>
        </w:rPr>
        <w:t xml:space="preserve">, </w:t>
      </w:r>
      <w:r>
        <w:rPr>
          <w:lang w:val="fr-FR"/>
        </w:rPr>
        <w:t xml:space="preserve">ce que </w:t>
      </w:r>
      <w:r w:rsidRPr="004C3619">
        <w:rPr>
          <w:lang w:val="fr-FR"/>
        </w:rPr>
        <w:t>l</w:t>
      </w:r>
      <w:r>
        <w:rPr>
          <w:lang w:val="fr-FR"/>
        </w:rPr>
        <w:t>’</w:t>
      </w:r>
      <w:r w:rsidRPr="004C3619">
        <w:rPr>
          <w:lang w:val="fr-FR"/>
        </w:rPr>
        <w:t xml:space="preserve">auteur </w:t>
      </w:r>
      <w:r>
        <w:rPr>
          <w:lang w:val="fr-FR"/>
        </w:rPr>
        <w:t xml:space="preserve">a fait avant de retirer son appel, s’étant rendu aux </w:t>
      </w:r>
      <w:r w:rsidRPr="004C3619">
        <w:rPr>
          <w:lang w:val="fr-FR"/>
        </w:rPr>
        <w:t xml:space="preserve">arguments </w:t>
      </w:r>
      <w:r>
        <w:rPr>
          <w:lang w:val="fr-FR"/>
        </w:rPr>
        <w:t>de la partie intimée concernant l’absence de compétence</w:t>
      </w:r>
      <w:r w:rsidRPr="004C3619">
        <w:rPr>
          <w:lang w:val="fr-FR"/>
        </w:rPr>
        <w:t xml:space="preserve">. </w:t>
      </w:r>
      <w:r>
        <w:rPr>
          <w:lang w:val="fr-FR"/>
        </w:rPr>
        <w:t xml:space="preserve">Il est clair pour le </w:t>
      </w:r>
      <w:r w:rsidRPr="004C3619">
        <w:rPr>
          <w:lang w:val="fr-FR"/>
        </w:rPr>
        <w:t xml:space="preserve">Comité </w:t>
      </w:r>
      <w:r>
        <w:rPr>
          <w:lang w:val="fr-FR"/>
        </w:rPr>
        <w:t>qu’en ne saisissant pas le moyen d’appel ordinaire</w:t>
      </w:r>
      <w:r w:rsidRPr="004C3619">
        <w:rPr>
          <w:lang w:val="fr-FR"/>
        </w:rPr>
        <w:t>, l</w:t>
      </w:r>
      <w:r>
        <w:rPr>
          <w:lang w:val="fr-FR"/>
        </w:rPr>
        <w:t>’</w:t>
      </w:r>
      <w:r w:rsidRPr="004C3619">
        <w:rPr>
          <w:lang w:val="fr-FR"/>
        </w:rPr>
        <w:t xml:space="preserve">auteur </w:t>
      </w:r>
      <w:r>
        <w:rPr>
          <w:lang w:val="fr-FR"/>
        </w:rPr>
        <w:t>n’a pas permis à toutes les juridictions compétentes d’examiner ses griefs.</w:t>
      </w:r>
    </w:p>
    <w:p w:rsidR="00046E2C" w:rsidRPr="00A27D18" w:rsidRDefault="00046E2C" w:rsidP="00046E2C">
      <w:pPr>
        <w:pStyle w:val="SingleTxtG"/>
        <w:rPr>
          <w:lang w:val="fr-FR"/>
        </w:rPr>
      </w:pPr>
      <w:r w:rsidRPr="00A27D18">
        <w:rPr>
          <w:lang w:val="fr-FR"/>
        </w:rPr>
        <w:t>6.7</w:t>
      </w:r>
      <w:r w:rsidRPr="00A27D18">
        <w:rPr>
          <w:lang w:val="fr-FR"/>
        </w:rPr>
        <w:tab/>
      </w:r>
      <w:r>
        <w:rPr>
          <w:lang w:val="fr-FR"/>
        </w:rPr>
        <w:t xml:space="preserve">En ce qui concerne l’allégation de </w:t>
      </w:r>
      <w:r w:rsidRPr="00A27D18">
        <w:rPr>
          <w:lang w:val="fr-FR"/>
        </w:rPr>
        <w:t>l</w:t>
      </w:r>
      <w:r>
        <w:rPr>
          <w:lang w:val="fr-FR"/>
        </w:rPr>
        <w:t>’</w:t>
      </w:r>
      <w:r w:rsidRPr="00A27D18">
        <w:rPr>
          <w:lang w:val="fr-FR"/>
        </w:rPr>
        <w:t>auteur</w:t>
      </w:r>
      <w:r>
        <w:rPr>
          <w:lang w:val="fr-FR"/>
        </w:rPr>
        <w:t xml:space="preserve"> disant que ses requêtes en </w:t>
      </w:r>
      <w:r>
        <w:rPr>
          <w:i/>
          <w:lang w:val="fr-FR"/>
        </w:rPr>
        <w:t>habeas </w:t>
      </w:r>
      <w:r w:rsidRPr="00A2364F">
        <w:rPr>
          <w:i/>
          <w:lang w:val="fr-FR"/>
        </w:rPr>
        <w:t>corpus</w:t>
      </w:r>
      <w:r w:rsidRPr="00A27D18">
        <w:rPr>
          <w:lang w:val="fr-FR"/>
        </w:rPr>
        <w:t xml:space="preserve"> </w:t>
      </w:r>
      <w:r>
        <w:rPr>
          <w:lang w:val="fr-FR"/>
        </w:rPr>
        <w:t>devraient être considérées comme un épuisement des recours internes</w:t>
      </w:r>
      <w:r w:rsidRPr="00A27D18">
        <w:rPr>
          <w:lang w:val="fr-FR"/>
        </w:rPr>
        <w:t xml:space="preserve">, le Comité </w:t>
      </w:r>
      <w:r>
        <w:rPr>
          <w:lang w:val="fr-FR"/>
        </w:rPr>
        <w:t>observe que les deux appels soumis à la Cour d’appel</w:t>
      </w:r>
      <w:r w:rsidRPr="00A27D18">
        <w:rPr>
          <w:lang w:val="fr-FR"/>
        </w:rPr>
        <w:t xml:space="preserve"> </w:t>
      </w:r>
      <w:r>
        <w:rPr>
          <w:lang w:val="fr-FR"/>
        </w:rPr>
        <w:t>ont été rejetés parce que la procédure normale qu’il aurait dû suivre pour faire examiner ses griefs était la procédure d’appel ordinaire, et non les demandes d’</w:t>
      </w:r>
      <w:r w:rsidRPr="0051377D">
        <w:rPr>
          <w:i/>
          <w:lang w:val="fr-FR"/>
        </w:rPr>
        <w:t>habeas corpus</w:t>
      </w:r>
      <w:r>
        <w:rPr>
          <w:lang w:val="fr-FR"/>
        </w:rPr>
        <w:t>.</w:t>
      </w:r>
    </w:p>
    <w:p w:rsidR="00046E2C" w:rsidRPr="00A27D18" w:rsidRDefault="00046E2C" w:rsidP="00046E2C">
      <w:pPr>
        <w:pStyle w:val="SingleTxtG"/>
        <w:rPr>
          <w:lang w:val="fr-FR"/>
        </w:rPr>
      </w:pPr>
      <w:r w:rsidRPr="00A27D18">
        <w:rPr>
          <w:lang w:val="fr-FR"/>
        </w:rPr>
        <w:t>6.8</w:t>
      </w:r>
      <w:r w:rsidRPr="00A27D18">
        <w:rPr>
          <w:lang w:val="fr-FR"/>
        </w:rPr>
        <w:tab/>
        <w:t xml:space="preserve">Le Comité </w:t>
      </w:r>
      <w:r>
        <w:rPr>
          <w:lang w:val="fr-FR"/>
        </w:rPr>
        <w:t xml:space="preserve">n’est pas convaincu par l’argument de </w:t>
      </w:r>
      <w:r w:rsidRPr="00A27D18">
        <w:rPr>
          <w:lang w:val="fr-FR"/>
        </w:rPr>
        <w:t>l</w:t>
      </w:r>
      <w:r>
        <w:rPr>
          <w:lang w:val="fr-FR"/>
        </w:rPr>
        <w:t>’</w:t>
      </w:r>
      <w:r w:rsidRPr="00A27D18">
        <w:rPr>
          <w:lang w:val="fr-FR"/>
        </w:rPr>
        <w:t>auteur</w:t>
      </w:r>
      <w:r>
        <w:rPr>
          <w:lang w:val="fr-FR"/>
        </w:rPr>
        <w:t xml:space="preserve"> selon lequel sa déficience intellectuelle est la raison pour laquelle il a dépassé le délai d’appel réglementaire</w:t>
      </w:r>
      <w:r w:rsidRPr="00A27D18">
        <w:rPr>
          <w:lang w:val="fr-FR"/>
        </w:rPr>
        <w:t xml:space="preserve">, </w:t>
      </w:r>
      <w:r>
        <w:rPr>
          <w:lang w:val="fr-FR"/>
        </w:rPr>
        <w:t>sachant en particulier qu’il était représenté par un conseil professionnel devant le tribunal de district et qu’il ne s’est pas plaint</w:t>
      </w:r>
      <w:r w:rsidRPr="00A27D18">
        <w:rPr>
          <w:lang w:val="fr-FR"/>
        </w:rPr>
        <w:t xml:space="preserve"> </w:t>
      </w:r>
      <w:r>
        <w:rPr>
          <w:lang w:val="fr-FR"/>
        </w:rPr>
        <w:t xml:space="preserve">des services de ce conseil auprès du </w:t>
      </w:r>
      <w:r w:rsidRPr="00A27D18">
        <w:rPr>
          <w:lang w:val="fr-FR"/>
        </w:rPr>
        <w:t xml:space="preserve">Comité. Le Comité </w:t>
      </w:r>
      <w:r>
        <w:rPr>
          <w:lang w:val="fr-FR"/>
        </w:rPr>
        <w:t xml:space="preserve">relève que </w:t>
      </w:r>
      <w:r w:rsidRPr="00A27D18">
        <w:rPr>
          <w:lang w:val="fr-FR"/>
        </w:rPr>
        <w:t>l</w:t>
      </w:r>
      <w:r>
        <w:rPr>
          <w:lang w:val="fr-FR"/>
        </w:rPr>
        <w:t>’</w:t>
      </w:r>
      <w:r w:rsidRPr="00A27D18">
        <w:rPr>
          <w:lang w:val="fr-FR"/>
        </w:rPr>
        <w:t xml:space="preserve">auteur </w:t>
      </w:r>
      <w:r>
        <w:rPr>
          <w:lang w:val="fr-FR"/>
        </w:rPr>
        <w:t>a plaidé coupable et qu’il était possible qu’il n’ait pas eu l’intention de faire appel</w:t>
      </w:r>
      <w:r w:rsidRPr="00A27D18">
        <w:rPr>
          <w:lang w:val="fr-FR"/>
        </w:rPr>
        <w:t xml:space="preserve">. </w:t>
      </w:r>
      <w:r>
        <w:rPr>
          <w:lang w:val="fr-FR"/>
        </w:rPr>
        <w:t xml:space="preserve">En tout état de cause, rien dans le dossier n’explique pourquoi </w:t>
      </w:r>
      <w:r w:rsidRPr="00A27D18">
        <w:rPr>
          <w:lang w:val="fr-FR"/>
        </w:rPr>
        <w:t>l</w:t>
      </w:r>
      <w:r>
        <w:rPr>
          <w:lang w:val="fr-FR"/>
        </w:rPr>
        <w:t>’</w:t>
      </w:r>
      <w:r w:rsidRPr="00A27D18">
        <w:rPr>
          <w:lang w:val="fr-FR"/>
        </w:rPr>
        <w:t xml:space="preserve">auteur </w:t>
      </w:r>
      <w:r>
        <w:rPr>
          <w:lang w:val="fr-FR"/>
        </w:rPr>
        <w:t xml:space="preserve">n’a pas interjeté appel en </w:t>
      </w:r>
      <w:r w:rsidRPr="00A27D18">
        <w:rPr>
          <w:lang w:val="fr-FR"/>
        </w:rPr>
        <w:t xml:space="preserve">2004 </w:t>
      </w:r>
      <w:r>
        <w:rPr>
          <w:lang w:val="fr-FR"/>
        </w:rPr>
        <w:t>et a décidé de le faire en 2007.</w:t>
      </w:r>
    </w:p>
    <w:p w:rsidR="00046E2C" w:rsidRPr="00A27D18" w:rsidRDefault="00046E2C" w:rsidP="00046E2C">
      <w:pPr>
        <w:pStyle w:val="SingleTxtG"/>
        <w:rPr>
          <w:lang w:val="fr-FR"/>
        </w:rPr>
      </w:pPr>
      <w:r w:rsidRPr="00A27D18">
        <w:rPr>
          <w:lang w:val="fr-FR"/>
        </w:rPr>
        <w:t>6.9</w:t>
      </w:r>
      <w:r w:rsidRPr="00A27D18">
        <w:rPr>
          <w:lang w:val="fr-FR"/>
        </w:rPr>
        <w:tab/>
        <w:t xml:space="preserve">Le Comité </w:t>
      </w:r>
      <w:r>
        <w:rPr>
          <w:lang w:val="fr-FR"/>
        </w:rPr>
        <w:t xml:space="preserve">prend note aussi de l’argument de </w:t>
      </w:r>
      <w:r w:rsidRPr="00A27D18">
        <w:rPr>
          <w:lang w:val="fr-FR"/>
        </w:rPr>
        <w:t>l</w:t>
      </w:r>
      <w:r>
        <w:rPr>
          <w:lang w:val="fr-FR"/>
        </w:rPr>
        <w:t>’</w:t>
      </w:r>
      <w:r w:rsidRPr="00A27D18">
        <w:rPr>
          <w:lang w:val="fr-FR"/>
        </w:rPr>
        <w:t>auteur</w:t>
      </w:r>
      <w:r>
        <w:rPr>
          <w:lang w:val="fr-FR"/>
        </w:rPr>
        <w:t xml:space="preserve"> selon lequel, compte tenu de sa déficience intellectuelle, on ne peut attendre de lui qu’il fasse appel dans les délais, ayant besoin de temps pour comprendre la procédure de détermination de la peine et le droit de recours</w:t>
      </w:r>
      <w:r w:rsidRPr="00A27D18">
        <w:rPr>
          <w:lang w:val="fr-FR"/>
        </w:rPr>
        <w:t xml:space="preserve">. </w:t>
      </w:r>
      <w:r>
        <w:rPr>
          <w:lang w:val="fr-FR"/>
        </w:rPr>
        <w:t xml:space="preserve">Sur ce point, le </w:t>
      </w:r>
      <w:r w:rsidRPr="00A27D18">
        <w:rPr>
          <w:lang w:val="fr-FR"/>
        </w:rPr>
        <w:t xml:space="preserve">Comité </w:t>
      </w:r>
      <w:r>
        <w:rPr>
          <w:lang w:val="fr-FR"/>
        </w:rPr>
        <w:t>observe que, d’après les informations figurant au dossier</w:t>
      </w:r>
      <w:r w:rsidRPr="00A27D18">
        <w:rPr>
          <w:lang w:val="fr-FR"/>
        </w:rPr>
        <w:t xml:space="preserve">, </w:t>
      </w:r>
      <w:r>
        <w:rPr>
          <w:lang w:val="fr-FR"/>
        </w:rPr>
        <w:t>notamment le rapport psychiatrique du docteur </w:t>
      </w:r>
      <w:r w:rsidRPr="00A27D18">
        <w:rPr>
          <w:lang w:val="fr-FR"/>
        </w:rPr>
        <w:t>B</w:t>
      </w:r>
      <w:r w:rsidR="00942CE4">
        <w:rPr>
          <w:lang w:val="fr-FR"/>
        </w:rPr>
        <w:t>.</w:t>
      </w:r>
      <w:r w:rsidRPr="00A27D18">
        <w:rPr>
          <w:lang w:val="fr-FR"/>
        </w:rPr>
        <w:t>-W</w:t>
      </w:r>
      <w:r w:rsidR="00942CE4">
        <w:rPr>
          <w:lang w:val="fr-FR"/>
        </w:rPr>
        <w:t>.</w:t>
      </w:r>
      <w:r w:rsidRPr="00A27D18">
        <w:rPr>
          <w:lang w:val="fr-FR"/>
        </w:rPr>
        <w:t xml:space="preserve"> </w:t>
      </w:r>
      <w:r>
        <w:rPr>
          <w:lang w:val="fr-FR"/>
        </w:rPr>
        <w:t xml:space="preserve">et les décisions des juridictions internes, </w:t>
      </w:r>
      <w:r w:rsidRPr="00A27D18">
        <w:rPr>
          <w:lang w:val="fr-FR"/>
        </w:rPr>
        <w:t>l</w:t>
      </w:r>
      <w:r>
        <w:rPr>
          <w:lang w:val="fr-FR"/>
        </w:rPr>
        <w:t>’</w:t>
      </w:r>
      <w:r w:rsidRPr="00A27D18">
        <w:rPr>
          <w:lang w:val="fr-FR"/>
        </w:rPr>
        <w:t xml:space="preserve">auteur </w:t>
      </w:r>
      <w:r>
        <w:rPr>
          <w:lang w:val="fr-FR"/>
        </w:rPr>
        <w:t>était en mesure de comprendre la procédure pénale et a été déclaré en état de plaider</w:t>
      </w:r>
      <w:r w:rsidRPr="00A27D18">
        <w:rPr>
          <w:lang w:val="fr-FR"/>
        </w:rPr>
        <w:t xml:space="preserve">. </w:t>
      </w:r>
      <w:r>
        <w:rPr>
          <w:lang w:val="fr-FR"/>
        </w:rPr>
        <w:t xml:space="preserve">À la lumière des </w:t>
      </w:r>
      <w:r w:rsidRPr="00A27D18">
        <w:rPr>
          <w:lang w:val="fr-FR"/>
        </w:rPr>
        <w:t>information</w:t>
      </w:r>
      <w:r>
        <w:rPr>
          <w:lang w:val="fr-FR"/>
        </w:rPr>
        <w:t>s dont il est saisi, qui ne révèlent aucun arbitraire ni parti pris de la part des tribunaux internes</w:t>
      </w:r>
      <w:r w:rsidRPr="00A27D18">
        <w:rPr>
          <w:lang w:val="fr-FR"/>
        </w:rPr>
        <w:t xml:space="preserve">, le Comité </w:t>
      </w:r>
      <w:r>
        <w:rPr>
          <w:lang w:val="fr-FR"/>
        </w:rPr>
        <w:t>ne peut pas conclure que la déficience intellectuelle</w:t>
      </w:r>
      <w:r w:rsidRPr="00A27D18">
        <w:rPr>
          <w:lang w:val="fr-FR"/>
        </w:rPr>
        <w:t xml:space="preserve"> </w:t>
      </w:r>
      <w:r>
        <w:rPr>
          <w:lang w:val="fr-FR"/>
        </w:rPr>
        <w:t xml:space="preserve">de </w:t>
      </w:r>
      <w:r w:rsidRPr="00A27D18">
        <w:rPr>
          <w:lang w:val="fr-FR"/>
        </w:rPr>
        <w:t>l</w:t>
      </w:r>
      <w:r>
        <w:rPr>
          <w:lang w:val="fr-FR"/>
        </w:rPr>
        <w:t>’</w:t>
      </w:r>
      <w:r w:rsidRPr="00A27D18">
        <w:rPr>
          <w:lang w:val="fr-FR"/>
        </w:rPr>
        <w:t xml:space="preserve">auteur </w:t>
      </w:r>
      <w:r>
        <w:rPr>
          <w:lang w:val="fr-FR"/>
        </w:rPr>
        <w:t xml:space="preserve">telle qu’elle a été établie au moment des événements en </w:t>
      </w:r>
      <w:r w:rsidRPr="00A27D18">
        <w:rPr>
          <w:lang w:val="fr-FR"/>
        </w:rPr>
        <w:t xml:space="preserve">question </w:t>
      </w:r>
      <w:r>
        <w:rPr>
          <w:lang w:val="fr-FR"/>
        </w:rPr>
        <w:t>était de nature à l’empêcher de contester sa peine</w:t>
      </w:r>
      <w:r w:rsidRPr="00F63A3B">
        <w:rPr>
          <w:lang w:val="fr-FR"/>
        </w:rPr>
        <w:t xml:space="preserve"> </w:t>
      </w:r>
      <w:r>
        <w:rPr>
          <w:lang w:val="fr-FR"/>
        </w:rPr>
        <w:t>dans le délai imparti</w:t>
      </w:r>
      <w:r w:rsidRPr="00A27D18">
        <w:rPr>
          <w:lang w:val="fr-FR"/>
        </w:rPr>
        <w:t>.</w:t>
      </w:r>
    </w:p>
    <w:p w:rsidR="00046E2C" w:rsidRPr="00A27D18" w:rsidRDefault="00046E2C" w:rsidP="00046E2C">
      <w:pPr>
        <w:pStyle w:val="SingleTxtG"/>
        <w:rPr>
          <w:lang w:val="fr-FR"/>
        </w:rPr>
      </w:pPr>
      <w:r w:rsidRPr="00A27D18">
        <w:rPr>
          <w:lang w:val="fr-FR"/>
        </w:rPr>
        <w:t>6.10</w:t>
      </w:r>
      <w:r w:rsidRPr="00A27D18">
        <w:rPr>
          <w:lang w:val="fr-FR"/>
        </w:rPr>
        <w:tab/>
      </w:r>
      <w:r>
        <w:rPr>
          <w:lang w:val="fr-FR"/>
        </w:rPr>
        <w:t>À la lumière de ces considé</w:t>
      </w:r>
      <w:r w:rsidRPr="00A27D18">
        <w:rPr>
          <w:lang w:val="fr-FR"/>
        </w:rPr>
        <w:t xml:space="preserve">rations, le Comité </w:t>
      </w:r>
      <w:r>
        <w:rPr>
          <w:lang w:val="fr-FR"/>
        </w:rPr>
        <w:t xml:space="preserve">conclut que </w:t>
      </w:r>
      <w:r w:rsidRPr="00A27D18">
        <w:rPr>
          <w:lang w:val="fr-FR"/>
        </w:rPr>
        <w:t>l</w:t>
      </w:r>
      <w:r>
        <w:rPr>
          <w:lang w:val="fr-FR"/>
        </w:rPr>
        <w:t>’</w:t>
      </w:r>
      <w:r w:rsidRPr="00A27D18">
        <w:rPr>
          <w:lang w:val="fr-FR"/>
        </w:rPr>
        <w:t xml:space="preserve">auteur </w:t>
      </w:r>
      <w:r>
        <w:rPr>
          <w:lang w:val="fr-FR"/>
        </w:rPr>
        <w:t xml:space="preserve">n’a pas épuisé les recours internes dont il disposait et que la présente </w:t>
      </w:r>
      <w:r w:rsidRPr="00A27D18">
        <w:rPr>
          <w:lang w:val="fr-FR"/>
        </w:rPr>
        <w:t xml:space="preserve">communication </w:t>
      </w:r>
      <w:r>
        <w:rPr>
          <w:lang w:val="fr-FR"/>
        </w:rPr>
        <w:t>est irrecevable au regard du paragraphe 2 b) de l’</w:t>
      </w:r>
      <w:r w:rsidRPr="00A27D18">
        <w:rPr>
          <w:lang w:val="fr-FR"/>
        </w:rPr>
        <w:t>article</w:t>
      </w:r>
      <w:r>
        <w:rPr>
          <w:lang w:val="fr-FR"/>
        </w:rPr>
        <w:t> </w:t>
      </w:r>
      <w:r w:rsidRPr="00A27D18">
        <w:rPr>
          <w:lang w:val="fr-FR"/>
        </w:rPr>
        <w:t xml:space="preserve">5 </w:t>
      </w:r>
      <w:r>
        <w:rPr>
          <w:lang w:val="fr-FR"/>
        </w:rPr>
        <w:t>du P</w:t>
      </w:r>
      <w:r w:rsidRPr="00A27D18">
        <w:rPr>
          <w:lang w:val="fr-FR"/>
        </w:rPr>
        <w:t>rotocol</w:t>
      </w:r>
      <w:r>
        <w:rPr>
          <w:lang w:val="fr-FR"/>
        </w:rPr>
        <w:t>e facultatif</w:t>
      </w:r>
      <w:r w:rsidRPr="00A27D18">
        <w:rPr>
          <w:lang w:val="fr-FR"/>
        </w:rPr>
        <w:t>.</w:t>
      </w:r>
    </w:p>
    <w:p w:rsidR="00046E2C" w:rsidRPr="00565AC4" w:rsidRDefault="00046E2C" w:rsidP="00046E2C">
      <w:pPr>
        <w:pStyle w:val="SingleTxtG"/>
        <w:keepNext/>
        <w:keepLines/>
        <w:rPr>
          <w:lang w:val="fr-FR"/>
        </w:rPr>
      </w:pPr>
      <w:r w:rsidRPr="00A27D18">
        <w:rPr>
          <w:lang w:val="fr-FR"/>
        </w:rPr>
        <w:t>7.</w:t>
      </w:r>
      <w:r w:rsidRPr="00A27D18">
        <w:rPr>
          <w:lang w:val="fr-FR"/>
        </w:rPr>
        <w:tab/>
      </w:r>
      <w:r w:rsidRPr="00565AC4">
        <w:rPr>
          <w:lang w:val="fr-FR"/>
        </w:rPr>
        <w:t>En conséquence, le Comité des droits de l</w:t>
      </w:r>
      <w:r>
        <w:rPr>
          <w:lang w:val="fr-FR"/>
        </w:rPr>
        <w:t>’</w:t>
      </w:r>
      <w:r w:rsidRPr="00565AC4">
        <w:rPr>
          <w:lang w:val="fr-FR"/>
        </w:rPr>
        <w:t xml:space="preserve">homme </w:t>
      </w:r>
      <w:r>
        <w:rPr>
          <w:lang w:val="fr-FR"/>
        </w:rPr>
        <w:t>dé</w:t>
      </w:r>
      <w:r w:rsidRPr="00565AC4">
        <w:rPr>
          <w:lang w:val="fr-FR"/>
        </w:rPr>
        <w:t>cide :</w:t>
      </w:r>
    </w:p>
    <w:p w:rsidR="00046E2C" w:rsidRDefault="00046E2C" w:rsidP="00046E2C">
      <w:pPr>
        <w:pStyle w:val="SingleTxtG"/>
        <w:ind w:firstLine="567"/>
        <w:rPr>
          <w:lang w:val="fr-FR"/>
        </w:rPr>
      </w:pPr>
      <w:r w:rsidRPr="00565AC4">
        <w:rPr>
          <w:lang w:val="fr-FR"/>
        </w:rPr>
        <w:t>a)</w:t>
      </w:r>
      <w:r w:rsidRPr="00565AC4">
        <w:rPr>
          <w:lang w:val="fr-FR"/>
        </w:rPr>
        <w:tab/>
        <w:t xml:space="preserve">Que la communication est irrecevable </w:t>
      </w:r>
      <w:r>
        <w:rPr>
          <w:lang w:val="fr-FR"/>
        </w:rPr>
        <w:t xml:space="preserve">au regard du paragraphe 2 b) </w:t>
      </w:r>
      <w:r w:rsidRPr="00565AC4">
        <w:rPr>
          <w:lang w:val="fr-FR"/>
        </w:rPr>
        <w:t>de l</w:t>
      </w:r>
      <w:r>
        <w:rPr>
          <w:lang w:val="fr-FR"/>
        </w:rPr>
        <w:t>’</w:t>
      </w:r>
      <w:r w:rsidRPr="00565AC4">
        <w:rPr>
          <w:lang w:val="fr-FR"/>
        </w:rPr>
        <w:t>article </w:t>
      </w:r>
      <w:r>
        <w:rPr>
          <w:lang w:val="fr-FR"/>
        </w:rPr>
        <w:t>5</w:t>
      </w:r>
      <w:r w:rsidRPr="00565AC4">
        <w:rPr>
          <w:lang w:val="fr-FR"/>
        </w:rPr>
        <w:t xml:space="preserve"> du Protocole facultatif</w:t>
      </w:r>
      <w:r>
        <w:rPr>
          <w:lang w:val="fr-FR"/>
        </w:rPr>
        <w:t> </w:t>
      </w:r>
      <w:r w:rsidRPr="00565AC4">
        <w:rPr>
          <w:lang w:val="fr-FR"/>
        </w:rPr>
        <w:t>;</w:t>
      </w:r>
    </w:p>
    <w:p w:rsidR="00046E2C" w:rsidRDefault="00046E2C" w:rsidP="00046E2C">
      <w:pPr>
        <w:pStyle w:val="SingleTxtG"/>
        <w:ind w:firstLine="567"/>
        <w:rPr>
          <w:lang w:val="fr-FR"/>
        </w:rPr>
      </w:pPr>
      <w:r w:rsidRPr="00565AC4">
        <w:rPr>
          <w:lang w:val="fr-FR"/>
        </w:rPr>
        <w:t>b)</w:t>
      </w:r>
      <w:r w:rsidRPr="00565AC4">
        <w:rPr>
          <w:lang w:val="fr-FR"/>
        </w:rPr>
        <w:tab/>
        <w:t>Que la présente décision sera communiquée à l</w:t>
      </w:r>
      <w:r>
        <w:rPr>
          <w:lang w:val="fr-FR"/>
        </w:rPr>
        <w:t>’</w:t>
      </w:r>
      <w:r w:rsidRPr="00565AC4">
        <w:rPr>
          <w:lang w:val="fr-FR"/>
        </w:rPr>
        <w:t xml:space="preserve">auteur </w:t>
      </w:r>
      <w:r>
        <w:rPr>
          <w:lang w:val="fr-FR"/>
        </w:rPr>
        <w:t xml:space="preserve">de la communication </w:t>
      </w:r>
      <w:r w:rsidRPr="00565AC4">
        <w:rPr>
          <w:lang w:val="fr-FR"/>
        </w:rPr>
        <w:t>et à l</w:t>
      </w:r>
      <w:r>
        <w:rPr>
          <w:lang w:val="fr-FR"/>
        </w:rPr>
        <w:t>’</w:t>
      </w:r>
      <w:r w:rsidRPr="00565AC4">
        <w:rPr>
          <w:lang w:val="fr-FR"/>
        </w:rPr>
        <w:t>État partie.</w:t>
      </w:r>
    </w:p>
    <w:p w:rsidR="00E85C42" w:rsidRPr="00046E2C" w:rsidRDefault="00046E2C" w:rsidP="00046E2C">
      <w:pPr>
        <w:pStyle w:val="SingleTxtG"/>
        <w:spacing w:before="240" w:after="0"/>
        <w:jc w:val="center"/>
        <w:rPr>
          <w:u w:val="single"/>
        </w:rPr>
      </w:pPr>
      <w:r>
        <w:rPr>
          <w:u w:val="single"/>
        </w:rPr>
        <w:tab/>
      </w:r>
      <w:r>
        <w:rPr>
          <w:u w:val="single"/>
        </w:rPr>
        <w:tab/>
      </w:r>
      <w:r>
        <w:rPr>
          <w:u w:val="single"/>
        </w:rPr>
        <w:tab/>
      </w:r>
    </w:p>
    <w:sectPr w:rsidR="00E85C42" w:rsidRPr="00046E2C" w:rsidSect="00046E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8C" w:rsidRDefault="00E5138C" w:rsidP="00F95C08">
      <w:pPr>
        <w:spacing w:line="240" w:lineRule="auto"/>
      </w:pPr>
    </w:p>
  </w:endnote>
  <w:endnote w:type="continuationSeparator" w:id="0">
    <w:p w:rsidR="00E5138C" w:rsidRPr="00AC3823" w:rsidRDefault="00E5138C" w:rsidP="00AC3823">
      <w:pPr>
        <w:pStyle w:val="Pieddepage"/>
      </w:pPr>
    </w:p>
  </w:endnote>
  <w:endnote w:type="continuationNotice" w:id="1">
    <w:p w:rsidR="00E5138C" w:rsidRDefault="00E513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8C" w:rsidRPr="00046E2C" w:rsidRDefault="00E5138C" w:rsidP="00046E2C">
    <w:pPr>
      <w:pStyle w:val="Pieddepage"/>
      <w:tabs>
        <w:tab w:val="right" w:pos="9638"/>
      </w:tabs>
    </w:pPr>
    <w:r w:rsidRPr="00046E2C">
      <w:rPr>
        <w:b/>
        <w:sz w:val="18"/>
      </w:rPr>
      <w:fldChar w:fldCharType="begin"/>
    </w:r>
    <w:r w:rsidRPr="00046E2C">
      <w:rPr>
        <w:b/>
        <w:sz w:val="18"/>
      </w:rPr>
      <w:instrText xml:space="preserve"> PAGE  \* MERGEFORMAT </w:instrText>
    </w:r>
    <w:r w:rsidRPr="00046E2C">
      <w:rPr>
        <w:b/>
        <w:sz w:val="18"/>
      </w:rPr>
      <w:fldChar w:fldCharType="separate"/>
    </w:r>
    <w:r w:rsidRPr="00046E2C">
      <w:rPr>
        <w:b/>
        <w:noProof/>
        <w:sz w:val="18"/>
      </w:rPr>
      <w:t>2</w:t>
    </w:r>
    <w:r w:rsidRPr="00046E2C">
      <w:rPr>
        <w:b/>
        <w:sz w:val="18"/>
      </w:rPr>
      <w:fldChar w:fldCharType="end"/>
    </w:r>
    <w:r>
      <w:rPr>
        <w:b/>
        <w:sz w:val="18"/>
      </w:rPr>
      <w:tab/>
    </w:r>
    <w:r>
      <w:t>GE.19-07594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8C" w:rsidRPr="00046E2C" w:rsidRDefault="00E5138C" w:rsidP="00046E2C">
    <w:pPr>
      <w:pStyle w:val="Pieddepage"/>
      <w:tabs>
        <w:tab w:val="right" w:pos="9638"/>
      </w:tabs>
      <w:rPr>
        <w:b/>
        <w:sz w:val="18"/>
      </w:rPr>
    </w:pPr>
    <w:r>
      <w:t>GE.19-07594</w:t>
    </w:r>
    <w:r>
      <w:tab/>
    </w:r>
    <w:r w:rsidRPr="00046E2C">
      <w:rPr>
        <w:b/>
        <w:sz w:val="18"/>
      </w:rPr>
      <w:fldChar w:fldCharType="begin"/>
    </w:r>
    <w:r w:rsidRPr="00046E2C">
      <w:rPr>
        <w:b/>
        <w:sz w:val="18"/>
      </w:rPr>
      <w:instrText xml:space="preserve"> PAGE  \* MERGEFORMAT </w:instrText>
    </w:r>
    <w:r w:rsidRPr="00046E2C">
      <w:rPr>
        <w:b/>
        <w:sz w:val="18"/>
      </w:rPr>
      <w:fldChar w:fldCharType="separate"/>
    </w:r>
    <w:r w:rsidRPr="00046E2C">
      <w:rPr>
        <w:b/>
        <w:noProof/>
        <w:sz w:val="18"/>
      </w:rPr>
      <w:t>3</w:t>
    </w:r>
    <w:r w:rsidRPr="00046E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8C" w:rsidRPr="00046E2C" w:rsidRDefault="00E5138C" w:rsidP="00046E2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19-07594  (F)    220420    220420</w:t>
    </w:r>
    <w:r>
      <w:rPr>
        <w:sz w:val="20"/>
      </w:rPr>
      <w:br/>
    </w:r>
    <w:r w:rsidRPr="00046E2C">
      <w:rPr>
        <w:rFonts w:ascii="C39T30Lfz" w:hAnsi="C39T30Lfz"/>
        <w:sz w:val="56"/>
      </w:rPr>
      <w:t></w:t>
    </w:r>
    <w:r w:rsidRPr="00046E2C">
      <w:rPr>
        <w:rFonts w:ascii="C39T30Lfz" w:hAnsi="C39T30Lfz"/>
        <w:sz w:val="56"/>
      </w:rPr>
      <w:t></w:t>
    </w:r>
    <w:r w:rsidRPr="00046E2C">
      <w:rPr>
        <w:rFonts w:ascii="C39T30Lfz" w:hAnsi="C39T30Lfz"/>
        <w:sz w:val="56"/>
      </w:rPr>
      <w:t></w:t>
    </w:r>
    <w:r w:rsidRPr="00046E2C">
      <w:rPr>
        <w:rFonts w:ascii="C39T30Lfz" w:hAnsi="C39T30Lfz"/>
        <w:sz w:val="56"/>
      </w:rPr>
      <w:t></w:t>
    </w:r>
    <w:r w:rsidRPr="00046E2C">
      <w:rPr>
        <w:rFonts w:ascii="C39T30Lfz" w:hAnsi="C39T30Lfz"/>
        <w:sz w:val="56"/>
      </w:rPr>
      <w:t></w:t>
    </w:r>
    <w:r w:rsidRPr="00046E2C">
      <w:rPr>
        <w:rFonts w:ascii="C39T30Lfz" w:hAnsi="C39T30Lfz"/>
        <w:sz w:val="56"/>
      </w:rPr>
      <w:t></w:t>
    </w:r>
    <w:r w:rsidRPr="00046E2C">
      <w:rPr>
        <w:rFonts w:ascii="C39T30Lfz" w:hAnsi="C39T30Lfz"/>
        <w:sz w:val="56"/>
      </w:rPr>
      <w:t></w:t>
    </w:r>
    <w:r w:rsidRPr="00046E2C">
      <w:rPr>
        <w:rFonts w:ascii="C39T30Lfz" w:hAnsi="C39T30Lfz"/>
        <w:sz w:val="56"/>
      </w:rPr>
      <w:t></w:t>
    </w:r>
    <w:r w:rsidRPr="00046E2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5/D/2684/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684/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8C" w:rsidRPr="00AC3823" w:rsidRDefault="00E5138C" w:rsidP="00AC3823">
      <w:pPr>
        <w:pStyle w:val="Pieddepage"/>
        <w:tabs>
          <w:tab w:val="right" w:pos="2155"/>
        </w:tabs>
        <w:spacing w:after="80" w:line="240" w:lineRule="atLeast"/>
        <w:ind w:left="680"/>
        <w:rPr>
          <w:u w:val="single"/>
        </w:rPr>
      </w:pPr>
      <w:r>
        <w:rPr>
          <w:u w:val="single"/>
        </w:rPr>
        <w:tab/>
      </w:r>
    </w:p>
  </w:footnote>
  <w:footnote w:type="continuationSeparator" w:id="0">
    <w:p w:rsidR="00E5138C" w:rsidRPr="00AC3823" w:rsidRDefault="00E5138C" w:rsidP="00AC3823">
      <w:pPr>
        <w:pStyle w:val="Pieddepage"/>
        <w:tabs>
          <w:tab w:val="right" w:pos="2155"/>
        </w:tabs>
        <w:spacing w:after="80" w:line="240" w:lineRule="atLeast"/>
        <w:ind w:left="680"/>
        <w:rPr>
          <w:u w:val="single"/>
        </w:rPr>
      </w:pPr>
      <w:r>
        <w:rPr>
          <w:u w:val="single"/>
        </w:rPr>
        <w:tab/>
      </w:r>
    </w:p>
  </w:footnote>
  <w:footnote w:type="continuationNotice" w:id="1">
    <w:p w:rsidR="00E5138C" w:rsidRPr="00AC3823" w:rsidRDefault="00E5138C">
      <w:pPr>
        <w:spacing w:line="240" w:lineRule="auto"/>
        <w:rPr>
          <w:sz w:val="2"/>
          <w:szCs w:val="2"/>
        </w:rPr>
      </w:pPr>
    </w:p>
  </w:footnote>
  <w:footnote w:id="2">
    <w:p w:rsidR="00E5138C" w:rsidRPr="00482439" w:rsidRDefault="00E5138C" w:rsidP="00046E2C">
      <w:pPr>
        <w:pStyle w:val="Notedebasdepage"/>
        <w:rPr>
          <w:lang w:val="fr-CA"/>
        </w:rPr>
      </w:pPr>
      <w:r w:rsidRPr="00482439">
        <w:rPr>
          <w:rStyle w:val="Appelnotedebasdep"/>
          <w:lang w:val="fr-CA"/>
        </w:rPr>
        <w:tab/>
      </w:r>
      <w:r w:rsidRPr="00482439">
        <w:rPr>
          <w:rStyle w:val="Appelnotedebasdep"/>
          <w:sz w:val="20"/>
          <w:vertAlign w:val="baseline"/>
          <w:lang w:val="fr-CA"/>
        </w:rPr>
        <w:t>*</w:t>
      </w:r>
      <w:r w:rsidRPr="00482439">
        <w:rPr>
          <w:rStyle w:val="Appelnotedebasdep"/>
          <w:sz w:val="20"/>
          <w:vertAlign w:val="baseline"/>
          <w:lang w:val="fr-CA"/>
        </w:rPr>
        <w:tab/>
      </w:r>
      <w:r w:rsidRPr="00482439">
        <w:rPr>
          <w:shd w:val="clear" w:color="auto" w:fill="FFFFFF"/>
          <w:lang w:val="fr-CA"/>
        </w:rPr>
        <w:t>Adoptée par le Comité à sa 12</w:t>
      </w:r>
      <w:r>
        <w:rPr>
          <w:shd w:val="clear" w:color="auto" w:fill="FFFFFF"/>
          <w:lang w:val="fr-CA"/>
        </w:rPr>
        <w:t>5</w:t>
      </w:r>
      <w:r w:rsidRPr="00482439">
        <w:rPr>
          <w:shd w:val="clear" w:color="auto" w:fill="FFFFFF"/>
          <w:vertAlign w:val="superscript"/>
          <w:lang w:val="fr-CA"/>
        </w:rPr>
        <w:t>e</w:t>
      </w:r>
      <w:r w:rsidRPr="00482439">
        <w:rPr>
          <w:shd w:val="clear" w:color="auto" w:fill="FFFFFF"/>
          <w:lang w:val="fr-CA"/>
        </w:rPr>
        <w:t xml:space="preserve"> session (4</w:t>
      </w:r>
      <w:r>
        <w:rPr>
          <w:shd w:val="clear" w:color="auto" w:fill="FFFFFF"/>
          <w:lang w:val="fr-CA"/>
        </w:rPr>
        <w:t>-</w:t>
      </w:r>
      <w:r w:rsidRPr="00482439">
        <w:rPr>
          <w:shd w:val="clear" w:color="auto" w:fill="FFFFFF"/>
          <w:lang w:val="fr-CA"/>
        </w:rPr>
        <w:t>29 mars 2019)</w:t>
      </w:r>
      <w:r w:rsidRPr="00482439">
        <w:rPr>
          <w:lang w:val="fr-CA"/>
        </w:rPr>
        <w:t>.</w:t>
      </w:r>
    </w:p>
  </w:footnote>
  <w:footnote w:id="3">
    <w:p w:rsidR="00E5138C" w:rsidRPr="00046E2C" w:rsidRDefault="00E5138C" w:rsidP="00046E2C">
      <w:pPr>
        <w:pStyle w:val="Notedebasdepage"/>
        <w:rPr>
          <w:lang w:val="fr-CA"/>
        </w:rPr>
      </w:pPr>
      <w:r w:rsidRPr="00482439">
        <w:rPr>
          <w:rStyle w:val="Appelnotedebasdep"/>
          <w:lang w:val="fr-CA"/>
        </w:rPr>
        <w:tab/>
      </w:r>
      <w:r w:rsidRPr="00482439">
        <w:rPr>
          <w:rStyle w:val="Appelnotedebasdep"/>
          <w:sz w:val="20"/>
          <w:vertAlign w:val="baseline"/>
          <w:lang w:val="fr-CA"/>
        </w:rPr>
        <w:t>**</w:t>
      </w:r>
      <w:r w:rsidRPr="00482439">
        <w:rPr>
          <w:rStyle w:val="Appelnotedebasdep"/>
          <w:sz w:val="20"/>
          <w:vertAlign w:val="baseline"/>
          <w:lang w:val="fr-CA"/>
        </w:rPr>
        <w:tab/>
      </w:r>
      <w:r>
        <w:rPr>
          <w:shd w:val="clear" w:color="auto" w:fill="FFFFFF"/>
        </w:rPr>
        <w:t>Les membres du Comité dont le nom suit ont participé à l’examen de la communication </w:t>
      </w:r>
      <w:r w:rsidRPr="00482439">
        <w:rPr>
          <w:lang w:val="fr-CA"/>
        </w:rPr>
        <w:t>: Tania María Abdo Rocholl, Yadh Ben Achour, Ilze Brands Kehris, Christopher Arif Bulkan, Ahmed Amin Fathalla, Shuichi Furuya, Christof Heyns, Bamariam Koita, Marcia V.</w:t>
      </w:r>
      <w:r>
        <w:rPr>
          <w:lang w:val="fr-CA"/>
        </w:rPr>
        <w:t> </w:t>
      </w:r>
      <w:r w:rsidRPr="00482439">
        <w:rPr>
          <w:lang w:val="fr-CA"/>
        </w:rPr>
        <w:t xml:space="preserve">J. Kran, Duncan Laki Muhumuza, Photini Pazartzis, Hernán Quezada Cabrera, Vasilka Sancin, José Manuel Santos Pais, Yuval Shany, Hélène Tigroudja, Andreas Zimmermann </w:t>
      </w:r>
      <w:r>
        <w:rPr>
          <w:lang w:val="fr-CA"/>
        </w:rPr>
        <w:t>et</w:t>
      </w:r>
      <w:r w:rsidRPr="00482439">
        <w:rPr>
          <w:lang w:val="fr-CA"/>
        </w:rPr>
        <w:t xml:space="preserve"> Gentian Zyberi.</w:t>
      </w:r>
    </w:p>
  </w:footnote>
  <w:footnote w:id="4">
    <w:p w:rsidR="00E5138C" w:rsidRPr="007B4C11" w:rsidRDefault="00E5138C" w:rsidP="00046E2C">
      <w:pPr>
        <w:pStyle w:val="Notedebasdepage"/>
        <w:rPr>
          <w:lang w:val="fr-FR"/>
        </w:rPr>
      </w:pPr>
      <w:r w:rsidRPr="007B4C11">
        <w:rPr>
          <w:lang w:val="fr-FR"/>
        </w:rPr>
        <w:tab/>
      </w:r>
      <w:r w:rsidRPr="00046E2C">
        <w:rPr>
          <w:rStyle w:val="Appelnotedebasdep"/>
        </w:rPr>
        <w:footnoteRef/>
      </w:r>
      <w:r w:rsidRPr="007B4C11">
        <w:rPr>
          <w:lang w:val="fr-FR"/>
        </w:rPr>
        <w:tab/>
      </w:r>
      <w:r>
        <w:rPr>
          <w:lang w:val="fr-FR"/>
        </w:rPr>
        <w:t>La Haute Cour</w:t>
      </w:r>
      <w:r w:rsidRPr="007B4C11">
        <w:rPr>
          <w:lang w:val="fr-FR"/>
        </w:rPr>
        <w:t xml:space="preserve"> </w:t>
      </w:r>
      <w:r>
        <w:rPr>
          <w:lang w:val="fr-FR"/>
        </w:rPr>
        <w:t>a examiné en détail les allégations de l’auteur afin de déterminer si le tribunal de district avait commis une erreur judiciaire</w:t>
      </w:r>
      <w:r w:rsidRPr="007B4C11">
        <w:rPr>
          <w:lang w:val="fr-FR"/>
        </w:rPr>
        <w:t xml:space="preserve">, </w:t>
      </w:r>
      <w:r>
        <w:rPr>
          <w:lang w:val="fr-FR"/>
        </w:rPr>
        <w:t>auquel cas elle devrait autoriser l’appel tardif</w:t>
      </w:r>
      <w:r w:rsidRPr="007B4C11">
        <w:rPr>
          <w:lang w:val="fr-FR"/>
        </w:rPr>
        <w:t xml:space="preserve">. </w:t>
      </w:r>
      <w:r>
        <w:rPr>
          <w:lang w:val="fr-FR"/>
        </w:rPr>
        <w:t>La Haute Cour</w:t>
      </w:r>
      <w:r w:rsidRPr="007B4C11">
        <w:rPr>
          <w:lang w:val="fr-FR"/>
        </w:rPr>
        <w:t xml:space="preserve"> </w:t>
      </w:r>
      <w:r>
        <w:rPr>
          <w:lang w:val="fr-FR"/>
        </w:rPr>
        <w:t xml:space="preserve">a examiné, entre autres, </w:t>
      </w:r>
      <w:r w:rsidR="00942CE4">
        <w:rPr>
          <w:lang w:val="fr-FR"/>
        </w:rPr>
        <w:t>10</w:t>
      </w:r>
      <w:r>
        <w:rPr>
          <w:lang w:val="fr-FR"/>
        </w:rPr>
        <w:t> rapports médicaux et des éléments concernant l’auteur</w:t>
      </w:r>
      <w:r w:rsidRPr="007B4C11">
        <w:rPr>
          <w:lang w:val="fr-FR"/>
        </w:rPr>
        <w:t xml:space="preserve"> </w:t>
      </w:r>
      <w:r>
        <w:rPr>
          <w:lang w:val="fr-FR"/>
        </w:rPr>
        <w:t>datant de la période 1995-</w:t>
      </w:r>
      <w:r w:rsidRPr="007B4C11">
        <w:rPr>
          <w:lang w:val="fr-FR"/>
        </w:rPr>
        <w:t xml:space="preserve">2007. </w:t>
      </w:r>
      <w:r>
        <w:rPr>
          <w:lang w:val="fr-FR"/>
        </w:rPr>
        <w:t>La Cour a en outre examiné un rapport de M</w:t>
      </w:r>
      <w:r w:rsidRPr="00455192">
        <w:rPr>
          <w:vertAlign w:val="superscript"/>
          <w:lang w:val="fr-FR"/>
        </w:rPr>
        <w:t>me</w:t>
      </w:r>
      <w:r>
        <w:rPr>
          <w:lang w:val="fr-FR"/>
        </w:rPr>
        <w:t> C. − une neuropsychologue appelée à la demande du conseil</w:t>
      </w:r>
      <w:r w:rsidRPr="007B4C11">
        <w:rPr>
          <w:lang w:val="fr-FR"/>
        </w:rPr>
        <w:t xml:space="preserve">. </w:t>
      </w:r>
      <w:r>
        <w:rPr>
          <w:lang w:val="fr-FR"/>
        </w:rPr>
        <w:t xml:space="preserve">Les </w:t>
      </w:r>
      <w:r w:rsidR="00942CE4">
        <w:rPr>
          <w:lang w:val="fr-FR"/>
        </w:rPr>
        <w:t>10</w:t>
      </w:r>
      <w:r>
        <w:rPr>
          <w:lang w:val="fr-FR"/>
        </w:rPr>
        <w:t xml:space="preserve"> rapports concluaient que l’auteur était en état de plaider malgré sa </w:t>
      </w:r>
      <w:r w:rsidRPr="007B4C11">
        <w:rPr>
          <w:lang w:val="fr-FR"/>
        </w:rPr>
        <w:t xml:space="preserve">déficience intellectuelle. </w:t>
      </w:r>
      <w:r>
        <w:rPr>
          <w:lang w:val="fr-FR"/>
        </w:rPr>
        <w:t xml:space="preserve">La </w:t>
      </w:r>
      <w:r w:rsidRPr="007B4C11">
        <w:rPr>
          <w:lang w:val="fr-FR"/>
        </w:rPr>
        <w:t xml:space="preserve">conclusion </w:t>
      </w:r>
      <w:r>
        <w:rPr>
          <w:lang w:val="fr-FR"/>
        </w:rPr>
        <w:t>du rapport de M</w:t>
      </w:r>
      <w:r w:rsidRPr="00455192">
        <w:rPr>
          <w:vertAlign w:val="superscript"/>
          <w:lang w:val="fr-FR"/>
        </w:rPr>
        <w:t>me</w:t>
      </w:r>
      <w:r>
        <w:rPr>
          <w:lang w:val="fr-FR"/>
        </w:rPr>
        <w:t> </w:t>
      </w:r>
      <w:r w:rsidRPr="007B4C11">
        <w:rPr>
          <w:lang w:val="fr-FR"/>
        </w:rPr>
        <w:t>C.</w:t>
      </w:r>
      <w:r>
        <w:rPr>
          <w:lang w:val="fr-FR"/>
        </w:rPr>
        <w:t xml:space="preserve"> était que l’auteur n’était pas en état de plaider</w:t>
      </w:r>
      <w:r w:rsidRPr="007B4C11">
        <w:rPr>
          <w:lang w:val="fr-FR"/>
        </w:rPr>
        <w:t xml:space="preserve">. </w:t>
      </w:r>
      <w:r>
        <w:rPr>
          <w:lang w:val="fr-FR"/>
        </w:rPr>
        <w:t>La</w:t>
      </w:r>
      <w:r w:rsidRPr="007B4C11">
        <w:rPr>
          <w:lang w:val="fr-FR"/>
        </w:rPr>
        <w:t xml:space="preserve"> </w:t>
      </w:r>
      <w:r>
        <w:rPr>
          <w:lang w:val="fr-FR"/>
        </w:rPr>
        <w:t>Haute Cour</w:t>
      </w:r>
      <w:r w:rsidRPr="007B4C11">
        <w:rPr>
          <w:lang w:val="fr-FR"/>
        </w:rPr>
        <w:t xml:space="preserve"> </w:t>
      </w:r>
      <w:r>
        <w:rPr>
          <w:lang w:val="fr-FR"/>
        </w:rPr>
        <w:t>a considéré toutefois que cette dernière avait utilisé</w:t>
      </w:r>
      <w:r w:rsidRPr="00C25BB4">
        <w:rPr>
          <w:lang w:val="fr-FR"/>
        </w:rPr>
        <w:t xml:space="preserve"> </w:t>
      </w:r>
      <w:r>
        <w:rPr>
          <w:lang w:val="fr-FR"/>
        </w:rPr>
        <w:t xml:space="preserve">pour parvenir à cette </w:t>
      </w:r>
      <w:r w:rsidRPr="007B4C11">
        <w:rPr>
          <w:lang w:val="fr-FR"/>
        </w:rPr>
        <w:t>conclusion</w:t>
      </w:r>
      <w:r>
        <w:rPr>
          <w:lang w:val="fr-FR"/>
        </w:rPr>
        <w:t xml:space="preserve"> un critère plus strict qui ne correspondait pas aux prescriptions de la loi sur la justice pénale applicables en juin 2004.</w:t>
      </w:r>
    </w:p>
  </w:footnote>
  <w:footnote w:id="5">
    <w:p w:rsidR="00E5138C" w:rsidRPr="00455192" w:rsidRDefault="00E5138C" w:rsidP="00046E2C">
      <w:pPr>
        <w:pStyle w:val="Notedebasdepage"/>
        <w:rPr>
          <w:lang w:val="fr-FR"/>
        </w:rPr>
      </w:pPr>
      <w:r w:rsidRPr="00455192">
        <w:rPr>
          <w:rFonts w:eastAsia="Times New Roman"/>
          <w:sz w:val="20"/>
          <w:lang w:val="fr-FR"/>
        </w:rPr>
        <w:tab/>
      </w:r>
      <w:r w:rsidRPr="00046E2C">
        <w:rPr>
          <w:rStyle w:val="Appelnotedebasdep"/>
        </w:rPr>
        <w:footnoteRef/>
      </w:r>
      <w:r w:rsidRPr="00455192">
        <w:rPr>
          <w:lang w:val="fr-FR"/>
        </w:rPr>
        <w:tab/>
        <w:t>La Haute Cour a considéré que, conformément à la législation applicable en juin 2004 (loi sur la justice pénale, Partie 7), une personne ne pouvait pas être déclarée hors</w:t>
      </w:r>
      <w:r>
        <w:rPr>
          <w:lang w:val="fr-FR"/>
        </w:rPr>
        <w:t xml:space="preserve"> d’état de plaider en raison </w:t>
      </w:r>
      <w:r w:rsidRPr="00455192">
        <w:rPr>
          <w:lang w:val="fr-FR"/>
        </w:rPr>
        <w:t>d’une déficience intellectuelle</w:t>
      </w:r>
      <w:r>
        <w:rPr>
          <w:lang w:val="fr-FR"/>
        </w:rPr>
        <w:t xml:space="preserve">, à moins qu’elle présente  aussi </w:t>
      </w:r>
      <w:r w:rsidRPr="00455192">
        <w:rPr>
          <w:lang w:val="fr-FR"/>
        </w:rPr>
        <w:t>de</w:t>
      </w:r>
      <w:r>
        <w:rPr>
          <w:lang w:val="fr-FR"/>
        </w:rPr>
        <w:t>s</w:t>
      </w:r>
      <w:r w:rsidRPr="00455192">
        <w:rPr>
          <w:lang w:val="fr-FR"/>
        </w:rPr>
        <w:t xml:space="preserve"> troubles mentaux tels que définis dans la loi de 1992 sur la santé mentale (Obligation d’examen et de traitement). L’article 2 de cette loi définit le trouble mental comme suit : </w:t>
      </w:r>
      <w:r w:rsidRPr="00F00117">
        <w:rPr>
          <w:i/>
          <w:iCs/>
          <w:lang w:val="fr-FR"/>
        </w:rPr>
        <w:t xml:space="preserve">[…] </w:t>
      </w:r>
      <w:r w:rsidRPr="00455192">
        <w:rPr>
          <w:i/>
          <w:lang w:val="fr-FR"/>
        </w:rPr>
        <w:t xml:space="preserve">un état d’esprit anormal </w:t>
      </w:r>
      <w:r w:rsidRPr="00F00117">
        <w:rPr>
          <w:i/>
          <w:iCs/>
          <w:lang w:val="fr-FR"/>
        </w:rPr>
        <w:t>[…]</w:t>
      </w:r>
      <w:r w:rsidRPr="00455192">
        <w:rPr>
          <w:i/>
          <w:lang w:val="fr-FR"/>
        </w:rPr>
        <w:t xml:space="preserve"> caractérisé par des délires, ou par des troubles de l’humeur, de la perception, de la volonté ou de la connaissance, d’un degré de nature à poser un grave danger pour la santé ou la sécurité de cette personne ou d’autrui</w:t>
      </w:r>
      <w:r>
        <w:rPr>
          <w:i/>
          <w:lang w:val="fr-FR"/>
        </w:rPr>
        <w:t> </w:t>
      </w:r>
      <w:r w:rsidRPr="00455192">
        <w:rPr>
          <w:i/>
          <w:lang w:val="fr-FR"/>
        </w:rPr>
        <w:t>; ou de nature à diminuer sérieusement la capacité de cette personne à prendre soin d’elle-même.</w:t>
      </w:r>
      <w:r>
        <w:rPr>
          <w:lang w:val="fr-FR"/>
        </w:rPr>
        <w:t xml:space="preserve"> Les </w:t>
      </w:r>
      <w:r w:rsidRPr="00455192">
        <w:rPr>
          <w:lang w:val="fr-FR"/>
        </w:rPr>
        <w:t>défendeurs souffrant d’une déficience intellectuelle ne sont directement pris en compte que depuis le 1</w:t>
      </w:r>
      <w:r w:rsidRPr="00455192">
        <w:rPr>
          <w:vertAlign w:val="superscript"/>
          <w:lang w:val="fr-FR"/>
        </w:rPr>
        <w:t>er</w:t>
      </w:r>
      <w:r w:rsidRPr="00455192">
        <w:rPr>
          <w:lang w:val="fr-FR"/>
        </w:rPr>
        <w:t> septembre 2004, date à laquelle la loi de 2003 sur la déficience intellectuelle (Obligation de soins et de réadaptation) et la loi de 2003 relative à la procédure pénale (Déficients mentaux) sont entrées en vigueur, remplaçant la Partie 7 de la loi sur la justice pénale.</w:t>
      </w:r>
    </w:p>
  </w:footnote>
  <w:footnote w:id="6">
    <w:p w:rsidR="00E5138C" w:rsidRPr="007B4C11" w:rsidRDefault="00E5138C" w:rsidP="00046E2C">
      <w:pPr>
        <w:pStyle w:val="Notedebasdepage"/>
        <w:rPr>
          <w:lang w:val="fr-FR"/>
        </w:rPr>
      </w:pPr>
      <w:r w:rsidRPr="007B4C11">
        <w:rPr>
          <w:lang w:val="fr-FR"/>
        </w:rPr>
        <w:tab/>
      </w:r>
      <w:r w:rsidRPr="00046E2C">
        <w:rPr>
          <w:rStyle w:val="Appelnotedebasdep"/>
        </w:rPr>
        <w:footnoteRef/>
      </w:r>
      <w:r w:rsidRPr="007B4C11">
        <w:rPr>
          <w:lang w:val="fr-FR"/>
        </w:rPr>
        <w:tab/>
      </w:r>
      <w:r>
        <w:rPr>
          <w:lang w:val="fr-FR"/>
        </w:rPr>
        <w:t>Conformément à la Partie </w:t>
      </w:r>
      <w:r w:rsidRPr="007B4C11">
        <w:rPr>
          <w:lang w:val="fr-FR"/>
        </w:rPr>
        <w:t xml:space="preserve">7 </w:t>
      </w:r>
      <w:r>
        <w:rPr>
          <w:lang w:val="fr-FR"/>
        </w:rPr>
        <w:t>de la loi sur la justice pénale</w:t>
      </w:r>
      <w:r w:rsidRPr="007B4C11">
        <w:rPr>
          <w:lang w:val="fr-FR"/>
        </w:rPr>
        <w:t xml:space="preserve">, </w:t>
      </w:r>
      <w:r>
        <w:rPr>
          <w:lang w:val="fr-FR"/>
        </w:rPr>
        <w:t>le tribunal est tenu, lorsqu’il reçoit un rapport au titre de l’article </w:t>
      </w:r>
      <w:r w:rsidRPr="007B4C11">
        <w:rPr>
          <w:lang w:val="fr-FR"/>
        </w:rPr>
        <w:t xml:space="preserve">121, </w:t>
      </w:r>
      <w:r>
        <w:rPr>
          <w:lang w:val="fr-FR"/>
        </w:rPr>
        <w:t>de décider s’il y a des signes de déficience</w:t>
      </w:r>
      <w:r w:rsidRPr="007B4C11">
        <w:rPr>
          <w:lang w:val="fr-FR"/>
        </w:rPr>
        <w:t xml:space="preserve">. </w:t>
      </w:r>
      <w:r>
        <w:rPr>
          <w:lang w:val="fr-FR"/>
        </w:rPr>
        <w:t>Si ce critère est rempli</w:t>
      </w:r>
      <w:r w:rsidRPr="007B4C11">
        <w:rPr>
          <w:lang w:val="fr-FR"/>
        </w:rPr>
        <w:t xml:space="preserve">, </w:t>
      </w:r>
      <w:r>
        <w:rPr>
          <w:lang w:val="fr-FR"/>
        </w:rPr>
        <w:t>le tribunal est tenu</w:t>
      </w:r>
      <w:r w:rsidRPr="007B4C11">
        <w:rPr>
          <w:lang w:val="fr-FR"/>
        </w:rPr>
        <w:t xml:space="preserve"> (</w:t>
      </w:r>
      <w:r>
        <w:rPr>
          <w:lang w:val="fr-FR"/>
        </w:rPr>
        <w:t>en vertu de l’article </w:t>
      </w:r>
      <w:r w:rsidRPr="007B4C11">
        <w:rPr>
          <w:lang w:val="fr-FR"/>
        </w:rPr>
        <w:t xml:space="preserve">111) </w:t>
      </w:r>
      <w:r>
        <w:rPr>
          <w:lang w:val="fr-FR"/>
        </w:rPr>
        <w:t>d’obtenir des preuves de deux médecins puis, s’il est convaincu par ces preuves que le défendeur souffre de troubles mentaux, de déterminer s’il est effectivement déficient</w:t>
      </w:r>
      <w:r w:rsidRPr="007B4C11">
        <w:rPr>
          <w:lang w:val="fr-FR"/>
        </w:rPr>
        <w:t xml:space="preserve">. </w:t>
      </w:r>
      <w:r>
        <w:rPr>
          <w:lang w:val="fr-FR"/>
        </w:rPr>
        <w:t>Lorsque le rapport établi au titre de l’article </w:t>
      </w:r>
      <w:r w:rsidRPr="007B4C11">
        <w:rPr>
          <w:lang w:val="fr-FR"/>
        </w:rPr>
        <w:t xml:space="preserve">121 </w:t>
      </w:r>
      <w:r>
        <w:rPr>
          <w:lang w:val="fr-FR"/>
        </w:rPr>
        <w:t>ne fait pas apparaître de signes de déficience, et à condition que le juge ne considère pas pour sa part qu’il y a un signe de déficience, le tribunal de district</w:t>
      </w:r>
      <w:r w:rsidRPr="007B4C11">
        <w:rPr>
          <w:lang w:val="fr-FR"/>
        </w:rPr>
        <w:t xml:space="preserve"> </w:t>
      </w:r>
      <w:r>
        <w:rPr>
          <w:lang w:val="fr-FR"/>
        </w:rPr>
        <w:t xml:space="preserve">n’a aucune </w:t>
      </w:r>
      <w:r w:rsidRPr="007B4C11">
        <w:rPr>
          <w:lang w:val="fr-FR"/>
        </w:rPr>
        <w:t xml:space="preserve">obligation </w:t>
      </w:r>
      <w:r>
        <w:rPr>
          <w:lang w:val="fr-FR"/>
        </w:rPr>
        <w:t>d’approfondir la question</w:t>
      </w:r>
      <w:r w:rsidRPr="007B4C11">
        <w:rPr>
          <w:lang w:val="fr-FR"/>
        </w:rPr>
        <w:t>.</w:t>
      </w:r>
    </w:p>
  </w:footnote>
  <w:footnote w:id="7">
    <w:p w:rsidR="00E5138C" w:rsidRPr="007B4C11" w:rsidRDefault="00E5138C" w:rsidP="00046E2C">
      <w:pPr>
        <w:pStyle w:val="Notedebasdepage"/>
        <w:rPr>
          <w:lang w:val="fr-FR"/>
        </w:rPr>
      </w:pPr>
      <w:r w:rsidRPr="007B4C11">
        <w:rPr>
          <w:lang w:val="fr-FR"/>
        </w:rPr>
        <w:tab/>
      </w:r>
      <w:r w:rsidRPr="00046E2C">
        <w:rPr>
          <w:rStyle w:val="Appelnotedebasdep"/>
        </w:rPr>
        <w:footnoteRef/>
      </w:r>
      <w:r w:rsidRPr="007B4C11">
        <w:rPr>
          <w:lang w:val="fr-FR"/>
        </w:rPr>
        <w:tab/>
      </w:r>
      <w:r>
        <w:rPr>
          <w:lang w:val="fr-FR"/>
        </w:rPr>
        <w:t>L’auteur se réfère aux articles </w:t>
      </w:r>
      <w:r w:rsidRPr="007B4C11">
        <w:rPr>
          <w:lang w:val="fr-FR"/>
        </w:rPr>
        <w:t xml:space="preserve">2, 5 </w:t>
      </w:r>
      <w:r>
        <w:rPr>
          <w:lang w:val="fr-FR"/>
        </w:rPr>
        <w:t xml:space="preserve">et </w:t>
      </w:r>
      <w:r w:rsidRPr="007B4C11">
        <w:rPr>
          <w:lang w:val="fr-FR"/>
        </w:rPr>
        <w:t xml:space="preserve">13 </w:t>
      </w:r>
      <w:r>
        <w:rPr>
          <w:lang w:val="fr-FR"/>
        </w:rPr>
        <w:t xml:space="preserve">de la </w:t>
      </w:r>
      <w:r w:rsidRPr="007B4C11">
        <w:rPr>
          <w:lang w:val="fr-FR"/>
        </w:rPr>
        <w:t xml:space="preserve">Convention </w:t>
      </w:r>
      <w:r>
        <w:rPr>
          <w:lang w:val="fr-FR"/>
        </w:rPr>
        <w:t>relative aux droits des personnes handicapées prévoyant un « aménagement raisonnable »</w:t>
      </w:r>
      <w:r w:rsidRPr="007B4C11">
        <w:rPr>
          <w:lang w:val="fr-FR"/>
        </w:rPr>
        <w:t>.</w:t>
      </w:r>
    </w:p>
  </w:footnote>
  <w:footnote w:id="8">
    <w:p w:rsidR="00E5138C" w:rsidRPr="007B4C11" w:rsidRDefault="00E5138C" w:rsidP="00046E2C">
      <w:pPr>
        <w:pStyle w:val="Notedebasdepage"/>
        <w:rPr>
          <w:lang w:val="fr-FR"/>
        </w:rPr>
      </w:pPr>
      <w:r w:rsidRPr="007B4C11">
        <w:rPr>
          <w:lang w:val="fr-FR"/>
        </w:rPr>
        <w:tab/>
      </w:r>
      <w:r w:rsidRPr="00046E2C">
        <w:rPr>
          <w:rStyle w:val="Appelnotedebasdep"/>
        </w:rPr>
        <w:footnoteRef/>
      </w:r>
      <w:r>
        <w:rPr>
          <w:lang w:val="fr-FR"/>
        </w:rPr>
        <w:tab/>
      </w:r>
      <w:r w:rsidRPr="007B4C11">
        <w:rPr>
          <w:lang w:val="fr-FR"/>
        </w:rPr>
        <w:t xml:space="preserve">Voir </w:t>
      </w:r>
      <w:r w:rsidRPr="00163D4E">
        <w:rPr>
          <w:i/>
          <w:lang w:val="fr-FR"/>
        </w:rPr>
        <w:t>Gobin</w:t>
      </w:r>
      <w:r>
        <w:rPr>
          <w:i/>
          <w:lang w:val="fr-FR"/>
        </w:rPr>
        <w:t xml:space="preserve"> </w:t>
      </w:r>
      <w:r w:rsidRPr="0051377D">
        <w:rPr>
          <w:lang w:val="fr-FR"/>
        </w:rPr>
        <w:t>c. </w:t>
      </w:r>
      <w:r w:rsidRPr="007B4C11">
        <w:rPr>
          <w:i/>
          <w:lang w:val="fr-FR"/>
        </w:rPr>
        <w:t>Mauri</w:t>
      </w:r>
      <w:r>
        <w:rPr>
          <w:i/>
          <w:lang w:val="fr-FR"/>
        </w:rPr>
        <w:t>ce</w:t>
      </w:r>
      <w:r w:rsidRPr="007B4C11">
        <w:rPr>
          <w:lang w:val="fr-FR"/>
        </w:rPr>
        <w:t xml:space="preserve"> (CCPR/C/72/D/787/1997), par.</w:t>
      </w:r>
      <w:r>
        <w:rPr>
          <w:lang w:val="fr-FR"/>
        </w:rPr>
        <w:t> </w:t>
      </w:r>
      <w:r w:rsidRPr="007B4C11">
        <w:rPr>
          <w:lang w:val="fr-FR"/>
        </w:rPr>
        <w:t>6.3.</w:t>
      </w:r>
    </w:p>
  </w:footnote>
  <w:footnote w:id="9">
    <w:p w:rsidR="00E5138C" w:rsidRPr="000C5B96" w:rsidRDefault="00E5138C" w:rsidP="00046E2C">
      <w:pPr>
        <w:pStyle w:val="Notedebasdepage"/>
        <w:rPr>
          <w:lang w:val="fr-CA"/>
        </w:rPr>
      </w:pPr>
      <w:r w:rsidRPr="009733FF">
        <w:rPr>
          <w:lang w:val="fr-CA"/>
        </w:rPr>
        <w:tab/>
      </w:r>
      <w:r w:rsidRPr="00046E2C">
        <w:rPr>
          <w:rStyle w:val="Appelnotedebasdep"/>
        </w:rPr>
        <w:footnoteRef/>
      </w:r>
      <w:r w:rsidRPr="00DD5B0B">
        <w:rPr>
          <w:lang w:val="fr-CA"/>
        </w:rPr>
        <w:tab/>
      </w:r>
      <w:r w:rsidRPr="000C5B96">
        <w:rPr>
          <w:lang w:val="fr-CA"/>
        </w:rPr>
        <w:t xml:space="preserve">L’article s’applique aux communications reçues par le Comité à </w:t>
      </w:r>
      <w:r>
        <w:rPr>
          <w:lang w:val="fr-CA"/>
        </w:rPr>
        <w:t>compter du 1</w:t>
      </w:r>
      <w:r w:rsidRPr="000C5B96">
        <w:rPr>
          <w:vertAlign w:val="superscript"/>
          <w:lang w:val="fr-CA"/>
        </w:rPr>
        <w:t>er</w:t>
      </w:r>
      <w:r>
        <w:rPr>
          <w:vertAlign w:val="superscript"/>
          <w:lang w:val="fr-CA"/>
        </w:rPr>
        <w:t> </w:t>
      </w:r>
      <w:r>
        <w:rPr>
          <w:lang w:val="fr-CA"/>
        </w:rPr>
        <w:t>janvier 2012.</w:t>
      </w:r>
    </w:p>
  </w:footnote>
  <w:footnote w:id="10">
    <w:p w:rsidR="00E5138C" w:rsidRPr="007B4C11" w:rsidRDefault="00E5138C" w:rsidP="00046E2C">
      <w:pPr>
        <w:pStyle w:val="Notedebasdepage"/>
        <w:rPr>
          <w:lang w:val="fr-FR"/>
        </w:rPr>
      </w:pPr>
      <w:r w:rsidRPr="000C5B96">
        <w:rPr>
          <w:lang w:val="fr-CA"/>
        </w:rPr>
        <w:tab/>
      </w:r>
      <w:r w:rsidRPr="00046E2C">
        <w:rPr>
          <w:rStyle w:val="Appelnotedebasdep"/>
        </w:rPr>
        <w:footnoteRef/>
      </w:r>
      <w:r w:rsidRPr="007B4C11">
        <w:rPr>
          <w:lang w:val="fr-FR"/>
        </w:rPr>
        <w:tab/>
        <w:t xml:space="preserve">Voir </w:t>
      </w:r>
      <w:r w:rsidRPr="007B4C11">
        <w:rPr>
          <w:i/>
          <w:lang w:val="fr-FR"/>
        </w:rPr>
        <w:t xml:space="preserve">Celal </w:t>
      </w:r>
      <w:r w:rsidRPr="0051377D">
        <w:rPr>
          <w:lang w:val="fr-FR"/>
        </w:rPr>
        <w:t>c.</w:t>
      </w:r>
      <w:r>
        <w:rPr>
          <w:i/>
          <w:lang w:val="fr-FR"/>
        </w:rPr>
        <w:t> </w:t>
      </w:r>
      <w:r w:rsidRPr="007B4C11">
        <w:rPr>
          <w:i/>
          <w:lang w:val="fr-FR"/>
        </w:rPr>
        <w:t>Gr</w:t>
      </w:r>
      <w:r>
        <w:rPr>
          <w:i/>
          <w:lang w:val="fr-FR"/>
        </w:rPr>
        <w:t>èce</w:t>
      </w:r>
      <w:r w:rsidRPr="007B4C11">
        <w:rPr>
          <w:lang w:val="fr-FR"/>
        </w:rPr>
        <w:t xml:space="preserve"> (CCPR/C/82/D/1235/2003), par</w:t>
      </w:r>
      <w:r>
        <w:rPr>
          <w:lang w:val="fr-FR"/>
        </w:rPr>
        <w:t>. </w:t>
      </w:r>
      <w:r w:rsidRPr="007B4C11">
        <w:rPr>
          <w:lang w:val="fr-FR"/>
        </w:rP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8C" w:rsidRPr="00046E2C" w:rsidRDefault="00E5138C">
    <w:pPr>
      <w:pStyle w:val="En-tte"/>
    </w:pPr>
    <w:fldSimple w:instr=" TITLE  \* MERGEFORMAT ">
      <w:r>
        <w:t>CCPR/C/125/D/2684/2015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8C" w:rsidRPr="00046E2C" w:rsidRDefault="00E5138C" w:rsidP="00046E2C">
    <w:pPr>
      <w:pStyle w:val="En-tte"/>
      <w:jc w:val="right"/>
    </w:pPr>
    <w:fldSimple w:instr=" TITLE  \* MERGEFORMAT ">
      <w:r>
        <w:t>CCPR/C/125/D/2684/2015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3"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61BC22F4"/>
    <w:multiLevelType w:val="multilevel"/>
    <w:tmpl w:val="590ED94A"/>
    <w:lvl w:ilvl="0">
      <w:start w:val="1"/>
      <w:numFmt w:val="decimal"/>
      <w:lvlText w:val="%1"/>
      <w:lvlJc w:val="left"/>
      <w:pPr>
        <w:ind w:left="525" w:hanging="525"/>
      </w:pPr>
      <w:rPr>
        <w:rFonts w:hint="default"/>
      </w:rPr>
    </w:lvl>
    <w:lvl w:ilvl="1">
      <w:start w:val="1"/>
      <w:numFmt w:val="decimal"/>
      <w:lvlText w:val="%1.%2"/>
      <w:lvlJc w:val="left"/>
      <w:pPr>
        <w:ind w:left="1695" w:hanging="52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9"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0"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4"/>
  </w:num>
  <w:num w:numId="16">
    <w:abstractNumId w:val="11"/>
  </w:num>
  <w:num w:numId="17">
    <w:abstractNumId w:val="22"/>
  </w:num>
  <w:num w:numId="18">
    <w:abstractNumId w:val="14"/>
  </w:num>
  <w:num w:numId="19">
    <w:abstractNumId w:val="11"/>
  </w:num>
  <w:num w:numId="20">
    <w:abstractNumId w:val="10"/>
  </w:num>
  <w:num w:numId="21">
    <w:abstractNumId w:val="21"/>
  </w:num>
  <w:num w:numId="22">
    <w:abstractNumId w:val="19"/>
  </w:num>
  <w:num w:numId="23">
    <w:abstractNumId w:val="12"/>
  </w:num>
  <w:num w:numId="24">
    <w:abstractNumId w:val="20"/>
  </w:num>
  <w:num w:numId="25">
    <w:abstractNumId w:val="23"/>
  </w:num>
  <w:num w:numId="26">
    <w:abstractNumId w:val="13"/>
  </w:num>
  <w:num w:numId="27">
    <w:abstractNumId w:val="17"/>
  </w:num>
  <w:num w:numId="28">
    <w:abstractNumId w:val="16"/>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591"/>
    <w:rsid w:val="00017F94"/>
    <w:rsid w:val="00023842"/>
    <w:rsid w:val="000334F9"/>
    <w:rsid w:val="00046E2C"/>
    <w:rsid w:val="0007796D"/>
    <w:rsid w:val="000A0F64"/>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42CE4"/>
    <w:rsid w:val="009705C8"/>
    <w:rsid w:val="00987303"/>
    <w:rsid w:val="009B1E6C"/>
    <w:rsid w:val="009E0591"/>
    <w:rsid w:val="009E2C6A"/>
    <w:rsid w:val="00A32C52"/>
    <w:rsid w:val="00A9151D"/>
    <w:rsid w:val="00AA6A35"/>
    <w:rsid w:val="00AC3823"/>
    <w:rsid w:val="00AE323C"/>
    <w:rsid w:val="00B00181"/>
    <w:rsid w:val="00B765F7"/>
    <w:rsid w:val="00BA0CA9"/>
    <w:rsid w:val="00BA5410"/>
    <w:rsid w:val="00BB77D2"/>
    <w:rsid w:val="00BC0F81"/>
    <w:rsid w:val="00C01ACF"/>
    <w:rsid w:val="00C02897"/>
    <w:rsid w:val="00CA7BC4"/>
    <w:rsid w:val="00D05667"/>
    <w:rsid w:val="00D3439C"/>
    <w:rsid w:val="00D73FEA"/>
    <w:rsid w:val="00D744E5"/>
    <w:rsid w:val="00D83177"/>
    <w:rsid w:val="00DA7BDF"/>
    <w:rsid w:val="00DB1831"/>
    <w:rsid w:val="00DD3BFD"/>
    <w:rsid w:val="00DF6678"/>
    <w:rsid w:val="00E5138C"/>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B6A6F"/>
  <w15:docId w15:val="{A5A2D3F6-BCFA-461B-943F-781231F2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b8d990e2">
    <w:name w:val="sb8d990e2"/>
    <w:rsid w:val="00046E2C"/>
  </w:style>
  <w:style w:type="paragraph" w:styleId="Commentaire">
    <w:name w:val="annotation text"/>
    <w:basedOn w:val="Normal"/>
    <w:link w:val="CommentaireCar"/>
    <w:uiPriority w:val="99"/>
    <w:semiHidden/>
    <w:unhideWhenUsed/>
    <w:rsid w:val="00046E2C"/>
    <w:pPr>
      <w:spacing w:line="240" w:lineRule="auto"/>
    </w:pPr>
  </w:style>
  <w:style w:type="character" w:customStyle="1" w:styleId="CommentaireCar">
    <w:name w:val="Commentaire Car"/>
    <w:basedOn w:val="Policepardfaut"/>
    <w:link w:val="Commentaire"/>
    <w:uiPriority w:val="99"/>
    <w:semiHidden/>
    <w:rsid w:val="00046E2C"/>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rsid w:val="00046E2C"/>
    <w:pPr>
      <w:kinsoku/>
      <w:overflowPunct/>
      <w:autoSpaceDE/>
      <w:autoSpaceDN/>
      <w:adjustRightInd/>
      <w:snapToGrid/>
    </w:pPr>
    <w:rPr>
      <w:rFonts w:eastAsia="Times New Roman"/>
      <w:b/>
      <w:bCs/>
      <w:lang w:val="en-GB"/>
    </w:rPr>
  </w:style>
  <w:style w:type="character" w:customStyle="1" w:styleId="ObjetducommentaireCar">
    <w:name w:val="Objet du commentaire Car"/>
    <w:basedOn w:val="CommentaireCar"/>
    <w:link w:val="Objetducommentaire"/>
    <w:uiPriority w:val="99"/>
    <w:rsid w:val="00046E2C"/>
    <w:rPr>
      <w:rFonts w:ascii="Times New Roman" w:eastAsiaTheme="minorHAnsi" w:hAnsi="Times New Roman" w:cs="Times New Roman"/>
      <w:b/>
      <w:bCs/>
      <w:sz w:val="20"/>
      <w:szCs w:val="20"/>
      <w:lang w:val="en-GB" w:eastAsia="en-US"/>
    </w:rPr>
  </w:style>
  <w:style w:type="paragraph" w:styleId="Rvision">
    <w:name w:val="Revision"/>
    <w:hidden/>
    <w:uiPriority w:val="99"/>
    <w:semiHidden/>
    <w:rsid w:val="00046E2C"/>
    <w:pPr>
      <w:spacing w:after="0" w:line="240" w:lineRule="auto"/>
    </w:pPr>
    <w:rPr>
      <w:rFonts w:ascii="Times New Roman" w:hAnsi="Times New Roman" w:cs="Times New Roman"/>
      <w:sz w:val="20"/>
      <w:szCs w:val="20"/>
      <w:lang w:val="en-GB" w:eastAsia="en-US"/>
    </w:rPr>
  </w:style>
  <w:style w:type="character" w:customStyle="1" w:styleId="s32a37344">
    <w:name w:val="s32a37344"/>
    <w:rsid w:val="00046E2C"/>
  </w:style>
  <w:style w:type="character" w:customStyle="1" w:styleId="s0">
    <w:name w:val="s0"/>
    <w:basedOn w:val="Policepardfaut"/>
    <w:rsid w:val="00046E2C"/>
    <w:rPr>
      <w:rFonts w:ascii="Times New Roman" w:hAnsi="Times New Roman" w:cs="Times New Roman" w:hint="default"/>
      <w:b w:val="0"/>
      <w:bCs w:val="0"/>
      <w:i w:val="0"/>
      <w:iCs w:val="0"/>
      <w:strike w:val="0"/>
      <w:dstrike w:val="0"/>
      <w:color w:val="000000"/>
      <w:sz w:val="20"/>
      <w:szCs w:val="20"/>
      <w:u w:val="none"/>
      <w:effect w:val="none"/>
    </w:rPr>
  </w:style>
  <w:style w:type="paragraph" w:styleId="Paragraphedeliste">
    <w:name w:val="List Paragraph"/>
    <w:basedOn w:val="Normal"/>
    <w:uiPriority w:val="34"/>
    <w:qFormat/>
    <w:rsid w:val="00046E2C"/>
    <w:pPr>
      <w:suppressAutoHyphens w:val="0"/>
      <w:kinsoku/>
      <w:overflowPunct/>
      <w:autoSpaceDE/>
      <w:autoSpaceDN/>
      <w:adjustRightInd/>
      <w:snapToGrid/>
      <w:spacing w:after="200" w:line="276" w:lineRule="auto"/>
      <w:ind w:left="720"/>
      <w:contextualSpacing/>
    </w:pPr>
    <w:rPr>
      <w:rFonts w:asciiTheme="minorHAnsi" w:hAnsiTheme="minorHAnsi" w:cstheme="minorBidi"/>
      <w:sz w:val="22"/>
      <w:szCs w:val="22"/>
      <w:lang w:val="en-GB"/>
    </w:rPr>
  </w:style>
  <w:style w:type="character" w:customStyle="1" w:styleId="shorttext">
    <w:name w:val="short_text"/>
    <w:basedOn w:val="Policepardfaut"/>
    <w:rsid w:val="00046E2C"/>
  </w:style>
  <w:style w:type="character" w:styleId="Marquedecommentaire">
    <w:name w:val="annotation reference"/>
    <w:basedOn w:val="Policepardfaut"/>
    <w:uiPriority w:val="99"/>
    <w:semiHidden/>
    <w:unhideWhenUsed/>
    <w:rsid w:val="00046E2C"/>
    <w:rPr>
      <w:sz w:val="16"/>
      <w:szCs w:val="16"/>
    </w:rPr>
  </w:style>
  <w:style w:type="character" w:customStyle="1" w:styleId="SingleTxtGChar">
    <w:name w:val="_ Single Txt_G Char"/>
    <w:link w:val="SingleTxtG"/>
    <w:rsid w:val="00046E2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3907</Words>
  <Characters>19812</Characters>
  <Application>Microsoft Office Word</Application>
  <DocSecurity>0</DocSecurity>
  <Lines>319</Lines>
  <Paragraphs>92</Paragraphs>
  <ScaleCrop>false</ScaleCrop>
  <HeadingPairs>
    <vt:vector size="2" baseType="variant">
      <vt:variant>
        <vt:lpstr>Titre</vt:lpstr>
      </vt:variant>
      <vt:variant>
        <vt:i4>1</vt:i4>
      </vt:variant>
    </vt:vector>
  </HeadingPairs>
  <TitlesOfParts>
    <vt:vector size="1" baseType="lpstr">
      <vt:lpstr>CCPR/C/125/D/2684/2015</vt:lpstr>
    </vt:vector>
  </TitlesOfParts>
  <Company>DCM</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CCPR/C/125/D/2684/2015</dc:title>
  <dc:subject/>
  <dc:creator>Edith BOURION</dc:creator>
  <cp:keywords/>
  <cp:lastModifiedBy>Edith Bourion</cp:lastModifiedBy>
  <cp:revision>2</cp:revision>
  <cp:lastPrinted>2020-04-22T14:21:00Z</cp:lastPrinted>
  <dcterms:created xsi:type="dcterms:W3CDTF">2020-04-22T15:10:00Z</dcterms:created>
  <dcterms:modified xsi:type="dcterms:W3CDTF">2020-04-22T15:10:00Z</dcterms:modified>
</cp:coreProperties>
</file>