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46A8E7C" w14:textId="77777777" w:rsidTr="00DC046E">
        <w:trPr>
          <w:cantSplit/>
          <w:trHeight w:hRule="exact" w:val="851"/>
        </w:trPr>
        <w:tc>
          <w:tcPr>
            <w:tcW w:w="1276" w:type="dxa"/>
            <w:tcBorders>
              <w:bottom w:val="single" w:sz="4" w:space="0" w:color="auto"/>
            </w:tcBorders>
            <w:vAlign w:val="bottom"/>
          </w:tcPr>
          <w:p w14:paraId="646A8E79" w14:textId="77777777" w:rsidR="00B56E9C" w:rsidRDefault="00B56E9C" w:rsidP="00DC046E">
            <w:pPr>
              <w:spacing w:after="80"/>
            </w:pPr>
            <w:bookmarkStart w:id="0" w:name="_GoBack"/>
            <w:bookmarkEnd w:id="0"/>
          </w:p>
        </w:tc>
        <w:tc>
          <w:tcPr>
            <w:tcW w:w="2268" w:type="dxa"/>
            <w:tcBorders>
              <w:bottom w:val="single" w:sz="4" w:space="0" w:color="auto"/>
            </w:tcBorders>
            <w:vAlign w:val="bottom"/>
          </w:tcPr>
          <w:p w14:paraId="646A8E7A"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46A8E7B" w14:textId="77325905" w:rsidR="00B56E9C" w:rsidRPr="00D47EEA" w:rsidRDefault="008F4012" w:rsidP="00C4426B">
            <w:pPr>
              <w:jc w:val="right"/>
            </w:pPr>
            <w:r w:rsidRPr="008F4012">
              <w:rPr>
                <w:sz w:val="40"/>
              </w:rPr>
              <w:t>CCPR</w:t>
            </w:r>
            <w:r>
              <w:t>/C/12</w:t>
            </w:r>
            <w:r w:rsidR="007635C6">
              <w:t>4</w:t>
            </w:r>
            <w:r>
              <w:t>/D/2413/2014</w:t>
            </w:r>
          </w:p>
        </w:tc>
      </w:tr>
      <w:tr w:rsidR="00B56E9C" w14:paraId="646A8E84" w14:textId="77777777" w:rsidTr="00DC046E">
        <w:trPr>
          <w:cantSplit/>
          <w:trHeight w:hRule="exact" w:val="2835"/>
        </w:trPr>
        <w:tc>
          <w:tcPr>
            <w:tcW w:w="1276" w:type="dxa"/>
            <w:tcBorders>
              <w:top w:val="single" w:sz="4" w:space="0" w:color="auto"/>
              <w:bottom w:val="single" w:sz="12" w:space="0" w:color="auto"/>
            </w:tcBorders>
          </w:tcPr>
          <w:p w14:paraId="646A8E7D" w14:textId="77777777" w:rsidR="00B56E9C" w:rsidRDefault="004076CD" w:rsidP="00DC046E">
            <w:pPr>
              <w:spacing w:before="120"/>
            </w:pPr>
            <w:r>
              <w:rPr>
                <w:noProof/>
                <w:lang w:eastAsia="zh-CN"/>
              </w:rPr>
              <w:drawing>
                <wp:inline distT="0" distB="0" distL="0" distR="0" wp14:anchorId="646A8EDA" wp14:editId="646A8E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6A8E7E" w14:textId="77777777" w:rsidR="00B56E9C" w:rsidRPr="00267F5F" w:rsidRDefault="00B56E9C" w:rsidP="00DC046E">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646A8E7F" w14:textId="747F598E" w:rsidR="00B56E9C" w:rsidRDefault="008F4012" w:rsidP="008F4012">
            <w:pPr>
              <w:spacing w:before="240" w:line="240" w:lineRule="exact"/>
            </w:pPr>
            <w:r>
              <w:t xml:space="preserve">Distr.: </w:t>
            </w:r>
            <w:r w:rsidR="00C4426B">
              <w:t>General</w:t>
            </w:r>
          </w:p>
          <w:p w14:paraId="646A8E80" w14:textId="489992D6" w:rsidR="008F4012" w:rsidRDefault="00730565" w:rsidP="00D150C0">
            <w:pPr>
              <w:spacing w:line="240" w:lineRule="exact"/>
            </w:pPr>
            <w:r>
              <w:t>2</w:t>
            </w:r>
            <w:r w:rsidR="00D45971">
              <w:t>9</w:t>
            </w:r>
            <w:r w:rsidR="0061656D">
              <w:t xml:space="preserve"> November </w:t>
            </w:r>
            <w:r w:rsidR="00216F99">
              <w:t>2018</w:t>
            </w:r>
          </w:p>
          <w:p w14:paraId="646A8E81" w14:textId="77777777" w:rsidR="008F4012" w:rsidRDefault="008F4012" w:rsidP="008F4012">
            <w:pPr>
              <w:spacing w:line="240" w:lineRule="exact"/>
            </w:pPr>
          </w:p>
          <w:p w14:paraId="646A8E82" w14:textId="77777777" w:rsidR="008F4012" w:rsidRDefault="008F4012" w:rsidP="008F4012">
            <w:pPr>
              <w:spacing w:line="240" w:lineRule="exact"/>
            </w:pPr>
            <w:r>
              <w:t>Original: English</w:t>
            </w:r>
          </w:p>
          <w:p w14:paraId="646A8E83" w14:textId="46A2F5BB" w:rsidR="003A1CCB" w:rsidRDefault="003A1CCB" w:rsidP="008F4012">
            <w:pPr>
              <w:spacing w:line="240" w:lineRule="exact"/>
            </w:pPr>
          </w:p>
        </w:tc>
      </w:tr>
    </w:tbl>
    <w:p w14:paraId="646A8E85" w14:textId="77777777" w:rsidR="008F4012" w:rsidRPr="005756B9" w:rsidRDefault="008F4012" w:rsidP="008F4012">
      <w:pPr>
        <w:spacing w:before="120"/>
        <w:rPr>
          <w:rFonts w:eastAsia="MS Mincho"/>
          <w:b/>
          <w:sz w:val="24"/>
          <w:szCs w:val="24"/>
        </w:rPr>
      </w:pPr>
      <w:r w:rsidRPr="005756B9">
        <w:rPr>
          <w:rFonts w:eastAsia="MS Mincho"/>
          <w:b/>
          <w:sz w:val="24"/>
          <w:szCs w:val="24"/>
        </w:rPr>
        <w:t>Human Rights Committee</w:t>
      </w:r>
    </w:p>
    <w:p w14:paraId="646A8E8B" w14:textId="77E597FF" w:rsidR="00A838C2" w:rsidRPr="004B60CB" w:rsidRDefault="00A838C2">
      <w:pPr>
        <w:pStyle w:val="HChG"/>
        <w:rPr>
          <w:rFonts w:eastAsia="MS Mincho"/>
          <w:b w:val="0"/>
        </w:rPr>
      </w:pPr>
      <w:r>
        <w:rPr>
          <w:rFonts w:eastAsia="MS Mincho"/>
        </w:rPr>
        <w:tab/>
      </w:r>
      <w:r>
        <w:rPr>
          <w:rFonts w:eastAsia="MS Mincho"/>
        </w:rPr>
        <w:tab/>
      </w:r>
      <w:r w:rsidR="00C4426B" w:rsidRPr="00C4426B">
        <w:rPr>
          <w:rFonts w:eastAsia="MS Mincho"/>
        </w:rPr>
        <w:t xml:space="preserve">Views adopted by the Committee under article 5 (4) of the Optional Protocol, concerning communication </w:t>
      </w:r>
      <w:r w:rsidR="005126E2">
        <w:rPr>
          <w:rFonts w:eastAsia="MS Mincho"/>
        </w:rPr>
        <w:br/>
      </w:r>
      <w:r w:rsidR="00C4426B" w:rsidRPr="00C4426B">
        <w:rPr>
          <w:rFonts w:eastAsia="MS Mincho"/>
        </w:rPr>
        <w:t xml:space="preserve">No. </w:t>
      </w:r>
      <w:r w:rsidR="00C4426B">
        <w:rPr>
          <w:rFonts w:eastAsia="MS Mincho"/>
        </w:rPr>
        <w:t>2413/2014</w:t>
      </w:r>
      <w:r w:rsidR="0061656D" w:rsidRPr="00623B29">
        <w:rPr>
          <w:rStyle w:val="FootnoteReference"/>
          <w:rFonts w:eastAsia="MS Mincho"/>
          <w:b w:val="0"/>
          <w:sz w:val="20"/>
          <w:vertAlign w:val="baseline"/>
        </w:rPr>
        <w:footnoteReference w:customMarkFollows="1" w:id="2"/>
        <w:t>*</w:t>
      </w:r>
      <w:r w:rsidR="0061656D" w:rsidRPr="00623B29">
        <w:rPr>
          <w:rFonts w:eastAsia="MS Mincho"/>
          <w:b w:val="0"/>
          <w:position w:val="6"/>
          <w:sz w:val="18"/>
          <w:szCs w:val="18"/>
        </w:rPr>
        <w:t>,</w:t>
      </w:r>
      <w:r w:rsidR="00D150C0">
        <w:rPr>
          <w:rFonts w:eastAsia="MS Mincho"/>
          <w:b w:val="0"/>
          <w:sz w:val="20"/>
        </w:rPr>
        <w:t xml:space="preserve"> </w:t>
      </w:r>
      <w:r w:rsidR="0061656D" w:rsidRPr="00623B29">
        <w:rPr>
          <w:rStyle w:val="FootnoteReference"/>
          <w:rFonts w:eastAsia="MS Mincho"/>
          <w:b w:val="0"/>
          <w:sz w:val="20"/>
          <w:vertAlign w:val="baseline"/>
        </w:rPr>
        <w:footnoteReference w:customMarkFollows="1" w:id="3"/>
        <w:t>**</w:t>
      </w:r>
    </w:p>
    <w:p w14:paraId="646A8E8D" w14:textId="2FD8C490" w:rsidR="008F4012" w:rsidRPr="005756B9" w:rsidRDefault="008F4012" w:rsidP="005D4E84">
      <w:pPr>
        <w:spacing w:after="120"/>
        <w:ind w:left="4536" w:right="1134" w:hanging="3402"/>
        <w:rPr>
          <w:rFonts w:eastAsia="MS Mincho"/>
          <w:i/>
          <w:lang w:val="x-none"/>
        </w:rPr>
      </w:pPr>
      <w:r w:rsidRPr="005756B9">
        <w:rPr>
          <w:rFonts w:eastAsia="MS Mincho"/>
          <w:i/>
          <w:lang w:val="en-US"/>
        </w:rPr>
        <w:t xml:space="preserve">Communication </w:t>
      </w:r>
      <w:r w:rsidR="005D4E84" w:rsidRPr="005756B9">
        <w:rPr>
          <w:rFonts w:eastAsia="MS Mincho"/>
          <w:i/>
          <w:lang w:val="x-none"/>
        </w:rPr>
        <w:t>submitted</w:t>
      </w:r>
      <w:r w:rsidRPr="005756B9">
        <w:rPr>
          <w:rFonts w:eastAsia="MS Mincho"/>
          <w:i/>
          <w:lang w:val="x-none"/>
        </w:rPr>
        <w:t xml:space="preserve"> by</w:t>
      </w:r>
      <w:r w:rsidRPr="004B60CB">
        <w:rPr>
          <w:rFonts w:eastAsia="MS Mincho"/>
          <w:lang w:val="x-none"/>
        </w:rPr>
        <w:t>:</w:t>
      </w:r>
      <w:r w:rsidRPr="005756B9">
        <w:rPr>
          <w:rFonts w:eastAsia="MS Mincho"/>
          <w:i/>
          <w:lang w:val="x-none"/>
        </w:rPr>
        <w:tab/>
      </w:r>
      <w:proofErr w:type="spellStart"/>
      <w:r w:rsidR="00216F99" w:rsidRPr="00216F99">
        <w:rPr>
          <w:rFonts w:eastAsia="MS Mincho"/>
          <w:lang w:val="en-US"/>
        </w:rPr>
        <w:t>Prashanta</w:t>
      </w:r>
      <w:proofErr w:type="spellEnd"/>
      <w:r w:rsidR="00216F99" w:rsidRPr="00216F99">
        <w:rPr>
          <w:rFonts w:eastAsia="MS Mincho"/>
          <w:i/>
          <w:lang w:val="en-US"/>
        </w:rPr>
        <w:t xml:space="preserve"> </w:t>
      </w:r>
      <w:r w:rsidR="00216F99" w:rsidRPr="00216F99">
        <w:rPr>
          <w:rFonts w:eastAsia="MS Mincho"/>
          <w:lang w:val="en-US"/>
        </w:rPr>
        <w:t>Kumar</w:t>
      </w:r>
      <w:r w:rsidR="00216F99" w:rsidRPr="00216F99">
        <w:rPr>
          <w:rFonts w:eastAsia="MS Mincho"/>
          <w:i/>
          <w:lang w:val="en-US"/>
        </w:rPr>
        <w:t xml:space="preserve"> </w:t>
      </w:r>
      <w:r>
        <w:rPr>
          <w:rFonts w:eastAsia="MS Mincho"/>
          <w:lang w:val="en-US"/>
        </w:rPr>
        <w:t xml:space="preserve">Pandey </w:t>
      </w:r>
      <w:r>
        <w:rPr>
          <w:rFonts w:eastAsia="MS Mincho"/>
          <w:lang w:val="x-none"/>
        </w:rPr>
        <w:t xml:space="preserve">(represented by </w:t>
      </w:r>
      <w:r w:rsidR="001035F6">
        <w:rPr>
          <w:rFonts w:eastAsia="MS Mincho"/>
        </w:rPr>
        <w:t>counsel</w:t>
      </w:r>
      <w:r w:rsidR="00C8138B">
        <w:rPr>
          <w:rFonts w:eastAsia="MS Mincho"/>
        </w:rPr>
        <w:t>,</w:t>
      </w:r>
      <w:r w:rsidR="001035F6">
        <w:rPr>
          <w:rFonts w:eastAsia="MS Mincho"/>
        </w:rPr>
        <w:t xml:space="preserve"> </w:t>
      </w:r>
      <w:r>
        <w:rPr>
          <w:rFonts w:eastAsia="MS Mincho"/>
          <w:lang w:val="x-none"/>
        </w:rPr>
        <w:t>Philip Grant</w:t>
      </w:r>
      <w:r w:rsidR="00C8138B">
        <w:rPr>
          <w:rFonts w:eastAsia="MS Mincho"/>
          <w:lang w:val="en-US"/>
        </w:rPr>
        <w:t>,</w:t>
      </w:r>
      <w:r w:rsidR="001035F6" w:rsidRPr="001035F6">
        <w:rPr>
          <w:rFonts w:eastAsia="MS Mincho"/>
        </w:rPr>
        <w:t xml:space="preserve"> of </w:t>
      </w:r>
      <w:r w:rsidR="008B251F">
        <w:rPr>
          <w:rFonts w:eastAsia="MS Mincho"/>
        </w:rPr>
        <w:t xml:space="preserve">TRIAL: </w:t>
      </w:r>
      <w:r w:rsidR="001035F6" w:rsidRPr="001035F6">
        <w:rPr>
          <w:rFonts w:eastAsia="MS Mincho"/>
        </w:rPr>
        <w:t>Track Impunity Always</w:t>
      </w:r>
    </w:p>
    <w:p w14:paraId="646A8E8E" w14:textId="60FE500E" w:rsidR="008F4012" w:rsidRPr="005756B9" w:rsidRDefault="008F4012" w:rsidP="008F4012">
      <w:pPr>
        <w:spacing w:after="120"/>
        <w:ind w:left="4536" w:right="1134" w:hanging="3402"/>
        <w:rPr>
          <w:rFonts w:eastAsia="MS Mincho"/>
          <w:i/>
          <w:lang w:val="en-US"/>
        </w:rPr>
      </w:pPr>
      <w:r w:rsidRPr="005756B9">
        <w:rPr>
          <w:rFonts w:eastAsia="MS Mincho"/>
          <w:i/>
          <w:lang w:val="x-none"/>
        </w:rPr>
        <w:t>Alleged victim</w:t>
      </w:r>
      <w:r w:rsidRPr="004B60CB">
        <w:rPr>
          <w:rFonts w:eastAsia="MS Mincho"/>
          <w:lang w:val="x-none"/>
        </w:rPr>
        <w:t>:</w:t>
      </w:r>
      <w:r w:rsidRPr="005756B9">
        <w:rPr>
          <w:rFonts w:eastAsia="MS Mincho"/>
          <w:i/>
          <w:lang w:val="x-none"/>
        </w:rPr>
        <w:tab/>
      </w:r>
      <w:r w:rsidRPr="004B6031">
        <w:rPr>
          <w:rFonts w:eastAsia="MS Mincho"/>
          <w:lang w:val="x-none"/>
        </w:rPr>
        <w:t>The author</w:t>
      </w:r>
      <w:r w:rsidRPr="004B6031">
        <w:rPr>
          <w:rFonts w:eastAsia="MS Mincho"/>
          <w:lang w:val="en-US"/>
        </w:rPr>
        <w:t xml:space="preserve"> </w:t>
      </w:r>
    </w:p>
    <w:p w14:paraId="646A8E8F" w14:textId="5DFF1E36" w:rsidR="008F4012" w:rsidRPr="005756B9" w:rsidRDefault="008F4012" w:rsidP="008F4012">
      <w:pPr>
        <w:spacing w:after="120"/>
        <w:ind w:left="4536" w:right="1134" w:hanging="3402"/>
        <w:rPr>
          <w:rFonts w:eastAsia="MS Mincho"/>
          <w:i/>
          <w:lang w:val="x-none"/>
        </w:rPr>
      </w:pPr>
      <w:r w:rsidRPr="005756B9">
        <w:rPr>
          <w:rFonts w:eastAsia="MS Mincho"/>
          <w:i/>
          <w:lang w:val="x-none"/>
        </w:rPr>
        <w:t>State party</w:t>
      </w:r>
      <w:r w:rsidRPr="004B60CB">
        <w:rPr>
          <w:rFonts w:eastAsia="MS Mincho"/>
          <w:lang w:val="x-none"/>
        </w:rPr>
        <w:t>:</w:t>
      </w:r>
      <w:r w:rsidRPr="005756B9">
        <w:rPr>
          <w:rFonts w:eastAsia="MS Mincho"/>
          <w:i/>
          <w:lang w:val="x-none"/>
        </w:rPr>
        <w:tab/>
      </w:r>
      <w:r>
        <w:rPr>
          <w:rFonts w:eastAsia="MS Mincho"/>
          <w:lang w:val="en-US"/>
        </w:rPr>
        <w:t>Nepal</w:t>
      </w:r>
      <w:r w:rsidRPr="005756B9">
        <w:rPr>
          <w:rFonts w:eastAsia="MS Mincho"/>
          <w:lang w:val="en-US"/>
        </w:rPr>
        <w:t xml:space="preserve"> </w:t>
      </w:r>
    </w:p>
    <w:p w14:paraId="646A8E90" w14:textId="77777777" w:rsidR="008F4012" w:rsidRPr="005756B9" w:rsidRDefault="008F4012" w:rsidP="008F4012">
      <w:pPr>
        <w:spacing w:after="120"/>
        <w:ind w:left="4536" w:right="1134" w:hanging="3402"/>
        <w:rPr>
          <w:rFonts w:eastAsia="MS Mincho"/>
          <w:i/>
        </w:rPr>
      </w:pPr>
      <w:r w:rsidRPr="005756B9">
        <w:rPr>
          <w:rFonts w:eastAsia="MS Mincho"/>
          <w:i/>
          <w:lang w:val="x-none"/>
        </w:rPr>
        <w:t>Date of communication</w:t>
      </w:r>
      <w:r w:rsidRPr="004B60CB">
        <w:rPr>
          <w:rFonts w:eastAsia="MS Mincho"/>
          <w:lang w:val="x-none"/>
        </w:rPr>
        <w:t>:</w:t>
      </w:r>
      <w:r w:rsidRPr="005756B9">
        <w:rPr>
          <w:rFonts w:eastAsia="MS Mincho"/>
          <w:i/>
          <w:lang w:val="x-none"/>
        </w:rPr>
        <w:tab/>
      </w:r>
      <w:r>
        <w:rPr>
          <w:rFonts w:eastAsia="MS Mincho"/>
          <w:lang w:val="en-US"/>
        </w:rPr>
        <w:t>20</w:t>
      </w:r>
      <w:r w:rsidRPr="005756B9">
        <w:rPr>
          <w:rFonts w:eastAsia="MS Mincho"/>
          <w:lang w:val="x-none"/>
        </w:rPr>
        <w:t xml:space="preserve"> </w:t>
      </w:r>
      <w:r>
        <w:rPr>
          <w:rFonts w:eastAsia="MS Mincho"/>
          <w:lang w:val="en-US"/>
        </w:rPr>
        <w:t>February 2014</w:t>
      </w:r>
      <w:r w:rsidRPr="005756B9">
        <w:rPr>
          <w:rFonts w:eastAsia="MS Mincho"/>
          <w:lang w:val="x-none"/>
        </w:rPr>
        <w:t xml:space="preserve"> (initial submission)</w:t>
      </w:r>
    </w:p>
    <w:p w14:paraId="646A8E91" w14:textId="42C5330F" w:rsidR="008F4012" w:rsidRPr="005756B9" w:rsidRDefault="008F4012" w:rsidP="008F4012">
      <w:pPr>
        <w:spacing w:after="120"/>
        <w:ind w:left="4536" w:right="1134" w:hanging="3402"/>
        <w:rPr>
          <w:rFonts w:eastAsia="MS Mincho"/>
          <w:i/>
          <w:lang w:val="x-none"/>
        </w:rPr>
      </w:pPr>
      <w:r w:rsidRPr="005756B9">
        <w:rPr>
          <w:rFonts w:eastAsia="MS Mincho"/>
          <w:i/>
          <w:lang w:val="x-none"/>
        </w:rPr>
        <w:t>Document references</w:t>
      </w:r>
      <w:r w:rsidRPr="004B60CB">
        <w:rPr>
          <w:rFonts w:eastAsia="MS Mincho"/>
          <w:lang w:val="x-none"/>
        </w:rPr>
        <w:t>:</w:t>
      </w:r>
      <w:r w:rsidRPr="005756B9">
        <w:rPr>
          <w:rFonts w:eastAsia="MS Mincho"/>
          <w:i/>
          <w:lang w:val="x-none"/>
        </w:rPr>
        <w:tab/>
      </w:r>
      <w:r w:rsidR="001035F6" w:rsidRPr="001035F6">
        <w:rPr>
          <w:rFonts w:eastAsia="MS Mincho"/>
        </w:rPr>
        <w:t xml:space="preserve">Decision taken pursuant to rule 97 of the Committee’s rules of procedure, transmitted to the State party </w:t>
      </w:r>
      <w:r w:rsidRPr="004B6031">
        <w:rPr>
          <w:rFonts w:eastAsia="MS Mincho"/>
          <w:lang w:val="en-US"/>
        </w:rPr>
        <w:t xml:space="preserve">on 4 </w:t>
      </w:r>
      <w:r w:rsidR="001035F6">
        <w:rPr>
          <w:rFonts w:eastAsia="MS Mincho"/>
          <w:lang w:val="en-US"/>
        </w:rPr>
        <w:t>June 2014</w:t>
      </w:r>
      <w:r w:rsidRPr="004B6031">
        <w:rPr>
          <w:rFonts w:eastAsia="MS Mincho"/>
          <w:lang w:val="en-US"/>
        </w:rPr>
        <w:t xml:space="preserve"> (not issued in document form)</w:t>
      </w:r>
    </w:p>
    <w:p w14:paraId="646A8E92" w14:textId="29F98E99" w:rsidR="008F4012" w:rsidRPr="0020232F" w:rsidRDefault="008F4012" w:rsidP="008F4012">
      <w:pPr>
        <w:spacing w:after="120"/>
        <w:ind w:left="4536" w:right="1134" w:hanging="3402"/>
        <w:rPr>
          <w:rFonts w:eastAsia="MS Mincho"/>
        </w:rPr>
      </w:pPr>
      <w:r w:rsidRPr="005756B9">
        <w:rPr>
          <w:rFonts w:eastAsia="MS Mincho"/>
          <w:i/>
          <w:lang w:val="x-none"/>
        </w:rPr>
        <w:t>Date of adoption of Views</w:t>
      </w:r>
      <w:r w:rsidRPr="004B60CB">
        <w:rPr>
          <w:rFonts w:eastAsia="MS Mincho"/>
          <w:lang w:val="x-none"/>
        </w:rPr>
        <w:t>:</w:t>
      </w:r>
      <w:r w:rsidRPr="005756B9">
        <w:rPr>
          <w:rFonts w:eastAsia="MS Mincho"/>
          <w:i/>
          <w:lang w:val="x-none"/>
        </w:rPr>
        <w:tab/>
      </w:r>
      <w:r w:rsidR="00462F99">
        <w:rPr>
          <w:rFonts w:eastAsia="MS Mincho"/>
          <w:lang w:val="en-US"/>
        </w:rPr>
        <w:t xml:space="preserve">30 October </w:t>
      </w:r>
      <w:r w:rsidRPr="0020232F">
        <w:rPr>
          <w:rFonts w:eastAsia="MS Mincho"/>
        </w:rPr>
        <w:t>2018</w:t>
      </w:r>
    </w:p>
    <w:p w14:paraId="646A8E93" w14:textId="67DAB308" w:rsidR="008F4012" w:rsidRPr="004B6031" w:rsidRDefault="008F4012" w:rsidP="00E33520">
      <w:pPr>
        <w:spacing w:after="120"/>
        <w:ind w:left="4536" w:right="1134" w:hanging="3402"/>
        <w:rPr>
          <w:rFonts w:eastAsia="MS Mincho"/>
          <w:lang w:val="en-US"/>
        </w:rPr>
      </w:pPr>
      <w:r w:rsidRPr="004B6031">
        <w:rPr>
          <w:rFonts w:eastAsia="MS Mincho"/>
          <w:i/>
          <w:lang w:val="x-none"/>
        </w:rPr>
        <w:t>Subject matter</w:t>
      </w:r>
      <w:r w:rsidR="00E33520">
        <w:rPr>
          <w:rFonts w:eastAsia="MS Mincho"/>
          <w:i/>
          <w:lang w:val="en-US"/>
        </w:rPr>
        <w:t>s</w:t>
      </w:r>
      <w:r w:rsidRPr="004B60CB">
        <w:rPr>
          <w:rFonts w:eastAsia="MS Mincho"/>
          <w:lang w:val="x-none"/>
        </w:rPr>
        <w:t>:</w:t>
      </w:r>
      <w:r w:rsidRPr="004B6031">
        <w:rPr>
          <w:rFonts w:eastAsia="MS Mincho"/>
          <w:i/>
          <w:lang w:val="x-none"/>
        </w:rPr>
        <w:tab/>
      </w:r>
      <w:r w:rsidRPr="004B6031">
        <w:rPr>
          <w:rFonts w:eastAsia="MS Mincho"/>
          <w:lang w:val="en-US"/>
        </w:rPr>
        <w:t>Arbitrary arrest</w:t>
      </w:r>
      <w:r w:rsidR="00197A2E">
        <w:rPr>
          <w:rFonts w:eastAsia="MS Mincho"/>
          <w:lang w:val="en-US"/>
        </w:rPr>
        <w:t xml:space="preserve"> and</w:t>
      </w:r>
      <w:r w:rsidRPr="004B6031">
        <w:rPr>
          <w:rFonts w:eastAsia="MS Mincho"/>
          <w:lang w:val="en-US"/>
        </w:rPr>
        <w:t xml:space="preserve"> detention</w:t>
      </w:r>
      <w:r w:rsidR="00E33520">
        <w:rPr>
          <w:rFonts w:eastAsia="MS Mincho"/>
          <w:lang w:val="en-US"/>
        </w:rPr>
        <w:t>;</w:t>
      </w:r>
      <w:r w:rsidR="00E33520" w:rsidRPr="004B6031">
        <w:rPr>
          <w:rFonts w:eastAsia="MS Mincho"/>
          <w:lang w:val="en-US"/>
        </w:rPr>
        <w:t xml:space="preserve"> </w:t>
      </w:r>
      <w:r w:rsidR="00197A2E">
        <w:rPr>
          <w:rFonts w:eastAsia="MS Mincho"/>
          <w:lang w:val="en-US"/>
        </w:rPr>
        <w:t>extraction of confession under torture</w:t>
      </w:r>
      <w:r w:rsidR="00E33520">
        <w:rPr>
          <w:rFonts w:eastAsia="MS Mincho"/>
          <w:lang w:val="en-US"/>
        </w:rPr>
        <w:t>;</w:t>
      </w:r>
      <w:r w:rsidR="00197A2E">
        <w:rPr>
          <w:rFonts w:eastAsia="MS Mincho"/>
          <w:lang w:val="en-US"/>
        </w:rPr>
        <w:t xml:space="preserve"> lack of effective investigation of allegations of torture</w:t>
      </w:r>
    </w:p>
    <w:p w14:paraId="646A8E94" w14:textId="4C131970" w:rsidR="008F4012" w:rsidRPr="004B6031" w:rsidRDefault="008F4012" w:rsidP="008F4012">
      <w:pPr>
        <w:spacing w:after="120"/>
        <w:ind w:left="4536" w:right="1134" w:hanging="3402"/>
        <w:rPr>
          <w:rFonts w:eastAsia="MS Mincho"/>
          <w:lang w:val="x-none"/>
        </w:rPr>
      </w:pPr>
      <w:r w:rsidRPr="006B5F21">
        <w:rPr>
          <w:rFonts w:eastAsia="MS Mincho"/>
          <w:i/>
          <w:lang w:val="x-none"/>
        </w:rPr>
        <w:t>Procedural issue</w:t>
      </w:r>
      <w:r w:rsidRPr="006B5F21">
        <w:rPr>
          <w:rFonts w:eastAsia="MS Mincho"/>
          <w:lang w:val="x-none"/>
        </w:rPr>
        <w:t>:</w:t>
      </w:r>
      <w:r w:rsidRPr="004B6031">
        <w:rPr>
          <w:rFonts w:eastAsia="MS Mincho"/>
          <w:i/>
          <w:lang w:val="x-none"/>
        </w:rPr>
        <w:t xml:space="preserve"> </w:t>
      </w:r>
      <w:r w:rsidRPr="004B6031">
        <w:rPr>
          <w:rFonts w:eastAsia="MS Mincho"/>
          <w:i/>
          <w:lang w:val="x-none"/>
        </w:rPr>
        <w:tab/>
      </w:r>
      <w:r w:rsidRPr="00E33520">
        <w:rPr>
          <w:rFonts w:eastAsia="MS Mincho"/>
        </w:rPr>
        <w:t>Exhaustion</w:t>
      </w:r>
      <w:r w:rsidRPr="004B6031">
        <w:rPr>
          <w:rFonts w:eastAsia="MS Mincho"/>
          <w:lang w:val="en-US"/>
        </w:rPr>
        <w:t xml:space="preserve"> of domestic remedies</w:t>
      </w:r>
    </w:p>
    <w:p w14:paraId="2898CDDC" w14:textId="4703BFB5" w:rsidR="001035F6" w:rsidRPr="001035F6" w:rsidRDefault="008F4012" w:rsidP="001035F6">
      <w:pPr>
        <w:spacing w:after="120"/>
        <w:ind w:left="4536" w:right="1134" w:hanging="3402"/>
        <w:rPr>
          <w:rFonts w:eastAsia="MS Mincho"/>
        </w:rPr>
      </w:pPr>
      <w:r w:rsidRPr="004B6031">
        <w:rPr>
          <w:rFonts w:eastAsia="MS Mincho"/>
          <w:i/>
          <w:lang w:val="x-none"/>
        </w:rPr>
        <w:t>Substantive issue</w:t>
      </w:r>
      <w:r w:rsidR="009E22A5" w:rsidRPr="00A53A7C">
        <w:rPr>
          <w:rFonts w:eastAsia="MS Mincho"/>
          <w:i/>
        </w:rPr>
        <w:t>s</w:t>
      </w:r>
      <w:r w:rsidRPr="004B60CB">
        <w:rPr>
          <w:rFonts w:eastAsia="MS Mincho"/>
          <w:lang w:val="x-none"/>
        </w:rPr>
        <w:t>:</w:t>
      </w:r>
      <w:r w:rsidRPr="004B6031">
        <w:rPr>
          <w:rFonts w:eastAsia="MS Mincho"/>
          <w:i/>
          <w:lang w:val="x-none"/>
        </w:rPr>
        <w:t xml:space="preserve"> </w:t>
      </w:r>
      <w:r w:rsidRPr="004B6031">
        <w:rPr>
          <w:rFonts w:eastAsia="MS Mincho"/>
          <w:i/>
          <w:lang w:val="x-none"/>
        </w:rPr>
        <w:tab/>
      </w:r>
      <w:r w:rsidR="001035F6" w:rsidRPr="006B5F21">
        <w:rPr>
          <w:rFonts w:eastAsia="MS Mincho"/>
        </w:rPr>
        <w:t>P</w:t>
      </w:r>
      <w:r w:rsidR="00E47475">
        <w:rPr>
          <w:rFonts w:eastAsia="MS Mincho"/>
        </w:rPr>
        <w:t>rohibition of torture and</w:t>
      </w:r>
      <w:r w:rsidR="001035F6" w:rsidRPr="001035F6">
        <w:rPr>
          <w:rFonts w:eastAsia="MS Mincho"/>
        </w:rPr>
        <w:t xml:space="preserve"> cruel and inhuman treatment; right to liberty and security of person; respect for the inherent dignity of the human person;</w:t>
      </w:r>
      <w:r w:rsidR="00E47475">
        <w:rPr>
          <w:rFonts w:eastAsia="MS Mincho"/>
        </w:rPr>
        <w:t xml:space="preserve"> right to </w:t>
      </w:r>
      <w:r w:rsidR="00197A2E">
        <w:rPr>
          <w:rFonts w:eastAsia="MS Mincho"/>
        </w:rPr>
        <w:t>a fair trial</w:t>
      </w:r>
      <w:r w:rsidR="001035F6" w:rsidRPr="001035F6">
        <w:rPr>
          <w:rFonts w:eastAsia="MS Mincho"/>
        </w:rPr>
        <w:t>; right to an effective remedy</w:t>
      </w:r>
    </w:p>
    <w:p w14:paraId="646A8E96" w14:textId="36B35DCB" w:rsidR="008F4012" w:rsidRDefault="008F4012" w:rsidP="00730565">
      <w:pPr>
        <w:spacing w:after="120"/>
        <w:ind w:left="4536" w:right="1134" w:hanging="3402"/>
        <w:rPr>
          <w:rFonts w:eastAsia="MS Mincho"/>
          <w:lang w:val="en-US"/>
        </w:rPr>
      </w:pPr>
      <w:r w:rsidRPr="005756B9">
        <w:rPr>
          <w:rFonts w:eastAsia="MS Mincho"/>
          <w:i/>
          <w:lang w:val="x-none"/>
        </w:rPr>
        <w:t>Article</w:t>
      </w:r>
      <w:r w:rsidR="009E22A5" w:rsidRPr="00A53A7C">
        <w:rPr>
          <w:rFonts w:eastAsia="MS Mincho"/>
          <w:i/>
        </w:rPr>
        <w:t>s</w:t>
      </w:r>
      <w:r w:rsidRPr="005756B9">
        <w:rPr>
          <w:rFonts w:eastAsia="MS Mincho"/>
          <w:i/>
          <w:lang w:val="x-none"/>
        </w:rPr>
        <w:t xml:space="preserve"> of the Covenant</w:t>
      </w:r>
      <w:r w:rsidRPr="004B60CB">
        <w:rPr>
          <w:rFonts w:eastAsia="MS Mincho"/>
          <w:lang w:val="x-none"/>
        </w:rPr>
        <w:t>:</w:t>
      </w:r>
      <w:r w:rsidRPr="005756B9">
        <w:rPr>
          <w:rFonts w:eastAsia="MS Mincho"/>
          <w:i/>
          <w:lang w:val="x-none"/>
        </w:rPr>
        <w:tab/>
      </w:r>
      <w:r w:rsidR="004E44FB">
        <w:rPr>
          <w:rFonts w:eastAsia="MS Mincho"/>
        </w:rPr>
        <w:t>2</w:t>
      </w:r>
      <w:r w:rsidR="00730565">
        <w:rPr>
          <w:rFonts w:eastAsia="MS Mincho"/>
        </w:rPr>
        <w:t xml:space="preserve"> </w:t>
      </w:r>
      <w:r w:rsidR="004E44FB">
        <w:rPr>
          <w:rFonts w:eastAsia="MS Mincho"/>
        </w:rPr>
        <w:t>(3)</w:t>
      </w:r>
      <w:r w:rsidR="00730565">
        <w:rPr>
          <w:rFonts w:eastAsia="MS Mincho"/>
        </w:rPr>
        <w:t>,</w:t>
      </w:r>
      <w:r w:rsidR="004E44FB">
        <w:rPr>
          <w:rFonts w:eastAsia="MS Mincho"/>
        </w:rPr>
        <w:t xml:space="preserve"> </w:t>
      </w:r>
      <w:r>
        <w:rPr>
          <w:rFonts w:eastAsia="MS Mincho"/>
          <w:lang w:val="en-US"/>
        </w:rPr>
        <w:t>7</w:t>
      </w:r>
      <w:r w:rsidR="00D95FEC">
        <w:rPr>
          <w:rFonts w:eastAsia="MS Mincho"/>
          <w:lang w:val="en-US"/>
        </w:rPr>
        <w:t>,</w:t>
      </w:r>
      <w:r w:rsidR="00462F99">
        <w:rPr>
          <w:rFonts w:eastAsia="MS Mincho"/>
          <w:lang w:val="en-US"/>
        </w:rPr>
        <w:t xml:space="preserve"> </w:t>
      </w:r>
      <w:r w:rsidR="00E47475">
        <w:rPr>
          <w:rFonts w:eastAsia="MS Mincho"/>
          <w:lang w:val="en-US"/>
        </w:rPr>
        <w:t>9 (1</w:t>
      </w:r>
      <w:r w:rsidR="00C63DA4">
        <w:rPr>
          <w:rFonts w:eastAsia="MS Mincho"/>
          <w:lang w:val="en-US"/>
        </w:rPr>
        <w:t>)–(</w:t>
      </w:r>
      <w:r w:rsidR="00E47475">
        <w:rPr>
          <w:rFonts w:eastAsia="MS Mincho"/>
          <w:lang w:val="en-US"/>
        </w:rPr>
        <w:t>3)</w:t>
      </w:r>
      <w:r w:rsidR="00D95FEC">
        <w:rPr>
          <w:rFonts w:eastAsia="MS Mincho"/>
          <w:lang w:val="en-US"/>
        </w:rPr>
        <w:t>,</w:t>
      </w:r>
      <w:r w:rsidR="00E47475">
        <w:rPr>
          <w:rFonts w:eastAsia="MS Mincho"/>
          <w:lang w:val="en-US"/>
        </w:rPr>
        <w:t xml:space="preserve"> </w:t>
      </w:r>
      <w:r>
        <w:rPr>
          <w:rFonts w:eastAsia="MS Mincho"/>
          <w:lang w:val="en-US"/>
        </w:rPr>
        <w:t xml:space="preserve">10 (1) </w:t>
      </w:r>
      <w:r w:rsidR="00E47475">
        <w:rPr>
          <w:rFonts w:eastAsia="MS Mincho"/>
          <w:lang w:val="en-US"/>
        </w:rPr>
        <w:t>and 14 (2) and (3) (b) and (g)</w:t>
      </w:r>
    </w:p>
    <w:p w14:paraId="646A8E97" w14:textId="39BC62F2" w:rsidR="008F4012" w:rsidRDefault="008F4012" w:rsidP="008F4012">
      <w:pPr>
        <w:spacing w:after="240"/>
        <w:ind w:left="4536" w:right="1134" w:hanging="3402"/>
        <w:rPr>
          <w:rFonts w:eastAsia="MS Mincho"/>
        </w:rPr>
      </w:pPr>
      <w:r w:rsidRPr="005756B9">
        <w:rPr>
          <w:rFonts w:eastAsia="MS Mincho"/>
          <w:i/>
          <w:lang w:val="x-none"/>
        </w:rPr>
        <w:t>Article of the Optional Protocol</w:t>
      </w:r>
      <w:r w:rsidRPr="004B60CB">
        <w:rPr>
          <w:rFonts w:eastAsia="MS Mincho"/>
          <w:lang w:val="x-none"/>
        </w:rPr>
        <w:t>:</w:t>
      </w:r>
      <w:r w:rsidRPr="005756B9">
        <w:rPr>
          <w:rFonts w:eastAsia="MS Mincho"/>
          <w:i/>
        </w:rPr>
        <w:tab/>
      </w:r>
      <w:r w:rsidRPr="004B6031">
        <w:rPr>
          <w:rFonts w:eastAsia="MS Mincho"/>
        </w:rPr>
        <w:t>5</w:t>
      </w:r>
      <w:r w:rsidR="00E47475">
        <w:rPr>
          <w:rFonts w:eastAsia="MS Mincho"/>
        </w:rPr>
        <w:t xml:space="preserve"> (</w:t>
      </w:r>
      <w:r w:rsidRPr="004B6031">
        <w:rPr>
          <w:rFonts w:eastAsia="MS Mincho"/>
        </w:rPr>
        <w:t>2</w:t>
      </w:r>
      <w:r w:rsidR="00E47475">
        <w:rPr>
          <w:rFonts w:eastAsia="MS Mincho"/>
        </w:rPr>
        <w:t>)</w:t>
      </w:r>
      <w:r w:rsidRPr="004B6031">
        <w:rPr>
          <w:rFonts w:eastAsia="MS Mincho"/>
        </w:rPr>
        <w:t xml:space="preserve"> (b)</w:t>
      </w:r>
    </w:p>
    <w:p w14:paraId="646A8E99" w14:textId="0B5AD8B6" w:rsidR="008F4012" w:rsidRDefault="008F4012" w:rsidP="005E027B">
      <w:pPr>
        <w:pStyle w:val="SingleTxtG"/>
        <w:rPr>
          <w:rFonts w:eastAsia="MS Mincho"/>
        </w:rPr>
      </w:pPr>
      <w:r w:rsidRPr="005756B9">
        <w:rPr>
          <w:rFonts w:eastAsia="MS Mincho"/>
          <w:lang w:val="en-US"/>
        </w:rPr>
        <w:t>1.</w:t>
      </w:r>
      <w:r w:rsidRPr="005756B9">
        <w:rPr>
          <w:rFonts w:eastAsia="MS Mincho"/>
          <w:lang w:val="en-US"/>
        </w:rPr>
        <w:tab/>
      </w:r>
      <w:r w:rsidRPr="00837732">
        <w:rPr>
          <w:rFonts w:eastAsia="MS Mincho"/>
        </w:rPr>
        <w:t>The author of the communicati</w:t>
      </w:r>
      <w:r>
        <w:rPr>
          <w:rFonts w:eastAsia="MS Mincho"/>
        </w:rPr>
        <w:t xml:space="preserve">on is </w:t>
      </w:r>
      <w:proofErr w:type="spellStart"/>
      <w:r>
        <w:rPr>
          <w:rFonts w:eastAsia="MS Mincho"/>
        </w:rPr>
        <w:t>Prashanta</w:t>
      </w:r>
      <w:proofErr w:type="spellEnd"/>
      <w:r>
        <w:rPr>
          <w:rFonts w:eastAsia="MS Mincho"/>
        </w:rPr>
        <w:t xml:space="preserve"> Kumar Pandey</w:t>
      </w:r>
      <w:r w:rsidRPr="00837732">
        <w:rPr>
          <w:rFonts w:eastAsia="MS Mincho"/>
        </w:rPr>
        <w:t xml:space="preserve">, a national </w:t>
      </w:r>
      <w:r w:rsidR="00B7534D">
        <w:rPr>
          <w:rFonts w:eastAsia="MS Mincho"/>
        </w:rPr>
        <w:t>of</w:t>
      </w:r>
      <w:r w:rsidR="0050673C">
        <w:rPr>
          <w:rFonts w:eastAsia="MS Mincho"/>
          <w:iCs/>
          <w:lang w:val="en-US"/>
        </w:rPr>
        <w:t xml:space="preserve"> </w:t>
      </w:r>
      <w:r w:rsidR="00D31264">
        <w:rPr>
          <w:rFonts w:eastAsia="MS Mincho"/>
        </w:rPr>
        <w:t xml:space="preserve">Nepal </w:t>
      </w:r>
      <w:r w:rsidRPr="00837732">
        <w:rPr>
          <w:rFonts w:eastAsia="MS Mincho"/>
        </w:rPr>
        <w:t xml:space="preserve">born on 26 September 1985. He claims that </w:t>
      </w:r>
      <w:r>
        <w:rPr>
          <w:rFonts w:eastAsia="MS Mincho"/>
        </w:rPr>
        <w:t>the State party</w:t>
      </w:r>
      <w:r w:rsidRPr="00837732">
        <w:rPr>
          <w:rFonts w:eastAsia="MS Mincho"/>
        </w:rPr>
        <w:t xml:space="preserve"> has violated his rights under articles 7 and 10 (l)</w:t>
      </w:r>
      <w:r w:rsidR="00D31264">
        <w:rPr>
          <w:rFonts w:eastAsia="MS Mincho"/>
        </w:rPr>
        <w:t>,</w:t>
      </w:r>
      <w:r w:rsidRPr="00837732">
        <w:rPr>
          <w:rFonts w:eastAsia="MS Mincho"/>
        </w:rPr>
        <w:t xml:space="preserve"> read alone and in conjunction with article 2 (3)</w:t>
      </w:r>
      <w:r w:rsidR="00730565">
        <w:rPr>
          <w:rFonts w:eastAsia="MS Mincho"/>
        </w:rPr>
        <w:t>, and under articles</w:t>
      </w:r>
      <w:r w:rsidRPr="00837732">
        <w:rPr>
          <w:rFonts w:eastAsia="MS Mincho"/>
        </w:rPr>
        <w:t xml:space="preserve"> 9 </w:t>
      </w:r>
      <w:r w:rsidRPr="00837732">
        <w:rPr>
          <w:rFonts w:eastAsia="MS Mincho"/>
        </w:rPr>
        <w:lastRenderedPageBreak/>
        <w:t>(1</w:t>
      </w:r>
      <w:r w:rsidR="00C63DA4">
        <w:rPr>
          <w:rFonts w:eastAsia="MS Mincho"/>
          <w:lang w:val="en-US"/>
        </w:rPr>
        <w:t>)–(</w:t>
      </w:r>
      <w:r w:rsidRPr="00837732">
        <w:rPr>
          <w:rFonts w:eastAsia="MS Mincho"/>
        </w:rPr>
        <w:t>3) and 1</w:t>
      </w:r>
      <w:r>
        <w:rPr>
          <w:rFonts w:eastAsia="MS Mincho"/>
        </w:rPr>
        <w:t xml:space="preserve">4 (2) and (3) </w:t>
      </w:r>
      <w:r w:rsidR="00197A2E">
        <w:rPr>
          <w:rFonts w:eastAsia="MS Mincho"/>
        </w:rPr>
        <w:t>(</w:t>
      </w:r>
      <w:r>
        <w:rPr>
          <w:rFonts w:eastAsia="MS Mincho"/>
        </w:rPr>
        <w:t xml:space="preserve">b) and </w:t>
      </w:r>
      <w:r w:rsidR="00197A2E">
        <w:rPr>
          <w:rFonts w:eastAsia="MS Mincho"/>
        </w:rPr>
        <w:t>(</w:t>
      </w:r>
      <w:r>
        <w:rPr>
          <w:rFonts w:eastAsia="MS Mincho"/>
        </w:rPr>
        <w:t xml:space="preserve">g) of the </w:t>
      </w:r>
      <w:r w:rsidRPr="00837732">
        <w:rPr>
          <w:rFonts w:eastAsia="MS Mincho"/>
        </w:rPr>
        <w:t xml:space="preserve">Covenant. The Covenant and </w:t>
      </w:r>
      <w:r w:rsidR="00197A2E">
        <w:rPr>
          <w:rFonts w:eastAsia="MS Mincho"/>
        </w:rPr>
        <w:t xml:space="preserve">its </w:t>
      </w:r>
      <w:r w:rsidRPr="00837732">
        <w:rPr>
          <w:rFonts w:eastAsia="MS Mincho"/>
        </w:rPr>
        <w:t xml:space="preserve">Optional Protocol entered into force for </w:t>
      </w:r>
      <w:r w:rsidR="00D31264">
        <w:rPr>
          <w:rFonts w:eastAsia="MS Mincho"/>
        </w:rPr>
        <w:t>Nepal</w:t>
      </w:r>
      <w:r w:rsidR="00197A2E" w:rsidRPr="00837732">
        <w:rPr>
          <w:rFonts w:eastAsia="MS Mincho"/>
        </w:rPr>
        <w:t xml:space="preserve"> </w:t>
      </w:r>
      <w:r w:rsidRPr="00837732">
        <w:rPr>
          <w:rFonts w:eastAsia="MS Mincho"/>
        </w:rPr>
        <w:t xml:space="preserve">on 14 </w:t>
      </w:r>
      <w:r w:rsidR="00197A2E">
        <w:rPr>
          <w:rFonts w:eastAsia="MS Mincho"/>
        </w:rPr>
        <w:t>August</w:t>
      </w:r>
      <w:r w:rsidR="00197A2E" w:rsidRPr="00837732">
        <w:rPr>
          <w:rFonts w:eastAsia="MS Mincho"/>
        </w:rPr>
        <w:t xml:space="preserve"> </w:t>
      </w:r>
      <w:r w:rsidRPr="00837732">
        <w:rPr>
          <w:rFonts w:eastAsia="MS Mincho"/>
        </w:rPr>
        <w:t xml:space="preserve">1991. The author is represented by </w:t>
      </w:r>
      <w:r w:rsidR="00197A2E">
        <w:rPr>
          <w:rFonts w:eastAsia="MS Mincho"/>
        </w:rPr>
        <w:t>counsel</w:t>
      </w:r>
      <w:r>
        <w:rPr>
          <w:rFonts w:eastAsia="MS Mincho"/>
        </w:rPr>
        <w:t xml:space="preserve">. </w:t>
      </w:r>
    </w:p>
    <w:p w14:paraId="646A8E9A" w14:textId="77777777" w:rsidR="008F4012" w:rsidRDefault="008F4012" w:rsidP="008F4012">
      <w:pPr>
        <w:pStyle w:val="H23G"/>
        <w:rPr>
          <w:rFonts w:eastAsia="MS Mincho"/>
        </w:rPr>
      </w:pPr>
      <w:r>
        <w:rPr>
          <w:rFonts w:eastAsia="MS Mincho"/>
        </w:rPr>
        <w:tab/>
      </w:r>
      <w:r>
        <w:rPr>
          <w:rFonts w:eastAsia="MS Mincho"/>
        </w:rPr>
        <w:tab/>
      </w:r>
      <w:r w:rsidRPr="004E30DB">
        <w:rPr>
          <w:rFonts w:eastAsia="MS Mincho"/>
        </w:rPr>
        <w:t>The facts as submitted by the author</w:t>
      </w:r>
    </w:p>
    <w:p w14:paraId="646A8E9B" w14:textId="603194D2" w:rsidR="008F4012" w:rsidRDefault="008F4012" w:rsidP="00D95FEC">
      <w:pPr>
        <w:pStyle w:val="SingleTxtG"/>
        <w:rPr>
          <w:rFonts w:eastAsia="Calibri"/>
        </w:rPr>
      </w:pPr>
      <w:r>
        <w:rPr>
          <w:rFonts w:eastAsia="MS Mincho"/>
        </w:rPr>
        <w:t>2.1</w:t>
      </w:r>
      <w:r>
        <w:rPr>
          <w:rFonts w:eastAsia="MS Mincho"/>
        </w:rPr>
        <w:tab/>
      </w:r>
      <w:r>
        <w:rPr>
          <w:rFonts w:eastAsia="Calibri"/>
        </w:rPr>
        <w:t xml:space="preserve">The author used to work </w:t>
      </w:r>
      <w:r w:rsidRPr="0022674A">
        <w:rPr>
          <w:rFonts w:eastAsia="Calibri"/>
        </w:rPr>
        <w:t xml:space="preserve">as </w:t>
      </w:r>
      <w:r>
        <w:rPr>
          <w:rFonts w:eastAsia="Calibri"/>
        </w:rPr>
        <w:t xml:space="preserve">a </w:t>
      </w:r>
      <w:r w:rsidRPr="0022674A">
        <w:rPr>
          <w:rFonts w:eastAsia="Calibri"/>
        </w:rPr>
        <w:t xml:space="preserve">medical assistant and </w:t>
      </w:r>
      <w:r w:rsidR="006762A9" w:rsidRPr="0022674A">
        <w:rPr>
          <w:rFonts w:eastAsia="Calibri"/>
        </w:rPr>
        <w:t>r</w:t>
      </w:r>
      <w:r w:rsidR="006762A9">
        <w:rPr>
          <w:rFonts w:eastAsia="Calibri"/>
        </w:rPr>
        <w:t>a</w:t>
      </w:r>
      <w:r w:rsidR="006762A9" w:rsidRPr="0022674A">
        <w:rPr>
          <w:rFonts w:eastAsia="Calibri"/>
        </w:rPr>
        <w:t xml:space="preserve">n </w:t>
      </w:r>
      <w:r w:rsidRPr="0022674A">
        <w:rPr>
          <w:rFonts w:eastAsia="Calibri"/>
        </w:rPr>
        <w:t xml:space="preserve">a medical shop in </w:t>
      </w:r>
      <w:proofErr w:type="spellStart"/>
      <w:r w:rsidRPr="0022674A">
        <w:rPr>
          <w:rFonts w:eastAsia="Calibri"/>
        </w:rPr>
        <w:t>Jhulinipur</w:t>
      </w:r>
      <w:proofErr w:type="spellEnd"/>
      <w:r w:rsidRPr="0022674A">
        <w:rPr>
          <w:rFonts w:eastAsia="Calibri"/>
        </w:rPr>
        <w:t xml:space="preserve">, </w:t>
      </w:r>
      <w:proofErr w:type="spellStart"/>
      <w:r w:rsidRPr="0022674A">
        <w:rPr>
          <w:rFonts w:eastAsia="Calibri"/>
        </w:rPr>
        <w:t>Rupandehi</w:t>
      </w:r>
      <w:proofErr w:type="spellEnd"/>
      <w:r w:rsidRPr="0022674A">
        <w:rPr>
          <w:rFonts w:eastAsia="Calibri"/>
        </w:rPr>
        <w:t xml:space="preserve"> District, Nepal.</w:t>
      </w:r>
      <w:r w:rsidRPr="0022674A">
        <w:t xml:space="preserve"> </w:t>
      </w:r>
      <w:r>
        <w:rPr>
          <w:rFonts w:eastAsia="Calibri"/>
        </w:rPr>
        <w:t>O</w:t>
      </w:r>
      <w:r w:rsidRPr="0022674A">
        <w:rPr>
          <w:rFonts w:eastAsia="Calibri"/>
        </w:rPr>
        <w:t>n 7 A</w:t>
      </w:r>
      <w:r>
        <w:rPr>
          <w:rFonts w:eastAsia="Calibri"/>
        </w:rPr>
        <w:t>pril 2011, while crossing the In</w:t>
      </w:r>
      <w:r w:rsidRPr="0022674A">
        <w:rPr>
          <w:rFonts w:eastAsia="Calibri"/>
        </w:rPr>
        <w:t xml:space="preserve">dian-Nepalese border, </w:t>
      </w:r>
      <w:r>
        <w:rPr>
          <w:rFonts w:eastAsia="Calibri"/>
        </w:rPr>
        <w:t>he</w:t>
      </w:r>
      <w:r w:rsidRPr="0022674A">
        <w:rPr>
          <w:rFonts w:eastAsia="Calibri"/>
        </w:rPr>
        <w:t xml:space="preserve"> was arrested by three police officers from the </w:t>
      </w:r>
      <w:proofErr w:type="spellStart"/>
      <w:r w:rsidRPr="0022674A">
        <w:rPr>
          <w:rFonts w:eastAsia="Calibri"/>
        </w:rPr>
        <w:t>Rupandehi</w:t>
      </w:r>
      <w:proofErr w:type="spellEnd"/>
      <w:r w:rsidRPr="0022674A">
        <w:rPr>
          <w:rFonts w:eastAsia="Calibri"/>
        </w:rPr>
        <w:t xml:space="preserve"> District Police Office. </w:t>
      </w:r>
      <w:r w:rsidR="002B454A">
        <w:rPr>
          <w:rFonts w:eastAsia="Calibri"/>
        </w:rPr>
        <w:t>The police officers were dressed in plain clothes</w:t>
      </w:r>
      <w:r w:rsidR="006762A9">
        <w:rPr>
          <w:rFonts w:eastAsia="Calibri"/>
        </w:rPr>
        <w:t>. T</w:t>
      </w:r>
      <w:r w:rsidR="002B454A">
        <w:rPr>
          <w:rFonts w:eastAsia="Calibri"/>
        </w:rPr>
        <w:t>hey surrounded the author and asked him to follow them. When the author refused</w:t>
      </w:r>
      <w:r w:rsidR="00117F53">
        <w:rPr>
          <w:rFonts w:eastAsia="Calibri"/>
        </w:rPr>
        <w:t>,</w:t>
      </w:r>
      <w:r w:rsidR="002B454A">
        <w:rPr>
          <w:rFonts w:eastAsia="Calibri"/>
        </w:rPr>
        <w:t xml:space="preserve"> one of the officers placed a gun to his head and tied his hands behind his back. </w:t>
      </w:r>
      <w:r w:rsidR="00FA4697">
        <w:rPr>
          <w:rFonts w:eastAsia="Calibri"/>
        </w:rPr>
        <w:t>N</w:t>
      </w:r>
      <w:r>
        <w:rPr>
          <w:rFonts w:eastAsia="Calibri"/>
        </w:rPr>
        <w:t>o war</w:t>
      </w:r>
      <w:r w:rsidRPr="0022674A">
        <w:rPr>
          <w:rFonts w:eastAsia="Calibri"/>
        </w:rPr>
        <w:t xml:space="preserve">rant was presented to </w:t>
      </w:r>
      <w:r w:rsidR="00117F53">
        <w:rPr>
          <w:rFonts w:eastAsia="Calibri"/>
        </w:rPr>
        <w:t xml:space="preserve">the author, </w:t>
      </w:r>
      <w:r>
        <w:rPr>
          <w:rFonts w:eastAsia="Calibri"/>
        </w:rPr>
        <w:t>and he was not</w:t>
      </w:r>
      <w:r w:rsidRPr="0022674A">
        <w:rPr>
          <w:rFonts w:eastAsia="Calibri"/>
        </w:rPr>
        <w:t xml:space="preserve"> informed of the reasons </w:t>
      </w:r>
      <w:r w:rsidR="00FA4697">
        <w:rPr>
          <w:rFonts w:eastAsia="Calibri"/>
        </w:rPr>
        <w:t>for</w:t>
      </w:r>
      <w:r w:rsidR="00FA4697" w:rsidRPr="0022674A">
        <w:rPr>
          <w:rFonts w:eastAsia="Calibri"/>
        </w:rPr>
        <w:t xml:space="preserve"> </w:t>
      </w:r>
      <w:r w:rsidRPr="0022674A">
        <w:rPr>
          <w:rFonts w:eastAsia="Calibri"/>
        </w:rPr>
        <w:t>his arrest or of his rights.</w:t>
      </w:r>
      <w:r w:rsidR="00FA4697">
        <w:rPr>
          <w:rFonts w:eastAsia="Calibri"/>
        </w:rPr>
        <w:t xml:space="preserve"> The author was </w:t>
      </w:r>
      <w:r w:rsidR="00D95FEC">
        <w:rPr>
          <w:rFonts w:eastAsia="Calibri"/>
        </w:rPr>
        <w:t xml:space="preserve">taken </w:t>
      </w:r>
      <w:r w:rsidR="00C14017">
        <w:rPr>
          <w:rFonts w:eastAsia="Calibri"/>
        </w:rPr>
        <w:t>to</w:t>
      </w:r>
      <w:r w:rsidR="00FA4697">
        <w:rPr>
          <w:rFonts w:eastAsia="Calibri"/>
        </w:rPr>
        <w:t xml:space="preserve"> the </w:t>
      </w:r>
      <w:proofErr w:type="spellStart"/>
      <w:r w:rsidR="00FA4697">
        <w:rPr>
          <w:rFonts w:eastAsia="Calibri"/>
        </w:rPr>
        <w:t>Barmeli</w:t>
      </w:r>
      <w:proofErr w:type="spellEnd"/>
      <w:r w:rsidR="00FA4697">
        <w:rPr>
          <w:rFonts w:eastAsia="Calibri"/>
        </w:rPr>
        <w:t xml:space="preserve"> </w:t>
      </w:r>
      <w:proofErr w:type="spellStart"/>
      <w:r w:rsidR="00FA4697">
        <w:rPr>
          <w:rFonts w:eastAsia="Calibri"/>
        </w:rPr>
        <w:t>Tole</w:t>
      </w:r>
      <w:proofErr w:type="spellEnd"/>
      <w:r w:rsidR="00FA4697">
        <w:rPr>
          <w:rFonts w:eastAsia="Calibri"/>
        </w:rPr>
        <w:t xml:space="preserve"> police post</w:t>
      </w:r>
      <w:r w:rsidR="00117F53">
        <w:rPr>
          <w:rFonts w:eastAsia="Calibri"/>
        </w:rPr>
        <w:t>,</w:t>
      </w:r>
      <w:r w:rsidR="002B454A">
        <w:rPr>
          <w:rFonts w:eastAsia="Calibri"/>
        </w:rPr>
        <w:t xml:space="preserve"> where he was held</w:t>
      </w:r>
      <w:r w:rsidR="00C14017">
        <w:rPr>
          <w:rFonts w:eastAsia="Calibri"/>
        </w:rPr>
        <w:t xml:space="preserve"> for two hours.</w:t>
      </w:r>
      <w:r w:rsidR="00FA4697">
        <w:rPr>
          <w:rFonts w:eastAsia="Calibri"/>
        </w:rPr>
        <w:t xml:space="preserve"> </w:t>
      </w:r>
      <w:r w:rsidR="00C14017">
        <w:rPr>
          <w:rFonts w:eastAsia="Calibri"/>
        </w:rPr>
        <w:t>T</w:t>
      </w:r>
      <w:r w:rsidR="00FA4697">
        <w:rPr>
          <w:rFonts w:eastAsia="Calibri"/>
        </w:rPr>
        <w:t>he guards slapped him three times during this period.</w:t>
      </w:r>
    </w:p>
    <w:p w14:paraId="646A8E9C" w14:textId="510511D2" w:rsidR="008F4012" w:rsidRDefault="008F4012" w:rsidP="00D95FEC">
      <w:pPr>
        <w:pStyle w:val="SingleTxtG"/>
        <w:rPr>
          <w:rFonts w:eastAsia="Calibri"/>
        </w:rPr>
      </w:pPr>
      <w:r w:rsidRPr="005756B9">
        <w:rPr>
          <w:rFonts w:eastAsia="MS Mincho"/>
        </w:rPr>
        <w:t>2.2</w:t>
      </w:r>
      <w:r>
        <w:rPr>
          <w:rFonts w:eastAsia="MS Mincho"/>
        </w:rPr>
        <w:tab/>
      </w:r>
      <w:r w:rsidRPr="00844B65">
        <w:rPr>
          <w:rFonts w:eastAsia="Calibri"/>
        </w:rPr>
        <w:t xml:space="preserve">From </w:t>
      </w:r>
      <w:proofErr w:type="spellStart"/>
      <w:r w:rsidRPr="00844B65">
        <w:rPr>
          <w:rFonts w:eastAsia="Calibri"/>
        </w:rPr>
        <w:t>Barmeli</w:t>
      </w:r>
      <w:proofErr w:type="spellEnd"/>
      <w:r w:rsidRPr="00844B65">
        <w:rPr>
          <w:rFonts w:eastAsia="Calibri"/>
        </w:rPr>
        <w:t xml:space="preserve"> </w:t>
      </w:r>
      <w:proofErr w:type="spellStart"/>
      <w:r w:rsidRPr="00844B65">
        <w:rPr>
          <w:rFonts w:eastAsia="Calibri"/>
        </w:rPr>
        <w:t>Tole</w:t>
      </w:r>
      <w:proofErr w:type="spellEnd"/>
      <w:r w:rsidRPr="00844B65">
        <w:rPr>
          <w:rFonts w:eastAsia="Calibri"/>
        </w:rPr>
        <w:t xml:space="preserve">, the author was taken to the office of the Senior Superintendent of Police Prakash </w:t>
      </w:r>
      <w:proofErr w:type="spellStart"/>
      <w:r w:rsidRPr="00844B65">
        <w:rPr>
          <w:rFonts w:eastAsia="Calibri"/>
        </w:rPr>
        <w:t>A</w:t>
      </w:r>
      <w:r w:rsidR="00595877">
        <w:rPr>
          <w:rFonts w:eastAsia="Calibri"/>
        </w:rPr>
        <w:t>r</w:t>
      </w:r>
      <w:r w:rsidRPr="00844B65">
        <w:rPr>
          <w:rFonts w:eastAsia="Calibri"/>
        </w:rPr>
        <w:t>yal</w:t>
      </w:r>
      <w:proofErr w:type="spellEnd"/>
      <w:r w:rsidR="00117F53">
        <w:rPr>
          <w:rFonts w:eastAsia="Calibri"/>
        </w:rPr>
        <w:t>,</w:t>
      </w:r>
      <w:r w:rsidRPr="00844B65">
        <w:rPr>
          <w:rFonts w:eastAsia="Calibri"/>
        </w:rPr>
        <w:t xml:space="preserve"> where he was interrogated</w:t>
      </w:r>
      <w:r>
        <w:rPr>
          <w:rFonts w:eastAsia="Calibri"/>
        </w:rPr>
        <w:t>.</w:t>
      </w:r>
      <w:r w:rsidR="00595877">
        <w:rPr>
          <w:rFonts w:eastAsia="Calibri"/>
        </w:rPr>
        <w:t xml:space="preserve"> He was asked about his involvement in the planning and execution of the bombing of a van</w:t>
      </w:r>
      <w:r w:rsidR="00D95FEC">
        <w:rPr>
          <w:rFonts w:eastAsia="Calibri"/>
        </w:rPr>
        <w:t>, which</w:t>
      </w:r>
      <w:r w:rsidR="00595877">
        <w:rPr>
          <w:rFonts w:eastAsia="Calibri"/>
        </w:rPr>
        <w:t xml:space="preserve"> had taken place </w:t>
      </w:r>
      <w:r w:rsidR="00117F53">
        <w:rPr>
          <w:rFonts w:eastAsia="Calibri"/>
        </w:rPr>
        <w:t xml:space="preserve">on </w:t>
      </w:r>
      <w:r w:rsidR="00595877">
        <w:rPr>
          <w:rFonts w:eastAsia="Calibri"/>
        </w:rPr>
        <w:t>27 March 2011</w:t>
      </w:r>
      <w:r w:rsidR="00117F53">
        <w:rPr>
          <w:rFonts w:eastAsia="Calibri"/>
        </w:rPr>
        <w:t>, claiming</w:t>
      </w:r>
      <w:r w:rsidR="00595877">
        <w:rPr>
          <w:rFonts w:eastAsia="Calibri"/>
        </w:rPr>
        <w:t xml:space="preserve"> the lives of two persons and </w:t>
      </w:r>
      <w:r w:rsidR="00117F53">
        <w:rPr>
          <w:rFonts w:eastAsia="Calibri"/>
        </w:rPr>
        <w:t>injuring</w:t>
      </w:r>
      <w:r w:rsidR="00595877">
        <w:rPr>
          <w:rFonts w:eastAsia="Calibri"/>
        </w:rPr>
        <w:t xml:space="preserve"> dozens of others. </w:t>
      </w:r>
      <w:r w:rsidR="0039500E">
        <w:rPr>
          <w:rFonts w:eastAsia="Calibri"/>
        </w:rPr>
        <w:t>The author answered that he did not know anything about the bombing. At that point, policemen started severely</w:t>
      </w:r>
      <w:r w:rsidR="00C14017">
        <w:rPr>
          <w:rFonts w:eastAsia="Calibri"/>
        </w:rPr>
        <w:t xml:space="preserve"> beating him</w:t>
      </w:r>
      <w:r w:rsidR="00D95FEC">
        <w:rPr>
          <w:rFonts w:eastAsia="Calibri"/>
        </w:rPr>
        <w:t>, which included</w:t>
      </w:r>
      <w:r w:rsidR="0039500E">
        <w:rPr>
          <w:rFonts w:eastAsia="Calibri"/>
        </w:rPr>
        <w:t xml:space="preserve"> slapping, punching and kicking. They also put a hard betel nut on </w:t>
      </w:r>
      <w:r w:rsidR="00102120">
        <w:rPr>
          <w:rFonts w:eastAsia="Calibri"/>
        </w:rPr>
        <w:t xml:space="preserve">the </w:t>
      </w:r>
      <w:r w:rsidR="0039500E">
        <w:rPr>
          <w:rFonts w:eastAsia="Calibri"/>
        </w:rPr>
        <w:t>palm</w:t>
      </w:r>
      <w:r w:rsidR="00102120">
        <w:rPr>
          <w:rFonts w:eastAsia="Calibri"/>
        </w:rPr>
        <w:t xml:space="preserve"> of his hand and</w:t>
      </w:r>
      <w:r w:rsidR="0039500E">
        <w:rPr>
          <w:rFonts w:eastAsia="Calibri"/>
        </w:rPr>
        <w:t xml:space="preserve"> </w:t>
      </w:r>
      <w:r w:rsidR="00102120">
        <w:rPr>
          <w:rFonts w:eastAsia="Calibri"/>
        </w:rPr>
        <w:t>placed the</w:t>
      </w:r>
      <w:r w:rsidR="0039500E">
        <w:rPr>
          <w:rFonts w:eastAsia="Calibri"/>
        </w:rPr>
        <w:t xml:space="preserve"> leg of a table </w:t>
      </w:r>
      <w:r w:rsidR="00102120">
        <w:rPr>
          <w:rFonts w:eastAsia="Calibri"/>
        </w:rPr>
        <w:t>on to</w:t>
      </w:r>
      <w:r w:rsidR="0039500E">
        <w:rPr>
          <w:rFonts w:eastAsia="Calibri"/>
        </w:rPr>
        <w:t xml:space="preserve"> the nut</w:t>
      </w:r>
      <w:r w:rsidR="00102120">
        <w:rPr>
          <w:rFonts w:eastAsia="Calibri"/>
        </w:rPr>
        <w:t>.</w:t>
      </w:r>
      <w:r w:rsidR="0039500E">
        <w:rPr>
          <w:rFonts w:eastAsia="Calibri"/>
        </w:rPr>
        <w:t xml:space="preserve"> </w:t>
      </w:r>
      <w:r w:rsidR="00102120">
        <w:rPr>
          <w:rFonts w:eastAsia="Calibri"/>
        </w:rPr>
        <w:t>Then,</w:t>
      </w:r>
      <w:r w:rsidR="0039500E">
        <w:rPr>
          <w:rFonts w:eastAsia="Calibri"/>
        </w:rPr>
        <w:t xml:space="preserve"> three </w:t>
      </w:r>
      <w:r w:rsidR="00102120">
        <w:rPr>
          <w:rFonts w:eastAsia="Calibri"/>
        </w:rPr>
        <w:t xml:space="preserve">or </w:t>
      </w:r>
      <w:r w:rsidR="0039500E">
        <w:rPr>
          <w:rFonts w:eastAsia="Calibri"/>
        </w:rPr>
        <w:t>four policemen climbed on top of the table, pressing the leg of the table on</w:t>
      </w:r>
      <w:r w:rsidR="00102120">
        <w:rPr>
          <w:rFonts w:eastAsia="Calibri"/>
        </w:rPr>
        <w:t xml:space="preserve"> </w:t>
      </w:r>
      <w:r w:rsidR="0039500E">
        <w:rPr>
          <w:rFonts w:eastAsia="Calibri"/>
        </w:rPr>
        <w:t xml:space="preserve">to </w:t>
      </w:r>
      <w:r w:rsidR="00102120">
        <w:rPr>
          <w:rFonts w:eastAsia="Calibri"/>
        </w:rPr>
        <w:t xml:space="preserve">the author’s </w:t>
      </w:r>
      <w:r w:rsidR="0039500E">
        <w:rPr>
          <w:rFonts w:eastAsia="Calibri"/>
        </w:rPr>
        <w:t>palm. This treatment was extremely painful and traumatic</w:t>
      </w:r>
      <w:r w:rsidR="00102120">
        <w:rPr>
          <w:rFonts w:eastAsia="Calibri"/>
        </w:rPr>
        <w:t xml:space="preserve"> for the author</w:t>
      </w:r>
      <w:r w:rsidR="0039500E">
        <w:rPr>
          <w:rFonts w:eastAsia="Calibri"/>
        </w:rPr>
        <w:t>. The police subjected him to this treatment for over an hour</w:t>
      </w:r>
      <w:r w:rsidR="00C14017">
        <w:rPr>
          <w:rFonts w:eastAsia="Calibri"/>
        </w:rPr>
        <w:t>.</w:t>
      </w:r>
      <w:r w:rsidR="0039500E">
        <w:rPr>
          <w:rFonts w:eastAsia="Calibri"/>
        </w:rPr>
        <w:t xml:space="preserve"> </w:t>
      </w:r>
      <w:r w:rsidR="00C14017">
        <w:rPr>
          <w:rFonts w:eastAsia="Calibri"/>
        </w:rPr>
        <w:t>P</w:t>
      </w:r>
      <w:r w:rsidR="0039500E">
        <w:rPr>
          <w:rFonts w:eastAsia="Calibri"/>
        </w:rPr>
        <w:t xml:space="preserve">ressure would be </w:t>
      </w:r>
      <w:r w:rsidR="00102120">
        <w:rPr>
          <w:rFonts w:eastAsia="Calibri"/>
        </w:rPr>
        <w:t>applied to</w:t>
      </w:r>
      <w:r w:rsidR="0039500E">
        <w:rPr>
          <w:rFonts w:eastAsia="Calibri"/>
        </w:rPr>
        <w:t xml:space="preserve"> his hand for about five to seven minutes</w:t>
      </w:r>
      <w:r w:rsidR="00102120">
        <w:rPr>
          <w:rFonts w:eastAsia="Calibri"/>
        </w:rPr>
        <w:t xml:space="preserve"> and</w:t>
      </w:r>
      <w:r w:rsidR="0039500E">
        <w:rPr>
          <w:rFonts w:eastAsia="Calibri"/>
        </w:rPr>
        <w:t xml:space="preserve"> then be stopped while questions were asked of </w:t>
      </w:r>
      <w:r w:rsidR="00102120">
        <w:rPr>
          <w:rFonts w:eastAsia="Calibri"/>
        </w:rPr>
        <w:t>him</w:t>
      </w:r>
      <w:r w:rsidR="0039500E">
        <w:rPr>
          <w:rFonts w:eastAsia="Calibri"/>
        </w:rPr>
        <w:t>, only</w:t>
      </w:r>
      <w:r w:rsidR="001F4998">
        <w:rPr>
          <w:rFonts w:eastAsia="Calibri"/>
        </w:rPr>
        <w:t xml:space="preserve"> for this</w:t>
      </w:r>
      <w:r w:rsidR="0039500E">
        <w:rPr>
          <w:rFonts w:eastAsia="Calibri"/>
        </w:rPr>
        <w:t xml:space="preserve"> to resume a few minutes later. During the interrogation the police tried to obtain a confession of his involvement in the bombing, as well as </w:t>
      </w:r>
      <w:r w:rsidR="00E30DA8">
        <w:rPr>
          <w:rFonts w:eastAsia="Calibri"/>
        </w:rPr>
        <w:t xml:space="preserve">an indication of </w:t>
      </w:r>
      <w:r w:rsidR="0039500E">
        <w:rPr>
          <w:rFonts w:eastAsia="Calibri"/>
        </w:rPr>
        <w:t>the complicity of three other persons. The author</w:t>
      </w:r>
      <w:r w:rsidR="00C14017">
        <w:rPr>
          <w:rFonts w:eastAsia="Calibri"/>
        </w:rPr>
        <w:t xml:space="preserve"> refused to provide </w:t>
      </w:r>
      <w:r w:rsidR="00E30DA8">
        <w:rPr>
          <w:rFonts w:eastAsia="Calibri"/>
        </w:rPr>
        <w:t xml:space="preserve">any </w:t>
      </w:r>
      <w:r w:rsidR="00102120">
        <w:rPr>
          <w:rFonts w:eastAsia="Calibri"/>
        </w:rPr>
        <w:t xml:space="preserve">such </w:t>
      </w:r>
      <w:r w:rsidR="00C14017">
        <w:rPr>
          <w:rFonts w:eastAsia="Calibri"/>
        </w:rPr>
        <w:t>confirmation</w:t>
      </w:r>
      <w:r w:rsidR="0039500E">
        <w:rPr>
          <w:rFonts w:eastAsia="Calibri"/>
        </w:rPr>
        <w:t>.</w:t>
      </w:r>
    </w:p>
    <w:p w14:paraId="5F21A661" w14:textId="7DEBF17E" w:rsidR="00595877" w:rsidRPr="00595877" w:rsidRDefault="00C267DE" w:rsidP="00530F84">
      <w:pPr>
        <w:pStyle w:val="SingleTxtG"/>
        <w:rPr>
          <w:rFonts w:eastAsia="MS Mincho"/>
        </w:rPr>
      </w:pPr>
      <w:r>
        <w:rPr>
          <w:rFonts w:eastAsia="MS Mincho"/>
        </w:rPr>
        <w:t>2.3</w:t>
      </w:r>
      <w:r w:rsidR="00595877" w:rsidRPr="00595877">
        <w:rPr>
          <w:rFonts w:eastAsia="MS Mincho"/>
        </w:rPr>
        <w:tab/>
        <w:t xml:space="preserve">Having not heard from the author, his mother attempted to contact him unsuccessfully </w:t>
      </w:r>
      <w:r w:rsidR="00530F84">
        <w:rPr>
          <w:rFonts w:eastAsia="MS Mincho"/>
        </w:rPr>
        <w:t>on</w:t>
      </w:r>
      <w:r w:rsidR="00530F84" w:rsidRPr="00595877">
        <w:rPr>
          <w:rFonts w:eastAsia="MS Mincho"/>
        </w:rPr>
        <w:t xml:space="preserve"> </w:t>
      </w:r>
      <w:r w:rsidR="00595877" w:rsidRPr="00595877">
        <w:rPr>
          <w:rFonts w:eastAsia="MS Mincho"/>
        </w:rPr>
        <w:t xml:space="preserve">his mobile phone and by making inquiries with family members and friends. On 8 April 2011, she filed a missing person’s report with the </w:t>
      </w:r>
      <w:proofErr w:type="spellStart"/>
      <w:r w:rsidR="00595877" w:rsidRPr="00595877">
        <w:rPr>
          <w:rFonts w:eastAsia="MS Mincho"/>
        </w:rPr>
        <w:t>Rupandehi</w:t>
      </w:r>
      <w:proofErr w:type="spellEnd"/>
      <w:r w:rsidR="00595877" w:rsidRPr="00595877">
        <w:rPr>
          <w:rFonts w:eastAsia="MS Mincho"/>
        </w:rPr>
        <w:t xml:space="preserve"> District Police Office. When she filed the report, the police denied that her son was</w:t>
      </w:r>
      <w:r w:rsidR="00102120">
        <w:rPr>
          <w:rFonts w:eastAsia="MS Mincho"/>
        </w:rPr>
        <w:t xml:space="preserve"> being</w:t>
      </w:r>
      <w:r w:rsidR="00595877" w:rsidRPr="00595877">
        <w:rPr>
          <w:rFonts w:eastAsia="MS Mincho"/>
        </w:rPr>
        <w:t xml:space="preserve"> kept in custody. On the same day</w:t>
      </w:r>
      <w:r w:rsidR="00C14017">
        <w:rPr>
          <w:rFonts w:eastAsia="MS Mincho"/>
        </w:rPr>
        <w:t>,</w:t>
      </w:r>
      <w:r w:rsidR="00595877" w:rsidRPr="00595877">
        <w:rPr>
          <w:rFonts w:eastAsia="MS Mincho"/>
        </w:rPr>
        <w:t xml:space="preserve"> the author’s mother also submitted a complaint to the local office of the National Human Rights Commission in </w:t>
      </w:r>
      <w:proofErr w:type="spellStart"/>
      <w:r w:rsidR="00595877" w:rsidRPr="00595877">
        <w:rPr>
          <w:rFonts w:eastAsia="MS Mincho"/>
        </w:rPr>
        <w:t>Butwal</w:t>
      </w:r>
      <w:proofErr w:type="spellEnd"/>
      <w:r w:rsidR="00102120">
        <w:rPr>
          <w:rFonts w:eastAsia="MS Mincho"/>
        </w:rPr>
        <w:t>,</w:t>
      </w:r>
      <w:r w:rsidR="00595877" w:rsidRPr="00595877">
        <w:rPr>
          <w:rFonts w:eastAsia="MS Mincho"/>
        </w:rPr>
        <w:t xml:space="preserve"> requesting the</w:t>
      </w:r>
      <w:r w:rsidR="00102120">
        <w:rPr>
          <w:rFonts w:eastAsia="MS Mincho"/>
        </w:rPr>
        <w:t xml:space="preserve"> commission’s</w:t>
      </w:r>
      <w:r w:rsidR="00595877" w:rsidRPr="00595877">
        <w:rPr>
          <w:rFonts w:eastAsia="MS Mincho"/>
        </w:rPr>
        <w:t xml:space="preserve"> intervention in establishing the whereabouts of her son an</w:t>
      </w:r>
      <w:r w:rsidR="00102120">
        <w:rPr>
          <w:rFonts w:eastAsia="MS Mincho"/>
        </w:rPr>
        <w:t>d</w:t>
      </w:r>
      <w:r w:rsidR="00595877" w:rsidRPr="00595877">
        <w:rPr>
          <w:rFonts w:eastAsia="MS Mincho"/>
        </w:rPr>
        <w:t xml:space="preserve"> in securing his release. The </w:t>
      </w:r>
      <w:r w:rsidR="00102120" w:rsidRPr="00595877">
        <w:rPr>
          <w:rFonts w:eastAsia="MS Mincho"/>
        </w:rPr>
        <w:t xml:space="preserve">Commission </w:t>
      </w:r>
      <w:r w:rsidR="00595877" w:rsidRPr="00595877">
        <w:rPr>
          <w:rFonts w:eastAsia="MS Mincho"/>
        </w:rPr>
        <w:t>did not take any formal steps to establish the whereabouts of her son. It was not until February 2014, after having been requested by the author to provide information on the action taken following the complaint</w:t>
      </w:r>
      <w:r w:rsidR="00DC16D4">
        <w:rPr>
          <w:rFonts w:eastAsia="MS Mincho"/>
        </w:rPr>
        <w:t>,</w:t>
      </w:r>
      <w:r w:rsidR="00595877" w:rsidRPr="00595877">
        <w:rPr>
          <w:rFonts w:eastAsia="MS Mincho"/>
        </w:rPr>
        <w:t xml:space="preserve"> that the </w:t>
      </w:r>
      <w:r w:rsidR="00102120" w:rsidRPr="00595877">
        <w:rPr>
          <w:rFonts w:eastAsia="MS Mincho"/>
        </w:rPr>
        <w:t xml:space="preserve">Commission </w:t>
      </w:r>
      <w:r w:rsidR="00595877" w:rsidRPr="00595877">
        <w:rPr>
          <w:rFonts w:eastAsia="MS Mincho"/>
        </w:rPr>
        <w:t xml:space="preserve">provided a </w:t>
      </w:r>
      <w:r w:rsidR="00C14017">
        <w:rPr>
          <w:rFonts w:eastAsia="MS Mincho"/>
        </w:rPr>
        <w:t>written response to the author</w:t>
      </w:r>
      <w:r w:rsidR="00FC1B77">
        <w:rPr>
          <w:rFonts w:eastAsia="MS Mincho"/>
        </w:rPr>
        <w:t>.</w:t>
      </w:r>
    </w:p>
    <w:p w14:paraId="646A8E9D" w14:textId="3E571C07" w:rsidR="008F4012" w:rsidRDefault="008F4012" w:rsidP="00CA229E">
      <w:pPr>
        <w:pStyle w:val="SingleTxtG"/>
        <w:rPr>
          <w:rFonts w:eastAsia="Calibri"/>
        </w:rPr>
      </w:pPr>
      <w:r w:rsidRPr="005756B9">
        <w:rPr>
          <w:rFonts w:eastAsia="Calibri"/>
        </w:rPr>
        <w:t>2.</w:t>
      </w:r>
      <w:r w:rsidR="00C267DE">
        <w:rPr>
          <w:rFonts w:eastAsia="Calibri"/>
        </w:rPr>
        <w:t>4</w:t>
      </w:r>
      <w:r w:rsidRPr="005756B9">
        <w:rPr>
          <w:rFonts w:eastAsia="Calibri"/>
        </w:rPr>
        <w:tab/>
      </w:r>
      <w:r>
        <w:rPr>
          <w:rFonts w:eastAsia="Calibri"/>
        </w:rPr>
        <w:t>On 8 April 2011</w:t>
      </w:r>
      <w:r w:rsidRPr="005B16BC">
        <w:rPr>
          <w:rFonts w:eastAsia="Calibri"/>
        </w:rPr>
        <w:t xml:space="preserve">, the author was </w:t>
      </w:r>
      <w:r>
        <w:rPr>
          <w:rFonts w:eastAsia="Calibri"/>
        </w:rPr>
        <w:t xml:space="preserve">again </w:t>
      </w:r>
      <w:r w:rsidRPr="005B16BC">
        <w:rPr>
          <w:rFonts w:eastAsia="Calibri"/>
        </w:rPr>
        <w:t xml:space="preserve">taken to the office of the Senior Superintendent of Police Prakash </w:t>
      </w:r>
      <w:proofErr w:type="spellStart"/>
      <w:r w:rsidRPr="005B16BC">
        <w:rPr>
          <w:rFonts w:eastAsia="Calibri"/>
        </w:rPr>
        <w:t>Aryal</w:t>
      </w:r>
      <w:proofErr w:type="spellEnd"/>
      <w:r w:rsidR="00DC16D4">
        <w:rPr>
          <w:rFonts w:eastAsia="Calibri"/>
        </w:rPr>
        <w:t>,</w:t>
      </w:r>
      <w:r w:rsidRPr="005B16BC">
        <w:rPr>
          <w:rFonts w:eastAsia="Calibri"/>
        </w:rPr>
        <w:t xml:space="preserve"> where he was interrogated and beaten with batons in order to extract </w:t>
      </w:r>
      <w:r w:rsidR="00D65149">
        <w:rPr>
          <w:rFonts w:eastAsia="Calibri"/>
        </w:rPr>
        <w:t>a</w:t>
      </w:r>
      <w:r w:rsidR="00D65149" w:rsidRPr="005B16BC">
        <w:rPr>
          <w:rFonts w:eastAsia="Calibri"/>
        </w:rPr>
        <w:t xml:space="preserve"> </w:t>
      </w:r>
      <w:r w:rsidRPr="005B16BC">
        <w:rPr>
          <w:rFonts w:eastAsia="Calibri"/>
        </w:rPr>
        <w:t xml:space="preserve">confession. </w:t>
      </w:r>
      <w:r w:rsidR="00C267DE">
        <w:rPr>
          <w:rFonts w:eastAsia="Calibri"/>
        </w:rPr>
        <w:t>The interrogation lasted for hours and he was repeatedly questioned about his alleged involvement in the bomb</w:t>
      </w:r>
      <w:r w:rsidR="00DC16D4">
        <w:rPr>
          <w:rFonts w:eastAsia="Calibri"/>
        </w:rPr>
        <w:t xml:space="preserve"> </w:t>
      </w:r>
      <w:r w:rsidR="00C267DE">
        <w:rPr>
          <w:rFonts w:eastAsia="Calibri"/>
        </w:rPr>
        <w:t xml:space="preserve">attack of 27 March 2011. At </w:t>
      </w:r>
      <w:r w:rsidR="00CA229E">
        <w:rPr>
          <w:rFonts w:eastAsia="Calibri"/>
        </w:rPr>
        <w:t>one</w:t>
      </w:r>
      <w:r w:rsidR="00C267DE">
        <w:rPr>
          <w:rFonts w:eastAsia="Calibri"/>
        </w:rPr>
        <w:t xml:space="preserve"> stage, the author was blindfolded and his mouth and ears were tightly </w:t>
      </w:r>
      <w:r w:rsidR="00CA229E">
        <w:rPr>
          <w:rFonts w:eastAsia="Calibri"/>
        </w:rPr>
        <w:t xml:space="preserve">bound </w:t>
      </w:r>
      <w:r w:rsidR="00C267DE">
        <w:rPr>
          <w:rFonts w:eastAsia="Calibri"/>
        </w:rPr>
        <w:t>with bandages. He was taken to a</w:t>
      </w:r>
      <w:r w:rsidR="00D65149">
        <w:rPr>
          <w:rFonts w:eastAsia="Calibri"/>
        </w:rPr>
        <w:t xml:space="preserve"> guard room, where he was forced</w:t>
      </w:r>
      <w:r w:rsidR="00C267DE">
        <w:rPr>
          <w:rFonts w:eastAsia="Calibri"/>
        </w:rPr>
        <w:t xml:space="preserve"> to stand continuously</w:t>
      </w:r>
      <w:r w:rsidR="00D65149">
        <w:rPr>
          <w:rFonts w:eastAsia="Calibri"/>
        </w:rPr>
        <w:t xml:space="preserve"> </w:t>
      </w:r>
      <w:r w:rsidR="00DC16D4">
        <w:rPr>
          <w:rFonts w:eastAsia="Calibri"/>
        </w:rPr>
        <w:t xml:space="preserve">for more than 50 hours, </w:t>
      </w:r>
      <w:r w:rsidR="00D65149">
        <w:rPr>
          <w:rFonts w:eastAsia="Calibri"/>
        </w:rPr>
        <w:t>until 11 April 2011</w:t>
      </w:r>
      <w:r w:rsidR="00C267DE">
        <w:rPr>
          <w:rFonts w:eastAsia="Calibri"/>
        </w:rPr>
        <w:t xml:space="preserve">. Whenever he tried to sit, he was beaten. He was not allowed any food or drink. </w:t>
      </w:r>
    </w:p>
    <w:p w14:paraId="15CE7137" w14:textId="0CBE8F66" w:rsidR="00510F73" w:rsidRPr="00510F73" w:rsidRDefault="00510F73" w:rsidP="001349FB">
      <w:pPr>
        <w:pStyle w:val="SingleTxtG"/>
        <w:rPr>
          <w:rFonts w:eastAsia="Calibri"/>
        </w:rPr>
      </w:pPr>
      <w:r>
        <w:rPr>
          <w:rFonts w:eastAsia="Calibri"/>
        </w:rPr>
        <w:t>2.5</w:t>
      </w:r>
      <w:r>
        <w:rPr>
          <w:rFonts w:eastAsia="Calibri"/>
        </w:rPr>
        <w:tab/>
        <w:t xml:space="preserve">On 11 April 2011, the author was taken back to the </w:t>
      </w:r>
      <w:r w:rsidRPr="00510F73">
        <w:rPr>
          <w:rFonts w:eastAsia="Calibri"/>
        </w:rPr>
        <w:t>office of the Senior Superintendent</w:t>
      </w:r>
      <w:r>
        <w:rPr>
          <w:rFonts w:eastAsia="Calibri"/>
        </w:rPr>
        <w:t>. The bandages were removed</w:t>
      </w:r>
      <w:r w:rsidR="00CA229E">
        <w:rPr>
          <w:rFonts w:eastAsia="Calibri"/>
        </w:rPr>
        <w:t xml:space="preserve"> from his mouth and ears, but he</w:t>
      </w:r>
      <w:r>
        <w:rPr>
          <w:rFonts w:eastAsia="Calibri"/>
        </w:rPr>
        <w:t xml:space="preserve"> was left blindfolded. He was interrogated again and subjected to further beatings, including being hit on the head with a baton. One of the policemen stepped on his toe and plucked out his </w:t>
      </w:r>
      <w:r w:rsidR="00DC16D4">
        <w:rPr>
          <w:rFonts w:eastAsia="Calibri"/>
        </w:rPr>
        <w:t>toe</w:t>
      </w:r>
      <w:r>
        <w:rPr>
          <w:rFonts w:eastAsia="Calibri"/>
        </w:rPr>
        <w:t xml:space="preserve">nail. When the author requested to go to the toilet he was forced by the policemen to urinate on an </w:t>
      </w:r>
      <w:r w:rsidR="00030E3B">
        <w:rPr>
          <w:rFonts w:eastAsia="Calibri"/>
        </w:rPr>
        <w:t>electric</w:t>
      </w:r>
      <w:r>
        <w:rPr>
          <w:rFonts w:eastAsia="Calibri"/>
        </w:rPr>
        <w:t xml:space="preserve"> heater. The electric shock he received caused him to faint and caused bleeding from his genitals. When he recovered consciousness the blindfolds had been removed. He did not receive any medical assistance or treatment. He was asked once more to confess to his involvement in the bomb</w:t>
      </w:r>
      <w:r w:rsidR="00DC16D4">
        <w:rPr>
          <w:rFonts w:eastAsia="Calibri"/>
        </w:rPr>
        <w:t xml:space="preserve"> </w:t>
      </w:r>
      <w:r>
        <w:rPr>
          <w:rFonts w:eastAsia="Calibri"/>
        </w:rPr>
        <w:t>attack and was threatened with death if he refused to do so. Exhausted, scared and in pain</w:t>
      </w:r>
      <w:r w:rsidR="00DC16D4">
        <w:rPr>
          <w:rFonts w:eastAsia="Calibri"/>
        </w:rPr>
        <w:t>,</w:t>
      </w:r>
      <w:r>
        <w:rPr>
          <w:rFonts w:eastAsia="Calibri"/>
        </w:rPr>
        <w:t xml:space="preserve"> he confessed his involvement</w:t>
      </w:r>
      <w:r w:rsidR="001349FB" w:rsidRPr="001349FB">
        <w:rPr>
          <w:rFonts w:eastAsia="Calibri"/>
        </w:rPr>
        <w:t xml:space="preserve"> </w:t>
      </w:r>
      <w:r w:rsidR="001349FB">
        <w:rPr>
          <w:rFonts w:eastAsia="Calibri"/>
        </w:rPr>
        <w:t>in the attack</w:t>
      </w:r>
      <w:r>
        <w:rPr>
          <w:rFonts w:eastAsia="Calibri"/>
        </w:rPr>
        <w:t xml:space="preserve">, </w:t>
      </w:r>
      <w:r>
        <w:rPr>
          <w:rFonts w:eastAsia="Calibri"/>
        </w:rPr>
        <w:lastRenderedPageBreak/>
        <w:t>as well as the involvement of the t</w:t>
      </w:r>
      <w:r w:rsidR="00D65149">
        <w:rPr>
          <w:rFonts w:eastAsia="Calibri"/>
        </w:rPr>
        <w:t>h</w:t>
      </w:r>
      <w:r>
        <w:rPr>
          <w:rFonts w:eastAsia="Calibri"/>
        </w:rPr>
        <w:t xml:space="preserve">ree persons mentioned by the police. The next day he was taken to hospital for a medical test, but did not receive any treatment. </w:t>
      </w:r>
      <w:r w:rsidR="00227191">
        <w:rPr>
          <w:rFonts w:eastAsia="Calibri"/>
        </w:rPr>
        <w:t>Later on</w:t>
      </w:r>
      <w:r w:rsidR="00DC16D4">
        <w:rPr>
          <w:rFonts w:eastAsia="Calibri"/>
        </w:rPr>
        <w:t>,</w:t>
      </w:r>
      <w:r w:rsidR="00227191">
        <w:rPr>
          <w:rFonts w:eastAsia="Calibri"/>
        </w:rPr>
        <w:t xml:space="preserve"> he was forced to sign a confession </w:t>
      </w:r>
      <w:r w:rsidR="00DC16D4">
        <w:rPr>
          <w:rFonts w:eastAsia="Calibri"/>
        </w:rPr>
        <w:t xml:space="preserve">that </w:t>
      </w:r>
      <w:r w:rsidR="00227191">
        <w:rPr>
          <w:rFonts w:eastAsia="Calibri"/>
        </w:rPr>
        <w:t xml:space="preserve">had been drafted by the police </w:t>
      </w:r>
      <w:r w:rsidR="00DC16D4">
        <w:rPr>
          <w:rFonts w:eastAsia="Calibri"/>
        </w:rPr>
        <w:t>but that</w:t>
      </w:r>
      <w:r w:rsidR="00227191">
        <w:rPr>
          <w:rFonts w:eastAsia="Calibri"/>
        </w:rPr>
        <w:t xml:space="preserve"> he could not read. He was also forced to record a video statement.</w:t>
      </w:r>
      <w:r w:rsidR="00F87A63">
        <w:rPr>
          <w:rFonts w:eastAsia="Calibri"/>
        </w:rPr>
        <w:t xml:space="preserve"> </w:t>
      </w:r>
      <w:r w:rsidR="00D65149">
        <w:rPr>
          <w:rFonts w:eastAsia="Calibri"/>
        </w:rPr>
        <w:t>H</w:t>
      </w:r>
      <w:r w:rsidR="00F87A63">
        <w:rPr>
          <w:rFonts w:eastAsia="Calibri"/>
        </w:rPr>
        <w:t xml:space="preserve">e was held incommunicado from 7 to 13 April 2011. </w:t>
      </w:r>
      <w:r w:rsidR="00C442C2">
        <w:rPr>
          <w:rFonts w:eastAsia="Calibri"/>
        </w:rPr>
        <w:t>Over</w:t>
      </w:r>
      <w:r w:rsidR="00F87A63">
        <w:rPr>
          <w:rFonts w:eastAsia="Calibri"/>
        </w:rPr>
        <w:t xml:space="preserve"> this period he did not have access to a lawyer and could not communicate with his family. He did not receive any food for three days and </w:t>
      </w:r>
      <w:r w:rsidR="007D6B5C">
        <w:rPr>
          <w:rFonts w:eastAsia="Calibri"/>
        </w:rPr>
        <w:t xml:space="preserve">was given </w:t>
      </w:r>
      <w:r w:rsidR="00F87A63">
        <w:rPr>
          <w:rFonts w:eastAsia="Calibri"/>
        </w:rPr>
        <w:t xml:space="preserve">nothing to drink for two days. </w:t>
      </w:r>
    </w:p>
    <w:p w14:paraId="646A8E9E" w14:textId="791AE17F" w:rsidR="008F4012" w:rsidRDefault="008F4012" w:rsidP="007D6B5C">
      <w:pPr>
        <w:pStyle w:val="SingleTxtG"/>
        <w:rPr>
          <w:rFonts w:eastAsia="Calibri"/>
        </w:rPr>
      </w:pPr>
      <w:r w:rsidRPr="005756B9">
        <w:rPr>
          <w:rFonts w:eastAsia="Calibri"/>
        </w:rPr>
        <w:t>2</w:t>
      </w:r>
      <w:r w:rsidR="00EC2E5C">
        <w:rPr>
          <w:rFonts w:eastAsia="Calibri"/>
        </w:rPr>
        <w:t>.</w:t>
      </w:r>
      <w:r w:rsidR="0019519E">
        <w:rPr>
          <w:rFonts w:eastAsia="Calibri"/>
        </w:rPr>
        <w:t>6</w:t>
      </w:r>
      <w:r w:rsidRPr="005756B9">
        <w:rPr>
          <w:rFonts w:eastAsia="Calibri"/>
        </w:rPr>
        <w:tab/>
      </w:r>
      <w:r>
        <w:rPr>
          <w:rFonts w:eastAsia="Calibri"/>
        </w:rPr>
        <w:t>On</w:t>
      </w:r>
      <w:r w:rsidRPr="005B16BC">
        <w:rPr>
          <w:rFonts w:eastAsia="Calibri"/>
        </w:rPr>
        <w:t xml:space="preserve"> 13 April 2011, the author was</w:t>
      </w:r>
      <w:r w:rsidR="0019519E">
        <w:rPr>
          <w:rFonts w:eastAsia="Calibri"/>
        </w:rPr>
        <w:t xml:space="preserve"> remanded in custody by the </w:t>
      </w:r>
      <w:proofErr w:type="spellStart"/>
      <w:r w:rsidR="0019519E">
        <w:rPr>
          <w:rFonts w:eastAsia="Calibri"/>
        </w:rPr>
        <w:t>Rupandehi</w:t>
      </w:r>
      <w:proofErr w:type="spellEnd"/>
      <w:r w:rsidR="0019519E">
        <w:rPr>
          <w:rFonts w:eastAsia="Calibri"/>
        </w:rPr>
        <w:t xml:space="preserve"> District Court and was </w:t>
      </w:r>
      <w:r w:rsidRPr="005B16BC">
        <w:rPr>
          <w:rFonts w:eastAsia="Calibri"/>
        </w:rPr>
        <w:t xml:space="preserve">transferred to the </w:t>
      </w:r>
      <w:r w:rsidR="007D6B5C">
        <w:rPr>
          <w:rFonts w:eastAsia="Calibri"/>
        </w:rPr>
        <w:t>area police o</w:t>
      </w:r>
      <w:r w:rsidRPr="005B16BC">
        <w:rPr>
          <w:rFonts w:eastAsia="Calibri"/>
        </w:rPr>
        <w:t xml:space="preserve">ffice in </w:t>
      </w:r>
      <w:proofErr w:type="spellStart"/>
      <w:r w:rsidR="00462F99" w:rsidRPr="005B16BC">
        <w:rPr>
          <w:rFonts w:eastAsia="Calibri"/>
        </w:rPr>
        <w:t>Butwal</w:t>
      </w:r>
      <w:proofErr w:type="spellEnd"/>
      <w:r w:rsidR="00462F99" w:rsidRPr="005B16BC">
        <w:rPr>
          <w:rFonts w:eastAsia="Calibri"/>
        </w:rPr>
        <w:t xml:space="preserve">. </w:t>
      </w:r>
      <w:r w:rsidR="0019519E">
        <w:rPr>
          <w:rFonts w:eastAsia="Calibri"/>
        </w:rPr>
        <w:t>He was shown in public in the presence of journalists and his whereabouts were disclosed. N</w:t>
      </w:r>
      <w:r w:rsidRPr="005B16BC">
        <w:rPr>
          <w:rFonts w:eastAsia="Calibri"/>
        </w:rPr>
        <w:t xml:space="preserve">ewspaper articles were published presenting him as one of the main </w:t>
      </w:r>
      <w:r>
        <w:rPr>
          <w:rFonts w:eastAsia="Calibri"/>
        </w:rPr>
        <w:t>perpetrators</w:t>
      </w:r>
      <w:r w:rsidRPr="005B16BC">
        <w:rPr>
          <w:rFonts w:eastAsia="Calibri"/>
        </w:rPr>
        <w:t xml:space="preserve"> </w:t>
      </w:r>
      <w:r>
        <w:rPr>
          <w:rFonts w:eastAsia="Calibri"/>
        </w:rPr>
        <w:t>of</w:t>
      </w:r>
      <w:r w:rsidRPr="005B16BC">
        <w:rPr>
          <w:rFonts w:eastAsia="Calibri"/>
        </w:rPr>
        <w:t xml:space="preserve"> the bomb</w:t>
      </w:r>
      <w:r w:rsidR="00DC16D4">
        <w:rPr>
          <w:rFonts w:eastAsia="Calibri"/>
        </w:rPr>
        <w:t xml:space="preserve"> </w:t>
      </w:r>
      <w:r w:rsidR="0019519E">
        <w:rPr>
          <w:rFonts w:eastAsia="Calibri"/>
        </w:rPr>
        <w:t>attack</w:t>
      </w:r>
      <w:r w:rsidRPr="005B16BC">
        <w:rPr>
          <w:rFonts w:eastAsia="Calibri"/>
        </w:rPr>
        <w:t xml:space="preserve">, although none of the allegations had been corroborated by means of thorough investigations </w:t>
      </w:r>
      <w:r w:rsidR="007D6B5C">
        <w:rPr>
          <w:rFonts w:eastAsia="Calibri"/>
        </w:rPr>
        <w:t>or</w:t>
      </w:r>
      <w:r w:rsidR="007D6B5C" w:rsidRPr="005B16BC">
        <w:rPr>
          <w:rFonts w:eastAsia="Calibri"/>
        </w:rPr>
        <w:t xml:space="preserve"> </w:t>
      </w:r>
      <w:r w:rsidRPr="005B16BC">
        <w:rPr>
          <w:rFonts w:eastAsia="Calibri"/>
        </w:rPr>
        <w:t xml:space="preserve">established </w:t>
      </w:r>
      <w:r w:rsidR="007D6B5C">
        <w:rPr>
          <w:rFonts w:eastAsia="Calibri"/>
        </w:rPr>
        <w:t>in</w:t>
      </w:r>
      <w:r w:rsidR="007D6B5C" w:rsidRPr="005B16BC">
        <w:rPr>
          <w:rFonts w:eastAsia="Calibri"/>
        </w:rPr>
        <w:t xml:space="preserve"> </w:t>
      </w:r>
      <w:r w:rsidRPr="005B16BC">
        <w:rPr>
          <w:rFonts w:eastAsia="Calibri"/>
        </w:rPr>
        <w:t>a final judgment</w:t>
      </w:r>
      <w:r>
        <w:rPr>
          <w:rFonts w:eastAsia="Calibri"/>
        </w:rPr>
        <w:t>.</w:t>
      </w:r>
      <w:r w:rsidRPr="005B16BC">
        <w:rPr>
          <w:rFonts w:eastAsia="Calibri"/>
        </w:rPr>
        <w:t xml:space="preserve"> </w:t>
      </w:r>
      <w:r w:rsidR="0019519E">
        <w:rPr>
          <w:rFonts w:eastAsia="Calibri"/>
        </w:rPr>
        <w:t xml:space="preserve">He was kept in </w:t>
      </w:r>
      <w:proofErr w:type="spellStart"/>
      <w:r w:rsidR="0019519E">
        <w:rPr>
          <w:rFonts w:eastAsia="Calibri"/>
        </w:rPr>
        <w:t>Butwal</w:t>
      </w:r>
      <w:proofErr w:type="spellEnd"/>
      <w:r w:rsidR="0019519E">
        <w:rPr>
          <w:rFonts w:eastAsia="Calibri"/>
        </w:rPr>
        <w:t xml:space="preserve"> for 28 days. During this time he was occasionally beaten and insulted by policemen. He was kept in a severely overcrowded cell </w:t>
      </w:r>
      <w:r w:rsidR="006B5F21">
        <w:rPr>
          <w:rFonts w:eastAsia="Calibri"/>
        </w:rPr>
        <w:t xml:space="preserve">with </w:t>
      </w:r>
      <w:r w:rsidR="0019519E">
        <w:rPr>
          <w:rFonts w:eastAsia="Calibri"/>
        </w:rPr>
        <w:t xml:space="preserve">50 </w:t>
      </w:r>
      <w:r w:rsidR="006B5F21">
        <w:rPr>
          <w:rFonts w:eastAsia="Calibri"/>
        </w:rPr>
        <w:t xml:space="preserve">other </w:t>
      </w:r>
      <w:r w:rsidR="0019519E">
        <w:rPr>
          <w:rFonts w:eastAsia="Calibri"/>
        </w:rPr>
        <w:t>detainees</w:t>
      </w:r>
      <w:r w:rsidR="006B5F21">
        <w:rPr>
          <w:rFonts w:eastAsia="Calibri"/>
        </w:rPr>
        <w:t>,</w:t>
      </w:r>
      <w:r w:rsidR="0019519E">
        <w:rPr>
          <w:rFonts w:eastAsia="Calibri"/>
        </w:rPr>
        <w:t xml:space="preserve"> </w:t>
      </w:r>
      <w:r w:rsidR="007D6B5C">
        <w:rPr>
          <w:rFonts w:eastAsia="Calibri"/>
        </w:rPr>
        <w:t>even though the</w:t>
      </w:r>
      <w:r w:rsidR="0019519E">
        <w:rPr>
          <w:rFonts w:eastAsia="Calibri"/>
        </w:rPr>
        <w:t xml:space="preserve"> cell could </w:t>
      </w:r>
      <w:r w:rsidR="007D6B5C">
        <w:rPr>
          <w:rFonts w:eastAsia="Calibri"/>
        </w:rPr>
        <w:t>accommodate only 10 persons</w:t>
      </w:r>
      <w:r w:rsidR="0019519E">
        <w:rPr>
          <w:rFonts w:eastAsia="Calibri"/>
        </w:rPr>
        <w:t>. At night they had to take turns sleeping on wooden planks</w:t>
      </w:r>
      <w:r w:rsidR="007D6B5C">
        <w:rPr>
          <w:rFonts w:eastAsia="Calibri"/>
        </w:rPr>
        <w:t>,</w:t>
      </w:r>
      <w:r w:rsidR="00EC2E5C">
        <w:rPr>
          <w:rFonts w:eastAsia="Calibri"/>
        </w:rPr>
        <w:t xml:space="preserve"> and they only had a few dirty blankets. There was no ventilation in the cell</w:t>
      </w:r>
      <w:r w:rsidR="007D6B5C">
        <w:rPr>
          <w:rFonts w:eastAsia="Calibri"/>
        </w:rPr>
        <w:t>,</w:t>
      </w:r>
      <w:r w:rsidR="00EC2E5C">
        <w:rPr>
          <w:rFonts w:eastAsia="Calibri"/>
        </w:rPr>
        <w:t xml:space="preserve"> and hygienic conditions were very poor. The cell was infested with mosquito</w:t>
      </w:r>
      <w:r w:rsidR="001F4998">
        <w:rPr>
          <w:rFonts w:eastAsia="Calibri"/>
        </w:rPr>
        <w:t>e</w:t>
      </w:r>
      <w:r w:rsidR="00EC2E5C">
        <w:rPr>
          <w:rFonts w:eastAsia="Calibri"/>
        </w:rPr>
        <w:t>s and bugs.</w:t>
      </w:r>
    </w:p>
    <w:p w14:paraId="3753E31E" w14:textId="1AD636B4" w:rsidR="00EC2E5C" w:rsidRDefault="008F4012" w:rsidP="00220EDE">
      <w:pPr>
        <w:pStyle w:val="SingleTxtG"/>
        <w:rPr>
          <w:rFonts w:eastAsia="Calibri"/>
        </w:rPr>
      </w:pPr>
      <w:r w:rsidRPr="005756B9">
        <w:rPr>
          <w:rFonts w:eastAsia="Calibri"/>
        </w:rPr>
        <w:t>2.</w:t>
      </w:r>
      <w:r w:rsidR="00EC2E5C">
        <w:rPr>
          <w:rFonts w:eastAsia="Calibri"/>
        </w:rPr>
        <w:t>7</w:t>
      </w:r>
      <w:r w:rsidRPr="005756B9">
        <w:rPr>
          <w:rFonts w:eastAsia="Calibri"/>
        </w:rPr>
        <w:tab/>
      </w:r>
      <w:r>
        <w:rPr>
          <w:rFonts w:eastAsia="Calibri"/>
        </w:rPr>
        <w:t>O</w:t>
      </w:r>
      <w:r w:rsidRPr="005B16BC">
        <w:rPr>
          <w:rFonts w:eastAsia="Calibri"/>
        </w:rPr>
        <w:t xml:space="preserve">n </w:t>
      </w:r>
      <w:r>
        <w:rPr>
          <w:rFonts w:eastAsia="Calibri"/>
        </w:rPr>
        <w:t xml:space="preserve">8 </w:t>
      </w:r>
      <w:r w:rsidRPr="005B16BC">
        <w:rPr>
          <w:rFonts w:eastAsia="Calibri"/>
        </w:rPr>
        <w:t xml:space="preserve">May 2011, the </w:t>
      </w:r>
      <w:r w:rsidR="00EC2E5C">
        <w:rPr>
          <w:rFonts w:eastAsia="Calibri"/>
        </w:rPr>
        <w:t xml:space="preserve">author was brought before a judge at the </w:t>
      </w:r>
      <w:proofErr w:type="spellStart"/>
      <w:r w:rsidRPr="005B16BC">
        <w:rPr>
          <w:rFonts w:eastAsia="Calibri"/>
        </w:rPr>
        <w:t>Rupandehi</w:t>
      </w:r>
      <w:proofErr w:type="spellEnd"/>
      <w:r w:rsidRPr="005B16BC">
        <w:rPr>
          <w:rFonts w:eastAsia="Calibri"/>
        </w:rPr>
        <w:t xml:space="preserve"> District Court</w:t>
      </w:r>
      <w:r w:rsidR="00D65149">
        <w:rPr>
          <w:rFonts w:eastAsia="Calibri"/>
        </w:rPr>
        <w:t>.</w:t>
      </w:r>
      <w:r w:rsidRPr="005B16BC">
        <w:rPr>
          <w:rFonts w:eastAsia="Calibri"/>
        </w:rPr>
        <w:t xml:space="preserve"> </w:t>
      </w:r>
      <w:r w:rsidR="00EC2E5C">
        <w:rPr>
          <w:rFonts w:eastAsia="Calibri"/>
        </w:rPr>
        <w:t>T</w:t>
      </w:r>
      <w:r w:rsidRPr="005B16BC">
        <w:rPr>
          <w:rFonts w:eastAsia="Calibri"/>
        </w:rPr>
        <w:t xml:space="preserve">he author </w:t>
      </w:r>
      <w:r w:rsidR="00EC2E5C">
        <w:rPr>
          <w:rFonts w:eastAsia="Calibri"/>
        </w:rPr>
        <w:t>expressly declared</w:t>
      </w:r>
      <w:r w:rsidR="00EC2E5C" w:rsidRPr="005B16BC">
        <w:rPr>
          <w:rFonts w:eastAsia="Calibri"/>
        </w:rPr>
        <w:t xml:space="preserve"> </w:t>
      </w:r>
      <w:r w:rsidRPr="005B16BC">
        <w:rPr>
          <w:rFonts w:eastAsia="Calibri"/>
        </w:rPr>
        <w:t>that his confession had been extracted under torture</w:t>
      </w:r>
      <w:r w:rsidR="00EC2E5C">
        <w:rPr>
          <w:rFonts w:eastAsia="Calibri"/>
        </w:rPr>
        <w:t xml:space="preserve"> and that he had no involvement </w:t>
      </w:r>
      <w:r w:rsidR="00D65149">
        <w:rPr>
          <w:rFonts w:eastAsia="Calibri"/>
        </w:rPr>
        <w:t>in</w:t>
      </w:r>
      <w:r w:rsidR="00EC2E5C">
        <w:rPr>
          <w:rFonts w:eastAsia="Calibri"/>
        </w:rPr>
        <w:t xml:space="preserve"> the bomb</w:t>
      </w:r>
      <w:r w:rsidR="00DC16D4">
        <w:rPr>
          <w:rFonts w:eastAsia="Calibri"/>
        </w:rPr>
        <w:t xml:space="preserve"> </w:t>
      </w:r>
      <w:r w:rsidR="00EC2E5C">
        <w:rPr>
          <w:rFonts w:eastAsia="Calibri"/>
        </w:rPr>
        <w:t>attack of 27 March 2011</w:t>
      </w:r>
      <w:r w:rsidR="007D6B5C">
        <w:rPr>
          <w:rFonts w:eastAsia="Calibri"/>
        </w:rPr>
        <w:t>.</w:t>
      </w:r>
      <w:r w:rsidR="006B5F21">
        <w:rPr>
          <w:rStyle w:val="FootnoteReference"/>
          <w:rFonts w:eastAsia="Calibri"/>
        </w:rPr>
        <w:footnoteReference w:id="4"/>
      </w:r>
      <w:r w:rsidRPr="005B16BC">
        <w:rPr>
          <w:rFonts w:eastAsia="Calibri"/>
        </w:rPr>
        <w:t xml:space="preserve"> </w:t>
      </w:r>
      <w:r w:rsidR="00EC2E5C">
        <w:rPr>
          <w:rFonts w:eastAsia="Calibri"/>
        </w:rPr>
        <w:t xml:space="preserve">On 11 May 2011, the </w:t>
      </w:r>
      <w:r w:rsidR="00220EDE">
        <w:rPr>
          <w:rFonts w:eastAsia="Calibri"/>
        </w:rPr>
        <w:t>District Court</w:t>
      </w:r>
      <w:r w:rsidR="00EC2E5C">
        <w:rPr>
          <w:rFonts w:eastAsia="Calibri"/>
        </w:rPr>
        <w:t xml:space="preserve"> ordered that the author be kept in </w:t>
      </w:r>
      <w:proofErr w:type="spellStart"/>
      <w:r w:rsidR="00EC2E5C">
        <w:rPr>
          <w:rFonts w:eastAsia="Calibri"/>
        </w:rPr>
        <w:t>pretrial</w:t>
      </w:r>
      <w:proofErr w:type="spellEnd"/>
      <w:r w:rsidR="00EC2E5C">
        <w:rPr>
          <w:rFonts w:eastAsia="Calibri"/>
        </w:rPr>
        <w:t xml:space="preserve"> detention. The author was subsequently held in </w:t>
      </w:r>
      <w:proofErr w:type="spellStart"/>
      <w:r w:rsidR="00EC2E5C" w:rsidRPr="00916D1F">
        <w:rPr>
          <w:rFonts w:eastAsia="Calibri"/>
        </w:rPr>
        <w:t>pret</w:t>
      </w:r>
      <w:r w:rsidR="00EC2E5C">
        <w:rPr>
          <w:rFonts w:eastAsia="Calibri"/>
        </w:rPr>
        <w:t>rial</w:t>
      </w:r>
      <w:proofErr w:type="spellEnd"/>
      <w:r w:rsidR="00EC2E5C">
        <w:rPr>
          <w:rFonts w:eastAsia="Calibri"/>
        </w:rPr>
        <w:t xml:space="preserve"> detention at the District Prison at Kalipapath-12 in </w:t>
      </w:r>
      <w:proofErr w:type="spellStart"/>
      <w:r w:rsidR="00EC2E5C">
        <w:rPr>
          <w:rFonts w:eastAsia="Calibri"/>
        </w:rPr>
        <w:t>Bhairahawa</w:t>
      </w:r>
      <w:proofErr w:type="spellEnd"/>
      <w:r w:rsidR="00EC2E5C">
        <w:rPr>
          <w:rFonts w:eastAsia="Calibri"/>
        </w:rPr>
        <w:t xml:space="preserve"> for a year until his trial started.</w:t>
      </w:r>
    </w:p>
    <w:p w14:paraId="646A8E9F" w14:textId="1287CFE1" w:rsidR="008F4012" w:rsidRPr="005756B9" w:rsidRDefault="00EC2E5C" w:rsidP="00E30DA8">
      <w:pPr>
        <w:pStyle w:val="SingleTxtG"/>
        <w:rPr>
          <w:rFonts w:eastAsia="Calibri"/>
        </w:rPr>
      </w:pPr>
      <w:r>
        <w:rPr>
          <w:rFonts w:eastAsia="Calibri"/>
        </w:rPr>
        <w:t>2.8</w:t>
      </w:r>
      <w:r>
        <w:rPr>
          <w:rFonts w:eastAsia="Calibri"/>
        </w:rPr>
        <w:tab/>
      </w:r>
      <w:r w:rsidR="008F4012" w:rsidRPr="005B16BC">
        <w:rPr>
          <w:rFonts w:eastAsia="Calibri"/>
        </w:rPr>
        <w:t xml:space="preserve">On 13 June 2012, the </w:t>
      </w:r>
      <w:proofErr w:type="spellStart"/>
      <w:r w:rsidR="008F4012" w:rsidRPr="005B16BC">
        <w:rPr>
          <w:rFonts w:eastAsia="Calibri"/>
        </w:rPr>
        <w:t>Rupandehi</w:t>
      </w:r>
      <w:proofErr w:type="spellEnd"/>
      <w:r w:rsidR="008F4012" w:rsidRPr="005B16BC">
        <w:rPr>
          <w:rFonts w:eastAsia="Calibri"/>
        </w:rPr>
        <w:t xml:space="preserve"> District Court found the author guilty of </w:t>
      </w:r>
      <w:r w:rsidR="00916D1F">
        <w:rPr>
          <w:rFonts w:eastAsia="Calibri"/>
        </w:rPr>
        <w:t>preparing</w:t>
      </w:r>
      <w:r w:rsidR="008F4012" w:rsidRPr="005B16BC">
        <w:rPr>
          <w:rFonts w:eastAsia="Calibri"/>
        </w:rPr>
        <w:t xml:space="preserve"> the bomb attack and</w:t>
      </w:r>
      <w:r w:rsidR="00A838C2">
        <w:rPr>
          <w:rFonts w:eastAsia="Calibri"/>
        </w:rPr>
        <w:t xml:space="preserve"> </w:t>
      </w:r>
      <w:r w:rsidR="008F4012" w:rsidRPr="005B16BC">
        <w:rPr>
          <w:rFonts w:eastAsia="Calibri"/>
        </w:rPr>
        <w:t xml:space="preserve">sentenced him to one year of imprisonment. </w:t>
      </w:r>
      <w:r w:rsidR="008F4012">
        <w:rPr>
          <w:rFonts w:eastAsia="Calibri"/>
        </w:rPr>
        <w:t>The Court did not find any</w:t>
      </w:r>
      <w:r w:rsidR="008F4012" w:rsidRPr="005B16BC">
        <w:rPr>
          <w:rFonts w:eastAsia="Calibri"/>
        </w:rPr>
        <w:t xml:space="preserve"> evidence of the author</w:t>
      </w:r>
      <w:r w:rsidR="000371AF">
        <w:rPr>
          <w:rFonts w:eastAsia="Calibri"/>
        </w:rPr>
        <w:t>’</w:t>
      </w:r>
      <w:r w:rsidR="008F4012" w:rsidRPr="005B16BC">
        <w:rPr>
          <w:rFonts w:eastAsia="Calibri"/>
        </w:rPr>
        <w:t>s involvement in the</w:t>
      </w:r>
      <w:r w:rsidR="009E22A5">
        <w:rPr>
          <w:rFonts w:eastAsia="Calibri"/>
        </w:rPr>
        <w:t xml:space="preserve"> a</w:t>
      </w:r>
      <w:r w:rsidR="008F4012">
        <w:rPr>
          <w:rFonts w:eastAsia="Calibri"/>
        </w:rPr>
        <w:t>ctual</w:t>
      </w:r>
      <w:r w:rsidR="008F4012" w:rsidRPr="005B16BC">
        <w:rPr>
          <w:rFonts w:eastAsia="Calibri"/>
        </w:rPr>
        <w:t xml:space="preserve"> placement of the bomb</w:t>
      </w:r>
      <w:r w:rsidR="008F4012">
        <w:rPr>
          <w:rFonts w:eastAsia="Calibri"/>
        </w:rPr>
        <w:t xml:space="preserve">. </w:t>
      </w:r>
      <w:r>
        <w:rPr>
          <w:rFonts w:eastAsia="Calibri"/>
        </w:rPr>
        <w:t>T</w:t>
      </w:r>
      <w:r w:rsidR="008F4012">
        <w:rPr>
          <w:rFonts w:eastAsia="Calibri"/>
        </w:rPr>
        <w:t xml:space="preserve">he confession extracted from the author </w:t>
      </w:r>
      <w:r>
        <w:rPr>
          <w:rFonts w:eastAsia="Calibri"/>
        </w:rPr>
        <w:t xml:space="preserve">under </w:t>
      </w:r>
      <w:r w:rsidR="008F4012">
        <w:rPr>
          <w:rFonts w:eastAsia="Calibri"/>
        </w:rPr>
        <w:t>torture was admitted as valid evidence during the proceedings</w:t>
      </w:r>
      <w:r>
        <w:rPr>
          <w:rFonts w:eastAsia="Calibri"/>
        </w:rPr>
        <w:t xml:space="preserve"> and no investigation into his </w:t>
      </w:r>
      <w:r w:rsidR="00E72A27">
        <w:rPr>
          <w:rFonts w:eastAsia="Calibri"/>
        </w:rPr>
        <w:t>claim of having been subjected to torture was initiated by the authorities.</w:t>
      </w:r>
      <w:r w:rsidR="008F4012">
        <w:rPr>
          <w:rFonts w:eastAsia="Calibri"/>
        </w:rPr>
        <w:t xml:space="preserve"> </w:t>
      </w:r>
      <w:r w:rsidR="008F4012" w:rsidRPr="005B16BC">
        <w:rPr>
          <w:rFonts w:eastAsia="Calibri"/>
        </w:rPr>
        <w:t xml:space="preserve">However, </w:t>
      </w:r>
      <w:r w:rsidR="00E30DA8">
        <w:rPr>
          <w:rFonts w:eastAsia="Calibri"/>
        </w:rPr>
        <w:t>given</w:t>
      </w:r>
      <w:r w:rsidR="000371AF">
        <w:rPr>
          <w:rFonts w:eastAsia="Calibri"/>
        </w:rPr>
        <w:t xml:space="preserve"> </w:t>
      </w:r>
      <w:r w:rsidR="008F4012">
        <w:rPr>
          <w:rFonts w:eastAsia="Calibri"/>
        </w:rPr>
        <w:t xml:space="preserve">that </w:t>
      </w:r>
      <w:r>
        <w:rPr>
          <w:rFonts w:eastAsia="Calibri"/>
        </w:rPr>
        <w:t>t</w:t>
      </w:r>
      <w:r w:rsidR="008F4012">
        <w:rPr>
          <w:rFonts w:eastAsia="Calibri"/>
        </w:rPr>
        <w:t>he</w:t>
      </w:r>
      <w:r w:rsidR="008F4012" w:rsidRPr="005B16BC">
        <w:rPr>
          <w:rFonts w:eastAsia="Calibri"/>
        </w:rPr>
        <w:t xml:space="preserve"> </w:t>
      </w:r>
      <w:r>
        <w:rPr>
          <w:rFonts w:eastAsia="Calibri"/>
        </w:rPr>
        <w:t xml:space="preserve">author </w:t>
      </w:r>
      <w:r w:rsidR="008F4012">
        <w:rPr>
          <w:rFonts w:eastAsia="Calibri"/>
        </w:rPr>
        <w:t>had already spent more than a year in detention,</w:t>
      </w:r>
      <w:r w:rsidR="008F4012" w:rsidRPr="005B16BC">
        <w:rPr>
          <w:rFonts w:eastAsia="Calibri"/>
        </w:rPr>
        <w:t xml:space="preserve"> he was </w:t>
      </w:r>
      <w:r w:rsidR="008F4012">
        <w:rPr>
          <w:rFonts w:eastAsia="Calibri"/>
        </w:rPr>
        <w:t>immediately</w:t>
      </w:r>
      <w:r w:rsidR="008F4012" w:rsidRPr="005B16BC">
        <w:rPr>
          <w:rFonts w:eastAsia="Calibri"/>
        </w:rPr>
        <w:t xml:space="preserve"> released</w:t>
      </w:r>
      <w:r>
        <w:rPr>
          <w:rFonts w:eastAsia="Calibri"/>
        </w:rPr>
        <w:t xml:space="preserve"> upon pronouncement of the verdict</w:t>
      </w:r>
      <w:r w:rsidR="008F4012">
        <w:rPr>
          <w:rFonts w:eastAsia="Calibri"/>
        </w:rPr>
        <w:t>.</w:t>
      </w:r>
      <w:r w:rsidR="008F4012" w:rsidRPr="005B16BC">
        <w:rPr>
          <w:rFonts w:eastAsia="Calibri"/>
        </w:rPr>
        <w:t xml:space="preserve"> Upon his release, the author was </w:t>
      </w:r>
      <w:r w:rsidR="00957D90" w:rsidRPr="005B16BC">
        <w:rPr>
          <w:rFonts w:eastAsia="Calibri"/>
        </w:rPr>
        <w:t>hospitali</w:t>
      </w:r>
      <w:r w:rsidR="00957D90">
        <w:rPr>
          <w:rFonts w:eastAsia="Calibri"/>
        </w:rPr>
        <w:t>z</w:t>
      </w:r>
      <w:r w:rsidR="00957D90" w:rsidRPr="005B16BC">
        <w:rPr>
          <w:rFonts w:eastAsia="Calibri"/>
        </w:rPr>
        <w:t xml:space="preserve">ed </w:t>
      </w:r>
      <w:r w:rsidR="008F4012" w:rsidRPr="005B16BC">
        <w:rPr>
          <w:rFonts w:eastAsia="Calibri"/>
        </w:rPr>
        <w:t>due to his poor state of health</w:t>
      </w:r>
      <w:r w:rsidR="00E72A27">
        <w:rPr>
          <w:rFonts w:eastAsia="Calibri"/>
        </w:rPr>
        <w:t>.</w:t>
      </w:r>
      <w:r w:rsidR="008F4012" w:rsidRPr="005B16BC">
        <w:rPr>
          <w:rFonts w:eastAsia="Calibri"/>
        </w:rPr>
        <w:t xml:space="preserve"> </w:t>
      </w:r>
      <w:r w:rsidR="008F4012">
        <w:rPr>
          <w:rFonts w:eastAsia="Calibri"/>
        </w:rPr>
        <w:t xml:space="preserve">The </w:t>
      </w:r>
      <w:r w:rsidR="00E72A27">
        <w:rPr>
          <w:rFonts w:eastAsia="Calibri"/>
        </w:rPr>
        <w:t>torture he had been subjected to had caused him</w:t>
      </w:r>
      <w:r w:rsidR="008F4012" w:rsidRPr="005B16BC">
        <w:rPr>
          <w:rFonts w:eastAsia="Calibri"/>
        </w:rPr>
        <w:t xml:space="preserve"> significant mental and permanent physical </w:t>
      </w:r>
      <w:r w:rsidR="00E72A27">
        <w:rPr>
          <w:rFonts w:eastAsia="Calibri"/>
        </w:rPr>
        <w:t xml:space="preserve">harm. He was rendered </w:t>
      </w:r>
      <w:r w:rsidR="00E72A27" w:rsidRPr="00E72A27">
        <w:rPr>
          <w:rFonts w:eastAsia="Calibri"/>
        </w:rPr>
        <w:t xml:space="preserve">sexually impotent and sterile due to the electric shock received when he was forced to urinate on </w:t>
      </w:r>
      <w:r w:rsidR="00E72A27">
        <w:rPr>
          <w:rFonts w:eastAsia="Calibri"/>
        </w:rPr>
        <w:t>the</w:t>
      </w:r>
      <w:r w:rsidR="00E72A27" w:rsidRPr="00E72A27">
        <w:rPr>
          <w:rFonts w:eastAsia="Calibri"/>
        </w:rPr>
        <w:t xml:space="preserve"> electric heater. </w:t>
      </w:r>
      <w:r w:rsidR="00E72A27">
        <w:rPr>
          <w:rFonts w:eastAsia="Calibri"/>
        </w:rPr>
        <w:t>He sometimes suffers from loss of consciousness due to the torture inflicted on him</w:t>
      </w:r>
      <w:r w:rsidR="001F4998">
        <w:rPr>
          <w:rFonts w:eastAsia="Calibri"/>
        </w:rPr>
        <w:t>. H</w:t>
      </w:r>
      <w:r w:rsidR="00E72A27">
        <w:rPr>
          <w:rFonts w:eastAsia="Calibri"/>
        </w:rPr>
        <w:t xml:space="preserve">e </w:t>
      </w:r>
      <w:r w:rsidR="00DB05CB">
        <w:rPr>
          <w:rFonts w:eastAsia="Calibri"/>
        </w:rPr>
        <w:t>h</w:t>
      </w:r>
      <w:r w:rsidR="00E72A27">
        <w:rPr>
          <w:rFonts w:eastAsia="Calibri"/>
        </w:rPr>
        <w:t>as difficult</w:t>
      </w:r>
      <w:r w:rsidR="000371AF">
        <w:rPr>
          <w:rFonts w:eastAsia="Calibri"/>
        </w:rPr>
        <w:t>y</w:t>
      </w:r>
      <w:r w:rsidR="00E72A27">
        <w:rPr>
          <w:rFonts w:eastAsia="Calibri"/>
        </w:rPr>
        <w:t xml:space="preserve"> sleeping, suffers from panic attacks and depression and lives in a constant state of fear</w:t>
      </w:r>
      <w:r w:rsidR="000371AF">
        <w:rPr>
          <w:rFonts w:eastAsia="Calibri"/>
        </w:rPr>
        <w:t>.</w:t>
      </w:r>
      <w:r w:rsidR="00E71EFD">
        <w:rPr>
          <w:rStyle w:val="FootnoteReference"/>
          <w:rFonts w:eastAsia="Calibri"/>
        </w:rPr>
        <w:footnoteReference w:id="5"/>
      </w:r>
      <w:r w:rsidR="00E72A27">
        <w:rPr>
          <w:rFonts w:eastAsia="Calibri"/>
        </w:rPr>
        <w:t xml:space="preserve"> His health conditions will require prolonged medical treatment.</w:t>
      </w:r>
    </w:p>
    <w:p w14:paraId="646A8EA0" w14:textId="68467056" w:rsidR="008F4012" w:rsidRDefault="008F4012" w:rsidP="001F4998">
      <w:pPr>
        <w:pStyle w:val="SingleTxtG"/>
        <w:rPr>
          <w:rFonts w:eastAsia="Calibri"/>
        </w:rPr>
      </w:pPr>
      <w:r w:rsidRPr="005756B9">
        <w:rPr>
          <w:rFonts w:eastAsia="Calibri"/>
        </w:rPr>
        <w:t>2.</w:t>
      </w:r>
      <w:r w:rsidR="00E72A27">
        <w:rPr>
          <w:rFonts w:eastAsia="Calibri"/>
        </w:rPr>
        <w:t>9</w:t>
      </w:r>
      <w:r w:rsidRPr="005756B9">
        <w:rPr>
          <w:rFonts w:eastAsia="Calibri"/>
        </w:rPr>
        <w:tab/>
      </w:r>
      <w:r>
        <w:rPr>
          <w:rFonts w:eastAsia="Calibri"/>
        </w:rPr>
        <w:t xml:space="preserve">On 16 October 2012, the </w:t>
      </w:r>
      <w:proofErr w:type="spellStart"/>
      <w:r>
        <w:rPr>
          <w:rFonts w:eastAsia="Calibri"/>
        </w:rPr>
        <w:t>Terai</w:t>
      </w:r>
      <w:proofErr w:type="spellEnd"/>
      <w:r>
        <w:rPr>
          <w:rFonts w:eastAsia="Calibri"/>
        </w:rPr>
        <w:t xml:space="preserve"> Human Rights Defenders</w:t>
      </w:r>
      <w:r w:rsidR="000371AF">
        <w:rPr>
          <w:rFonts w:eastAsia="Calibri"/>
        </w:rPr>
        <w:t xml:space="preserve"> Alliance</w:t>
      </w:r>
      <w:r w:rsidR="001F4998">
        <w:rPr>
          <w:rFonts w:eastAsia="Calibri"/>
        </w:rPr>
        <w:t>, a</w:t>
      </w:r>
      <w:r>
        <w:rPr>
          <w:rFonts w:eastAsia="Calibri"/>
        </w:rPr>
        <w:t xml:space="preserve"> </w:t>
      </w:r>
      <w:r w:rsidR="001F4998">
        <w:rPr>
          <w:rFonts w:eastAsia="Calibri"/>
        </w:rPr>
        <w:t>non-governmental organization,</w:t>
      </w:r>
      <w:r w:rsidR="001F4998" w:rsidRPr="00AA3649">
        <w:rPr>
          <w:rFonts w:eastAsia="Calibri"/>
        </w:rPr>
        <w:t xml:space="preserve"> </w:t>
      </w:r>
      <w:r>
        <w:rPr>
          <w:rFonts w:eastAsia="Calibri"/>
        </w:rPr>
        <w:t>s</w:t>
      </w:r>
      <w:r w:rsidRPr="00AA3649">
        <w:rPr>
          <w:rFonts w:eastAsia="Calibri"/>
        </w:rPr>
        <w:t xml:space="preserve">ubmitted an urgent </w:t>
      </w:r>
      <w:r>
        <w:rPr>
          <w:rFonts w:eastAsia="Calibri"/>
        </w:rPr>
        <w:t>appeal</w:t>
      </w:r>
      <w:r w:rsidRPr="00AA3649">
        <w:rPr>
          <w:rFonts w:eastAsia="Calibri"/>
        </w:rPr>
        <w:t xml:space="preserve"> on </w:t>
      </w:r>
      <w:r w:rsidR="000371AF">
        <w:rPr>
          <w:rFonts w:eastAsia="Calibri"/>
        </w:rPr>
        <w:t xml:space="preserve">the author’s </w:t>
      </w:r>
      <w:r w:rsidRPr="00AA3649">
        <w:rPr>
          <w:rFonts w:eastAsia="Calibri"/>
        </w:rPr>
        <w:t xml:space="preserve">behalf </w:t>
      </w:r>
      <w:r>
        <w:rPr>
          <w:rFonts w:eastAsia="Calibri"/>
        </w:rPr>
        <w:t xml:space="preserve">to the </w:t>
      </w:r>
      <w:r w:rsidR="000371AF">
        <w:rPr>
          <w:rFonts w:eastAsia="Calibri"/>
        </w:rPr>
        <w:t>United Nations</w:t>
      </w:r>
      <w:r>
        <w:rPr>
          <w:rFonts w:eastAsia="Calibri"/>
        </w:rPr>
        <w:t xml:space="preserve"> Special Rapporteur on </w:t>
      </w:r>
      <w:r w:rsidR="000371AF">
        <w:rPr>
          <w:rFonts w:eastAsia="Calibri"/>
        </w:rPr>
        <w:t>torture and other cruel, inhuman or degrading treatment or punishment</w:t>
      </w:r>
      <w:r>
        <w:rPr>
          <w:rFonts w:eastAsia="Calibri"/>
        </w:rPr>
        <w:t>. O</w:t>
      </w:r>
      <w:r w:rsidRPr="000C2ACC">
        <w:rPr>
          <w:rFonts w:eastAsia="Calibri"/>
        </w:rPr>
        <w:t>n 12 December 2012, the author</w:t>
      </w:r>
      <w:r w:rsidR="000371AF">
        <w:rPr>
          <w:rFonts w:eastAsia="Calibri"/>
        </w:rPr>
        <w:t>’</w:t>
      </w:r>
      <w:r w:rsidRPr="000C2ACC">
        <w:rPr>
          <w:rFonts w:eastAsia="Calibri"/>
        </w:rPr>
        <w:t>s mother filed a complaint</w:t>
      </w:r>
      <w:r>
        <w:rPr>
          <w:rStyle w:val="FootnoteReference"/>
          <w:rFonts w:eastAsia="Calibri"/>
        </w:rPr>
        <w:footnoteReference w:id="6"/>
      </w:r>
      <w:r w:rsidRPr="000C2ACC">
        <w:rPr>
          <w:rFonts w:eastAsia="Calibri"/>
        </w:rPr>
        <w:t xml:space="preserve"> </w:t>
      </w:r>
      <w:r>
        <w:rPr>
          <w:rFonts w:eastAsia="Calibri"/>
        </w:rPr>
        <w:t xml:space="preserve">on his behalf </w:t>
      </w:r>
      <w:r w:rsidRPr="000C2ACC">
        <w:rPr>
          <w:rFonts w:eastAsia="Calibri"/>
        </w:rPr>
        <w:t xml:space="preserve">before the </w:t>
      </w:r>
      <w:proofErr w:type="spellStart"/>
      <w:r w:rsidRPr="000C2ACC">
        <w:rPr>
          <w:rFonts w:eastAsia="Calibri"/>
        </w:rPr>
        <w:t>Rupandehi</w:t>
      </w:r>
      <w:proofErr w:type="spellEnd"/>
      <w:r w:rsidRPr="000C2ACC">
        <w:rPr>
          <w:rFonts w:eastAsia="Calibri"/>
        </w:rPr>
        <w:t xml:space="preserve"> District Court</w:t>
      </w:r>
      <w:r w:rsidR="000371AF">
        <w:rPr>
          <w:rFonts w:eastAsia="Calibri"/>
        </w:rPr>
        <w:t>,</w:t>
      </w:r>
      <w:r w:rsidRPr="000C2ACC">
        <w:rPr>
          <w:rFonts w:eastAsia="Calibri"/>
        </w:rPr>
        <w:t xml:space="preserve"> </w:t>
      </w:r>
      <w:r w:rsidR="00E72A27">
        <w:rPr>
          <w:rFonts w:eastAsia="Calibri"/>
        </w:rPr>
        <w:t>stating</w:t>
      </w:r>
      <w:r w:rsidR="00E72A27" w:rsidRPr="000C2ACC">
        <w:rPr>
          <w:rFonts w:eastAsia="Calibri"/>
        </w:rPr>
        <w:t xml:space="preserve"> </w:t>
      </w:r>
      <w:r w:rsidRPr="000C2ACC">
        <w:rPr>
          <w:rFonts w:eastAsia="Calibri"/>
        </w:rPr>
        <w:t xml:space="preserve">that police officers had tortured the author. </w:t>
      </w:r>
      <w:r>
        <w:rPr>
          <w:rFonts w:eastAsia="Calibri"/>
        </w:rPr>
        <w:t>On the same date, t</w:t>
      </w:r>
      <w:r w:rsidRPr="000C2ACC">
        <w:rPr>
          <w:rFonts w:eastAsia="Calibri"/>
        </w:rPr>
        <w:t xml:space="preserve">he </w:t>
      </w:r>
      <w:r>
        <w:rPr>
          <w:rFonts w:eastAsia="Calibri"/>
        </w:rPr>
        <w:t>registrar of the Court refused to register the complaint</w:t>
      </w:r>
      <w:r w:rsidR="009F26AA">
        <w:rPr>
          <w:rFonts w:eastAsia="Calibri"/>
        </w:rPr>
        <w:t>,</w:t>
      </w:r>
      <w:r w:rsidRPr="000C2ACC">
        <w:rPr>
          <w:rFonts w:eastAsia="Calibri"/>
        </w:rPr>
        <w:t xml:space="preserve"> as it </w:t>
      </w:r>
      <w:r>
        <w:rPr>
          <w:rFonts w:eastAsia="Calibri"/>
        </w:rPr>
        <w:t>did not</w:t>
      </w:r>
      <w:r w:rsidRPr="000C2ACC">
        <w:rPr>
          <w:rFonts w:eastAsia="Calibri"/>
        </w:rPr>
        <w:t xml:space="preserve"> comply with the 35-day statutory limit established under </w:t>
      </w:r>
      <w:r w:rsidR="009F26AA">
        <w:rPr>
          <w:rFonts w:eastAsia="Calibri"/>
        </w:rPr>
        <w:t xml:space="preserve">the </w:t>
      </w:r>
      <w:r>
        <w:rPr>
          <w:rFonts w:eastAsia="Calibri"/>
        </w:rPr>
        <w:t xml:space="preserve">Compensation </w:t>
      </w:r>
      <w:r w:rsidR="003A5EB3">
        <w:rPr>
          <w:rFonts w:eastAsia="Calibri"/>
        </w:rPr>
        <w:t>r</w:t>
      </w:r>
      <w:r w:rsidR="009F26AA">
        <w:rPr>
          <w:rFonts w:eastAsia="Calibri"/>
        </w:rPr>
        <w:t xml:space="preserve">elating to Torture </w:t>
      </w:r>
      <w:r>
        <w:rPr>
          <w:rFonts w:eastAsia="Calibri"/>
        </w:rPr>
        <w:t>Act</w:t>
      </w:r>
      <w:r w:rsidR="00272E70">
        <w:rPr>
          <w:rFonts w:eastAsia="Calibri"/>
        </w:rPr>
        <w:t>, 1996</w:t>
      </w:r>
      <w:r w:rsidRPr="000C2ACC">
        <w:rPr>
          <w:rFonts w:eastAsia="Calibri"/>
        </w:rPr>
        <w:t>.</w:t>
      </w:r>
      <w:r>
        <w:rPr>
          <w:rFonts w:eastAsia="Calibri"/>
        </w:rPr>
        <w:t xml:space="preserve"> The author </w:t>
      </w:r>
      <w:r w:rsidR="00E72A27">
        <w:rPr>
          <w:rFonts w:eastAsia="Calibri"/>
        </w:rPr>
        <w:t xml:space="preserve">notes </w:t>
      </w:r>
      <w:r>
        <w:rPr>
          <w:rFonts w:eastAsia="Calibri"/>
        </w:rPr>
        <w:t xml:space="preserve">that </w:t>
      </w:r>
      <w:r w:rsidR="009F26AA">
        <w:rPr>
          <w:rFonts w:eastAsia="Calibri"/>
        </w:rPr>
        <w:t xml:space="preserve">it would have been materially impossible for him to file </w:t>
      </w:r>
      <w:r>
        <w:rPr>
          <w:rFonts w:eastAsia="Calibri"/>
        </w:rPr>
        <w:t xml:space="preserve">a complaint within 35 days </w:t>
      </w:r>
      <w:r w:rsidR="009F26AA">
        <w:rPr>
          <w:rFonts w:eastAsia="Calibri"/>
        </w:rPr>
        <w:t xml:space="preserve">of </w:t>
      </w:r>
      <w:r>
        <w:rPr>
          <w:rFonts w:eastAsia="Calibri"/>
        </w:rPr>
        <w:t xml:space="preserve">the date of </w:t>
      </w:r>
      <w:r w:rsidR="009F26AA">
        <w:rPr>
          <w:rFonts w:eastAsia="Calibri"/>
        </w:rPr>
        <w:t xml:space="preserve">the </w:t>
      </w:r>
      <w:r>
        <w:rPr>
          <w:rFonts w:eastAsia="Calibri"/>
        </w:rPr>
        <w:t>infliction of torture</w:t>
      </w:r>
      <w:r w:rsidR="009F26AA">
        <w:rPr>
          <w:rFonts w:eastAsia="Calibri"/>
        </w:rPr>
        <w:t>,</w:t>
      </w:r>
      <w:r>
        <w:rPr>
          <w:rFonts w:eastAsia="Calibri"/>
        </w:rPr>
        <w:t xml:space="preserve"> as he was being held in detention and was not </w:t>
      </w:r>
      <w:r w:rsidR="00825E0A">
        <w:rPr>
          <w:rFonts w:eastAsia="Calibri"/>
        </w:rPr>
        <w:t>allowed to file a</w:t>
      </w:r>
      <w:r w:rsidR="00957D90">
        <w:rPr>
          <w:rFonts w:eastAsia="Calibri"/>
        </w:rPr>
        <w:t>ny</w:t>
      </w:r>
      <w:r w:rsidR="00825E0A">
        <w:rPr>
          <w:rFonts w:eastAsia="Calibri"/>
        </w:rPr>
        <w:t xml:space="preserve"> complaint or </w:t>
      </w:r>
      <w:r>
        <w:rPr>
          <w:rFonts w:eastAsia="Calibri"/>
        </w:rPr>
        <w:t xml:space="preserve">obtain a medical certificate (another condition required </w:t>
      </w:r>
      <w:r w:rsidR="00825E0A">
        <w:rPr>
          <w:rFonts w:eastAsia="Calibri"/>
        </w:rPr>
        <w:t xml:space="preserve">under </w:t>
      </w:r>
      <w:r>
        <w:rPr>
          <w:rFonts w:eastAsia="Calibri"/>
        </w:rPr>
        <w:t>domestic law).</w:t>
      </w:r>
      <w:r w:rsidR="00957D90">
        <w:rPr>
          <w:rFonts w:eastAsia="Calibri"/>
        </w:rPr>
        <w:t xml:space="preserve"> </w:t>
      </w:r>
      <w:r w:rsidR="00825E0A">
        <w:rPr>
          <w:rFonts w:eastAsia="Calibri"/>
        </w:rPr>
        <w:t xml:space="preserve">He further notes </w:t>
      </w:r>
      <w:r w:rsidR="00E72A27">
        <w:rPr>
          <w:rFonts w:eastAsia="Calibri"/>
        </w:rPr>
        <w:t xml:space="preserve">that he did not file his </w:t>
      </w:r>
      <w:r w:rsidR="00E72A27">
        <w:rPr>
          <w:rFonts w:eastAsia="Calibri"/>
        </w:rPr>
        <w:lastRenderedPageBreak/>
        <w:t>complaint immediately after his release</w:t>
      </w:r>
      <w:r w:rsidR="00957D90">
        <w:rPr>
          <w:rFonts w:eastAsia="Calibri"/>
        </w:rPr>
        <w:t>,</w:t>
      </w:r>
      <w:r w:rsidR="00E72A27">
        <w:rPr>
          <w:rFonts w:eastAsia="Calibri"/>
        </w:rPr>
        <w:t xml:space="preserve"> as he was </w:t>
      </w:r>
      <w:r w:rsidR="00957D90">
        <w:rPr>
          <w:rFonts w:eastAsia="Calibri"/>
        </w:rPr>
        <w:t xml:space="preserve">hospitalized </w:t>
      </w:r>
      <w:r w:rsidR="00E72A27">
        <w:rPr>
          <w:rFonts w:eastAsia="Calibri"/>
        </w:rPr>
        <w:t>and traumatized. It took him months to leave the hospital</w:t>
      </w:r>
      <w:r w:rsidR="009610A4">
        <w:rPr>
          <w:rFonts w:eastAsia="Calibri"/>
        </w:rPr>
        <w:t xml:space="preserve"> and to overcome the fear </w:t>
      </w:r>
      <w:r w:rsidR="00DB05CB">
        <w:rPr>
          <w:rFonts w:eastAsia="Calibri"/>
        </w:rPr>
        <w:t>of</w:t>
      </w:r>
      <w:r w:rsidR="009610A4">
        <w:rPr>
          <w:rFonts w:eastAsia="Calibri"/>
        </w:rPr>
        <w:t xml:space="preserve"> filing a complaint.</w:t>
      </w:r>
      <w:r>
        <w:rPr>
          <w:rFonts w:eastAsia="Calibri"/>
        </w:rPr>
        <w:t xml:space="preserve"> </w:t>
      </w:r>
      <w:r w:rsidR="005250B0">
        <w:rPr>
          <w:rFonts w:eastAsia="Calibri"/>
        </w:rPr>
        <w:t>He additionally argues that the 35-day statutory limit for bringing claims of torture</w:t>
      </w:r>
      <w:r w:rsidR="00B7534D">
        <w:rPr>
          <w:rFonts w:eastAsia="Calibri"/>
        </w:rPr>
        <w:t>, counting</w:t>
      </w:r>
      <w:r w:rsidR="005250B0">
        <w:rPr>
          <w:rFonts w:eastAsia="Calibri"/>
        </w:rPr>
        <w:t xml:space="preserve"> from</w:t>
      </w:r>
      <w:r w:rsidR="00462F99">
        <w:rPr>
          <w:rFonts w:eastAsia="Calibri"/>
        </w:rPr>
        <w:t xml:space="preserve"> the</w:t>
      </w:r>
      <w:r w:rsidR="005250B0">
        <w:rPr>
          <w:rFonts w:eastAsia="Calibri"/>
        </w:rPr>
        <w:t xml:space="preserve"> </w:t>
      </w:r>
      <w:r w:rsidR="00D65149">
        <w:rPr>
          <w:rFonts w:eastAsia="Calibri"/>
        </w:rPr>
        <w:t>date of the</w:t>
      </w:r>
      <w:r w:rsidR="005250B0">
        <w:rPr>
          <w:rFonts w:eastAsia="Calibri"/>
        </w:rPr>
        <w:t xml:space="preserve"> torture or the date of release</w:t>
      </w:r>
      <w:r w:rsidR="00B7534D">
        <w:rPr>
          <w:rFonts w:eastAsia="Calibri"/>
        </w:rPr>
        <w:t>,</w:t>
      </w:r>
      <w:r w:rsidR="005250B0">
        <w:rPr>
          <w:rFonts w:eastAsia="Calibri"/>
        </w:rPr>
        <w:t xml:space="preserve"> is inconsistent with the gravity of the offence</w:t>
      </w:r>
      <w:r w:rsidR="00FC1B77">
        <w:rPr>
          <w:rFonts w:eastAsia="Calibri"/>
        </w:rPr>
        <w:t>.</w:t>
      </w:r>
      <w:r w:rsidR="005250B0">
        <w:rPr>
          <w:rStyle w:val="FootnoteReference"/>
          <w:rFonts w:eastAsia="Calibri"/>
        </w:rPr>
        <w:footnoteReference w:id="7"/>
      </w:r>
      <w:r w:rsidR="005250B0">
        <w:rPr>
          <w:rFonts w:eastAsia="Calibri"/>
        </w:rPr>
        <w:t xml:space="preserve"> </w:t>
      </w:r>
    </w:p>
    <w:p w14:paraId="66F71FDA" w14:textId="291BB881" w:rsidR="009610A4" w:rsidRDefault="008F4012" w:rsidP="00005A32">
      <w:pPr>
        <w:pStyle w:val="SingleTxtG"/>
        <w:rPr>
          <w:rFonts w:eastAsia="Calibri"/>
        </w:rPr>
      </w:pPr>
      <w:r w:rsidRPr="005756B9">
        <w:rPr>
          <w:rFonts w:eastAsia="Calibri"/>
        </w:rPr>
        <w:t>2.</w:t>
      </w:r>
      <w:r w:rsidR="00DB05CB">
        <w:rPr>
          <w:rFonts w:eastAsia="Calibri"/>
        </w:rPr>
        <w:t>10</w:t>
      </w:r>
      <w:r w:rsidRPr="005756B9">
        <w:rPr>
          <w:rFonts w:eastAsia="Calibri"/>
        </w:rPr>
        <w:tab/>
      </w:r>
      <w:r>
        <w:rPr>
          <w:rFonts w:eastAsia="Calibri"/>
        </w:rPr>
        <w:t>O</w:t>
      </w:r>
      <w:r w:rsidRPr="000C2ACC">
        <w:rPr>
          <w:rFonts w:eastAsia="Calibri"/>
        </w:rPr>
        <w:t xml:space="preserve">n 24 January 2013, the author </w:t>
      </w:r>
      <w:r>
        <w:rPr>
          <w:rFonts w:eastAsia="Calibri"/>
        </w:rPr>
        <w:t>lodged</w:t>
      </w:r>
      <w:r w:rsidRPr="000C2ACC">
        <w:rPr>
          <w:rFonts w:eastAsia="Calibri"/>
        </w:rPr>
        <w:t xml:space="preserve"> a complaint </w:t>
      </w:r>
      <w:r w:rsidR="00724CD8">
        <w:rPr>
          <w:rFonts w:eastAsia="Calibri"/>
        </w:rPr>
        <w:t>with</w:t>
      </w:r>
      <w:r w:rsidR="00724CD8" w:rsidRPr="000C2ACC">
        <w:rPr>
          <w:rFonts w:eastAsia="Calibri"/>
        </w:rPr>
        <w:t xml:space="preserve"> </w:t>
      </w:r>
      <w:r w:rsidRPr="000C2ACC">
        <w:rPr>
          <w:rFonts w:eastAsia="Calibri"/>
        </w:rPr>
        <w:t xml:space="preserve">the Supreme Court of Nepal seeking </w:t>
      </w:r>
      <w:r w:rsidR="001A390A">
        <w:rPr>
          <w:rFonts w:eastAsia="Calibri"/>
        </w:rPr>
        <w:t>compensation for the harm endured</w:t>
      </w:r>
      <w:r w:rsidR="001A390A" w:rsidRPr="000C2ACC">
        <w:rPr>
          <w:rFonts w:eastAsia="Calibri"/>
        </w:rPr>
        <w:t xml:space="preserve"> </w:t>
      </w:r>
      <w:r w:rsidRPr="000C2ACC">
        <w:rPr>
          <w:rFonts w:eastAsia="Calibri"/>
        </w:rPr>
        <w:t xml:space="preserve">and requesting </w:t>
      </w:r>
      <w:r>
        <w:rPr>
          <w:rFonts w:eastAsia="Calibri"/>
        </w:rPr>
        <w:t>an exemption from the application of the</w:t>
      </w:r>
      <w:r w:rsidRPr="000C2ACC">
        <w:rPr>
          <w:rFonts w:eastAsia="Calibri"/>
        </w:rPr>
        <w:t xml:space="preserve"> 35-day </w:t>
      </w:r>
      <w:r>
        <w:rPr>
          <w:rFonts w:eastAsia="Calibri"/>
        </w:rPr>
        <w:t xml:space="preserve">limit in the particular circumstances of </w:t>
      </w:r>
      <w:r w:rsidRPr="000C2ACC">
        <w:rPr>
          <w:rFonts w:eastAsia="Calibri"/>
        </w:rPr>
        <w:t xml:space="preserve">his case. </w:t>
      </w:r>
      <w:r>
        <w:rPr>
          <w:rFonts w:eastAsia="Calibri"/>
        </w:rPr>
        <w:t>At</w:t>
      </w:r>
      <w:r w:rsidRPr="000C2ACC">
        <w:rPr>
          <w:rFonts w:eastAsia="Calibri"/>
        </w:rPr>
        <w:t xml:space="preserve"> the time of submission </w:t>
      </w:r>
      <w:r>
        <w:rPr>
          <w:rFonts w:eastAsia="Calibri"/>
        </w:rPr>
        <w:t>of the present communication (20 February 2014)</w:t>
      </w:r>
      <w:r w:rsidRPr="000C2ACC">
        <w:rPr>
          <w:rFonts w:eastAsia="Calibri"/>
        </w:rPr>
        <w:t xml:space="preserve">, the Supreme Court of Nepal </w:t>
      </w:r>
      <w:r>
        <w:rPr>
          <w:rFonts w:eastAsia="Calibri"/>
        </w:rPr>
        <w:t xml:space="preserve">had not </w:t>
      </w:r>
      <w:r w:rsidR="00362A21">
        <w:rPr>
          <w:rFonts w:eastAsia="Calibri"/>
        </w:rPr>
        <w:t>yet ruled</w:t>
      </w:r>
      <w:r>
        <w:rPr>
          <w:rFonts w:eastAsia="Calibri"/>
        </w:rPr>
        <w:t xml:space="preserve"> on </w:t>
      </w:r>
      <w:r w:rsidR="009610A4">
        <w:rPr>
          <w:rFonts w:eastAsia="Calibri"/>
        </w:rPr>
        <w:t>his complaint</w:t>
      </w:r>
      <w:r w:rsidRPr="000C2ACC">
        <w:rPr>
          <w:rFonts w:eastAsia="Calibri"/>
        </w:rPr>
        <w:t xml:space="preserve">. However, </w:t>
      </w:r>
      <w:r>
        <w:rPr>
          <w:rFonts w:eastAsia="Calibri"/>
        </w:rPr>
        <w:t xml:space="preserve">the author </w:t>
      </w:r>
      <w:r w:rsidR="009610A4">
        <w:rPr>
          <w:rFonts w:eastAsia="Calibri"/>
        </w:rPr>
        <w:t xml:space="preserve">submits </w:t>
      </w:r>
      <w:r>
        <w:rPr>
          <w:rFonts w:eastAsia="Calibri"/>
        </w:rPr>
        <w:t xml:space="preserve">that </w:t>
      </w:r>
      <w:r w:rsidRPr="005756B9">
        <w:rPr>
          <w:rFonts w:eastAsia="Calibri"/>
        </w:rPr>
        <w:t xml:space="preserve">he has exhausted all available </w:t>
      </w:r>
      <w:r>
        <w:rPr>
          <w:rFonts w:eastAsia="Calibri"/>
        </w:rPr>
        <w:t>and effective domestic remedies</w:t>
      </w:r>
      <w:r w:rsidR="004F470E">
        <w:rPr>
          <w:rFonts w:eastAsia="Calibri"/>
        </w:rPr>
        <w:t>, noting</w:t>
      </w:r>
      <w:r>
        <w:rPr>
          <w:rFonts w:eastAsia="Calibri"/>
        </w:rPr>
        <w:t xml:space="preserve"> that his </w:t>
      </w:r>
      <w:r w:rsidR="00D65149">
        <w:rPr>
          <w:rFonts w:eastAsia="Calibri"/>
        </w:rPr>
        <w:t xml:space="preserve">complaint </w:t>
      </w:r>
      <w:r>
        <w:rPr>
          <w:rFonts w:eastAsia="Calibri"/>
        </w:rPr>
        <w:t>before the Supreme Court has no prospect of success</w:t>
      </w:r>
      <w:r w:rsidR="004F470E">
        <w:rPr>
          <w:rFonts w:eastAsia="Calibri"/>
        </w:rPr>
        <w:t>,</w:t>
      </w:r>
      <w:r>
        <w:rPr>
          <w:rFonts w:eastAsia="Calibri"/>
        </w:rPr>
        <w:t xml:space="preserve"> given that th</w:t>
      </w:r>
      <w:r w:rsidR="009610A4">
        <w:rPr>
          <w:rFonts w:eastAsia="Calibri"/>
        </w:rPr>
        <w:t>e</w:t>
      </w:r>
      <w:r>
        <w:rPr>
          <w:rFonts w:eastAsia="Calibri"/>
        </w:rPr>
        <w:t xml:space="preserve"> Court </w:t>
      </w:r>
      <w:r w:rsidR="001A390A">
        <w:rPr>
          <w:rFonts w:eastAsia="Calibri"/>
        </w:rPr>
        <w:t xml:space="preserve">has </w:t>
      </w:r>
      <w:r>
        <w:rPr>
          <w:rFonts w:eastAsia="Calibri"/>
        </w:rPr>
        <w:t xml:space="preserve">never </w:t>
      </w:r>
      <w:r w:rsidR="009610A4">
        <w:rPr>
          <w:rFonts w:eastAsia="Calibri"/>
        </w:rPr>
        <w:t xml:space="preserve">allowed an exemption from the </w:t>
      </w:r>
      <w:r>
        <w:rPr>
          <w:rFonts w:eastAsia="Calibri"/>
        </w:rPr>
        <w:t>35-day limit in its case</w:t>
      </w:r>
      <w:r w:rsidR="004F470E">
        <w:rPr>
          <w:rFonts w:eastAsia="Calibri"/>
        </w:rPr>
        <w:t xml:space="preserve"> </w:t>
      </w:r>
      <w:r>
        <w:rPr>
          <w:rFonts w:eastAsia="Calibri"/>
        </w:rPr>
        <w:t>law</w:t>
      </w:r>
      <w:r w:rsidR="004F470E">
        <w:rPr>
          <w:rFonts w:eastAsia="Calibri"/>
        </w:rPr>
        <w:t>,</w:t>
      </w:r>
      <w:r w:rsidR="001A390A">
        <w:rPr>
          <w:rFonts w:eastAsia="Calibri"/>
        </w:rPr>
        <w:t xml:space="preserve"> </w:t>
      </w:r>
      <w:r w:rsidR="004F470E">
        <w:rPr>
          <w:rFonts w:eastAsia="Calibri"/>
        </w:rPr>
        <w:t>n</w:t>
      </w:r>
      <w:r w:rsidR="001A390A">
        <w:rPr>
          <w:rFonts w:eastAsia="Calibri"/>
        </w:rPr>
        <w:t>or declared it inapplicable</w:t>
      </w:r>
      <w:r w:rsidR="004F470E">
        <w:rPr>
          <w:rFonts w:eastAsia="Calibri"/>
        </w:rPr>
        <w:t>.</w:t>
      </w:r>
      <w:r w:rsidR="001A390A">
        <w:rPr>
          <w:rFonts w:eastAsia="Calibri"/>
        </w:rPr>
        <w:t xml:space="preserve"> He further argues that</w:t>
      </w:r>
      <w:r w:rsidR="004F470E">
        <w:rPr>
          <w:rFonts w:eastAsia="Calibri"/>
        </w:rPr>
        <w:t>,</w:t>
      </w:r>
      <w:r w:rsidR="001A390A">
        <w:rPr>
          <w:rFonts w:eastAsia="Calibri"/>
        </w:rPr>
        <w:t xml:space="preserve"> on 8 May 2011, the first occasion</w:t>
      </w:r>
      <w:r w:rsidR="004F470E">
        <w:rPr>
          <w:rFonts w:eastAsia="Calibri"/>
        </w:rPr>
        <w:t xml:space="preserve"> when</w:t>
      </w:r>
      <w:r w:rsidR="001A390A">
        <w:rPr>
          <w:rFonts w:eastAsia="Calibri"/>
        </w:rPr>
        <w:t xml:space="preserve"> he was brought before a judge, he reported </w:t>
      </w:r>
      <w:r w:rsidR="004F470E">
        <w:rPr>
          <w:rFonts w:eastAsia="Calibri"/>
        </w:rPr>
        <w:t xml:space="preserve">that he had </w:t>
      </w:r>
      <w:r w:rsidR="001A390A">
        <w:rPr>
          <w:rFonts w:eastAsia="Calibri"/>
        </w:rPr>
        <w:t xml:space="preserve">been subjected to torture and that his confession had been extracted under torture. Despite this, no investigation was undertaken by the authorities at the time of the author’s submission of the communication </w:t>
      </w:r>
      <w:r w:rsidR="00005A32">
        <w:rPr>
          <w:rFonts w:eastAsia="Calibri"/>
        </w:rPr>
        <w:t xml:space="preserve">to </w:t>
      </w:r>
      <w:r w:rsidR="001A390A">
        <w:rPr>
          <w:rFonts w:eastAsia="Calibri"/>
        </w:rPr>
        <w:t>the Committee,</w:t>
      </w:r>
      <w:r w:rsidR="004F470E">
        <w:rPr>
          <w:rFonts w:eastAsia="Calibri"/>
        </w:rPr>
        <w:t xml:space="preserve"> and no investigation has taken place</w:t>
      </w:r>
      <w:r w:rsidR="001A390A">
        <w:rPr>
          <w:rFonts w:eastAsia="Calibri"/>
        </w:rPr>
        <w:t xml:space="preserve"> </w:t>
      </w:r>
      <w:r w:rsidR="00462F99">
        <w:rPr>
          <w:rFonts w:eastAsia="Calibri"/>
        </w:rPr>
        <w:t xml:space="preserve">in </w:t>
      </w:r>
      <w:r w:rsidR="001A390A">
        <w:rPr>
          <w:rFonts w:eastAsia="Calibri"/>
        </w:rPr>
        <w:t>the four years since the allegation was brought to the attention of the authorities. The author submits that this amounts to an undue delay of proceedings. He further notes that</w:t>
      </w:r>
      <w:r w:rsidR="004F470E">
        <w:rPr>
          <w:rFonts w:eastAsia="Calibri"/>
        </w:rPr>
        <w:t>,</w:t>
      </w:r>
      <w:r w:rsidR="001A390A">
        <w:rPr>
          <w:rFonts w:eastAsia="Calibri"/>
        </w:rPr>
        <w:t xml:space="preserve"> on </w:t>
      </w:r>
      <w:r w:rsidR="001A390A" w:rsidRPr="001A390A">
        <w:rPr>
          <w:rFonts w:eastAsia="Calibri"/>
        </w:rPr>
        <w:t xml:space="preserve">13 February 2014, </w:t>
      </w:r>
      <w:r w:rsidR="001A390A">
        <w:rPr>
          <w:rFonts w:eastAsia="Calibri"/>
        </w:rPr>
        <w:t>he</w:t>
      </w:r>
      <w:r w:rsidR="001A390A" w:rsidRPr="001A390A">
        <w:rPr>
          <w:rFonts w:eastAsia="Calibri"/>
        </w:rPr>
        <w:t xml:space="preserve"> submitted a formal </w:t>
      </w:r>
      <w:r w:rsidR="009644B8">
        <w:rPr>
          <w:rFonts w:eastAsia="Calibri"/>
        </w:rPr>
        <w:t>request</w:t>
      </w:r>
      <w:r w:rsidR="009644B8" w:rsidRPr="001A390A">
        <w:rPr>
          <w:rFonts w:eastAsia="Calibri"/>
        </w:rPr>
        <w:t xml:space="preserve"> to the </w:t>
      </w:r>
      <w:r w:rsidR="009644B8" w:rsidRPr="00595877">
        <w:rPr>
          <w:rFonts w:eastAsia="MS Mincho"/>
        </w:rPr>
        <w:t>National Human Rights Commission</w:t>
      </w:r>
      <w:r w:rsidR="009644B8">
        <w:rPr>
          <w:rFonts w:eastAsia="MS Mincho"/>
        </w:rPr>
        <w:t xml:space="preserve"> </w:t>
      </w:r>
      <w:r w:rsidR="001A390A" w:rsidRPr="001A390A">
        <w:rPr>
          <w:rFonts w:eastAsia="Calibri"/>
        </w:rPr>
        <w:t xml:space="preserve">for </w:t>
      </w:r>
      <w:r w:rsidR="009644B8">
        <w:rPr>
          <w:rFonts w:eastAsia="Calibri"/>
        </w:rPr>
        <w:t xml:space="preserve">the </w:t>
      </w:r>
      <w:r w:rsidR="001A390A" w:rsidRPr="001A390A">
        <w:rPr>
          <w:rFonts w:eastAsia="Calibri"/>
        </w:rPr>
        <w:t>investigation</w:t>
      </w:r>
      <w:r w:rsidR="009644B8">
        <w:rPr>
          <w:rFonts w:eastAsia="Calibri"/>
        </w:rPr>
        <w:t xml:space="preserve"> of</w:t>
      </w:r>
      <w:r w:rsidR="001A390A" w:rsidRPr="001A390A">
        <w:rPr>
          <w:rFonts w:eastAsia="Calibri"/>
        </w:rPr>
        <w:t xml:space="preserve"> and reparation </w:t>
      </w:r>
      <w:r w:rsidR="009644B8">
        <w:rPr>
          <w:rFonts w:eastAsia="Calibri"/>
        </w:rPr>
        <w:t>for</w:t>
      </w:r>
      <w:r w:rsidR="009644B8" w:rsidRPr="001A390A">
        <w:rPr>
          <w:rFonts w:eastAsia="Calibri"/>
        </w:rPr>
        <w:t xml:space="preserve"> </w:t>
      </w:r>
      <w:r w:rsidR="001A390A" w:rsidRPr="001A390A">
        <w:rPr>
          <w:rFonts w:eastAsia="Calibri"/>
        </w:rPr>
        <w:t xml:space="preserve">acts of torture. </w:t>
      </w:r>
      <w:r w:rsidR="009644B8">
        <w:rPr>
          <w:rFonts w:eastAsia="Calibri"/>
        </w:rPr>
        <w:t>However, he</w:t>
      </w:r>
      <w:r w:rsidR="001A390A">
        <w:rPr>
          <w:rFonts w:eastAsia="Calibri"/>
        </w:rPr>
        <w:t xml:space="preserve"> </w:t>
      </w:r>
      <w:r w:rsidR="001A390A" w:rsidRPr="001A390A">
        <w:rPr>
          <w:rFonts w:eastAsia="Calibri"/>
        </w:rPr>
        <w:t xml:space="preserve">submits that a complaint to the </w:t>
      </w:r>
      <w:r w:rsidR="00102120" w:rsidRPr="00595877">
        <w:rPr>
          <w:rFonts w:eastAsia="MS Mincho"/>
        </w:rPr>
        <w:t xml:space="preserve">Commission </w:t>
      </w:r>
      <w:r w:rsidR="001A390A" w:rsidRPr="001A390A">
        <w:rPr>
          <w:rFonts w:eastAsia="Calibri"/>
        </w:rPr>
        <w:t>is not a judicial remedy within the meaning of article 5</w:t>
      </w:r>
      <w:r w:rsidR="009644B8">
        <w:rPr>
          <w:rFonts w:eastAsia="Calibri"/>
        </w:rPr>
        <w:t xml:space="preserve"> </w:t>
      </w:r>
      <w:r w:rsidR="001A390A" w:rsidRPr="001A390A">
        <w:rPr>
          <w:rFonts w:eastAsia="Calibri"/>
        </w:rPr>
        <w:t xml:space="preserve">(2) </w:t>
      </w:r>
      <w:r w:rsidR="009644B8">
        <w:rPr>
          <w:rFonts w:eastAsia="Calibri"/>
        </w:rPr>
        <w:t>(</w:t>
      </w:r>
      <w:r w:rsidR="001A390A" w:rsidRPr="001A390A">
        <w:rPr>
          <w:rFonts w:eastAsia="Calibri"/>
        </w:rPr>
        <w:t xml:space="preserve">b) of the Optional Protocol as the </w:t>
      </w:r>
      <w:r w:rsidR="00102120" w:rsidRPr="00595877">
        <w:rPr>
          <w:rFonts w:eastAsia="MS Mincho"/>
        </w:rPr>
        <w:t xml:space="preserve">Commission </w:t>
      </w:r>
      <w:r w:rsidR="001A390A" w:rsidRPr="001A390A">
        <w:rPr>
          <w:rFonts w:eastAsia="Calibri"/>
        </w:rPr>
        <w:t>can only issue recommendations</w:t>
      </w:r>
      <w:r w:rsidR="009644B8">
        <w:rPr>
          <w:rFonts w:eastAsia="Calibri"/>
        </w:rPr>
        <w:t xml:space="preserve"> and does not have</w:t>
      </w:r>
      <w:r w:rsidR="001A390A" w:rsidRPr="001A390A">
        <w:rPr>
          <w:rFonts w:eastAsia="Calibri"/>
        </w:rPr>
        <w:t xml:space="preserve"> any power to have th</w:t>
      </w:r>
      <w:r w:rsidR="009644B8">
        <w:rPr>
          <w:rFonts w:eastAsia="Calibri"/>
        </w:rPr>
        <w:t>os</w:t>
      </w:r>
      <w:r w:rsidR="001A390A" w:rsidRPr="001A390A">
        <w:rPr>
          <w:rFonts w:eastAsia="Calibri"/>
        </w:rPr>
        <w:t>e recommendations enforced</w:t>
      </w:r>
      <w:r w:rsidR="00FC1B77">
        <w:rPr>
          <w:rFonts w:eastAsia="Calibri"/>
        </w:rPr>
        <w:t>.</w:t>
      </w:r>
      <w:r w:rsidR="001A390A">
        <w:rPr>
          <w:rStyle w:val="FootnoteReference"/>
          <w:rFonts w:eastAsia="Calibri"/>
        </w:rPr>
        <w:footnoteReference w:id="8"/>
      </w:r>
    </w:p>
    <w:p w14:paraId="646A8EA1" w14:textId="6EC3FA9B" w:rsidR="008F4012" w:rsidRPr="005756B9" w:rsidRDefault="00DB05CB" w:rsidP="003B5A91">
      <w:pPr>
        <w:pStyle w:val="SingleTxtG"/>
        <w:rPr>
          <w:rFonts w:eastAsia="Calibri"/>
        </w:rPr>
      </w:pPr>
      <w:r>
        <w:rPr>
          <w:rFonts w:eastAsia="Calibri"/>
        </w:rPr>
        <w:t>2.11</w:t>
      </w:r>
      <w:r w:rsidR="005A0E90">
        <w:rPr>
          <w:rFonts w:eastAsia="Calibri"/>
        </w:rPr>
        <w:tab/>
        <w:t xml:space="preserve">The author </w:t>
      </w:r>
      <w:r w:rsidR="008F4012">
        <w:rPr>
          <w:rFonts w:eastAsia="Calibri"/>
        </w:rPr>
        <w:t xml:space="preserve">further submits that the urgent appeal he submitted to the </w:t>
      </w:r>
      <w:r w:rsidR="008F4012" w:rsidRPr="00FA1041">
        <w:rPr>
          <w:rFonts w:eastAsia="Calibri"/>
        </w:rPr>
        <w:t xml:space="preserve">Special Rapporteur on </w:t>
      </w:r>
      <w:r w:rsidR="0082442E">
        <w:rPr>
          <w:rFonts w:eastAsia="Calibri"/>
        </w:rPr>
        <w:t xml:space="preserve">torture </w:t>
      </w:r>
      <w:r w:rsidR="008F4012">
        <w:rPr>
          <w:rFonts w:eastAsia="Calibri"/>
        </w:rPr>
        <w:t xml:space="preserve">on 16 October 2012 does not constitute </w:t>
      </w:r>
      <w:r w:rsidR="003B5A91">
        <w:rPr>
          <w:rFonts w:eastAsia="Calibri"/>
        </w:rPr>
        <w:t xml:space="preserve">a </w:t>
      </w:r>
      <w:r w:rsidR="008F4012">
        <w:rPr>
          <w:rFonts w:eastAsia="Calibri"/>
        </w:rPr>
        <w:t>procedure of international investigation or settlement within the meaning of article 5</w:t>
      </w:r>
      <w:r w:rsidR="009644B8">
        <w:rPr>
          <w:rFonts w:eastAsia="Calibri"/>
        </w:rPr>
        <w:t xml:space="preserve"> (</w:t>
      </w:r>
      <w:r w:rsidR="008F4012">
        <w:rPr>
          <w:rFonts w:eastAsia="Calibri"/>
        </w:rPr>
        <w:t>2</w:t>
      </w:r>
      <w:r w:rsidR="009644B8">
        <w:rPr>
          <w:rFonts w:eastAsia="Calibri"/>
        </w:rPr>
        <w:t>)</w:t>
      </w:r>
      <w:r w:rsidR="008F4012">
        <w:rPr>
          <w:rFonts w:eastAsia="Calibri"/>
        </w:rPr>
        <w:t xml:space="preserve"> (a) of the Optional Protocol</w:t>
      </w:r>
      <w:r w:rsidR="0082442E">
        <w:rPr>
          <w:rFonts w:eastAsia="Calibri"/>
        </w:rPr>
        <w:t>,</w:t>
      </w:r>
      <w:r w:rsidR="008F4012">
        <w:rPr>
          <w:rFonts w:eastAsia="Calibri"/>
        </w:rPr>
        <w:t xml:space="preserve"> </w:t>
      </w:r>
      <w:r w:rsidR="0082442E">
        <w:rPr>
          <w:rFonts w:eastAsia="Calibri"/>
        </w:rPr>
        <w:t>in accordance with</w:t>
      </w:r>
      <w:r w:rsidR="008F4012">
        <w:rPr>
          <w:rFonts w:eastAsia="Calibri"/>
        </w:rPr>
        <w:t xml:space="preserve"> the well-established jurisprudence of the Committee.</w:t>
      </w:r>
      <w:r w:rsidR="008F4012">
        <w:rPr>
          <w:rStyle w:val="FootnoteReference"/>
          <w:rFonts w:eastAsia="Calibri"/>
        </w:rPr>
        <w:footnoteReference w:id="9"/>
      </w:r>
      <w:r w:rsidR="008F4012">
        <w:rPr>
          <w:rFonts w:eastAsia="Calibri"/>
        </w:rPr>
        <w:t xml:space="preserve"> </w:t>
      </w:r>
    </w:p>
    <w:p w14:paraId="646A8EA3" w14:textId="795795D0" w:rsidR="008F4012" w:rsidRDefault="008F4012">
      <w:pPr>
        <w:pStyle w:val="H23G"/>
        <w:rPr>
          <w:rFonts w:eastAsia="MS Mincho"/>
        </w:rPr>
      </w:pPr>
      <w:r w:rsidRPr="005756B9">
        <w:rPr>
          <w:rFonts w:eastAsia="Calibri"/>
        </w:rPr>
        <w:tab/>
      </w:r>
      <w:r w:rsidR="00B87C8A">
        <w:rPr>
          <w:rFonts w:eastAsia="Calibri"/>
        </w:rPr>
        <w:tab/>
      </w:r>
      <w:r w:rsidRPr="005756B9">
        <w:rPr>
          <w:rFonts w:eastAsia="MS Mincho"/>
        </w:rPr>
        <w:t>The complaint</w:t>
      </w:r>
    </w:p>
    <w:p w14:paraId="646A8EA4" w14:textId="4FFA1E89" w:rsidR="008F4012" w:rsidRDefault="008F4012" w:rsidP="00EF5FF9">
      <w:pPr>
        <w:pStyle w:val="SingleTxtG"/>
        <w:rPr>
          <w:rFonts w:eastAsia="Calibri"/>
        </w:rPr>
      </w:pPr>
      <w:r>
        <w:rPr>
          <w:rFonts w:eastAsia="MS Mincho"/>
        </w:rPr>
        <w:t>3.1</w:t>
      </w:r>
      <w:r>
        <w:rPr>
          <w:rFonts w:eastAsia="MS Mincho"/>
        </w:rPr>
        <w:tab/>
      </w:r>
      <w:r w:rsidRPr="00584F4C">
        <w:rPr>
          <w:rFonts w:eastAsia="MS Mincho"/>
        </w:rPr>
        <w:t>The author claims</w:t>
      </w:r>
      <w:r>
        <w:rPr>
          <w:rFonts w:eastAsia="MS Mincho"/>
        </w:rPr>
        <w:t xml:space="preserve"> </w:t>
      </w:r>
      <w:r w:rsidRPr="00584F4C">
        <w:rPr>
          <w:rFonts w:eastAsia="Calibri"/>
        </w:rPr>
        <w:t xml:space="preserve">that </w:t>
      </w:r>
      <w:r>
        <w:rPr>
          <w:rFonts w:eastAsia="Calibri"/>
        </w:rPr>
        <w:t>the State party</w:t>
      </w:r>
      <w:r w:rsidRPr="00584F4C">
        <w:rPr>
          <w:rFonts w:eastAsia="Calibri"/>
        </w:rPr>
        <w:t xml:space="preserve"> has violated his rights under articles 7 and 10 (l)</w:t>
      </w:r>
      <w:r w:rsidR="00EF5FF9">
        <w:rPr>
          <w:rFonts w:eastAsia="Calibri"/>
        </w:rPr>
        <w:t>,</w:t>
      </w:r>
      <w:r w:rsidRPr="00584F4C">
        <w:rPr>
          <w:rFonts w:eastAsia="Calibri"/>
        </w:rPr>
        <w:t xml:space="preserve"> read alone and in conjunction with article 2 (3), </w:t>
      </w:r>
      <w:r w:rsidR="00961E57">
        <w:rPr>
          <w:rFonts w:eastAsia="Calibri"/>
        </w:rPr>
        <w:t xml:space="preserve">and under articles </w:t>
      </w:r>
      <w:r w:rsidRPr="00584F4C">
        <w:rPr>
          <w:rFonts w:eastAsia="Calibri"/>
        </w:rPr>
        <w:t xml:space="preserve">9 </w:t>
      </w:r>
      <w:r w:rsidR="0050673C">
        <w:rPr>
          <w:rFonts w:eastAsia="Calibri"/>
        </w:rPr>
        <w:t>(1)–(3)</w:t>
      </w:r>
      <w:r>
        <w:rPr>
          <w:rFonts w:eastAsia="Calibri"/>
        </w:rPr>
        <w:t xml:space="preserve"> and 14 (2) and (3) </w:t>
      </w:r>
      <w:r w:rsidR="001D7250">
        <w:rPr>
          <w:rFonts w:eastAsia="Calibri"/>
        </w:rPr>
        <w:t>(</w:t>
      </w:r>
      <w:r>
        <w:rPr>
          <w:rFonts w:eastAsia="Calibri"/>
        </w:rPr>
        <w:t xml:space="preserve">b) and </w:t>
      </w:r>
      <w:r w:rsidR="001D7250">
        <w:rPr>
          <w:rFonts w:eastAsia="Calibri"/>
        </w:rPr>
        <w:t>(</w:t>
      </w:r>
      <w:r>
        <w:rPr>
          <w:rFonts w:eastAsia="Calibri"/>
        </w:rPr>
        <w:t xml:space="preserve">g) </w:t>
      </w:r>
      <w:r w:rsidRPr="00584F4C">
        <w:rPr>
          <w:rFonts w:eastAsia="Calibri"/>
        </w:rPr>
        <w:t>of</w:t>
      </w:r>
      <w:r>
        <w:rPr>
          <w:rFonts w:eastAsia="Calibri"/>
        </w:rPr>
        <w:t xml:space="preserve"> the Covenant. </w:t>
      </w:r>
    </w:p>
    <w:p w14:paraId="646A8EA5" w14:textId="5E02C1F3" w:rsidR="008F4012" w:rsidRPr="005756B9" w:rsidRDefault="008F4012" w:rsidP="009F6C1B">
      <w:pPr>
        <w:pStyle w:val="SingleTxtG"/>
        <w:rPr>
          <w:rFonts w:eastAsia="Calibri"/>
        </w:rPr>
      </w:pPr>
      <w:r>
        <w:rPr>
          <w:rFonts w:eastAsia="Calibri"/>
        </w:rPr>
        <w:t>3.2</w:t>
      </w:r>
      <w:r>
        <w:rPr>
          <w:rFonts w:eastAsia="Calibri"/>
        </w:rPr>
        <w:tab/>
      </w:r>
      <w:r w:rsidRPr="00584F4C">
        <w:rPr>
          <w:rFonts w:eastAsia="Calibri"/>
        </w:rPr>
        <w:t xml:space="preserve">The author </w:t>
      </w:r>
      <w:r>
        <w:rPr>
          <w:rFonts w:eastAsia="Calibri"/>
        </w:rPr>
        <w:t>submits</w:t>
      </w:r>
      <w:r w:rsidRPr="00584F4C">
        <w:rPr>
          <w:rFonts w:eastAsia="Calibri"/>
        </w:rPr>
        <w:t xml:space="preserve"> that the State party has v</w:t>
      </w:r>
      <w:r>
        <w:rPr>
          <w:rFonts w:eastAsia="Calibri"/>
        </w:rPr>
        <w:t xml:space="preserve">iolated his rights under articles </w:t>
      </w:r>
      <w:r w:rsidRPr="00584F4C">
        <w:rPr>
          <w:rFonts w:eastAsia="Calibri"/>
        </w:rPr>
        <w:t>7 and 10</w:t>
      </w:r>
      <w:r w:rsidR="001D7250">
        <w:rPr>
          <w:rFonts w:eastAsia="Calibri"/>
        </w:rPr>
        <w:t xml:space="preserve"> (1)</w:t>
      </w:r>
      <w:r w:rsidRPr="00584F4C">
        <w:rPr>
          <w:rFonts w:eastAsia="Calibri"/>
        </w:rPr>
        <w:t>, read alone and in conjunction with article 2</w:t>
      </w:r>
      <w:r w:rsidR="001D7250">
        <w:rPr>
          <w:rFonts w:eastAsia="Calibri"/>
        </w:rPr>
        <w:t xml:space="preserve"> (</w:t>
      </w:r>
      <w:r w:rsidRPr="00584F4C">
        <w:rPr>
          <w:rFonts w:eastAsia="Calibri"/>
        </w:rPr>
        <w:t>3</w:t>
      </w:r>
      <w:r w:rsidR="001D7250">
        <w:rPr>
          <w:rFonts w:eastAsia="Calibri"/>
        </w:rPr>
        <w:t>)</w:t>
      </w:r>
      <w:r w:rsidRPr="00584F4C">
        <w:rPr>
          <w:rFonts w:eastAsia="Calibri"/>
        </w:rPr>
        <w:t xml:space="preserve"> of the Covenant,</w:t>
      </w:r>
      <w:r w:rsidR="001D7250">
        <w:rPr>
          <w:rFonts w:eastAsia="Calibri"/>
        </w:rPr>
        <w:t xml:space="preserve"> because of the torture, ill-treatment and inhumane conditions of detention he was subjected to and the subsequent failure by State party authorities to carry out an </w:t>
      </w:r>
      <w:r w:rsidR="001D7250" w:rsidRPr="003B5A91">
        <w:rPr>
          <w:rFonts w:eastAsia="Calibri"/>
        </w:rPr>
        <w:t>ex officio</w:t>
      </w:r>
      <w:r w:rsidR="001D7250">
        <w:rPr>
          <w:rFonts w:eastAsia="Calibri"/>
        </w:rPr>
        <w:t>, prompt, effective, independent, impartial and thorough investigation into the allegations and to hold those responsible to account.</w:t>
      </w:r>
      <w:r w:rsidRPr="00584F4C">
        <w:rPr>
          <w:rFonts w:eastAsia="Calibri"/>
        </w:rPr>
        <w:t xml:space="preserve"> </w:t>
      </w:r>
      <w:r w:rsidR="000E08C8">
        <w:rPr>
          <w:rFonts w:eastAsia="Calibri"/>
        </w:rPr>
        <w:t xml:space="preserve">He claims that he </w:t>
      </w:r>
      <w:r w:rsidRPr="00584F4C">
        <w:rPr>
          <w:rFonts w:eastAsia="Calibri"/>
        </w:rPr>
        <w:t xml:space="preserve">was arbitrarily deprived of his liberty and subjected to unacknowledged and </w:t>
      </w:r>
      <w:r w:rsidRPr="003B5A91">
        <w:rPr>
          <w:rFonts w:eastAsia="Calibri"/>
          <w:i/>
        </w:rPr>
        <w:t>incommunicado</w:t>
      </w:r>
      <w:r w:rsidRPr="00584F4C">
        <w:rPr>
          <w:rFonts w:eastAsia="Calibri"/>
        </w:rPr>
        <w:t xml:space="preserve"> detention between 7 and 13 April 2011. </w:t>
      </w:r>
      <w:r>
        <w:rPr>
          <w:rFonts w:eastAsia="Calibri"/>
        </w:rPr>
        <w:t xml:space="preserve">In this connection, the author </w:t>
      </w:r>
      <w:r w:rsidR="000E08C8">
        <w:rPr>
          <w:rFonts w:eastAsia="Calibri"/>
        </w:rPr>
        <w:t xml:space="preserve">notes </w:t>
      </w:r>
      <w:r>
        <w:rPr>
          <w:rFonts w:eastAsia="Calibri"/>
        </w:rPr>
        <w:t xml:space="preserve">that the Committee </w:t>
      </w:r>
      <w:r w:rsidR="00DE7B7C">
        <w:rPr>
          <w:rFonts w:eastAsia="Calibri"/>
        </w:rPr>
        <w:t xml:space="preserve">against </w:t>
      </w:r>
      <w:r>
        <w:rPr>
          <w:rFonts w:eastAsia="Calibri"/>
        </w:rPr>
        <w:t xml:space="preserve">Torture has previously </w:t>
      </w:r>
      <w:r w:rsidR="000E08C8">
        <w:rPr>
          <w:rFonts w:eastAsia="Calibri"/>
        </w:rPr>
        <w:t>found</w:t>
      </w:r>
      <w:r w:rsidR="009F6C1B" w:rsidRPr="009F6C1B">
        <w:rPr>
          <w:rFonts w:eastAsia="Calibri"/>
        </w:rPr>
        <w:t xml:space="preserve"> </w:t>
      </w:r>
      <w:r w:rsidR="009F6C1B">
        <w:rPr>
          <w:rFonts w:eastAsia="Calibri"/>
        </w:rPr>
        <w:t xml:space="preserve">that the use of torture in Nepal is widespread, particularly during interrogations and in situations of </w:t>
      </w:r>
      <w:r w:rsidR="009F6C1B" w:rsidRPr="0059436C">
        <w:rPr>
          <w:rFonts w:eastAsia="Calibri"/>
          <w:iCs/>
        </w:rPr>
        <w:t>incommunicado</w:t>
      </w:r>
      <w:r w:rsidR="009F6C1B">
        <w:rPr>
          <w:rFonts w:eastAsia="Calibri"/>
          <w:i/>
        </w:rPr>
        <w:t xml:space="preserve"> </w:t>
      </w:r>
      <w:r w:rsidR="009F6C1B">
        <w:rPr>
          <w:rFonts w:eastAsia="Calibri"/>
        </w:rPr>
        <w:t>detention.</w:t>
      </w:r>
      <w:r>
        <w:rPr>
          <w:rStyle w:val="FootnoteReference"/>
          <w:rFonts w:eastAsia="Calibri"/>
        </w:rPr>
        <w:footnoteReference w:id="10"/>
      </w:r>
      <w:r>
        <w:rPr>
          <w:rFonts w:eastAsia="Calibri"/>
        </w:rPr>
        <w:t xml:space="preserve"> </w:t>
      </w:r>
      <w:r w:rsidRPr="00584F4C">
        <w:rPr>
          <w:rFonts w:eastAsia="Calibri"/>
        </w:rPr>
        <w:t xml:space="preserve">He </w:t>
      </w:r>
      <w:r>
        <w:rPr>
          <w:rFonts w:eastAsia="Calibri"/>
        </w:rPr>
        <w:t xml:space="preserve">claims that he </w:t>
      </w:r>
      <w:r w:rsidRPr="00584F4C">
        <w:rPr>
          <w:rFonts w:eastAsia="Calibri"/>
        </w:rPr>
        <w:t xml:space="preserve">was subjected to torture and physical ill-treatment by State officials </w:t>
      </w:r>
      <w:r w:rsidR="000E08C8">
        <w:rPr>
          <w:rFonts w:eastAsia="Calibri"/>
        </w:rPr>
        <w:t xml:space="preserve">while in detention </w:t>
      </w:r>
      <w:r w:rsidRPr="00584F4C">
        <w:rPr>
          <w:rFonts w:eastAsia="Calibri"/>
        </w:rPr>
        <w:t xml:space="preserve">and was forced to confess his participation in a terrorist attack </w:t>
      </w:r>
      <w:r>
        <w:rPr>
          <w:rFonts w:eastAsia="Calibri"/>
        </w:rPr>
        <w:t>by</w:t>
      </w:r>
      <w:r w:rsidRPr="00584F4C">
        <w:rPr>
          <w:rFonts w:eastAsia="Calibri"/>
        </w:rPr>
        <w:t xml:space="preserve"> means of torture</w:t>
      </w:r>
      <w:r w:rsidR="005916E1">
        <w:rPr>
          <w:rFonts w:eastAsia="Calibri"/>
        </w:rPr>
        <w:t>,</w:t>
      </w:r>
      <w:r w:rsidR="007D4DFA">
        <w:rPr>
          <w:rFonts w:eastAsia="Calibri"/>
        </w:rPr>
        <w:t xml:space="preserve"> in violation of his rights under article 7 of the Covenant</w:t>
      </w:r>
      <w:r w:rsidRPr="00584F4C">
        <w:rPr>
          <w:rFonts w:eastAsia="Calibri"/>
        </w:rPr>
        <w:t xml:space="preserve">. </w:t>
      </w:r>
      <w:r w:rsidR="007D4DFA">
        <w:rPr>
          <w:rFonts w:eastAsia="Calibri"/>
        </w:rPr>
        <w:t xml:space="preserve">He further claims that he was kept blindfolded for a prolonged period of time, </w:t>
      </w:r>
      <w:r w:rsidR="005916E1">
        <w:rPr>
          <w:rFonts w:eastAsia="Calibri"/>
        </w:rPr>
        <w:t xml:space="preserve">was </w:t>
      </w:r>
      <w:r w:rsidR="007D4DFA">
        <w:rPr>
          <w:rFonts w:eastAsia="Calibri"/>
        </w:rPr>
        <w:t xml:space="preserve">forced to stand </w:t>
      </w:r>
      <w:r w:rsidR="005916E1">
        <w:rPr>
          <w:rFonts w:eastAsia="Calibri"/>
        </w:rPr>
        <w:t>continuously</w:t>
      </w:r>
      <w:r w:rsidR="007D4DFA">
        <w:rPr>
          <w:rFonts w:eastAsia="Calibri"/>
        </w:rPr>
        <w:t xml:space="preserve"> for more than 50 hours, was not given any food for three days and did not have access to drinking water for two days. He was denied medical treatment and assistance, although </w:t>
      </w:r>
      <w:r w:rsidR="005916E1">
        <w:rPr>
          <w:rFonts w:eastAsia="Calibri"/>
        </w:rPr>
        <w:t xml:space="preserve">he had been </w:t>
      </w:r>
      <w:r w:rsidR="007D4DFA">
        <w:rPr>
          <w:rFonts w:eastAsia="Calibri"/>
        </w:rPr>
        <w:t xml:space="preserve">severely harmed by the treatment inflicted by State agents. The cells in which he was held were filthy, overcrowded and in </w:t>
      </w:r>
      <w:r w:rsidR="009F6C1B">
        <w:rPr>
          <w:rFonts w:eastAsia="Calibri"/>
        </w:rPr>
        <w:t xml:space="preserve">deplorable </w:t>
      </w:r>
      <w:r w:rsidR="007D4DFA">
        <w:rPr>
          <w:rFonts w:eastAsia="Calibri"/>
        </w:rPr>
        <w:lastRenderedPageBreak/>
        <w:t>hygienic conditions. The author submits that the treatment he was subjected to and the conditions in which he was held amount to a violation of his rights under article 10 (1) of the Covenant.</w:t>
      </w:r>
      <w:r w:rsidR="00EB649B">
        <w:rPr>
          <w:rFonts w:eastAsia="Calibri"/>
        </w:rPr>
        <w:t xml:space="preserve"> </w:t>
      </w:r>
      <w:r w:rsidRPr="00584F4C">
        <w:rPr>
          <w:rFonts w:eastAsia="Calibri"/>
        </w:rPr>
        <w:t xml:space="preserve">The </w:t>
      </w:r>
      <w:r w:rsidR="00EB649B">
        <w:rPr>
          <w:rFonts w:eastAsia="Calibri"/>
        </w:rPr>
        <w:t>author further submits that State party authorities</w:t>
      </w:r>
      <w:r w:rsidR="005916E1">
        <w:rPr>
          <w:rFonts w:eastAsia="Calibri"/>
        </w:rPr>
        <w:t>’</w:t>
      </w:r>
      <w:r w:rsidR="00EB649B">
        <w:rPr>
          <w:rFonts w:eastAsia="Calibri"/>
        </w:rPr>
        <w:t xml:space="preserve"> failure to conduct a thorough, independent, impartial and prompt investigation into his allegations of torture amount to a violation of his rights under articles 7 and 10 (1)</w:t>
      </w:r>
      <w:r w:rsidR="005916E1">
        <w:rPr>
          <w:rFonts w:eastAsia="Calibri"/>
        </w:rPr>
        <w:t>,</w:t>
      </w:r>
      <w:r w:rsidR="00EB649B">
        <w:rPr>
          <w:rFonts w:eastAsia="Calibri"/>
        </w:rPr>
        <w:t xml:space="preserve"> </w:t>
      </w:r>
      <w:r w:rsidR="002B454A">
        <w:rPr>
          <w:rFonts w:eastAsia="Calibri"/>
        </w:rPr>
        <w:t>read in conjunction with article 2 (3) of the Covenant.</w:t>
      </w:r>
    </w:p>
    <w:p w14:paraId="646A8EA6" w14:textId="7907F8DD" w:rsidR="008F4012" w:rsidRPr="005756B9" w:rsidRDefault="008F4012" w:rsidP="005E027B">
      <w:pPr>
        <w:pStyle w:val="SingleTxtG"/>
        <w:rPr>
          <w:rFonts w:eastAsia="Calibri"/>
        </w:rPr>
      </w:pPr>
      <w:r>
        <w:rPr>
          <w:rFonts w:eastAsia="Calibri"/>
        </w:rPr>
        <w:t>3.3</w:t>
      </w:r>
      <w:r>
        <w:rPr>
          <w:rFonts w:eastAsia="Calibri"/>
        </w:rPr>
        <w:tab/>
      </w:r>
      <w:r w:rsidRPr="00793322">
        <w:rPr>
          <w:rFonts w:eastAsia="Calibri"/>
        </w:rPr>
        <w:t xml:space="preserve">The author claims that his rights under article 9 </w:t>
      </w:r>
      <w:r w:rsidR="0050673C">
        <w:rPr>
          <w:rFonts w:eastAsia="Calibri"/>
        </w:rPr>
        <w:t>(1)–(3)</w:t>
      </w:r>
      <w:r w:rsidRPr="00793322">
        <w:rPr>
          <w:rFonts w:eastAsia="Calibri"/>
        </w:rPr>
        <w:t xml:space="preserve"> of the Covenant were violated</w:t>
      </w:r>
      <w:r w:rsidR="001D7250">
        <w:rPr>
          <w:rFonts w:eastAsia="Calibri"/>
        </w:rPr>
        <w:t xml:space="preserve"> as he was subjected to arbitrary arrest and detention, was not informed at the time of his arrest of the reasons for his arrest </w:t>
      </w:r>
      <w:r w:rsidR="00DB05CB">
        <w:rPr>
          <w:rFonts w:eastAsia="Calibri"/>
        </w:rPr>
        <w:t>and was not</w:t>
      </w:r>
      <w:r w:rsidR="001D7250">
        <w:rPr>
          <w:rFonts w:eastAsia="Calibri"/>
        </w:rPr>
        <w:t xml:space="preserve"> promptly informed of the charges against him.</w:t>
      </w:r>
      <w:r w:rsidRPr="00793322">
        <w:rPr>
          <w:rFonts w:eastAsia="Calibri"/>
        </w:rPr>
        <w:t xml:space="preserve"> He was violently arre</w:t>
      </w:r>
      <w:r>
        <w:rPr>
          <w:rFonts w:eastAsia="Calibri"/>
        </w:rPr>
        <w:t>sted without a warrant and was no</w:t>
      </w:r>
      <w:r w:rsidRPr="00793322">
        <w:rPr>
          <w:rFonts w:eastAsia="Calibri"/>
        </w:rPr>
        <w:t xml:space="preserve">t informed about the reasons </w:t>
      </w:r>
      <w:r w:rsidR="005916E1">
        <w:rPr>
          <w:rFonts w:eastAsia="Calibri"/>
        </w:rPr>
        <w:t>for</w:t>
      </w:r>
      <w:r w:rsidR="005916E1" w:rsidRPr="00793322">
        <w:rPr>
          <w:rFonts w:eastAsia="Calibri"/>
        </w:rPr>
        <w:t xml:space="preserve"> </w:t>
      </w:r>
      <w:r w:rsidRPr="00793322">
        <w:rPr>
          <w:rFonts w:eastAsia="Calibri"/>
        </w:rPr>
        <w:t xml:space="preserve">his arrest. He was held </w:t>
      </w:r>
      <w:r w:rsidRPr="00623B29">
        <w:rPr>
          <w:rFonts w:eastAsia="Calibri"/>
          <w:iCs/>
        </w:rPr>
        <w:t>incommunicado</w:t>
      </w:r>
      <w:r>
        <w:rPr>
          <w:rFonts w:eastAsia="Calibri"/>
          <w:i/>
        </w:rPr>
        <w:t xml:space="preserve"> </w:t>
      </w:r>
      <w:r>
        <w:rPr>
          <w:rFonts w:eastAsia="Calibri"/>
        </w:rPr>
        <w:t>from 7 to 13 April 2011</w:t>
      </w:r>
      <w:r w:rsidR="00C22E76">
        <w:rPr>
          <w:rFonts w:eastAsia="Calibri"/>
        </w:rPr>
        <w:t>, during which time</w:t>
      </w:r>
      <w:r>
        <w:rPr>
          <w:rFonts w:eastAsia="Calibri"/>
        </w:rPr>
        <w:t xml:space="preserve"> his mother could not obtain any information on his fate and whereabouts</w:t>
      </w:r>
      <w:r w:rsidR="00C22E76">
        <w:rPr>
          <w:rFonts w:eastAsia="Calibri"/>
        </w:rPr>
        <w:t>. W</w:t>
      </w:r>
      <w:r w:rsidR="004701AD">
        <w:rPr>
          <w:rFonts w:eastAsia="Calibri"/>
        </w:rPr>
        <w:t xml:space="preserve">hen she approached the authorities to obtain information, they denied that the author had been detained. The author was </w:t>
      </w:r>
      <w:r w:rsidR="00DB05CB">
        <w:rPr>
          <w:rFonts w:eastAsia="Calibri"/>
        </w:rPr>
        <w:t>held</w:t>
      </w:r>
      <w:r w:rsidR="00DB05CB" w:rsidRPr="00793322">
        <w:rPr>
          <w:rFonts w:eastAsia="Calibri"/>
        </w:rPr>
        <w:t xml:space="preserve"> without</w:t>
      </w:r>
      <w:r w:rsidRPr="00793322">
        <w:rPr>
          <w:rFonts w:eastAsia="Calibri"/>
        </w:rPr>
        <w:t xml:space="preserve"> any contact with the outside world and had no access to a lawyer during the initial phases of his deprivation of liberty</w:t>
      </w:r>
      <w:r w:rsidR="00783569">
        <w:rPr>
          <w:rFonts w:eastAsia="Calibri"/>
        </w:rPr>
        <w:t>, nor did he have</w:t>
      </w:r>
      <w:r>
        <w:rPr>
          <w:rFonts w:eastAsia="Calibri"/>
        </w:rPr>
        <w:t xml:space="preserve"> access to medical assistance</w:t>
      </w:r>
      <w:r w:rsidRPr="00793322">
        <w:rPr>
          <w:rFonts w:eastAsia="Calibri"/>
        </w:rPr>
        <w:t xml:space="preserve">. </w:t>
      </w:r>
      <w:r>
        <w:rPr>
          <w:rFonts w:eastAsia="Calibri"/>
        </w:rPr>
        <w:t xml:space="preserve">In this respect, the author refers to the Committee’s </w:t>
      </w:r>
      <w:r w:rsidR="00783569">
        <w:rPr>
          <w:rFonts w:eastAsia="Calibri"/>
        </w:rPr>
        <w:t>general comment</w:t>
      </w:r>
      <w:r w:rsidR="00720FBE">
        <w:rPr>
          <w:rFonts w:eastAsia="Calibri"/>
        </w:rPr>
        <w:t xml:space="preserve"> No. 35</w:t>
      </w:r>
      <w:r w:rsidR="009F6C1B" w:rsidRPr="009F6C1B">
        <w:rPr>
          <w:rFonts w:eastAsia="Calibri"/>
        </w:rPr>
        <w:t xml:space="preserve"> (2014) on liberty and security of person</w:t>
      </w:r>
      <w:r w:rsidR="00720FBE">
        <w:rPr>
          <w:rFonts w:eastAsia="Calibri"/>
        </w:rPr>
        <w:t xml:space="preserve">, </w:t>
      </w:r>
      <w:r w:rsidR="009F6C1B">
        <w:rPr>
          <w:rFonts w:eastAsia="Calibri"/>
        </w:rPr>
        <w:t xml:space="preserve">in </w:t>
      </w:r>
      <w:r w:rsidR="00720FBE">
        <w:rPr>
          <w:rFonts w:eastAsia="Calibri"/>
        </w:rPr>
        <w:t xml:space="preserve">which </w:t>
      </w:r>
      <w:r w:rsidR="009F6C1B">
        <w:rPr>
          <w:rFonts w:eastAsia="Calibri"/>
        </w:rPr>
        <w:t>the Committee indicate</w:t>
      </w:r>
      <w:r w:rsidR="00720FBE">
        <w:rPr>
          <w:rFonts w:eastAsia="Calibri"/>
        </w:rPr>
        <w:t xml:space="preserve">s </w:t>
      </w:r>
      <w:r>
        <w:rPr>
          <w:rFonts w:eastAsia="Calibri"/>
        </w:rPr>
        <w:t xml:space="preserve">that the deprivation of liberty of an individual without access to counsel is arbitrary. </w:t>
      </w:r>
      <w:r w:rsidRPr="00793322">
        <w:rPr>
          <w:rFonts w:eastAsia="Calibri"/>
        </w:rPr>
        <w:t xml:space="preserve">Moreover, </w:t>
      </w:r>
      <w:r>
        <w:rPr>
          <w:rFonts w:eastAsia="Calibri"/>
        </w:rPr>
        <w:t>t</w:t>
      </w:r>
      <w:r w:rsidRPr="00793322">
        <w:rPr>
          <w:rFonts w:eastAsia="Calibri"/>
        </w:rPr>
        <w:t xml:space="preserve">he </w:t>
      </w:r>
      <w:r>
        <w:rPr>
          <w:rFonts w:eastAsia="Calibri"/>
        </w:rPr>
        <w:t xml:space="preserve">author claims that he was not </w:t>
      </w:r>
      <w:r w:rsidRPr="00793322">
        <w:rPr>
          <w:rFonts w:eastAsia="Calibri"/>
        </w:rPr>
        <w:t>brought promptly before a judge to challenge the legality of his detention or the charges brought against him</w:t>
      </w:r>
      <w:r>
        <w:rPr>
          <w:rFonts w:eastAsia="Calibri"/>
        </w:rPr>
        <w:t>.</w:t>
      </w:r>
    </w:p>
    <w:p w14:paraId="646A8EA7" w14:textId="07FFAACB" w:rsidR="008F4012" w:rsidRDefault="008F4012" w:rsidP="00220EDE">
      <w:pPr>
        <w:pStyle w:val="SingleTxtG"/>
        <w:rPr>
          <w:rFonts w:eastAsia="Calibri"/>
        </w:rPr>
      </w:pPr>
      <w:r>
        <w:rPr>
          <w:rFonts w:eastAsia="Calibri"/>
        </w:rPr>
        <w:t>3.4</w:t>
      </w:r>
      <w:r>
        <w:rPr>
          <w:rFonts w:eastAsia="Calibri"/>
        </w:rPr>
        <w:tab/>
      </w:r>
      <w:r w:rsidR="001D7250">
        <w:rPr>
          <w:rFonts w:eastAsia="Calibri"/>
        </w:rPr>
        <w:t>The author claims a violation of his rights under</w:t>
      </w:r>
      <w:r w:rsidRPr="00793322">
        <w:rPr>
          <w:rFonts w:eastAsia="Calibri"/>
        </w:rPr>
        <w:t xml:space="preserve"> article 14 </w:t>
      </w:r>
      <w:r w:rsidR="001D7250">
        <w:rPr>
          <w:rFonts w:eastAsia="Calibri"/>
        </w:rPr>
        <w:t>(</w:t>
      </w:r>
      <w:r w:rsidRPr="00793322">
        <w:rPr>
          <w:rFonts w:eastAsia="Calibri"/>
        </w:rPr>
        <w:t>2</w:t>
      </w:r>
      <w:r w:rsidR="001D7250">
        <w:rPr>
          <w:rFonts w:eastAsia="Calibri"/>
        </w:rPr>
        <w:t>)</w:t>
      </w:r>
      <w:r w:rsidRPr="00793322">
        <w:rPr>
          <w:rFonts w:eastAsia="Calibri"/>
        </w:rPr>
        <w:t xml:space="preserve"> and </w:t>
      </w:r>
      <w:r w:rsidR="001D7250">
        <w:rPr>
          <w:rFonts w:eastAsia="Calibri"/>
        </w:rPr>
        <w:t>(</w:t>
      </w:r>
      <w:r w:rsidRPr="00793322">
        <w:rPr>
          <w:rFonts w:eastAsia="Calibri"/>
        </w:rPr>
        <w:t>3</w:t>
      </w:r>
      <w:r w:rsidR="001D7250">
        <w:rPr>
          <w:rFonts w:eastAsia="Calibri"/>
        </w:rPr>
        <w:t>)</w:t>
      </w:r>
      <w:r w:rsidRPr="00793322">
        <w:rPr>
          <w:rFonts w:eastAsia="Calibri"/>
        </w:rPr>
        <w:t xml:space="preserve"> (b) and (g) of the Coven</w:t>
      </w:r>
      <w:r>
        <w:rPr>
          <w:rFonts w:eastAsia="Calibri"/>
        </w:rPr>
        <w:t>ant</w:t>
      </w:r>
      <w:r w:rsidR="00A04F91">
        <w:rPr>
          <w:rFonts w:eastAsia="Calibri"/>
        </w:rPr>
        <w:t>.</w:t>
      </w:r>
      <w:r w:rsidR="001D7250">
        <w:rPr>
          <w:rFonts w:eastAsia="Calibri"/>
        </w:rPr>
        <w:t xml:space="preserve"> </w:t>
      </w:r>
      <w:r w:rsidR="00A04F91">
        <w:rPr>
          <w:rFonts w:eastAsia="Calibri"/>
        </w:rPr>
        <w:t>He notes that</w:t>
      </w:r>
      <w:r w:rsidR="00720FBE">
        <w:rPr>
          <w:rFonts w:eastAsia="Calibri"/>
        </w:rPr>
        <w:t>,</w:t>
      </w:r>
      <w:r w:rsidR="00A04F91">
        <w:rPr>
          <w:rFonts w:eastAsia="Calibri"/>
        </w:rPr>
        <w:t xml:space="preserve"> a</w:t>
      </w:r>
      <w:r w:rsidRPr="00793322">
        <w:rPr>
          <w:rFonts w:eastAsia="Calibri"/>
        </w:rPr>
        <w:t xml:space="preserve">fter </w:t>
      </w:r>
      <w:r w:rsidR="00A04F91">
        <w:rPr>
          <w:rFonts w:eastAsia="Calibri"/>
        </w:rPr>
        <w:t>he</w:t>
      </w:r>
      <w:r w:rsidRPr="00793322">
        <w:rPr>
          <w:rFonts w:eastAsia="Calibri"/>
        </w:rPr>
        <w:t xml:space="preserve"> signed his forced confession, the media published articles relating to his arrest and openly referred to him as a member of an i</w:t>
      </w:r>
      <w:r>
        <w:rPr>
          <w:rFonts w:eastAsia="Calibri"/>
        </w:rPr>
        <w:t>llegal armed group</w:t>
      </w:r>
      <w:r w:rsidR="00720FBE">
        <w:rPr>
          <w:rFonts w:eastAsia="Calibri"/>
        </w:rPr>
        <w:t>,</w:t>
      </w:r>
      <w:r>
        <w:rPr>
          <w:rFonts w:eastAsia="Calibri"/>
        </w:rPr>
        <w:t xml:space="preserve"> in violation </w:t>
      </w:r>
      <w:r w:rsidRPr="00793322">
        <w:rPr>
          <w:rFonts w:eastAsia="Calibri"/>
        </w:rPr>
        <w:t>of his right to be presumed innocent</w:t>
      </w:r>
      <w:r>
        <w:rPr>
          <w:rFonts w:eastAsia="Calibri"/>
        </w:rPr>
        <w:t xml:space="preserve"> under article 14 (2)</w:t>
      </w:r>
      <w:r w:rsidRPr="00793322">
        <w:rPr>
          <w:rFonts w:eastAsia="Calibri"/>
        </w:rPr>
        <w:t>.</w:t>
      </w:r>
      <w:r w:rsidR="00A04F91">
        <w:rPr>
          <w:rFonts w:eastAsia="Calibri"/>
        </w:rPr>
        <w:t xml:space="preserve"> He additionally claims that the fact that he was held in incommunicado detention and was deprive</w:t>
      </w:r>
      <w:r w:rsidR="00A41340">
        <w:rPr>
          <w:rFonts w:eastAsia="Calibri"/>
        </w:rPr>
        <w:t>d</w:t>
      </w:r>
      <w:r w:rsidR="00A04F91">
        <w:rPr>
          <w:rFonts w:eastAsia="Calibri"/>
        </w:rPr>
        <w:t xml:space="preserve"> of his right to challenge the lawfulness of his detention hampered the presumption of innocence. He further</w:t>
      </w:r>
      <w:r w:rsidR="00A04F91" w:rsidRPr="00A04F91">
        <w:rPr>
          <w:rFonts w:eastAsia="Calibri"/>
        </w:rPr>
        <w:t xml:space="preserve"> claims that</w:t>
      </w:r>
      <w:r w:rsidR="001A528D">
        <w:rPr>
          <w:rFonts w:eastAsia="Calibri"/>
        </w:rPr>
        <w:t>,</w:t>
      </w:r>
      <w:r w:rsidR="00A04F91" w:rsidRPr="00A04F91">
        <w:rPr>
          <w:rFonts w:eastAsia="Calibri"/>
        </w:rPr>
        <w:t xml:space="preserve"> during the first five days of his detention</w:t>
      </w:r>
      <w:r w:rsidR="001A528D">
        <w:rPr>
          <w:rFonts w:eastAsia="Calibri"/>
        </w:rPr>
        <w:t>,</w:t>
      </w:r>
      <w:r w:rsidR="00A04F91" w:rsidRPr="00A04F91">
        <w:rPr>
          <w:rFonts w:eastAsia="Calibri"/>
        </w:rPr>
        <w:t xml:space="preserve"> he was subje</w:t>
      </w:r>
      <w:r w:rsidR="00A04F91">
        <w:rPr>
          <w:rFonts w:eastAsia="Calibri"/>
        </w:rPr>
        <w:t xml:space="preserve">cted to repeated interrogation </w:t>
      </w:r>
      <w:r w:rsidR="00A04F91" w:rsidRPr="00A04F91">
        <w:rPr>
          <w:rFonts w:eastAsia="Calibri"/>
        </w:rPr>
        <w:t xml:space="preserve">without any legal assistance. </w:t>
      </w:r>
      <w:r w:rsidRPr="00793322">
        <w:rPr>
          <w:rFonts w:eastAsia="Calibri"/>
        </w:rPr>
        <w:t xml:space="preserve">Moreover, </w:t>
      </w:r>
      <w:r w:rsidR="00A04F91">
        <w:rPr>
          <w:rFonts w:eastAsia="Calibri"/>
        </w:rPr>
        <w:t xml:space="preserve">although he claimed that evidence against him had been obtained through </w:t>
      </w:r>
      <w:r w:rsidR="00165E84">
        <w:rPr>
          <w:rFonts w:eastAsia="Calibri"/>
        </w:rPr>
        <w:t>torture</w:t>
      </w:r>
      <w:r w:rsidR="00A41340">
        <w:rPr>
          <w:rFonts w:eastAsia="Calibri"/>
        </w:rPr>
        <w:t>,</w:t>
      </w:r>
      <w:r w:rsidRPr="00793322">
        <w:rPr>
          <w:rFonts w:eastAsia="Calibri"/>
        </w:rPr>
        <w:t xml:space="preserve"> his forced confession was retained as valid evidence by the </w:t>
      </w:r>
      <w:r w:rsidR="00220EDE">
        <w:rPr>
          <w:rFonts w:eastAsia="Calibri"/>
        </w:rPr>
        <w:t>C</w:t>
      </w:r>
      <w:r w:rsidR="00220EDE" w:rsidRPr="00793322">
        <w:rPr>
          <w:rFonts w:eastAsia="Calibri"/>
        </w:rPr>
        <w:t>ourt</w:t>
      </w:r>
      <w:r w:rsidR="001A528D">
        <w:rPr>
          <w:rFonts w:eastAsia="Calibri"/>
        </w:rPr>
        <w:t>,</w:t>
      </w:r>
      <w:r>
        <w:rPr>
          <w:rFonts w:eastAsia="Calibri"/>
        </w:rPr>
        <w:t xml:space="preserve"> without considering the circumstances in which such evidence was obtained. </w:t>
      </w:r>
    </w:p>
    <w:p w14:paraId="646A8EA8" w14:textId="4498D9CE" w:rsidR="008F4012" w:rsidRDefault="008F4012" w:rsidP="002C5DD2">
      <w:pPr>
        <w:pStyle w:val="SingleTxtG"/>
        <w:rPr>
          <w:rFonts w:eastAsia="Calibri"/>
        </w:rPr>
      </w:pPr>
      <w:r>
        <w:rPr>
          <w:rFonts w:eastAsia="Calibri"/>
        </w:rPr>
        <w:t>3.5</w:t>
      </w:r>
      <w:r w:rsidRPr="004515C4">
        <w:rPr>
          <w:rFonts w:eastAsia="Calibri"/>
        </w:rPr>
        <w:tab/>
      </w:r>
      <w:r>
        <w:rPr>
          <w:rFonts w:eastAsia="Calibri"/>
        </w:rPr>
        <w:t xml:space="preserve">Accordingly, the author </w:t>
      </w:r>
      <w:r w:rsidR="00165E84">
        <w:rPr>
          <w:rFonts w:eastAsia="Calibri"/>
        </w:rPr>
        <w:t xml:space="preserve">requests </w:t>
      </w:r>
      <w:r>
        <w:rPr>
          <w:rFonts w:eastAsia="Calibri"/>
        </w:rPr>
        <w:t>the Committee to find a violation of the aforementioned articles and request</w:t>
      </w:r>
      <w:r w:rsidR="00A41340">
        <w:rPr>
          <w:rFonts w:eastAsia="Calibri"/>
        </w:rPr>
        <w:t>s</w:t>
      </w:r>
      <w:r>
        <w:rPr>
          <w:rFonts w:eastAsia="Calibri"/>
        </w:rPr>
        <w:t xml:space="preserve"> the State party to provide him with </w:t>
      </w:r>
      <w:r w:rsidR="002C5DD2">
        <w:rPr>
          <w:rFonts w:eastAsia="Calibri"/>
        </w:rPr>
        <w:t>comprehensive</w:t>
      </w:r>
      <w:r>
        <w:rPr>
          <w:rFonts w:eastAsia="Calibri"/>
        </w:rPr>
        <w:t xml:space="preserve"> reparation, rehabilitation and satisfaction for the material and moral damages suffered. In particular, he requests a restoration of his dignity</w:t>
      </w:r>
      <w:r w:rsidR="001A528D">
        <w:rPr>
          <w:rFonts w:eastAsia="Calibri"/>
        </w:rPr>
        <w:t>, which</w:t>
      </w:r>
      <w:r>
        <w:rPr>
          <w:rFonts w:eastAsia="Calibri"/>
        </w:rPr>
        <w:t xml:space="preserve"> could be achieved by a public declaration of official </w:t>
      </w:r>
      <w:r w:rsidR="009F14AF">
        <w:rPr>
          <w:rFonts w:eastAsia="Calibri"/>
        </w:rPr>
        <w:t xml:space="preserve">apology </w:t>
      </w:r>
      <w:r>
        <w:rPr>
          <w:rFonts w:eastAsia="Calibri"/>
        </w:rPr>
        <w:t xml:space="preserve">from the State party and medical and psychological care, free of charge, in order to treat his mental suffering. As for guarantees of non-repetition, the author requests the adoption of an autonomous definition of the crime of torture under Nepalese law, the suppression of the unduly restrictive 35-day </w:t>
      </w:r>
      <w:r w:rsidR="00042E0C">
        <w:rPr>
          <w:rFonts w:eastAsia="Calibri"/>
        </w:rPr>
        <w:t>statutory limit for</w:t>
      </w:r>
      <w:r w:rsidR="009F14AF">
        <w:rPr>
          <w:rFonts w:eastAsia="Calibri"/>
        </w:rPr>
        <w:t xml:space="preserve"> submitting</w:t>
      </w:r>
      <w:r>
        <w:rPr>
          <w:rFonts w:eastAsia="Calibri"/>
        </w:rPr>
        <w:t xml:space="preserve"> complaints related to ill-treatment and the establishment of educational programmes on international human rights law for all members of the Nepalese</w:t>
      </w:r>
      <w:r w:rsidR="005E027B">
        <w:rPr>
          <w:rFonts w:eastAsia="Calibri"/>
        </w:rPr>
        <w:t xml:space="preserve"> security</w:t>
      </w:r>
      <w:r>
        <w:rPr>
          <w:rFonts w:eastAsia="Calibri"/>
        </w:rPr>
        <w:t xml:space="preserve"> forces and the judiciary.</w:t>
      </w:r>
    </w:p>
    <w:p w14:paraId="646A8EA9" w14:textId="36E8A009" w:rsidR="008F4012" w:rsidRDefault="009E22A5" w:rsidP="008F4012">
      <w:pPr>
        <w:pStyle w:val="H23G"/>
        <w:rPr>
          <w:rFonts w:eastAsia="MS Mincho"/>
        </w:rPr>
      </w:pPr>
      <w:r>
        <w:rPr>
          <w:rFonts w:eastAsia="MS Mincho"/>
        </w:rPr>
        <w:tab/>
      </w:r>
      <w:r>
        <w:rPr>
          <w:rFonts w:eastAsia="MS Mincho"/>
        </w:rPr>
        <w:tab/>
      </w:r>
      <w:r w:rsidR="008F4012" w:rsidRPr="005756B9">
        <w:rPr>
          <w:rFonts w:eastAsia="MS Mincho"/>
        </w:rPr>
        <w:t>State party</w:t>
      </w:r>
      <w:r w:rsidR="009F14AF">
        <w:rPr>
          <w:rFonts w:eastAsia="MS Mincho"/>
        </w:rPr>
        <w:t>’</w:t>
      </w:r>
      <w:r w:rsidR="008F4012" w:rsidRPr="005756B9">
        <w:rPr>
          <w:rFonts w:eastAsia="MS Mincho"/>
        </w:rPr>
        <w:t xml:space="preserve">s observations on </w:t>
      </w:r>
      <w:r w:rsidR="008F4012">
        <w:rPr>
          <w:rFonts w:eastAsia="MS Mincho"/>
        </w:rPr>
        <w:t>admissibility and</w:t>
      </w:r>
      <w:r w:rsidR="008F4012" w:rsidRPr="005756B9">
        <w:rPr>
          <w:rFonts w:eastAsia="MS Mincho"/>
        </w:rPr>
        <w:t xml:space="preserve"> </w:t>
      </w:r>
      <w:r w:rsidR="00042E0C">
        <w:rPr>
          <w:rFonts w:eastAsia="MS Mincho"/>
        </w:rPr>
        <w:t xml:space="preserve">the </w:t>
      </w:r>
      <w:r w:rsidR="008F4012" w:rsidRPr="005756B9">
        <w:rPr>
          <w:rFonts w:eastAsia="MS Mincho"/>
        </w:rPr>
        <w:t>merits</w:t>
      </w:r>
    </w:p>
    <w:p w14:paraId="646A8EAA" w14:textId="7683576A" w:rsidR="008F4012" w:rsidRDefault="008F4012" w:rsidP="00B51B94">
      <w:pPr>
        <w:pStyle w:val="SingleTxtG"/>
        <w:rPr>
          <w:rFonts w:eastAsia="Calibri"/>
        </w:rPr>
      </w:pPr>
      <w:r>
        <w:rPr>
          <w:rFonts w:eastAsia="Calibri"/>
        </w:rPr>
        <w:t>4.1</w:t>
      </w:r>
      <w:r w:rsidR="00A838C2">
        <w:rPr>
          <w:rFonts w:eastAsia="Calibri"/>
        </w:rPr>
        <w:tab/>
      </w:r>
      <w:r w:rsidR="00042E0C">
        <w:rPr>
          <w:rFonts w:eastAsia="Calibri"/>
        </w:rPr>
        <w:t xml:space="preserve">In a note </w:t>
      </w:r>
      <w:proofErr w:type="spellStart"/>
      <w:r w:rsidR="00042E0C">
        <w:rPr>
          <w:rFonts w:eastAsia="Calibri"/>
        </w:rPr>
        <w:t>verbale</w:t>
      </w:r>
      <w:proofErr w:type="spellEnd"/>
      <w:r w:rsidR="00042E0C">
        <w:rPr>
          <w:rFonts w:eastAsia="Calibri"/>
        </w:rPr>
        <w:t xml:space="preserve"> dated</w:t>
      </w:r>
      <w:r w:rsidR="00042E0C" w:rsidRPr="005756B9">
        <w:rPr>
          <w:rFonts w:eastAsia="Calibri"/>
        </w:rPr>
        <w:t xml:space="preserve"> </w:t>
      </w:r>
      <w:r>
        <w:rPr>
          <w:rFonts w:eastAsia="Calibri"/>
        </w:rPr>
        <w:t>6</w:t>
      </w:r>
      <w:r w:rsidRPr="005756B9">
        <w:rPr>
          <w:rFonts w:eastAsia="Calibri"/>
        </w:rPr>
        <w:t xml:space="preserve"> </w:t>
      </w:r>
      <w:r>
        <w:rPr>
          <w:rFonts w:eastAsia="Calibri"/>
        </w:rPr>
        <w:t>February 2015</w:t>
      </w:r>
      <w:r w:rsidRPr="005756B9">
        <w:rPr>
          <w:rFonts w:eastAsia="Calibri"/>
        </w:rPr>
        <w:t xml:space="preserve">, the State party submitted its observations on </w:t>
      </w:r>
      <w:r>
        <w:rPr>
          <w:rFonts w:eastAsia="Calibri"/>
        </w:rPr>
        <w:t>admissibility and the</w:t>
      </w:r>
      <w:r w:rsidRPr="005756B9">
        <w:rPr>
          <w:rFonts w:eastAsia="Calibri"/>
        </w:rPr>
        <w:t xml:space="preserve"> merits of the communication</w:t>
      </w:r>
      <w:r>
        <w:rPr>
          <w:rFonts w:eastAsia="Calibri"/>
        </w:rPr>
        <w:t>. The State party claims that domestic remedies have not been exhausted. It indicates that</w:t>
      </w:r>
      <w:r w:rsidR="00B51B94">
        <w:rPr>
          <w:rFonts w:eastAsia="Calibri"/>
        </w:rPr>
        <w:t>,</w:t>
      </w:r>
      <w:r>
        <w:rPr>
          <w:rFonts w:eastAsia="Calibri"/>
        </w:rPr>
        <w:t xml:space="preserve"> under domestic law</w:t>
      </w:r>
      <w:r w:rsidR="00042E0C">
        <w:rPr>
          <w:rFonts w:eastAsia="Calibri"/>
        </w:rPr>
        <w:t>,</w:t>
      </w:r>
      <w:r>
        <w:rPr>
          <w:rStyle w:val="FootnoteReference"/>
          <w:rFonts w:eastAsia="Calibri"/>
        </w:rPr>
        <w:footnoteReference w:id="11"/>
      </w:r>
      <w:r>
        <w:rPr>
          <w:rFonts w:eastAsia="Calibri"/>
        </w:rPr>
        <w:t xml:space="preserve"> any suspect may request a medical check-up before the trial </w:t>
      </w:r>
      <w:r w:rsidR="00042E0C">
        <w:rPr>
          <w:rFonts w:eastAsia="Calibri"/>
        </w:rPr>
        <w:t xml:space="preserve">court </w:t>
      </w:r>
      <w:r>
        <w:rPr>
          <w:rFonts w:eastAsia="Calibri"/>
        </w:rPr>
        <w:t xml:space="preserve">examining permission </w:t>
      </w:r>
      <w:r w:rsidR="00042E0C">
        <w:rPr>
          <w:rFonts w:eastAsia="Calibri"/>
        </w:rPr>
        <w:t xml:space="preserve">for </w:t>
      </w:r>
      <w:r>
        <w:rPr>
          <w:rFonts w:eastAsia="Calibri"/>
        </w:rPr>
        <w:t>remand</w:t>
      </w:r>
      <w:r w:rsidR="00042E0C">
        <w:rPr>
          <w:rFonts w:eastAsia="Calibri"/>
        </w:rPr>
        <w:t>,</w:t>
      </w:r>
      <w:r>
        <w:rPr>
          <w:rFonts w:eastAsia="Calibri"/>
        </w:rPr>
        <w:t xml:space="preserve"> and it stems from the communication that the author did not do so.</w:t>
      </w:r>
      <w:r w:rsidRPr="00765339">
        <w:t xml:space="preserve"> </w:t>
      </w:r>
      <w:r>
        <w:rPr>
          <w:rFonts w:eastAsia="Calibri"/>
        </w:rPr>
        <w:t>This was an available remedy for the author that has not been exhausted. In addition to this, the State party submits that it is not clear from the information provided by the author whether or not he filed a petition</w:t>
      </w:r>
      <w:r w:rsidRPr="00CD659F">
        <w:t xml:space="preserve"> </w:t>
      </w:r>
      <w:r w:rsidR="00C72B6C">
        <w:t xml:space="preserve">for writ </w:t>
      </w:r>
      <w:r w:rsidRPr="00CD659F">
        <w:rPr>
          <w:rFonts w:eastAsia="Calibri"/>
        </w:rPr>
        <w:t xml:space="preserve">of </w:t>
      </w:r>
      <w:r w:rsidRPr="00623B29">
        <w:rPr>
          <w:rFonts w:eastAsia="Calibri"/>
          <w:iCs/>
        </w:rPr>
        <w:t>habeas corpus</w:t>
      </w:r>
      <w:r>
        <w:rPr>
          <w:rFonts w:eastAsia="Calibri"/>
          <w:i/>
        </w:rPr>
        <w:t xml:space="preserve">, </w:t>
      </w:r>
      <w:r w:rsidR="00AB4C4B">
        <w:rPr>
          <w:rFonts w:eastAsia="Calibri"/>
          <w:iCs/>
        </w:rPr>
        <w:t xml:space="preserve">as provided for </w:t>
      </w:r>
      <w:r>
        <w:rPr>
          <w:rFonts w:eastAsia="Calibri"/>
        </w:rPr>
        <w:t xml:space="preserve">under article 107 (2) of the </w:t>
      </w:r>
      <w:r w:rsidRPr="00CD659F">
        <w:rPr>
          <w:rFonts w:eastAsia="Calibri"/>
        </w:rPr>
        <w:t>Interim Constitution of Nepal</w:t>
      </w:r>
      <w:r w:rsidR="00B51B94">
        <w:rPr>
          <w:rFonts w:eastAsia="Calibri"/>
        </w:rPr>
        <w:t>,</w:t>
      </w:r>
      <w:r w:rsidR="00F50760">
        <w:rPr>
          <w:rFonts w:eastAsia="Calibri"/>
        </w:rPr>
        <w:t xml:space="preserve"> 2063 (</w:t>
      </w:r>
      <w:r w:rsidRPr="00CD659F">
        <w:rPr>
          <w:rFonts w:eastAsia="Calibri"/>
        </w:rPr>
        <w:t>2007</w:t>
      </w:r>
      <w:r w:rsidR="00F50760">
        <w:rPr>
          <w:rFonts w:eastAsia="Calibri"/>
        </w:rPr>
        <w:t>)</w:t>
      </w:r>
      <w:r>
        <w:rPr>
          <w:rFonts w:eastAsia="Calibri"/>
        </w:rPr>
        <w:t xml:space="preserve">, which can be lodged </w:t>
      </w:r>
      <w:r w:rsidR="00F50760">
        <w:rPr>
          <w:rFonts w:eastAsia="Calibri"/>
        </w:rPr>
        <w:t xml:space="preserve">with </w:t>
      </w:r>
      <w:r w:rsidR="00A7735D">
        <w:rPr>
          <w:rFonts w:eastAsia="Calibri"/>
        </w:rPr>
        <w:t>a d</w:t>
      </w:r>
      <w:r>
        <w:rPr>
          <w:rFonts w:eastAsia="Calibri"/>
        </w:rPr>
        <w:t xml:space="preserve">istrict </w:t>
      </w:r>
      <w:r w:rsidR="00A7735D">
        <w:rPr>
          <w:rFonts w:eastAsia="Calibri"/>
        </w:rPr>
        <w:t>court</w:t>
      </w:r>
      <w:r>
        <w:rPr>
          <w:rFonts w:eastAsia="Calibri"/>
        </w:rPr>
        <w:t xml:space="preserve">, </w:t>
      </w:r>
      <w:r w:rsidR="00A7735D">
        <w:rPr>
          <w:rFonts w:eastAsia="Calibri"/>
        </w:rPr>
        <w:t xml:space="preserve">an appellate court </w:t>
      </w:r>
      <w:r w:rsidR="00AB4C4B">
        <w:rPr>
          <w:rFonts w:eastAsia="Calibri"/>
        </w:rPr>
        <w:t>or</w:t>
      </w:r>
      <w:r>
        <w:rPr>
          <w:rFonts w:eastAsia="Calibri"/>
        </w:rPr>
        <w:t xml:space="preserve"> </w:t>
      </w:r>
      <w:r w:rsidR="00A7735D">
        <w:rPr>
          <w:rFonts w:eastAsia="Calibri"/>
        </w:rPr>
        <w:t xml:space="preserve">the </w:t>
      </w:r>
      <w:r>
        <w:rPr>
          <w:rFonts w:eastAsia="Calibri"/>
        </w:rPr>
        <w:t xml:space="preserve">Supreme Court under its extraordinary jurisdiction. </w:t>
      </w:r>
      <w:r w:rsidR="00622479">
        <w:rPr>
          <w:rFonts w:eastAsia="Calibri"/>
        </w:rPr>
        <w:t xml:space="preserve">The State party further submits that the </w:t>
      </w:r>
      <w:r w:rsidR="00622479">
        <w:rPr>
          <w:rFonts w:eastAsia="Calibri"/>
        </w:rPr>
        <w:lastRenderedPageBreak/>
        <w:t xml:space="preserve">author could have filed a claim for compensation before the District Court of </w:t>
      </w:r>
      <w:proofErr w:type="spellStart"/>
      <w:r w:rsidR="00622479">
        <w:rPr>
          <w:rFonts w:eastAsia="Calibri"/>
        </w:rPr>
        <w:t>Rupandehi</w:t>
      </w:r>
      <w:proofErr w:type="spellEnd"/>
      <w:r w:rsidR="00622479">
        <w:rPr>
          <w:rFonts w:eastAsia="Calibri"/>
        </w:rPr>
        <w:t xml:space="preserve"> within 35 day</w:t>
      </w:r>
      <w:r w:rsidR="00042E0C">
        <w:rPr>
          <w:rFonts w:eastAsia="Calibri"/>
        </w:rPr>
        <w:t>s</w:t>
      </w:r>
      <w:r w:rsidR="00622479">
        <w:rPr>
          <w:rFonts w:eastAsia="Calibri"/>
        </w:rPr>
        <w:t xml:space="preserve"> of his release if he felt that he had been ill-treated or tortured during his detention. Regarding the petition the author lodged </w:t>
      </w:r>
      <w:r w:rsidR="00F50760">
        <w:rPr>
          <w:rFonts w:eastAsia="Calibri"/>
        </w:rPr>
        <w:t xml:space="preserve">with </w:t>
      </w:r>
      <w:r w:rsidR="00622479">
        <w:rPr>
          <w:rFonts w:eastAsia="Calibri"/>
        </w:rPr>
        <w:t xml:space="preserve">the Supreme Court on </w:t>
      </w:r>
      <w:r w:rsidR="00622479" w:rsidRPr="00622479">
        <w:rPr>
          <w:rFonts w:eastAsia="Calibri"/>
        </w:rPr>
        <w:t>24 January 2013</w:t>
      </w:r>
      <w:r w:rsidR="00A41340">
        <w:rPr>
          <w:rFonts w:eastAsia="Calibri"/>
        </w:rPr>
        <w:t>,</w:t>
      </w:r>
      <w:r w:rsidR="00622479">
        <w:rPr>
          <w:rFonts w:eastAsia="Calibri"/>
        </w:rPr>
        <w:t xml:space="preserve"> the State party submits that</w:t>
      </w:r>
      <w:r w:rsidR="005F6C9C">
        <w:rPr>
          <w:rFonts w:eastAsia="Calibri"/>
        </w:rPr>
        <w:t>,</w:t>
      </w:r>
      <w:r w:rsidR="00622479">
        <w:rPr>
          <w:rFonts w:eastAsia="Calibri"/>
        </w:rPr>
        <w:t xml:space="preserve"> since the court </w:t>
      </w:r>
      <w:r w:rsidR="005F6C9C">
        <w:rPr>
          <w:rFonts w:eastAsia="Calibri"/>
        </w:rPr>
        <w:t xml:space="preserve">has </w:t>
      </w:r>
      <w:r w:rsidR="00622479">
        <w:rPr>
          <w:rFonts w:eastAsia="Calibri"/>
        </w:rPr>
        <w:t>not yet decided the case, it is unable to comment on it at this stage.</w:t>
      </w:r>
    </w:p>
    <w:p w14:paraId="646A8EAB" w14:textId="27BD76BE" w:rsidR="008F4012" w:rsidRPr="007C7A8B" w:rsidRDefault="008F4012" w:rsidP="00CB57E0">
      <w:pPr>
        <w:pStyle w:val="SingleTxtG"/>
        <w:rPr>
          <w:rFonts w:eastAsia="MS Mincho"/>
          <w:b/>
        </w:rPr>
      </w:pPr>
      <w:r>
        <w:rPr>
          <w:rFonts w:eastAsia="Calibri"/>
        </w:rPr>
        <w:t>4.2</w:t>
      </w:r>
      <w:r>
        <w:rPr>
          <w:rFonts w:eastAsia="Calibri"/>
        </w:rPr>
        <w:tab/>
        <w:t xml:space="preserve">On the merits, the State party is mainly challenging the credibility of the author’s statements. In that connection, the State party claims that the author’s allegations are not based on facts and reality. It </w:t>
      </w:r>
      <w:r w:rsidRPr="00CA2B9E">
        <w:rPr>
          <w:rFonts w:eastAsia="Calibri"/>
        </w:rPr>
        <w:t>indicates</w:t>
      </w:r>
      <w:r>
        <w:rPr>
          <w:rFonts w:eastAsia="Calibri"/>
        </w:rPr>
        <w:t xml:space="preserve"> that the author has been convicted for his involvement in the </w:t>
      </w:r>
      <w:proofErr w:type="spellStart"/>
      <w:r>
        <w:rPr>
          <w:rFonts w:eastAsia="Calibri"/>
        </w:rPr>
        <w:t>Butwal</w:t>
      </w:r>
      <w:proofErr w:type="spellEnd"/>
      <w:r>
        <w:rPr>
          <w:rFonts w:eastAsia="Calibri"/>
        </w:rPr>
        <w:t xml:space="preserve"> explosion of 27 March 2011</w:t>
      </w:r>
      <w:r w:rsidR="005F6C9C">
        <w:rPr>
          <w:rFonts w:eastAsia="Calibri"/>
        </w:rPr>
        <w:t>,</w:t>
      </w:r>
      <w:r>
        <w:rPr>
          <w:rFonts w:eastAsia="Calibri"/>
        </w:rPr>
        <w:t xml:space="preserve"> and </w:t>
      </w:r>
      <w:r w:rsidR="00622479">
        <w:rPr>
          <w:rFonts w:eastAsia="Calibri"/>
        </w:rPr>
        <w:t>submits</w:t>
      </w:r>
      <w:r>
        <w:rPr>
          <w:rFonts w:eastAsia="Calibri"/>
        </w:rPr>
        <w:t xml:space="preserve"> that he </w:t>
      </w:r>
      <w:r w:rsidR="00622479">
        <w:rPr>
          <w:rFonts w:eastAsia="Calibri"/>
        </w:rPr>
        <w:t xml:space="preserve">has served </w:t>
      </w:r>
      <w:r>
        <w:rPr>
          <w:rFonts w:eastAsia="Calibri"/>
        </w:rPr>
        <w:t>a regular sentence for the crime he committed. The State party further affirms that the author, while in detention, was not tortured in any manner</w:t>
      </w:r>
      <w:r w:rsidR="00CB57E0">
        <w:rPr>
          <w:rFonts w:eastAsia="Calibri"/>
        </w:rPr>
        <w:t>,</w:t>
      </w:r>
      <w:r>
        <w:rPr>
          <w:rFonts w:eastAsia="Calibri"/>
        </w:rPr>
        <w:t xml:space="preserve"> in full compliance with article 7 of the Covenant. It </w:t>
      </w:r>
      <w:r w:rsidR="00622479">
        <w:rPr>
          <w:rFonts w:eastAsia="Calibri"/>
        </w:rPr>
        <w:t>argues that</w:t>
      </w:r>
      <w:r>
        <w:rPr>
          <w:rFonts w:eastAsia="Calibri"/>
        </w:rPr>
        <w:t xml:space="preserve"> the pain or suffering emanating from the lawful sanctions or measures taken in</w:t>
      </w:r>
      <w:r w:rsidR="00B51B94">
        <w:rPr>
          <w:rFonts w:eastAsia="Calibri"/>
        </w:rPr>
        <w:t xml:space="preserve"> the</w:t>
      </w:r>
      <w:r>
        <w:rPr>
          <w:rFonts w:eastAsia="Calibri"/>
        </w:rPr>
        <w:t xml:space="preserve"> course of criminal justice should not be considered as torture. </w:t>
      </w:r>
    </w:p>
    <w:p w14:paraId="646A8EAC" w14:textId="37EA5EF0" w:rsidR="008F4012" w:rsidRPr="005756B9" w:rsidRDefault="008F4012" w:rsidP="003E1ABF">
      <w:pPr>
        <w:pStyle w:val="SingleTxtG"/>
        <w:rPr>
          <w:rFonts w:eastAsia="Calibri"/>
        </w:rPr>
      </w:pPr>
      <w:r w:rsidRPr="005756B9">
        <w:rPr>
          <w:rFonts w:eastAsia="Calibri"/>
        </w:rPr>
        <w:t>4.3</w:t>
      </w:r>
      <w:r>
        <w:rPr>
          <w:rFonts w:eastAsia="Calibri"/>
        </w:rPr>
        <w:tab/>
        <w:t>The State party submits that the Interim Constitution of Nepal</w:t>
      </w:r>
      <w:r w:rsidR="00CB57E0">
        <w:rPr>
          <w:rFonts w:eastAsia="Calibri"/>
        </w:rPr>
        <w:t xml:space="preserve"> </w:t>
      </w:r>
      <w:r>
        <w:rPr>
          <w:rFonts w:eastAsia="Calibri"/>
        </w:rPr>
        <w:t>guarantees fundamental freedoms and is explicitly committed to respect</w:t>
      </w:r>
      <w:r w:rsidR="003E1ABF">
        <w:rPr>
          <w:rFonts w:eastAsia="Calibri"/>
        </w:rPr>
        <w:t>ing</w:t>
      </w:r>
      <w:r>
        <w:rPr>
          <w:rFonts w:eastAsia="Calibri"/>
        </w:rPr>
        <w:t xml:space="preserve"> the spirit of international human rights instruments. In that connection, the State party refers to several dispositions of the </w:t>
      </w:r>
      <w:r w:rsidRPr="00451CD9">
        <w:rPr>
          <w:rFonts w:eastAsia="Calibri"/>
        </w:rPr>
        <w:t>Interim Constitution of Nepal</w:t>
      </w:r>
      <w:r>
        <w:rPr>
          <w:rStyle w:val="FootnoteReference"/>
          <w:rFonts w:eastAsia="Calibri"/>
        </w:rPr>
        <w:footnoteReference w:id="12"/>
      </w:r>
      <w:r>
        <w:rPr>
          <w:rFonts w:eastAsia="Calibri"/>
        </w:rPr>
        <w:t xml:space="preserve"> to deny the allegations of the author and recall</w:t>
      </w:r>
      <w:r w:rsidR="003E1ABF">
        <w:rPr>
          <w:rFonts w:eastAsia="Calibri"/>
        </w:rPr>
        <w:t>s</w:t>
      </w:r>
      <w:r>
        <w:rPr>
          <w:rFonts w:eastAsia="Calibri"/>
        </w:rPr>
        <w:t xml:space="preserve"> that its Constitution provides </w:t>
      </w:r>
      <w:r w:rsidR="003E1ABF">
        <w:rPr>
          <w:rFonts w:eastAsia="Calibri"/>
        </w:rPr>
        <w:t>for the prevention of</w:t>
      </w:r>
      <w:r>
        <w:rPr>
          <w:rFonts w:eastAsia="Calibri"/>
        </w:rPr>
        <w:t xml:space="preserve"> extrajudicial detention or trial, the use of torture to obtain evidence or the conviction of individuals without legal representation</w:t>
      </w:r>
      <w:r w:rsidR="003E1ABF">
        <w:rPr>
          <w:rFonts w:eastAsia="Calibri"/>
        </w:rPr>
        <w:t>, with sufficient guarantees</w:t>
      </w:r>
      <w:r>
        <w:rPr>
          <w:rFonts w:eastAsia="Calibri"/>
        </w:rPr>
        <w:t>.</w:t>
      </w:r>
    </w:p>
    <w:p w14:paraId="646A8EAD" w14:textId="4FCFDFDD" w:rsidR="008F4012" w:rsidRDefault="008F4012" w:rsidP="003E1ABF">
      <w:pPr>
        <w:pStyle w:val="SingleTxtG"/>
        <w:rPr>
          <w:rFonts w:eastAsia="Calibri"/>
        </w:rPr>
      </w:pPr>
      <w:r w:rsidRPr="005756B9">
        <w:rPr>
          <w:rFonts w:eastAsia="Calibri"/>
        </w:rPr>
        <w:t>4.4</w:t>
      </w:r>
      <w:r>
        <w:rPr>
          <w:rFonts w:eastAsia="Calibri"/>
        </w:rPr>
        <w:tab/>
        <w:t>The State party affirms that evidence obtained illegally, for example by inflicting torture, is not admissible evidence before the State party’s courts of law.</w:t>
      </w:r>
      <w:r>
        <w:rPr>
          <w:rStyle w:val="FootnoteReference"/>
          <w:rFonts w:eastAsia="Calibri"/>
        </w:rPr>
        <w:footnoteReference w:id="13"/>
      </w:r>
      <w:r>
        <w:rPr>
          <w:rFonts w:eastAsia="Calibri"/>
        </w:rPr>
        <w:t xml:space="preserve"> In this context, the author’s allegation that the confession was obtained under torture is groundless and </w:t>
      </w:r>
      <w:r w:rsidRPr="006900DD">
        <w:rPr>
          <w:rFonts w:eastAsia="Calibri"/>
        </w:rPr>
        <w:t>emotionalized</w:t>
      </w:r>
      <w:r w:rsidR="003E1ABF">
        <w:rPr>
          <w:rFonts w:eastAsia="Calibri"/>
        </w:rPr>
        <w:t>,</w:t>
      </w:r>
      <w:r>
        <w:rPr>
          <w:rFonts w:eastAsia="Calibri"/>
        </w:rPr>
        <w:t xml:space="preserve"> given that the confession was recorded in front of the prosecutor</w:t>
      </w:r>
      <w:r w:rsidR="003E1ABF">
        <w:rPr>
          <w:rFonts w:eastAsia="Calibri"/>
        </w:rPr>
        <w:t>, being</w:t>
      </w:r>
      <w:r>
        <w:rPr>
          <w:rFonts w:eastAsia="Calibri"/>
        </w:rPr>
        <w:t xml:space="preserve"> impartial and independent from the police. </w:t>
      </w:r>
      <w:r w:rsidR="00FF0E81">
        <w:rPr>
          <w:rFonts w:eastAsia="Calibri"/>
        </w:rPr>
        <w:t>The State party claims that the author did not raise his allegations of torture during the court proceedings. It notes that</w:t>
      </w:r>
      <w:r w:rsidR="003E1ABF">
        <w:rPr>
          <w:rFonts w:eastAsia="Calibri"/>
        </w:rPr>
        <w:t>,</w:t>
      </w:r>
      <w:r w:rsidR="00FF0E81">
        <w:rPr>
          <w:rFonts w:eastAsia="Calibri"/>
        </w:rPr>
        <w:t xml:space="preserve"> a</w:t>
      </w:r>
      <w:r>
        <w:rPr>
          <w:rFonts w:eastAsia="Calibri"/>
        </w:rPr>
        <w:t xml:space="preserve">ccording to the State Cases Act, </w:t>
      </w:r>
      <w:r w:rsidR="00272E70">
        <w:rPr>
          <w:rFonts w:eastAsia="Calibri"/>
        </w:rPr>
        <w:t xml:space="preserve">1992, </w:t>
      </w:r>
      <w:r>
        <w:rPr>
          <w:rFonts w:eastAsia="Calibri"/>
        </w:rPr>
        <w:t xml:space="preserve">police personnel, </w:t>
      </w:r>
      <w:r w:rsidR="003E1ABF">
        <w:rPr>
          <w:rFonts w:eastAsia="Calibri"/>
        </w:rPr>
        <w:t xml:space="preserve">when </w:t>
      </w:r>
      <w:r>
        <w:rPr>
          <w:rFonts w:eastAsia="Calibri"/>
        </w:rPr>
        <w:t>conducting investigation</w:t>
      </w:r>
      <w:r w:rsidR="003E1ABF">
        <w:rPr>
          <w:rFonts w:eastAsia="Calibri"/>
        </w:rPr>
        <w:t>s into</w:t>
      </w:r>
      <w:r>
        <w:rPr>
          <w:rFonts w:eastAsia="Calibri"/>
        </w:rPr>
        <w:t xml:space="preserve"> crimes, may arrest suspects where there are reasonable grounds to believe that they were involved in a crime. </w:t>
      </w:r>
      <w:r w:rsidR="00FF0E81">
        <w:rPr>
          <w:rFonts w:eastAsia="Calibri"/>
        </w:rPr>
        <w:t>T</w:t>
      </w:r>
      <w:r>
        <w:rPr>
          <w:rFonts w:eastAsia="Calibri"/>
        </w:rPr>
        <w:t xml:space="preserve">he author was </w:t>
      </w:r>
      <w:r w:rsidR="00FF0E81">
        <w:rPr>
          <w:rFonts w:eastAsia="Calibri"/>
        </w:rPr>
        <w:t xml:space="preserve">arrested under section 14 of this </w:t>
      </w:r>
      <w:r w:rsidR="003E1ABF">
        <w:rPr>
          <w:rFonts w:eastAsia="Calibri"/>
        </w:rPr>
        <w:t>act</w:t>
      </w:r>
      <w:r>
        <w:rPr>
          <w:rFonts w:eastAsia="Calibri"/>
        </w:rPr>
        <w:t xml:space="preserve">. </w:t>
      </w:r>
    </w:p>
    <w:p w14:paraId="646A8EAE" w14:textId="6FAC25E7" w:rsidR="008F4012" w:rsidRPr="005756B9" w:rsidRDefault="008F4012" w:rsidP="00A7735D">
      <w:pPr>
        <w:pStyle w:val="SingleTxtG"/>
        <w:rPr>
          <w:rFonts w:eastAsia="Calibri"/>
        </w:rPr>
      </w:pPr>
      <w:r w:rsidRPr="005756B9">
        <w:rPr>
          <w:rFonts w:eastAsia="Calibri"/>
        </w:rPr>
        <w:t>4.5</w:t>
      </w:r>
      <w:r>
        <w:rPr>
          <w:rFonts w:eastAsia="Calibri"/>
        </w:rPr>
        <w:tab/>
        <w:t xml:space="preserve">The State party </w:t>
      </w:r>
      <w:r w:rsidR="00FF0E81">
        <w:rPr>
          <w:rFonts w:eastAsia="Calibri"/>
        </w:rPr>
        <w:t xml:space="preserve">notes </w:t>
      </w:r>
      <w:r>
        <w:rPr>
          <w:rFonts w:eastAsia="Calibri"/>
        </w:rPr>
        <w:t xml:space="preserve">that the author was able to </w:t>
      </w:r>
      <w:r w:rsidR="00FF0E81">
        <w:rPr>
          <w:rFonts w:eastAsia="Calibri"/>
        </w:rPr>
        <w:t>appeal</w:t>
      </w:r>
      <w:r>
        <w:rPr>
          <w:rFonts w:eastAsia="Calibri"/>
        </w:rPr>
        <w:t xml:space="preserve"> the </w:t>
      </w:r>
      <w:r w:rsidR="00FF0E81">
        <w:rPr>
          <w:rFonts w:eastAsia="Calibri"/>
        </w:rPr>
        <w:t xml:space="preserve">verdict of the </w:t>
      </w:r>
      <w:r>
        <w:rPr>
          <w:rFonts w:eastAsia="Calibri"/>
        </w:rPr>
        <w:t xml:space="preserve">District Court of </w:t>
      </w:r>
      <w:proofErr w:type="spellStart"/>
      <w:r>
        <w:rPr>
          <w:rFonts w:eastAsia="Calibri"/>
        </w:rPr>
        <w:t>Rupandehi</w:t>
      </w:r>
      <w:proofErr w:type="spellEnd"/>
      <w:r>
        <w:rPr>
          <w:rFonts w:eastAsia="Calibri"/>
        </w:rPr>
        <w:t xml:space="preserve"> </w:t>
      </w:r>
      <w:r w:rsidR="00FF0E81">
        <w:rPr>
          <w:rFonts w:eastAsia="Calibri"/>
        </w:rPr>
        <w:t xml:space="preserve">of </w:t>
      </w:r>
      <w:r w:rsidRPr="00C553A9">
        <w:rPr>
          <w:rFonts w:eastAsia="Calibri"/>
        </w:rPr>
        <w:t>13 June 2012</w:t>
      </w:r>
      <w:r>
        <w:rPr>
          <w:rFonts w:eastAsia="Calibri"/>
        </w:rPr>
        <w:t xml:space="preserve"> to the Appellate Court of </w:t>
      </w:r>
      <w:proofErr w:type="spellStart"/>
      <w:r>
        <w:rPr>
          <w:rFonts w:eastAsia="Calibri"/>
        </w:rPr>
        <w:t>Butwal</w:t>
      </w:r>
      <w:proofErr w:type="spellEnd"/>
      <w:r>
        <w:rPr>
          <w:rFonts w:eastAsia="Calibri"/>
        </w:rPr>
        <w:t xml:space="preserve">. However, </w:t>
      </w:r>
      <w:r w:rsidR="00FF0E81">
        <w:rPr>
          <w:rFonts w:eastAsia="Calibri"/>
        </w:rPr>
        <w:t>the</w:t>
      </w:r>
      <w:r>
        <w:rPr>
          <w:rFonts w:eastAsia="Calibri"/>
        </w:rPr>
        <w:t xml:space="preserve"> appeal was rejected</w:t>
      </w:r>
      <w:r w:rsidR="00A7735D">
        <w:rPr>
          <w:rFonts w:eastAsia="Calibri"/>
        </w:rPr>
        <w:t>,</w:t>
      </w:r>
      <w:r>
        <w:rPr>
          <w:rFonts w:eastAsia="Calibri"/>
        </w:rPr>
        <w:t xml:space="preserve"> and the Appellate Court </w:t>
      </w:r>
      <w:r w:rsidR="00FF0E81">
        <w:rPr>
          <w:rFonts w:eastAsia="Calibri"/>
        </w:rPr>
        <w:t>confirmed</w:t>
      </w:r>
      <w:r>
        <w:rPr>
          <w:rFonts w:eastAsia="Calibri"/>
        </w:rPr>
        <w:t xml:space="preserve"> the </w:t>
      </w:r>
      <w:r w:rsidR="00FF0E81">
        <w:rPr>
          <w:rFonts w:eastAsia="Calibri"/>
        </w:rPr>
        <w:t xml:space="preserve">judgment of the </w:t>
      </w:r>
      <w:r>
        <w:rPr>
          <w:rFonts w:eastAsia="Calibri"/>
        </w:rPr>
        <w:t>District Court.</w:t>
      </w:r>
      <w:r w:rsidRPr="00CA2B9E">
        <w:rPr>
          <w:rFonts w:eastAsia="Calibri"/>
          <w:vertAlign w:val="superscript"/>
        </w:rPr>
        <w:t xml:space="preserve"> </w:t>
      </w:r>
      <w:r w:rsidR="00A7735D">
        <w:rPr>
          <w:rFonts w:eastAsia="Calibri"/>
        </w:rPr>
        <w:t xml:space="preserve">The State party </w:t>
      </w:r>
      <w:r w:rsidR="00FF0E81">
        <w:rPr>
          <w:rFonts w:eastAsia="Calibri"/>
        </w:rPr>
        <w:t xml:space="preserve">argues </w:t>
      </w:r>
      <w:r>
        <w:rPr>
          <w:rFonts w:eastAsia="Calibri"/>
        </w:rPr>
        <w:t>that due process has been respected during the</w:t>
      </w:r>
      <w:r w:rsidR="009E22A5">
        <w:rPr>
          <w:rFonts w:eastAsia="Calibri"/>
        </w:rPr>
        <w:t xml:space="preserve"> </w:t>
      </w:r>
      <w:r>
        <w:rPr>
          <w:rFonts w:eastAsia="Calibri"/>
        </w:rPr>
        <w:t xml:space="preserve">domestic </w:t>
      </w:r>
      <w:r w:rsidR="0010770C">
        <w:rPr>
          <w:rFonts w:eastAsia="Calibri"/>
        </w:rPr>
        <w:t>proceedings by</w:t>
      </w:r>
      <w:r w:rsidR="00FF0E81">
        <w:rPr>
          <w:rFonts w:eastAsia="Calibri"/>
        </w:rPr>
        <w:t xml:space="preserve"> an independent</w:t>
      </w:r>
      <w:r>
        <w:rPr>
          <w:rFonts w:eastAsia="Calibri"/>
        </w:rPr>
        <w:t xml:space="preserve"> </w:t>
      </w:r>
      <w:r w:rsidR="00FF0E81">
        <w:rPr>
          <w:rFonts w:eastAsia="Calibri"/>
        </w:rPr>
        <w:t>and impartial</w:t>
      </w:r>
      <w:r>
        <w:rPr>
          <w:rFonts w:eastAsia="Calibri"/>
        </w:rPr>
        <w:t xml:space="preserve"> judiciary. </w:t>
      </w:r>
    </w:p>
    <w:p w14:paraId="646A8EAF" w14:textId="674B514F" w:rsidR="008F4012" w:rsidRPr="00CD659F" w:rsidRDefault="008F4012" w:rsidP="00CE4207">
      <w:pPr>
        <w:pStyle w:val="SingleTxtG"/>
        <w:rPr>
          <w:rFonts w:eastAsia="Calibri"/>
        </w:rPr>
      </w:pPr>
      <w:r>
        <w:rPr>
          <w:rFonts w:eastAsia="Calibri"/>
        </w:rPr>
        <w:t>4.6</w:t>
      </w:r>
      <w:r>
        <w:rPr>
          <w:rFonts w:eastAsia="Calibri"/>
        </w:rPr>
        <w:tab/>
        <w:t xml:space="preserve">The State party further claims that the accusation that torture is common and widespread in the </w:t>
      </w:r>
      <w:proofErr w:type="spellStart"/>
      <w:r>
        <w:rPr>
          <w:rFonts w:eastAsia="Calibri"/>
        </w:rPr>
        <w:t>Terai</w:t>
      </w:r>
      <w:proofErr w:type="spellEnd"/>
      <w:r>
        <w:rPr>
          <w:rFonts w:eastAsia="Calibri"/>
        </w:rPr>
        <w:t xml:space="preserve"> region is a biased view</w:t>
      </w:r>
      <w:r w:rsidR="00220EDE">
        <w:rPr>
          <w:rFonts w:eastAsia="Calibri"/>
        </w:rPr>
        <w:t>,</w:t>
      </w:r>
      <w:r>
        <w:rPr>
          <w:rFonts w:eastAsia="Calibri"/>
        </w:rPr>
        <w:t xml:space="preserve"> which is not grounded </w:t>
      </w:r>
      <w:r w:rsidR="00FF0E81">
        <w:rPr>
          <w:rFonts w:eastAsia="Calibri"/>
        </w:rPr>
        <w:t>i</w:t>
      </w:r>
      <w:r>
        <w:rPr>
          <w:rFonts w:eastAsia="Calibri"/>
        </w:rPr>
        <w:t xml:space="preserve">n reality. In this respect, it </w:t>
      </w:r>
      <w:r w:rsidR="00FF0E81">
        <w:rPr>
          <w:rFonts w:eastAsia="Calibri"/>
        </w:rPr>
        <w:t>notes</w:t>
      </w:r>
      <w:r>
        <w:rPr>
          <w:rFonts w:eastAsia="Calibri"/>
        </w:rPr>
        <w:t xml:space="preserve"> that a bill to fully criminalize torture and compensate victims is under consideration at the </w:t>
      </w:r>
      <w:r w:rsidR="00CE4207">
        <w:rPr>
          <w:rFonts w:eastAsia="Calibri"/>
        </w:rPr>
        <w:t xml:space="preserve">Federal </w:t>
      </w:r>
      <w:r>
        <w:rPr>
          <w:rFonts w:eastAsia="Calibri"/>
        </w:rPr>
        <w:t xml:space="preserve">Parliament in order to </w:t>
      </w:r>
      <w:r w:rsidR="005565EB">
        <w:rPr>
          <w:rFonts w:eastAsia="Calibri"/>
        </w:rPr>
        <w:t>improve compliance</w:t>
      </w:r>
      <w:r>
        <w:rPr>
          <w:rFonts w:eastAsia="Calibri"/>
        </w:rPr>
        <w:t xml:space="preserve"> with the State party’s international obligations. </w:t>
      </w:r>
    </w:p>
    <w:p w14:paraId="646A8EB0" w14:textId="5C9EE5A1" w:rsidR="008F4012" w:rsidRPr="005756B9" w:rsidRDefault="008F4012" w:rsidP="005565EB">
      <w:pPr>
        <w:pStyle w:val="H23G"/>
        <w:rPr>
          <w:rFonts w:eastAsia="MS Mincho"/>
        </w:rPr>
      </w:pPr>
      <w:r>
        <w:rPr>
          <w:rFonts w:eastAsia="MS Mincho"/>
        </w:rPr>
        <w:tab/>
      </w:r>
      <w:r>
        <w:rPr>
          <w:rFonts w:eastAsia="MS Mincho"/>
        </w:rPr>
        <w:tab/>
      </w:r>
      <w:r w:rsidRPr="005756B9">
        <w:rPr>
          <w:rFonts w:eastAsia="MS Mincho"/>
        </w:rPr>
        <w:t xml:space="preserve">Author’s comments on the State party’s observations on </w:t>
      </w:r>
      <w:r>
        <w:rPr>
          <w:rFonts w:eastAsia="MS Mincho"/>
        </w:rPr>
        <w:t>admissibility and</w:t>
      </w:r>
      <w:r w:rsidRPr="005756B9">
        <w:rPr>
          <w:rFonts w:eastAsia="MS Mincho"/>
        </w:rPr>
        <w:t xml:space="preserve"> </w:t>
      </w:r>
      <w:r w:rsidR="005565EB">
        <w:rPr>
          <w:rFonts w:eastAsia="MS Mincho"/>
        </w:rPr>
        <w:t xml:space="preserve">the </w:t>
      </w:r>
      <w:r w:rsidRPr="005756B9">
        <w:rPr>
          <w:rFonts w:eastAsia="MS Mincho"/>
        </w:rPr>
        <w:t>merits</w:t>
      </w:r>
    </w:p>
    <w:p w14:paraId="646A8EB1" w14:textId="5366FCEB" w:rsidR="008F4012" w:rsidRPr="007C7A8B" w:rsidRDefault="008F4012" w:rsidP="008F4012">
      <w:pPr>
        <w:pStyle w:val="SingleTxtG"/>
        <w:rPr>
          <w:rFonts w:eastAsia="Calibri"/>
        </w:rPr>
      </w:pPr>
      <w:r w:rsidRPr="005756B9">
        <w:rPr>
          <w:rFonts w:eastAsia="MS Mincho"/>
        </w:rPr>
        <w:t>5.1</w:t>
      </w:r>
      <w:r w:rsidRPr="005756B9">
        <w:rPr>
          <w:rFonts w:eastAsia="MS Mincho"/>
        </w:rPr>
        <w:tab/>
        <w:t>O</w:t>
      </w:r>
      <w:r>
        <w:rPr>
          <w:rFonts w:eastAsia="Calibri"/>
        </w:rPr>
        <w:t>n 3</w:t>
      </w:r>
      <w:r w:rsidRPr="005756B9">
        <w:rPr>
          <w:rFonts w:eastAsia="Calibri"/>
        </w:rPr>
        <w:t xml:space="preserve">1 </w:t>
      </w:r>
      <w:r>
        <w:rPr>
          <w:rFonts w:eastAsia="Calibri"/>
        </w:rPr>
        <w:t>March 2015</w:t>
      </w:r>
      <w:r w:rsidRPr="005756B9">
        <w:rPr>
          <w:rFonts w:eastAsia="Calibri"/>
        </w:rPr>
        <w:t xml:space="preserve">, </w:t>
      </w:r>
      <w:r w:rsidRPr="005756B9">
        <w:rPr>
          <w:rFonts w:eastAsia="MS Mincho"/>
        </w:rPr>
        <w:t xml:space="preserve">the author submitted </w:t>
      </w:r>
      <w:r w:rsidR="005145F3">
        <w:rPr>
          <w:rFonts w:eastAsia="MS Mincho"/>
        </w:rPr>
        <w:t xml:space="preserve">his </w:t>
      </w:r>
      <w:r w:rsidRPr="005756B9">
        <w:rPr>
          <w:rFonts w:eastAsia="MS Mincho"/>
        </w:rPr>
        <w:t>comments on the State party’s observations</w:t>
      </w:r>
      <w:r>
        <w:rPr>
          <w:rFonts w:eastAsia="MS Mincho"/>
        </w:rPr>
        <w:t xml:space="preserve"> dated 6 February 2015. </w:t>
      </w:r>
    </w:p>
    <w:p w14:paraId="646A8EB2" w14:textId="4C2CB2CC" w:rsidR="008F4012" w:rsidRPr="005756B9" w:rsidRDefault="008F4012" w:rsidP="00CE4207">
      <w:pPr>
        <w:pStyle w:val="SingleTxtG"/>
        <w:rPr>
          <w:rFonts w:eastAsia="Calibri"/>
        </w:rPr>
      </w:pPr>
      <w:r w:rsidRPr="005756B9">
        <w:rPr>
          <w:rFonts w:eastAsia="MS Mincho"/>
        </w:rPr>
        <w:t>5.2</w:t>
      </w:r>
      <w:r w:rsidRPr="005756B9">
        <w:rPr>
          <w:rFonts w:eastAsia="MS Mincho"/>
        </w:rPr>
        <w:tab/>
      </w:r>
      <w:r>
        <w:rPr>
          <w:rFonts w:eastAsia="MS Mincho"/>
        </w:rPr>
        <w:t xml:space="preserve">In response to the State party’s argument on the credibility of his statements, the author </w:t>
      </w:r>
      <w:r w:rsidR="00D610E0">
        <w:rPr>
          <w:rFonts w:eastAsia="MS Mincho"/>
        </w:rPr>
        <w:t xml:space="preserve">argues </w:t>
      </w:r>
      <w:r>
        <w:rPr>
          <w:rFonts w:eastAsia="MS Mincho"/>
        </w:rPr>
        <w:t xml:space="preserve">that </w:t>
      </w:r>
      <w:r w:rsidR="00D610E0">
        <w:rPr>
          <w:rFonts w:eastAsia="MS Mincho"/>
        </w:rPr>
        <w:t>the State party has not provided any</w:t>
      </w:r>
      <w:r>
        <w:rPr>
          <w:rFonts w:eastAsia="MS Mincho"/>
        </w:rPr>
        <w:t xml:space="preserve"> evidence </w:t>
      </w:r>
      <w:r w:rsidR="00CE4207">
        <w:rPr>
          <w:rFonts w:eastAsia="MS Mincho"/>
        </w:rPr>
        <w:t xml:space="preserve">to </w:t>
      </w:r>
      <w:r>
        <w:rPr>
          <w:rFonts w:eastAsia="MS Mincho"/>
        </w:rPr>
        <w:t xml:space="preserve">demonstrate that his allegations are not accurate. </w:t>
      </w:r>
      <w:r w:rsidR="00D610E0">
        <w:rPr>
          <w:rFonts w:eastAsia="MS Mincho"/>
        </w:rPr>
        <w:t>He notes that his allegation</w:t>
      </w:r>
      <w:r>
        <w:rPr>
          <w:rFonts w:eastAsia="MS Mincho"/>
        </w:rPr>
        <w:t xml:space="preserve"> of torture relate</w:t>
      </w:r>
      <w:r w:rsidR="00A41340">
        <w:rPr>
          <w:rFonts w:eastAsia="MS Mincho"/>
        </w:rPr>
        <w:t>s</w:t>
      </w:r>
      <w:r>
        <w:rPr>
          <w:rFonts w:eastAsia="MS Mincho"/>
        </w:rPr>
        <w:t xml:space="preserve"> to events that occurred while he was being held in custody by the </w:t>
      </w:r>
      <w:r w:rsidR="000341F0">
        <w:rPr>
          <w:rFonts w:eastAsia="MS Mincho"/>
        </w:rPr>
        <w:t xml:space="preserve">authorities of the </w:t>
      </w:r>
      <w:r>
        <w:rPr>
          <w:rFonts w:eastAsia="MS Mincho"/>
        </w:rPr>
        <w:t>State party. The author therefore submits that, according to the Committee’s jurisprudence</w:t>
      </w:r>
      <w:r w:rsidR="005565EB">
        <w:rPr>
          <w:rFonts w:eastAsia="MS Mincho"/>
        </w:rPr>
        <w:t>,</w:t>
      </w:r>
      <w:r>
        <w:rPr>
          <w:rStyle w:val="FootnoteReference"/>
          <w:rFonts w:eastAsia="MS Mincho"/>
        </w:rPr>
        <w:footnoteReference w:id="14"/>
      </w:r>
      <w:r>
        <w:rPr>
          <w:rFonts w:eastAsia="MS Mincho"/>
        </w:rPr>
        <w:t xml:space="preserve"> it is for the State party to produce evidence refuting torture allegations. </w:t>
      </w:r>
    </w:p>
    <w:p w14:paraId="646A8EB3" w14:textId="69D40709" w:rsidR="008F4012" w:rsidRPr="005756B9" w:rsidRDefault="008F4012" w:rsidP="005145F3">
      <w:pPr>
        <w:pStyle w:val="SingleTxtG"/>
        <w:rPr>
          <w:rFonts w:eastAsia="Calibri"/>
        </w:rPr>
      </w:pPr>
      <w:r w:rsidRPr="005756B9">
        <w:rPr>
          <w:rFonts w:eastAsia="Calibri"/>
        </w:rPr>
        <w:lastRenderedPageBreak/>
        <w:t>5.3</w:t>
      </w:r>
      <w:r w:rsidRPr="005756B9">
        <w:rPr>
          <w:rFonts w:eastAsia="Calibri"/>
        </w:rPr>
        <w:tab/>
      </w:r>
      <w:r>
        <w:rPr>
          <w:rFonts w:eastAsia="Calibri"/>
        </w:rPr>
        <w:t xml:space="preserve">The author </w:t>
      </w:r>
      <w:r w:rsidR="00D610E0">
        <w:rPr>
          <w:rFonts w:eastAsia="Calibri"/>
        </w:rPr>
        <w:t xml:space="preserve">reiterates his </w:t>
      </w:r>
      <w:r>
        <w:rPr>
          <w:rFonts w:eastAsia="Calibri"/>
        </w:rPr>
        <w:t xml:space="preserve">claim </w:t>
      </w:r>
      <w:r w:rsidR="005145F3" w:rsidRPr="005145F3">
        <w:rPr>
          <w:rFonts w:eastAsia="Calibri"/>
        </w:rPr>
        <w:t xml:space="preserve">under articles 9 </w:t>
      </w:r>
      <w:r w:rsidR="0050673C">
        <w:rPr>
          <w:rFonts w:eastAsia="Calibri"/>
        </w:rPr>
        <w:t>(1)–(3)</w:t>
      </w:r>
      <w:r w:rsidR="005145F3">
        <w:rPr>
          <w:rFonts w:eastAsia="Calibri"/>
        </w:rPr>
        <w:t>, 10 (1)</w:t>
      </w:r>
      <w:r w:rsidR="005145F3" w:rsidRPr="005145F3">
        <w:rPr>
          <w:rFonts w:eastAsia="Calibri"/>
        </w:rPr>
        <w:t xml:space="preserve"> and 14 (2) and (3) (b) and (g)</w:t>
      </w:r>
      <w:r w:rsidR="005145F3">
        <w:rPr>
          <w:rFonts w:eastAsia="Calibri"/>
        </w:rPr>
        <w:t xml:space="preserve"> of the Covenant</w:t>
      </w:r>
      <w:r w:rsidR="005145F3" w:rsidRPr="005145F3">
        <w:rPr>
          <w:rFonts w:eastAsia="Calibri"/>
        </w:rPr>
        <w:t>.</w:t>
      </w:r>
      <w:r w:rsidR="005145F3">
        <w:rPr>
          <w:rFonts w:eastAsia="Calibri"/>
        </w:rPr>
        <w:t xml:space="preserve"> </w:t>
      </w:r>
      <w:r>
        <w:rPr>
          <w:rFonts w:eastAsia="Calibri"/>
        </w:rPr>
        <w:t xml:space="preserve">He </w:t>
      </w:r>
      <w:r w:rsidR="00D610E0">
        <w:rPr>
          <w:rFonts w:eastAsia="Calibri"/>
        </w:rPr>
        <w:t xml:space="preserve">argues </w:t>
      </w:r>
      <w:r>
        <w:rPr>
          <w:rFonts w:eastAsia="Calibri"/>
        </w:rPr>
        <w:t xml:space="preserve">that </w:t>
      </w:r>
      <w:r w:rsidR="005145F3">
        <w:rPr>
          <w:rFonts w:eastAsia="Calibri"/>
        </w:rPr>
        <w:t>his claims under these articles have</w:t>
      </w:r>
      <w:r>
        <w:rPr>
          <w:rFonts w:eastAsia="Calibri"/>
        </w:rPr>
        <w:t xml:space="preserve"> </w:t>
      </w:r>
      <w:r w:rsidR="005145F3">
        <w:rPr>
          <w:rFonts w:eastAsia="Calibri"/>
        </w:rPr>
        <w:t>not been</w:t>
      </w:r>
      <w:r>
        <w:rPr>
          <w:rFonts w:eastAsia="Calibri"/>
        </w:rPr>
        <w:t xml:space="preserve"> rebutted by the State party in its observations</w:t>
      </w:r>
      <w:r w:rsidR="00D610E0">
        <w:rPr>
          <w:rFonts w:eastAsia="Calibri"/>
        </w:rPr>
        <w:t xml:space="preserve"> and that the State party has not provided any meaningful element to detract from his claims</w:t>
      </w:r>
      <w:r w:rsidR="00CC00F0">
        <w:rPr>
          <w:rFonts w:eastAsia="Calibri"/>
        </w:rPr>
        <w:t>.</w:t>
      </w:r>
    </w:p>
    <w:p w14:paraId="646A8EB4" w14:textId="6D7EB896" w:rsidR="008F4012" w:rsidRDefault="008F4012" w:rsidP="001B1697">
      <w:pPr>
        <w:pStyle w:val="SingleTxtG"/>
        <w:rPr>
          <w:rFonts w:eastAsia="Calibri"/>
        </w:rPr>
      </w:pPr>
      <w:r w:rsidRPr="005756B9">
        <w:rPr>
          <w:rFonts w:eastAsia="Calibri"/>
        </w:rPr>
        <w:t>5.4</w:t>
      </w:r>
      <w:r w:rsidRPr="005756B9">
        <w:rPr>
          <w:rFonts w:eastAsia="Calibri"/>
        </w:rPr>
        <w:tab/>
        <w:t xml:space="preserve">The </w:t>
      </w:r>
      <w:r>
        <w:rPr>
          <w:rFonts w:eastAsia="Calibri"/>
        </w:rPr>
        <w:t>author</w:t>
      </w:r>
      <w:r w:rsidRPr="005756B9">
        <w:rPr>
          <w:rFonts w:eastAsia="Calibri"/>
        </w:rPr>
        <w:t xml:space="preserve"> further refers </w:t>
      </w:r>
      <w:r>
        <w:rPr>
          <w:rFonts w:eastAsia="Calibri"/>
        </w:rPr>
        <w:t xml:space="preserve">to the State party’s statement denying that </w:t>
      </w:r>
      <w:r w:rsidR="0010770C">
        <w:rPr>
          <w:rFonts w:eastAsia="Calibri"/>
        </w:rPr>
        <w:t>he</w:t>
      </w:r>
      <w:r>
        <w:rPr>
          <w:rFonts w:eastAsia="Calibri"/>
        </w:rPr>
        <w:t xml:space="preserve"> was </w:t>
      </w:r>
      <w:r w:rsidR="00D610E0">
        <w:rPr>
          <w:rFonts w:eastAsia="Calibri"/>
        </w:rPr>
        <w:t xml:space="preserve">subjected to </w:t>
      </w:r>
      <w:r>
        <w:rPr>
          <w:rFonts w:eastAsia="Calibri"/>
        </w:rPr>
        <w:t>torture</w:t>
      </w:r>
      <w:r w:rsidR="00D610E0">
        <w:rPr>
          <w:rFonts w:eastAsia="Calibri"/>
        </w:rPr>
        <w:t xml:space="preserve"> while held in detention. He notes</w:t>
      </w:r>
      <w:r>
        <w:rPr>
          <w:rFonts w:eastAsia="Calibri"/>
        </w:rPr>
        <w:t xml:space="preserve"> that the State party bears the burden of producing evidence refuting the torture allegations and </w:t>
      </w:r>
      <w:r w:rsidR="00D610E0">
        <w:rPr>
          <w:rFonts w:eastAsia="Calibri"/>
        </w:rPr>
        <w:t xml:space="preserve">providing a plausible explanation as to </w:t>
      </w:r>
      <w:r>
        <w:rPr>
          <w:rFonts w:eastAsia="Calibri"/>
        </w:rPr>
        <w:t xml:space="preserve">how </w:t>
      </w:r>
      <w:r w:rsidR="00D610E0">
        <w:rPr>
          <w:rFonts w:eastAsia="Calibri"/>
        </w:rPr>
        <w:t xml:space="preserve">his </w:t>
      </w:r>
      <w:r>
        <w:rPr>
          <w:rFonts w:eastAsia="Calibri"/>
        </w:rPr>
        <w:t>injuries occurred</w:t>
      </w:r>
      <w:r w:rsidR="005565EB">
        <w:rPr>
          <w:rFonts w:eastAsia="Calibri"/>
        </w:rPr>
        <w:t>,</w:t>
      </w:r>
      <w:r w:rsidR="00D610E0">
        <w:rPr>
          <w:rFonts w:eastAsia="Calibri"/>
        </w:rPr>
        <w:t xml:space="preserve"> and submits that it has failed to do so</w:t>
      </w:r>
      <w:r>
        <w:rPr>
          <w:rFonts w:eastAsia="Calibri"/>
        </w:rPr>
        <w:t xml:space="preserve">. In addition, the author submits that the State party </w:t>
      </w:r>
      <w:r w:rsidR="00D610E0">
        <w:rPr>
          <w:rFonts w:eastAsia="Calibri"/>
        </w:rPr>
        <w:t xml:space="preserve">has </w:t>
      </w:r>
      <w:r>
        <w:rPr>
          <w:rFonts w:eastAsia="Calibri"/>
        </w:rPr>
        <w:t>failed to demonstrate that its authorities address</w:t>
      </w:r>
      <w:r w:rsidR="00D610E0">
        <w:rPr>
          <w:rFonts w:eastAsia="Calibri"/>
        </w:rPr>
        <w:t>ed</w:t>
      </w:r>
      <w:r>
        <w:rPr>
          <w:rFonts w:eastAsia="Calibri"/>
        </w:rPr>
        <w:t xml:space="preserve"> the torture allegations </w:t>
      </w:r>
      <w:r w:rsidR="001B1697">
        <w:rPr>
          <w:rFonts w:eastAsia="Calibri"/>
        </w:rPr>
        <w:t xml:space="preserve">brought </w:t>
      </w:r>
      <w:r>
        <w:rPr>
          <w:rFonts w:eastAsia="Calibri"/>
        </w:rPr>
        <w:t xml:space="preserve">by </w:t>
      </w:r>
      <w:r w:rsidR="00D610E0">
        <w:rPr>
          <w:rFonts w:eastAsia="Calibri"/>
        </w:rPr>
        <w:t>him</w:t>
      </w:r>
      <w:r>
        <w:rPr>
          <w:rFonts w:eastAsia="Calibri"/>
        </w:rPr>
        <w:t xml:space="preserve"> expeditiously and adequately.</w:t>
      </w:r>
      <w:r>
        <w:rPr>
          <w:rStyle w:val="FootnoteReference"/>
          <w:rFonts w:eastAsia="Calibri"/>
        </w:rPr>
        <w:footnoteReference w:id="15"/>
      </w:r>
      <w:r>
        <w:rPr>
          <w:rFonts w:eastAsia="Calibri"/>
        </w:rPr>
        <w:t xml:space="preserve"> He further refers to the State party</w:t>
      </w:r>
      <w:r w:rsidR="005565EB">
        <w:rPr>
          <w:rFonts w:eastAsia="Calibri"/>
        </w:rPr>
        <w:t>’s</w:t>
      </w:r>
      <w:r>
        <w:rPr>
          <w:rFonts w:eastAsia="Calibri"/>
        </w:rPr>
        <w:t xml:space="preserve"> contention that he did not mention the issue of torture in the court proceedings and recalls that he claimed to have been subjected to torture on the first occasion </w:t>
      </w:r>
      <w:r w:rsidR="00E732E8">
        <w:rPr>
          <w:rFonts w:eastAsia="Calibri"/>
        </w:rPr>
        <w:t xml:space="preserve">when </w:t>
      </w:r>
      <w:r>
        <w:rPr>
          <w:rFonts w:eastAsia="Calibri"/>
        </w:rPr>
        <w:t xml:space="preserve">he was brought before a judge (on 8 May 2011 before the </w:t>
      </w:r>
      <w:proofErr w:type="spellStart"/>
      <w:r>
        <w:rPr>
          <w:rFonts w:eastAsia="Calibri"/>
        </w:rPr>
        <w:t>Rupandehi</w:t>
      </w:r>
      <w:proofErr w:type="spellEnd"/>
      <w:r>
        <w:rPr>
          <w:rFonts w:eastAsia="Calibri"/>
        </w:rPr>
        <w:t xml:space="preserve"> District Court).</w:t>
      </w:r>
      <w:r>
        <w:rPr>
          <w:rStyle w:val="FootnoteReference"/>
          <w:rFonts w:eastAsia="Calibri"/>
        </w:rPr>
        <w:footnoteReference w:id="16"/>
      </w:r>
      <w:r>
        <w:rPr>
          <w:rFonts w:eastAsia="Calibri"/>
        </w:rPr>
        <w:t xml:space="preserve"> He explains that</w:t>
      </w:r>
      <w:r w:rsidR="00694DF1">
        <w:rPr>
          <w:rFonts w:eastAsia="Calibri"/>
        </w:rPr>
        <w:t>,</w:t>
      </w:r>
      <w:r>
        <w:rPr>
          <w:rFonts w:eastAsia="Calibri"/>
        </w:rPr>
        <w:t xml:space="preserve"> at </w:t>
      </w:r>
      <w:r w:rsidR="007317B5">
        <w:rPr>
          <w:rFonts w:eastAsia="Calibri"/>
        </w:rPr>
        <w:t xml:space="preserve">that </w:t>
      </w:r>
      <w:r>
        <w:rPr>
          <w:rFonts w:eastAsia="Calibri"/>
        </w:rPr>
        <w:t>time</w:t>
      </w:r>
      <w:r w:rsidR="00694DF1">
        <w:rPr>
          <w:rFonts w:eastAsia="Calibri"/>
        </w:rPr>
        <w:t>,</w:t>
      </w:r>
      <w:r>
        <w:rPr>
          <w:rFonts w:eastAsia="Calibri"/>
        </w:rPr>
        <w:t xml:space="preserve"> he was not represented by a lawyer and did not know that he could formally request the Court </w:t>
      </w:r>
      <w:r w:rsidR="00694DF1">
        <w:rPr>
          <w:rFonts w:eastAsia="Calibri"/>
        </w:rPr>
        <w:t>to arrange</w:t>
      </w:r>
      <w:r w:rsidR="00BE05AF">
        <w:rPr>
          <w:rFonts w:eastAsia="Calibri"/>
        </w:rPr>
        <w:t xml:space="preserve"> for</w:t>
      </w:r>
      <w:r w:rsidR="00694DF1">
        <w:rPr>
          <w:rFonts w:eastAsia="Calibri"/>
        </w:rPr>
        <w:t xml:space="preserve"> </w:t>
      </w:r>
      <w:r>
        <w:rPr>
          <w:rFonts w:eastAsia="Calibri"/>
        </w:rPr>
        <w:t>a medical examination</w:t>
      </w:r>
      <w:r w:rsidR="00694DF1">
        <w:rPr>
          <w:rFonts w:eastAsia="Calibri"/>
        </w:rPr>
        <w:t>,</w:t>
      </w:r>
      <w:r>
        <w:rPr>
          <w:rFonts w:eastAsia="Calibri"/>
        </w:rPr>
        <w:t xml:space="preserve"> but he </w:t>
      </w:r>
      <w:r w:rsidR="00D72EB7">
        <w:rPr>
          <w:rFonts w:eastAsia="Calibri"/>
        </w:rPr>
        <w:t>notes</w:t>
      </w:r>
      <w:r>
        <w:rPr>
          <w:rFonts w:eastAsia="Calibri"/>
        </w:rPr>
        <w:t xml:space="preserve"> that he reported torture allegations and that the judge should have ordered the examination </w:t>
      </w:r>
      <w:r w:rsidRPr="00623B29">
        <w:rPr>
          <w:rFonts w:eastAsia="Calibri"/>
          <w:iCs/>
        </w:rPr>
        <w:t>ex officio</w:t>
      </w:r>
      <w:r>
        <w:rPr>
          <w:rFonts w:eastAsia="Calibri"/>
          <w:i/>
        </w:rPr>
        <w:t xml:space="preserve">. </w:t>
      </w:r>
      <w:r>
        <w:rPr>
          <w:rFonts w:eastAsia="Calibri"/>
        </w:rPr>
        <w:t xml:space="preserve">Accordingly, the author alleges that the </w:t>
      </w:r>
      <w:r w:rsidR="000341F0">
        <w:rPr>
          <w:rFonts w:eastAsia="Calibri"/>
        </w:rPr>
        <w:t xml:space="preserve">authorities of the </w:t>
      </w:r>
      <w:r>
        <w:rPr>
          <w:rFonts w:eastAsia="Calibri"/>
        </w:rPr>
        <w:t>State party failed to order</w:t>
      </w:r>
      <w:r w:rsidR="0010770C">
        <w:rPr>
          <w:rFonts w:eastAsia="Calibri"/>
        </w:rPr>
        <w:t xml:space="preserve"> a</w:t>
      </w:r>
      <w:r>
        <w:rPr>
          <w:rFonts w:eastAsia="Calibri"/>
        </w:rPr>
        <w:t xml:space="preserve"> medical examination and conduct a thorough investigation </w:t>
      </w:r>
      <w:r w:rsidR="0010770C">
        <w:rPr>
          <w:rFonts w:eastAsia="Calibri"/>
        </w:rPr>
        <w:t xml:space="preserve">into </w:t>
      </w:r>
      <w:r>
        <w:rPr>
          <w:rFonts w:eastAsia="Calibri"/>
        </w:rPr>
        <w:t xml:space="preserve">his allegations of torture. </w:t>
      </w:r>
    </w:p>
    <w:p w14:paraId="646A8EB5" w14:textId="0D3BB83A" w:rsidR="008F4012" w:rsidRDefault="008F4012" w:rsidP="007317B5">
      <w:pPr>
        <w:pStyle w:val="SingleTxtG"/>
        <w:rPr>
          <w:rFonts w:eastAsia="Calibri"/>
        </w:rPr>
      </w:pPr>
      <w:r>
        <w:rPr>
          <w:rFonts w:eastAsia="Calibri"/>
        </w:rPr>
        <w:t>5.5</w:t>
      </w:r>
      <w:r>
        <w:rPr>
          <w:rFonts w:eastAsia="Calibri"/>
        </w:rPr>
        <w:tab/>
        <w:t xml:space="preserve">The author indicates that, following the transmittal of the State party’s observations, his precarious state of health worsened </w:t>
      </w:r>
      <w:r w:rsidR="00F90375">
        <w:rPr>
          <w:rFonts w:eastAsia="Calibri"/>
        </w:rPr>
        <w:t xml:space="preserve">further </w:t>
      </w:r>
      <w:r>
        <w:rPr>
          <w:rFonts w:eastAsia="Calibri"/>
        </w:rPr>
        <w:t xml:space="preserve">because the denial of his suffering </w:t>
      </w:r>
      <w:r w:rsidR="00F90375">
        <w:rPr>
          <w:rFonts w:eastAsia="Calibri"/>
        </w:rPr>
        <w:t xml:space="preserve">frustrated </w:t>
      </w:r>
      <w:r>
        <w:rPr>
          <w:rFonts w:eastAsia="Calibri"/>
        </w:rPr>
        <w:t xml:space="preserve">his hope </w:t>
      </w:r>
      <w:r w:rsidR="007317B5">
        <w:rPr>
          <w:rFonts w:eastAsia="Calibri"/>
        </w:rPr>
        <w:t>of attaining</w:t>
      </w:r>
      <w:r>
        <w:rPr>
          <w:rFonts w:eastAsia="Calibri"/>
        </w:rPr>
        <w:t xml:space="preserve"> justice. Therefore, he reiterates the request presented in his initial communication to immediately receive medical and psychological care, free of charge, provided by the State party. </w:t>
      </w:r>
    </w:p>
    <w:p w14:paraId="646A8EB6" w14:textId="5BF14168" w:rsidR="008F4012" w:rsidRDefault="008F4012" w:rsidP="00F90375">
      <w:pPr>
        <w:pStyle w:val="SingleTxtG"/>
        <w:rPr>
          <w:rFonts w:eastAsia="Calibri"/>
        </w:rPr>
      </w:pPr>
      <w:r w:rsidRPr="005756B9">
        <w:rPr>
          <w:rFonts w:eastAsia="Calibri"/>
        </w:rPr>
        <w:t>5.6</w:t>
      </w:r>
      <w:r w:rsidRPr="005756B9">
        <w:rPr>
          <w:rFonts w:eastAsia="Calibri"/>
        </w:rPr>
        <w:tab/>
      </w:r>
      <w:r>
        <w:rPr>
          <w:rFonts w:eastAsia="Calibri"/>
        </w:rPr>
        <w:t xml:space="preserve">The </w:t>
      </w:r>
      <w:r w:rsidR="005145F3">
        <w:rPr>
          <w:rFonts w:eastAsia="Calibri"/>
        </w:rPr>
        <w:t>author notes that</w:t>
      </w:r>
      <w:r w:rsidR="00F90375">
        <w:rPr>
          <w:rFonts w:eastAsia="Calibri"/>
        </w:rPr>
        <w:t>,</w:t>
      </w:r>
      <w:r w:rsidR="005145F3">
        <w:rPr>
          <w:rFonts w:eastAsia="Calibri"/>
        </w:rPr>
        <w:t xml:space="preserve"> in its observations</w:t>
      </w:r>
      <w:r w:rsidR="00F90375">
        <w:rPr>
          <w:rFonts w:eastAsia="Calibri"/>
        </w:rPr>
        <w:t>,</w:t>
      </w:r>
      <w:r w:rsidR="005145F3">
        <w:rPr>
          <w:rFonts w:eastAsia="Calibri"/>
        </w:rPr>
        <w:t xml:space="preserve"> the </w:t>
      </w:r>
      <w:r>
        <w:rPr>
          <w:rFonts w:eastAsia="Calibri"/>
        </w:rPr>
        <w:t xml:space="preserve">State </w:t>
      </w:r>
      <w:r w:rsidR="005145F3">
        <w:rPr>
          <w:rFonts w:eastAsia="Calibri"/>
        </w:rPr>
        <w:t>party submitted</w:t>
      </w:r>
      <w:r>
        <w:rPr>
          <w:rFonts w:eastAsia="Calibri"/>
        </w:rPr>
        <w:t xml:space="preserve"> that </w:t>
      </w:r>
      <w:r w:rsidR="00462F99">
        <w:rPr>
          <w:rFonts w:eastAsia="Calibri"/>
        </w:rPr>
        <w:t>he</w:t>
      </w:r>
      <w:r>
        <w:rPr>
          <w:rFonts w:eastAsia="Calibri"/>
        </w:rPr>
        <w:t xml:space="preserve"> </w:t>
      </w:r>
      <w:r w:rsidR="005145F3">
        <w:rPr>
          <w:rFonts w:eastAsia="Calibri"/>
        </w:rPr>
        <w:t xml:space="preserve">should </w:t>
      </w:r>
      <w:r>
        <w:rPr>
          <w:rFonts w:eastAsia="Calibri"/>
        </w:rPr>
        <w:t xml:space="preserve">have filed a complaint before the </w:t>
      </w:r>
      <w:proofErr w:type="spellStart"/>
      <w:r w:rsidRPr="008A3DD3">
        <w:rPr>
          <w:rFonts w:eastAsia="Calibri"/>
        </w:rPr>
        <w:t>Rupandehi</w:t>
      </w:r>
      <w:proofErr w:type="spellEnd"/>
      <w:r w:rsidRPr="008A3DD3">
        <w:rPr>
          <w:rFonts w:eastAsia="Calibri"/>
        </w:rPr>
        <w:t xml:space="preserve"> District Court</w:t>
      </w:r>
      <w:r>
        <w:rPr>
          <w:rFonts w:eastAsia="Calibri"/>
        </w:rPr>
        <w:t xml:space="preserve"> under the Compensation </w:t>
      </w:r>
      <w:r w:rsidR="003A5EB3">
        <w:rPr>
          <w:rFonts w:eastAsia="Calibri"/>
        </w:rPr>
        <w:t xml:space="preserve">relating to Torture </w:t>
      </w:r>
      <w:r>
        <w:rPr>
          <w:rFonts w:eastAsia="Calibri"/>
        </w:rPr>
        <w:t>Act</w:t>
      </w:r>
      <w:r w:rsidR="005145F3">
        <w:rPr>
          <w:rFonts w:eastAsia="Calibri"/>
        </w:rPr>
        <w:t xml:space="preserve"> in order to exhaust domestic remedies</w:t>
      </w:r>
      <w:r>
        <w:rPr>
          <w:rFonts w:eastAsia="Calibri"/>
        </w:rPr>
        <w:t>. The author recalls that his mother did so on 12 December 2012. However, this complaint was not registered</w:t>
      </w:r>
      <w:r w:rsidR="00F90375">
        <w:rPr>
          <w:rFonts w:eastAsia="Calibri"/>
        </w:rPr>
        <w:t>,</w:t>
      </w:r>
      <w:r>
        <w:rPr>
          <w:rFonts w:eastAsia="Calibri"/>
        </w:rPr>
        <w:t xml:space="preserve"> </w:t>
      </w:r>
      <w:r w:rsidR="005145F3">
        <w:rPr>
          <w:rFonts w:eastAsia="Calibri"/>
        </w:rPr>
        <w:t>as</w:t>
      </w:r>
      <w:r>
        <w:rPr>
          <w:rFonts w:eastAsia="Calibri"/>
        </w:rPr>
        <w:t xml:space="preserve"> the 35-day </w:t>
      </w:r>
      <w:r w:rsidR="00042E0C">
        <w:rPr>
          <w:rFonts w:eastAsia="Calibri"/>
        </w:rPr>
        <w:t xml:space="preserve">period </w:t>
      </w:r>
      <w:r w:rsidR="005145F3">
        <w:rPr>
          <w:rFonts w:eastAsia="Calibri"/>
        </w:rPr>
        <w:t>had expired</w:t>
      </w:r>
      <w:r>
        <w:rPr>
          <w:rFonts w:eastAsia="Calibri"/>
        </w:rPr>
        <w:t>. The author reiterates that he could not file a complaint before</w:t>
      </w:r>
      <w:r w:rsidR="005145F3">
        <w:rPr>
          <w:rFonts w:eastAsia="Calibri"/>
        </w:rPr>
        <w:t xml:space="preserve"> the expiration of the deadline</w:t>
      </w:r>
      <w:r w:rsidR="00F90375">
        <w:rPr>
          <w:rFonts w:eastAsia="Calibri"/>
        </w:rPr>
        <w:t>,</w:t>
      </w:r>
      <w:r>
        <w:rPr>
          <w:rFonts w:eastAsia="Calibri"/>
        </w:rPr>
        <w:t xml:space="preserve"> given that he was hospitalized and traumatized. In addition to this, the author refers to the Committee’s jurisprudence</w:t>
      </w:r>
      <w:r>
        <w:rPr>
          <w:rStyle w:val="FootnoteReference"/>
          <w:rFonts w:eastAsia="Calibri"/>
        </w:rPr>
        <w:footnoteReference w:id="17"/>
      </w:r>
      <w:r>
        <w:rPr>
          <w:rFonts w:eastAsia="Calibri"/>
        </w:rPr>
        <w:t xml:space="preserve"> considering that the strict limitation period provided in the </w:t>
      </w:r>
      <w:r w:rsidR="00F90375">
        <w:rPr>
          <w:rFonts w:eastAsia="Calibri"/>
        </w:rPr>
        <w:t xml:space="preserve">Act </w:t>
      </w:r>
      <w:r>
        <w:rPr>
          <w:rFonts w:eastAsia="Calibri"/>
        </w:rPr>
        <w:t xml:space="preserve">is in itself flagrantly inconsistent with the gravity of the crime and </w:t>
      </w:r>
      <w:r w:rsidR="00F90375">
        <w:rPr>
          <w:rFonts w:eastAsia="Calibri"/>
        </w:rPr>
        <w:t xml:space="preserve">that </w:t>
      </w:r>
      <w:r>
        <w:rPr>
          <w:rFonts w:eastAsia="Calibri"/>
        </w:rPr>
        <w:t xml:space="preserve">it cannot be considered as an effective remedy pursuant to </w:t>
      </w:r>
      <w:r w:rsidR="005145F3">
        <w:rPr>
          <w:rFonts w:eastAsia="Calibri"/>
        </w:rPr>
        <w:t>a</w:t>
      </w:r>
      <w:r>
        <w:rPr>
          <w:rFonts w:eastAsia="Calibri"/>
        </w:rPr>
        <w:t>rticle 5</w:t>
      </w:r>
      <w:r w:rsidR="005145F3">
        <w:rPr>
          <w:rFonts w:eastAsia="Calibri"/>
        </w:rPr>
        <w:t xml:space="preserve"> (2)</w:t>
      </w:r>
      <w:r w:rsidR="00F90375">
        <w:rPr>
          <w:rFonts w:eastAsia="Calibri"/>
        </w:rPr>
        <w:t xml:space="preserve"> </w:t>
      </w:r>
      <w:r>
        <w:rPr>
          <w:rFonts w:eastAsia="Calibri"/>
        </w:rPr>
        <w:t xml:space="preserve">(b) of the Optional Protocol. </w:t>
      </w:r>
    </w:p>
    <w:p w14:paraId="646A8EB7" w14:textId="35EC358D" w:rsidR="008F4012" w:rsidRPr="005756B9" w:rsidRDefault="008F4012" w:rsidP="00FF30D5">
      <w:pPr>
        <w:pStyle w:val="SingleTxtG"/>
        <w:rPr>
          <w:rFonts w:eastAsia="Calibri"/>
        </w:rPr>
      </w:pPr>
      <w:r w:rsidRPr="005756B9">
        <w:rPr>
          <w:rFonts w:eastAsia="Calibri"/>
        </w:rPr>
        <w:t>5.7</w:t>
      </w:r>
      <w:r w:rsidRPr="005756B9">
        <w:rPr>
          <w:rFonts w:eastAsia="Calibri"/>
        </w:rPr>
        <w:tab/>
      </w:r>
      <w:r>
        <w:rPr>
          <w:rFonts w:eastAsia="Calibri"/>
        </w:rPr>
        <w:t>Further</w:t>
      </w:r>
      <w:r w:rsidR="00A41340">
        <w:rPr>
          <w:rFonts w:eastAsia="Calibri"/>
        </w:rPr>
        <w:t>more</w:t>
      </w:r>
      <w:r>
        <w:rPr>
          <w:rFonts w:eastAsia="Calibri"/>
        </w:rPr>
        <w:t xml:space="preserve">, the author </w:t>
      </w:r>
      <w:r w:rsidR="005145F3">
        <w:rPr>
          <w:rFonts w:eastAsia="Calibri"/>
        </w:rPr>
        <w:t xml:space="preserve">notes </w:t>
      </w:r>
      <w:r>
        <w:rPr>
          <w:rFonts w:eastAsia="Calibri"/>
        </w:rPr>
        <w:t xml:space="preserve">that </w:t>
      </w:r>
      <w:r w:rsidR="005145F3">
        <w:rPr>
          <w:rFonts w:eastAsia="Calibri"/>
        </w:rPr>
        <w:t xml:space="preserve">his claim that torture is </w:t>
      </w:r>
      <w:r>
        <w:rPr>
          <w:rFonts w:eastAsia="Calibri"/>
        </w:rPr>
        <w:t xml:space="preserve">widespread and systematic in </w:t>
      </w:r>
      <w:r w:rsidR="005565EB">
        <w:rPr>
          <w:rFonts w:eastAsia="Calibri"/>
        </w:rPr>
        <w:t xml:space="preserve">the </w:t>
      </w:r>
      <w:proofErr w:type="spellStart"/>
      <w:r>
        <w:rPr>
          <w:rFonts w:eastAsia="Calibri"/>
        </w:rPr>
        <w:t>Terai</w:t>
      </w:r>
      <w:proofErr w:type="spellEnd"/>
      <w:r>
        <w:rPr>
          <w:rFonts w:eastAsia="Calibri"/>
        </w:rPr>
        <w:t xml:space="preserve"> is not based on his own speculation but rather on the findings of international human rights mechanisms</w:t>
      </w:r>
      <w:r>
        <w:rPr>
          <w:rStyle w:val="FootnoteReference"/>
          <w:rFonts w:eastAsia="Calibri"/>
        </w:rPr>
        <w:footnoteReference w:id="18"/>
      </w:r>
      <w:r>
        <w:rPr>
          <w:rFonts w:eastAsia="Calibri"/>
        </w:rPr>
        <w:t xml:space="preserve"> and on the reports of non-governmental organizations.</w:t>
      </w:r>
      <w:r>
        <w:rPr>
          <w:rStyle w:val="FootnoteReference"/>
          <w:rFonts w:eastAsia="Calibri"/>
        </w:rPr>
        <w:footnoteReference w:id="19"/>
      </w:r>
      <w:r>
        <w:rPr>
          <w:rFonts w:eastAsia="Calibri"/>
        </w:rPr>
        <w:t xml:space="preserve"> Most notably, in its </w:t>
      </w:r>
      <w:r w:rsidR="007317B5">
        <w:rPr>
          <w:rFonts w:eastAsia="Calibri"/>
        </w:rPr>
        <w:t xml:space="preserve">2014 </w:t>
      </w:r>
      <w:r>
        <w:rPr>
          <w:rFonts w:eastAsia="Calibri"/>
        </w:rPr>
        <w:t>concluding observations on Nepal</w:t>
      </w:r>
      <w:r w:rsidR="004F39E4">
        <w:rPr>
          <w:rFonts w:eastAsia="Calibri"/>
        </w:rPr>
        <w:t>,</w:t>
      </w:r>
      <w:r>
        <w:rPr>
          <w:rStyle w:val="FootnoteReference"/>
          <w:rFonts w:eastAsia="Calibri"/>
        </w:rPr>
        <w:footnoteReference w:id="20"/>
      </w:r>
      <w:r>
        <w:rPr>
          <w:rFonts w:eastAsia="Calibri"/>
        </w:rPr>
        <w:t xml:space="preserve"> the Human Rights Committee expressed its concerns at reports of unlawful killings in the </w:t>
      </w:r>
      <w:proofErr w:type="spellStart"/>
      <w:r>
        <w:rPr>
          <w:rFonts w:eastAsia="Calibri"/>
        </w:rPr>
        <w:t>Terai</w:t>
      </w:r>
      <w:proofErr w:type="spellEnd"/>
      <w:r>
        <w:rPr>
          <w:rFonts w:eastAsia="Calibri"/>
        </w:rPr>
        <w:t xml:space="preserve"> region, deaths in custody, and the official confirmation of the widespread use of torture and ill-treatment in places of police custody</w:t>
      </w:r>
      <w:r w:rsidR="002E472A">
        <w:rPr>
          <w:rFonts w:eastAsia="Calibri"/>
        </w:rPr>
        <w:t xml:space="preserve"> </w:t>
      </w:r>
      <w:r w:rsidR="002E472A" w:rsidRPr="002E472A">
        <w:rPr>
          <w:rFonts w:eastAsia="Calibri"/>
        </w:rPr>
        <w:t>(CCPR/C/NPL/CO/2</w:t>
      </w:r>
      <w:r w:rsidR="00FF30D5">
        <w:rPr>
          <w:rFonts w:eastAsia="Calibri"/>
        </w:rPr>
        <w:t>, para. 10)</w:t>
      </w:r>
      <w:r>
        <w:rPr>
          <w:rFonts w:eastAsia="Calibri"/>
        </w:rPr>
        <w:t>.</w:t>
      </w:r>
    </w:p>
    <w:p w14:paraId="646A8EB9" w14:textId="161A76FF" w:rsidR="008F4012" w:rsidRDefault="008F4012" w:rsidP="006D6A3D">
      <w:pPr>
        <w:pStyle w:val="H23G"/>
        <w:rPr>
          <w:rFonts w:eastAsia="MS Mincho"/>
        </w:rPr>
      </w:pPr>
      <w:r>
        <w:rPr>
          <w:rFonts w:eastAsia="MS Mincho"/>
        </w:rPr>
        <w:tab/>
      </w:r>
      <w:r>
        <w:rPr>
          <w:rFonts w:eastAsia="MS Mincho"/>
        </w:rPr>
        <w:tab/>
      </w:r>
      <w:r w:rsidR="006D6A3D">
        <w:rPr>
          <w:rFonts w:eastAsia="MS Mincho"/>
        </w:rPr>
        <w:t>State party’s additional</w:t>
      </w:r>
      <w:r w:rsidR="006D6A3D" w:rsidRPr="005756B9">
        <w:rPr>
          <w:rFonts w:eastAsia="MS Mincho"/>
        </w:rPr>
        <w:t xml:space="preserve"> </w:t>
      </w:r>
      <w:r w:rsidRPr="005756B9">
        <w:rPr>
          <w:rFonts w:eastAsia="MS Mincho"/>
        </w:rPr>
        <w:t xml:space="preserve">observations </w:t>
      </w:r>
    </w:p>
    <w:p w14:paraId="43259C5C" w14:textId="2F5C40E3" w:rsidR="00562276" w:rsidRDefault="008F4012" w:rsidP="00FF30D5">
      <w:pPr>
        <w:pStyle w:val="SingleTxtG"/>
        <w:rPr>
          <w:rFonts w:eastAsia="MS Mincho"/>
        </w:rPr>
      </w:pPr>
      <w:r>
        <w:rPr>
          <w:rFonts w:eastAsia="MS Mincho"/>
        </w:rPr>
        <w:t>6.1</w:t>
      </w:r>
      <w:r w:rsidR="00A838C2">
        <w:rPr>
          <w:rFonts w:eastAsia="MS Mincho"/>
        </w:rPr>
        <w:tab/>
      </w:r>
      <w:r w:rsidRPr="005756B9">
        <w:rPr>
          <w:rFonts w:eastAsia="MS Mincho"/>
        </w:rPr>
        <w:t xml:space="preserve">On </w:t>
      </w:r>
      <w:r>
        <w:rPr>
          <w:rFonts w:eastAsia="MS Mincho"/>
        </w:rPr>
        <w:t>4</w:t>
      </w:r>
      <w:r w:rsidRPr="005756B9">
        <w:rPr>
          <w:rFonts w:eastAsia="MS Mincho"/>
        </w:rPr>
        <w:t xml:space="preserve"> </w:t>
      </w:r>
      <w:r>
        <w:rPr>
          <w:rFonts w:eastAsia="MS Mincho"/>
        </w:rPr>
        <w:t xml:space="preserve">September 2015, the State party submitted </w:t>
      </w:r>
      <w:r w:rsidR="00FF30D5">
        <w:rPr>
          <w:rFonts w:eastAsia="MS Mincho"/>
        </w:rPr>
        <w:t xml:space="preserve">additional </w:t>
      </w:r>
      <w:r>
        <w:rPr>
          <w:rFonts w:eastAsia="MS Mincho"/>
        </w:rPr>
        <w:t xml:space="preserve">observations </w:t>
      </w:r>
      <w:r w:rsidR="005145F3">
        <w:rPr>
          <w:rFonts w:eastAsia="MS Mincho"/>
        </w:rPr>
        <w:t>on admissibility and merits of the communication</w:t>
      </w:r>
      <w:r w:rsidRPr="005756B9">
        <w:rPr>
          <w:rFonts w:eastAsia="MS Mincho"/>
        </w:rPr>
        <w:t xml:space="preserve">. </w:t>
      </w:r>
      <w:r>
        <w:rPr>
          <w:rFonts w:eastAsia="MS Mincho"/>
        </w:rPr>
        <w:t>The State party reiterat</w:t>
      </w:r>
      <w:r w:rsidR="005145F3">
        <w:rPr>
          <w:rFonts w:eastAsia="MS Mincho"/>
        </w:rPr>
        <w:t>es</w:t>
      </w:r>
      <w:r>
        <w:rPr>
          <w:rFonts w:eastAsia="MS Mincho"/>
        </w:rPr>
        <w:t xml:space="preserve"> its argument about </w:t>
      </w:r>
      <w:r>
        <w:rPr>
          <w:rFonts w:eastAsia="MS Mincho"/>
        </w:rPr>
        <w:lastRenderedPageBreak/>
        <w:t>the non-exhaustion of domestic remedies</w:t>
      </w:r>
      <w:r w:rsidR="00AD0BC0">
        <w:rPr>
          <w:rFonts w:eastAsia="MS Mincho"/>
        </w:rPr>
        <w:t xml:space="preserve"> and additionally notes that the author failed to exhaust domestic remedies by appealing </w:t>
      </w:r>
      <w:r>
        <w:rPr>
          <w:rFonts w:eastAsia="MS Mincho"/>
        </w:rPr>
        <w:t xml:space="preserve">the verdict of the </w:t>
      </w:r>
      <w:proofErr w:type="spellStart"/>
      <w:r w:rsidRPr="00061B57">
        <w:rPr>
          <w:rFonts w:eastAsia="MS Mincho"/>
        </w:rPr>
        <w:t>Rupandehi</w:t>
      </w:r>
      <w:proofErr w:type="spellEnd"/>
      <w:r w:rsidRPr="00061B57">
        <w:rPr>
          <w:rFonts w:eastAsia="MS Mincho"/>
        </w:rPr>
        <w:t xml:space="preserve"> District</w:t>
      </w:r>
      <w:r>
        <w:rPr>
          <w:rFonts w:eastAsia="MS Mincho"/>
        </w:rPr>
        <w:t xml:space="preserve"> Court</w:t>
      </w:r>
      <w:r w:rsidR="00AD0BC0">
        <w:rPr>
          <w:rFonts w:eastAsia="MS Mincho"/>
        </w:rPr>
        <w:t xml:space="preserve"> of</w:t>
      </w:r>
      <w:r>
        <w:rPr>
          <w:rFonts w:eastAsia="MS Mincho"/>
        </w:rPr>
        <w:t xml:space="preserve"> </w:t>
      </w:r>
      <w:r w:rsidR="00AD0BC0" w:rsidRPr="00AD0BC0">
        <w:rPr>
          <w:rFonts w:eastAsia="MS Mincho"/>
        </w:rPr>
        <w:t>13 June 2012</w:t>
      </w:r>
      <w:r w:rsidR="00AD0BC0">
        <w:rPr>
          <w:rFonts w:eastAsia="MS Mincho"/>
        </w:rPr>
        <w:t>.</w:t>
      </w:r>
    </w:p>
    <w:p w14:paraId="646A8EBB" w14:textId="006C6AA3" w:rsidR="008F4012" w:rsidRDefault="008F4012" w:rsidP="00FF30D5">
      <w:pPr>
        <w:pStyle w:val="SingleTxtG"/>
        <w:rPr>
          <w:rFonts w:eastAsia="MS Mincho"/>
        </w:rPr>
      </w:pPr>
      <w:r w:rsidRPr="005756B9">
        <w:rPr>
          <w:rFonts w:eastAsia="MS Mincho"/>
        </w:rPr>
        <w:t>6.2</w:t>
      </w:r>
      <w:r w:rsidRPr="005756B9">
        <w:rPr>
          <w:rFonts w:eastAsia="MS Mincho"/>
        </w:rPr>
        <w:tab/>
      </w:r>
      <w:r w:rsidRPr="00061B57">
        <w:rPr>
          <w:rFonts w:eastAsia="MS Mincho"/>
        </w:rPr>
        <w:t xml:space="preserve">The State party </w:t>
      </w:r>
      <w:r w:rsidR="00AD0BC0">
        <w:rPr>
          <w:rFonts w:eastAsia="MS Mincho"/>
        </w:rPr>
        <w:t>notes</w:t>
      </w:r>
      <w:r w:rsidR="00AD0BC0" w:rsidRPr="00061B57">
        <w:rPr>
          <w:rFonts w:eastAsia="MS Mincho"/>
        </w:rPr>
        <w:t xml:space="preserve"> </w:t>
      </w:r>
      <w:r w:rsidRPr="00061B57">
        <w:rPr>
          <w:rFonts w:eastAsia="MS Mincho"/>
        </w:rPr>
        <w:t>that</w:t>
      </w:r>
      <w:r w:rsidR="006D6A3D">
        <w:rPr>
          <w:rFonts w:eastAsia="MS Mincho"/>
        </w:rPr>
        <w:t>,</w:t>
      </w:r>
      <w:r w:rsidRPr="00061B57">
        <w:rPr>
          <w:rFonts w:eastAsia="MS Mincho"/>
        </w:rPr>
        <w:t xml:space="preserve"> in case</w:t>
      </w:r>
      <w:r w:rsidR="0010770C">
        <w:rPr>
          <w:rFonts w:eastAsia="MS Mincho"/>
        </w:rPr>
        <w:t>s</w:t>
      </w:r>
      <w:r w:rsidRPr="00061B57">
        <w:rPr>
          <w:rFonts w:eastAsia="MS Mincho"/>
        </w:rPr>
        <w:t xml:space="preserve"> of torture allegations, the Court</w:t>
      </w:r>
      <w:r w:rsidR="006D6A3D">
        <w:rPr>
          <w:rFonts w:eastAsia="MS Mincho"/>
        </w:rPr>
        <w:t xml:space="preserve"> </w:t>
      </w:r>
      <w:r w:rsidRPr="00061B57">
        <w:rPr>
          <w:rFonts w:eastAsia="MS Mincho"/>
        </w:rPr>
        <w:t xml:space="preserve">is mandated to order </w:t>
      </w:r>
      <w:r w:rsidR="006D6A3D">
        <w:rPr>
          <w:rFonts w:eastAsia="MS Mincho"/>
        </w:rPr>
        <w:t xml:space="preserve">a </w:t>
      </w:r>
      <w:r w:rsidRPr="00061B57">
        <w:rPr>
          <w:rFonts w:eastAsia="MS Mincho"/>
        </w:rPr>
        <w:t>medical examination</w:t>
      </w:r>
      <w:r w:rsidR="006D6A3D">
        <w:rPr>
          <w:rFonts w:eastAsia="MS Mincho"/>
        </w:rPr>
        <w:t>,</w:t>
      </w:r>
      <w:r w:rsidRPr="00061B57">
        <w:rPr>
          <w:rFonts w:eastAsia="MS Mincho"/>
        </w:rPr>
        <w:t xml:space="preserve"> and it </w:t>
      </w:r>
      <w:r w:rsidR="00AD0BC0">
        <w:rPr>
          <w:rFonts w:eastAsia="MS Mincho"/>
        </w:rPr>
        <w:t xml:space="preserve">argues that it </w:t>
      </w:r>
      <w:r w:rsidRPr="00061B57">
        <w:rPr>
          <w:rFonts w:eastAsia="MS Mincho"/>
        </w:rPr>
        <w:t xml:space="preserve">cannot be assumed that the independent District Court did not follow the due process guaranteed by national law. It further explains that the refusal of the District Court registrar to register the author’s complaint </w:t>
      </w:r>
      <w:r w:rsidR="00AD0BC0">
        <w:rPr>
          <w:rFonts w:eastAsia="MS Mincho"/>
        </w:rPr>
        <w:t>was based</w:t>
      </w:r>
      <w:r>
        <w:rPr>
          <w:rFonts w:eastAsia="MS Mincho"/>
        </w:rPr>
        <w:t xml:space="preserve"> on the </w:t>
      </w:r>
      <w:r w:rsidRPr="00061B57">
        <w:rPr>
          <w:rFonts w:eastAsia="MS Mincho"/>
        </w:rPr>
        <w:t>expi</w:t>
      </w:r>
      <w:r>
        <w:rPr>
          <w:rFonts w:eastAsia="MS Mincho"/>
        </w:rPr>
        <w:t>ration of the 35-day limit under domestic law.</w:t>
      </w:r>
      <w:r w:rsidRPr="00061B57">
        <w:rPr>
          <w:rFonts w:eastAsia="MS Mincho"/>
        </w:rPr>
        <w:t xml:space="preserve"> </w:t>
      </w:r>
      <w:r>
        <w:rPr>
          <w:rFonts w:eastAsia="MS Mincho"/>
        </w:rPr>
        <w:t xml:space="preserve">For these reasons, the State party considers that the author’s contention about arbitrary arrest and subsequent torture is not supported by facts and evidence. In addition, the author’s writ of </w:t>
      </w:r>
      <w:r w:rsidRPr="00623B29">
        <w:rPr>
          <w:rFonts w:eastAsia="MS Mincho"/>
          <w:iCs/>
        </w:rPr>
        <w:t>mandamus</w:t>
      </w:r>
      <w:r>
        <w:rPr>
          <w:rFonts w:eastAsia="MS Mincho"/>
        </w:rPr>
        <w:t xml:space="preserve"> filed </w:t>
      </w:r>
      <w:r w:rsidR="00FF30D5">
        <w:rPr>
          <w:rFonts w:eastAsia="MS Mincho"/>
        </w:rPr>
        <w:t xml:space="preserve">before </w:t>
      </w:r>
      <w:r>
        <w:rPr>
          <w:rFonts w:eastAsia="MS Mincho"/>
        </w:rPr>
        <w:t xml:space="preserve">the Supreme Court of Nepal is still pending. </w:t>
      </w:r>
    </w:p>
    <w:p w14:paraId="646A8EBD" w14:textId="4636A18B" w:rsidR="008F4012" w:rsidRPr="005756B9" w:rsidRDefault="008F4012" w:rsidP="008F4012">
      <w:pPr>
        <w:pStyle w:val="SingleTxtG"/>
        <w:rPr>
          <w:rFonts w:eastAsia="MS Mincho"/>
          <w:i/>
        </w:rPr>
      </w:pPr>
      <w:r w:rsidRPr="005756B9">
        <w:rPr>
          <w:rFonts w:eastAsia="MS Mincho"/>
        </w:rPr>
        <w:t>6.</w:t>
      </w:r>
      <w:r w:rsidR="00AD0BC0">
        <w:rPr>
          <w:rFonts w:eastAsia="MS Mincho"/>
        </w:rPr>
        <w:t>3</w:t>
      </w:r>
      <w:r w:rsidRPr="005756B9">
        <w:rPr>
          <w:rFonts w:eastAsia="MS Mincho"/>
        </w:rPr>
        <w:tab/>
      </w:r>
      <w:r>
        <w:rPr>
          <w:rFonts w:eastAsia="MS Mincho"/>
        </w:rPr>
        <w:t xml:space="preserve">The State party reiterates that it provides its citizens with a fair and independent investigation and prosecution mechanism. Therefore, it denies that the arrest of the author was arbitrary, given that he was arrested, investigated and prosecuted in accordance with domestic law. The State party </w:t>
      </w:r>
      <w:r w:rsidR="0010770C">
        <w:rPr>
          <w:rFonts w:eastAsia="MS Mincho"/>
        </w:rPr>
        <w:t xml:space="preserve">argues </w:t>
      </w:r>
      <w:r>
        <w:rPr>
          <w:rFonts w:eastAsia="MS Mincho"/>
        </w:rPr>
        <w:t>that its sovereignty implies the ability to govern its own internal affairs without interference from any authority</w:t>
      </w:r>
      <w:r w:rsidR="006D6A3D">
        <w:rPr>
          <w:rFonts w:eastAsia="MS Mincho"/>
        </w:rPr>
        <w:t>,</w:t>
      </w:r>
      <w:r>
        <w:rPr>
          <w:rFonts w:eastAsia="MS Mincho"/>
        </w:rPr>
        <w:t xml:space="preserve"> given that no authority exists above the State. </w:t>
      </w:r>
    </w:p>
    <w:p w14:paraId="646A8EBE" w14:textId="033306FF" w:rsidR="008F4012" w:rsidRDefault="008F4012" w:rsidP="005E027B">
      <w:pPr>
        <w:pStyle w:val="SingleTxtG"/>
        <w:rPr>
          <w:rFonts w:eastAsia="MS Mincho"/>
        </w:rPr>
      </w:pPr>
      <w:r w:rsidRPr="005756B9">
        <w:rPr>
          <w:rFonts w:eastAsia="MS Mincho"/>
        </w:rPr>
        <w:t>6.</w:t>
      </w:r>
      <w:r w:rsidR="00C37D2E">
        <w:rPr>
          <w:rFonts w:eastAsia="MS Mincho"/>
        </w:rPr>
        <w:t>4</w:t>
      </w:r>
      <w:r w:rsidRPr="005756B9">
        <w:rPr>
          <w:rFonts w:eastAsia="MS Mincho"/>
        </w:rPr>
        <w:tab/>
      </w:r>
      <w:r>
        <w:rPr>
          <w:rFonts w:eastAsia="MS Mincho"/>
        </w:rPr>
        <w:t xml:space="preserve">The State party further submits that it is </w:t>
      </w:r>
      <w:r w:rsidR="005E027B">
        <w:rPr>
          <w:rFonts w:eastAsia="MS Mincho"/>
        </w:rPr>
        <w:t xml:space="preserve">inaccurate </w:t>
      </w:r>
      <w:r>
        <w:rPr>
          <w:rFonts w:eastAsia="MS Mincho"/>
        </w:rPr>
        <w:t>to claim that the author was not informed about the reasons of his arrest</w:t>
      </w:r>
      <w:r w:rsidR="006D6A3D">
        <w:rPr>
          <w:rFonts w:eastAsia="MS Mincho"/>
        </w:rPr>
        <w:t>,</w:t>
      </w:r>
      <w:r>
        <w:rPr>
          <w:rFonts w:eastAsia="MS Mincho"/>
        </w:rPr>
        <w:t xml:space="preserve"> since his right to due process was guaranteed by the Interim Constitution of Nepal. In addition, it alleges that the arguments put forward to substantiate the author’s allegations of torture are not based on facts. In this connection, article 100 of the </w:t>
      </w:r>
      <w:r w:rsidRPr="006D1843">
        <w:rPr>
          <w:rFonts w:eastAsia="MS Mincho"/>
        </w:rPr>
        <w:t>Interim Constitution of Nepal</w:t>
      </w:r>
      <w:r>
        <w:rPr>
          <w:rFonts w:eastAsia="MS Mincho"/>
        </w:rPr>
        <w:t xml:space="preserve"> guarantees the independence of justice which, in numerous examples, intervened to protect the fundamental rights of its citizens. </w:t>
      </w:r>
    </w:p>
    <w:p w14:paraId="646A8EBF" w14:textId="25941788" w:rsidR="008F4012" w:rsidRDefault="008F4012" w:rsidP="00FF30D5">
      <w:pPr>
        <w:pStyle w:val="SingleTxtG"/>
        <w:rPr>
          <w:rFonts w:eastAsia="MS Mincho"/>
        </w:rPr>
      </w:pPr>
      <w:r>
        <w:rPr>
          <w:rFonts w:eastAsia="MS Mincho"/>
        </w:rPr>
        <w:t>6.</w:t>
      </w:r>
      <w:r w:rsidR="00C37D2E">
        <w:rPr>
          <w:rFonts w:eastAsia="MS Mincho"/>
        </w:rPr>
        <w:t>5</w:t>
      </w:r>
      <w:r w:rsidRPr="00344247">
        <w:rPr>
          <w:rFonts w:eastAsia="MS Mincho"/>
        </w:rPr>
        <w:tab/>
      </w:r>
      <w:r w:rsidR="0010770C">
        <w:rPr>
          <w:rFonts w:eastAsia="MS Mincho"/>
        </w:rPr>
        <w:t>The State party notes</w:t>
      </w:r>
      <w:r>
        <w:rPr>
          <w:rFonts w:eastAsia="MS Mincho"/>
        </w:rPr>
        <w:t xml:space="preserve"> that anyone </w:t>
      </w:r>
      <w:r w:rsidR="00ED7414">
        <w:rPr>
          <w:rFonts w:eastAsia="MS Mincho"/>
        </w:rPr>
        <w:t xml:space="preserve">who </w:t>
      </w:r>
      <w:r>
        <w:rPr>
          <w:rFonts w:eastAsia="MS Mincho"/>
        </w:rPr>
        <w:t xml:space="preserve">is in custody, either in </w:t>
      </w:r>
      <w:r w:rsidR="0010770C">
        <w:rPr>
          <w:rFonts w:eastAsia="MS Mincho"/>
        </w:rPr>
        <w:t xml:space="preserve">detention </w:t>
      </w:r>
      <w:r>
        <w:rPr>
          <w:rFonts w:eastAsia="MS Mincho"/>
        </w:rPr>
        <w:t xml:space="preserve">or serving time after </w:t>
      </w:r>
      <w:r w:rsidR="00C37D2E">
        <w:rPr>
          <w:rFonts w:eastAsia="MS Mincho"/>
        </w:rPr>
        <w:t xml:space="preserve">a </w:t>
      </w:r>
      <w:r>
        <w:rPr>
          <w:rFonts w:eastAsia="MS Mincho"/>
        </w:rPr>
        <w:t xml:space="preserve">final verdict, can request a medical examination. In this regard, the Attorney General </w:t>
      </w:r>
      <w:r w:rsidR="00FF30D5">
        <w:rPr>
          <w:rFonts w:eastAsia="MS Mincho"/>
        </w:rPr>
        <w:t>ensures</w:t>
      </w:r>
      <w:r>
        <w:rPr>
          <w:rFonts w:eastAsia="MS Mincho"/>
        </w:rPr>
        <w:t xml:space="preserve"> that each individual is treated humanely and has access to family visit</w:t>
      </w:r>
      <w:r w:rsidR="0010770C">
        <w:rPr>
          <w:rFonts w:eastAsia="MS Mincho"/>
        </w:rPr>
        <w:t>s</w:t>
      </w:r>
      <w:r>
        <w:rPr>
          <w:rFonts w:eastAsia="MS Mincho"/>
        </w:rPr>
        <w:t xml:space="preserve">, legal advice and medical examination. The State party submits that the author could have filed a complaint </w:t>
      </w:r>
      <w:r w:rsidR="00FF30D5">
        <w:rPr>
          <w:rFonts w:eastAsia="MS Mincho"/>
        </w:rPr>
        <w:t xml:space="preserve">with </w:t>
      </w:r>
      <w:r>
        <w:rPr>
          <w:rFonts w:eastAsia="MS Mincho"/>
        </w:rPr>
        <w:t xml:space="preserve">the Attorney General. </w:t>
      </w:r>
    </w:p>
    <w:p w14:paraId="646A8EC0" w14:textId="5FE771B3" w:rsidR="008F4012" w:rsidRDefault="008F4012" w:rsidP="00F307ED">
      <w:pPr>
        <w:pStyle w:val="SingleTxtG"/>
        <w:rPr>
          <w:rFonts w:eastAsia="MS Mincho"/>
        </w:rPr>
      </w:pPr>
      <w:r>
        <w:rPr>
          <w:rFonts w:eastAsia="MS Mincho"/>
        </w:rPr>
        <w:t>6.</w:t>
      </w:r>
      <w:r w:rsidR="00C37D2E">
        <w:rPr>
          <w:rFonts w:eastAsia="MS Mincho"/>
        </w:rPr>
        <w:t>6</w:t>
      </w:r>
      <w:r w:rsidRPr="00344247">
        <w:rPr>
          <w:rFonts w:eastAsia="MS Mincho"/>
        </w:rPr>
        <w:tab/>
      </w:r>
      <w:r>
        <w:rPr>
          <w:rFonts w:eastAsia="MS Mincho"/>
        </w:rPr>
        <w:t>The State party claims that it is common practice in Nepal that</w:t>
      </w:r>
      <w:r w:rsidR="00ED7414">
        <w:rPr>
          <w:rFonts w:eastAsia="MS Mincho"/>
        </w:rPr>
        <w:t>,</w:t>
      </w:r>
      <w:r>
        <w:rPr>
          <w:rFonts w:eastAsia="MS Mincho"/>
        </w:rPr>
        <w:t xml:space="preserve"> when a person is brought before a judge, she or he is asked whether she or he was </w:t>
      </w:r>
      <w:r w:rsidR="00C37D2E">
        <w:rPr>
          <w:rFonts w:eastAsia="MS Mincho"/>
        </w:rPr>
        <w:t xml:space="preserve">subjected to </w:t>
      </w:r>
      <w:r>
        <w:rPr>
          <w:rFonts w:eastAsia="MS Mincho"/>
        </w:rPr>
        <w:t xml:space="preserve">torture during the course of investigations. In the present case, it </w:t>
      </w:r>
      <w:r w:rsidR="00C37D2E">
        <w:rPr>
          <w:rFonts w:eastAsia="MS Mincho"/>
        </w:rPr>
        <w:t xml:space="preserve">claims </w:t>
      </w:r>
      <w:r>
        <w:rPr>
          <w:rFonts w:eastAsia="MS Mincho"/>
        </w:rPr>
        <w:t xml:space="preserve">that the author’s claim that the </w:t>
      </w:r>
      <w:proofErr w:type="spellStart"/>
      <w:r w:rsidRPr="00BB6D7B">
        <w:rPr>
          <w:rFonts w:eastAsia="MS Mincho"/>
        </w:rPr>
        <w:t>Rupandehi</w:t>
      </w:r>
      <w:proofErr w:type="spellEnd"/>
      <w:r w:rsidRPr="00BB6D7B">
        <w:rPr>
          <w:rFonts w:eastAsia="MS Mincho"/>
        </w:rPr>
        <w:t xml:space="preserve"> District Court</w:t>
      </w:r>
      <w:r>
        <w:rPr>
          <w:rFonts w:eastAsia="MS Mincho"/>
        </w:rPr>
        <w:t xml:space="preserve"> was informed of his allegations of torture is </w:t>
      </w:r>
      <w:r w:rsidR="00F307ED">
        <w:rPr>
          <w:rFonts w:eastAsia="MS Mincho"/>
        </w:rPr>
        <w:t xml:space="preserve">untrue </w:t>
      </w:r>
      <w:r>
        <w:rPr>
          <w:rFonts w:eastAsia="MS Mincho"/>
        </w:rPr>
        <w:t xml:space="preserve">and fabricated. </w:t>
      </w:r>
    </w:p>
    <w:p w14:paraId="646A8EC2" w14:textId="77777777" w:rsidR="008F4012" w:rsidRDefault="008F4012" w:rsidP="008F4012">
      <w:pPr>
        <w:pStyle w:val="H23G"/>
        <w:rPr>
          <w:rFonts w:eastAsia="MS Mincho"/>
        </w:rPr>
      </w:pPr>
      <w:r>
        <w:rPr>
          <w:rFonts w:eastAsia="MS Mincho"/>
        </w:rPr>
        <w:tab/>
      </w:r>
      <w:r>
        <w:rPr>
          <w:rFonts w:eastAsia="MS Mincho"/>
        </w:rPr>
        <w:tab/>
      </w:r>
      <w:r w:rsidRPr="005756B9">
        <w:rPr>
          <w:rFonts w:eastAsia="MS Mincho"/>
        </w:rPr>
        <w:t>Issues and proceedings before the Committee</w:t>
      </w:r>
    </w:p>
    <w:p w14:paraId="646A8EC3" w14:textId="77777777" w:rsidR="008F4012" w:rsidRDefault="00A838C2" w:rsidP="004B60CB">
      <w:pPr>
        <w:pStyle w:val="H4G"/>
        <w:rPr>
          <w:rFonts w:eastAsia="MS Mincho"/>
        </w:rPr>
      </w:pPr>
      <w:r>
        <w:rPr>
          <w:rFonts w:eastAsia="MS Mincho"/>
        </w:rPr>
        <w:tab/>
      </w:r>
      <w:r>
        <w:rPr>
          <w:rFonts w:eastAsia="MS Mincho"/>
        </w:rPr>
        <w:tab/>
      </w:r>
      <w:r w:rsidR="008F4012" w:rsidRPr="005756B9">
        <w:rPr>
          <w:rFonts w:eastAsia="MS Mincho"/>
        </w:rPr>
        <w:t>Consideration of admissibility</w:t>
      </w:r>
    </w:p>
    <w:p w14:paraId="646A8EC4" w14:textId="4D01D8E3" w:rsidR="008F4012" w:rsidRPr="000C5740" w:rsidRDefault="008F4012" w:rsidP="00F307ED">
      <w:pPr>
        <w:pStyle w:val="SingleTxtG"/>
        <w:rPr>
          <w:rFonts w:eastAsia="MS Mincho"/>
        </w:rPr>
      </w:pPr>
      <w:r w:rsidRPr="00EF68A8">
        <w:rPr>
          <w:rFonts w:eastAsia="MS Mincho"/>
        </w:rPr>
        <w:t>7.1</w:t>
      </w:r>
      <w:r>
        <w:rPr>
          <w:rFonts w:eastAsia="MS Mincho"/>
        </w:rPr>
        <w:tab/>
      </w:r>
      <w:r w:rsidRPr="000C5740">
        <w:rPr>
          <w:rFonts w:eastAsia="MS Mincho"/>
        </w:rPr>
        <w:t>Before considering any claim contained in a communication, the Human Rights Committee must, in accordance with rule 93 of its rules of procedure, decide whether the case is admissible under the Opt</w:t>
      </w:r>
      <w:r w:rsidR="00AF1403">
        <w:rPr>
          <w:rFonts w:eastAsia="MS Mincho"/>
        </w:rPr>
        <w:t>ional Protocol to the Covenant.</w:t>
      </w:r>
    </w:p>
    <w:p w14:paraId="646A8EC5" w14:textId="5AEA55C7" w:rsidR="008F4012" w:rsidRDefault="008F4012" w:rsidP="00ED7414">
      <w:pPr>
        <w:pStyle w:val="SingleTxtG"/>
        <w:rPr>
          <w:rFonts w:eastAsia="MS Mincho"/>
        </w:rPr>
      </w:pPr>
      <w:r w:rsidRPr="000C5740">
        <w:rPr>
          <w:rFonts w:eastAsia="MS Mincho"/>
        </w:rPr>
        <w:t>7.2</w:t>
      </w:r>
      <w:r w:rsidRPr="000C5740">
        <w:rPr>
          <w:rFonts w:eastAsia="MS Mincho"/>
        </w:rPr>
        <w:tab/>
        <w:t>The Committee has ascertained, as required under article 5</w:t>
      </w:r>
      <w:r w:rsidR="00ED7414">
        <w:rPr>
          <w:rFonts w:eastAsia="MS Mincho"/>
        </w:rPr>
        <w:t xml:space="preserve"> </w:t>
      </w:r>
      <w:r w:rsidR="00BD078A">
        <w:rPr>
          <w:rFonts w:eastAsia="MS Mincho"/>
        </w:rPr>
        <w:t>(</w:t>
      </w:r>
      <w:r w:rsidRPr="000C5740">
        <w:rPr>
          <w:rFonts w:eastAsia="MS Mincho"/>
        </w:rPr>
        <w:t>2</w:t>
      </w:r>
      <w:r w:rsidR="00BD078A">
        <w:rPr>
          <w:rFonts w:eastAsia="MS Mincho"/>
        </w:rPr>
        <w:t>)</w:t>
      </w:r>
      <w:r w:rsidRPr="000C5740">
        <w:rPr>
          <w:rFonts w:eastAsia="MS Mincho"/>
        </w:rPr>
        <w:t xml:space="preserve"> (a) of the Optional Protocol, that the same matter is not being examined under another procedure of international investigation or settlement.</w:t>
      </w:r>
    </w:p>
    <w:p w14:paraId="646A8EC6" w14:textId="787422A6" w:rsidR="008F4012" w:rsidRPr="00F47EF2" w:rsidRDefault="008F4012" w:rsidP="00302D76">
      <w:pPr>
        <w:pStyle w:val="SingleTxtG"/>
        <w:rPr>
          <w:rFonts w:eastAsia="MS Mincho"/>
        </w:rPr>
      </w:pPr>
      <w:r w:rsidRPr="003570E4">
        <w:rPr>
          <w:rFonts w:eastAsia="MS Mincho"/>
        </w:rPr>
        <w:t>7.3</w:t>
      </w:r>
      <w:r>
        <w:rPr>
          <w:rFonts w:eastAsia="MS Mincho"/>
        </w:rPr>
        <w:tab/>
      </w:r>
      <w:r w:rsidRPr="008C3DF6">
        <w:rPr>
          <w:rFonts w:eastAsia="MS Mincho"/>
        </w:rPr>
        <w:t>With reference to the provisions of article 14</w:t>
      </w:r>
      <w:r w:rsidR="00ED7414">
        <w:rPr>
          <w:rFonts w:eastAsia="MS Mincho"/>
        </w:rPr>
        <w:t xml:space="preserve"> </w:t>
      </w:r>
      <w:r w:rsidR="005A0F65">
        <w:rPr>
          <w:rFonts w:eastAsia="MS Mincho"/>
        </w:rPr>
        <w:t>(</w:t>
      </w:r>
      <w:r>
        <w:rPr>
          <w:rFonts w:eastAsia="MS Mincho"/>
        </w:rPr>
        <w:t>2</w:t>
      </w:r>
      <w:r w:rsidR="005A0F65">
        <w:rPr>
          <w:rFonts w:eastAsia="MS Mincho"/>
        </w:rPr>
        <w:t>)</w:t>
      </w:r>
      <w:r>
        <w:rPr>
          <w:rFonts w:eastAsia="MS Mincho"/>
        </w:rPr>
        <w:t xml:space="preserve"> of the Covenant, the Committee notes that the author submitted two excerpts of articles published by local newspapers on 13 and 14 April</w:t>
      </w:r>
      <w:r w:rsidRPr="004123E5">
        <w:rPr>
          <w:rFonts w:eastAsia="MS Mincho"/>
        </w:rPr>
        <w:t xml:space="preserve"> </w:t>
      </w:r>
      <w:r>
        <w:rPr>
          <w:rFonts w:eastAsia="MS Mincho"/>
        </w:rPr>
        <w:t>2011, just after</w:t>
      </w:r>
      <w:r w:rsidRPr="004123E5">
        <w:t xml:space="preserve"> </w:t>
      </w:r>
      <w:r w:rsidRPr="004123E5">
        <w:rPr>
          <w:rFonts w:eastAsia="MS Mincho"/>
        </w:rPr>
        <w:t>he signed his forced confession</w:t>
      </w:r>
      <w:r>
        <w:rPr>
          <w:rFonts w:eastAsia="MS Mincho"/>
        </w:rPr>
        <w:t xml:space="preserve">, openly referring </w:t>
      </w:r>
      <w:r w:rsidRPr="004123E5">
        <w:rPr>
          <w:rFonts w:eastAsia="MS Mincho"/>
        </w:rPr>
        <w:t xml:space="preserve">to him as a </w:t>
      </w:r>
      <w:r w:rsidRPr="00F47EF2">
        <w:rPr>
          <w:rFonts w:eastAsia="MS Mincho"/>
        </w:rPr>
        <w:t>member of an illegal armed group,</w:t>
      </w:r>
      <w:r w:rsidR="00302D76">
        <w:rPr>
          <w:rFonts w:eastAsia="MS Mincho"/>
        </w:rPr>
        <w:t xml:space="preserve"> and</w:t>
      </w:r>
      <w:r w:rsidRPr="00F47EF2">
        <w:rPr>
          <w:rFonts w:eastAsia="MS Mincho"/>
        </w:rPr>
        <w:t xml:space="preserve"> that he claimed to </w:t>
      </w:r>
      <w:r w:rsidR="00302D76">
        <w:rPr>
          <w:rFonts w:eastAsia="MS Mincho"/>
        </w:rPr>
        <w:t>have had</w:t>
      </w:r>
      <w:r w:rsidRPr="00F47EF2">
        <w:rPr>
          <w:rFonts w:eastAsia="MS Mincho"/>
        </w:rPr>
        <w:t xml:space="preserve"> his right to be presumed innocent</w:t>
      </w:r>
      <w:r w:rsidR="00302D76">
        <w:rPr>
          <w:rFonts w:eastAsia="MS Mincho"/>
        </w:rPr>
        <w:t xml:space="preserve"> violated</w:t>
      </w:r>
      <w:r w:rsidRPr="00F47EF2">
        <w:rPr>
          <w:rFonts w:eastAsia="MS Mincho"/>
        </w:rPr>
        <w:t xml:space="preserve">. On the basis of the material available to it, the Committee </w:t>
      </w:r>
      <w:r>
        <w:rPr>
          <w:rFonts w:eastAsia="MS Mincho"/>
        </w:rPr>
        <w:t xml:space="preserve">notes </w:t>
      </w:r>
      <w:r w:rsidRPr="00F47EF2">
        <w:rPr>
          <w:rFonts w:eastAsia="MS Mincho"/>
        </w:rPr>
        <w:t xml:space="preserve">that the author did not raise this complaint </w:t>
      </w:r>
      <w:r>
        <w:rPr>
          <w:rFonts w:eastAsia="MS Mincho"/>
        </w:rPr>
        <w:t>at the domestic level</w:t>
      </w:r>
      <w:r w:rsidRPr="00F47EF2">
        <w:rPr>
          <w:rFonts w:eastAsia="MS Mincho"/>
        </w:rPr>
        <w:t xml:space="preserve"> and that, while complainants are not obliged to cite spec</w:t>
      </w:r>
      <w:r>
        <w:rPr>
          <w:rFonts w:eastAsia="MS Mincho"/>
        </w:rPr>
        <w:t>ific provisions of the Covenant</w:t>
      </w:r>
      <w:r w:rsidRPr="00F47EF2">
        <w:rPr>
          <w:rFonts w:eastAsia="MS Mincho"/>
        </w:rPr>
        <w:t xml:space="preserve"> which they claim have been violated, they must mention in substantive terms, in domestic courts, the grounds which they later present to the Committee</w:t>
      </w:r>
      <w:r>
        <w:rPr>
          <w:rFonts w:eastAsia="MS Mincho"/>
        </w:rPr>
        <w:t>.</w:t>
      </w:r>
      <w:r>
        <w:rPr>
          <w:rStyle w:val="FootnoteReference"/>
          <w:rFonts w:eastAsia="MS Mincho"/>
        </w:rPr>
        <w:footnoteReference w:id="21"/>
      </w:r>
      <w:r w:rsidRPr="00F47EF2">
        <w:rPr>
          <w:rFonts w:eastAsia="MS Mincho"/>
        </w:rPr>
        <w:t xml:space="preserve"> Since </w:t>
      </w:r>
      <w:r>
        <w:rPr>
          <w:rFonts w:eastAsia="MS Mincho"/>
        </w:rPr>
        <w:t>t</w:t>
      </w:r>
      <w:r w:rsidRPr="00F47EF2">
        <w:rPr>
          <w:rFonts w:eastAsia="MS Mincho"/>
        </w:rPr>
        <w:t xml:space="preserve">he </w:t>
      </w:r>
      <w:r>
        <w:rPr>
          <w:rFonts w:eastAsia="MS Mincho"/>
        </w:rPr>
        <w:t xml:space="preserve">author </w:t>
      </w:r>
      <w:r w:rsidRPr="00F47EF2">
        <w:rPr>
          <w:rFonts w:eastAsia="MS Mincho"/>
        </w:rPr>
        <w:t xml:space="preserve">failed to lodge </w:t>
      </w:r>
      <w:r>
        <w:rPr>
          <w:rFonts w:eastAsia="MS Mincho"/>
        </w:rPr>
        <w:t>his complaint</w:t>
      </w:r>
      <w:r w:rsidRPr="00F47EF2">
        <w:rPr>
          <w:rFonts w:eastAsia="MS Mincho"/>
        </w:rPr>
        <w:t xml:space="preserve"> </w:t>
      </w:r>
      <w:r w:rsidR="00302D76">
        <w:rPr>
          <w:rFonts w:eastAsia="MS Mincho"/>
        </w:rPr>
        <w:t xml:space="preserve">relating </w:t>
      </w:r>
      <w:r>
        <w:rPr>
          <w:rFonts w:eastAsia="MS Mincho"/>
        </w:rPr>
        <w:t xml:space="preserve">to his rights under article 14 </w:t>
      </w:r>
      <w:r w:rsidR="005A0F65">
        <w:rPr>
          <w:rFonts w:eastAsia="MS Mincho"/>
        </w:rPr>
        <w:t>(</w:t>
      </w:r>
      <w:r>
        <w:rPr>
          <w:rFonts w:eastAsia="MS Mincho"/>
        </w:rPr>
        <w:t>2</w:t>
      </w:r>
      <w:r w:rsidR="005A0F65">
        <w:rPr>
          <w:rFonts w:eastAsia="MS Mincho"/>
        </w:rPr>
        <w:t>)</w:t>
      </w:r>
      <w:r>
        <w:rPr>
          <w:rFonts w:eastAsia="MS Mincho"/>
        </w:rPr>
        <w:t xml:space="preserve"> before</w:t>
      </w:r>
      <w:r w:rsidRPr="00F47EF2">
        <w:rPr>
          <w:rFonts w:eastAsia="MS Mincho"/>
        </w:rPr>
        <w:t xml:space="preserve"> </w:t>
      </w:r>
      <w:r>
        <w:rPr>
          <w:rFonts w:eastAsia="MS Mincho"/>
        </w:rPr>
        <w:t xml:space="preserve">the </w:t>
      </w:r>
      <w:r w:rsidRPr="00F47EF2">
        <w:rPr>
          <w:rFonts w:eastAsia="MS Mincho"/>
        </w:rPr>
        <w:t xml:space="preserve">domestic courts, </w:t>
      </w:r>
      <w:r>
        <w:rPr>
          <w:rFonts w:eastAsia="MS Mincho"/>
        </w:rPr>
        <w:t xml:space="preserve">the Committee </w:t>
      </w:r>
      <w:r>
        <w:rPr>
          <w:rFonts w:eastAsia="MS Mincho"/>
        </w:rPr>
        <w:lastRenderedPageBreak/>
        <w:t xml:space="preserve">concludes that </w:t>
      </w:r>
      <w:r w:rsidRPr="00F47EF2">
        <w:rPr>
          <w:rFonts w:eastAsia="MS Mincho"/>
        </w:rPr>
        <w:t>this part of the communication is inadmissible under article 5</w:t>
      </w:r>
      <w:r w:rsidR="00042E0C">
        <w:rPr>
          <w:rFonts w:eastAsia="MS Mincho"/>
        </w:rPr>
        <w:t xml:space="preserve"> </w:t>
      </w:r>
      <w:r w:rsidR="005A0F65">
        <w:rPr>
          <w:rFonts w:eastAsia="MS Mincho"/>
        </w:rPr>
        <w:t>(</w:t>
      </w:r>
      <w:r w:rsidRPr="00F47EF2">
        <w:rPr>
          <w:rFonts w:eastAsia="MS Mincho"/>
        </w:rPr>
        <w:t>2</w:t>
      </w:r>
      <w:r w:rsidR="005A0F65">
        <w:rPr>
          <w:rFonts w:eastAsia="MS Mincho"/>
        </w:rPr>
        <w:t>)</w:t>
      </w:r>
      <w:r w:rsidRPr="00F47EF2">
        <w:rPr>
          <w:rFonts w:eastAsia="MS Mincho"/>
        </w:rPr>
        <w:t xml:space="preserve"> (b) of the Optional Protocol. </w:t>
      </w:r>
    </w:p>
    <w:p w14:paraId="646A8EC7" w14:textId="2F4D809D" w:rsidR="008F4012" w:rsidRPr="000C5740" w:rsidRDefault="008F4012" w:rsidP="000F7AD0">
      <w:pPr>
        <w:pStyle w:val="SingleTxtG"/>
      </w:pPr>
      <w:r>
        <w:t>7.4</w:t>
      </w:r>
      <w:r>
        <w:tab/>
      </w:r>
      <w:r w:rsidRPr="00BD078A">
        <w:t>With respect to the exhaustion of domestic remedies</w:t>
      </w:r>
      <w:r w:rsidR="00805D73">
        <w:t xml:space="preserve"> as concerns the </w:t>
      </w:r>
      <w:r w:rsidR="00917CDA">
        <w:t>rest of the author’s claims</w:t>
      </w:r>
      <w:r w:rsidRPr="00BD078A">
        <w:t>, the Committee notes that the author’s complaint reporting</w:t>
      </w:r>
      <w:r w:rsidRPr="000C5740">
        <w:t xml:space="preserve"> the allegations of torture, filed by his mother on his behalf </w:t>
      </w:r>
      <w:r w:rsidR="00302D76">
        <w:t>with</w:t>
      </w:r>
      <w:r w:rsidR="00302D76" w:rsidRPr="000C5740">
        <w:t xml:space="preserve"> </w:t>
      </w:r>
      <w:r w:rsidRPr="000C5740">
        <w:t xml:space="preserve">the registrar of the </w:t>
      </w:r>
      <w:proofErr w:type="spellStart"/>
      <w:r w:rsidRPr="000C5740">
        <w:t>Rupandehi</w:t>
      </w:r>
      <w:proofErr w:type="spellEnd"/>
      <w:r w:rsidRPr="000C5740">
        <w:t xml:space="preserve"> District Court on 12 December 2012, was not registered</w:t>
      </w:r>
      <w:r w:rsidR="00302D76">
        <w:t>,</w:t>
      </w:r>
      <w:r w:rsidRPr="000C5740">
        <w:t xml:space="preserve"> as it allegedly did not comply with the 35-day statutory limit established under </w:t>
      </w:r>
      <w:r w:rsidR="00302D76">
        <w:t xml:space="preserve">the </w:t>
      </w:r>
      <w:r w:rsidRPr="000C5740">
        <w:t xml:space="preserve">Compensation </w:t>
      </w:r>
      <w:r w:rsidR="003A5EB3">
        <w:t xml:space="preserve">relating to </w:t>
      </w:r>
      <w:r w:rsidR="003A5EB3" w:rsidRPr="000C5740">
        <w:t xml:space="preserve">Torture </w:t>
      </w:r>
      <w:r w:rsidRPr="000C5740">
        <w:t xml:space="preserve">Act. </w:t>
      </w:r>
      <w:r w:rsidR="00462F99">
        <w:t xml:space="preserve">The Committee further notes the author’s argument that filing a complaint within 35 days </w:t>
      </w:r>
      <w:r w:rsidR="00042E0C">
        <w:t>of</w:t>
      </w:r>
      <w:r w:rsidR="00462F99">
        <w:t xml:space="preserve"> the date of </w:t>
      </w:r>
      <w:r w:rsidR="00302D76">
        <w:t xml:space="preserve">the </w:t>
      </w:r>
      <w:r w:rsidR="00462F99">
        <w:t>infliction of torture would have been impossible for him as he was being held in detention and</w:t>
      </w:r>
      <w:r w:rsidR="00302D76">
        <w:t xml:space="preserve"> was</w:t>
      </w:r>
      <w:r w:rsidR="00462F99">
        <w:t xml:space="preserve"> not allowed to file a complaint. It further notes his submission that he could not file a complaint within the 35</w:t>
      </w:r>
      <w:r w:rsidR="003A5EB3">
        <w:t>-</w:t>
      </w:r>
      <w:r w:rsidR="00462F99">
        <w:t>day time limit after his release, as he was hospitali</w:t>
      </w:r>
      <w:r w:rsidR="00957D90">
        <w:t>z</w:t>
      </w:r>
      <w:r w:rsidR="00462F99">
        <w:t xml:space="preserve">ed for several months upon release. </w:t>
      </w:r>
      <w:r w:rsidRPr="00917CDA">
        <w:t xml:space="preserve">The Committee </w:t>
      </w:r>
      <w:r w:rsidR="00555174">
        <w:t xml:space="preserve">additionally </w:t>
      </w:r>
      <w:r w:rsidR="00B34BD5" w:rsidRPr="00917CDA">
        <w:t>considers that</w:t>
      </w:r>
      <w:r w:rsidR="00302D76">
        <w:t>,</w:t>
      </w:r>
      <w:r w:rsidRPr="00917CDA">
        <w:t xml:space="preserve"> because the 35-day statutory limit from the event of torture </w:t>
      </w:r>
      <w:r w:rsidR="00491DDB" w:rsidRPr="00491DDB">
        <w:t xml:space="preserve">or the date of release </w:t>
      </w:r>
      <w:r w:rsidRPr="00917CDA">
        <w:t>for bringing claims under the Compensation</w:t>
      </w:r>
      <w:r w:rsidR="003A5EB3">
        <w:t xml:space="preserve"> relating to</w:t>
      </w:r>
      <w:r w:rsidR="003A5EB3" w:rsidRPr="003A5EB3">
        <w:t xml:space="preserve"> </w:t>
      </w:r>
      <w:r w:rsidR="003A5EB3" w:rsidRPr="00917CDA">
        <w:t>Torture</w:t>
      </w:r>
      <w:r w:rsidRPr="00917CDA">
        <w:t xml:space="preserve"> Act is in itself flagrantly inconsistent with the gravity of the crime</w:t>
      </w:r>
      <w:r w:rsidR="00724CD8">
        <w:t>,</w:t>
      </w:r>
      <w:r w:rsidRPr="00917CDA">
        <w:rPr>
          <w:rStyle w:val="FootnoteReference"/>
        </w:rPr>
        <w:footnoteReference w:id="22"/>
      </w:r>
      <w:r w:rsidRPr="00917CDA">
        <w:t xml:space="preserve"> this remedy was not available to the author.</w:t>
      </w:r>
      <w:r w:rsidRPr="00917CDA">
        <w:rPr>
          <w:rStyle w:val="FootnoteReference"/>
        </w:rPr>
        <w:footnoteReference w:id="23"/>
      </w:r>
    </w:p>
    <w:p w14:paraId="646A8EC8" w14:textId="2E3CA77E" w:rsidR="008F4012" w:rsidRPr="000C5740" w:rsidRDefault="008F4012" w:rsidP="00C72B6C">
      <w:pPr>
        <w:pStyle w:val="SingleTxtG"/>
      </w:pPr>
      <w:r>
        <w:t>7.5</w:t>
      </w:r>
      <w:r w:rsidR="00A838C2">
        <w:tab/>
      </w:r>
      <w:r w:rsidRPr="000C5740">
        <w:t xml:space="preserve">The Committee notes the State party’s argument that the communication does not fulfil the requirements of article 5 </w:t>
      </w:r>
      <w:r w:rsidR="00805D73">
        <w:t>(</w:t>
      </w:r>
      <w:r w:rsidRPr="000C5740">
        <w:t>2</w:t>
      </w:r>
      <w:r w:rsidR="00805D73">
        <w:t>)</w:t>
      </w:r>
      <w:r w:rsidRPr="000C5740">
        <w:t xml:space="preserve"> (b) of the Optional Protocol, because the author did not formally request a </w:t>
      </w:r>
      <w:r>
        <w:t>medical examination</w:t>
      </w:r>
      <w:r w:rsidR="00BE05AF">
        <w:t xml:space="preserve"> in accordance with</w:t>
      </w:r>
      <w:r w:rsidRPr="000C5740">
        <w:t xml:space="preserve"> the State Cases Rules before the District Court examining his remand </w:t>
      </w:r>
      <w:r>
        <w:t>in custody</w:t>
      </w:r>
      <w:r w:rsidRPr="000C5740">
        <w:t>. In that connection, the Committee takes note of the author’s submission that</w:t>
      </w:r>
      <w:r w:rsidR="00BE05AF">
        <w:t>,</w:t>
      </w:r>
      <w:r w:rsidRPr="000C5740">
        <w:t xml:space="preserve"> during the first hearing of the </w:t>
      </w:r>
      <w:proofErr w:type="spellStart"/>
      <w:r w:rsidRPr="000C5740">
        <w:t>Rupandehi</w:t>
      </w:r>
      <w:proofErr w:type="spellEnd"/>
      <w:r w:rsidRPr="000C5740">
        <w:t xml:space="preserve"> District Court in May 2011, he claimed that he had been ill-treated and that </w:t>
      </w:r>
      <w:r w:rsidRPr="00132565">
        <w:t xml:space="preserve">his confession had been obtained under torture. The </w:t>
      </w:r>
      <w:r w:rsidRPr="000C5740">
        <w:t>Committee observes that</w:t>
      </w:r>
      <w:r>
        <w:t>, even though the State party challenged this part of the author’s statement,</w:t>
      </w:r>
      <w:r w:rsidRPr="000C5740">
        <w:t xml:space="preserve"> this allegation is corroborated by the unofficial translation of the </w:t>
      </w:r>
      <w:r w:rsidR="004F470E">
        <w:t>c</w:t>
      </w:r>
      <w:r w:rsidR="004F470E" w:rsidRPr="000C5740">
        <w:t xml:space="preserve">ourt </w:t>
      </w:r>
      <w:r w:rsidRPr="000C5740">
        <w:t>hearing provided by the author</w:t>
      </w:r>
      <w:r w:rsidR="00BE05AF">
        <w:t>,</w:t>
      </w:r>
      <w:r w:rsidRPr="000C5740">
        <w:t xml:space="preserve"> which is not refuted by any official translation produced by the State party. The Committee notes that the author explained that he was not repr</w:t>
      </w:r>
      <w:r>
        <w:t>esented by counsel at this time</w:t>
      </w:r>
      <w:r w:rsidR="00BE05AF">
        <w:t xml:space="preserve"> and</w:t>
      </w:r>
      <w:r>
        <w:t xml:space="preserve"> that he </w:t>
      </w:r>
      <w:r w:rsidRPr="000C5740">
        <w:t xml:space="preserve">was unaware that </w:t>
      </w:r>
      <w:r w:rsidRPr="00835334">
        <w:t xml:space="preserve">he could formally request the Court </w:t>
      </w:r>
      <w:r w:rsidR="00BE05AF">
        <w:t xml:space="preserve">to arrange </w:t>
      </w:r>
      <w:r w:rsidRPr="00835334">
        <w:t>for a medical examination</w:t>
      </w:r>
      <w:r w:rsidR="00BE05AF">
        <w:t>,</w:t>
      </w:r>
      <w:r w:rsidRPr="00835334">
        <w:t xml:space="preserve"> and </w:t>
      </w:r>
      <w:r w:rsidR="00BE05AF" w:rsidRPr="000C5740">
        <w:t>further</w:t>
      </w:r>
      <w:r w:rsidR="00BE05AF">
        <w:t xml:space="preserve"> notes that the author has</w:t>
      </w:r>
      <w:r w:rsidR="00BE05AF" w:rsidRPr="000C5740">
        <w:t xml:space="preserve"> </w:t>
      </w:r>
      <w:r w:rsidRPr="00835334">
        <w:t xml:space="preserve">argued that the judge should have ordered </w:t>
      </w:r>
      <w:r w:rsidR="00BE05AF">
        <w:t>such an</w:t>
      </w:r>
      <w:r w:rsidR="00BE05AF" w:rsidRPr="00835334">
        <w:t xml:space="preserve"> </w:t>
      </w:r>
      <w:r w:rsidRPr="00835334">
        <w:t xml:space="preserve">examination </w:t>
      </w:r>
      <w:r w:rsidRPr="00623B29">
        <w:rPr>
          <w:iCs/>
        </w:rPr>
        <w:t>ex officio</w:t>
      </w:r>
      <w:r w:rsidRPr="00835334">
        <w:rPr>
          <w:i/>
        </w:rPr>
        <w:t xml:space="preserve"> </w:t>
      </w:r>
      <w:r w:rsidRPr="00835334">
        <w:t>when he reported his allegations of torture.</w:t>
      </w:r>
    </w:p>
    <w:p w14:paraId="646A8EC9" w14:textId="1CFD53A8" w:rsidR="008F4012" w:rsidRPr="00835334" w:rsidRDefault="008F4012" w:rsidP="00C72B6C">
      <w:pPr>
        <w:pStyle w:val="SingleTxtG"/>
        <w:rPr>
          <w:i/>
        </w:rPr>
      </w:pPr>
      <w:r>
        <w:t>7.6</w:t>
      </w:r>
      <w:r w:rsidRPr="000C5740">
        <w:tab/>
      </w:r>
      <w:r w:rsidRPr="00742405">
        <w:t xml:space="preserve">The Committee also notes the State party’s argument that the author failed to exhaust domestic remedies because no petitions for writ of </w:t>
      </w:r>
      <w:r w:rsidRPr="00623B29">
        <w:rPr>
          <w:iCs/>
        </w:rPr>
        <w:t>habeas corpus</w:t>
      </w:r>
      <w:r w:rsidRPr="00742405">
        <w:rPr>
          <w:i/>
        </w:rPr>
        <w:t xml:space="preserve"> </w:t>
      </w:r>
      <w:r w:rsidRPr="00742405">
        <w:t>were filed</w:t>
      </w:r>
      <w:r w:rsidRPr="00742405">
        <w:rPr>
          <w:i/>
        </w:rPr>
        <w:t xml:space="preserve"> </w:t>
      </w:r>
      <w:r w:rsidRPr="00742405">
        <w:t>and</w:t>
      </w:r>
      <w:r w:rsidRPr="00742405">
        <w:rPr>
          <w:i/>
        </w:rPr>
        <w:t xml:space="preserve"> </w:t>
      </w:r>
      <w:r w:rsidRPr="00742405">
        <w:t xml:space="preserve">because a </w:t>
      </w:r>
      <w:r w:rsidRPr="004D19D0">
        <w:t xml:space="preserve">petition for writ of </w:t>
      </w:r>
      <w:r w:rsidRPr="00623B29">
        <w:rPr>
          <w:iCs/>
        </w:rPr>
        <w:t>mandamus</w:t>
      </w:r>
      <w:r w:rsidRPr="004D19D0">
        <w:rPr>
          <w:i/>
        </w:rPr>
        <w:t xml:space="preserve"> </w:t>
      </w:r>
      <w:r w:rsidRPr="008300FC">
        <w:t xml:space="preserve">filed by the author </w:t>
      </w:r>
      <w:r w:rsidRPr="00A9110E">
        <w:t xml:space="preserve">was still under consideration by the Supreme Court of Nepal. </w:t>
      </w:r>
      <w:r w:rsidRPr="00742405">
        <w:t xml:space="preserve">In this regard, the Committee observes that the State party has merely listed </w:t>
      </w:r>
      <w:r w:rsidRPr="00742405">
        <w:rPr>
          <w:i/>
        </w:rPr>
        <w:t xml:space="preserve">in </w:t>
      </w:r>
      <w:proofErr w:type="spellStart"/>
      <w:r w:rsidRPr="00742405">
        <w:rPr>
          <w:i/>
        </w:rPr>
        <w:t>abstracto</w:t>
      </w:r>
      <w:proofErr w:type="spellEnd"/>
      <w:r w:rsidRPr="000C5740">
        <w:rPr>
          <w:i/>
        </w:rPr>
        <w:t xml:space="preserve"> </w:t>
      </w:r>
      <w:r w:rsidRPr="000C5740">
        <w:t>the existence of remedies regarding the author’s allegation of torture under the Interim Constitution of Nepal without relating them to the circumstances of the author’s case and without showing how they might have provided effective redress in the</w:t>
      </w:r>
      <w:r>
        <w:t>se</w:t>
      </w:r>
      <w:r w:rsidRPr="000C5740">
        <w:t xml:space="preserve"> circumstances</w:t>
      </w:r>
      <w:r>
        <w:t>.</w:t>
      </w:r>
      <w:r>
        <w:rPr>
          <w:rStyle w:val="FootnoteReference"/>
        </w:rPr>
        <w:footnoteReference w:id="24"/>
      </w:r>
      <w:r w:rsidRPr="000C5740">
        <w:t xml:space="preserve"> </w:t>
      </w:r>
      <w:r w:rsidRPr="001903AA">
        <w:t xml:space="preserve">In addition, the Committee notes that the State party provided contradictory information when it first submitted that the author had filed an appeal to the Appellate Court before claiming that the author did not file such an appeal. </w:t>
      </w:r>
      <w:r w:rsidRPr="000C5740">
        <w:t>In this context, the Committee recalls that the effectiveness of a remedy depends on the nature and the particular seriousness of the alleged violation</w:t>
      </w:r>
      <w:r>
        <w:t>.</w:t>
      </w:r>
      <w:r w:rsidRPr="000C5740">
        <w:rPr>
          <w:rStyle w:val="FootnoteReference"/>
        </w:rPr>
        <w:footnoteReference w:id="25"/>
      </w:r>
    </w:p>
    <w:p w14:paraId="7C3B84CB" w14:textId="7AADAB32" w:rsidR="00835334" w:rsidRPr="00835334" w:rsidRDefault="008F4012" w:rsidP="005E027B">
      <w:pPr>
        <w:pStyle w:val="SingleTxtG"/>
      </w:pPr>
      <w:r>
        <w:t>7.7</w:t>
      </w:r>
      <w:r w:rsidRPr="000C5740">
        <w:tab/>
      </w:r>
      <w:r w:rsidR="00805D73">
        <w:t>T</w:t>
      </w:r>
      <w:r w:rsidRPr="000C5740">
        <w:t xml:space="preserve">he Committee </w:t>
      </w:r>
      <w:r w:rsidR="00805D73">
        <w:t xml:space="preserve">further </w:t>
      </w:r>
      <w:r w:rsidRPr="000C5740">
        <w:t>recalls that</w:t>
      </w:r>
      <w:r w:rsidR="002C30AD">
        <w:t>,</w:t>
      </w:r>
      <w:r w:rsidRPr="000C5740">
        <w:t xml:space="preserve"> for the purposes of article 5</w:t>
      </w:r>
      <w:r w:rsidR="002C30AD">
        <w:t xml:space="preserve"> </w:t>
      </w:r>
      <w:r w:rsidR="00805D73">
        <w:t>(</w:t>
      </w:r>
      <w:r w:rsidRPr="000C5740">
        <w:t>2</w:t>
      </w:r>
      <w:r w:rsidR="00805D73">
        <w:t xml:space="preserve">) </w:t>
      </w:r>
      <w:r w:rsidRPr="000C5740">
        <w:t>(b) of the Optional Protocol, domestic remedies must both be effective and available, and must not be unduly prolonged</w:t>
      </w:r>
      <w:r w:rsidR="002C30AD">
        <w:t>.</w:t>
      </w:r>
      <w:r w:rsidRPr="000C5740">
        <w:rPr>
          <w:rStyle w:val="FootnoteReference"/>
        </w:rPr>
        <w:footnoteReference w:id="26"/>
      </w:r>
      <w:r w:rsidRPr="000C5740">
        <w:t xml:space="preserve"> In the present case, </w:t>
      </w:r>
      <w:r w:rsidR="00805D73">
        <w:t>the State party has provided no information indicating that an</w:t>
      </w:r>
      <w:r w:rsidRPr="000C5740">
        <w:t xml:space="preserve"> investigation </w:t>
      </w:r>
      <w:r w:rsidR="00805D73">
        <w:t>into</w:t>
      </w:r>
      <w:r w:rsidR="00805D73" w:rsidRPr="000C5740">
        <w:t xml:space="preserve"> </w:t>
      </w:r>
      <w:r>
        <w:t>the author’s</w:t>
      </w:r>
      <w:r w:rsidRPr="000C5740">
        <w:t xml:space="preserve"> allegations</w:t>
      </w:r>
      <w:r>
        <w:t xml:space="preserve"> of torture</w:t>
      </w:r>
      <w:r w:rsidRPr="000C5740">
        <w:t xml:space="preserve"> </w:t>
      </w:r>
      <w:r w:rsidR="00805D73">
        <w:t xml:space="preserve">has been </w:t>
      </w:r>
      <w:r w:rsidRPr="000C5740">
        <w:t xml:space="preserve">undertaken by the State party </w:t>
      </w:r>
      <w:r w:rsidR="00805D73">
        <w:t xml:space="preserve">since </w:t>
      </w:r>
      <w:r w:rsidR="00835334">
        <w:t xml:space="preserve">the </w:t>
      </w:r>
      <w:r w:rsidR="00805D73">
        <w:t>allegations</w:t>
      </w:r>
      <w:r w:rsidRPr="000C5740">
        <w:t xml:space="preserve"> were first brought to its attention </w:t>
      </w:r>
      <w:r w:rsidR="00805D73">
        <w:t>in May</w:t>
      </w:r>
      <w:r w:rsidRPr="000C5740">
        <w:t xml:space="preserve"> 201</w:t>
      </w:r>
      <w:r w:rsidR="00805D73">
        <w:t>1</w:t>
      </w:r>
      <w:r w:rsidRPr="000C5740">
        <w:t>. The Committee concludes that this constitutes an unreasonably prolonged delay.</w:t>
      </w:r>
      <w:r w:rsidR="00835334">
        <w:t xml:space="preserve"> The Committee therefore concludes that it is not precluded by </w:t>
      </w:r>
      <w:r w:rsidR="00835334" w:rsidRPr="00835334">
        <w:t>article 5</w:t>
      </w:r>
      <w:r w:rsidR="002C30AD">
        <w:t xml:space="preserve"> </w:t>
      </w:r>
      <w:r w:rsidR="00835334" w:rsidRPr="00835334">
        <w:t xml:space="preserve">(2) (b) of the Optional </w:t>
      </w:r>
      <w:r w:rsidR="00835334" w:rsidRPr="00835334">
        <w:lastRenderedPageBreak/>
        <w:t>Protocol</w:t>
      </w:r>
      <w:r w:rsidR="00835334" w:rsidRPr="00835334">
        <w:rPr>
          <w:rFonts w:eastAsia="MS Mincho"/>
          <w:lang w:eastAsia="zh-CN"/>
        </w:rPr>
        <w:t xml:space="preserve"> </w:t>
      </w:r>
      <w:r w:rsidR="00835334" w:rsidRPr="00835334">
        <w:t xml:space="preserve">from examining the </w:t>
      </w:r>
      <w:r w:rsidR="00835334">
        <w:t>author’s claims under</w:t>
      </w:r>
      <w:r w:rsidR="00835334" w:rsidRPr="00835334">
        <w:t xml:space="preserve"> articles 7 and 10 (l)</w:t>
      </w:r>
      <w:r w:rsidR="00B2588A">
        <w:t>,</w:t>
      </w:r>
      <w:r w:rsidR="00835334" w:rsidRPr="00835334">
        <w:t xml:space="preserve"> read alone and in conjunction with article 2 (3), </w:t>
      </w:r>
      <w:r w:rsidR="005E027B">
        <w:t xml:space="preserve">and under articles </w:t>
      </w:r>
      <w:r w:rsidR="00835334" w:rsidRPr="00835334">
        <w:t xml:space="preserve">9 </w:t>
      </w:r>
      <w:r w:rsidR="0050673C">
        <w:t>(1)–(3)</w:t>
      </w:r>
      <w:r w:rsidR="00835334" w:rsidRPr="00835334">
        <w:t xml:space="preserve"> and 14 (3) (b) and (g) of the Covenant</w:t>
      </w:r>
      <w:r w:rsidR="00FC1B77">
        <w:t>.</w:t>
      </w:r>
    </w:p>
    <w:p w14:paraId="646A8ECB" w14:textId="0FF782C2" w:rsidR="008F4012" w:rsidRDefault="008F4012" w:rsidP="00B2588A">
      <w:pPr>
        <w:pStyle w:val="SingleTxtG"/>
      </w:pPr>
      <w:r>
        <w:t>7.8</w:t>
      </w:r>
      <w:r w:rsidRPr="000C5740">
        <w:tab/>
      </w:r>
      <w:r w:rsidR="00917CDA" w:rsidRPr="00917CDA">
        <w:t xml:space="preserve">In the absence of any other challenges to the admissibility of the communication, the Committee declares the communication admissible insofar as it concerns the author’s claims </w:t>
      </w:r>
      <w:r w:rsidRPr="000C5740">
        <w:t xml:space="preserve">under articles 7 </w:t>
      </w:r>
      <w:r w:rsidRPr="00932055">
        <w:t>and</w:t>
      </w:r>
      <w:r w:rsidRPr="000C5740">
        <w:t xml:space="preserve"> 10 </w:t>
      </w:r>
      <w:r w:rsidR="00805D73">
        <w:t>(</w:t>
      </w:r>
      <w:r w:rsidRPr="000C5740">
        <w:t>1</w:t>
      </w:r>
      <w:r w:rsidR="00805D73">
        <w:t>)</w:t>
      </w:r>
      <w:r w:rsidR="00B2588A">
        <w:t>,</w:t>
      </w:r>
      <w:r w:rsidRPr="000C5740">
        <w:t xml:space="preserve"> read alone and in conjunction with article</w:t>
      </w:r>
      <w:r w:rsidR="00B2588A">
        <w:t>s</w:t>
      </w:r>
      <w:r w:rsidRPr="000C5740">
        <w:t xml:space="preserve"> 2 </w:t>
      </w:r>
      <w:r w:rsidR="00805D73">
        <w:t>(</w:t>
      </w:r>
      <w:r w:rsidRPr="000C5740">
        <w:t>3</w:t>
      </w:r>
      <w:r w:rsidR="00805D73">
        <w:t>)</w:t>
      </w:r>
      <w:r w:rsidR="00B2588A">
        <w:t>,</w:t>
      </w:r>
      <w:r w:rsidRPr="000C5740">
        <w:t xml:space="preserve"> 9 </w:t>
      </w:r>
      <w:r w:rsidR="0050673C">
        <w:t>(1)–(3)</w:t>
      </w:r>
      <w:r>
        <w:t xml:space="preserve"> and 14 </w:t>
      </w:r>
      <w:r w:rsidR="00805D73">
        <w:t>(</w:t>
      </w:r>
      <w:r w:rsidRPr="000C5740">
        <w:t>3</w:t>
      </w:r>
      <w:r w:rsidR="00805D73">
        <w:t>)</w:t>
      </w:r>
      <w:r w:rsidRPr="000C5740">
        <w:t xml:space="preserve"> </w:t>
      </w:r>
      <w:r w:rsidR="00805D73">
        <w:t>(</w:t>
      </w:r>
      <w:r w:rsidRPr="000C5740">
        <w:t xml:space="preserve">b) and </w:t>
      </w:r>
      <w:r w:rsidR="00805D73">
        <w:t>(</w:t>
      </w:r>
      <w:r w:rsidRPr="000C5740">
        <w:t>g).</w:t>
      </w:r>
    </w:p>
    <w:p w14:paraId="646A8ECC" w14:textId="1EA5BFEF" w:rsidR="008F4012" w:rsidRPr="00982E5E" w:rsidRDefault="00A838C2" w:rsidP="004B60CB">
      <w:pPr>
        <w:pStyle w:val="H4G"/>
        <w:rPr>
          <w:rFonts w:eastAsia="MS Mincho"/>
        </w:rPr>
      </w:pPr>
      <w:r>
        <w:rPr>
          <w:rFonts w:eastAsia="MS Mincho"/>
        </w:rPr>
        <w:tab/>
      </w:r>
      <w:r>
        <w:rPr>
          <w:rFonts w:eastAsia="MS Mincho"/>
        </w:rPr>
        <w:tab/>
      </w:r>
      <w:r w:rsidR="008F4012" w:rsidRPr="00161979">
        <w:rPr>
          <w:rFonts w:eastAsia="MS Mincho"/>
        </w:rPr>
        <w:t>Consideration of the merits</w:t>
      </w:r>
    </w:p>
    <w:p w14:paraId="646A8ECD" w14:textId="255FF790" w:rsidR="008F4012" w:rsidRPr="00811FDF" w:rsidRDefault="008F4012" w:rsidP="00847B21">
      <w:pPr>
        <w:spacing w:after="120"/>
        <w:ind w:left="1134" w:right="1134"/>
        <w:jc w:val="both"/>
        <w:rPr>
          <w:rFonts w:eastAsia="MS Mincho"/>
        </w:rPr>
      </w:pPr>
      <w:r w:rsidRPr="00811FDF">
        <w:rPr>
          <w:rFonts w:eastAsia="MS Mincho"/>
        </w:rPr>
        <w:t>8.1</w:t>
      </w:r>
      <w:r>
        <w:rPr>
          <w:rFonts w:eastAsia="MS Mincho"/>
        </w:rPr>
        <w:tab/>
      </w:r>
      <w:r w:rsidRPr="00811FDF">
        <w:rPr>
          <w:rFonts w:eastAsia="MS Mincho"/>
        </w:rPr>
        <w:t>The Committee has considered the communication in the light of all the information made available to it by the parties, in accordance with article 5 (1) of the Optional Protocol.</w:t>
      </w:r>
    </w:p>
    <w:p w14:paraId="646A8ECE" w14:textId="07C8625A" w:rsidR="008F4012" w:rsidRDefault="008F4012" w:rsidP="009C3567">
      <w:pPr>
        <w:pStyle w:val="SingleTxtG"/>
        <w:rPr>
          <w:rFonts w:eastAsia="MS Mincho"/>
        </w:rPr>
      </w:pPr>
      <w:r w:rsidRPr="006871B4">
        <w:rPr>
          <w:rFonts w:eastAsia="MS Mincho"/>
        </w:rPr>
        <w:t>8.2</w:t>
      </w:r>
      <w:r w:rsidRPr="006871B4">
        <w:rPr>
          <w:rFonts w:eastAsia="MS Mincho"/>
        </w:rPr>
        <w:tab/>
        <w:t xml:space="preserve">The Committee </w:t>
      </w:r>
      <w:r>
        <w:rPr>
          <w:rFonts w:eastAsia="MS Mincho"/>
        </w:rPr>
        <w:t xml:space="preserve">notes </w:t>
      </w:r>
      <w:r w:rsidRPr="006871B4">
        <w:rPr>
          <w:rFonts w:eastAsia="MS Mincho"/>
        </w:rPr>
        <w:t>the author’s allegations that</w:t>
      </w:r>
      <w:r w:rsidR="00D471C7">
        <w:rPr>
          <w:rFonts w:eastAsia="MS Mincho"/>
        </w:rPr>
        <w:t>, while he was detained,</w:t>
      </w:r>
      <w:r w:rsidRPr="006871B4">
        <w:rPr>
          <w:rFonts w:eastAsia="MS Mincho"/>
        </w:rPr>
        <w:t xml:space="preserve"> he was</w:t>
      </w:r>
      <w:r>
        <w:rPr>
          <w:rFonts w:eastAsia="MS Mincho"/>
        </w:rPr>
        <w:t xml:space="preserve"> tortured and </w:t>
      </w:r>
      <w:r w:rsidR="00E71EFD">
        <w:rPr>
          <w:rFonts w:eastAsia="MS Mincho"/>
        </w:rPr>
        <w:t xml:space="preserve">subjected to ill-treatment </w:t>
      </w:r>
      <w:r>
        <w:rPr>
          <w:rFonts w:eastAsia="MS Mincho"/>
        </w:rPr>
        <w:t>by the police in order to obtain his confession of guilt in a crime investigation.</w:t>
      </w:r>
      <w:r w:rsidRPr="00F95EBC">
        <w:t xml:space="preserve"> </w:t>
      </w:r>
      <w:r w:rsidRPr="00917CDA">
        <w:rPr>
          <w:rFonts w:eastAsia="MS Mincho"/>
        </w:rPr>
        <w:t>In that connection, the Committee notes the various findings of international human rights bodies and reports of non-governmental organizations highlighting the widespread practice of torture in</w:t>
      </w:r>
      <w:r w:rsidR="00DA5CD4">
        <w:rPr>
          <w:rFonts w:eastAsia="MS Mincho"/>
        </w:rPr>
        <w:t xml:space="preserve"> the</w:t>
      </w:r>
      <w:r w:rsidRPr="00917CDA">
        <w:rPr>
          <w:rFonts w:eastAsia="MS Mincho"/>
        </w:rPr>
        <w:t xml:space="preserve"> </w:t>
      </w:r>
      <w:proofErr w:type="spellStart"/>
      <w:r w:rsidRPr="00917CDA">
        <w:rPr>
          <w:rFonts w:eastAsia="MS Mincho"/>
        </w:rPr>
        <w:t>Terai</w:t>
      </w:r>
      <w:proofErr w:type="spellEnd"/>
      <w:r w:rsidR="00D471C7">
        <w:rPr>
          <w:rFonts w:eastAsia="MS Mincho"/>
        </w:rPr>
        <w:t>, as</w:t>
      </w:r>
      <w:r w:rsidRPr="00917CDA">
        <w:rPr>
          <w:rFonts w:eastAsia="MS Mincho"/>
        </w:rPr>
        <w:t xml:space="preserve"> submitted by the author</w:t>
      </w:r>
      <w:r w:rsidR="00D471C7">
        <w:rPr>
          <w:rFonts w:eastAsia="MS Mincho"/>
        </w:rPr>
        <w:t>.</w:t>
      </w:r>
      <w:r w:rsidR="00A41340" w:rsidRPr="00A41340">
        <w:rPr>
          <w:rFonts w:eastAsia="MS Mincho"/>
          <w:vertAlign w:val="superscript"/>
        </w:rPr>
        <w:footnoteReference w:id="27"/>
      </w:r>
      <w:r w:rsidR="00A41340" w:rsidRPr="00A41340">
        <w:rPr>
          <w:rFonts w:eastAsia="MS Mincho"/>
        </w:rPr>
        <w:t xml:space="preserve"> </w:t>
      </w:r>
      <w:r w:rsidRPr="00F95EBC">
        <w:rPr>
          <w:rFonts w:eastAsia="MS Mincho"/>
        </w:rPr>
        <w:t xml:space="preserve">The Committee </w:t>
      </w:r>
      <w:r>
        <w:rPr>
          <w:rFonts w:eastAsia="MS Mincho"/>
        </w:rPr>
        <w:t xml:space="preserve">also </w:t>
      </w:r>
      <w:r w:rsidRPr="00F95EBC">
        <w:rPr>
          <w:rFonts w:eastAsia="MS Mincho"/>
        </w:rPr>
        <w:t>notes the author</w:t>
      </w:r>
      <w:r>
        <w:rPr>
          <w:rFonts w:eastAsia="MS Mincho"/>
        </w:rPr>
        <w:t>’s claims that he</w:t>
      </w:r>
      <w:r w:rsidRPr="00F95EBC">
        <w:rPr>
          <w:rFonts w:eastAsia="MS Mincho"/>
        </w:rPr>
        <w:t xml:space="preserve"> reported </w:t>
      </w:r>
      <w:r w:rsidR="00E71EFD">
        <w:rPr>
          <w:rFonts w:eastAsia="MS Mincho"/>
        </w:rPr>
        <w:t xml:space="preserve">having been </w:t>
      </w:r>
      <w:r w:rsidRPr="00F95EBC">
        <w:rPr>
          <w:rFonts w:eastAsia="MS Mincho"/>
        </w:rPr>
        <w:t>torture</w:t>
      </w:r>
      <w:r w:rsidR="00E71EFD">
        <w:rPr>
          <w:rFonts w:eastAsia="MS Mincho"/>
        </w:rPr>
        <w:t>d</w:t>
      </w:r>
      <w:r w:rsidRPr="00F95EBC">
        <w:rPr>
          <w:rFonts w:eastAsia="MS Mincho"/>
        </w:rPr>
        <w:t xml:space="preserve"> </w:t>
      </w:r>
      <w:r>
        <w:rPr>
          <w:rFonts w:eastAsia="MS Mincho"/>
        </w:rPr>
        <w:t>to</w:t>
      </w:r>
      <w:r w:rsidRPr="000E60BF">
        <w:rPr>
          <w:rFonts w:eastAsia="MS Mincho"/>
        </w:rPr>
        <w:t xml:space="preserve"> the </w:t>
      </w:r>
      <w:proofErr w:type="spellStart"/>
      <w:r w:rsidRPr="000E60BF">
        <w:rPr>
          <w:rFonts w:eastAsia="MS Mincho"/>
        </w:rPr>
        <w:t>Rupandehi</w:t>
      </w:r>
      <w:proofErr w:type="spellEnd"/>
      <w:r w:rsidRPr="000E60BF">
        <w:rPr>
          <w:rFonts w:eastAsia="MS Mincho"/>
        </w:rPr>
        <w:t xml:space="preserve"> District Court </w:t>
      </w:r>
      <w:r>
        <w:rPr>
          <w:rFonts w:eastAsia="MS Mincho"/>
        </w:rPr>
        <w:t xml:space="preserve">on two occasions, first </w:t>
      </w:r>
      <w:r w:rsidR="009C3567">
        <w:rPr>
          <w:rFonts w:eastAsia="MS Mincho"/>
        </w:rPr>
        <w:t xml:space="preserve">in person </w:t>
      </w:r>
      <w:r w:rsidR="00AA3778">
        <w:rPr>
          <w:rFonts w:eastAsia="MS Mincho"/>
        </w:rPr>
        <w:t>on 8</w:t>
      </w:r>
      <w:r w:rsidRPr="000E60BF">
        <w:rPr>
          <w:rFonts w:eastAsia="MS Mincho"/>
        </w:rPr>
        <w:t xml:space="preserve"> May 2011</w:t>
      </w:r>
      <w:r w:rsidR="009C3567">
        <w:rPr>
          <w:rFonts w:eastAsia="MS Mincho"/>
        </w:rPr>
        <w:t>. Subsequently,</w:t>
      </w:r>
      <w:r>
        <w:rPr>
          <w:rFonts w:eastAsia="MS Mincho"/>
        </w:rPr>
        <w:t xml:space="preserve"> his mother filed a complaint to the </w:t>
      </w:r>
      <w:r w:rsidR="004F470E">
        <w:rPr>
          <w:rFonts w:eastAsia="MS Mincho"/>
        </w:rPr>
        <w:t xml:space="preserve">court </w:t>
      </w:r>
      <w:r>
        <w:rPr>
          <w:rFonts w:eastAsia="MS Mincho"/>
        </w:rPr>
        <w:t>registrar</w:t>
      </w:r>
      <w:r w:rsidR="009C3567">
        <w:rPr>
          <w:rFonts w:eastAsia="MS Mincho"/>
        </w:rPr>
        <w:t>, acting on the author’s behalf, on 12 December 2012</w:t>
      </w:r>
      <w:r>
        <w:rPr>
          <w:rFonts w:eastAsia="MS Mincho"/>
        </w:rPr>
        <w:t xml:space="preserve">. </w:t>
      </w:r>
      <w:r w:rsidR="009C3567">
        <w:rPr>
          <w:rFonts w:eastAsia="MS Mincho"/>
        </w:rPr>
        <w:t>The Committee</w:t>
      </w:r>
      <w:r w:rsidR="009C3567" w:rsidRPr="00F95EBC">
        <w:rPr>
          <w:rFonts w:eastAsia="MS Mincho"/>
        </w:rPr>
        <w:t xml:space="preserve"> </w:t>
      </w:r>
      <w:r w:rsidRPr="00F95EBC">
        <w:rPr>
          <w:rFonts w:eastAsia="MS Mincho"/>
        </w:rPr>
        <w:t xml:space="preserve">takes </w:t>
      </w:r>
      <w:r>
        <w:rPr>
          <w:rFonts w:eastAsia="MS Mincho"/>
        </w:rPr>
        <w:t>into consideration</w:t>
      </w:r>
      <w:r w:rsidRPr="00F95EBC">
        <w:rPr>
          <w:rFonts w:eastAsia="MS Mincho"/>
        </w:rPr>
        <w:t xml:space="preserve"> </w:t>
      </w:r>
      <w:r w:rsidR="009C3567">
        <w:rPr>
          <w:rFonts w:eastAsia="MS Mincho"/>
        </w:rPr>
        <w:t xml:space="preserve">the fact </w:t>
      </w:r>
      <w:r>
        <w:rPr>
          <w:rFonts w:eastAsia="MS Mincho"/>
        </w:rPr>
        <w:t>that the State party did not challenge the fact that</w:t>
      </w:r>
      <w:r w:rsidRPr="00F95EBC">
        <w:rPr>
          <w:rFonts w:eastAsia="MS Mincho"/>
        </w:rPr>
        <w:t xml:space="preserve"> the author</w:t>
      </w:r>
      <w:r>
        <w:rPr>
          <w:rFonts w:eastAsia="MS Mincho"/>
        </w:rPr>
        <w:t xml:space="preserve">’s mother reported the allegations of torture to the District Court on </w:t>
      </w:r>
      <w:r w:rsidRPr="000F1D4E">
        <w:rPr>
          <w:rFonts w:eastAsia="MS Mincho"/>
        </w:rPr>
        <w:t>12 December 2012</w:t>
      </w:r>
      <w:r w:rsidRPr="00F95EBC">
        <w:rPr>
          <w:rFonts w:eastAsia="MS Mincho"/>
        </w:rPr>
        <w:t xml:space="preserve">. </w:t>
      </w:r>
    </w:p>
    <w:p w14:paraId="646A8ECF" w14:textId="70374EB4" w:rsidR="008F4012" w:rsidRDefault="008F4012" w:rsidP="004E5F3A">
      <w:pPr>
        <w:pStyle w:val="SingleTxtG"/>
        <w:rPr>
          <w:rFonts w:eastAsia="MS Mincho"/>
        </w:rPr>
      </w:pPr>
      <w:r>
        <w:rPr>
          <w:rFonts w:eastAsia="MS Mincho"/>
        </w:rPr>
        <w:t>8.3</w:t>
      </w:r>
      <w:r>
        <w:rPr>
          <w:rFonts w:eastAsia="MS Mincho"/>
        </w:rPr>
        <w:tab/>
      </w:r>
      <w:r w:rsidRPr="00E27B84">
        <w:rPr>
          <w:rFonts w:eastAsia="MS Mincho"/>
        </w:rPr>
        <w:t>The Committee recalls that</w:t>
      </w:r>
      <w:r w:rsidRPr="001C2A82">
        <w:t xml:space="preserve"> </w:t>
      </w:r>
      <w:r w:rsidRPr="001C2A82">
        <w:rPr>
          <w:rFonts w:eastAsia="MS Mincho"/>
        </w:rPr>
        <w:t>article 7</w:t>
      </w:r>
      <w:r w:rsidR="009C3567">
        <w:rPr>
          <w:rFonts w:eastAsia="MS Mincho"/>
        </w:rPr>
        <w:t xml:space="preserve"> of </w:t>
      </w:r>
      <w:r w:rsidR="00841734">
        <w:rPr>
          <w:rFonts w:eastAsia="MS Mincho"/>
        </w:rPr>
        <w:t>the Covenant</w:t>
      </w:r>
      <w:r w:rsidRPr="001C2A82">
        <w:rPr>
          <w:rFonts w:eastAsia="MS Mincho"/>
        </w:rPr>
        <w:t xml:space="preserve"> allows </w:t>
      </w:r>
      <w:r w:rsidR="00841734">
        <w:rPr>
          <w:rFonts w:eastAsia="MS Mincho"/>
        </w:rPr>
        <w:t xml:space="preserve">of </w:t>
      </w:r>
      <w:r w:rsidRPr="001C2A82">
        <w:rPr>
          <w:rFonts w:eastAsia="MS Mincho"/>
        </w:rPr>
        <w:t>no limitation, even in situations of public emergency</w:t>
      </w:r>
      <w:r w:rsidR="00841734">
        <w:rPr>
          <w:rFonts w:eastAsia="MS Mincho"/>
        </w:rPr>
        <w:t>,</w:t>
      </w:r>
      <w:r>
        <w:rPr>
          <w:rStyle w:val="FootnoteReference"/>
          <w:rFonts w:eastAsia="MS Mincho"/>
        </w:rPr>
        <w:footnoteReference w:id="28"/>
      </w:r>
      <w:r>
        <w:rPr>
          <w:rFonts w:eastAsia="MS Mincho"/>
        </w:rPr>
        <w:t xml:space="preserve"> and that</w:t>
      </w:r>
      <w:r w:rsidR="00841734">
        <w:rPr>
          <w:rFonts w:eastAsia="MS Mincho"/>
        </w:rPr>
        <w:t>,</w:t>
      </w:r>
      <w:r w:rsidRPr="00E27B84">
        <w:rPr>
          <w:rFonts w:eastAsia="MS Mincho"/>
        </w:rPr>
        <w:t xml:space="preserve"> once a complaint about ill-treatment contrary to article 7 has been filed, a State party must investigate it promptly and impartially</w:t>
      </w:r>
      <w:r>
        <w:rPr>
          <w:rFonts w:eastAsia="MS Mincho"/>
        </w:rPr>
        <w:t xml:space="preserve">. </w:t>
      </w:r>
      <w:r w:rsidR="00E71EFD">
        <w:rPr>
          <w:rFonts w:eastAsia="MS Mincho"/>
        </w:rPr>
        <w:t>T</w:t>
      </w:r>
      <w:r>
        <w:rPr>
          <w:rFonts w:eastAsia="MS Mincho"/>
        </w:rPr>
        <w: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w:t>
      </w:r>
      <w:r>
        <w:rPr>
          <w:rStyle w:val="FootnoteReference"/>
          <w:rFonts w:eastAsia="MS Mincho"/>
        </w:rPr>
        <w:footnoteReference w:id="29"/>
      </w:r>
      <w:r>
        <w:rPr>
          <w:rFonts w:eastAsia="MS Mincho"/>
        </w:rPr>
        <w:t xml:space="preserve"> </w:t>
      </w:r>
      <w:r w:rsidRPr="000F1D4E">
        <w:rPr>
          <w:rFonts w:eastAsia="MS Mincho"/>
        </w:rPr>
        <w:t>In cases where the allegations are corroborated by credible evidence submitted by the author an</w:t>
      </w:r>
      <w:r>
        <w:rPr>
          <w:rFonts w:eastAsia="MS Mincho"/>
        </w:rPr>
        <w:t xml:space="preserve">d </w:t>
      </w:r>
      <w:r w:rsidRPr="000F1D4E">
        <w:rPr>
          <w:rFonts w:eastAsia="MS Mincho"/>
        </w:rPr>
        <w:t>where further clarification depends on information that is solely in the hands of the State party, the Committee may consider an author</w:t>
      </w:r>
      <w:r w:rsidR="004E5F3A">
        <w:rPr>
          <w:rFonts w:eastAsia="MS Mincho"/>
        </w:rPr>
        <w:t>’</w:t>
      </w:r>
      <w:r w:rsidRPr="000F1D4E">
        <w:rPr>
          <w:rFonts w:eastAsia="MS Mincho"/>
        </w:rPr>
        <w:t xml:space="preserve">s allegations to be substantiated in the absence of satisfactory evidence or explanations to the contrary presented by the State party. </w:t>
      </w:r>
      <w:r>
        <w:rPr>
          <w:rFonts w:eastAsia="MS Mincho"/>
        </w:rPr>
        <w:t>The Committee further recalls that</w:t>
      </w:r>
      <w:r w:rsidR="004E5F3A">
        <w:rPr>
          <w:rFonts w:eastAsia="MS Mincho"/>
        </w:rPr>
        <w:t>,</w:t>
      </w:r>
      <w:r>
        <w:rPr>
          <w:rFonts w:eastAsia="MS Mincho"/>
        </w:rPr>
        <w:t xml:space="preserve"> in</w:t>
      </w:r>
      <w:r w:rsidRPr="000F1D4E">
        <w:rPr>
          <w:rFonts w:eastAsia="MS Mincho"/>
        </w:rPr>
        <w:t xml:space="preserve"> the absence of any convincing explanations from the State party, due weight must be given to the author</w:t>
      </w:r>
      <w:r w:rsidR="004E5F3A">
        <w:rPr>
          <w:rFonts w:eastAsia="MS Mincho"/>
        </w:rPr>
        <w:t>’</w:t>
      </w:r>
      <w:r w:rsidRPr="000F1D4E">
        <w:rPr>
          <w:rFonts w:eastAsia="MS Mincho"/>
        </w:rPr>
        <w:t>s allegations</w:t>
      </w:r>
      <w:r>
        <w:rPr>
          <w:rFonts w:eastAsia="MS Mincho"/>
        </w:rPr>
        <w:t>.</w:t>
      </w:r>
      <w:r>
        <w:rPr>
          <w:rStyle w:val="FootnoteReference"/>
          <w:rFonts w:eastAsia="MS Mincho"/>
        </w:rPr>
        <w:footnoteReference w:id="30"/>
      </w:r>
    </w:p>
    <w:p w14:paraId="335CC0F0" w14:textId="6F8F2015" w:rsidR="00FC1B77" w:rsidRDefault="008F4012" w:rsidP="00847B21">
      <w:pPr>
        <w:pStyle w:val="SingleTxtG"/>
        <w:rPr>
          <w:rFonts w:eastAsia="MS Mincho"/>
        </w:rPr>
      </w:pPr>
      <w:r w:rsidRPr="000F1D4E">
        <w:rPr>
          <w:rFonts w:eastAsia="MS Mincho"/>
        </w:rPr>
        <w:t>8.</w:t>
      </w:r>
      <w:r>
        <w:rPr>
          <w:rFonts w:eastAsia="MS Mincho"/>
        </w:rPr>
        <w:t>4</w:t>
      </w:r>
      <w:r w:rsidRPr="000F1D4E">
        <w:rPr>
          <w:rFonts w:eastAsia="MS Mincho"/>
        </w:rPr>
        <w:tab/>
      </w:r>
      <w:r>
        <w:rPr>
          <w:rFonts w:eastAsia="MS Mincho"/>
        </w:rPr>
        <w:t>A</w:t>
      </w:r>
      <w:r w:rsidRPr="00E27B84">
        <w:rPr>
          <w:rFonts w:eastAsia="MS Mincho"/>
        </w:rPr>
        <w:t>ccording to the material on file</w:t>
      </w:r>
      <w:r>
        <w:rPr>
          <w:rFonts w:eastAsia="MS Mincho"/>
        </w:rPr>
        <w:t>, t</w:t>
      </w:r>
      <w:r w:rsidRPr="00E27B84">
        <w:rPr>
          <w:rFonts w:eastAsia="MS Mincho"/>
        </w:rPr>
        <w:t xml:space="preserve">he Committee </w:t>
      </w:r>
      <w:r>
        <w:rPr>
          <w:rFonts w:eastAsia="MS Mincho"/>
        </w:rPr>
        <w:t>observes</w:t>
      </w:r>
      <w:r w:rsidRPr="00E27B84">
        <w:rPr>
          <w:rFonts w:eastAsia="MS Mincho"/>
        </w:rPr>
        <w:t xml:space="preserve"> that</w:t>
      </w:r>
      <w:r w:rsidR="00836B0E">
        <w:rPr>
          <w:rFonts w:eastAsia="MS Mincho"/>
        </w:rPr>
        <w:t>,</w:t>
      </w:r>
      <w:r>
        <w:rPr>
          <w:rFonts w:eastAsia="MS Mincho"/>
        </w:rPr>
        <w:t xml:space="preserve"> several years after the</w:t>
      </w:r>
      <w:r w:rsidRPr="00E27B84">
        <w:rPr>
          <w:rFonts w:eastAsia="MS Mincho"/>
        </w:rPr>
        <w:t xml:space="preserve"> </w:t>
      </w:r>
      <w:r>
        <w:rPr>
          <w:rFonts w:eastAsia="MS Mincho"/>
        </w:rPr>
        <w:t xml:space="preserve">author </w:t>
      </w:r>
      <w:r w:rsidR="00836B0E">
        <w:rPr>
          <w:rFonts w:eastAsia="MS Mincho"/>
        </w:rPr>
        <w:t xml:space="preserve">made </w:t>
      </w:r>
      <w:r>
        <w:rPr>
          <w:rFonts w:eastAsia="MS Mincho"/>
        </w:rPr>
        <w:t xml:space="preserve">allegations of torture for the first time, </w:t>
      </w:r>
      <w:r w:rsidRPr="00E27B84">
        <w:rPr>
          <w:rFonts w:eastAsia="MS Mincho"/>
        </w:rPr>
        <w:t xml:space="preserve">no investigation </w:t>
      </w:r>
      <w:r w:rsidR="00E71EFD">
        <w:rPr>
          <w:rFonts w:eastAsia="MS Mincho"/>
        </w:rPr>
        <w:t xml:space="preserve">has </w:t>
      </w:r>
      <w:r w:rsidR="00836B0E">
        <w:rPr>
          <w:rFonts w:eastAsia="MS Mincho"/>
        </w:rPr>
        <w:t xml:space="preserve">yet </w:t>
      </w:r>
      <w:r w:rsidR="00E71EFD">
        <w:rPr>
          <w:rFonts w:eastAsia="MS Mincho"/>
        </w:rPr>
        <w:t>been</w:t>
      </w:r>
      <w:r w:rsidR="00E71EFD" w:rsidRPr="00E27B84">
        <w:rPr>
          <w:rFonts w:eastAsia="MS Mincho"/>
        </w:rPr>
        <w:t xml:space="preserve"> </w:t>
      </w:r>
      <w:r w:rsidRPr="00E27B84">
        <w:rPr>
          <w:rFonts w:eastAsia="MS Mincho"/>
        </w:rPr>
        <w:t xml:space="preserve">carried </w:t>
      </w:r>
      <w:r>
        <w:rPr>
          <w:rFonts w:eastAsia="MS Mincho"/>
        </w:rPr>
        <w:t>out by the</w:t>
      </w:r>
      <w:r w:rsidR="00836B0E">
        <w:rPr>
          <w:rFonts w:eastAsia="MS Mincho"/>
        </w:rPr>
        <w:t xml:space="preserve"> authorities of the</w:t>
      </w:r>
      <w:r>
        <w:rPr>
          <w:rFonts w:eastAsia="MS Mincho"/>
        </w:rPr>
        <w:t xml:space="preserve"> State party. </w:t>
      </w:r>
      <w:r w:rsidRPr="00E27B84">
        <w:rPr>
          <w:rFonts w:eastAsia="MS Mincho"/>
        </w:rPr>
        <w:t>The Committee considers that</w:t>
      </w:r>
      <w:r w:rsidR="00836B0E">
        <w:rPr>
          <w:rFonts w:eastAsia="MS Mincho"/>
        </w:rPr>
        <w:t>,</w:t>
      </w:r>
      <w:r w:rsidRPr="00E27B84">
        <w:rPr>
          <w:rFonts w:eastAsia="MS Mincho"/>
        </w:rPr>
        <w:t xml:space="preserve"> in the circumstances of the present case, the State party has failed to demonstrate that its authorities address</w:t>
      </w:r>
      <w:r w:rsidR="00E71EFD">
        <w:rPr>
          <w:rFonts w:eastAsia="MS Mincho"/>
        </w:rPr>
        <w:t>ed</w:t>
      </w:r>
      <w:r w:rsidRPr="00E27B84">
        <w:rPr>
          <w:rFonts w:eastAsia="MS Mincho"/>
        </w:rPr>
        <w:t xml:space="preserve"> the torture allegations </w:t>
      </w:r>
      <w:r w:rsidR="00847B21">
        <w:rPr>
          <w:rFonts w:eastAsia="MS Mincho"/>
        </w:rPr>
        <w:t>brought</w:t>
      </w:r>
      <w:r w:rsidR="00847B21" w:rsidRPr="00E27B84">
        <w:rPr>
          <w:rFonts w:eastAsia="MS Mincho"/>
        </w:rPr>
        <w:t xml:space="preserve"> </w:t>
      </w:r>
      <w:r w:rsidRPr="00E27B84">
        <w:rPr>
          <w:rFonts w:eastAsia="MS Mincho"/>
        </w:rPr>
        <w:t>by the author expeditiously and adequately</w:t>
      </w:r>
      <w:r w:rsidR="009E22A5">
        <w:rPr>
          <w:rFonts w:eastAsia="MS Mincho"/>
        </w:rPr>
        <w:t>.</w:t>
      </w:r>
      <w:r>
        <w:rPr>
          <w:rStyle w:val="FootnoteReference"/>
          <w:rFonts w:eastAsia="MS Mincho"/>
        </w:rPr>
        <w:footnoteReference w:id="31"/>
      </w:r>
      <w:r w:rsidRPr="00E27B84">
        <w:rPr>
          <w:rFonts w:eastAsia="MS Mincho"/>
        </w:rPr>
        <w:t xml:space="preserve"> </w:t>
      </w:r>
      <w:r w:rsidR="00836B0E">
        <w:rPr>
          <w:rFonts w:eastAsia="MS Mincho"/>
        </w:rPr>
        <w:t>T</w:t>
      </w:r>
      <w:r>
        <w:rPr>
          <w:rFonts w:eastAsia="MS Mincho"/>
        </w:rPr>
        <w:t xml:space="preserve">he author </w:t>
      </w:r>
      <w:r w:rsidRPr="006F3D4E">
        <w:rPr>
          <w:rFonts w:eastAsia="MS Mincho"/>
        </w:rPr>
        <w:t xml:space="preserve">has demonstrated that he endeavoured to report his allegations to the </w:t>
      </w:r>
      <w:r w:rsidR="00836B0E">
        <w:rPr>
          <w:rFonts w:eastAsia="MS Mincho"/>
        </w:rPr>
        <w:t xml:space="preserve">authorities of the </w:t>
      </w:r>
      <w:r w:rsidRPr="006F3D4E">
        <w:rPr>
          <w:rFonts w:eastAsia="MS Mincho"/>
        </w:rPr>
        <w:t xml:space="preserve">State party </w:t>
      </w:r>
      <w:r>
        <w:rPr>
          <w:rFonts w:eastAsia="MS Mincho"/>
        </w:rPr>
        <w:t xml:space="preserve">on several occasions by filing complaints to the National Human Rights Commission, the District Court and the Supreme Court. </w:t>
      </w:r>
      <w:r w:rsidRPr="00F95EBC">
        <w:rPr>
          <w:rFonts w:eastAsia="MS Mincho"/>
        </w:rPr>
        <w:t>The Committee considers in particular that</w:t>
      </w:r>
      <w:r w:rsidR="001A567C">
        <w:rPr>
          <w:rFonts w:eastAsia="MS Mincho"/>
        </w:rPr>
        <w:t>,</w:t>
      </w:r>
      <w:r w:rsidRPr="00F95EBC">
        <w:rPr>
          <w:rFonts w:eastAsia="MS Mincho"/>
        </w:rPr>
        <w:t xml:space="preserve"> </w:t>
      </w:r>
      <w:r w:rsidR="004F1944" w:rsidRPr="004F1944">
        <w:rPr>
          <w:rFonts w:eastAsia="MS Mincho"/>
        </w:rPr>
        <w:t>in the absence of any convincing explanations from the State party</w:t>
      </w:r>
      <w:r w:rsidR="004F1944">
        <w:rPr>
          <w:rFonts w:eastAsia="MS Mincho"/>
        </w:rPr>
        <w:t xml:space="preserve"> as concerns the author’s claims, which are supported by the transcript of the court hearing of 8 May 2011</w:t>
      </w:r>
      <w:r w:rsidRPr="00F95EBC">
        <w:rPr>
          <w:rFonts w:eastAsia="MS Mincho"/>
        </w:rPr>
        <w:t>, due weight should be given to the author’s allegations.</w:t>
      </w:r>
      <w:r>
        <w:rPr>
          <w:rFonts w:eastAsia="MS Mincho"/>
        </w:rPr>
        <w:t xml:space="preserve"> </w:t>
      </w:r>
      <w:r w:rsidRPr="004F1B8C">
        <w:rPr>
          <w:rFonts w:eastAsia="MS Mincho"/>
        </w:rPr>
        <w:t xml:space="preserve">In the circumstances of the present case, the Committee </w:t>
      </w:r>
      <w:r>
        <w:rPr>
          <w:rFonts w:eastAsia="MS Mincho"/>
        </w:rPr>
        <w:t xml:space="preserve">therefore </w:t>
      </w:r>
      <w:r w:rsidRPr="004F1B8C">
        <w:rPr>
          <w:rFonts w:eastAsia="MS Mincho"/>
        </w:rPr>
        <w:t xml:space="preserve">concludes that the facts before it </w:t>
      </w:r>
      <w:r w:rsidRPr="004F1B8C">
        <w:rPr>
          <w:rFonts w:eastAsia="MS Mincho"/>
        </w:rPr>
        <w:lastRenderedPageBreak/>
        <w:t xml:space="preserve">disclose a violation of the author’s rights under article 7, read </w:t>
      </w:r>
      <w:r w:rsidR="00833435">
        <w:rPr>
          <w:rFonts w:eastAsia="MS Mincho"/>
        </w:rPr>
        <w:t>alone</w:t>
      </w:r>
      <w:r w:rsidR="00833435" w:rsidRPr="004F1B8C">
        <w:rPr>
          <w:rFonts w:eastAsia="MS Mincho"/>
        </w:rPr>
        <w:t xml:space="preserve"> </w:t>
      </w:r>
      <w:r w:rsidRPr="004F1B8C">
        <w:rPr>
          <w:rFonts w:eastAsia="MS Mincho"/>
        </w:rPr>
        <w:t xml:space="preserve">and in conjunction with article 2 </w:t>
      </w:r>
      <w:r w:rsidR="00AF30F4">
        <w:rPr>
          <w:rFonts w:eastAsia="MS Mincho"/>
        </w:rPr>
        <w:t xml:space="preserve">(3) of </w:t>
      </w:r>
      <w:r w:rsidR="00AF30F4" w:rsidRPr="00AF30F4">
        <w:rPr>
          <w:rFonts w:eastAsia="MS Mincho"/>
        </w:rPr>
        <w:t>the Covenant</w:t>
      </w:r>
      <w:r w:rsidR="00FC1B77">
        <w:rPr>
          <w:rFonts w:eastAsia="MS Mincho"/>
        </w:rPr>
        <w:t>.</w:t>
      </w:r>
    </w:p>
    <w:p w14:paraId="646A8ED1" w14:textId="60CEB1AD" w:rsidR="008F4012" w:rsidRPr="00DF6FB4" w:rsidRDefault="008F4012" w:rsidP="00DF24F0">
      <w:pPr>
        <w:pStyle w:val="SingleTxtG"/>
        <w:rPr>
          <w:rFonts w:eastAsia="MS Mincho"/>
        </w:rPr>
      </w:pPr>
      <w:r w:rsidRPr="00DF6FB4">
        <w:rPr>
          <w:rFonts w:eastAsia="MS Mincho"/>
        </w:rPr>
        <w:t>8.5</w:t>
      </w:r>
      <w:r w:rsidRPr="00DF6FB4">
        <w:rPr>
          <w:rFonts w:eastAsia="MS Mincho"/>
        </w:rPr>
        <w:tab/>
      </w:r>
      <w:r>
        <w:t>T</w:t>
      </w:r>
      <w:r w:rsidRPr="003F7A49">
        <w:t>he Committee notes</w:t>
      </w:r>
      <w:r>
        <w:t>, w</w:t>
      </w:r>
      <w:r w:rsidRPr="000E63F9">
        <w:t xml:space="preserve">ith regard to the </w:t>
      </w:r>
      <w:r w:rsidRPr="00491DDB">
        <w:t>alleged violation of article 9,</w:t>
      </w:r>
      <w:r w:rsidRPr="000E63F9">
        <w:t xml:space="preserve"> </w:t>
      </w:r>
      <w:r>
        <w:t xml:space="preserve">the author’s </w:t>
      </w:r>
      <w:r w:rsidRPr="005D5EB7">
        <w:t xml:space="preserve">claims that </w:t>
      </w:r>
      <w:r>
        <w:t>he was arrested on 7 April 2011</w:t>
      </w:r>
      <w:r w:rsidRPr="005D5EB7">
        <w:t xml:space="preserve"> </w:t>
      </w:r>
      <w:r>
        <w:t xml:space="preserve">without a warrant and without being informed of the reasons </w:t>
      </w:r>
      <w:r w:rsidR="009E22A5">
        <w:t xml:space="preserve">for </w:t>
      </w:r>
      <w:r>
        <w:t xml:space="preserve">his </w:t>
      </w:r>
      <w:r w:rsidRPr="005D5EB7">
        <w:t xml:space="preserve">arrest or </w:t>
      </w:r>
      <w:r>
        <w:t xml:space="preserve">his rights, that he was detained </w:t>
      </w:r>
      <w:r w:rsidRPr="00623B29">
        <w:rPr>
          <w:iCs/>
        </w:rPr>
        <w:t>incommunicado</w:t>
      </w:r>
      <w:r>
        <w:rPr>
          <w:i/>
        </w:rPr>
        <w:t xml:space="preserve"> </w:t>
      </w:r>
      <w:r>
        <w:t xml:space="preserve">until 13 April, his relatives being unaware of his whereabouts, </w:t>
      </w:r>
      <w:r w:rsidRPr="005D5EB7">
        <w:t xml:space="preserve">and </w:t>
      </w:r>
      <w:r w:rsidR="001A567C">
        <w:t xml:space="preserve">that he </w:t>
      </w:r>
      <w:r w:rsidRPr="005D5EB7">
        <w:t>had n</w:t>
      </w:r>
      <w:r>
        <w:t xml:space="preserve">o access to a lawyer or </w:t>
      </w:r>
      <w:r w:rsidRPr="005D5EB7">
        <w:t>to medical assistance</w:t>
      </w:r>
      <w:r>
        <w:t xml:space="preserve">. </w:t>
      </w:r>
      <w:r w:rsidRPr="00A374B5">
        <w:t xml:space="preserve">According to the information on file, the Committee further notes that the author was </w:t>
      </w:r>
      <w:r w:rsidR="00AF30F4">
        <w:t>brought before</w:t>
      </w:r>
      <w:r w:rsidRPr="00A374B5">
        <w:t xml:space="preserve"> a judge </w:t>
      </w:r>
      <w:r w:rsidR="00AA3778">
        <w:t>for the first time on 8</w:t>
      </w:r>
      <w:r w:rsidRPr="00A374B5">
        <w:t xml:space="preserve"> May 2011, one month after his arrest</w:t>
      </w:r>
      <w:r w:rsidR="001A567C">
        <w:t>,</w:t>
      </w:r>
      <w:r>
        <w:t xml:space="preserve"> </w:t>
      </w:r>
      <w:r w:rsidRPr="00A374B5">
        <w:t>and that he claims in this connection that his right to be brought promptly before a judge has b</w:t>
      </w:r>
      <w:r>
        <w:t>een violated by the State party</w:t>
      </w:r>
      <w:r w:rsidRPr="00A374B5">
        <w:t xml:space="preserve">. </w:t>
      </w:r>
      <w:r w:rsidRPr="00C259FA">
        <w:t>In the absence of any pertinent explanations from the State party on the author’s arrest and detention</w:t>
      </w:r>
      <w:r w:rsidR="00AF30F4" w:rsidRPr="00AF30F4">
        <w:rPr>
          <w:vertAlign w:val="superscript"/>
        </w:rPr>
        <w:footnoteReference w:id="32"/>
      </w:r>
      <w:r w:rsidR="00AF30F4" w:rsidRPr="00AF30F4">
        <w:t xml:space="preserve"> </w:t>
      </w:r>
      <w:r w:rsidRPr="00C259FA">
        <w:t xml:space="preserve">from 7 April 2011 to 11 May 2011, the Committee finds a violation of </w:t>
      </w:r>
      <w:r w:rsidR="00AF30F4">
        <w:t xml:space="preserve">the author’s rights under article 9 </w:t>
      </w:r>
      <w:r w:rsidR="0050673C">
        <w:t>(1)–(3)</w:t>
      </w:r>
      <w:r w:rsidR="00AF30F4">
        <w:t xml:space="preserve"> of the Covenant</w:t>
      </w:r>
      <w:r>
        <w:t>.</w:t>
      </w:r>
      <w:r w:rsidRPr="00C259FA">
        <w:t xml:space="preserve"> </w:t>
      </w:r>
    </w:p>
    <w:p w14:paraId="646A8ED2" w14:textId="7E5FD5B2" w:rsidR="008F4012" w:rsidRPr="001B101B" w:rsidRDefault="008F4012" w:rsidP="006D18A1">
      <w:pPr>
        <w:pStyle w:val="SingleTxtG"/>
        <w:rPr>
          <w:rFonts w:eastAsia="MS Mincho"/>
          <w:color w:val="808080" w:themeColor="background1" w:themeShade="80"/>
        </w:rPr>
      </w:pPr>
      <w:r>
        <w:rPr>
          <w:rFonts w:eastAsia="MS Mincho"/>
        </w:rPr>
        <w:t>8.6</w:t>
      </w:r>
      <w:r>
        <w:rPr>
          <w:rFonts w:eastAsia="MS Mincho"/>
        </w:rPr>
        <w:tab/>
        <w:t xml:space="preserve">Regarding </w:t>
      </w:r>
      <w:r w:rsidRPr="00E15306">
        <w:rPr>
          <w:rFonts w:eastAsia="MS Mincho"/>
        </w:rPr>
        <w:t xml:space="preserve">the author’s claims under article </w:t>
      </w:r>
      <w:r>
        <w:rPr>
          <w:rFonts w:eastAsia="MS Mincho"/>
        </w:rPr>
        <w:t xml:space="preserve">10 </w:t>
      </w:r>
      <w:r w:rsidR="00AF30F4">
        <w:rPr>
          <w:rFonts w:eastAsia="MS Mincho"/>
        </w:rPr>
        <w:t>(</w:t>
      </w:r>
      <w:r>
        <w:rPr>
          <w:rFonts w:eastAsia="MS Mincho"/>
        </w:rPr>
        <w:t>1</w:t>
      </w:r>
      <w:r w:rsidR="00AF30F4">
        <w:rPr>
          <w:rFonts w:eastAsia="MS Mincho"/>
        </w:rPr>
        <w:t>)</w:t>
      </w:r>
      <w:r>
        <w:rPr>
          <w:rFonts w:eastAsia="MS Mincho"/>
        </w:rPr>
        <w:t>, t</w:t>
      </w:r>
      <w:r w:rsidRPr="00FB3708">
        <w:rPr>
          <w:rFonts w:eastAsia="MS Mincho"/>
        </w:rPr>
        <w:t>he Committee note</w:t>
      </w:r>
      <w:r>
        <w:rPr>
          <w:rFonts w:eastAsia="MS Mincho"/>
        </w:rPr>
        <w:t>s</w:t>
      </w:r>
      <w:r w:rsidRPr="00FB3708">
        <w:rPr>
          <w:rFonts w:eastAsia="MS Mincho"/>
        </w:rPr>
        <w:t xml:space="preserve"> </w:t>
      </w:r>
      <w:r w:rsidR="00DF24F0">
        <w:rPr>
          <w:rFonts w:eastAsia="MS Mincho"/>
        </w:rPr>
        <w:t>his</w:t>
      </w:r>
      <w:r w:rsidRPr="00FB3708">
        <w:rPr>
          <w:rFonts w:eastAsia="MS Mincho"/>
        </w:rPr>
        <w:t xml:space="preserve"> </w:t>
      </w:r>
      <w:r>
        <w:rPr>
          <w:rFonts w:eastAsia="MS Mincho"/>
        </w:rPr>
        <w:t>submission</w:t>
      </w:r>
      <w:r w:rsidRPr="00FB3708">
        <w:rPr>
          <w:rFonts w:eastAsia="MS Mincho"/>
        </w:rPr>
        <w:t xml:space="preserve"> </w:t>
      </w:r>
      <w:r w:rsidRPr="00932055">
        <w:rPr>
          <w:rFonts w:eastAsia="MS Mincho"/>
        </w:rPr>
        <w:t>that</w:t>
      </w:r>
      <w:r w:rsidRPr="00FB3708">
        <w:rPr>
          <w:rFonts w:eastAsia="MS Mincho"/>
        </w:rPr>
        <w:t xml:space="preserve"> his conditions of detention amounted to </w:t>
      </w:r>
      <w:r>
        <w:rPr>
          <w:rFonts w:eastAsia="MS Mincho"/>
        </w:rPr>
        <w:t xml:space="preserve">cruel, </w:t>
      </w:r>
      <w:r w:rsidRPr="00FB3708">
        <w:rPr>
          <w:rFonts w:eastAsia="MS Mincho"/>
        </w:rPr>
        <w:t>inhuman</w:t>
      </w:r>
      <w:r>
        <w:rPr>
          <w:rFonts w:eastAsia="MS Mincho"/>
        </w:rPr>
        <w:t xml:space="preserve"> and degrading</w:t>
      </w:r>
      <w:r w:rsidRPr="00FB3708">
        <w:rPr>
          <w:rFonts w:eastAsia="MS Mincho"/>
        </w:rPr>
        <w:t xml:space="preserve"> treatment.</w:t>
      </w:r>
      <w:r w:rsidRPr="00D8641E">
        <w:t xml:space="preserve"> </w:t>
      </w:r>
      <w:r w:rsidRPr="00D8641E">
        <w:rPr>
          <w:rFonts w:eastAsia="MS Mincho"/>
        </w:rPr>
        <w:t>In particular, the author alleges that</w:t>
      </w:r>
      <w:r w:rsidR="00DF24F0">
        <w:rPr>
          <w:rFonts w:eastAsia="MS Mincho"/>
        </w:rPr>
        <w:t>,</w:t>
      </w:r>
      <w:r w:rsidRPr="00D8641E">
        <w:rPr>
          <w:rFonts w:eastAsia="MS Mincho"/>
        </w:rPr>
        <w:t xml:space="preserve"> during his incommunicado detention</w:t>
      </w:r>
      <w:r w:rsidR="00DF24F0">
        <w:rPr>
          <w:rFonts w:eastAsia="MS Mincho"/>
        </w:rPr>
        <w:t>,</w:t>
      </w:r>
      <w:r w:rsidRPr="00D8641E">
        <w:rPr>
          <w:rFonts w:eastAsia="MS Mincho"/>
        </w:rPr>
        <w:t xml:space="preserve"> he was kept blindfolded for a prolonged period of time</w:t>
      </w:r>
      <w:r w:rsidR="00AF30F4">
        <w:rPr>
          <w:rFonts w:eastAsia="MS Mincho"/>
        </w:rPr>
        <w:t xml:space="preserve"> and</w:t>
      </w:r>
      <w:r w:rsidRPr="00D8641E">
        <w:rPr>
          <w:rFonts w:eastAsia="MS Mincho"/>
        </w:rPr>
        <w:t xml:space="preserve"> </w:t>
      </w:r>
      <w:r w:rsidR="00DF24F0">
        <w:rPr>
          <w:rFonts w:eastAsia="MS Mincho"/>
        </w:rPr>
        <w:t xml:space="preserve">was </w:t>
      </w:r>
      <w:r w:rsidRPr="00D8641E">
        <w:rPr>
          <w:rFonts w:eastAsia="MS Mincho"/>
        </w:rPr>
        <w:t xml:space="preserve">forced to stand </w:t>
      </w:r>
      <w:r w:rsidR="00DF24F0">
        <w:rPr>
          <w:rFonts w:eastAsia="MS Mincho"/>
        </w:rPr>
        <w:t>continuously</w:t>
      </w:r>
      <w:r w:rsidRPr="00D8641E">
        <w:rPr>
          <w:rFonts w:eastAsia="MS Mincho"/>
        </w:rPr>
        <w:t xml:space="preserve"> for more than 50 hours. He submits that he was not given food for three days and had no access to drinking water for two days. </w:t>
      </w:r>
      <w:r w:rsidR="000341F0">
        <w:rPr>
          <w:rFonts w:eastAsia="MS Mincho"/>
        </w:rPr>
        <w:t>The</w:t>
      </w:r>
      <w:r w:rsidRPr="00D8641E">
        <w:rPr>
          <w:rFonts w:eastAsia="MS Mincho"/>
        </w:rPr>
        <w:t xml:space="preserve"> author claims that, </w:t>
      </w:r>
      <w:r w:rsidR="000341F0">
        <w:rPr>
          <w:rFonts w:eastAsia="MS Mincho"/>
        </w:rPr>
        <w:t>d</w:t>
      </w:r>
      <w:r w:rsidR="000341F0" w:rsidRPr="00D8641E">
        <w:rPr>
          <w:rFonts w:eastAsia="MS Mincho"/>
        </w:rPr>
        <w:t>uring the rest of his detention</w:t>
      </w:r>
      <w:r w:rsidR="000341F0">
        <w:rPr>
          <w:rFonts w:eastAsia="MS Mincho"/>
        </w:rPr>
        <w:t xml:space="preserve"> </w:t>
      </w:r>
      <w:r w:rsidRPr="00D8641E">
        <w:rPr>
          <w:rFonts w:eastAsia="MS Mincho"/>
        </w:rPr>
        <w:t xml:space="preserve">in different facilities, he was detained in overcrowded cells in </w:t>
      </w:r>
      <w:r w:rsidR="006D18A1">
        <w:rPr>
          <w:rFonts w:eastAsia="MS Mincho"/>
        </w:rPr>
        <w:t>deplorable</w:t>
      </w:r>
      <w:r w:rsidR="006D18A1" w:rsidRPr="00D8641E">
        <w:rPr>
          <w:rFonts w:eastAsia="MS Mincho"/>
        </w:rPr>
        <w:t xml:space="preserve"> </w:t>
      </w:r>
      <w:r w:rsidRPr="00D8641E">
        <w:rPr>
          <w:rFonts w:eastAsia="MS Mincho"/>
        </w:rPr>
        <w:t xml:space="preserve">hygienic conditions infested with </w:t>
      </w:r>
      <w:r w:rsidR="00AA3778">
        <w:rPr>
          <w:rFonts w:eastAsia="MS Mincho"/>
        </w:rPr>
        <w:t>bugs</w:t>
      </w:r>
      <w:r w:rsidR="00AA3778" w:rsidRPr="00D8641E">
        <w:rPr>
          <w:rFonts w:eastAsia="MS Mincho"/>
        </w:rPr>
        <w:t xml:space="preserve"> </w:t>
      </w:r>
      <w:r w:rsidRPr="00D8641E">
        <w:rPr>
          <w:rFonts w:eastAsia="MS Mincho"/>
        </w:rPr>
        <w:t>and mosquitoes.</w:t>
      </w:r>
    </w:p>
    <w:p w14:paraId="646A8ED3" w14:textId="0AA2689A" w:rsidR="008F4012" w:rsidRPr="00EB55C4" w:rsidRDefault="008F4012" w:rsidP="000341F0">
      <w:pPr>
        <w:pStyle w:val="SingleTxtG"/>
      </w:pPr>
      <w:r w:rsidRPr="000E63F9">
        <w:rPr>
          <w:rFonts w:eastAsia="MS Mincho"/>
        </w:rPr>
        <w:t>8.7</w:t>
      </w:r>
      <w:r w:rsidRPr="000E63F9">
        <w:rPr>
          <w:rFonts w:eastAsia="MS Mincho"/>
        </w:rPr>
        <w:tab/>
      </w:r>
      <w:r w:rsidR="00AF30F4">
        <w:rPr>
          <w:rFonts w:eastAsia="MS Mincho"/>
        </w:rPr>
        <w:t>T</w:t>
      </w:r>
      <w:r w:rsidRPr="005D1C43">
        <w:rPr>
          <w:rFonts w:eastAsia="MS Mincho"/>
        </w:rPr>
        <w:t>he Committee reiterates that persons deprived of their liberty may not be subjected to any hardship or constraint other than that resulting from the deprivation of liberty, and that they must be treated with humanity and respect for their dignity</w:t>
      </w:r>
      <w:r>
        <w:rPr>
          <w:rFonts w:eastAsia="MS Mincho"/>
        </w:rPr>
        <w:t>.</w:t>
      </w:r>
      <w:r>
        <w:rPr>
          <w:rStyle w:val="FootnoteReference"/>
          <w:rFonts w:eastAsia="MS Mincho"/>
        </w:rPr>
        <w:footnoteReference w:id="33"/>
      </w:r>
      <w:r w:rsidRPr="005D1C43">
        <w:rPr>
          <w:rFonts w:eastAsia="MS Mincho"/>
        </w:rPr>
        <w:t xml:space="preserve"> </w:t>
      </w:r>
      <w:r w:rsidR="00555174">
        <w:rPr>
          <w:rFonts w:eastAsia="MS Mincho"/>
        </w:rPr>
        <w:t xml:space="preserve">It notes that </w:t>
      </w:r>
      <w:r w:rsidR="00555174" w:rsidRPr="00555174">
        <w:rPr>
          <w:rFonts w:eastAsia="MS Mincho"/>
        </w:rPr>
        <w:t>the author demonstrated that he ha</w:t>
      </w:r>
      <w:r w:rsidR="000341F0">
        <w:rPr>
          <w:rFonts w:eastAsia="MS Mincho"/>
        </w:rPr>
        <w:t>d</w:t>
      </w:r>
      <w:r w:rsidR="00555174" w:rsidRPr="00555174">
        <w:rPr>
          <w:rFonts w:eastAsia="MS Mincho"/>
        </w:rPr>
        <w:t xml:space="preserve"> endeavoured to report his allegations to the </w:t>
      </w:r>
      <w:r w:rsidR="000341F0">
        <w:rPr>
          <w:rFonts w:eastAsia="MS Mincho"/>
        </w:rPr>
        <w:t xml:space="preserve">authorities of the </w:t>
      </w:r>
      <w:r w:rsidR="00555174" w:rsidRPr="00555174">
        <w:rPr>
          <w:rFonts w:eastAsia="MS Mincho"/>
        </w:rPr>
        <w:t>State party by filing complaints to the National Human Rights Commission, the District Court and the Supreme Court.</w:t>
      </w:r>
      <w:r w:rsidR="00555174">
        <w:rPr>
          <w:rFonts w:eastAsia="MS Mincho"/>
        </w:rPr>
        <w:t xml:space="preserve"> </w:t>
      </w:r>
      <w:r w:rsidRPr="005D1C43">
        <w:rPr>
          <w:rFonts w:eastAsia="MS Mincho"/>
        </w:rPr>
        <w:t>In the absence of information from the State party concerning the treatment of the author in detention, the Committee gives due weight to the author’s allegations that his conditions of detention at the different detention facilities amounted to ill-treatment</w:t>
      </w:r>
      <w:r>
        <w:rPr>
          <w:rStyle w:val="FootnoteReference"/>
          <w:rFonts w:eastAsia="MS Mincho"/>
        </w:rPr>
        <w:footnoteReference w:id="34"/>
      </w:r>
      <w:r w:rsidRPr="005D1C43">
        <w:rPr>
          <w:rFonts w:eastAsia="MS Mincho"/>
        </w:rPr>
        <w:t xml:space="preserve"> and concludes that his rights under article 10</w:t>
      </w:r>
      <w:r w:rsidR="00295CF5">
        <w:rPr>
          <w:rFonts w:eastAsia="MS Mincho"/>
        </w:rPr>
        <w:t xml:space="preserve"> </w:t>
      </w:r>
      <w:r w:rsidR="00AF30F4">
        <w:rPr>
          <w:rFonts w:eastAsia="MS Mincho"/>
        </w:rPr>
        <w:t>(</w:t>
      </w:r>
      <w:r w:rsidRPr="005D1C43">
        <w:rPr>
          <w:rFonts w:eastAsia="MS Mincho"/>
        </w:rPr>
        <w:t>1</w:t>
      </w:r>
      <w:r w:rsidR="00AF30F4">
        <w:rPr>
          <w:rFonts w:eastAsia="MS Mincho"/>
        </w:rPr>
        <w:t>)</w:t>
      </w:r>
      <w:r w:rsidRPr="005D1C43">
        <w:rPr>
          <w:rFonts w:eastAsia="MS Mincho"/>
        </w:rPr>
        <w:t xml:space="preserve">, </w:t>
      </w:r>
      <w:r>
        <w:rPr>
          <w:rFonts w:eastAsia="MS Mincho"/>
        </w:rPr>
        <w:t xml:space="preserve">read </w:t>
      </w:r>
      <w:r w:rsidR="00AF30F4">
        <w:rPr>
          <w:rFonts w:eastAsia="MS Mincho"/>
        </w:rPr>
        <w:t xml:space="preserve">alone </w:t>
      </w:r>
      <w:r>
        <w:rPr>
          <w:rFonts w:eastAsia="MS Mincho"/>
        </w:rPr>
        <w:t xml:space="preserve">and in conjunction with article 2 </w:t>
      </w:r>
      <w:r w:rsidR="00AF30F4">
        <w:rPr>
          <w:rFonts w:eastAsia="MS Mincho"/>
        </w:rPr>
        <w:t>(</w:t>
      </w:r>
      <w:r>
        <w:rPr>
          <w:rFonts w:eastAsia="MS Mincho"/>
        </w:rPr>
        <w:t>3</w:t>
      </w:r>
      <w:r w:rsidR="00AF30F4">
        <w:rPr>
          <w:rFonts w:eastAsia="MS Mincho"/>
        </w:rPr>
        <w:t>)</w:t>
      </w:r>
      <w:r w:rsidR="006D18A1">
        <w:rPr>
          <w:rFonts w:eastAsia="MS Mincho"/>
        </w:rPr>
        <w:t>,</w:t>
      </w:r>
      <w:r>
        <w:rPr>
          <w:rFonts w:eastAsia="MS Mincho"/>
        </w:rPr>
        <w:t xml:space="preserve"> </w:t>
      </w:r>
      <w:r w:rsidR="00AF30F4">
        <w:rPr>
          <w:rFonts w:eastAsia="MS Mincho"/>
        </w:rPr>
        <w:t>of the Covenant</w:t>
      </w:r>
      <w:r w:rsidR="00295CF5">
        <w:rPr>
          <w:rFonts w:eastAsia="MS Mincho"/>
        </w:rPr>
        <w:t>,</w:t>
      </w:r>
      <w:r w:rsidR="00AF30F4">
        <w:rPr>
          <w:rFonts w:eastAsia="MS Mincho"/>
        </w:rPr>
        <w:t xml:space="preserve"> </w:t>
      </w:r>
      <w:r w:rsidRPr="005D1C43">
        <w:rPr>
          <w:rFonts w:eastAsia="MS Mincho"/>
        </w:rPr>
        <w:t>were violated.</w:t>
      </w:r>
    </w:p>
    <w:p w14:paraId="646A8ED4" w14:textId="1E457BAB" w:rsidR="008F4012" w:rsidRDefault="008F4012" w:rsidP="00F34986">
      <w:pPr>
        <w:pStyle w:val="SingleTxtG"/>
      </w:pPr>
      <w:r w:rsidRPr="003F7A49">
        <w:t>8.8</w:t>
      </w:r>
      <w:r w:rsidRPr="003F7A49">
        <w:tab/>
        <w:t xml:space="preserve">With reference </w:t>
      </w:r>
      <w:r>
        <w:t>to the provisions of article 14</w:t>
      </w:r>
      <w:r w:rsidRPr="003F7A49">
        <w:t xml:space="preserve"> </w:t>
      </w:r>
      <w:r w:rsidR="00AF30F4">
        <w:t>(</w:t>
      </w:r>
      <w:r w:rsidRPr="003F7A49">
        <w:t>3</w:t>
      </w:r>
      <w:r w:rsidR="00AF30F4">
        <w:t>)</w:t>
      </w:r>
      <w:r w:rsidRPr="003F7A49">
        <w:t xml:space="preserve"> (b) of the Covenant, the</w:t>
      </w:r>
      <w:r>
        <w:t xml:space="preserve"> Committee takes note of the</w:t>
      </w:r>
      <w:r w:rsidRPr="003F7A49">
        <w:t xml:space="preserve"> author</w:t>
      </w:r>
      <w:r>
        <w:t>’s</w:t>
      </w:r>
      <w:r w:rsidRPr="003F7A49">
        <w:t xml:space="preserve"> </w:t>
      </w:r>
      <w:r>
        <w:t>submission</w:t>
      </w:r>
      <w:r w:rsidRPr="003F7A49">
        <w:t xml:space="preserve"> that</w:t>
      </w:r>
      <w:r w:rsidR="00555DC0">
        <w:t>,</w:t>
      </w:r>
      <w:r w:rsidRPr="003F7A49">
        <w:t xml:space="preserve"> during the first five days of his detention</w:t>
      </w:r>
      <w:r w:rsidR="00555DC0">
        <w:t>,</w:t>
      </w:r>
      <w:r w:rsidRPr="003F7A49">
        <w:t xml:space="preserve"> he was subjected </w:t>
      </w:r>
      <w:r>
        <w:t>to repeated interrogations</w:t>
      </w:r>
      <w:r w:rsidRPr="003F7A49">
        <w:t xml:space="preserve"> without any legal assistance.</w:t>
      </w:r>
      <w:r>
        <w:t xml:space="preserve"> In that connection, the Committee recalls that, under article 14 of the Covenant, in the determination of any criminal charge, everyone shall be entitled to have adequate time and facilities for the preparation of his </w:t>
      </w:r>
      <w:r w:rsidR="0097488E">
        <w:t xml:space="preserve">or her </w:t>
      </w:r>
      <w:r>
        <w:t xml:space="preserve">defence and to communicate with counsel of his </w:t>
      </w:r>
      <w:r w:rsidR="0097488E">
        <w:t xml:space="preserve">or her </w:t>
      </w:r>
      <w:r>
        <w:t xml:space="preserve">own choosing. In the absence of any submission from the State party about the author’s access to legal </w:t>
      </w:r>
      <w:r w:rsidR="0097488E">
        <w:t xml:space="preserve">assistance </w:t>
      </w:r>
      <w:r>
        <w:t>during the first days of his detention</w:t>
      </w:r>
      <w:r w:rsidR="00F34986">
        <w:t>,</w:t>
      </w:r>
      <w:r>
        <w:t xml:space="preserve"> and taking note of the author’s submission that</w:t>
      </w:r>
      <w:r w:rsidR="00F34986">
        <w:t>,</w:t>
      </w:r>
      <w:r>
        <w:t xml:space="preserve"> as a result</w:t>
      </w:r>
      <w:r w:rsidR="00F34986">
        <w:t>,</w:t>
      </w:r>
      <w:r>
        <w:t xml:space="preserve"> he was not legally represented and therefore was not able to file a formal request </w:t>
      </w:r>
      <w:r w:rsidR="00F34986">
        <w:t xml:space="preserve">for </w:t>
      </w:r>
      <w:r>
        <w:t>medical examination before the District Court, the Committee considers that the author’s rights to prepare his defence and communicate with counsel under article 14</w:t>
      </w:r>
      <w:r w:rsidRPr="007E130F">
        <w:t xml:space="preserve"> </w:t>
      </w:r>
      <w:r w:rsidR="0097488E">
        <w:t>(</w:t>
      </w:r>
      <w:r w:rsidRPr="007E130F">
        <w:t>3</w:t>
      </w:r>
      <w:r w:rsidR="0097488E">
        <w:t>)</w:t>
      </w:r>
      <w:r w:rsidRPr="007E130F">
        <w:t xml:space="preserve"> (b) of the Covenant</w:t>
      </w:r>
      <w:r>
        <w:t xml:space="preserve"> have been violated. </w:t>
      </w:r>
    </w:p>
    <w:p w14:paraId="646A8ED5" w14:textId="304E5FBB" w:rsidR="008F4012" w:rsidRDefault="008F4012" w:rsidP="00F34986">
      <w:pPr>
        <w:pStyle w:val="SingleTxtG"/>
      </w:pPr>
      <w:r>
        <w:t>8.9</w:t>
      </w:r>
      <w:r w:rsidRPr="00C72945">
        <w:tab/>
        <w:t>The author further submits that</w:t>
      </w:r>
      <w:r w:rsidR="00F34986">
        <w:t>,</w:t>
      </w:r>
      <w:r w:rsidRPr="00C72945">
        <w:t xml:space="preserve"> during his arbitrary detention, he was tortured by several police officers and forced to confess </w:t>
      </w:r>
      <w:r w:rsidR="0097488E">
        <w:t>to</w:t>
      </w:r>
      <w:r w:rsidRPr="00C72945">
        <w:t xml:space="preserve"> a crime. That confession, the author claims, was used as a basis for his conviction on 13 June 2012, in violation of his rights under article 14 </w:t>
      </w:r>
      <w:r w:rsidR="0097488E">
        <w:t>(</w:t>
      </w:r>
      <w:r w:rsidRPr="00C72945">
        <w:t>3</w:t>
      </w:r>
      <w:r w:rsidR="0097488E">
        <w:t>)</w:t>
      </w:r>
      <w:r w:rsidRPr="00C72945">
        <w:t xml:space="preserve"> (g).</w:t>
      </w:r>
      <w:r w:rsidRPr="006879E3">
        <w:t xml:space="preserve"> Considering the Committee’s </w:t>
      </w:r>
      <w:r w:rsidR="0097488E">
        <w:t>findings as concerns the</w:t>
      </w:r>
      <w:r w:rsidRPr="006879E3">
        <w:t xml:space="preserve"> violations under article 7 </w:t>
      </w:r>
      <w:r w:rsidR="0097488E">
        <w:t>of the Covenant</w:t>
      </w:r>
      <w:r w:rsidR="00F34986">
        <w:t>,</w:t>
      </w:r>
      <w:r w:rsidR="0097488E">
        <w:t xml:space="preserve"> </w:t>
      </w:r>
      <w:r w:rsidRPr="006879E3">
        <w:t>the State party’s inability or unwillingness to investigate the allegations</w:t>
      </w:r>
      <w:r>
        <w:t xml:space="preserve"> of torture made by the author</w:t>
      </w:r>
      <w:r w:rsidRPr="006879E3">
        <w:t xml:space="preserve"> and the undisputed fact that the author’s confession was retained as evidence and used as a basis for his conviction, the Committee </w:t>
      </w:r>
      <w:r w:rsidRPr="006879E3">
        <w:lastRenderedPageBreak/>
        <w:t xml:space="preserve">considers that the author’s rights under </w:t>
      </w:r>
      <w:r>
        <w:t>article</w:t>
      </w:r>
      <w:r w:rsidRPr="006879E3">
        <w:t xml:space="preserve"> 14 </w:t>
      </w:r>
      <w:r w:rsidR="0097488E">
        <w:t>(</w:t>
      </w:r>
      <w:r w:rsidRPr="006879E3">
        <w:t>3</w:t>
      </w:r>
      <w:r w:rsidR="0097488E">
        <w:t>)</w:t>
      </w:r>
      <w:r w:rsidRPr="006879E3">
        <w:t xml:space="preserve"> (g) of the Covenant </w:t>
      </w:r>
      <w:r>
        <w:t>were</w:t>
      </w:r>
      <w:r w:rsidRPr="006879E3">
        <w:t xml:space="preserve"> violated by the State party</w:t>
      </w:r>
      <w:r>
        <w:t>.</w:t>
      </w:r>
      <w:r>
        <w:rPr>
          <w:rStyle w:val="FootnoteReference"/>
        </w:rPr>
        <w:footnoteReference w:id="35"/>
      </w:r>
    </w:p>
    <w:p w14:paraId="646A8ED6" w14:textId="1A082C7C" w:rsidR="008F4012" w:rsidRDefault="008F4012" w:rsidP="00F6717C">
      <w:pPr>
        <w:pStyle w:val="SingleTxtG"/>
      </w:pPr>
      <w:r>
        <w:t>9.</w:t>
      </w:r>
      <w:r w:rsidRPr="00982E5E">
        <w:tab/>
        <w:t xml:space="preserve">The Committee, acting under article 5 (4) of the Optional Protocol, is of the view that the facts before it disclose a violation </w:t>
      </w:r>
      <w:r w:rsidR="004654C8">
        <w:t>by the State party of</w:t>
      </w:r>
      <w:r w:rsidRPr="00982E5E">
        <w:t xml:space="preserve"> article</w:t>
      </w:r>
      <w:r>
        <w:t>s</w:t>
      </w:r>
      <w:r w:rsidRPr="00982E5E">
        <w:t xml:space="preserve"> 7 </w:t>
      </w:r>
      <w:r>
        <w:t xml:space="preserve">and 10 </w:t>
      </w:r>
      <w:r w:rsidR="0097488E">
        <w:t>(</w:t>
      </w:r>
      <w:r>
        <w:t>1</w:t>
      </w:r>
      <w:r w:rsidR="0097488E">
        <w:t>),</w:t>
      </w:r>
      <w:r>
        <w:t xml:space="preserve"> </w:t>
      </w:r>
      <w:r w:rsidRPr="00982E5E">
        <w:t xml:space="preserve">read </w:t>
      </w:r>
      <w:r w:rsidR="0097488E">
        <w:t>alone</w:t>
      </w:r>
      <w:r w:rsidR="0097488E" w:rsidRPr="00982E5E">
        <w:t xml:space="preserve"> </w:t>
      </w:r>
      <w:r w:rsidRPr="00982E5E">
        <w:t>and in</w:t>
      </w:r>
      <w:r>
        <w:t xml:space="preserve"> conjunction with article 2 </w:t>
      </w:r>
      <w:r w:rsidR="0097488E">
        <w:t>(</w:t>
      </w:r>
      <w:r>
        <w:t>3</w:t>
      </w:r>
      <w:r w:rsidR="0097488E">
        <w:t>)</w:t>
      </w:r>
      <w:r w:rsidRPr="00982E5E">
        <w:t>,</w:t>
      </w:r>
      <w:r w:rsidR="00F6717C">
        <w:t xml:space="preserve"> and under articles</w:t>
      </w:r>
      <w:r w:rsidRPr="00982E5E">
        <w:t xml:space="preserve"> 9 </w:t>
      </w:r>
      <w:r w:rsidR="0050673C">
        <w:t>(1)–(3)</w:t>
      </w:r>
      <w:r w:rsidRPr="00982E5E">
        <w:t xml:space="preserve"> and 14 </w:t>
      </w:r>
      <w:r w:rsidR="0097488E">
        <w:t>(</w:t>
      </w:r>
      <w:r>
        <w:t>3</w:t>
      </w:r>
      <w:r w:rsidR="0097488E">
        <w:t>)</w:t>
      </w:r>
      <w:r>
        <w:t xml:space="preserve"> (b)</w:t>
      </w:r>
      <w:r w:rsidRPr="00982E5E">
        <w:t xml:space="preserve"> </w:t>
      </w:r>
      <w:r>
        <w:t xml:space="preserve">and </w:t>
      </w:r>
      <w:r w:rsidRPr="00982E5E">
        <w:t>(g) of the Covenant.</w:t>
      </w:r>
      <w:r w:rsidR="00492431" w:rsidRPr="00492431">
        <w:rPr>
          <w:vertAlign w:val="superscript"/>
        </w:rPr>
        <w:footnoteReference w:id="36"/>
      </w:r>
    </w:p>
    <w:p w14:paraId="646A8ED7" w14:textId="5C864C14" w:rsidR="006F0FEF" w:rsidRDefault="008F4012" w:rsidP="009D120A">
      <w:pPr>
        <w:pStyle w:val="SingleTxtG"/>
      </w:pPr>
      <w:r w:rsidRPr="007F6487">
        <w:t>10.</w:t>
      </w:r>
      <w:r w:rsidRPr="007F6487">
        <w:tab/>
        <w:t xml:space="preserve">In accordance with </w:t>
      </w:r>
      <w:r w:rsidRPr="00932055">
        <w:t>article</w:t>
      </w:r>
      <w:r w:rsidRPr="007F6487">
        <w:t xml:space="preserve"> 2 (3) (a) of the Covenant, the State party is under an obligation to provide </w:t>
      </w:r>
      <w:r w:rsidR="004654C8">
        <w:t>individuals whose Covenant rights have been violated</w:t>
      </w:r>
      <w:r w:rsidRPr="007F6487">
        <w:t xml:space="preserve"> with an effective remedy</w:t>
      </w:r>
      <w:r w:rsidR="004654C8">
        <w:t xml:space="preserve"> in the form of</w:t>
      </w:r>
      <w:r w:rsidRPr="007F6487">
        <w:t xml:space="preserve"> full reparation. Accordingly, the State party is obligated</w:t>
      </w:r>
      <w:r w:rsidR="004654C8">
        <w:t xml:space="preserve"> to</w:t>
      </w:r>
      <w:r w:rsidRPr="007F6487">
        <w:t xml:space="preserve">, </w:t>
      </w:r>
      <w:r w:rsidRPr="00623B29">
        <w:rPr>
          <w:iCs/>
        </w:rPr>
        <w:t>inter alia</w:t>
      </w:r>
      <w:r w:rsidRPr="007F6487">
        <w:t>: (a) conduct a thorough and effective investigation into the author’s allegations of torture</w:t>
      </w:r>
      <w:r w:rsidR="008D121C">
        <w:t xml:space="preserve"> and </w:t>
      </w:r>
      <w:r w:rsidR="0062528C" w:rsidRPr="0062528C">
        <w:t>provide the author with detailed information about the results of its investigation; (</w:t>
      </w:r>
      <w:r w:rsidR="008D121C">
        <w:t>b</w:t>
      </w:r>
      <w:r w:rsidR="0062528C" w:rsidRPr="0062528C">
        <w:t xml:space="preserve">) prosecute, try and punish those responsible for the violations committed and make the results of such measures public; </w:t>
      </w:r>
      <w:r w:rsidRPr="007F6487">
        <w:t>(</w:t>
      </w:r>
      <w:r w:rsidR="008D121C">
        <w:t>c</w:t>
      </w:r>
      <w:r w:rsidRPr="007F6487">
        <w:t>)</w:t>
      </w:r>
      <w:r w:rsidR="004654C8">
        <w:t xml:space="preserve"> </w:t>
      </w:r>
      <w:r w:rsidR="008D121C">
        <w:t>expunge the author’s criminal record as connected to the present complaint</w:t>
      </w:r>
      <w:r w:rsidRPr="007F6487">
        <w:t>; (</w:t>
      </w:r>
      <w:r w:rsidR="008D121C">
        <w:t>d</w:t>
      </w:r>
      <w:r w:rsidRPr="007F6487">
        <w:t xml:space="preserve">) </w:t>
      </w:r>
      <w:r w:rsidR="0062528C" w:rsidRPr="0062528C">
        <w:t>ensure that any necessary and adequate psychological rehabilitation and medical treatment are made available to the author</w:t>
      </w:r>
      <w:r w:rsidR="004654C8">
        <w:t>;</w:t>
      </w:r>
      <w:r w:rsidR="0062528C" w:rsidRPr="0062528C">
        <w:t xml:space="preserve"> </w:t>
      </w:r>
      <w:r w:rsidR="0062528C">
        <w:t>and (</w:t>
      </w:r>
      <w:r w:rsidR="004654C8">
        <w:t>e</w:t>
      </w:r>
      <w:r w:rsidR="0062528C">
        <w:t>)</w:t>
      </w:r>
      <w:r w:rsidR="008D121C">
        <w:t xml:space="preserve"> </w:t>
      </w:r>
      <w:r w:rsidR="0062528C" w:rsidRPr="0062528C">
        <w:t xml:space="preserve">provide </w:t>
      </w:r>
      <w:r w:rsidR="005F5239">
        <w:rPr>
          <w:rFonts w:eastAsia="MS Mincho"/>
          <w:lang w:val="en-US"/>
        </w:rPr>
        <w:t xml:space="preserve">the author with </w:t>
      </w:r>
      <w:r w:rsidR="0062528C" w:rsidRPr="0062528C">
        <w:t>compensation and appropriate measures of satisfaction for the violations suffered</w:t>
      </w:r>
      <w:r w:rsidR="008D121C">
        <w:t>, including a public apology</w:t>
      </w:r>
      <w:r w:rsidR="0062528C" w:rsidRPr="0062528C">
        <w:t xml:space="preserve">. </w:t>
      </w:r>
      <w:r w:rsidRPr="007F6487">
        <w:t xml:space="preserve">The State party is also under an obligation to take all </w:t>
      </w:r>
      <w:r w:rsidR="009D120A" w:rsidRPr="007F6487">
        <w:t xml:space="preserve">steps </w:t>
      </w:r>
      <w:r w:rsidRPr="007F6487">
        <w:t>necessary to prevent similar violations</w:t>
      </w:r>
      <w:r w:rsidR="009D120A">
        <w:t xml:space="preserve"> from occurring</w:t>
      </w:r>
      <w:r w:rsidRPr="007F6487">
        <w:t xml:space="preserve"> in the future.</w:t>
      </w:r>
      <w:r w:rsidR="008D121C" w:rsidRPr="008D121C">
        <w:rPr>
          <w:sz w:val="18"/>
          <w:vertAlign w:val="superscript"/>
        </w:rPr>
        <w:t xml:space="preserve"> </w:t>
      </w:r>
      <w:r w:rsidRPr="001B101B">
        <w:t>In particular, the State party should ensure that its legislation criminalize</w:t>
      </w:r>
      <w:r w:rsidR="0097488E">
        <w:t>s</w:t>
      </w:r>
      <w:r w:rsidRPr="001B101B">
        <w:t xml:space="preserve"> torture and enforced disappearance and provide</w:t>
      </w:r>
      <w:r w:rsidR="0097488E">
        <w:t>s</w:t>
      </w:r>
      <w:r w:rsidRPr="001B101B">
        <w:t xml:space="preserve"> for appropriate sanctions and remedies commensurate with the gravity of the crimes</w:t>
      </w:r>
      <w:r w:rsidR="005D4E84">
        <w:t>;</w:t>
      </w:r>
      <w:r w:rsidRPr="001B101B">
        <w:t xml:space="preserve"> guarantee</w:t>
      </w:r>
      <w:r w:rsidR="009D120A">
        <w:t>s</w:t>
      </w:r>
      <w:r w:rsidRPr="001B101B">
        <w:t xml:space="preserve"> that </w:t>
      </w:r>
      <w:r w:rsidR="009D120A">
        <w:t xml:space="preserve">any </w:t>
      </w:r>
      <w:r w:rsidRPr="001B101B">
        <w:t xml:space="preserve">such cases </w:t>
      </w:r>
      <w:r w:rsidR="009D120A">
        <w:t xml:space="preserve">shall </w:t>
      </w:r>
      <w:r w:rsidRPr="001B101B">
        <w:t>give rise to a prompt, impartial and effective investigation</w:t>
      </w:r>
      <w:r>
        <w:t>;</w:t>
      </w:r>
      <w:r w:rsidR="006F0FEF">
        <w:t> </w:t>
      </w:r>
      <w:r w:rsidRPr="001B101B">
        <w:t>allow</w:t>
      </w:r>
      <w:r w:rsidR="009D120A">
        <w:t>s</w:t>
      </w:r>
      <w:r w:rsidRPr="001B101B">
        <w:t xml:space="preserve"> for the criminal prosecution of those responsible for such crimes; and amend</w:t>
      </w:r>
      <w:r w:rsidR="009D120A">
        <w:t>s</w:t>
      </w:r>
      <w:r w:rsidRPr="001B101B">
        <w:t xml:space="preserve"> the 35</w:t>
      </w:r>
      <w:r w:rsidR="00042E0C">
        <w:t>-day</w:t>
      </w:r>
      <w:r w:rsidRPr="001B101B">
        <w:t xml:space="preserve"> statutory limit for claiming compensation for torture</w:t>
      </w:r>
      <w:r w:rsidR="009D120A">
        <w:t>,</w:t>
      </w:r>
      <w:r w:rsidRPr="001B101B">
        <w:t xml:space="preserve"> in accorda</w:t>
      </w:r>
      <w:r w:rsidR="00A838C2">
        <w:t>nce with international standards.</w:t>
      </w:r>
    </w:p>
    <w:p w14:paraId="646A8ED8" w14:textId="272189A3" w:rsidR="00442A83" w:rsidRDefault="008F4012" w:rsidP="00C51C35">
      <w:pPr>
        <w:pStyle w:val="SingleTxtG"/>
        <w:rPr>
          <w:rFonts w:eastAsia="MS Mincho"/>
        </w:rPr>
      </w:pPr>
      <w:r>
        <w:t>11</w:t>
      </w:r>
      <w:r w:rsidRPr="00982E5E">
        <w:t>.</w:t>
      </w:r>
      <w:r w:rsidRPr="00982E5E">
        <w:tab/>
      </w:r>
      <w:r w:rsidR="009C0EB2" w:rsidRPr="009C0EB2">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w:t>
      </w:r>
      <w:r w:rsidR="00C51C35">
        <w:t xml:space="preserve">to have them widely </w:t>
      </w:r>
      <w:r w:rsidR="009C0EB2" w:rsidRPr="009C0EB2">
        <w:t>disseminate</w:t>
      </w:r>
      <w:r w:rsidR="00C51C35">
        <w:t>d</w:t>
      </w:r>
      <w:r w:rsidR="009C0EB2" w:rsidRPr="009C0EB2">
        <w:t xml:space="preserve"> in the official language of the State party</w:t>
      </w:r>
      <w:r w:rsidR="009C0EB2">
        <w:t xml:space="preserve">. </w:t>
      </w:r>
    </w:p>
    <w:p w14:paraId="646A8ED9" w14:textId="77777777" w:rsidR="008F4012" w:rsidRPr="008F4012" w:rsidRDefault="008F4012" w:rsidP="008F4012">
      <w:pPr>
        <w:pStyle w:val="SingleTxtG"/>
        <w:spacing w:before="240" w:after="0"/>
        <w:jc w:val="center"/>
        <w:rPr>
          <w:rFonts w:eastAsia="Calibri"/>
          <w:u w:val="single"/>
        </w:rPr>
      </w:pPr>
      <w:r>
        <w:rPr>
          <w:rFonts w:eastAsia="MS Mincho"/>
          <w:u w:val="single"/>
        </w:rPr>
        <w:tab/>
      </w:r>
      <w:r>
        <w:rPr>
          <w:rFonts w:eastAsia="MS Mincho"/>
          <w:u w:val="single"/>
        </w:rPr>
        <w:tab/>
      </w:r>
      <w:r>
        <w:rPr>
          <w:rFonts w:eastAsia="MS Mincho"/>
          <w:u w:val="single"/>
        </w:rPr>
        <w:tab/>
      </w:r>
      <w:r w:rsidR="00A838C2">
        <w:rPr>
          <w:rFonts w:eastAsia="MS Mincho"/>
          <w:u w:val="single"/>
        </w:rPr>
        <w:tab/>
      </w:r>
    </w:p>
    <w:sectPr w:rsidR="008F4012" w:rsidRPr="008F4012" w:rsidSect="008F401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44AC" w14:textId="77777777" w:rsidR="008708A0" w:rsidRDefault="008708A0"/>
  </w:endnote>
  <w:endnote w:type="continuationSeparator" w:id="0">
    <w:p w14:paraId="4FB60645" w14:textId="77777777" w:rsidR="008708A0" w:rsidRDefault="008708A0"/>
  </w:endnote>
  <w:endnote w:type="continuationNotice" w:id="1">
    <w:p w14:paraId="57E946DF" w14:textId="77777777" w:rsidR="008708A0" w:rsidRDefault="0087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EE4" w14:textId="39CB6EDA" w:rsidR="00186CAF" w:rsidRPr="008F4012" w:rsidRDefault="00186CAF" w:rsidP="008F4012">
    <w:pPr>
      <w:pStyle w:val="Footer"/>
      <w:tabs>
        <w:tab w:val="right" w:pos="9638"/>
      </w:tabs>
      <w:rPr>
        <w:sz w:val="18"/>
      </w:rPr>
    </w:pPr>
    <w:r w:rsidRPr="008F4012">
      <w:rPr>
        <w:b/>
        <w:sz w:val="18"/>
      </w:rPr>
      <w:fldChar w:fldCharType="begin"/>
    </w:r>
    <w:r w:rsidRPr="008F4012">
      <w:rPr>
        <w:b/>
        <w:sz w:val="18"/>
      </w:rPr>
      <w:instrText xml:space="preserve"> PAGE  \* MERGEFORMAT </w:instrText>
    </w:r>
    <w:r w:rsidRPr="008F4012">
      <w:rPr>
        <w:b/>
        <w:sz w:val="18"/>
      </w:rPr>
      <w:fldChar w:fldCharType="separate"/>
    </w:r>
    <w:r w:rsidR="00172857">
      <w:rPr>
        <w:b/>
        <w:noProof/>
        <w:sz w:val="18"/>
      </w:rPr>
      <w:t>12</w:t>
    </w:r>
    <w:r w:rsidRPr="008F40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EE5" w14:textId="77AF4970" w:rsidR="00186CAF" w:rsidRPr="008F4012" w:rsidRDefault="00186CAF" w:rsidP="008F4012">
    <w:pPr>
      <w:pStyle w:val="Footer"/>
      <w:tabs>
        <w:tab w:val="right" w:pos="9638"/>
      </w:tabs>
      <w:rPr>
        <w:b/>
        <w:sz w:val="18"/>
      </w:rPr>
    </w:pPr>
    <w:r>
      <w:tab/>
    </w:r>
    <w:r w:rsidRPr="008F4012">
      <w:rPr>
        <w:b/>
        <w:sz w:val="18"/>
      </w:rPr>
      <w:fldChar w:fldCharType="begin"/>
    </w:r>
    <w:r w:rsidRPr="008F4012">
      <w:rPr>
        <w:b/>
        <w:sz w:val="18"/>
      </w:rPr>
      <w:instrText xml:space="preserve"> PAGE  \* MERGEFORMAT </w:instrText>
    </w:r>
    <w:r w:rsidRPr="008F4012">
      <w:rPr>
        <w:b/>
        <w:sz w:val="18"/>
      </w:rPr>
      <w:fldChar w:fldCharType="separate"/>
    </w:r>
    <w:r w:rsidR="00172857">
      <w:rPr>
        <w:b/>
        <w:noProof/>
        <w:sz w:val="18"/>
      </w:rPr>
      <w:t>11</w:t>
    </w:r>
    <w:r w:rsidRPr="008F40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EE6" w14:textId="55CB2CEB" w:rsidR="00186CAF" w:rsidRDefault="00732481" w:rsidP="0030591F">
    <w:pPr>
      <w:pStyle w:val="Footer"/>
    </w:pPr>
    <w:r>
      <w:rPr>
        <w:noProof/>
        <w:lang w:eastAsia="zh-CN"/>
      </w:rPr>
      <w:drawing>
        <wp:anchor distT="0" distB="0" distL="114300" distR="114300" simplePos="0" relativeHeight="251659264" behindDoc="1" locked="1" layoutInCell="1" allowOverlap="1" wp14:anchorId="6E872782" wp14:editId="520394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C7B734" w14:textId="64E9549B" w:rsidR="00732481" w:rsidRDefault="00732481" w:rsidP="00732481">
    <w:r>
      <w:t>GE.18-20526(E)</w:t>
    </w:r>
  </w:p>
  <w:p w14:paraId="665FAFBF" w14:textId="7D89F641" w:rsidR="00732481" w:rsidRPr="00732481" w:rsidRDefault="00732481" w:rsidP="007324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10688FA" wp14:editId="4E73411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4/D/241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41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4075" w14:textId="77777777" w:rsidR="008708A0" w:rsidRPr="000B175B" w:rsidRDefault="008708A0" w:rsidP="000B175B">
      <w:pPr>
        <w:tabs>
          <w:tab w:val="right" w:pos="2155"/>
        </w:tabs>
        <w:spacing w:after="80"/>
        <w:ind w:left="680"/>
        <w:rPr>
          <w:u w:val="single"/>
        </w:rPr>
      </w:pPr>
      <w:r>
        <w:rPr>
          <w:u w:val="single"/>
        </w:rPr>
        <w:tab/>
      </w:r>
    </w:p>
  </w:footnote>
  <w:footnote w:type="continuationSeparator" w:id="0">
    <w:p w14:paraId="232CC085" w14:textId="77777777" w:rsidR="008708A0" w:rsidRPr="00FC68B7" w:rsidRDefault="008708A0" w:rsidP="00FC68B7">
      <w:pPr>
        <w:tabs>
          <w:tab w:val="left" w:pos="2155"/>
        </w:tabs>
        <w:spacing w:after="80"/>
        <w:ind w:left="680"/>
        <w:rPr>
          <w:u w:val="single"/>
        </w:rPr>
      </w:pPr>
      <w:r>
        <w:rPr>
          <w:u w:val="single"/>
        </w:rPr>
        <w:tab/>
      </w:r>
    </w:p>
  </w:footnote>
  <w:footnote w:type="continuationNotice" w:id="1">
    <w:p w14:paraId="3641753F" w14:textId="77777777" w:rsidR="008708A0" w:rsidRDefault="008708A0"/>
  </w:footnote>
  <w:footnote w:id="2">
    <w:p w14:paraId="26300092" w14:textId="1F9B9A30" w:rsidR="00186CAF" w:rsidRPr="0061656D" w:rsidRDefault="00186CAF">
      <w:pPr>
        <w:pStyle w:val="FootnoteText"/>
      </w:pPr>
      <w:r w:rsidRPr="00623B29">
        <w:rPr>
          <w:rStyle w:val="FootnoteReference"/>
          <w:vertAlign w:val="baseline"/>
        </w:rPr>
        <w:tab/>
        <w:t>*</w:t>
      </w:r>
      <w:r w:rsidRPr="00623B29">
        <w:rPr>
          <w:rStyle w:val="FootnoteReference"/>
          <w:vertAlign w:val="baseline"/>
        </w:rPr>
        <w:tab/>
      </w:r>
      <w:r w:rsidRPr="00623B29">
        <w:t>Adopted by the Committee at its 124th session (8 October–2 November 2018).</w:t>
      </w:r>
    </w:p>
  </w:footnote>
  <w:footnote w:id="3">
    <w:p w14:paraId="0E787B48" w14:textId="0606E51B" w:rsidR="00186CAF" w:rsidRPr="0061656D" w:rsidRDefault="00186CAF">
      <w:pPr>
        <w:pStyle w:val="FootnoteText"/>
      </w:pPr>
      <w:r w:rsidRPr="00623B29">
        <w:rPr>
          <w:rStyle w:val="FootnoteReference"/>
          <w:vertAlign w:val="baseline"/>
        </w:rPr>
        <w:tab/>
        <w:t>**</w:t>
      </w:r>
      <w:r w:rsidRPr="00623B29">
        <w:rPr>
          <w:rStyle w:val="FootnoteReference"/>
          <w:vertAlign w:val="baseline"/>
        </w:rPr>
        <w:tab/>
      </w:r>
      <w:r w:rsidRPr="00623B29">
        <w:t xml:space="preserve">The following members of the Committee participated in the examination of the communication: Tania </w:t>
      </w:r>
      <w:proofErr w:type="spellStart"/>
      <w:r w:rsidRPr="00623B29">
        <w:t>María</w:t>
      </w:r>
      <w:proofErr w:type="spellEnd"/>
      <w:r w:rsidRPr="00623B29">
        <w:t xml:space="preserve"> </w:t>
      </w:r>
      <w:proofErr w:type="spellStart"/>
      <w:r w:rsidRPr="00623B29">
        <w:t>Abdo</w:t>
      </w:r>
      <w:proofErr w:type="spellEnd"/>
      <w:r w:rsidRPr="00623B29">
        <w:t xml:space="preserve"> </w:t>
      </w:r>
      <w:proofErr w:type="spellStart"/>
      <w:r w:rsidRPr="00623B29">
        <w:t>Rocholl</w:t>
      </w:r>
      <w:proofErr w:type="spellEnd"/>
      <w:r w:rsidRPr="00623B29">
        <w:t xml:space="preserve">, </w:t>
      </w:r>
      <w:proofErr w:type="spellStart"/>
      <w:r w:rsidRPr="00623B29">
        <w:t>Ilze</w:t>
      </w:r>
      <w:proofErr w:type="spellEnd"/>
      <w:r w:rsidRPr="00623B29">
        <w:t xml:space="preserve"> Brands </w:t>
      </w:r>
      <w:proofErr w:type="spellStart"/>
      <w:r w:rsidRPr="00623B29">
        <w:t>Kehris</w:t>
      </w:r>
      <w:proofErr w:type="spellEnd"/>
      <w:r w:rsidRPr="00623B29">
        <w:t xml:space="preserve">, Sarah Cleveland, Ahmed Amin </w:t>
      </w:r>
      <w:proofErr w:type="spellStart"/>
      <w:r w:rsidRPr="00623B29">
        <w:t>Fathalla</w:t>
      </w:r>
      <w:proofErr w:type="spellEnd"/>
      <w:r w:rsidRPr="00623B29">
        <w:t xml:space="preserve">, Olivier de </w:t>
      </w:r>
      <w:proofErr w:type="spellStart"/>
      <w:r w:rsidRPr="00623B29">
        <w:t>Frouville</w:t>
      </w:r>
      <w:proofErr w:type="spellEnd"/>
      <w:r w:rsidRPr="00623B29">
        <w:t xml:space="preserve">, </w:t>
      </w:r>
      <w:proofErr w:type="spellStart"/>
      <w:r w:rsidRPr="00623B29">
        <w:t>Christof</w:t>
      </w:r>
      <w:proofErr w:type="spellEnd"/>
      <w:r w:rsidRPr="00623B29">
        <w:t xml:space="preserve"> </w:t>
      </w:r>
      <w:proofErr w:type="spellStart"/>
      <w:r w:rsidRPr="00623B29">
        <w:t>Heyns</w:t>
      </w:r>
      <w:proofErr w:type="spellEnd"/>
      <w:r w:rsidRPr="00623B29">
        <w:t xml:space="preserve">, </w:t>
      </w:r>
      <w:proofErr w:type="spellStart"/>
      <w:r w:rsidRPr="00623B29">
        <w:t>Bamariam</w:t>
      </w:r>
      <w:proofErr w:type="spellEnd"/>
      <w:r w:rsidRPr="00623B29">
        <w:t xml:space="preserve"> </w:t>
      </w:r>
      <w:proofErr w:type="spellStart"/>
      <w:r w:rsidRPr="00623B29">
        <w:t>Koita</w:t>
      </w:r>
      <w:proofErr w:type="spellEnd"/>
      <w:r w:rsidRPr="00623B29">
        <w:t xml:space="preserve">, Marcia </w:t>
      </w:r>
      <w:r>
        <w:t xml:space="preserve">V.J. </w:t>
      </w:r>
      <w:proofErr w:type="spellStart"/>
      <w:r w:rsidRPr="00623B29">
        <w:t>Kran</w:t>
      </w:r>
      <w:proofErr w:type="spellEnd"/>
      <w:r w:rsidRPr="00623B29">
        <w:t xml:space="preserve">, Duncan </w:t>
      </w:r>
      <w:proofErr w:type="spellStart"/>
      <w:r w:rsidRPr="00623B29">
        <w:t>Laki</w:t>
      </w:r>
      <w:proofErr w:type="spellEnd"/>
      <w:r w:rsidRPr="00623B29">
        <w:t xml:space="preserve"> </w:t>
      </w:r>
      <w:proofErr w:type="spellStart"/>
      <w:r w:rsidRPr="00623B29">
        <w:t>Muhumuza</w:t>
      </w:r>
      <w:proofErr w:type="spellEnd"/>
      <w:r w:rsidRPr="00623B29">
        <w:t>, Mauro </w:t>
      </w:r>
      <w:proofErr w:type="spellStart"/>
      <w:r w:rsidRPr="00623B29">
        <w:t>Politi</w:t>
      </w:r>
      <w:proofErr w:type="spellEnd"/>
      <w:r w:rsidRPr="00623B29">
        <w:t xml:space="preserve">, José Manuel Santos </w:t>
      </w:r>
      <w:proofErr w:type="spellStart"/>
      <w:r w:rsidRPr="00623B29">
        <w:t>Pais</w:t>
      </w:r>
      <w:proofErr w:type="spellEnd"/>
      <w:r w:rsidRPr="00623B29">
        <w:t xml:space="preserve">, Yuval </w:t>
      </w:r>
      <w:proofErr w:type="spellStart"/>
      <w:r w:rsidRPr="00623B29">
        <w:t>Shany</w:t>
      </w:r>
      <w:proofErr w:type="spellEnd"/>
      <w:r w:rsidRPr="00623B29">
        <w:t xml:space="preserve">, Margo </w:t>
      </w:r>
      <w:proofErr w:type="spellStart"/>
      <w:r w:rsidRPr="00623B29">
        <w:t>Waterval</w:t>
      </w:r>
      <w:proofErr w:type="spellEnd"/>
      <w:r w:rsidRPr="00623B29">
        <w:t xml:space="preserve"> and Andreas Zimmermann</w:t>
      </w:r>
      <w:r>
        <w:t>.</w:t>
      </w:r>
    </w:p>
  </w:footnote>
  <w:footnote w:id="4">
    <w:p w14:paraId="08E549B3" w14:textId="2F76E081" w:rsidR="00186CAF" w:rsidRDefault="00186CAF" w:rsidP="00FC1B77">
      <w:pPr>
        <w:pStyle w:val="FootnoteText"/>
      </w:pPr>
      <w:r>
        <w:tab/>
      </w:r>
      <w:r>
        <w:rPr>
          <w:rStyle w:val="FootnoteReference"/>
        </w:rPr>
        <w:footnoteRef/>
      </w:r>
      <w:r>
        <w:tab/>
      </w:r>
      <w:r w:rsidRPr="006B5F21">
        <w:t xml:space="preserve">The author </w:t>
      </w:r>
      <w:r>
        <w:t>refers to</w:t>
      </w:r>
      <w:r w:rsidRPr="006B5F21">
        <w:t xml:space="preserve"> an unofficial translation of the </w:t>
      </w:r>
      <w:proofErr w:type="spellStart"/>
      <w:r w:rsidRPr="006B5F21">
        <w:t>Rupandehi</w:t>
      </w:r>
      <w:proofErr w:type="spellEnd"/>
      <w:r w:rsidRPr="006B5F21">
        <w:t xml:space="preserve"> District Court hearing on 8 May 2011</w:t>
      </w:r>
      <w:r>
        <w:t>,</w:t>
      </w:r>
      <w:r w:rsidRPr="006B5F21">
        <w:t xml:space="preserve"> </w:t>
      </w:r>
      <w:r>
        <w:t xml:space="preserve">according to which </w:t>
      </w:r>
      <w:r w:rsidRPr="006B5F21">
        <w:t>he claimed during this court proceeding</w:t>
      </w:r>
      <w:r>
        <w:t xml:space="preserve"> to have been subjected to</w:t>
      </w:r>
      <w:r w:rsidRPr="006B5F21">
        <w:t xml:space="preserve"> torture</w:t>
      </w:r>
      <w:r>
        <w:t>.</w:t>
      </w:r>
    </w:p>
  </w:footnote>
  <w:footnote w:id="5">
    <w:p w14:paraId="4CFA2207" w14:textId="5C6C5833" w:rsidR="00186CAF" w:rsidRDefault="00186CAF">
      <w:pPr>
        <w:pStyle w:val="FootnoteText"/>
      </w:pPr>
      <w:r>
        <w:tab/>
      </w:r>
      <w:r>
        <w:rPr>
          <w:rStyle w:val="FootnoteReference"/>
        </w:rPr>
        <w:footnoteRef/>
      </w:r>
      <w:r>
        <w:tab/>
      </w:r>
      <w:r w:rsidRPr="00E71EFD">
        <w:t>The author attac</w:t>
      </w:r>
      <w:r>
        <w:t>hes a medical certificate from</w:t>
      </w:r>
      <w:r w:rsidRPr="00E71EFD">
        <w:t xml:space="preserve"> the Univers</w:t>
      </w:r>
      <w:r>
        <w:t xml:space="preserve">al College of Medical Sciences, in which his </w:t>
      </w:r>
      <w:r w:rsidRPr="00E71EFD">
        <w:t xml:space="preserve">state of anxiousness and </w:t>
      </w:r>
      <w:r>
        <w:t>his</w:t>
      </w:r>
      <w:r w:rsidRPr="00E71EFD">
        <w:t xml:space="preserve"> post-traumatic symptoms</w:t>
      </w:r>
      <w:r w:rsidR="00416016">
        <w:t xml:space="preserve"> as described</w:t>
      </w:r>
      <w:r w:rsidRPr="00E71EFD">
        <w:t xml:space="preserve"> relate to the torture he was subjected to while he was in detention. </w:t>
      </w:r>
    </w:p>
  </w:footnote>
  <w:footnote w:id="6">
    <w:p w14:paraId="646A8EF5" w14:textId="32A8A18E" w:rsidR="00186CAF" w:rsidRPr="00CF7899" w:rsidRDefault="00186CAF" w:rsidP="00AB4C4B">
      <w:pPr>
        <w:pStyle w:val="FootnoteText"/>
      </w:pPr>
      <w:r>
        <w:tab/>
      </w:r>
      <w:r w:rsidRPr="00CF7899">
        <w:rPr>
          <w:rStyle w:val="FootnoteReference"/>
        </w:rPr>
        <w:footnoteRef/>
      </w:r>
      <w:r w:rsidRPr="00FC1B77">
        <w:rPr>
          <w:rStyle w:val="FootnoteReference"/>
          <w:vertAlign w:val="baseline"/>
        </w:rPr>
        <w:tab/>
      </w:r>
      <w:r w:rsidRPr="00CF7899">
        <w:t>Under the Compensation</w:t>
      </w:r>
      <w:r>
        <w:t xml:space="preserve"> relating to Torture</w:t>
      </w:r>
      <w:r w:rsidRPr="00CF7899">
        <w:t xml:space="preserve"> Act</w:t>
      </w:r>
      <w:r>
        <w:t>, 1996</w:t>
      </w:r>
      <w:r w:rsidRPr="00CF7899">
        <w:t xml:space="preserve">. </w:t>
      </w:r>
    </w:p>
  </w:footnote>
  <w:footnote w:id="7">
    <w:p w14:paraId="6A5B953C" w14:textId="0D44558E" w:rsidR="00186CAF" w:rsidRDefault="00186CAF" w:rsidP="00FC1B77">
      <w:pPr>
        <w:pStyle w:val="FootnoteText"/>
      </w:pPr>
      <w:r>
        <w:tab/>
      </w:r>
      <w:r>
        <w:rPr>
          <w:rStyle w:val="FootnoteReference"/>
        </w:rPr>
        <w:footnoteRef/>
      </w:r>
      <w:r>
        <w:tab/>
        <w:t xml:space="preserve">The author refers to </w:t>
      </w:r>
      <w:proofErr w:type="spellStart"/>
      <w:r w:rsidRPr="00623B29">
        <w:rPr>
          <w:i/>
          <w:iCs/>
        </w:rPr>
        <w:t>Maharjan</w:t>
      </w:r>
      <w:proofErr w:type="spellEnd"/>
      <w:r w:rsidRPr="00623B29">
        <w:rPr>
          <w:i/>
          <w:iCs/>
        </w:rPr>
        <w:t xml:space="preserve"> v. Nepal</w:t>
      </w:r>
      <w:r>
        <w:t xml:space="preserve"> (</w:t>
      </w:r>
      <w:r w:rsidRPr="003B27B1">
        <w:t>CCPR/C/105/D/1863/2009</w:t>
      </w:r>
      <w:r>
        <w:t xml:space="preserve">), para 7.6, and </w:t>
      </w:r>
      <w:proofErr w:type="spellStart"/>
      <w:r w:rsidRPr="00623B29">
        <w:rPr>
          <w:i/>
          <w:iCs/>
        </w:rPr>
        <w:t>Giri</w:t>
      </w:r>
      <w:proofErr w:type="spellEnd"/>
      <w:r w:rsidRPr="00623B29">
        <w:rPr>
          <w:i/>
          <w:iCs/>
        </w:rPr>
        <w:t xml:space="preserve"> v. Nepal</w:t>
      </w:r>
      <w:r>
        <w:t xml:space="preserve"> (</w:t>
      </w:r>
      <w:r w:rsidRPr="00825E0A">
        <w:t>CCPR/C/101/D/1761/2008</w:t>
      </w:r>
      <w:r w:rsidR="00416016">
        <w:t xml:space="preserve"> and Corr.1</w:t>
      </w:r>
      <w:r>
        <w:t>), para. 6.3.</w:t>
      </w:r>
    </w:p>
  </w:footnote>
  <w:footnote w:id="8">
    <w:p w14:paraId="1AB32DB2" w14:textId="0E46D3C8" w:rsidR="00186CAF" w:rsidRDefault="00186CAF" w:rsidP="00FC1B77">
      <w:pPr>
        <w:pStyle w:val="FootnoteText"/>
      </w:pPr>
      <w:r>
        <w:tab/>
      </w:r>
      <w:r>
        <w:rPr>
          <w:rStyle w:val="FootnoteReference"/>
        </w:rPr>
        <w:footnoteRef/>
      </w:r>
      <w:r>
        <w:tab/>
        <w:t xml:space="preserve">The author refers to </w:t>
      </w:r>
      <w:proofErr w:type="spellStart"/>
      <w:r w:rsidRPr="00623B29">
        <w:rPr>
          <w:i/>
          <w:iCs/>
        </w:rPr>
        <w:t>Giri</w:t>
      </w:r>
      <w:proofErr w:type="spellEnd"/>
      <w:r w:rsidRPr="00623B29">
        <w:rPr>
          <w:i/>
          <w:iCs/>
        </w:rPr>
        <w:t xml:space="preserve"> v. Nepal</w:t>
      </w:r>
      <w:r>
        <w:t>, para 6.3.</w:t>
      </w:r>
    </w:p>
  </w:footnote>
  <w:footnote w:id="9">
    <w:p w14:paraId="646A8EF6" w14:textId="68795220" w:rsidR="00186CAF" w:rsidRPr="00CF7899" w:rsidRDefault="00186CAF" w:rsidP="009644B8">
      <w:pPr>
        <w:pStyle w:val="FootnoteText"/>
      </w:pPr>
      <w:r>
        <w:tab/>
      </w:r>
      <w:r w:rsidRPr="00CF7899">
        <w:rPr>
          <w:rStyle w:val="FootnoteReference"/>
        </w:rPr>
        <w:footnoteRef/>
      </w:r>
      <w:r w:rsidRPr="00CF7899">
        <w:rPr>
          <w:rStyle w:val="FootnoteReference"/>
        </w:rPr>
        <w:tab/>
      </w:r>
      <w:r w:rsidRPr="00CF7899">
        <w:t xml:space="preserve">The author refers to </w:t>
      </w:r>
      <w:proofErr w:type="spellStart"/>
      <w:r w:rsidRPr="00623B29">
        <w:rPr>
          <w:i/>
          <w:iCs/>
        </w:rPr>
        <w:t>Aboufaied</w:t>
      </w:r>
      <w:proofErr w:type="spellEnd"/>
      <w:r w:rsidRPr="00623B29">
        <w:rPr>
          <w:i/>
          <w:iCs/>
        </w:rPr>
        <w:t xml:space="preserve"> v. </w:t>
      </w:r>
      <w:proofErr w:type="spellStart"/>
      <w:r w:rsidRPr="00623B29">
        <w:rPr>
          <w:i/>
          <w:iCs/>
          <w:lang w:val="es-ES"/>
        </w:rPr>
        <w:t>Libya</w:t>
      </w:r>
      <w:proofErr w:type="spellEnd"/>
      <w:r w:rsidRPr="00623B29">
        <w:rPr>
          <w:lang w:val="es-ES"/>
        </w:rPr>
        <w:t xml:space="preserve"> (CCPR/C/104/D/1782/2008), para. </w:t>
      </w:r>
      <w:r w:rsidRPr="00CF7899">
        <w:t xml:space="preserve">6.2. </w:t>
      </w:r>
    </w:p>
  </w:footnote>
  <w:footnote w:id="10">
    <w:p w14:paraId="646A8EF7" w14:textId="2A446862" w:rsidR="00186CAF" w:rsidRPr="00B529D3" w:rsidRDefault="00186CAF" w:rsidP="00993C01">
      <w:pPr>
        <w:pStyle w:val="FootnoteText"/>
      </w:pPr>
      <w:r>
        <w:rPr>
          <w:szCs w:val="18"/>
        </w:rPr>
        <w:tab/>
      </w:r>
      <w:r w:rsidRPr="00320CBF">
        <w:rPr>
          <w:rStyle w:val="FootnoteReference"/>
          <w:szCs w:val="18"/>
        </w:rPr>
        <w:footnoteRef/>
      </w:r>
      <w:r>
        <w:rPr>
          <w:szCs w:val="18"/>
        </w:rPr>
        <w:tab/>
      </w:r>
      <w:r w:rsidR="00993C01">
        <w:rPr>
          <w:szCs w:val="18"/>
        </w:rPr>
        <w:t>“</w:t>
      </w:r>
      <w:r w:rsidR="00993C01" w:rsidRPr="004D22AC">
        <w:rPr>
          <w:iCs/>
          <w:szCs w:val="18"/>
        </w:rPr>
        <w:t>Report on Nepal adopted by the Committee against Torture under article 20 of the Convention and comments and observations by the State party</w:t>
      </w:r>
      <w:r w:rsidR="00993C01">
        <w:rPr>
          <w:iCs/>
          <w:szCs w:val="18"/>
        </w:rPr>
        <w:t>”</w:t>
      </w:r>
      <w:r w:rsidR="00983181">
        <w:rPr>
          <w:szCs w:val="18"/>
        </w:rPr>
        <w:t xml:space="preserve"> </w:t>
      </w:r>
      <w:r>
        <w:rPr>
          <w:szCs w:val="18"/>
        </w:rPr>
        <w:t>(</w:t>
      </w:r>
      <w:r w:rsidRPr="00320CBF">
        <w:rPr>
          <w:szCs w:val="18"/>
        </w:rPr>
        <w:t>A/67/44, Annex XI</w:t>
      </w:r>
      <w:r>
        <w:rPr>
          <w:szCs w:val="18"/>
        </w:rPr>
        <w:t>I</w:t>
      </w:r>
      <w:r w:rsidRPr="00320CBF">
        <w:rPr>
          <w:szCs w:val="18"/>
        </w:rPr>
        <w:t>I</w:t>
      </w:r>
      <w:r w:rsidR="00993C01">
        <w:rPr>
          <w:szCs w:val="18"/>
        </w:rPr>
        <w:t>)</w:t>
      </w:r>
      <w:r w:rsidRPr="00320CBF">
        <w:rPr>
          <w:szCs w:val="18"/>
        </w:rPr>
        <w:t>.</w:t>
      </w:r>
      <w:r w:rsidRPr="00B529D3">
        <w:t xml:space="preserve"> </w:t>
      </w:r>
    </w:p>
  </w:footnote>
  <w:footnote w:id="11">
    <w:p w14:paraId="646A8EFD" w14:textId="1D655291" w:rsidR="00186CAF" w:rsidRPr="00CA2B9E" w:rsidRDefault="00186CAF" w:rsidP="008F4012">
      <w:pPr>
        <w:pStyle w:val="FootnoteText"/>
      </w:pPr>
      <w:r>
        <w:tab/>
      </w:r>
      <w:r w:rsidRPr="00CA2B9E">
        <w:rPr>
          <w:rStyle w:val="FootnoteReference"/>
        </w:rPr>
        <w:footnoteRef/>
      </w:r>
      <w:r>
        <w:tab/>
      </w:r>
      <w:r w:rsidRPr="00CA2B9E">
        <w:t>State Cases Act</w:t>
      </w:r>
      <w:r>
        <w:t>,</w:t>
      </w:r>
      <w:r w:rsidRPr="00CA2B9E">
        <w:t xml:space="preserve"> 1992. </w:t>
      </w:r>
    </w:p>
  </w:footnote>
  <w:footnote w:id="12">
    <w:p w14:paraId="646A8EFF" w14:textId="531D4BC8" w:rsidR="00186CAF" w:rsidRPr="00CA2B9E" w:rsidRDefault="00186CAF" w:rsidP="00CB57E0">
      <w:pPr>
        <w:pStyle w:val="FootnoteText"/>
      </w:pPr>
      <w:r>
        <w:tab/>
      </w:r>
      <w:r w:rsidRPr="00CA2B9E">
        <w:rPr>
          <w:rStyle w:val="FootnoteReference"/>
        </w:rPr>
        <w:footnoteRef/>
      </w:r>
      <w:r>
        <w:tab/>
        <w:t>Interim Constitution of Nepal</w:t>
      </w:r>
      <w:r w:rsidR="00B51B94">
        <w:t>,</w:t>
      </w:r>
      <w:r>
        <w:t xml:space="preserve"> </w:t>
      </w:r>
      <w:r>
        <w:rPr>
          <w:rFonts w:eastAsia="Calibri"/>
        </w:rPr>
        <w:t xml:space="preserve">2063 (2007), </w:t>
      </w:r>
      <w:r>
        <w:t>arts.</w:t>
      </w:r>
      <w:r w:rsidRPr="00CA2B9E">
        <w:t xml:space="preserve"> 12 (1), 13(2), 24 and 100. </w:t>
      </w:r>
    </w:p>
  </w:footnote>
  <w:footnote w:id="13">
    <w:p w14:paraId="646A8F00" w14:textId="55C89A3E" w:rsidR="00186CAF" w:rsidRPr="00CA2B9E" w:rsidRDefault="00186CAF" w:rsidP="008F4012">
      <w:pPr>
        <w:pStyle w:val="FootnoteText"/>
      </w:pPr>
      <w:r>
        <w:tab/>
      </w:r>
      <w:r w:rsidRPr="00CA2B9E">
        <w:rPr>
          <w:rStyle w:val="FootnoteReference"/>
        </w:rPr>
        <w:footnoteRef/>
      </w:r>
      <w:r>
        <w:tab/>
      </w:r>
      <w:r w:rsidRPr="00CA2B9E">
        <w:t xml:space="preserve">Under section 9 (2) (a) </w:t>
      </w:r>
      <w:r>
        <w:t>(</w:t>
      </w:r>
      <w:r w:rsidRPr="00CA2B9E">
        <w:t>ii) of the Evidence Act</w:t>
      </w:r>
      <w:r>
        <w:t>,</w:t>
      </w:r>
      <w:r w:rsidRPr="00CA2B9E">
        <w:t xml:space="preserve"> 1974.</w:t>
      </w:r>
    </w:p>
  </w:footnote>
  <w:footnote w:id="14">
    <w:p w14:paraId="646A8F03" w14:textId="2E63CDDA" w:rsidR="00186CAF" w:rsidRPr="00CA2B9E" w:rsidRDefault="00186CAF" w:rsidP="00F52BFE">
      <w:pPr>
        <w:pStyle w:val="FootnoteText"/>
      </w:pPr>
      <w:r>
        <w:tab/>
      </w:r>
      <w:r w:rsidRPr="00CA2B9E">
        <w:rPr>
          <w:rStyle w:val="FootnoteReference"/>
        </w:rPr>
        <w:footnoteRef/>
      </w:r>
      <w:r w:rsidRPr="00FC1B77">
        <w:rPr>
          <w:rStyle w:val="FootnoteReference"/>
          <w:vertAlign w:val="baseline"/>
        </w:rPr>
        <w:tab/>
      </w:r>
      <w:r w:rsidRPr="005565EB">
        <w:t xml:space="preserve">The author refers to </w:t>
      </w:r>
      <w:proofErr w:type="spellStart"/>
      <w:r w:rsidRPr="005565EB">
        <w:rPr>
          <w:i/>
        </w:rPr>
        <w:t>Giri</w:t>
      </w:r>
      <w:proofErr w:type="spellEnd"/>
      <w:r w:rsidRPr="005565EB">
        <w:rPr>
          <w:i/>
        </w:rPr>
        <w:t xml:space="preserve"> v. Nepal</w:t>
      </w:r>
      <w:r w:rsidRPr="005565EB">
        <w:t>, para. 7.4.</w:t>
      </w:r>
      <w:r w:rsidRPr="00CA2B9E">
        <w:t xml:space="preserve"> </w:t>
      </w:r>
    </w:p>
  </w:footnote>
  <w:footnote w:id="15">
    <w:p w14:paraId="646A8F04" w14:textId="45DCE17D" w:rsidR="00186CAF" w:rsidRPr="00CA2B9E" w:rsidRDefault="00186CAF" w:rsidP="005C2E40">
      <w:pPr>
        <w:pStyle w:val="FootnoteText"/>
      </w:pPr>
      <w:r>
        <w:tab/>
      </w:r>
      <w:r w:rsidRPr="00CA2B9E">
        <w:rPr>
          <w:rStyle w:val="FootnoteReference"/>
        </w:rPr>
        <w:footnoteRef/>
      </w:r>
      <w:r>
        <w:tab/>
      </w:r>
      <w:r w:rsidRPr="00CA2B9E">
        <w:t xml:space="preserve">The author refers to </w:t>
      </w:r>
      <w:proofErr w:type="spellStart"/>
      <w:r w:rsidRPr="00AF1403">
        <w:rPr>
          <w:i/>
        </w:rPr>
        <w:t>Giri</w:t>
      </w:r>
      <w:proofErr w:type="spellEnd"/>
      <w:r w:rsidRPr="00AF1403">
        <w:rPr>
          <w:i/>
        </w:rPr>
        <w:t xml:space="preserve"> v. Nepal</w:t>
      </w:r>
      <w:r w:rsidRPr="00CA2B9E">
        <w:t>, para</w:t>
      </w:r>
      <w:r>
        <w:t>s</w:t>
      </w:r>
      <w:r w:rsidRPr="00CA2B9E">
        <w:t xml:space="preserve">. 7.2 </w:t>
      </w:r>
      <w:proofErr w:type="gramStart"/>
      <w:r w:rsidRPr="00CA2B9E">
        <w:t>and</w:t>
      </w:r>
      <w:proofErr w:type="gramEnd"/>
      <w:r w:rsidRPr="00CA2B9E">
        <w:t xml:space="preserve"> 7.6</w:t>
      </w:r>
      <w:r>
        <w:t>,</w:t>
      </w:r>
      <w:r w:rsidRPr="00CA2B9E">
        <w:t xml:space="preserve"> as well as</w:t>
      </w:r>
      <w:r>
        <w:t xml:space="preserve"> to</w:t>
      </w:r>
      <w:r w:rsidRPr="00CA2B9E">
        <w:t xml:space="preserve"> </w:t>
      </w:r>
      <w:proofErr w:type="spellStart"/>
      <w:r w:rsidRPr="00AF1403">
        <w:rPr>
          <w:i/>
        </w:rPr>
        <w:t>Khoroshenko</w:t>
      </w:r>
      <w:proofErr w:type="spellEnd"/>
      <w:r w:rsidRPr="00AF1403">
        <w:rPr>
          <w:i/>
        </w:rPr>
        <w:t xml:space="preserve"> v. Russia</w:t>
      </w:r>
      <w:r>
        <w:rPr>
          <w:i/>
        </w:rPr>
        <w:t>n Federation</w:t>
      </w:r>
      <w:r w:rsidRPr="00CA2B9E">
        <w:t xml:space="preserve"> (CCPR/C/101/D/1304/2004)</w:t>
      </w:r>
      <w:r w:rsidR="006310FC">
        <w:t>,</w:t>
      </w:r>
      <w:r w:rsidRPr="00CA2B9E">
        <w:t xml:space="preserve"> paras. 9.4 </w:t>
      </w:r>
      <w:proofErr w:type="gramStart"/>
      <w:r w:rsidRPr="00CA2B9E">
        <w:t>and</w:t>
      </w:r>
      <w:proofErr w:type="gramEnd"/>
      <w:r w:rsidRPr="00CA2B9E">
        <w:t xml:space="preserve"> 9.5. </w:t>
      </w:r>
    </w:p>
  </w:footnote>
  <w:footnote w:id="16">
    <w:p w14:paraId="646A8F05" w14:textId="6ED00E98" w:rsidR="00186CAF" w:rsidRPr="00CA2B9E" w:rsidRDefault="00186CAF" w:rsidP="005C2E40">
      <w:pPr>
        <w:pStyle w:val="FootnoteText"/>
      </w:pPr>
      <w:r>
        <w:tab/>
      </w:r>
      <w:r w:rsidRPr="00CA2B9E">
        <w:rPr>
          <w:rStyle w:val="FootnoteReference"/>
        </w:rPr>
        <w:footnoteRef/>
      </w:r>
      <w:r>
        <w:tab/>
        <w:t>In</w:t>
      </w:r>
      <w:r w:rsidRPr="00CA2B9E">
        <w:t xml:space="preserve"> </w:t>
      </w:r>
      <w:r>
        <w:t>his</w:t>
      </w:r>
      <w:r w:rsidRPr="00CA2B9E">
        <w:t xml:space="preserve"> initial communication,</w:t>
      </w:r>
      <w:r>
        <w:t xml:space="preserve"> the author</w:t>
      </w:r>
      <w:r w:rsidRPr="00CA2B9E">
        <w:t xml:space="preserve"> attache</w:t>
      </w:r>
      <w:r>
        <w:t>d</w:t>
      </w:r>
      <w:r w:rsidRPr="00CA2B9E">
        <w:t xml:space="preserve"> as an annex an unofficial translation of the </w:t>
      </w:r>
      <w:r>
        <w:t xml:space="preserve">transcript of the </w:t>
      </w:r>
      <w:proofErr w:type="spellStart"/>
      <w:r w:rsidRPr="00CA2B9E">
        <w:t>Rupandehi</w:t>
      </w:r>
      <w:proofErr w:type="spellEnd"/>
      <w:r w:rsidRPr="00CA2B9E">
        <w:t xml:space="preserve"> District Court hearing on 8 May 2011</w:t>
      </w:r>
      <w:r>
        <w:t>,</w:t>
      </w:r>
      <w:r w:rsidRPr="00CA2B9E">
        <w:t xml:space="preserve"> </w:t>
      </w:r>
      <w:r>
        <w:t>according to which</w:t>
      </w:r>
      <w:r w:rsidRPr="00CA2B9E">
        <w:t xml:space="preserve"> he claimed</w:t>
      </w:r>
      <w:r>
        <w:t xml:space="preserve"> that he had been tortured and forced to sign a confession.</w:t>
      </w:r>
      <w:r w:rsidRPr="00CA2B9E">
        <w:t xml:space="preserve"> </w:t>
      </w:r>
    </w:p>
  </w:footnote>
  <w:footnote w:id="17">
    <w:p w14:paraId="646A8F06" w14:textId="5434CB88" w:rsidR="00186CAF" w:rsidRPr="00F4431F" w:rsidRDefault="00186CAF" w:rsidP="008F4012">
      <w:pPr>
        <w:pStyle w:val="FootnoteText"/>
      </w:pPr>
      <w:r>
        <w:tab/>
      </w:r>
      <w:r w:rsidRPr="00CA2B9E">
        <w:rPr>
          <w:rStyle w:val="FootnoteReference"/>
        </w:rPr>
        <w:footnoteRef/>
      </w:r>
      <w:r w:rsidRPr="00623B29">
        <w:rPr>
          <w:lang w:val="en-US"/>
        </w:rPr>
        <w:tab/>
      </w:r>
      <w:proofErr w:type="spellStart"/>
      <w:r w:rsidRPr="00623B29">
        <w:rPr>
          <w:i/>
          <w:lang w:val="en-US"/>
        </w:rPr>
        <w:t>Maharajan</w:t>
      </w:r>
      <w:proofErr w:type="spellEnd"/>
      <w:r w:rsidRPr="00623B29">
        <w:rPr>
          <w:i/>
          <w:lang w:val="en-US"/>
        </w:rPr>
        <w:t xml:space="preserve"> v. Nepal</w:t>
      </w:r>
      <w:r w:rsidRPr="00623B29">
        <w:rPr>
          <w:lang w:val="en-US"/>
        </w:rPr>
        <w:t xml:space="preserve">, para. </w:t>
      </w:r>
      <w:r w:rsidRPr="005C2E40">
        <w:t>7.6.</w:t>
      </w:r>
    </w:p>
  </w:footnote>
  <w:footnote w:id="18">
    <w:p w14:paraId="646A8F07" w14:textId="08710BDB" w:rsidR="00186CAF" w:rsidRPr="00932055" w:rsidRDefault="00186CAF" w:rsidP="008618C9">
      <w:pPr>
        <w:pStyle w:val="FootnoteText"/>
      </w:pPr>
      <w:r>
        <w:tab/>
      </w:r>
      <w:r w:rsidRPr="00932055">
        <w:rPr>
          <w:rStyle w:val="FootnoteReference"/>
        </w:rPr>
        <w:footnoteRef/>
      </w:r>
      <w:r w:rsidRPr="00932055">
        <w:tab/>
      </w:r>
      <w:r w:rsidR="00271A28">
        <w:rPr>
          <w:szCs w:val="18"/>
        </w:rPr>
        <w:t>“</w:t>
      </w:r>
      <w:r w:rsidR="00271A28" w:rsidRPr="004D22AC">
        <w:rPr>
          <w:iCs/>
          <w:szCs w:val="18"/>
        </w:rPr>
        <w:t>Report on Nepal adopted by the Committee against Torture under article 20 of the Convention and comments and observations by the State party</w:t>
      </w:r>
      <w:r w:rsidR="00271A28">
        <w:rPr>
          <w:iCs/>
          <w:szCs w:val="18"/>
        </w:rPr>
        <w:t>”</w:t>
      </w:r>
      <w:r w:rsidR="00271A28">
        <w:rPr>
          <w:szCs w:val="18"/>
        </w:rPr>
        <w:t xml:space="preserve"> (</w:t>
      </w:r>
      <w:r w:rsidR="00271A28" w:rsidRPr="00320CBF">
        <w:rPr>
          <w:szCs w:val="18"/>
        </w:rPr>
        <w:t>A/67/44, Annex XI</w:t>
      </w:r>
      <w:r w:rsidR="00271A28">
        <w:rPr>
          <w:szCs w:val="18"/>
        </w:rPr>
        <w:t>I</w:t>
      </w:r>
      <w:r w:rsidR="00271A28" w:rsidRPr="00320CBF">
        <w:rPr>
          <w:szCs w:val="18"/>
        </w:rPr>
        <w:t>I</w:t>
      </w:r>
      <w:r w:rsidR="00271A28">
        <w:rPr>
          <w:szCs w:val="18"/>
        </w:rPr>
        <w:t>)</w:t>
      </w:r>
      <w:r w:rsidRPr="00932055">
        <w:t xml:space="preserve">. </w:t>
      </w:r>
    </w:p>
  </w:footnote>
  <w:footnote w:id="19">
    <w:p w14:paraId="646A8F08" w14:textId="5E45A8D8" w:rsidR="00186CAF" w:rsidRPr="00932055" w:rsidRDefault="00186CAF" w:rsidP="00011894">
      <w:pPr>
        <w:pStyle w:val="FootnoteText"/>
      </w:pPr>
      <w:r w:rsidRPr="00932055">
        <w:tab/>
      </w:r>
      <w:r w:rsidRPr="00932055">
        <w:rPr>
          <w:rStyle w:val="FootnoteReference"/>
        </w:rPr>
        <w:footnoteRef/>
      </w:r>
      <w:r w:rsidRPr="00932055">
        <w:tab/>
      </w:r>
      <w:proofErr w:type="spellStart"/>
      <w:r w:rsidRPr="00932055">
        <w:t>Terai</w:t>
      </w:r>
      <w:proofErr w:type="spellEnd"/>
      <w:r w:rsidRPr="00932055">
        <w:t xml:space="preserve"> Human Rights Defenders Alliance, </w:t>
      </w:r>
      <w:r w:rsidRPr="00623B29">
        <w:rPr>
          <w:i/>
          <w:iCs/>
        </w:rPr>
        <w:t xml:space="preserve">Arbitrary Detention and Torture in the </w:t>
      </w:r>
      <w:proofErr w:type="spellStart"/>
      <w:r w:rsidRPr="00623B29">
        <w:rPr>
          <w:i/>
          <w:iCs/>
        </w:rPr>
        <w:t>Terai</w:t>
      </w:r>
      <w:proofErr w:type="spellEnd"/>
      <w:r>
        <w:t xml:space="preserve"> (</w:t>
      </w:r>
      <w:r w:rsidRPr="00932055">
        <w:t>2013</w:t>
      </w:r>
      <w:r>
        <w:t>)</w:t>
      </w:r>
      <w:r w:rsidRPr="00932055">
        <w:t xml:space="preserve"> can be found online at </w:t>
      </w:r>
      <w:hyperlink r:id="rId1" w:history="1">
        <w:r w:rsidRPr="00932055">
          <w:rPr>
            <w:rStyle w:val="Hyperlink"/>
          </w:rPr>
          <w:t>http://www.thrda.org/issues/</w:t>
        </w:r>
      </w:hyperlink>
      <w:r w:rsidRPr="00932055">
        <w:t xml:space="preserve">. </w:t>
      </w:r>
    </w:p>
  </w:footnote>
  <w:footnote w:id="20">
    <w:p w14:paraId="646A8F09" w14:textId="7CF61828" w:rsidR="00186CAF" w:rsidRPr="00932055" w:rsidRDefault="00186CAF" w:rsidP="004F39E4">
      <w:pPr>
        <w:pStyle w:val="FootnoteText"/>
      </w:pPr>
      <w:r w:rsidRPr="00932055">
        <w:tab/>
      </w:r>
      <w:r w:rsidRPr="00932055">
        <w:rPr>
          <w:rStyle w:val="FootnoteReference"/>
        </w:rPr>
        <w:footnoteRef/>
      </w:r>
      <w:r w:rsidRPr="00932055">
        <w:rPr>
          <w:rStyle w:val="FootnoteReference"/>
        </w:rPr>
        <w:tab/>
      </w:r>
      <w:r w:rsidRPr="00932055">
        <w:t xml:space="preserve">Concluding observations on </w:t>
      </w:r>
      <w:r>
        <w:t xml:space="preserve">the second periodic report of </w:t>
      </w:r>
      <w:r w:rsidRPr="00932055">
        <w:t xml:space="preserve">Nepal (CCPR/C/NPL/CO/2), para. 10. </w:t>
      </w:r>
    </w:p>
  </w:footnote>
  <w:footnote w:id="21">
    <w:p w14:paraId="646A8F0B" w14:textId="0809AEB8" w:rsidR="00186CAF" w:rsidRPr="00932055" w:rsidRDefault="00186CAF">
      <w:pPr>
        <w:pStyle w:val="FootnoteText"/>
      </w:pPr>
      <w:r>
        <w:tab/>
      </w:r>
      <w:r w:rsidRPr="00932055">
        <w:rPr>
          <w:rStyle w:val="FootnoteReference"/>
        </w:rPr>
        <w:footnoteRef/>
      </w:r>
      <w:r w:rsidRPr="00623B29">
        <w:rPr>
          <w:lang w:val="fr-FR"/>
        </w:rPr>
        <w:tab/>
      </w:r>
      <w:r w:rsidRPr="00623B29">
        <w:rPr>
          <w:i/>
          <w:lang w:val="fr-FR"/>
        </w:rPr>
        <w:t>Pisconieri v. Spain</w:t>
      </w:r>
      <w:r w:rsidRPr="00623B29">
        <w:rPr>
          <w:lang w:val="fr-FR"/>
        </w:rPr>
        <w:t xml:space="preserve"> (CCPR/C/78/D/956/2000), para. </w:t>
      </w:r>
      <w:r w:rsidRPr="00932055">
        <w:t>6.5.</w:t>
      </w:r>
    </w:p>
  </w:footnote>
  <w:footnote w:id="22">
    <w:p w14:paraId="646A8F0C" w14:textId="212F27BA" w:rsidR="00186CAF" w:rsidRPr="0022242C" w:rsidRDefault="00186CAF" w:rsidP="004E5F3A">
      <w:pPr>
        <w:pStyle w:val="FootnoteText"/>
        <w:rPr>
          <w:lang w:val="es-ES"/>
        </w:rPr>
      </w:pPr>
      <w:r>
        <w:tab/>
      </w:r>
      <w:r w:rsidRPr="00932055">
        <w:rPr>
          <w:rStyle w:val="FootnoteReference"/>
        </w:rPr>
        <w:footnoteRef/>
      </w:r>
      <w:r>
        <w:tab/>
        <w:t>G</w:t>
      </w:r>
      <w:r w:rsidRPr="00932055">
        <w:t>eneral comment No. 31 (</w:t>
      </w:r>
      <w:r>
        <w:t>2004</w:t>
      </w:r>
      <w:r w:rsidRPr="00932055">
        <w:t>)</w:t>
      </w:r>
      <w:r>
        <w:t xml:space="preserve"> on </w:t>
      </w:r>
      <w:r w:rsidRPr="004E5F3A">
        <w:t>the nature of the general leg</w:t>
      </w:r>
      <w:r>
        <w:t xml:space="preserve">al obligation imposed on States </w:t>
      </w:r>
      <w:r w:rsidRPr="004E5F3A">
        <w:t>parties to the Covenant</w:t>
      </w:r>
      <w:r w:rsidRPr="00932055">
        <w:t xml:space="preserve">, para. </w:t>
      </w:r>
      <w:r w:rsidRPr="0022242C">
        <w:rPr>
          <w:lang w:val="es-ES"/>
        </w:rPr>
        <w:t>18.</w:t>
      </w:r>
    </w:p>
  </w:footnote>
  <w:footnote w:id="23">
    <w:p w14:paraId="646A8F0D" w14:textId="2913DD71" w:rsidR="00186CAF" w:rsidRPr="0022242C" w:rsidRDefault="00186CAF" w:rsidP="008F4012">
      <w:pPr>
        <w:pStyle w:val="FootnoteText"/>
        <w:rPr>
          <w:lang w:val="es-ES"/>
        </w:rPr>
      </w:pPr>
      <w:r w:rsidRPr="0022242C">
        <w:rPr>
          <w:lang w:val="es-ES"/>
        </w:rPr>
        <w:tab/>
      </w:r>
      <w:r w:rsidRPr="00932055">
        <w:rPr>
          <w:rStyle w:val="FootnoteReference"/>
        </w:rPr>
        <w:footnoteRef/>
      </w:r>
      <w:r w:rsidRPr="0022242C">
        <w:rPr>
          <w:lang w:val="es-ES"/>
        </w:rPr>
        <w:tab/>
      </w:r>
      <w:proofErr w:type="spellStart"/>
      <w:r w:rsidRPr="0022242C">
        <w:rPr>
          <w:i/>
          <w:lang w:val="es-ES"/>
        </w:rPr>
        <w:t>Maharajan</w:t>
      </w:r>
      <w:proofErr w:type="spellEnd"/>
      <w:r w:rsidRPr="0022242C">
        <w:rPr>
          <w:i/>
          <w:lang w:val="es-ES"/>
        </w:rPr>
        <w:t xml:space="preserve"> v. Nepal</w:t>
      </w:r>
      <w:r w:rsidRPr="0022242C">
        <w:rPr>
          <w:lang w:val="es-ES"/>
        </w:rPr>
        <w:t xml:space="preserve">, para. 7.6. </w:t>
      </w:r>
    </w:p>
  </w:footnote>
  <w:footnote w:id="24">
    <w:p w14:paraId="646A8F0E" w14:textId="7B84E856" w:rsidR="00186CAF" w:rsidRPr="0022242C" w:rsidRDefault="00186CAF" w:rsidP="008F4012">
      <w:pPr>
        <w:pStyle w:val="FootnoteText"/>
        <w:rPr>
          <w:lang w:val="es-ES"/>
        </w:rPr>
      </w:pPr>
      <w:r w:rsidRPr="0022242C">
        <w:rPr>
          <w:lang w:val="es-ES"/>
        </w:rPr>
        <w:tab/>
      </w:r>
      <w:r w:rsidRPr="00932055">
        <w:rPr>
          <w:rStyle w:val="FootnoteReference"/>
        </w:rPr>
        <w:footnoteRef/>
      </w:r>
      <w:r w:rsidRPr="0022242C">
        <w:rPr>
          <w:lang w:val="es-ES"/>
        </w:rPr>
        <w:tab/>
      </w:r>
      <w:proofErr w:type="spellStart"/>
      <w:r w:rsidRPr="0022242C">
        <w:rPr>
          <w:lang w:val="es-ES"/>
        </w:rPr>
        <w:t>Ibid</w:t>
      </w:r>
      <w:proofErr w:type="spellEnd"/>
      <w:r>
        <w:rPr>
          <w:lang w:val="es-ES"/>
        </w:rPr>
        <w:t>.</w:t>
      </w:r>
      <w:r w:rsidRPr="0022242C">
        <w:rPr>
          <w:lang w:val="es-ES"/>
        </w:rPr>
        <w:t>, para. 7.4.</w:t>
      </w:r>
    </w:p>
  </w:footnote>
  <w:footnote w:id="25">
    <w:p w14:paraId="646A8F0F" w14:textId="7A230DD7" w:rsidR="00186CAF" w:rsidRPr="00932055" w:rsidRDefault="00186CAF" w:rsidP="002C30AD">
      <w:pPr>
        <w:pStyle w:val="FootnoteText"/>
      </w:pPr>
      <w:r w:rsidRPr="0022242C">
        <w:rPr>
          <w:lang w:val="es-ES"/>
        </w:rPr>
        <w:tab/>
      </w:r>
      <w:r w:rsidRPr="00932055">
        <w:rPr>
          <w:rStyle w:val="FootnoteReference"/>
        </w:rPr>
        <w:footnoteRef/>
      </w:r>
      <w:r w:rsidRPr="0022242C">
        <w:rPr>
          <w:lang w:val="es-ES"/>
        </w:rPr>
        <w:tab/>
      </w:r>
      <w:r w:rsidRPr="0022242C">
        <w:rPr>
          <w:i/>
          <w:lang w:val="es-ES"/>
        </w:rPr>
        <w:t>Vicente et al. v. Columbia</w:t>
      </w:r>
      <w:r w:rsidRPr="0022242C">
        <w:rPr>
          <w:lang w:val="es-ES"/>
        </w:rPr>
        <w:t xml:space="preserve"> (CCPR/C/60/D/612/1995), para. </w:t>
      </w:r>
      <w:r w:rsidRPr="00932055">
        <w:t>5.2.</w:t>
      </w:r>
    </w:p>
  </w:footnote>
  <w:footnote w:id="26">
    <w:p w14:paraId="646A8F10" w14:textId="5BA9CA1A" w:rsidR="00186CAF" w:rsidRPr="00932055" w:rsidRDefault="00186CAF" w:rsidP="00847B21">
      <w:pPr>
        <w:pStyle w:val="FootnoteText"/>
      </w:pPr>
      <w:r>
        <w:tab/>
      </w:r>
      <w:r w:rsidRPr="00932055">
        <w:rPr>
          <w:rStyle w:val="FootnoteReference"/>
        </w:rPr>
        <w:footnoteRef/>
      </w:r>
      <w:r>
        <w:tab/>
      </w:r>
      <w:proofErr w:type="spellStart"/>
      <w:r w:rsidRPr="00AF1403">
        <w:rPr>
          <w:i/>
        </w:rPr>
        <w:t>Marcellana</w:t>
      </w:r>
      <w:proofErr w:type="spellEnd"/>
      <w:r w:rsidRPr="00AF1403">
        <w:rPr>
          <w:i/>
        </w:rPr>
        <w:t xml:space="preserve"> and </w:t>
      </w:r>
      <w:proofErr w:type="spellStart"/>
      <w:r w:rsidRPr="00AF1403">
        <w:rPr>
          <w:i/>
        </w:rPr>
        <w:t>Gumanoy</w:t>
      </w:r>
      <w:proofErr w:type="spellEnd"/>
      <w:r w:rsidRPr="00AF1403">
        <w:rPr>
          <w:i/>
        </w:rPr>
        <w:t xml:space="preserve"> v</w:t>
      </w:r>
      <w:r w:rsidRPr="00847B21">
        <w:rPr>
          <w:i/>
        </w:rPr>
        <w:t>. Philippines</w:t>
      </w:r>
      <w:r w:rsidRPr="00932055">
        <w:t xml:space="preserve"> (CCPR/C/94/D/1560/2007), para. 6.2</w:t>
      </w:r>
      <w:r>
        <w:t>,</w:t>
      </w:r>
      <w:r w:rsidRPr="00932055">
        <w:t xml:space="preserve"> and </w:t>
      </w:r>
      <w:proofErr w:type="spellStart"/>
      <w:r w:rsidRPr="00AF1403">
        <w:rPr>
          <w:i/>
        </w:rPr>
        <w:t>Giri</w:t>
      </w:r>
      <w:proofErr w:type="spellEnd"/>
      <w:r w:rsidRPr="00AF1403">
        <w:rPr>
          <w:i/>
        </w:rPr>
        <w:t xml:space="preserve"> v. Nepal</w:t>
      </w:r>
      <w:r w:rsidRPr="00932055">
        <w:t>, para. 6.3.</w:t>
      </w:r>
    </w:p>
  </w:footnote>
  <w:footnote w:id="27">
    <w:p w14:paraId="2BF1A31A" w14:textId="18D8973A" w:rsidR="00186CAF" w:rsidRPr="00A37491" w:rsidRDefault="00186CAF" w:rsidP="005C2E40">
      <w:pPr>
        <w:pStyle w:val="FootnoteText"/>
      </w:pPr>
      <w:r>
        <w:tab/>
      </w:r>
      <w:r w:rsidRPr="00256034">
        <w:rPr>
          <w:rStyle w:val="FootnoteReference"/>
        </w:rPr>
        <w:footnoteRef/>
      </w:r>
      <w:r>
        <w:tab/>
      </w:r>
      <w:r w:rsidRPr="00A37491">
        <w:t>See</w:t>
      </w:r>
      <w:r>
        <w:t xml:space="preserve"> the following similar cases before the Committee:</w:t>
      </w:r>
      <w:r w:rsidRPr="00A37491">
        <w:t xml:space="preserve"> </w:t>
      </w:r>
      <w:proofErr w:type="spellStart"/>
      <w:r w:rsidRPr="0057099B">
        <w:rPr>
          <w:i/>
        </w:rPr>
        <w:t>Giri</w:t>
      </w:r>
      <w:proofErr w:type="spellEnd"/>
      <w:r w:rsidRPr="0057099B">
        <w:rPr>
          <w:i/>
        </w:rPr>
        <w:t xml:space="preserve"> v. Nepal</w:t>
      </w:r>
      <w:r w:rsidRPr="00A37491">
        <w:t xml:space="preserve">, </w:t>
      </w:r>
      <w:proofErr w:type="spellStart"/>
      <w:r w:rsidRPr="0057099B">
        <w:rPr>
          <w:i/>
        </w:rPr>
        <w:t>Maharajan</w:t>
      </w:r>
      <w:proofErr w:type="spellEnd"/>
      <w:r w:rsidRPr="0057099B">
        <w:rPr>
          <w:i/>
        </w:rPr>
        <w:t xml:space="preserve"> v. Nepal</w:t>
      </w:r>
      <w:r w:rsidRPr="00A37491">
        <w:t xml:space="preserve"> and </w:t>
      </w:r>
      <w:proofErr w:type="spellStart"/>
      <w:r w:rsidRPr="0057099B">
        <w:rPr>
          <w:i/>
        </w:rPr>
        <w:t>Katwal</w:t>
      </w:r>
      <w:proofErr w:type="spellEnd"/>
      <w:r w:rsidRPr="0057099B">
        <w:rPr>
          <w:i/>
        </w:rPr>
        <w:t xml:space="preserve"> v. Nepal</w:t>
      </w:r>
      <w:r w:rsidRPr="00A37491">
        <w:t xml:space="preserve"> (CCPR/C/113/D/2000/2010). </w:t>
      </w:r>
    </w:p>
  </w:footnote>
  <w:footnote w:id="28">
    <w:p w14:paraId="646A8F11" w14:textId="322EA530" w:rsidR="00186CAF" w:rsidRPr="00A37491" w:rsidRDefault="00186CAF" w:rsidP="00841734">
      <w:pPr>
        <w:pStyle w:val="FootnoteText"/>
      </w:pPr>
      <w:r>
        <w:tab/>
      </w:r>
      <w:r w:rsidRPr="0057099B">
        <w:rPr>
          <w:rStyle w:val="FootnoteReference"/>
        </w:rPr>
        <w:footnoteRef/>
      </w:r>
      <w:r>
        <w:tab/>
      </w:r>
      <w:r w:rsidRPr="00A37491">
        <w:t>General comment No. 20</w:t>
      </w:r>
      <w:r>
        <w:t xml:space="preserve"> (1992) on the p</w:t>
      </w:r>
      <w:r w:rsidRPr="00A37491">
        <w:t xml:space="preserve">rohibition of torture or other cruel, inhuman or degrading treatment or punishment, para. 3. </w:t>
      </w:r>
    </w:p>
  </w:footnote>
  <w:footnote w:id="29">
    <w:p w14:paraId="646A8F13" w14:textId="4283E50D" w:rsidR="00186CAF" w:rsidRPr="00A37491" w:rsidRDefault="00186CAF" w:rsidP="00245A28">
      <w:pPr>
        <w:pStyle w:val="FootnoteText"/>
      </w:pPr>
      <w:r>
        <w:tab/>
      </w:r>
      <w:r w:rsidRPr="004E5F3A">
        <w:rPr>
          <w:rStyle w:val="FootnoteReference"/>
        </w:rPr>
        <w:footnoteRef/>
      </w:r>
      <w:r w:rsidRPr="004E5F3A">
        <w:tab/>
      </w:r>
      <w:proofErr w:type="spellStart"/>
      <w:r w:rsidRPr="004E5F3A">
        <w:rPr>
          <w:i/>
        </w:rPr>
        <w:t>Khoroshenko</w:t>
      </w:r>
      <w:proofErr w:type="spellEnd"/>
      <w:r w:rsidRPr="004E5F3A">
        <w:rPr>
          <w:i/>
        </w:rPr>
        <w:t xml:space="preserve"> v. Russian Federation</w:t>
      </w:r>
      <w:r w:rsidRPr="004E5F3A">
        <w:t xml:space="preserve"> para. 9.5.</w:t>
      </w:r>
    </w:p>
  </w:footnote>
  <w:footnote w:id="30">
    <w:p w14:paraId="646A8F14" w14:textId="58F6E98E" w:rsidR="00186CAF" w:rsidRPr="00623B29" w:rsidRDefault="00186CAF" w:rsidP="00245A28">
      <w:pPr>
        <w:pStyle w:val="FootnoteText"/>
        <w:rPr>
          <w:lang w:val="es-ES"/>
        </w:rPr>
      </w:pPr>
      <w:r>
        <w:tab/>
      </w:r>
      <w:r w:rsidRPr="0057099B">
        <w:rPr>
          <w:rStyle w:val="FootnoteReference"/>
        </w:rPr>
        <w:footnoteRef/>
      </w:r>
      <w:r w:rsidRPr="004E5F3A">
        <w:tab/>
      </w:r>
      <w:proofErr w:type="spellStart"/>
      <w:r w:rsidRPr="00836B0E">
        <w:rPr>
          <w:i/>
        </w:rPr>
        <w:t>Giri</w:t>
      </w:r>
      <w:proofErr w:type="spellEnd"/>
      <w:r w:rsidRPr="00836B0E">
        <w:rPr>
          <w:i/>
        </w:rPr>
        <w:t xml:space="preserve"> v. Nepal</w:t>
      </w:r>
      <w:r w:rsidRPr="00836B0E">
        <w:t xml:space="preserve">, para. </w:t>
      </w:r>
      <w:r w:rsidRPr="006D18A1">
        <w:t>7.4</w:t>
      </w:r>
      <w:r w:rsidRPr="00836B0E">
        <w:t xml:space="preserve">, and </w:t>
      </w:r>
      <w:r w:rsidRPr="00836B0E">
        <w:rPr>
          <w:i/>
        </w:rPr>
        <w:t xml:space="preserve">El </w:t>
      </w:r>
      <w:proofErr w:type="spellStart"/>
      <w:r w:rsidRPr="00836B0E">
        <w:rPr>
          <w:i/>
        </w:rPr>
        <w:t>Awani</w:t>
      </w:r>
      <w:proofErr w:type="spellEnd"/>
      <w:r w:rsidRPr="00836B0E">
        <w:rPr>
          <w:i/>
        </w:rPr>
        <w:t xml:space="preserve"> v. Libyan Arab Jamahiriya</w:t>
      </w:r>
      <w:r w:rsidRPr="00836B0E">
        <w:t xml:space="preserve"> (CCPR/C/90/D/1295/2004), para. </w:t>
      </w:r>
      <w:r w:rsidRPr="00623B29">
        <w:rPr>
          <w:lang w:val="es-ES"/>
        </w:rPr>
        <w:t>6.5.</w:t>
      </w:r>
    </w:p>
  </w:footnote>
  <w:footnote w:id="31">
    <w:p w14:paraId="646A8F15" w14:textId="13AA8847" w:rsidR="00186CAF" w:rsidRPr="00623B29" w:rsidRDefault="00186CAF" w:rsidP="008F4012">
      <w:pPr>
        <w:pStyle w:val="FootnoteText"/>
        <w:tabs>
          <w:tab w:val="clear" w:pos="1021"/>
          <w:tab w:val="right" w:pos="1020"/>
        </w:tabs>
        <w:rPr>
          <w:lang w:val="es-ES"/>
        </w:rPr>
      </w:pPr>
      <w:r w:rsidRPr="00623B29">
        <w:rPr>
          <w:lang w:val="es-ES"/>
        </w:rPr>
        <w:tab/>
      </w:r>
      <w:r w:rsidRPr="00836B0E">
        <w:rPr>
          <w:rStyle w:val="FootnoteReference"/>
        </w:rPr>
        <w:footnoteRef/>
      </w:r>
      <w:r w:rsidRPr="00623B29">
        <w:rPr>
          <w:lang w:val="es-ES"/>
        </w:rPr>
        <w:tab/>
      </w:r>
      <w:proofErr w:type="spellStart"/>
      <w:r w:rsidRPr="00623B29">
        <w:rPr>
          <w:i/>
          <w:lang w:val="es-ES"/>
        </w:rPr>
        <w:t>Khoroshenko</w:t>
      </w:r>
      <w:proofErr w:type="spellEnd"/>
      <w:r w:rsidRPr="00623B29">
        <w:rPr>
          <w:i/>
          <w:lang w:val="es-ES"/>
        </w:rPr>
        <w:t xml:space="preserve"> v. </w:t>
      </w:r>
      <w:proofErr w:type="spellStart"/>
      <w:r w:rsidRPr="00623B29">
        <w:rPr>
          <w:i/>
          <w:lang w:val="es-ES"/>
        </w:rPr>
        <w:t>Russian</w:t>
      </w:r>
      <w:proofErr w:type="spellEnd"/>
      <w:r w:rsidRPr="00623B29">
        <w:rPr>
          <w:i/>
          <w:lang w:val="es-ES"/>
        </w:rPr>
        <w:t xml:space="preserve"> </w:t>
      </w:r>
      <w:proofErr w:type="spellStart"/>
      <w:r w:rsidRPr="00623B29">
        <w:rPr>
          <w:i/>
          <w:lang w:val="es-ES"/>
        </w:rPr>
        <w:t>Federation</w:t>
      </w:r>
      <w:proofErr w:type="spellEnd"/>
      <w:r w:rsidRPr="00623B29">
        <w:rPr>
          <w:lang w:val="es-ES"/>
        </w:rPr>
        <w:t>, para. 9.5.</w:t>
      </w:r>
    </w:p>
  </w:footnote>
  <w:footnote w:id="32">
    <w:p w14:paraId="13F47E71" w14:textId="0172AB4D" w:rsidR="00186CAF" w:rsidRDefault="00186CAF" w:rsidP="001B449C">
      <w:pPr>
        <w:pStyle w:val="FootnoteText"/>
        <w:tabs>
          <w:tab w:val="clear" w:pos="1021"/>
          <w:tab w:val="right" w:pos="1020"/>
        </w:tabs>
      </w:pPr>
      <w:r w:rsidRPr="00623B29">
        <w:rPr>
          <w:lang w:val="es-ES"/>
        </w:rPr>
        <w:tab/>
      </w:r>
      <w:r>
        <w:rPr>
          <w:rStyle w:val="FootnoteReference"/>
        </w:rPr>
        <w:footnoteRef/>
      </w:r>
      <w:r w:rsidRPr="00623B29">
        <w:rPr>
          <w:lang w:val="es-ES"/>
        </w:rPr>
        <w:tab/>
      </w:r>
      <w:proofErr w:type="spellStart"/>
      <w:r w:rsidRPr="00623B29">
        <w:rPr>
          <w:i/>
          <w:iCs/>
          <w:lang w:val="es-ES"/>
        </w:rPr>
        <w:t>Medjnoune</w:t>
      </w:r>
      <w:proofErr w:type="spellEnd"/>
      <w:r w:rsidRPr="00623B29">
        <w:rPr>
          <w:i/>
          <w:iCs/>
          <w:lang w:val="es-ES"/>
        </w:rPr>
        <w:t xml:space="preserve"> </w:t>
      </w:r>
      <w:r w:rsidRPr="00623B29">
        <w:rPr>
          <w:i/>
          <w:lang w:val="es-ES"/>
        </w:rPr>
        <w:t>v.</w:t>
      </w:r>
      <w:r w:rsidRPr="00623B29">
        <w:rPr>
          <w:i/>
          <w:iCs/>
          <w:lang w:val="es-ES"/>
        </w:rPr>
        <w:t xml:space="preserve"> </w:t>
      </w:r>
      <w:proofErr w:type="spellStart"/>
      <w:r w:rsidRPr="00623B29">
        <w:rPr>
          <w:i/>
          <w:iCs/>
          <w:lang w:val="es-ES"/>
        </w:rPr>
        <w:t>Algeria</w:t>
      </w:r>
      <w:proofErr w:type="spellEnd"/>
      <w:r w:rsidRPr="00623B29">
        <w:rPr>
          <w:lang w:val="es-ES"/>
        </w:rPr>
        <w:t xml:space="preserve"> (CCPR/C/87/D/1297/2004) para.</w:t>
      </w:r>
      <w:r>
        <w:rPr>
          <w:lang w:val="es-ES"/>
        </w:rPr>
        <w:t xml:space="preserve"> </w:t>
      </w:r>
      <w:r w:rsidRPr="00623B29">
        <w:rPr>
          <w:lang w:val="es-ES"/>
        </w:rPr>
        <w:t xml:space="preserve">8.5; </w:t>
      </w:r>
      <w:proofErr w:type="spellStart"/>
      <w:r w:rsidRPr="00623B29">
        <w:rPr>
          <w:i/>
          <w:iCs/>
          <w:lang w:val="es-ES"/>
        </w:rPr>
        <w:t>Sharma</w:t>
      </w:r>
      <w:proofErr w:type="spellEnd"/>
      <w:r w:rsidRPr="00623B29">
        <w:rPr>
          <w:i/>
          <w:lang w:val="es-ES"/>
        </w:rPr>
        <w:t xml:space="preserve"> v.</w:t>
      </w:r>
      <w:r w:rsidRPr="00623B29">
        <w:rPr>
          <w:lang w:val="es-ES"/>
        </w:rPr>
        <w:t xml:space="preserve"> </w:t>
      </w:r>
      <w:r w:rsidRPr="00623B29">
        <w:rPr>
          <w:i/>
          <w:iCs/>
          <w:lang w:val="es-ES"/>
        </w:rPr>
        <w:t>Nepal</w:t>
      </w:r>
      <w:r w:rsidRPr="00623B29">
        <w:rPr>
          <w:lang w:val="es-ES"/>
        </w:rPr>
        <w:t xml:space="preserve"> (CCPR/C/94/D/1469/2006), para. </w:t>
      </w:r>
      <w:r w:rsidRPr="00C259FA">
        <w:t>7.3</w:t>
      </w:r>
      <w:r>
        <w:t xml:space="preserve">, and </w:t>
      </w:r>
      <w:proofErr w:type="spellStart"/>
      <w:r w:rsidRPr="001B449C">
        <w:rPr>
          <w:i/>
        </w:rPr>
        <w:t>Giri</w:t>
      </w:r>
      <w:proofErr w:type="spellEnd"/>
      <w:r w:rsidRPr="001B449C">
        <w:rPr>
          <w:i/>
        </w:rPr>
        <w:t xml:space="preserve"> v. Nepal</w:t>
      </w:r>
      <w:r w:rsidRPr="001B449C">
        <w:t>, para. 7.8.</w:t>
      </w:r>
      <w:r>
        <w:t xml:space="preserve"> </w:t>
      </w:r>
    </w:p>
  </w:footnote>
  <w:footnote w:id="33">
    <w:p w14:paraId="646A8F17" w14:textId="757E1B77" w:rsidR="00186CAF" w:rsidRPr="00623B29" w:rsidRDefault="00186CAF" w:rsidP="00BE59E0">
      <w:pPr>
        <w:pStyle w:val="FootnoteText"/>
        <w:rPr>
          <w:lang w:val="es-ES"/>
        </w:rPr>
      </w:pPr>
      <w:r>
        <w:tab/>
      </w:r>
      <w:r w:rsidRPr="00256034">
        <w:rPr>
          <w:rStyle w:val="FootnoteReference"/>
        </w:rPr>
        <w:footnoteRef/>
      </w:r>
      <w:r w:rsidRPr="00256034">
        <w:tab/>
        <w:t xml:space="preserve">General </w:t>
      </w:r>
      <w:r>
        <w:t>c</w:t>
      </w:r>
      <w:r w:rsidRPr="00256034">
        <w:t>omment No. 21</w:t>
      </w:r>
      <w:r>
        <w:t xml:space="preserve"> (1992) on humane treatment of persons deprived of their liberty</w:t>
      </w:r>
      <w:r w:rsidRPr="00256034">
        <w:t xml:space="preserve">, para. </w:t>
      </w:r>
      <w:r w:rsidRPr="00623B29">
        <w:rPr>
          <w:lang w:val="es-ES"/>
        </w:rPr>
        <w:t>3.</w:t>
      </w:r>
    </w:p>
  </w:footnote>
  <w:footnote w:id="34">
    <w:p w14:paraId="646A8F18" w14:textId="01F09D3E" w:rsidR="00186CAF" w:rsidRPr="00623B29" w:rsidRDefault="00186CAF" w:rsidP="00BE59E0">
      <w:pPr>
        <w:pStyle w:val="FootnoteText"/>
        <w:rPr>
          <w:lang w:val="es-ES"/>
        </w:rPr>
      </w:pPr>
      <w:r w:rsidRPr="00623B29">
        <w:rPr>
          <w:lang w:val="es-ES"/>
        </w:rPr>
        <w:tab/>
      </w:r>
      <w:r w:rsidRPr="00256034">
        <w:rPr>
          <w:rStyle w:val="FootnoteReference"/>
        </w:rPr>
        <w:footnoteRef/>
      </w:r>
      <w:r w:rsidRPr="00295CF5">
        <w:rPr>
          <w:lang w:val="es-ES"/>
        </w:rPr>
        <w:tab/>
      </w:r>
      <w:proofErr w:type="spellStart"/>
      <w:r w:rsidRPr="00BE59E0">
        <w:rPr>
          <w:i/>
          <w:lang w:val="es-ES"/>
        </w:rPr>
        <w:t>Maharajan</w:t>
      </w:r>
      <w:proofErr w:type="spellEnd"/>
      <w:r w:rsidRPr="00BE59E0">
        <w:rPr>
          <w:i/>
          <w:lang w:val="es-ES"/>
        </w:rPr>
        <w:t xml:space="preserve"> v. Nepal</w:t>
      </w:r>
      <w:r w:rsidRPr="00BE59E0">
        <w:rPr>
          <w:lang w:val="es-ES"/>
        </w:rPr>
        <w:t xml:space="preserve">, para. </w:t>
      </w:r>
      <w:r w:rsidRPr="00623B29">
        <w:rPr>
          <w:lang w:val="es-ES"/>
        </w:rPr>
        <w:t xml:space="preserve">8.7, and </w:t>
      </w:r>
      <w:proofErr w:type="spellStart"/>
      <w:r w:rsidRPr="00623B29">
        <w:rPr>
          <w:i/>
          <w:lang w:val="es-ES"/>
        </w:rPr>
        <w:t>Gorji-Dinka</w:t>
      </w:r>
      <w:proofErr w:type="spellEnd"/>
      <w:r w:rsidRPr="00623B29">
        <w:rPr>
          <w:i/>
          <w:lang w:val="es-ES"/>
        </w:rPr>
        <w:t xml:space="preserve"> v. </w:t>
      </w:r>
      <w:proofErr w:type="spellStart"/>
      <w:r w:rsidRPr="00623B29">
        <w:rPr>
          <w:i/>
          <w:lang w:val="es-ES"/>
        </w:rPr>
        <w:t>Cameroon</w:t>
      </w:r>
      <w:proofErr w:type="spellEnd"/>
      <w:r w:rsidRPr="00623B29">
        <w:rPr>
          <w:lang w:val="es-ES"/>
        </w:rPr>
        <w:t xml:space="preserve"> (CCPR/C/83/D/1134/2002), para. 5.2. </w:t>
      </w:r>
    </w:p>
  </w:footnote>
  <w:footnote w:id="35">
    <w:p w14:paraId="646A8F19" w14:textId="06CD147D" w:rsidR="00186CAF" w:rsidRPr="00623B29" w:rsidRDefault="00186CAF" w:rsidP="00F34986">
      <w:pPr>
        <w:pStyle w:val="FootnoteText"/>
        <w:rPr>
          <w:lang w:val="es-ES"/>
        </w:rPr>
      </w:pPr>
      <w:r w:rsidRPr="00623B29">
        <w:rPr>
          <w:lang w:val="es-ES"/>
        </w:rPr>
        <w:tab/>
      </w:r>
      <w:r w:rsidRPr="00256034">
        <w:rPr>
          <w:rStyle w:val="FootnoteReference"/>
        </w:rPr>
        <w:footnoteRef/>
      </w:r>
      <w:r w:rsidRPr="00623B29">
        <w:rPr>
          <w:vertAlign w:val="superscript"/>
          <w:lang w:val="es-ES"/>
        </w:rPr>
        <w:tab/>
      </w:r>
      <w:proofErr w:type="spellStart"/>
      <w:r w:rsidRPr="00623B29">
        <w:rPr>
          <w:i/>
          <w:lang w:val="es-ES"/>
        </w:rPr>
        <w:t>Bazarov</w:t>
      </w:r>
      <w:proofErr w:type="spellEnd"/>
      <w:r w:rsidRPr="00623B29">
        <w:rPr>
          <w:i/>
          <w:lang w:val="es-ES"/>
        </w:rPr>
        <w:t xml:space="preserve"> v. </w:t>
      </w:r>
      <w:proofErr w:type="spellStart"/>
      <w:r w:rsidRPr="00623B29">
        <w:rPr>
          <w:i/>
          <w:lang w:val="es-ES"/>
        </w:rPr>
        <w:t>Kyrgyzstan</w:t>
      </w:r>
      <w:proofErr w:type="spellEnd"/>
      <w:r w:rsidRPr="00623B29">
        <w:rPr>
          <w:lang w:val="es-ES"/>
        </w:rPr>
        <w:t xml:space="preserve"> (CCPR/C/118/D/2187/2012), para. 6.4. </w:t>
      </w:r>
    </w:p>
  </w:footnote>
  <w:footnote w:id="36">
    <w:p w14:paraId="49D2E3E0" w14:textId="3FC0DF69" w:rsidR="00186CAF" w:rsidRPr="006D18A1" w:rsidRDefault="00186CAF" w:rsidP="00F34986">
      <w:pPr>
        <w:pStyle w:val="FootnoteText"/>
        <w:rPr>
          <w:rFonts w:eastAsia="Calibri"/>
        </w:rPr>
      </w:pPr>
      <w:r w:rsidRPr="00623B29">
        <w:rPr>
          <w:lang w:val="es-ES"/>
        </w:rPr>
        <w:tab/>
      </w:r>
      <w:r w:rsidRPr="00256034">
        <w:rPr>
          <w:rStyle w:val="FootnoteReference"/>
        </w:rPr>
        <w:footnoteRef/>
      </w:r>
      <w:r w:rsidRPr="00623B29">
        <w:rPr>
          <w:vertAlign w:val="superscript"/>
          <w:lang w:val="es-ES"/>
        </w:rPr>
        <w:tab/>
      </w:r>
      <w:proofErr w:type="spellStart"/>
      <w:r w:rsidRPr="00623B29">
        <w:rPr>
          <w:rFonts w:eastAsia="Calibri"/>
          <w:i/>
          <w:lang w:val="es-ES"/>
        </w:rPr>
        <w:t>Neupane</w:t>
      </w:r>
      <w:proofErr w:type="spellEnd"/>
      <w:r w:rsidRPr="00623B29">
        <w:rPr>
          <w:rFonts w:eastAsia="Calibri"/>
          <w:i/>
          <w:lang w:val="es-ES"/>
        </w:rPr>
        <w:t xml:space="preserve"> et al. v. Nepal</w:t>
      </w:r>
      <w:r w:rsidRPr="00623B29">
        <w:rPr>
          <w:rFonts w:eastAsia="Calibri"/>
          <w:lang w:val="es-ES"/>
        </w:rPr>
        <w:t xml:space="preserve"> (CCPR/C/120/D/2170/2012), para. </w:t>
      </w:r>
      <w:r w:rsidRPr="006D18A1">
        <w:rPr>
          <w:rFonts w:eastAsia="Calibri"/>
        </w:rPr>
        <w:t>11</w:t>
      </w:r>
      <w:r>
        <w:rPr>
          <w:rFonts w:eastAsia="Calibri"/>
          <w:lang w:val="es-ES"/>
        </w:rPr>
        <w:t>,</w:t>
      </w:r>
      <w:r w:rsidRPr="006D18A1">
        <w:rPr>
          <w:rFonts w:eastAsia="Calibri"/>
        </w:rPr>
        <w:t xml:space="preserve"> and </w:t>
      </w:r>
      <w:proofErr w:type="spellStart"/>
      <w:r w:rsidRPr="006D18A1">
        <w:rPr>
          <w:rFonts w:eastAsia="Calibri"/>
          <w:i/>
        </w:rPr>
        <w:t>Purna</w:t>
      </w:r>
      <w:proofErr w:type="spellEnd"/>
      <w:r w:rsidRPr="006D18A1">
        <w:rPr>
          <w:rFonts w:eastAsia="Calibri"/>
          <w:i/>
        </w:rPr>
        <w:t xml:space="preserve"> Maya v. Nepal</w:t>
      </w:r>
      <w:r w:rsidRPr="006D18A1">
        <w:rPr>
          <w:rFonts w:eastAsia="Calibri"/>
        </w:rPr>
        <w:t xml:space="preserve"> (CCPR/C/119/D/2245/2013) para. 15.</w:t>
      </w:r>
    </w:p>
    <w:p w14:paraId="3A7CF76B" w14:textId="77777777" w:rsidR="00186CAF" w:rsidRPr="006D18A1" w:rsidRDefault="00186CAF" w:rsidP="004924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EE2" w14:textId="4CA9FB0B" w:rsidR="00186CAF" w:rsidRPr="008F4012" w:rsidRDefault="00623B29" w:rsidP="00B87C8A">
    <w:pPr>
      <w:pStyle w:val="Header"/>
    </w:pPr>
    <w:fldSimple w:instr=" TITLE  \* MERGEFORMAT ">
      <w:r w:rsidR="00186CAF">
        <w:t>CCPR/C/124/D/2413/2014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EE3" w14:textId="3010C41E" w:rsidR="00186CAF" w:rsidRPr="008F4012" w:rsidRDefault="00623B29">
    <w:pPr>
      <w:pStyle w:val="Header"/>
      <w:jc w:val="right"/>
    </w:pPr>
    <w:fldSimple w:instr=" TITLE  \* MERGEFORMAT ">
      <w:r w:rsidR="00186CAF">
        <w:t>CCPR/C/124/D/2413/2014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12"/>
    <w:rsid w:val="000055EF"/>
    <w:rsid w:val="00005A32"/>
    <w:rsid w:val="00011894"/>
    <w:rsid w:val="000127C1"/>
    <w:rsid w:val="00025220"/>
    <w:rsid w:val="000272B3"/>
    <w:rsid w:val="00030E3B"/>
    <w:rsid w:val="0003147D"/>
    <w:rsid w:val="000341F0"/>
    <w:rsid w:val="000371AF"/>
    <w:rsid w:val="00041C65"/>
    <w:rsid w:val="00042E0C"/>
    <w:rsid w:val="00047A31"/>
    <w:rsid w:val="00050F6B"/>
    <w:rsid w:val="00052354"/>
    <w:rsid w:val="00057E97"/>
    <w:rsid w:val="00060C3A"/>
    <w:rsid w:val="00065CB3"/>
    <w:rsid w:val="00072647"/>
    <w:rsid w:val="00072C8C"/>
    <w:rsid w:val="000733B5"/>
    <w:rsid w:val="00081815"/>
    <w:rsid w:val="000931C0"/>
    <w:rsid w:val="000B175B"/>
    <w:rsid w:val="000B3A0F"/>
    <w:rsid w:val="000B4276"/>
    <w:rsid w:val="000B4EF7"/>
    <w:rsid w:val="000C2C03"/>
    <w:rsid w:val="000C2D2E"/>
    <w:rsid w:val="000C7F2F"/>
    <w:rsid w:val="000E0415"/>
    <w:rsid w:val="000E08C8"/>
    <w:rsid w:val="000F7AD0"/>
    <w:rsid w:val="00102120"/>
    <w:rsid w:val="001035F6"/>
    <w:rsid w:val="0010770C"/>
    <w:rsid w:val="001103AA"/>
    <w:rsid w:val="00117F53"/>
    <w:rsid w:val="001263C8"/>
    <w:rsid w:val="001349FB"/>
    <w:rsid w:val="00137C02"/>
    <w:rsid w:val="00155BE3"/>
    <w:rsid w:val="00163736"/>
    <w:rsid w:val="00165E84"/>
    <w:rsid w:val="00165F3A"/>
    <w:rsid w:val="00172857"/>
    <w:rsid w:val="001768BE"/>
    <w:rsid w:val="001829BE"/>
    <w:rsid w:val="00183968"/>
    <w:rsid w:val="00186CAF"/>
    <w:rsid w:val="0019519E"/>
    <w:rsid w:val="00197A2E"/>
    <w:rsid w:val="001A390A"/>
    <w:rsid w:val="001A528D"/>
    <w:rsid w:val="001A567C"/>
    <w:rsid w:val="001A6686"/>
    <w:rsid w:val="001B0DFB"/>
    <w:rsid w:val="001B1697"/>
    <w:rsid w:val="001B449C"/>
    <w:rsid w:val="001B4B04"/>
    <w:rsid w:val="001C2C40"/>
    <w:rsid w:val="001C51DE"/>
    <w:rsid w:val="001C6663"/>
    <w:rsid w:val="001C7895"/>
    <w:rsid w:val="001D0C8C"/>
    <w:rsid w:val="001D26DF"/>
    <w:rsid w:val="001D3A03"/>
    <w:rsid w:val="001D7250"/>
    <w:rsid w:val="001D7E3C"/>
    <w:rsid w:val="001E0D84"/>
    <w:rsid w:val="001E0EE6"/>
    <w:rsid w:val="001F4998"/>
    <w:rsid w:val="00202DA8"/>
    <w:rsid w:val="00211E0B"/>
    <w:rsid w:val="00215793"/>
    <w:rsid w:val="00215928"/>
    <w:rsid w:val="00216848"/>
    <w:rsid w:val="00216F99"/>
    <w:rsid w:val="00220EDE"/>
    <w:rsid w:val="0022242C"/>
    <w:rsid w:val="00227191"/>
    <w:rsid w:val="0023210C"/>
    <w:rsid w:val="00245A28"/>
    <w:rsid w:val="00251F12"/>
    <w:rsid w:val="00267557"/>
    <w:rsid w:val="00267F5F"/>
    <w:rsid w:val="00271A28"/>
    <w:rsid w:val="00272E70"/>
    <w:rsid w:val="00285F6D"/>
    <w:rsid w:val="00286B4D"/>
    <w:rsid w:val="00287612"/>
    <w:rsid w:val="00294EE6"/>
    <w:rsid w:val="00295CF5"/>
    <w:rsid w:val="002B454A"/>
    <w:rsid w:val="002C30AD"/>
    <w:rsid w:val="002C5DD2"/>
    <w:rsid w:val="002D2811"/>
    <w:rsid w:val="002D536A"/>
    <w:rsid w:val="002D7E1F"/>
    <w:rsid w:val="002E472A"/>
    <w:rsid w:val="002F175C"/>
    <w:rsid w:val="00302D76"/>
    <w:rsid w:val="0030404D"/>
    <w:rsid w:val="0030591F"/>
    <w:rsid w:val="003229D8"/>
    <w:rsid w:val="00352709"/>
    <w:rsid w:val="00362A21"/>
    <w:rsid w:val="00367567"/>
    <w:rsid w:val="00371178"/>
    <w:rsid w:val="00376D8B"/>
    <w:rsid w:val="0038336C"/>
    <w:rsid w:val="0039301C"/>
    <w:rsid w:val="0039500E"/>
    <w:rsid w:val="003A1CCB"/>
    <w:rsid w:val="003A2EC0"/>
    <w:rsid w:val="003A5EB3"/>
    <w:rsid w:val="003A6810"/>
    <w:rsid w:val="003B22B6"/>
    <w:rsid w:val="003B27B1"/>
    <w:rsid w:val="003B5444"/>
    <w:rsid w:val="003B5A91"/>
    <w:rsid w:val="003C2CC4"/>
    <w:rsid w:val="003D4B23"/>
    <w:rsid w:val="003E1ABF"/>
    <w:rsid w:val="003E4F42"/>
    <w:rsid w:val="003F528A"/>
    <w:rsid w:val="003F5EB9"/>
    <w:rsid w:val="004016BF"/>
    <w:rsid w:val="004076CD"/>
    <w:rsid w:val="00410C89"/>
    <w:rsid w:val="00416016"/>
    <w:rsid w:val="00426B9B"/>
    <w:rsid w:val="004325CB"/>
    <w:rsid w:val="00436B33"/>
    <w:rsid w:val="00442A83"/>
    <w:rsid w:val="00446309"/>
    <w:rsid w:val="00451DF0"/>
    <w:rsid w:val="0045495B"/>
    <w:rsid w:val="00454E47"/>
    <w:rsid w:val="00462CE7"/>
    <w:rsid w:val="00462F99"/>
    <w:rsid w:val="004654C8"/>
    <w:rsid w:val="004701AD"/>
    <w:rsid w:val="0048738F"/>
    <w:rsid w:val="00487488"/>
    <w:rsid w:val="00491DDB"/>
    <w:rsid w:val="00492431"/>
    <w:rsid w:val="004B60CB"/>
    <w:rsid w:val="004D47CF"/>
    <w:rsid w:val="004E0B02"/>
    <w:rsid w:val="004E1938"/>
    <w:rsid w:val="004E30DB"/>
    <w:rsid w:val="004E44FB"/>
    <w:rsid w:val="004E5D7C"/>
    <w:rsid w:val="004E5F3A"/>
    <w:rsid w:val="004F1944"/>
    <w:rsid w:val="004F39E4"/>
    <w:rsid w:val="004F470E"/>
    <w:rsid w:val="00500989"/>
    <w:rsid w:val="0050673C"/>
    <w:rsid w:val="00510F73"/>
    <w:rsid w:val="005126E2"/>
    <w:rsid w:val="005145F3"/>
    <w:rsid w:val="0052136D"/>
    <w:rsid w:val="005250B0"/>
    <w:rsid w:val="0052775E"/>
    <w:rsid w:val="00530F84"/>
    <w:rsid w:val="005420F2"/>
    <w:rsid w:val="00555174"/>
    <w:rsid w:val="00555DC0"/>
    <w:rsid w:val="005565EB"/>
    <w:rsid w:val="00562276"/>
    <w:rsid w:val="005628B6"/>
    <w:rsid w:val="00567644"/>
    <w:rsid w:val="00567881"/>
    <w:rsid w:val="00574655"/>
    <w:rsid w:val="005837A6"/>
    <w:rsid w:val="005848B3"/>
    <w:rsid w:val="005916E1"/>
    <w:rsid w:val="00595877"/>
    <w:rsid w:val="005A0E90"/>
    <w:rsid w:val="005A0F65"/>
    <w:rsid w:val="005A394C"/>
    <w:rsid w:val="005B2203"/>
    <w:rsid w:val="005B3DB3"/>
    <w:rsid w:val="005C1A98"/>
    <w:rsid w:val="005C2E40"/>
    <w:rsid w:val="005D109B"/>
    <w:rsid w:val="005D4E84"/>
    <w:rsid w:val="005E027B"/>
    <w:rsid w:val="005F5239"/>
    <w:rsid w:val="005F6C9C"/>
    <w:rsid w:val="005F7717"/>
    <w:rsid w:val="005F7B75"/>
    <w:rsid w:val="006001EE"/>
    <w:rsid w:val="00600264"/>
    <w:rsid w:val="00605042"/>
    <w:rsid w:val="00611FC4"/>
    <w:rsid w:val="0061656D"/>
    <w:rsid w:val="00616670"/>
    <w:rsid w:val="006176FB"/>
    <w:rsid w:val="00617ACA"/>
    <w:rsid w:val="006220FC"/>
    <w:rsid w:val="00622479"/>
    <w:rsid w:val="00623B29"/>
    <w:rsid w:val="0062528C"/>
    <w:rsid w:val="0063059B"/>
    <w:rsid w:val="006310FC"/>
    <w:rsid w:val="00631322"/>
    <w:rsid w:val="00640B26"/>
    <w:rsid w:val="00642303"/>
    <w:rsid w:val="006454AA"/>
    <w:rsid w:val="00652D0A"/>
    <w:rsid w:val="00657385"/>
    <w:rsid w:val="0066048E"/>
    <w:rsid w:val="00662BB6"/>
    <w:rsid w:val="00676081"/>
    <w:rsid w:val="006762A9"/>
    <w:rsid w:val="00684C21"/>
    <w:rsid w:val="00694DF1"/>
    <w:rsid w:val="006953E7"/>
    <w:rsid w:val="006B5F21"/>
    <w:rsid w:val="006D0BAE"/>
    <w:rsid w:val="006D18A1"/>
    <w:rsid w:val="006D37AF"/>
    <w:rsid w:val="006D51D0"/>
    <w:rsid w:val="006D6A3D"/>
    <w:rsid w:val="006E3871"/>
    <w:rsid w:val="006E564B"/>
    <w:rsid w:val="006E7191"/>
    <w:rsid w:val="006F04F3"/>
    <w:rsid w:val="006F0FEF"/>
    <w:rsid w:val="006F3534"/>
    <w:rsid w:val="00703577"/>
    <w:rsid w:val="00711324"/>
    <w:rsid w:val="00720FBE"/>
    <w:rsid w:val="007227C4"/>
    <w:rsid w:val="00724CD8"/>
    <w:rsid w:val="0072632A"/>
    <w:rsid w:val="00730565"/>
    <w:rsid w:val="007317B5"/>
    <w:rsid w:val="00732481"/>
    <w:rsid w:val="007327D5"/>
    <w:rsid w:val="007629C8"/>
    <w:rsid w:val="007635C6"/>
    <w:rsid w:val="00783569"/>
    <w:rsid w:val="00792A49"/>
    <w:rsid w:val="007A3BE4"/>
    <w:rsid w:val="007A4C34"/>
    <w:rsid w:val="007B6BA5"/>
    <w:rsid w:val="007C0829"/>
    <w:rsid w:val="007C3390"/>
    <w:rsid w:val="007C4F4B"/>
    <w:rsid w:val="007C7778"/>
    <w:rsid w:val="007C784F"/>
    <w:rsid w:val="007D38BA"/>
    <w:rsid w:val="007D460D"/>
    <w:rsid w:val="007D4DFA"/>
    <w:rsid w:val="007D6B5C"/>
    <w:rsid w:val="007E0B2D"/>
    <w:rsid w:val="007F6611"/>
    <w:rsid w:val="007F69C7"/>
    <w:rsid w:val="00805D73"/>
    <w:rsid w:val="008105B8"/>
    <w:rsid w:val="0081244B"/>
    <w:rsid w:val="008155F1"/>
    <w:rsid w:val="008242D7"/>
    <w:rsid w:val="0082442E"/>
    <w:rsid w:val="008257B1"/>
    <w:rsid w:val="00825E0A"/>
    <w:rsid w:val="00833435"/>
    <w:rsid w:val="00835334"/>
    <w:rsid w:val="00836B0E"/>
    <w:rsid w:val="00841734"/>
    <w:rsid w:val="00843578"/>
    <w:rsid w:val="00843767"/>
    <w:rsid w:val="00847B21"/>
    <w:rsid w:val="008618C9"/>
    <w:rsid w:val="0086779C"/>
    <w:rsid w:val="008679D9"/>
    <w:rsid w:val="008708A0"/>
    <w:rsid w:val="00881E66"/>
    <w:rsid w:val="008979B1"/>
    <w:rsid w:val="008A1DB2"/>
    <w:rsid w:val="008A59BB"/>
    <w:rsid w:val="008A6B25"/>
    <w:rsid w:val="008A6C4F"/>
    <w:rsid w:val="008B2335"/>
    <w:rsid w:val="008B251F"/>
    <w:rsid w:val="008D121C"/>
    <w:rsid w:val="008E0678"/>
    <w:rsid w:val="008F4012"/>
    <w:rsid w:val="008F756B"/>
    <w:rsid w:val="00910F40"/>
    <w:rsid w:val="00912C08"/>
    <w:rsid w:val="00916D1F"/>
    <w:rsid w:val="00917CDA"/>
    <w:rsid w:val="009223CA"/>
    <w:rsid w:val="00940F93"/>
    <w:rsid w:val="009477DB"/>
    <w:rsid w:val="0095347F"/>
    <w:rsid w:val="00957D90"/>
    <w:rsid w:val="009610A4"/>
    <w:rsid w:val="00961E57"/>
    <w:rsid w:val="00962640"/>
    <w:rsid w:val="009644B8"/>
    <w:rsid w:val="0097488E"/>
    <w:rsid w:val="009760F3"/>
    <w:rsid w:val="0097647A"/>
    <w:rsid w:val="00983181"/>
    <w:rsid w:val="009909F5"/>
    <w:rsid w:val="00993C01"/>
    <w:rsid w:val="009A0E8D"/>
    <w:rsid w:val="009B26E7"/>
    <w:rsid w:val="009B4DC7"/>
    <w:rsid w:val="009B7C7A"/>
    <w:rsid w:val="009C0EB2"/>
    <w:rsid w:val="009C3567"/>
    <w:rsid w:val="009C6FBB"/>
    <w:rsid w:val="009D120A"/>
    <w:rsid w:val="009D574C"/>
    <w:rsid w:val="009E22A5"/>
    <w:rsid w:val="009F14AF"/>
    <w:rsid w:val="009F1BB1"/>
    <w:rsid w:val="009F26AA"/>
    <w:rsid w:val="009F6C1B"/>
    <w:rsid w:val="00A00A3F"/>
    <w:rsid w:val="00A01489"/>
    <w:rsid w:val="00A04F91"/>
    <w:rsid w:val="00A059A7"/>
    <w:rsid w:val="00A111B6"/>
    <w:rsid w:val="00A20F4A"/>
    <w:rsid w:val="00A338F1"/>
    <w:rsid w:val="00A36600"/>
    <w:rsid w:val="00A41340"/>
    <w:rsid w:val="00A44615"/>
    <w:rsid w:val="00A4748D"/>
    <w:rsid w:val="00A53A7C"/>
    <w:rsid w:val="00A72F22"/>
    <w:rsid w:val="00A7360F"/>
    <w:rsid w:val="00A748A6"/>
    <w:rsid w:val="00A769F4"/>
    <w:rsid w:val="00A7735D"/>
    <w:rsid w:val="00A776B4"/>
    <w:rsid w:val="00A838C2"/>
    <w:rsid w:val="00A9232B"/>
    <w:rsid w:val="00A94361"/>
    <w:rsid w:val="00A97C2F"/>
    <w:rsid w:val="00AA293C"/>
    <w:rsid w:val="00AA3778"/>
    <w:rsid w:val="00AA489F"/>
    <w:rsid w:val="00AB4C4B"/>
    <w:rsid w:val="00AD0BC0"/>
    <w:rsid w:val="00AF1403"/>
    <w:rsid w:val="00AF2DE0"/>
    <w:rsid w:val="00AF30F4"/>
    <w:rsid w:val="00B01E1A"/>
    <w:rsid w:val="00B12DA6"/>
    <w:rsid w:val="00B13E9B"/>
    <w:rsid w:val="00B20E2B"/>
    <w:rsid w:val="00B2588A"/>
    <w:rsid w:val="00B30179"/>
    <w:rsid w:val="00B339A7"/>
    <w:rsid w:val="00B34BD5"/>
    <w:rsid w:val="00B40A72"/>
    <w:rsid w:val="00B51B94"/>
    <w:rsid w:val="00B56E4A"/>
    <w:rsid w:val="00B56E9C"/>
    <w:rsid w:val="00B64B1F"/>
    <w:rsid w:val="00B6553F"/>
    <w:rsid w:val="00B66E5E"/>
    <w:rsid w:val="00B7534D"/>
    <w:rsid w:val="00B77D05"/>
    <w:rsid w:val="00B81206"/>
    <w:rsid w:val="00B81E12"/>
    <w:rsid w:val="00B87C8A"/>
    <w:rsid w:val="00B9067B"/>
    <w:rsid w:val="00BA28F3"/>
    <w:rsid w:val="00BB04C3"/>
    <w:rsid w:val="00BC2C23"/>
    <w:rsid w:val="00BC53EB"/>
    <w:rsid w:val="00BC74E9"/>
    <w:rsid w:val="00BD078A"/>
    <w:rsid w:val="00BD753B"/>
    <w:rsid w:val="00BE05AF"/>
    <w:rsid w:val="00BE59E0"/>
    <w:rsid w:val="00BF1DB3"/>
    <w:rsid w:val="00BF3E80"/>
    <w:rsid w:val="00BF68A8"/>
    <w:rsid w:val="00C0453D"/>
    <w:rsid w:val="00C11A03"/>
    <w:rsid w:val="00C14017"/>
    <w:rsid w:val="00C14A8E"/>
    <w:rsid w:val="00C16643"/>
    <w:rsid w:val="00C2122A"/>
    <w:rsid w:val="00C22E76"/>
    <w:rsid w:val="00C267DE"/>
    <w:rsid w:val="00C37D2E"/>
    <w:rsid w:val="00C4426B"/>
    <w:rsid w:val="00C442C2"/>
    <w:rsid w:val="00C463DD"/>
    <w:rsid w:val="00C4724C"/>
    <w:rsid w:val="00C51C35"/>
    <w:rsid w:val="00C629A0"/>
    <w:rsid w:val="00C63DA4"/>
    <w:rsid w:val="00C72B6C"/>
    <w:rsid w:val="00C745C3"/>
    <w:rsid w:val="00C8138B"/>
    <w:rsid w:val="00C8465E"/>
    <w:rsid w:val="00CA1DB5"/>
    <w:rsid w:val="00CA229E"/>
    <w:rsid w:val="00CB0EFE"/>
    <w:rsid w:val="00CB57E0"/>
    <w:rsid w:val="00CC00F0"/>
    <w:rsid w:val="00CC7FF9"/>
    <w:rsid w:val="00CD318D"/>
    <w:rsid w:val="00CE4207"/>
    <w:rsid w:val="00CE4A8F"/>
    <w:rsid w:val="00D04669"/>
    <w:rsid w:val="00D112CB"/>
    <w:rsid w:val="00D150C0"/>
    <w:rsid w:val="00D2031B"/>
    <w:rsid w:val="00D25FE2"/>
    <w:rsid w:val="00D31264"/>
    <w:rsid w:val="00D43252"/>
    <w:rsid w:val="00D45971"/>
    <w:rsid w:val="00D471C7"/>
    <w:rsid w:val="00D476E3"/>
    <w:rsid w:val="00D47EEA"/>
    <w:rsid w:val="00D535DD"/>
    <w:rsid w:val="00D563DA"/>
    <w:rsid w:val="00D610E0"/>
    <w:rsid w:val="00D65149"/>
    <w:rsid w:val="00D72EB7"/>
    <w:rsid w:val="00D80743"/>
    <w:rsid w:val="00D87E05"/>
    <w:rsid w:val="00D93106"/>
    <w:rsid w:val="00D95303"/>
    <w:rsid w:val="00D95427"/>
    <w:rsid w:val="00D95FEC"/>
    <w:rsid w:val="00D978C6"/>
    <w:rsid w:val="00DA3111"/>
    <w:rsid w:val="00DA3C1C"/>
    <w:rsid w:val="00DA5C52"/>
    <w:rsid w:val="00DA5CD4"/>
    <w:rsid w:val="00DB05CB"/>
    <w:rsid w:val="00DB0C79"/>
    <w:rsid w:val="00DB1331"/>
    <w:rsid w:val="00DC046E"/>
    <w:rsid w:val="00DC16D4"/>
    <w:rsid w:val="00DD19F8"/>
    <w:rsid w:val="00DD62C8"/>
    <w:rsid w:val="00DE5D2D"/>
    <w:rsid w:val="00DE7B7C"/>
    <w:rsid w:val="00DF24F0"/>
    <w:rsid w:val="00E03DB7"/>
    <w:rsid w:val="00E27346"/>
    <w:rsid w:val="00E30DA8"/>
    <w:rsid w:val="00E33520"/>
    <w:rsid w:val="00E47475"/>
    <w:rsid w:val="00E52381"/>
    <w:rsid w:val="00E570EB"/>
    <w:rsid w:val="00E64B45"/>
    <w:rsid w:val="00E71BC8"/>
    <w:rsid w:val="00E71EFD"/>
    <w:rsid w:val="00E7260F"/>
    <w:rsid w:val="00E72A27"/>
    <w:rsid w:val="00E732E8"/>
    <w:rsid w:val="00E7740C"/>
    <w:rsid w:val="00E779FC"/>
    <w:rsid w:val="00E87217"/>
    <w:rsid w:val="00E96630"/>
    <w:rsid w:val="00EB2581"/>
    <w:rsid w:val="00EB649B"/>
    <w:rsid w:val="00EC2E5C"/>
    <w:rsid w:val="00ED09DD"/>
    <w:rsid w:val="00ED47AF"/>
    <w:rsid w:val="00ED7414"/>
    <w:rsid w:val="00ED7A2A"/>
    <w:rsid w:val="00EE7232"/>
    <w:rsid w:val="00EE7CD7"/>
    <w:rsid w:val="00EF1D7F"/>
    <w:rsid w:val="00EF53CD"/>
    <w:rsid w:val="00EF5FF9"/>
    <w:rsid w:val="00F06646"/>
    <w:rsid w:val="00F20C3D"/>
    <w:rsid w:val="00F307ED"/>
    <w:rsid w:val="00F34986"/>
    <w:rsid w:val="00F34A23"/>
    <w:rsid w:val="00F43E9E"/>
    <w:rsid w:val="00F50760"/>
    <w:rsid w:val="00F52BFE"/>
    <w:rsid w:val="00F67040"/>
    <w:rsid w:val="00F6717C"/>
    <w:rsid w:val="00F75684"/>
    <w:rsid w:val="00F767BD"/>
    <w:rsid w:val="00F81123"/>
    <w:rsid w:val="00F84FB1"/>
    <w:rsid w:val="00F87A63"/>
    <w:rsid w:val="00F90375"/>
    <w:rsid w:val="00F9057C"/>
    <w:rsid w:val="00F906D7"/>
    <w:rsid w:val="00F92FE5"/>
    <w:rsid w:val="00F93781"/>
    <w:rsid w:val="00FA4697"/>
    <w:rsid w:val="00FB613B"/>
    <w:rsid w:val="00FC0067"/>
    <w:rsid w:val="00FC1B77"/>
    <w:rsid w:val="00FC33EC"/>
    <w:rsid w:val="00FC68B7"/>
    <w:rsid w:val="00FC6B1B"/>
    <w:rsid w:val="00FE106A"/>
    <w:rsid w:val="00FF0E81"/>
    <w:rsid w:val="00FF30D5"/>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46A8E79"/>
  <w15:docId w15:val="{AD600D83-5A0A-45D9-B481-556EEC6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uiPriority w:val="99"/>
    <w:rsid w:val="008F4012"/>
    <w:rPr>
      <w:sz w:val="18"/>
      <w:lang w:val="en-GB" w:eastAsia="en-US"/>
    </w:rPr>
  </w:style>
  <w:style w:type="character" w:styleId="CommentReference">
    <w:name w:val="annotation reference"/>
    <w:basedOn w:val="DefaultParagraphFont"/>
    <w:semiHidden/>
    <w:unhideWhenUsed/>
    <w:rsid w:val="009E22A5"/>
    <w:rPr>
      <w:sz w:val="16"/>
      <w:szCs w:val="16"/>
    </w:rPr>
  </w:style>
  <w:style w:type="paragraph" w:styleId="CommentText">
    <w:name w:val="annotation text"/>
    <w:basedOn w:val="Normal"/>
    <w:link w:val="CommentTextChar"/>
    <w:semiHidden/>
    <w:unhideWhenUsed/>
    <w:rsid w:val="009E22A5"/>
    <w:pPr>
      <w:spacing w:line="240" w:lineRule="auto"/>
    </w:pPr>
  </w:style>
  <w:style w:type="character" w:customStyle="1" w:styleId="CommentTextChar">
    <w:name w:val="Comment Text Char"/>
    <w:basedOn w:val="DefaultParagraphFont"/>
    <w:link w:val="CommentText"/>
    <w:semiHidden/>
    <w:rsid w:val="009E22A5"/>
    <w:rPr>
      <w:lang w:val="en-GB" w:eastAsia="en-US"/>
    </w:rPr>
  </w:style>
  <w:style w:type="paragraph" w:styleId="CommentSubject">
    <w:name w:val="annotation subject"/>
    <w:basedOn w:val="CommentText"/>
    <w:next w:val="CommentText"/>
    <w:link w:val="CommentSubjectChar"/>
    <w:semiHidden/>
    <w:unhideWhenUsed/>
    <w:rsid w:val="009E22A5"/>
    <w:rPr>
      <w:b/>
      <w:bCs/>
    </w:rPr>
  </w:style>
  <w:style w:type="character" w:customStyle="1" w:styleId="CommentSubjectChar">
    <w:name w:val="Comment Subject Char"/>
    <w:basedOn w:val="CommentTextChar"/>
    <w:link w:val="CommentSubject"/>
    <w:semiHidden/>
    <w:rsid w:val="009E22A5"/>
    <w:rPr>
      <w:b/>
      <w:bCs/>
      <w:lang w:val="en-GB"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B87C8A"/>
    <w:rPr>
      <w:rFonts w:eastAsia="SimSun"/>
      <w:sz w:val="18"/>
      <w:szCs w:val="20"/>
      <w:lang w:val="en-US" w:eastAsia="zh-CN"/>
    </w:rPr>
  </w:style>
  <w:style w:type="paragraph" w:styleId="Revision">
    <w:name w:val="Revision"/>
    <w:hidden/>
    <w:uiPriority w:val="99"/>
    <w:semiHidden/>
    <w:rsid w:val="009F26AA"/>
    <w:rPr>
      <w:lang w:val="en-GB" w:eastAsia="en-US"/>
    </w:rPr>
  </w:style>
  <w:style w:type="character" w:customStyle="1" w:styleId="en">
    <w:name w:val="en"/>
    <w:basedOn w:val="DefaultParagraphFont"/>
    <w:rsid w:val="00D112CB"/>
  </w:style>
  <w:style w:type="paragraph" w:styleId="NormalWeb">
    <w:name w:val="Normal (Web)"/>
    <w:basedOn w:val="Normal"/>
    <w:uiPriority w:val="99"/>
    <w:unhideWhenUsed/>
    <w:rsid w:val="0039301C"/>
    <w:pPr>
      <w:suppressAutoHyphens w:val="0"/>
      <w:spacing w:before="100" w:beforeAutospacing="1" w:after="100" w:afterAutospacing="1" w:line="240" w:lineRule="auto"/>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950">
      <w:bodyDiv w:val="1"/>
      <w:marLeft w:val="0"/>
      <w:marRight w:val="0"/>
      <w:marTop w:val="0"/>
      <w:marBottom w:val="0"/>
      <w:divBdr>
        <w:top w:val="none" w:sz="0" w:space="0" w:color="auto"/>
        <w:left w:val="none" w:sz="0" w:space="0" w:color="auto"/>
        <w:bottom w:val="none" w:sz="0" w:space="0" w:color="auto"/>
        <w:right w:val="none" w:sz="0" w:space="0" w:color="auto"/>
      </w:divBdr>
    </w:div>
    <w:div w:id="657995539">
      <w:bodyDiv w:val="1"/>
      <w:marLeft w:val="0"/>
      <w:marRight w:val="0"/>
      <w:marTop w:val="0"/>
      <w:marBottom w:val="0"/>
      <w:divBdr>
        <w:top w:val="none" w:sz="0" w:space="0" w:color="auto"/>
        <w:left w:val="none" w:sz="0" w:space="0" w:color="auto"/>
        <w:bottom w:val="none" w:sz="0" w:space="0" w:color="auto"/>
        <w:right w:val="none" w:sz="0" w:space="0" w:color="auto"/>
      </w:divBdr>
      <w:divsChild>
        <w:div w:id="18889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8012">
      <w:bodyDiv w:val="1"/>
      <w:marLeft w:val="0"/>
      <w:marRight w:val="0"/>
      <w:marTop w:val="0"/>
      <w:marBottom w:val="0"/>
      <w:divBdr>
        <w:top w:val="none" w:sz="0" w:space="0" w:color="auto"/>
        <w:left w:val="none" w:sz="0" w:space="0" w:color="auto"/>
        <w:bottom w:val="none" w:sz="0" w:space="0" w:color="auto"/>
        <w:right w:val="none" w:sz="0" w:space="0" w:color="auto"/>
      </w:divBdr>
    </w:div>
    <w:div w:id="18437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rda.org/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ase xmlns="1bb7588e-e247-4215-aaaa-8ddb8e8e8079" xsi:nil="true"/>
    <Discontinuance_cases xmlns="843519ee-602c-4a77-9f98-e0b2d1df032d">false</Discontinuance_cases>
    <Repetitive_x0020_case xmlns="cee5b112-2558-43f2-ae1c-364cbc543187">false</Repetitive_x0020_case>
    <Document_x0020_to_x0020_be_x0020_displayed_x0020_at_x0020_the_x0020_top xmlns="d45e640f-736f-4e97-8a08-95266381a138">false</Document_x0020_to_x0020_be_x0020_displayed_x0020_at_x0020_the_x0020_top>
  </documentManagement>
</p:properties>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31F777094AB41C4492AB39CFD3C0C13A" ma:contentTypeVersion="10" ma:contentTypeDescription="" ma:contentTypeScope="" ma:versionID="85854dccf60bf7f6cf835d05958d13fe">
  <xsd:schema xmlns:xsd="http://www.w3.org/2001/XMLSchema" xmlns:xs="http://www.w3.org/2001/XMLSchema" xmlns:p="http://schemas.microsoft.com/office/2006/metadata/properties" xmlns:ns2="843519ee-602c-4a77-9f98-e0b2d1df032d" xmlns:ns3="1bb7588e-e247-4215-aaaa-8ddb8e8e8079" xmlns:ns4="cee5b112-2558-43f2-ae1c-364cbc543187" xmlns:ns5="d45e640f-736f-4e97-8a08-95266381a138" targetNamespace="http://schemas.microsoft.com/office/2006/metadata/properties" ma:root="true" ma:fieldsID="ffe9b470551c0d3b399847901c04a5b9" ns2:_="" ns3:_="" ns4:_="" ns5:_="">
    <xsd:import namespace="843519ee-602c-4a77-9f98-e0b2d1df032d"/>
    <xsd:import namespace="1bb7588e-e247-4215-aaaa-8ddb8e8e8079"/>
    <xsd:import namespace="cee5b112-2558-43f2-ae1c-364cbc543187"/>
    <xsd:import namespace="d45e640f-736f-4e97-8a08-95266381a138"/>
    <xsd:element name="properties">
      <xsd:complexType>
        <xsd:sequence>
          <xsd:element name="documentManagement">
            <xsd:complexType>
              <xsd:all>
                <xsd:element ref="ns2:Folder" minOccurs="0"/>
                <xsd:element ref="ns2:Cover_x0020_page" minOccurs="0"/>
                <xsd:element ref="ns3:Case" minOccurs="0"/>
                <xsd:element ref="ns2:Discontinuance_cases" minOccurs="0"/>
                <xsd:element ref="ns4:Repetitive_x0020_case" minOccurs="0"/>
                <xsd:element ref="ns5:Document_x0020_to_x0020_be_x0020_displayed_x0020_at_x0020_the_x0020_t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element name="Discontinuance_cases" ma:index="11" nillable="true" ma:displayName="Discontinuance_cases" ma:default="0" ma:description="Check the box if it is a discontinuance case" ma:internalName="Discontinuance_cas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e5b112-2558-43f2-ae1c-364cbc543187" elementFormDefault="qualified">
    <xsd:import namespace="http://schemas.microsoft.com/office/2006/documentManagement/types"/>
    <xsd:import namespace="http://schemas.microsoft.com/office/infopath/2007/PartnerControls"/>
    <xsd:element name="Repetitive_x0020_case" ma:index="12" nillable="true" ma:displayName="Repetitive case" ma:default="0" ma:description="Check the box if it is a repetitive case" ma:internalName="Repetitive_x0020_ca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5e640f-736f-4e97-8a08-95266381a138" elementFormDefault="qualified">
    <xsd:import namespace="http://schemas.microsoft.com/office/2006/documentManagement/types"/>
    <xsd:import namespace="http://schemas.microsoft.com/office/infopath/2007/PartnerControls"/>
    <xsd:element name="Document_x0020_to_x0020_be_x0020_displayed_x0020_at_x0020_the_x0020_top" ma:index="13" nillable="true" ma:displayName="Document to be displayed at the top" ma:default="0" ma:description="Check the box to display the document at the top" ma:internalName="Document_x0020_to_x0020_be_x0020_displayed_x0020_at_x0020_the_x0020_to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F3A5-192E-4188-A24E-3EE50EB8C075}">
  <ds:schemaRefs>
    <ds:schemaRef ds:uri="http://schemas.microsoft.com/sharepoint/v3/contenttype/forms"/>
  </ds:schemaRefs>
</ds:datastoreItem>
</file>

<file path=customXml/itemProps2.xml><?xml version="1.0" encoding="utf-8"?>
<ds:datastoreItem xmlns:ds="http://schemas.openxmlformats.org/officeDocument/2006/customXml" ds:itemID="{03830781-AF36-417C-BAE5-019851175646}">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45e640f-736f-4e97-8a08-95266381a138"/>
    <ds:schemaRef ds:uri="843519ee-602c-4a77-9f98-e0b2d1df032d"/>
    <ds:schemaRef ds:uri="http://schemas.microsoft.com/office/2006/documentManagement/types"/>
    <ds:schemaRef ds:uri="cee5b112-2558-43f2-ae1c-364cbc543187"/>
    <ds:schemaRef ds:uri="1bb7588e-e247-4215-aaaa-8ddb8e8e8079"/>
    <ds:schemaRef ds:uri="http://www.w3.org/XML/1998/namespace"/>
    <ds:schemaRef ds:uri="http://purl.org/dc/dcmitype/"/>
  </ds:schemaRefs>
</ds:datastoreItem>
</file>

<file path=customXml/itemProps3.xml><?xml version="1.0" encoding="utf-8"?>
<ds:datastoreItem xmlns:ds="http://schemas.openxmlformats.org/officeDocument/2006/customXml" ds:itemID="{3121AA8C-DDD3-4F11-B1DB-28CD1060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cee5b112-2558-43f2-ae1c-364cbc543187"/>
    <ds:schemaRef ds:uri="d45e640f-736f-4e97-8a08-95266381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B827C-DCAB-4560-87DB-D11E70CF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7476</Words>
  <Characters>37974</Characters>
  <Application>Microsoft Office Word</Application>
  <DocSecurity>0</DocSecurity>
  <Lines>566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CCPR/C/124/D/2413/2014</vt:lpstr>
      <vt:lpstr>United Nations</vt:lpstr>
    </vt:vector>
  </TitlesOfParts>
  <Company>CSD</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1820526</dc:subject>
  <dc:creator>Generic Desk Anglais</dc:creator>
  <cp:keywords/>
  <dc:description/>
  <cp:lastModifiedBy>Generic Desk Anglais</cp:lastModifiedBy>
  <cp:revision>2</cp:revision>
  <cp:lastPrinted>2018-10-29T11:27:00Z</cp:lastPrinted>
  <dcterms:created xsi:type="dcterms:W3CDTF">2018-11-29T12:46:00Z</dcterms:created>
  <dcterms:modified xsi:type="dcterms:W3CDTF">2018-11-29T12:46:00Z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0x010100A70BC505B2949A43BBFACEE4A97207700031F777094AB41C4492AB39CFD3C0C13A</vt:lpwstr>
  </property>
</Properties>
</file>