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BA3F3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BA3F30" w:rsidP="00BA3F30">
            <w:pPr>
              <w:jc w:val="right"/>
            </w:pPr>
            <w:r w:rsidRPr="00BA3F30">
              <w:rPr>
                <w:sz w:val="40"/>
              </w:rPr>
              <w:t>CCPR</w:t>
            </w:r>
            <w:r>
              <w:t>/C/122/D/2217/2012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BA3F30" w:rsidP="002B7BC7">
            <w:pPr>
              <w:spacing w:before="240"/>
            </w:pPr>
            <w:r>
              <w:t>Distr. générale</w:t>
            </w:r>
          </w:p>
          <w:p w:rsidR="00BA3F30" w:rsidRDefault="00BA3F30" w:rsidP="00BA3F30">
            <w:pPr>
              <w:spacing w:line="240" w:lineRule="exact"/>
            </w:pPr>
            <w:r>
              <w:t>16 mai 2018</w:t>
            </w:r>
          </w:p>
          <w:p w:rsidR="00BA3F30" w:rsidRDefault="00BA3F30" w:rsidP="00BA3F30">
            <w:pPr>
              <w:spacing w:line="240" w:lineRule="exact"/>
            </w:pPr>
            <w:r>
              <w:t>Français</w:t>
            </w:r>
          </w:p>
          <w:p w:rsidR="00BA3F30" w:rsidRPr="00DB58B5" w:rsidRDefault="00BA3F30" w:rsidP="00BA3F30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</w:t>
      </w:r>
      <w:r w:rsidR="00B908BE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:rsidR="00BA3F30" w:rsidRPr="006D452F" w:rsidRDefault="00BA3F30" w:rsidP="00BA3F30">
      <w:pPr>
        <w:pStyle w:val="HChG"/>
      </w:pPr>
      <w:r w:rsidRPr="006D452F">
        <w:tab/>
      </w:r>
      <w:r w:rsidRPr="006D452F">
        <w:tab/>
        <w:t>C</w:t>
      </w:r>
      <w:r>
        <w:t>onstatations adoptées par le Comité au titre de l</w:t>
      </w:r>
      <w:r w:rsidR="00B908BE">
        <w:t>’</w:t>
      </w:r>
      <w:r>
        <w:t>article 5 (par. 4) du Protocole facultatif, concernant la c</w:t>
      </w:r>
      <w:r w:rsidRPr="006D452F">
        <w:t>ommunication n</w:t>
      </w:r>
      <w:r w:rsidRPr="006D452F">
        <w:rPr>
          <w:vertAlign w:val="superscript"/>
        </w:rPr>
        <w:t>o</w:t>
      </w:r>
      <w:r w:rsidRPr="006D452F">
        <w:t> </w:t>
      </w:r>
      <w:r w:rsidRPr="00242538">
        <w:rPr>
          <w:rFonts w:eastAsia="Times New Roman"/>
          <w:bCs/>
          <w:lang w:val="fr-FR"/>
        </w:rPr>
        <w:t>2217/2012</w:t>
      </w:r>
      <w:r w:rsidRPr="005D460D">
        <w:rPr>
          <w:rStyle w:val="Appelnotedebasdep"/>
          <w:rFonts w:eastAsia="Times New Roman"/>
          <w:b w:val="0"/>
          <w:bCs/>
          <w:sz w:val="20"/>
          <w:vertAlign w:val="baseline"/>
        </w:rPr>
        <w:footnoteReference w:customMarkFollows="1" w:id="2"/>
        <w:t>*</w:t>
      </w:r>
      <w:r w:rsidRPr="005D460D">
        <w:rPr>
          <w:rFonts w:eastAsia="Times New Roman"/>
          <w:b w:val="0"/>
          <w:bCs/>
          <w:position w:val="6"/>
          <w:sz w:val="20"/>
        </w:rPr>
        <w:t>,</w:t>
      </w:r>
      <w:r w:rsidR="005D460D">
        <w:rPr>
          <w:rFonts w:eastAsia="Times New Roman"/>
          <w:b w:val="0"/>
          <w:bCs/>
          <w:sz w:val="20"/>
        </w:rPr>
        <w:t xml:space="preserve"> </w:t>
      </w:r>
      <w:r w:rsidR="009A6608" w:rsidRPr="009A6608">
        <w:rPr>
          <w:rStyle w:val="Appelnotedebasdep"/>
          <w:rFonts w:eastAsia="Times New Roman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969" w:type="dxa"/>
          </w:tcPr>
          <w:p w:rsidR="00BA3F30" w:rsidRPr="006D452F" w:rsidRDefault="00BA3F30" w:rsidP="008B1E5D">
            <w:pPr>
              <w:spacing w:after="120"/>
            </w:pPr>
            <w:r w:rsidRPr="003738B7">
              <w:rPr>
                <w:lang w:val="fr-FR"/>
              </w:rPr>
              <w:t>Elena Popova (représentée par un conseil, Sergei Golubok)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3969" w:type="dxa"/>
          </w:tcPr>
          <w:p w:rsidR="00BA3F30" w:rsidRPr="006D452F" w:rsidRDefault="005D460D" w:rsidP="008B1E5D">
            <w:pPr>
              <w:spacing w:after="120"/>
            </w:pPr>
            <w:r w:rsidRPr="003738B7">
              <w:rPr>
                <w:lang w:val="fr-FR"/>
              </w:rPr>
              <w:t>Elena Popova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969" w:type="dxa"/>
          </w:tcPr>
          <w:p w:rsidR="00BA3F30" w:rsidRPr="006D452F" w:rsidRDefault="00BA3F30" w:rsidP="008B1E5D">
            <w:pPr>
              <w:spacing w:after="120"/>
            </w:pPr>
            <w:r w:rsidRPr="00242538">
              <w:rPr>
                <w:rFonts w:eastAsia="Times New Roman"/>
                <w:szCs w:val="24"/>
                <w:lang w:val="fr-FR"/>
              </w:rPr>
              <w:t>Fédération de Russie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</w:rPr>
              <w:t>Date de la communication</w:t>
            </w:r>
            <w:r>
              <w:t> :</w:t>
            </w:r>
          </w:p>
        </w:tc>
        <w:tc>
          <w:tcPr>
            <w:tcW w:w="3969" w:type="dxa"/>
          </w:tcPr>
          <w:p w:rsidR="00BA3F30" w:rsidRPr="006D452F" w:rsidRDefault="00BA3F30" w:rsidP="008B1E5D">
            <w:pPr>
              <w:spacing w:after="120"/>
            </w:pPr>
            <w:r w:rsidRPr="00242538">
              <w:rPr>
                <w:rFonts w:eastAsia="Times New Roman"/>
                <w:szCs w:val="24"/>
                <w:lang w:val="fr-FR"/>
              </w:rPr>
              <w:t>10</w:t>
            </w:r>
            <w:r>
              <w:rPr>
                <w:rFonts w:eastAsia="Times New Roman"/>
                <w:szCs w:val="24"/>
                <w:lang w:val="fr-FR"/>
              </w:rPr>
              <w:t> </w:t>
            </w:r>
            <w:r w:rsidRPr="00242538">
              <w:rPr>
                <w:rFonts w:eastAsia="Times New Roman"/>
                <w:szCs w:val="24"/>
                <w:lang w:val="fr-FR"/>
              </w:rPr>
              <w:t xml:space="preserve">mai 2012 </w:t>
            </w:r>
            <w:r w:rsidRPr="006D452F">
              <w:t>(date de la lettre initiale)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</w:rPr>
              <w:t>Références</w:t>
            </w:r>
            <w:r>
              <w:t> :</w:t>
            </w:r>
          </w:p>
        </w:tc>
        <w:tc>
          <w:tcPr>
            <w:tcW w:w="3969" w:type="dxa"/>
          </w:tcPr>
          <w:p w:rsidR="00BA3F30" w:rsidRPr="006D452F" w:rsidRDefault="00BA3F30" w:rsidP="008B1E5D">
            <w:pPr>
              <w:spacing w:after="120"/>
            </w:pPr>
            <w:r w:rsidRPr="003738B7">
              <w:rPr>
                <w:lang w:val="fr-FR"/>
              </w:rPr>
              <w:t>Décision prise en application de l</w:t>
            </w:r>
            <w:r w:rsidR="00B908BE">
              <w:rPr>
                <w:lang w:val="fr-FR"/>
              </w:rPr>
              <w:t>’</w:t>
            </w:r>
            <w:r w:rsidRPr="003738B7">
              <w:rPr>
                <w:lang w:val="fr-FR"/>
              </w:rPr>
              <w:t>article</w:t>
            </w:r>
            <w:r>
              <w:rPr>
                <w:lang w:val="fr-FR"/>
              </w:rPr>
              <w:t xml:space="preserve"> </w:t>
            </w:r>
            <w:r w:rsidRPr="003738B7">
              <w:rPr>
                <w:lang w:val="fr-FR"/>
              </w:rPr>
              <w:t>97 du règlement intérieur du Comité, communiquée à l</w:t>
            </w:r>
            <w:r w:rsidR="00B908BE">
              <w:rPr>
                <w:lang w:val="fr-FR"/>
              </w:rPr>
              <w:t>’</w:t>
            </w:r>
            <w:r w:rsidRPr="003738B7">
              <w:rPr>
                <w:lang w:val="fr-FR"/>
              </w:rPr>
              <w:t>État partie le 29 novembre 2012 (non publiée sous forme de document)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</w:rPr>
              <w:t>Date de</w:t>
            </w:r>
            <w:r>
              <w:rPr>
                <w:i/>
              </w:rPr>
              <w:t>s</w:t>
            </w:r>
            <w:r w:rsidRPr="006D452F">
              <w:rPr>
                <w:i/>
              </w:rPr>
              <w:t xml:space="preserve"> </w:t>
            </w:r>
            <w:r>
              <w:rPr>
                <w:i/>
              </w:rPr>
              <w:t>constatat</w:t>
            </w:r>
            <w:r w:rsidRPr="006D452F">
              <w:rPr>
                <w:i/>
              </w:rPr>
              <w:t>ion</w:t>
            </w:r>
            <w:r>
              <w:rPr>
                <w:i/>
              </w:rPr>
              <w:t>s</w:t>
            </w:r>
            <w:r>
              <w:t> :</w:t>
            </w:r>
          </w:p>
        </w:tc>
        <w:tc>
          <w:tcPr>
            <w:tcW w:w="3969" w:type="dxa"/>
          </w:tcPr>
          <w:p w:rsidR="00BA3F30" w:rsidRPr="006D452F" w:rsidRDefault="00BA3F30" w:rsidP="008B1E5D">
            <w:pPr>
              <w:spacing w:after="120"/>
            </w:pPr>
            <w:r>
              <w:t>6 avril 2018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  <w:iCs/>
              </w:rPr>
              <w:t>Objet</w:t>
            </w:r>
            <w:r>
              <w:t> :</w:t>
            </w:r>
          </w:p>
        </w:tc>
        <w:tc>
          <w:tcPr>
            <w:tcW w:w="3969" w:type="dxa"/>
          </w:tcPr>
          <w:p w:rsidR="00BA3F30" w:rsidRPr="003738B7" w:rsidRDefault="00BA3F30" w:rsidP="008B1E5D">
            <w:pPr>
              <w:spacing w:after="120"/>
            </w:pPr>
            <w:r w:rsidRPr="003738B7">
              <w:rPr>
                <w:lang w:val="fr-FR"/>
              </w:rPr>
              <w:t xml:space="preserve">Arrestation et </w:t>
            </w:r>
            <w:r>
              <w:rPr>
                <w:lang w:val="fr-FR"/>
              </w:rPr>
              <w:t>imposition d</w:t>
            </w:r>
            <w:r w:rsidR="00B908BE">
              <w:rPr>
                <w:lang w:val="fr-FR"/>
              </w:rPr>
              <w:t>’</w:t>
            </w:r>
            <w:r>
              <w:rPr>
                <w:lang w:val="fr-FR"/>
              </w:rPr>
              <w:t xml:space="preserve">une </w:t>
            </w:r>
            <w:r w:rsidRPr="003738B7">
              <w:rPr>
                <w:lang w:val="fr-FR"/>
              </w:rPr>
              <w:t>amende à la suite d</w:t>
            </w:r>
            <w:r w:rsidR="00B908BE">
              <w:rPr>
                <w:lang w:val="fr-FR"/>
              </w:rPr>
              <w:t>’</w:t>
            </w:r>
            <w:r w:rsidRPr="003738B7">
              <w:rPr>
                <w:lang w:val="fr-FR"/>
              </w:rPr>
              <w:t>une manifestation non autorisée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  <w:iCs/>
              </w:rPr>
              <w:t>Question(s) de procédure</w:t>
            </w:r>
            <w:r>
              <w:t> :</w:t>
            </w:r>
          </w:p>
        </w:tc>
        <w:tc>
          <w:tcPr>
            <w:tcW w:w="3969" w:type="dxa"/>
          </w:tcPr>
          <w:p w:rsidR="00BA3F30" w:rsidRPr="003738B7" w:rsidRDefault="00BA3F30" w:rsidP="008B1E5D">
            <w:pPr>
              <w:spacing w:after="120"/>
            </w:pPr>
            <w:r>
              <w:rPr>
                <w:lang w:val="fr-FR"/>
              </w:rPr>
              <w:t>Défaut de fondement des g</w:t>
            </w:r>
            <w:r w:rsidRPr="003738B7">
              <w:rPr>
                <w:lang w:val="fr-FR"/>
              </w:rPr>
              <w:t xml:space="preserve">riefs 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  <w:iCs/>
              </w:rPr>
              <w:t>Question(s) de fond</w:t>
            </w:r>
            <w:r>
              <w:t> :</w:t>
            </w:r>
          </w:p>
        </w:tc>
        <w:tc>
          <w:tcPr>
            <w:tcW w:w="3969" w:type="dxa"/>
          </w:tcPr>
          <w:p w:rsidR="00BA3F30" w:rsidRPr="003738B7" w:rsidRDefault="00BA3F30" w:rsidP="008B1E5D">
            <w:pPr>
              <w:spacing w:after="120"/>
            </w:pPr>
            <w:r w:rsidRPr="003738B7">
              <w:rPr>
                <w:lang w:val="fr-FR"/>
              </w:rPr>
              <w:t>Droit de réunion, procès équitable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  <w:iCs/>
              </w:rPr>
              <w:t>Article(s) du Pacte</w:t>
            </w:r>
            <w:r>
              <w:t> :</w:t>
            </w:r>
          </w:p>
        </w:tc>
        <w:tc>
          <w:tcPr>
            <w:tcW w:w="3969" w:type="dxa"/>
          </w:tcPr>
          <w:p w:rsidR="00BA3F30" w:rsidRPr="003738B7" w:rsidRDefault="00BA3F30" w:rsidP="008B1E5D">
            <w:pPr>
              <w:spacing w:after="120"/>
            </w:pPr>
            <w:r w:rsidRPr="00242538">
              <w:rPr>
                <w:rFonts w:eastAsia="Times New Roman"/>
                <w:szCs w:val="24"/>
                <w:lang w:val="fr-FR"/>
              </w:rPr>
              <w:t>14 (par.</w:t>
            </w:r>
            <w:r>
              <w:rPr>
                <w:rFonts w:eastAsia="Times New Roman"/>
                <w:szCs w:val="24"/>
                <w:lang w:val="fr-FR"/>
              </w:rPr>
              <w:t> </w:t>
            </w:r>
            <w:r w:rsidRPr="00242538">
              <w:rPr>
                <w:rFonts w:eastAsia="Times New Roman"/>
                <w:szCs w:val="24"/>
                <w:lang w:val="fr-FR"/>
              </w:rPr>
              <w:t>1) et 21</w:t>
            </w:r>
          </w:p>
        </w:tc>
      </w:tr>
      <w:tr w:rsidR="00BA3F30" w:rsidRPr="006D452F" w:rsidTr="008B1E5D">
        <w:tc>
          <w:tcPr>
            <w:tcW w:w="2835" w:type="dxa"/>
          </w:tcPr>
          <w:p w:rsidR="00BA3F30" w:rsidRPr="006D452F" w:rsidRDefault="00BA3F30" w:rsidP="008B1E5D">
            <w:pPr>
              <w:spacing w:after="120"/>
            </w:pPr>
            <w:r w:rsidRPr="006D452F">
              <w:rPr>
                <w:i/>
                <w:iCs/>
              </w:rPr>
              <w:t>Article(s) du Protocole facultatif</w:t>
            </w:r>
            <w:r>
              <w:t> :</w:t>
            </w:r>
          </w:p>
        </w:tc>
        <w:tc>
          <w:tcPr>
            <w:tcW w:w="3969" w:type="dxa"/>
          </w:tcPr>
          <w:p w:rsidR="00BA3F30" w:rsidRPr="003738B7" w:rsidRDefault="00BA3F30" w:rsidP="008B1E5D">
            <w:pPr>
              <w:spacing w:after="120"/>
            </w:pPr>
            <w:r w:rsidRPr="00242538">
              <w:rPr>
                <w:rFonts w:eastAsia="Times New Roman"/>
                <w:szCs w:val="24"/>
                <w:lang w:val="fr-FR"/>
              </w:rPr>
              <w:t>2 et 5 (par.</w:t>
            </w:r>
            <w:r>
              <w:rPr>
                <w:rFonts w:eastAsia="Times New Roman"/>
                <w:szCs w:val="24"/>
                <w:lang w:val="fr-FR"/>
              </w:rPr>
              <w:t> </w:t>
            </w:r>
            <w:r w:rsidRPr="00242538">
              <w:rPr>
                <w:rFonts w:eastAsia="Times New Roman"/>
                <w:szCs w:val="24"/>
                <w:lang w:val="fr-FR"/>
              </w:rPr>
              <w:t>2</w:t>
            </w:r>
            <w:r>
              <w:rPr>
                <w:rFonts w:eastAsia="Times New Roman"/>
                <w:szCs w:val="24"/>
                <w:lang w:val="fr-FR"/>
              </w:rPr>
              <w:t> </w:t>
            </w:r>
            <w:r w:rsidRPr="00242538">
              <w:rPr>
                <w:rFonts w:eastAsia="Times New Roman"/>
                <w:szCs w:val="24"/>
                <w:lang w:val="fr-FR"/>
              </w:rPr>
              <w:t>b))</w:t>
            </w:r>
          </w:p>
        </w:tc>
      </w:tr>
    </w:tbl>
    <w:p w:rsidR="009A6608" w:rsidRPr="006E25A6" w:rsidRDefault="009A6608" w:rsidP="009A6608">
      <w:pPr>
        <w:pStyle w:val="SingleTxtG"/>
        <w:spacing w:before="120"/>
      </w:pPr>
      <w:bookmarkStart w:id="0" w:name="bookmark_32"/>
      <w:r w:rsidRPr="006E25A6">
        <w:rPr>
          <w:lang w:val="fr-FR"/>
        </w:rPr>
        <w:t>1.</w:t>
      </w:r>
      <w:r w:rsidRPr="006E25A6">
        <w:rPr>
          <w:lang w:val="fr-FR"/>
        </w:rPr>
        <w:tab/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>auteure de la communication est Elena Popova, de nationalité russe, née en 1965. Elle affirme que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a violé les droits qu</w:t>
      </w:r>
      <w:r w:rsidR="00B908BE">
        <w:rPr>
          <w:lang w:val="fr-FR"/>
        </w:rPr>
        <w:t>’</w:t>
      </w:r>
      <w:r w:rsidRPr="006E25A6">
        <w:rPr>
          <w:lang w:val="fr-FR"/>
        </w:rPr>
        <w:t>elle tient des articles 14 (par. 1) et 21 du Pacte. Le Protocole facultatif est entré en vigueur pour la Fédération de Russie le 1</w:t>
      </w:r>
      <w:r w:rsidRPr="006E25A6">
        <w:rPr>
          <w:vertAlign w:val="superscript"/>
          <w:lang w:val="fr-FR"/>
        </w:rPr>
        <w:t>er</w:t>
      </w:r>
      <w:r w:rsidRPr="006E25A6">
        <w:rPr>
          <w:lang w:val="fr-FR"/>
        </w:rPr>
        <w:t> janvier 1992. L</w:t>
      </w:r>
      <w:r w:rsidR="00B908BE">
        <w:rPr>
          <w:lang w:val="fr-FR"/>
        </w:rPr>
        <w:t>’</w:t>
      </w:r>
      <w:r w:rsidRPr="006E25A6">
        <w:rPr>
          <w:lang w:val="fr-FR"/>
        </w:rPr>
        <w:t>auteure est représentée par un conseil.</w:t>
      </w:r>
      <w:bookmarkEnd w:id="0"/>
    </w:p>
    <w:p w:rsidR="009A6608" w:rsidRPr="006E25A6" w:rsidRDefault="009A6608" w:rsidP="009A6608">
      <w:pPr>
        <w:pStyle w:val="H23G"/>
      </w:pPr>
      <w:bookmarkStart w:id="1" w:name="bookmark_33"/>
      <w:r w:rsidRPr="006E25A6">
        <w:rPr>
          <w:lang w:val="fr-FR"/>
        </w:rPr>
        <w:tab/>
      </w:r>
      <w:r w:rsidRPr="006E25A6">
        <w:rPr>
          <w:lang w:val="fr-FR"/>
        </w:rPr>
        <w:tab/>
        <w:t>Rappel des faits</w:t>
      </w:r>
      <w:bookmarkEnd w:id="1"/>
    </w:p>
    <w:p w:rsidR="009A6608" w:rsidRPr="006E25A6" w:rsidRDefault="009A6608" w:rsidP="00FF4FB4">
      <w:pPr>
        <w:pStyle w:val="SingleTxtG"/>
      </w:pPr>
      <w:bookmarkStart w:id="2" w:name="bookmark_35"/>
      <w:r w:rsidRPr="006E25A6">
        <w:rPr>
          <w:lang w:val="fr-FR"/>
        </w:rPr>
        <w:t>2.1</w:t>
      </w:r>
      <w:r w:rsidRPr="006E25A6">
        <w:rPr>
          <w:lang w:val="fr-FR"/>
        </w:rPr>
        <w:tab/>
        <w:t>Le 5 décembre 2011, à 21 h 50, l</w:t>
      </w:r>
      <w:r w:rsidR="00B908BE">
        <w:rPr>
          <w:lang w:val="fr-FR"/>
        </w:rPr>
        <w:t>’</w:t>
      </w:r>
      <w:r w:rsidRPr="006E25A6">
        <w:rPr>
          <w:lang w:val="fr-FR"/>
        </w:rPr>
        <w:t>auteure a été arrêtée à Saint</w:t>
      </w:r>
      <w:r w:rsidRPr="006E25A6">
        <w:rPr>
          <w:lang w:val="fr-FR"/>
        </w:rPr>
        <w:noBreakHyphen/>
        <w:t>Pétersbourg</w:t>
      </w:r>
      <w:r>
        <w:rPr>
          <w:lang w:val="fr-FR"/>
        </w:rPr>
        <w:t xml:space="preserve"> (Fédération de Russie)</w:t>
      </w:r>
      <w:r w:rsidRPr="006E25A6">
        <w:rPr>
          <w:lang w:val="fr-FR"/>
        </w:rPr>
        <w:t xml:space="preserve">, </w:t>
      </w:r>
      <w:r>
        <w:rPr>
          <w:lang w:val="fr-FR"/>
        </w:rPr>
        <w:t>sur l</w:t>
      </w:r>
      <w:r w:rsidR="00B908BE">
        <w:rPr>
          <w:lang w:val="fr-FR"/>
        </w:rPr>
        <w:t>’</w:t>
      </w:r>
      <w:r>
        <w:rPr>
          <w:lang w:val="fr-FR"/>
        </w:rPr>
        <w:t>avenue</w:t>
      </w:r>
      <w:r w:rsidRPr="006E25A6">
        <w:rPr>
          <w:lang w:val="fr-FR"/>
        </w:rPr>
        <w:t xml:space="preserve"> Ligovsky</w:t>
      </w:r>
      <w:r>
        <w:rPr>
          <w:lang w:val="fr-FR"/>
        </w:rPr>
        <w:t xml:space="preserve">. Elle était </w:t>
      </w:r>
      <w:r w:rsidRPr="006E25A6">
        <w:rPr>
          <w:lang w:val="fr-FR"/>
        </w:rPr>
        <w:t>soupçonnée d</w:t>
      </w:r>
      <w:r w:rsidR="00B908BE">
        <w:rPr>
          <w:lang w:val="fr-FR"/>
        </w:rPr>
        <w:t>’</w:t>
      </w:r>
      <w:r w:rsidRPr="006E25A6">
        <w:rPr>
          <w:lang w:val="fr-FR"/>
        </w:rPr>
        <w:t>avoir organisé une manifestation publique non autorisée. En particulier, elle était accusée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avoir incité les autres participants à scander des slogans précis tels que « Russie sans Poutine » et « Peu </w:t>
      </w:r>
      <w:r w:rsidRPr="006E25A6">
        <w:rPr>
          <w:lang w:val="fr-FR"/>
        </w:rPr>
        <w:lastRenderedPageBreak/>
        <w:t>importe pour qui vous votez, vous serez [injure] »</w:t>
      </w:r>
      <w:r>
        <w:rPr>
          <w:lang w:val="fr-FR"/>
        </w:rPr>
        <w:t>.</w:t>
      </w:r>
      <w:r w:rsidRPr="006E25A6">
        <w:rPr>
          <w:lang w:val="fr-FR"/>
        </w:rPr>
        <w:t xml:space="preserve"> </w:t>
      </w:r>
      <w:r>
        <w:rPr>
          <w:lang w:val="fr-FR"/>
        </w:rPr>
        <w:t>Elle était également accusée d</w:t>
      </w:r>
      <w:r w:rsidR="00B908BE">
        <w:rPr>
          <w:lang w:val="fr-FR"/>
        </w:rPr>
        <w:t>’</w:t>
      </w:r>
      <w:r>
        <w:rPr>
          <w:lang w:val="fr-FR"/>
        </w:rPr>
        <w:t>avoir</w:t>
      </w:r>
      <w:r w:rsidRPr="006E25A6">
        <w:rPr>
          <w:lang w:val="fr-FR"/>
        </w:rPr>
        <w:t xml:space="preserve"> demandé à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autres personnes de participer à </w:t>
      </w:r>
      <w:r>
        <w:rPr>
          <w:lang w:val="fr-FR"/>
        </w:rPr>
        <w:t>la</w:t>
      </w:r>
      <w:r w:rsidRPr="006E25A6">
        <w:rPr>
          <w:lang w:val="fr-FR"/>
        </w:rPr>
        <w:t xml:space="preserve"> manifestation</w:t>
      </w:r>
      <w:bookmarkEnd w:id="2"/>
      <w:r>
        <w:rPr>
          <w:lang w:val="fr-FR"/>
        </w:rPr>
        <w:t>.</w:t>
      </w:r>
    </w:p>
    <w:p w:rsidR="009A6608" w:rsidRPr="006E25A6" w:rsidRDefault="009A6608" w:rsidP="00FF4FB4">
      <w:pPr>
        <w:pStyle w:val="SingleTxtG"/>
      </w:pPr>
      <w:bookmarkStart w:id="3" w:name="bookmark_37"/>
      <w:r w:rsidRPr="006E25A6">
        <w:rPr>
          <w:lang w:val="fr-FR"/>
        </w:rPr>
        <w:t>2.2</w:t>
      </w:r>
      <w:r w:rsidRPr="006E25A6">
        <w:rPr>
          <w:lang w:val="fr-FR"/>
        </w:rPr>
        <w:tab/>
        <w:t xml:space="preserve">Les policiers arrivés sur les lieux ont tenté de mettre fin à </w:t>
      </w:r>
      <w:r>
        <w:rPr>
          <w:lang w:val="fr-FR"/>
        </w:rPr>
        <w:t>la</w:t>
      </w:r>
      <w:r w:rsidRPr="006E25A6">
        <w:rPr>
          <w:lang w:val="fr-FR"/>
        </w:rPr>
        <w:t xml:space="preserve"> manifestation. Par haut</w:t>
      </w:r>
      <w:r w:rsidR="00B70752">
        <w:rPr>
          <w:lang w:val="fr-FR"/>
        </w:rPr>
        <w:noBreakHyphen/>
      </w:r>
      <w:r w:rsidRPr="006E25A6">
        <w:rPr>
          <w:lang w:val="fr-FR"/>
        </w:rPr>
        <w:t>parleurs, ils ont averti les personnes présentes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elles prenaient part à une manifestation non autorisée et leur ont </w:t>
      </w:r>
      <w:r>
        <w:rPr>
          <w:lang w:val="fr-FR"/>
        </w:rPr>
        <w:t xml:space="preserve">ordonné </w:t>
      </w:r>
      <w:r w:rsidRPr="006E25A6">
        <w:rPr>
          <w:lang w:val="fr-FR"/>
        </w:rPr>
        <w:t>d</w:t>
      </w:r>
      <w:r w:rsidR="00B908BE">
        <w:rPr>
          <w:lang w:val="fr-FR"/>
        </w:rPr>
        <w:t>’</w:t>
      </w:r>
      <w:r w:rsidRPr="006E25A6">
        <w:rPr>
          <w:lang w:val="fr-FR"/>
        </w:rPr>
        <w:t>y mettre un terme. D</w:t>
      </w:r>
      <w:r w:rsidR="00B908BE">
        <w:rPr>
          <w:lang w:val="fr-FR"/>
        </w:rPr>
        <w:t>’</w:t>
      </w:r>
      <w:r w:rsidRPr="006E25A6">
        <w:rPr>
          <w:lang w:val="fr-FR"/>
        </w:rPr>
        <w:t>après les rapports de police et les dossiers judiciaires, l</w:t>
      </w:r>
      <w:r w:rsidR="00B908BE">
        <w:rPr>
          <w:lang w:val="fr-FR"/>
        </w:rPr>
        <w:t>’</w:t>
      </w:r>
      <w:r w:rsidRPr="006E25A6">
        <w:rPr>
          <w:lang w:val="fr-FR"/>
        </w:rPr>
        <w:t>auteure a refusé d</w:t>
      </w:r>
      <w:r w:rsidR="00B908BE">
        <w:rPr>
          <w:lang w:val="fr-FR"/>
        </w:rPr>
        <w:t>’</w:t>
      </w:r>
      <w:r w:rsidRPr="006E25A6">
        <w:rPr>
          <w:lang w:val="fr-FR"/>
        </w:rPr>
        <w:t>obtempérer et a été arrêtée avec plusieurs autres participants.</w:t>
      </w:r>
      <w:bookmarkEnd w:id="3"/>
    </w:p>
    <w:p w:rsidR="009A6608" w:rsidRPr="006E25A6" w:rsidRDefault="009A6608" w:rsidP="00FF4FB4">
      <w:pPr>
        <w:pStyle w:val="SingleTxtG"/>
      </w:pPr>
      <w:bookmarkStart w:id="4" w:name="bookmark_38"/>
      <w:r w:rsidRPr="006E25A6">
        <w:rPr>
          <w:lang w:val="fr-FR"/>
        </w:rPr>
        <w:t>2.3</w:t>
      </w:r>
      <w:r w:rsidRPr="006E25A6">
        <w:rPr>
          <w:lang w:val="fr-FR"/>
        </w:rPr>
        <w:tab/>
        <w:t>Pendant les audiences, l</w:t>
      </w:r>
      <w:r w:rsidR="00B908BE">
        <w:rPr>
          <w:lang w:val="fr-FR"/>
        </w:rPr>
        <w:t>’</w:t>
      </w:r>
      <w:r w:rsidRPr="006E25A6">
        <w:rPr>
          <w:lang w:val="fr-FR"/>
        </w:rPr>
        <w:t>auteure a plaidé son innocence. Tout en admettant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elle se trouvait bien </w:t>
      </w:r>
      <w:r>
        <w:rPr>
          <w:lang w:val="fr-FR"/>
        </w:rPr>
        <w:t xml:space="preserve">avenue </w:t>
      </w:r>
      <w:r w:rsidRPr="006E25A6">
        <w:rPr>
          <w:lang w:val="fr-FR"/>
        </w:rPr>
        <w:t xml:space="preserve">Ligovsky, près de la gare </w:t>
      </w:r>
      <w:r>
        <w:rPr>
          <w:lang w:val="fr-FR"/>
        </w:rPr>
        <w:t>« </w:t>
      </w:r>
      <w:r w:rsidRPr="006E25A6">
        <w:rPr>
          <w:lang w:val="fr-FR"/>
        </w:rPr>
        <w:t>Moscou</w:t>
      </w:r>
      <w:r>
        <w:rPr>
          <w:lang w:val="fr-FR"/>
        </w:rPr>
        <w:t> »</w:t>
      </w:r>
      <w:r w:rsidRPr="006E25A6">
        <w:rPr>
          <w:lang w:val="fr-FR"/>
        </w:rPr>
        <w:t>, le 5 décembre 2011, elle a déclaré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elle </w:t>
      </w:r>
      <w:r>
        <w:rPr>
          <w:lang w:val="fr-FR"/>
        </w:rPr>
        <w:t>s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y </w:t>
      </w:r>
      <w:r>
        <w:rPr>
          <w:lang w:val="fr-FR"/>
        </w:rPr>
        <w:t xml:space="preserve">était rendue pour </w:t>
      </w:r>
      <w:r w:rsidRPr="006E25A6">
        <w:rPr>
          <w:lang w:val="fr-FR"/>
        </w:rPr>
        <w:t>rejoin</w:t>
      </w:r>
      <w:r>
        <w:rPr>
          <w:lang w:val="fr-FR"/>
        </w:rPr>
        <w:t>dre</w:t>
      </w:r>
      <w:r w:rsidRPr="006E25A6">
        <w:rPr>
          <w:lang w:val="fr-FR"/>
        </w:rPr>
        <w:t xml:space="preserve"> une connaissance</w:t>
      </w:r>
      <w:r>
        <w:rPr>
          <w:lang w:val="fr-FR"/>
        </w:rPr>
        <w:t>, et qu</w:t>
      </w:r>
      <w:r w:rsidR="00B908BE">
        <w:rPr>
          <w:lang w:val="fr-FR"/>
        </w:rPr>
        <w:t>’</w:t>
      </w:r>
      <w:r>
        <w:rPr>
          <w:lang w:val="fr-FR"/>
        </w:rPr>
        <w:t>e</w:t>
      </w:r>
      <w:r w:rsidRPr="006E25A6">
        <w:rPr>
          <w:lang w:val="fr-FR"/>
        </w:rPr>
        <w:t xml:space="preserve">lle </w:t>
      </w:r>
      <w:r>
        <w:rPr>
          <w:lang w:val="fr-FR"/>
        </w:rPr>
        <w:t xml:space="preserve">y </w:t>
      </w:r>
      <w:r w:rsidRPr="006E25A6">
        <w:rPr>
          <w:lang w:val="fr-FR"/>
        </w:rPr>
        <w:t>avait vu un rassemblement et une forte présence policière. Certaines personnes restaient sur place tandis que d</w:t>
      </w:r>
      <w:r w:rsidR="00B908BE">
        <w:rPr>
          <w:lang w:val="fr-FR"/>
        </w:rPr>
        <w:t>’</w:t>
      </w:r>
      <w:r w:rsidRPr="006E25A6">
        <w:rPr>
          <w:lang w:val="fr-FR"/>
        </w:rPr>
        <w:t>autres se déplaçaient. Après un certain temps, les gens ont commencé à former une ronde</w:t>
      </w:r>
      <w:r>
        <w:rPr>
          <w:lang w:val="fr-FR"/>
        </w:rPr>
        <w:t>,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s</w:t>
      </w:r>
      <w:r w:rsidR="00B908BE">
        <w:rPr>
          <w:lang w:val="fr-FR"/>
        </w:rPr>
        <w:t>’</w:t>
      </w:r>
      <w:r w:rsidRPr="006E25A6">
        <w:rPr>
          <w:lang w:val="fr-FR"/>
        </w:rPr>
        <w:t>est mise à filmer. Soudain, des policiers ont empoigné des manifestants pour les emmener vers leurs voitures de patrouille. L</w:t>
      </w:r>
      <w:r w:rsidR="00B908BE">
        <w:rPr>
          <w:lang w:val="fr-FR"/>
        </w:rPr>
        <w:t>’</w:t>
      </w:r>
      <w:r w:rsidRPr="006E25A6">
        <w:rPr>
          <w:lang w:val="fr-FR"/>
        </w:rPr>
        <w:t>auteure nie avoir scandé des slogans ou organisé une manifestation. Elle a</w:t>
      </w:r>
      <w:r>
        <w:rPr>
          <w:lang w:val="fr-FR"/>
        </w:rPr>
        <w:t>ffirme avoir</w:t>
      </w:r>
      <w:r w:rsidRPr="006E25A6">
        <w:rPr>
          <w:lang w:val="fr-FR"/>
        </w:rPr>
        <w:t xml:space="preserve"> entendu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autres personnes </w:t>
      </w:r>
      <w:r>
        <w:rPr>
          <w:lang w:val="fr-FR"/>
        </w:rPr>
        <w:t>scander</w:t>
      </w:r>
      <w:r w:rsidRPr="006E25A6">
        <w:rPr>
          <w:lang w:val="fr-FR"/>
        </w:rPr>
        <w:t xml:space="preserve"> les mots « Russie sans Poutine ». Elle </w:t>
      </w:r>
      <w:r>
        <w:rPr>
          <w:lang w:val="fr-FR"/>
        </w:rPr>
        <w:t xml:space="preserve">nie avoir </w:t>
      </w:r>
      <w:r w:rsidRPr="006E25A6">
        <w:rPr>
          <w:lang w:val="fr-FR"/>
        </w:rPr>
        <w:t xml:space="preserve">résisté à son arrestation et agressé </w:t>
      </w:r>
      <w:r>
        <w:rPr>
          <w:lang w:val="fr-FR"/>
        </w:rPr>
        <w:t xml:space="preserve">des </w:t>
      </w:r>
      <w:r w:rsidRPr="006E25A6">
        <w:rPr>
          <w:lang w:val="fr-FR"/>
        </w:rPr>
        <w:t>policiers.</w:t>
      </w:r>
      <w:bookmarkEnd w:id="4"/>
    </w:p>
    <w:p w:rsidR="009A6608" w:rsidRPr="006E25A6" w:rsidRDefault="009A6608" w:rsidP="00FF4FB4">
      <w:pPr>
        <w:pStyle w:val="SingleTxtG"/>
      </w:pPr>
      <w:bookmarkStart w:id="5" w:name="bookmark_39"/>
      <w:r w:rsidRPr="006E25A6">
        <w:rPr>
          <w:lang w:val="fr-FR"/>
        </w:rPr>
        <w:t>2.4</w:t>
      </w:r>
      <w:r w:rsidRPr="006E25A6">
        <w:rPr>
          <w:lang w:val="fr-FR"/>
        </w:rPr>
        <w:tab/>
        <w:t>K. O. V., une des témoins à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audience et collègue de travail </w:t>
      </w:r>
      <w:r>
        <w:rPr>
          <w:lang w:val="fr-FR"/>
        </w:rPr>
        <w:t>de l</w:t>
      </w:r>
      <w:r w:rsidR="00B908BE">
        <w:rPr>
          <w:lang w:val="fr-FR"/>
        </w:rPr>
        <w:t>’</w:t>
      </w:r>
      <w:r>
        <w:rPr>
          <w:lang w:val="fr-FR"/>
        </w:rPr>
        <w:t>auteure</w:t>
      </w:r>
      <w:r w:rsidRPr="006E25A6">
        <w:rPr>
          <w:lang w:val="fr-FR"/>
        </w:rPr>
        <w:t>, a déclaré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elle avait croisé </w:t>
      </w:r>
      <w:r>
        <w:rPr>
          <w:lang w:val="fr-FR"/>
        </w:rPr>
        <w:t>l</w:t>
      </w:r>
      <w:r w:rsidR="00B908BE">
        <w:rPr>
          <w:lang w:val="fr-FR"/>
        </w:rPr>
        <w:t>’</w:t>
      </w:r>
      <w:r>
        <w:rPr>
          <w:lang w:val="fr-FR"/>
        </w:rPr>
        <w:t xml:space="preserve">auteure </w:t>
      </w:r>
      <w:r w:rsidRPr="006E25A6">
        <w:rPr>
          <w:lang w:val="fr-FR"/>
        </w:rPr>
        <w:t>à leur bureau vers 20 heures, et que celle</w:t>
      </w:r>
      <w:r w:rsidRPr="006E25A6">
        <w:rPr>
          <w:lang w:val="fr-FR"/>
        </w:rPr>
        <w:noBreakHyphen/>
        <w:t>ci lui avait dit qu</w:t>
      </w:r>
      <w:r w:rsidR="00B908BE">
        <w:rPr>
          <w:lang w:val="fr-FR"/>
        </w:rPr>
        <w:t>’</w:t>
      </w:r>
      <w:r w:rsidRPr="006E25A6">
        <w:rPr>
          <w:lang w:val="fr-FR"/>
        </w:rPr>
        <w:t>elle avait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intention de se rendre près de la gare </w:t>
      </w:r>
      <w:r>
        <w:rPr>
          <w:lang w:val="fr-FR"/>
        </w:rPr>
        <w:t>« </w:t>
      </w:r>
      <w:r w:rsidRPr="006E25A6">
        <w:rPr>
          <w:lang w:val="fr-FR"/>
        </w:rPr>
        <w:t>Moscou</w:t>
      </w:r>
      <w:r>
        <w:rPr>
          <w:lang w:val="fr-FR"/>
        </w:rPr>
        <w:t> »</w:t>
      </w:r>
      <w:r w:rsidRPr="006E25A6">
        <w:rPr>
          <w:lang w:val="fr-FR"/>
        </w:rPr>
        <w:t xml:space="preserve"> pour « aider quelqu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un », et </w:t>
      </w:r>
      <w:r>
        <w:rPr>
          <w:lang w:val="fr-FR"/>
        </w:rPr>
        <w:t>qu</w:t>
      </w:r>
      <w:r w:rsidR="00B908BE">
        <w:rPr>
          <w:lang w:val="fr-FR"/>
        </w:rPr>
        <w:t>’</w:t>
      </w:r>
      <w:r>
        <w:rPr>
          <w:lang w:val="fr-FR"/>
        </w:rPr>
        <w:t>il était possible qu</w:t>
      </w:r>
      <w:r w:rsidR="00B908BE">
        <w:rPr>
          <w:lang w:val="fr-FR"/>
        </w:rPr>
        <w:t>’</w:t>
      </w:r>
      <w:r>
        <w:rPr>
          <w:lang w:val="fr-FR"/>
        </w:rPr>
        <w:t xml:space="preserve">elle soit </w:t>
      </w:r>
      <w:r w:rsidRPr="006E25A6">
        <w:rPr>
          <w:lang w:val="fr-FR"/>
        </w:rPr>
        <w:t xml:space="preserve">emmenée dans un poste de police. Un autre témoin, </w:t>
      </w:r>
      <w:r>
        <w:rPr>
          <w:lang w:val="fr-FR"/>
        </w:rPr>
        <w:t>le policier</w:t>
      </w:r>
      <w:r w:rsidRPr="006E25A6">
        <w:rPr>
          <w:lang w:val="fr-FR"/>
        </w:rPr>
        <w:t xml:space="preserve"> M. K. V., a déclaré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il était arrivé sur les lieux avec des collègues vers 22 heures. La foule scandait « des slogans antigouvernementaux », et certaines personnes </w:t>
      </w:r>
      <w:r>
        <w:rPr>
          <w:lang w:val="fr-FR"/>
        </w:rPr>
        <w:t xml:space="preserve">avaient ensuite formé </w:t>
      </w:r>
      <w:r w:rsidRPr="006E25A6">
        <w:rPr>
          <w:lang w:val="fr-FR"/>
        </w:rPr>
        <w:t xml:space="preserve">une « ronde ». </w:t>
      </w:r>
      <w:r>
        <w:rPr>
          <w:lang w:val="fr-FR"/>
        </w:rPr>
        <w:t>Le témoin a déclaré que l</w:t>
      </w:r>
      <w:r w:rsidRPr="006E25A6">
        <w:rPr>
          <w:lang w:val="fr-FR"/>
        </w:rPr>
        <w:t xml:space="preserve">es </w:t>
      </w:r>
      <w:r>
        <w:rPr>
          <w:lang w:val="fr-FR"/>
        </w:rPr>
        <w:t>policiers</w:t>
      </w:r>
      <w:r w:rsidRPr="006E25A6">
        <w:rPr>
          <w:lang w:val="fr-FR"/>
        </w:rPr>
        <w:t xml:space="preserve"> </w:t>
      </w:r>
      <w:r>
        <w:rPr>
          <w:lang w:val="fr-FR"/>
        </w:rPr>
        <w:t xml:space="preserve">avaient </w:t>
      </w:r>
      <w:r w:rsidRPr="006E25A6">
        <w:rPr>
          <w:lang w:val="fr-FR"/>
        </w:rPr>
        <w:t>averti les participants qu</w:t>
      </w:r>
      <w:r w:rsidR="00B908BE">
        <w:rPr>
          <w:lang w:val="fr-FR"/>
        </w:rPr>
        <w:t>’</w:t>
      </w:r>
      <w:r w:rsidRPr="006E25A6">
        <w:rPr>
          <w:lang w:val="fr-FR"/>
        </w:rPr>
        <w:t>ils devaient mettre un terme à la manifestation</w:t>
      </w:r>
      <w:r>
        <w:rPr>
          <w:lang w:val="fr-FR"/>
        </w:rPr>
        <w:t>, et que M</w:t>
      </w:r>
      <w:r w:rsidRPr="004E7862">
        <w:rPr>
          <w:vertAlign w:val="superscript"/>
          <w:lang w:val="fr-FR"/>
        </w:rPr>
        <w:t>me</w:t>
      </w:r>
      <w:r>
        <w:rPr>
          <w:lang w:val="fr-FR"/>
        </w:rPr>
        <w:t> </w:t>
      </w:r>
      <w:r w:rsidRPr="006E25A6">
        <w:rPr>
          <w:lang w:val="fr-FR"/>
        </w:rPr>
        <w:t xml:space="preserve">Popova participait </w:t>
      </w:r>
      <w:r>
        <w:rPr>
          <w:lang w:val="fr-FR"/>
        </w:rPr>
        <w:t xml:space="preserve">également </w:t>
      </w:r>
      <w:r w:rsidRPr="006E25A6">
        <w:rPr>
          <w:lang w:val="fr-FR"/>
        </w:rPr>
        <w:t xml:space="preserve">à la ronde en scandant des slogans. Tous les participants </w:t>
      </w:r>
      <w:r>
        <w:rPr>
          <w:lang w:val="fr-FR"/>
        </w:rPr>
        <w:t xml:space="preserve">avaient </w:t>
      </w:r>
      <w:r w:rsidRPr="006E25A6">
        <w:rPr>
          <w:lang w:val="fr-FR"/>
        </w:rPr>
        <w:t xml:space="preserve">été arrêtés et embarqués dans des fourgons de police. </w:t>
      </w:r>
      <w:r>
        <w:rPr>
          <w:lang w:val="fr-FR"/>
        </w:rPr>
        <w:t>Le témoin a affirmé que, l</w:t>
      </w:r>
      <w:r w:rsidRPr="006E25A6">
        <w:rPr>
          <w:lang w:val="fr-FR"/>
        </w:rPr>
        <w:t>ors de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arrestation, </w:t>
      </w:r>
      <w:r>
        <w:rPr>
          <w:lang w:val="fr-FR"/>
        </w:rPr>
        <w:t>M</w:t>
      </w:r>
      <w:r w:rsidRPr="004E7862">
        <w:rPr>
          <w:vertAlign w:val="superscript"/>
          <w:lang w:val="fr-FR"/>
        </w:rPr>
        <w:t>me</w:t>
      </w:r>
      <w:r>
        <w:rPr>
          <w:lang w:val="fr-FR"/>
        </w:rPr>
        <w:t> </w:t>
      </w:r>
      <w:r w:rsidRPr="006E25A6">
        <w:rPr>
          <w:lang w:val="fr-FR"/>
        </w:rPr>
        <w:t xml:space="preserve">Popova </w:t>
      </w:r>
      <w:r>
        <w:rPr>
          <w:lang w:val="fr-FR"/>
        </w:rPr>
        <w:t>l</w:t>
      </w:r>
      <w:r w:rsidR="00B908BE">
        <w:rPr>
          <w:lang w:val="fr-FR"/>
        </w:rPr>
        <w:t>’</w:t>
      </w:r>
      <w:r>
        <w:rPr>
          <w:lang w:val="fr-FR"/>
        </w:rPr>
        <w:t xml:space="preserve">avait </w:t>
      </w:r>
      <w:r w:rsidRPr="006E25A6">
        <w:rPr>
          <w:lang w:val="fr-FR"/>
        </w:rPr>
        <w:t>empoigné par son uniforme.</w:t>
      </w:r>
      <w:bookmarkEnd w:id="5"/>
    </w:p>
    <w:p w:rsidR="009A6608" w:rsidRPr="006E25A6" w:rsidRDefault="009A6608" w:rsidP="00FF4FB4">
      <w:pPr>
        <w:pStyle w:val="SingleTxtG"/>
      </w:pPr>
      <w:bookmarkStart w:id="6" w:name="bookmark_40"/>
      <w:r w:rsidRPr="006E25A6">
        <w:rPr>
          <w:lang w:val="fr-FR"/>
        </w:rPr>
        <w:t>2.5</w:t>
      </w:r>
      <w:r w:rsidRPr="006E25A6">
        <w:rPr>
          <w:lang w:val="fr-FR"/>
        </w:rPr>
        <w:tab/>
        <w:t>Le tribunal a condamné l</w:t>
      </w:r>
      <w:r w:rsidR="00B908BE">
        <w:rPr>
          <w:lang w:val="fr-FR"/>
        </w:rPr>
        <w:t>’</w:t>
      </w:r>
      <w:r w:rsidRPr="006E25A6">
        <w:rPr>
          <w:lang w:val="fr-FR"/>
        </w:rPr>
        <w:t>auteure à une amende administrative de 1 000 roubles</w:t>
      </w:r>
      <w:r w:rsidRPr="006E25A6">
        <w:rPr>
          <w:rStyle w:val="Appelnotedebasdep"/>
        </w:rPr>
        <w:footnoteReference w:id="4"/>
      </w:r>
      <w:r w:rsidRPr="006E25A6">
        <w:rPr>
          <w:lang w:val="fr-FR"/>
        </w:rPr>
        <w:t>. Il a considéré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elle avait </w:t>
      </w:r>
      <w:r>
        <w:rPr>
          <w:lang w:val="fr-FR"/>
        </w:rPr>
        <w:t>enfreint</w:t>
      </w:r>
      <w:r w:rsidR="00FF4FB4">
        <w:rPr>
          <w:lang w:val="fr-FR"/>
        </w:rPr>
        <w:t xml:space="preserve"> </w:t>
      </w:r>
      <w:r w:rsidRPr="006E25A6">
        <w:rPr>
          <w:lang w:val="fr-FR"/>
        </w:rPr>
        <w:t xml:space="preserve">les dispositions de la loi fédérale </w:t>
      </w:r>
      <w:r w:rsidR="00FF4FB4" w:rsidRPr="00FF4FB4">
        <w:rPr>
          <w:rFonts w:eastAsia="MS Mincho"/>
          <w:szCs w:val="22"/>
          <w:lang w:val="fr-FR"/>
        </w:rPr>
        <w:t>n</w:t>
      </w:r>
      <w:r w:rsidR="00FF4FB4" w:rsidRPr="00FF4FB4">
        <w:rPr>
          <w:rFonts w:eastAsia="MS Mincho"/>
          <w:szCs w:val="22"/>
          <w:vertAlign w:val="superscript"/>
          <w:lang w:val="fr-FR"/>
        </w:rPr>
        <w:t>o</w:t>
      </w:r>
      <w:r w:rsidR="00FF4FB4">
        <w:rPr>
          <w:lang w:val="fr-FR"/>
        </w:rPr>
        <w:t> </w:t>
      </w:r>
      <w:r w:rsidRPr="006E25A6">
        <w:rPr>
          <w:lang w:val="fr-FR"/>
        </w:rPr>
        <w:t xml:space="preserve">54-FZ sur les rassemblements, réunions, manifestations, défilés et piquets (la loi sur les manifestations publiques) du 19 juin 2004, </w:t>
      </w:r>
      <w:r>
        <w:rPr>
          <w:lang w:val="fr-FR"/>
        </w:rPr>
        <w:t>en ce qu</w:t>
      </w:r>
      <w:r w:rsidR="00B908BE">
        <w:rPr>
          <w:lang w:val="fr-FR"/>
        </w:rPr>
        <w:t>’</w:t>
      </w:r>
      <w:r w:rsidRPr="006E25A6">
        <w:rPr>
          <w:lang w:val="fr-FR"/>
        </w:rPr>
        <w:t>elle n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avait adressé </w:t>
      </w:r>
      <w:r>
        <w:rPr>
          <w:lang w:val="fr-FR"/>
        </w:rPr>
        <w:t>auc</w:t>
      </w:r>
      <w:r w:rsidRPr="006E25A6">
        <w:rPr>
          <w:lang w:val="fr-FR"/>
        </w:rPr>
        <w:t xml:space="preserve">un </w:t>
      </w:r>
      <w:r>
        <w:rPr>
          <w:lang w:val="fr-FR"/>
        </w:rPr>
        <w:t>« </w:t>
      </w:r>
      <w:r w:rsidRPr="006E25A6">
        <w:rPr>
          <w:lang w:val="fr-FR"/>
        </w:rPr>
        <w:t>préavis</w:t>
      </w:r>
      <w:r>
        <w:rPr>
          <w:lang w:val="fr-FR"/>
        </w:rPr>
        <w:t xml:space="preserve"> » </w:t>
      </w:r>
      <w:r w:rsidRPr="006E25A6">
        <w:rPr>
          <w:lang w:val="fr-FR"/>
        </w:rPr>
        <w:t>aux autorités locales</w:t>
      </w:r>
      <w:r>
        <w:rPr>
          <w:lang w:val="fr-FR"/>
        </w:rPr>
        <w:t xml:space="preserve">, ce qui </w:t>
      </w:r>
      <w:r w:rsidRPr="006E25A6">
        <w:rPr>
          <w:lang w:val="fr-FR"/>
        </w:rPr>
        <w:t xml:space="preserve">doit être </w:t>
      </w:r>
      <w:r>
        <w:rPr>
          <w:lang w:val="fr-FR"/>
        </w:rPr>
        <w:t xml:space="preserve">fait </w:t>
      </w:r>
      <w:r w:rsidRPr="006E25A6">
        <w:rPr>
          <w:lang w:val="fr-FR"/>
        </w:rPr>
        <w:t xml:space="preserve">au plus tard </w:t>
      </w:r>
      <w:r>
        <w:rPr>
          <w:lang w:val="fr-FR"/>
        </w:rPr>
        <w:t xml:space="preserve">dix </w:t>
      </w:r>
      <w:r w:rsidRPr="006E25A6">
        <w:rPr>
          <w:lang w:val="fr-FR"/>
        </w:rPr>
        <w:t>jours avant la manifestation prévue.</w:t>
      </w:r>
      <w:bookmarkEnd w:id="6"/>
    </w:p>
    <w:p w:rsidR="009A6608" w:rsidRPr="006E25A6" w:rsidRDefault="009A6608" w:rsidP="00FF4FB4">
      <w:pPr>
        <w:pStyle w:val="SingleTxtG"/>
      </w:pPr>
      <w:bookmarkStart w:id="8" w:name="bookmark_42"/>
      <w:r w:rsidRPr="006E25A6">
        <w:rPr>
          <w:lang w:val="fr-FR"/>
        </w:rPr>
        <w:t>2.6</w:t>
      </w:r>
      <w:r w:rsidRPr="006E25A6">
        <w:rPr>
          <w:lang w:val="fr-FR"/>
        </w:rPr>
        <w:tab/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>autorité locale, le Comité sur les questions de droit, d</w:t>
      </w:r>
      <w:r w:rsidR="00B908BE">
        <w:rPr>
          <w:lang w:val="fr-FR"/>
        </w:rPr>
        <w:t>’</w:t>
      </w:r>
      <w:r w:rsidRPr="006E25A6">
        <w:rPr>
          <w:lang w:val="fr-FR"/>
        </w:rPr>
        <w:t>ordre et de sécurité de la ville de Saint-Pétersbourg, a informé le tribunal que ce préavis n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avait </w:t>
      </w:r>
      <w:r>
        <w:rPr>
          <w:lang w:val="fr-FR"/>
        </w:rPr>
        <w:t xml:space="preserve">pas </w:t>
      </w:r>
      <w:r w:rsidRPr="006E25A6">
        <w:rPr>
          <w:lang w:val="fr-FR"/>
        </w:rPr>
        <w:t xml:space="preserve">été </w:t>
      </w:r>
      <w:r>
        <w:rPr>
          <w:lang w:val="fr-FR"/>
        </w:rPr>
        <w:t>donné</w:t>
      </w:r>
      <w:r w:rsidRPr="006E25A6">
        <w:rPr>
          <w:lang w:val="fr-FR"/>
        </w:rPr>
        <w:t>. Le tribunal a également tenu compte du fait que les policiers présents sur les lieux avaient averti les participants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ils devaient cesser leurs activités. Il a fait observer dans sa décision que les policiers avaient agi dans le cadre de </w:t>
      </w:r>
      <w:r>
        <w:rPr>
          <w:lang w:val="fr-FR"/>
        </w:rPr>
        <w:t>l</w:t>
      </w:r>
      <w:r w:rsidR="00B908BE">
        <w:rPr>
          <w:lang w:val="fr-FR"/>
        </w:rPr>
        <w:t>’</w:t>
      </w:r>
      <w:r>
        <w:rPr>
          <w:lang w:val="fr-FR"/>
        </w:rPr>
        <w:t xml:space="preserve">autorité qui leur était conférée en vertu de </w:t>
      </w:r>
      <w:r w:rsidRPr="006E25A6">
        <w:rPr>
          <w:lang w:val="fr-FR"/>
        </w:rPr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>article 17 (partie 2) de la loi sur les manifestations publiques.</w:t>
      </w:r>
      <w:bookmarkEnd w:id="8"/>
    </w:p>
    <w:p w:rsidR="009A6608" w:rsidRPr="006E25A6" w:rsidRDefault="009A6608" w:rsidP="009A6608">
      <w:pPr>
        <w:pStyle w:val="SingleTxtG"/>
        <w:rPr>
          <w:lang w:val="x-none"/>
        </w:rPr>
      </w:pPr>
      <w:bookmarkStart w:id="9" w:name="bookmark_44"/>
      <w:r w:rsidRPr="006E25A6">
        <w:rPr>
          <w:lang w:val="fr-FR"/>
        </w:rPr>
        <w:t>2.7</w:t>
      </w:r>
      <w:r w:rsidRPr="006E25A6">
        <w:rPr>
          <w:lang w:val="fr-FR"/>
        </w:rPr>
        <w:tab/>
        <w:t>Le tribunal a estimé en outre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avait nié avoir organisé le rassemblement simplement pour éviter la sanction administrative</w:t>
      </w:r>
      <w:r>
        <w:rPr>
          <w:lang w:val="fr-FR"/>
        </w:rPr>
        <w:t>, et que l</w:t>
      </w:r>
      <w:r w:rsidRPr="006E25A6">
        <w:rPr>
          <w:lang w:val="fr-FR"/>
        </w:rPr>
        <w:t>es actes de l</w:t>
      </w:r>
      <w:r w:rsidR="00B908BE">
        <w:rPr>
          <w:lang w:val="fr-FR"/>
        </w:rPr>
        <w:t>’</w:t>
      </w:r>
      <w:r w:rsidRPr="006E25A6">
        <w:rPr>
          <w:lang w:val="fr-FR"/>
        </w:rPr>
        <w:t>auteure étaient expressément prohibés par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FF4FB4">
        <w:rPr>
          <w:lang w:val="fr-FR"/>
        </w:rPr>
        <w:t> </w:t>
      </w:r>
      <w:r w:rsidRPr="006E25A6">
        <w:rPr>
          <w:lang w:val="fr-FR"/>
        </w:rPr>
        <w:t>20.2 (partie</w:t>
      </w:r>
      <w:r w:rsidR="00FF4FB4">
        <w:rPr>
          <w:lang w:val="fr-FR"/>
        </w:rPr>
        <w:t> </w:t>
      </w:r>
      <w:r w:rsidRPr="006E25A6">
        <w:rPr>
          <w:lang w:val="fr-FR"/>
        </w:rPr>
        <w:t>1) du Code des infractions administratives, qui interdit la tenue d</w:t>
      </w:r>
      <w:r>
        <w:rPr>
          <w:lang w:val="fr-FR"/>
        </w:rPr>
        <w:t>e</w:t>
      </w:r>
      <w:r w:rsidRPr="006E25A6">
        <w:rPr>
          <w:lang w:val="fr-FR"/>
        </w:rPr>
        <w:t xml:space="preserve"> manifestation</w:t>
      </w:r>
      <w:r>
        <w:rPr>
          <w:lang w:val="fr-FR"/>
        </w:rPr>
        <w:t>s</w:t>
      </w:r>
      <w:r w:rsidRPr="006E25A6">
        <w:rPr>
          <w:lang w:val="fr-FR"/>
        </w:rPr>
        <w:t xml:space="preserve"> publique</w:t>
      </w:r>
      <w:r>
        <w:rPr>
          <w:lang w:val="fr-FR"/>
        </w:rPr>
        <w:t>s</w:t>
      </w:r>
      <w:r w:rsidRPr="006E25A6">
        <w:rPr>
          <w:lang w:val="fr-FR"/>
        </w:rPr>
        <w:t xml:space="preserve"> non autorisée</w:t>
      </w:r>
      <w:r>
        <w:rPr>
          <w:lang w:val="fr-FR"/>
        </w:rPr>
        <w:t>s</w:t>
      </w:r>
      <w:r w:rsidRPr="006E25A6">
        <w:rPr>
          <w:lang w:val="fr-FR"/>
        </w:rPr>
        <w:t>.</w:t>
      </w:r>
      <w:bookmarkEnd w:id="9"/>
    </w:p>
    <w:p w:rsidR="009A6608" w:rsidRPr="006E25A6" w:rsidRDefault="009A6608" w:rsidP="009A6608">
      <w:pPr>
        <w:pStyle w:val="SingleTxtG"/>
        <w:rPr>
          <w:lang w:val="x-none"/>
        </w:rPr>
      </w:pPr>
      <w:bookmarkStart w:id="10" w:name="bookmark_45"/>
      <w:r w:rsidRPr="006E25A6">
        <w:rPr>
          <w:lang w:val="fr-FR"/>
        </w:rPr>
        <w:t>2.8</w:t>
      </w:r>
      <w:r w:rsidRPr="006E25A6">
        <w:rPr>
          <w:lang w:val="fr-FR"/>
        </w:rPr>
        <w:tab/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auteure a fait appel de cette décision auprès du tribunal du </w:t>
      </w:r>
      <w:r w:rsidRPr="00483A74">
        <w:rPr>
          <w:lang w:val="fr-FR"/>
        </w:rPr>
        <w:t>district Smolninsky</w:t>
      </w:r>
      <w:r w:rsidRPr="006E25A6">
        <w:rPr>
          <w:lang w:val="fr-FR"/>
        </w:rPr>
        <w:t xml:space="preserve"> à Saint-Pétersbourg. Le 12 mars 2012, le tribunal de district l</w:t>
      </w:r>
      <w:r w:rsidR="00B908BE">
        <w:rPr>
          <w:lang w:val="fr-FR"/>
        </w:rPr>
        <w:t>’</w:t>
      </w:r>
      <w:r w:rsidRPr="006E25A6">
        <w:rPr>
          <w:lang w:val="fr-FR"/>
        </w:rPr>
        <w:t>a déboutée et a confirmé le raisonnement du tribunal de première instance. L</w:t>
      </w:r>
      <w:r w:rsidR="00B908BE">
        <w:rPr>
          <w:lang w:val="fr-FR"/>
        </w:rPr>
        <w:t>’</w:t>
      </w:r>
      <w:r w:rsidRPr="006E25A6">
        <w:rPr>
          <w:lang w:val="fr-FR"/>
        </w:rPr>
        <w:t>auteure était présente à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audience du tribunal de district, mais </w:t>
      </w:r>
      <w:r>
        <w:rPr>
          <w:lang w:val="fr-FR"/>
        </w:rPr>
        <w:t>il n</w:t>
      </w:r>
      <w:r w:rsidR="00B908BE">
        <w:rPr>
          <w:lang w:val="fr-FR"/>
        </w:rPr>
        <w:t>’</w:t>
      </w:r>
      <w:r>
        <w:rPr>
          <w:lang w:val="fr-FR"/>
        </w:rPr>
        <w:t>y avait pas de</w:t>
      </w:r>
      <w:r w:rsidRPr="006E25A6">
        <w:rPr>
          <w:lang w:val="fr-FR"/>
        </w:rPr>
        <w:t xml:space="preserve"> procureur</w:t>
      </w:r>
      <w:r>
        <w:rPr>
          <w:lang w:val="fr-FR"/>
        </w:rPr>
        <w:t>, de même qu</w:t>
      </w:r>
      <w:r w:rsidR="00B908BE">
        <w:rPr>
          <w:lang w:val="fr-FR"/>
        </w:rPr>
        <w:t>’</w:t>
      </w:r>
      <w:r>
        <w:rPr>
          <w:lang w:val="fr-FR"/>
        </w:rPr>
        <w:t xml:space="preserve"> </w:t>
      </w:r>
      <w:r w:rsidRPr="006E25A6">
        <w:rPr>
          <w:lang w:val="fr-FR"/>
        </w:rPr>
        <w:t>à la première audience devant le tribunal.</w:t>
      </w:r>
      <w:bookmarkEnd w:id="10"/>
    </w:p>
    <w:p w:rsidR="009A6608" w:rsidRPr="006E25A6" w:rsidRDefault="009A6608" w:rsidP="009A6608">
      <w:pPr>
        <w:pStyle w:val="SingleTxtG"/>
      </w:pPr>
      <w:bookmarkStart w:id="11" w:name="bookmark_46"/>
      <w:r w:rsidRPr="006E25A6">
        <w:rPr>
          <w:lang w:val="fr-FR"/>
        </w:rPr>
        <w:t>2.9</w:t>
      </w:r>
      <w:r w:rsidRPr="006E25A6">
        <w:rPr>
          <w:lang w:val="fr-FR"/>
        </w:rPr>
        <w:tab/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>auteure affirme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elle aurait pu </w:t>
      </w:r>
      <w:r>
        <w:rPr>
          <w:lang w:val="fr-FR"/>
        </w:rPr>
        <w:t>contester</w:t>
      </w:r>
      <w:r w:rsidRPr="006E25A6">
        <w:rPr>
          <w:lang w:val="fr-FR"/>
        </w:rPr>
        <w:t xml:space="preserve"> la décision du tribunal de district dans le cadre de la procédure de contrôle mais </w:t>
      </w:r>
      <w:r>
        <w:rPr>
          <w:lang w:val="fr-FR"/>
        </w:rPr>
        <w:t>qu</w:t>
      </w:r>
      <w:r w:rsidR="00B908BE">
        <w:rPr>
          <w:lang w:val="fr-FR"/>
        </w:rPr>
        <w:t>’</w:t>
      </w:r>
      <w:r>
        <w:rPr>
          <w:lang w:val="fr-FR"/>
        </w:rPr>
        <w:t xml:space="preserve">elle a </w:t>
      </w:r>
      <w:r w:rsidRPr="006E25A6">
        <w:rPr>
          <w:lang w:val="fr-FR"/>
        </w:rPr>
        <w:t>estim</w:t>
      </w:r>
      <w:r>
        <w:rPr>
          <w:lang w:val="fr-FR"/>
        </w:rPr>
        <w:t>é</w:t>
      </w:r>
      <w:r w:rsidRPr="006E25A6">
        <w:rPr>
          <w:lang w:val="fr-FR"/>
        </w:rPr>
        <w:t xml:space="preserve"> que ce recours </w:t>
      </w:r>
      <w:r>
        <w:rPr>
          <w:lang w:val="fr-FR"/>
        </w:rPr>
        <w:t xml:space="preserve">était </w:t>
      </w:r>
      <w:r w:rsidRPr="006E25A6">
        <w:rPr>
          <w:lang w:val="fr-FR"/>
        </w:rPr>
        <w:t>inefficace et qu</w:t>
      </w:r>
      <w:r w:rsidR="00B908BE">
        <w:rPr>
          <w:lang w:val="fr-FR"/>
        </w:rPr>
        <w:t>’</w:t>
      </w:r>
      <w:r w:rsidRPr="006E25A6">
        <w:rPr>
          <w:lang w:val="fr-FR"/>
        </w:rPr>
        <w:t>il n</w:t>
      </w:r>
      <w:r w:rsidR="00B908BE">
        <w:rPr>
          <w:lang w:val="fr-FR"/>
        </w:rPr>
        <w:t>’</w:t>
      </w:r>
      <w:r>
        <w:rPr>
          <w:lang w:val="fr-FR"/>
        </w:rPr>
        <w:t>était</w:t>
      </w:r>
      <w:r w:rsidRPr="006E25A6">
        <w:rPr>
          <w:lang w:val="fr-FR"/>
        </w:rPr>
        <w:t xml:space="preserve"> pas nécessaire de l</w:t>
      </w:r>
      <w:r w:rsidR="00B908BE">
        <w:rPr>
          <w:lang w:val="fr-FR"/>
        </w:rPr>
        <w:t>’</w:t>
      </w:r>
      <w:r w:rsidRPr="006E25A6">
        <w:rPr>
          <w:lang w:val="fr-FR"/>
        </w:rPr>
        <w:t>épuiser.</w:t>
      </w:r>
      <w:bookmarkEnd w:id="11"/>
    </w:p>
    <w:p w:rsidR="009A6608" w:rsidRPr="006E25A6" w:rsidRDefault="009A6608" w:rsidP="009A6608">
      <w:pPr>
        <w:pStyle w:val="H23G"/>
      </w:pPr>
      <w:bookmarkStart w:id="12" w:name="bookmark_47"/>
      <w:r w:rsidRPr="006E25A6">
        <w:rPr>
          <w:lang w:val="fr-FR"/>
        </w:rPr>
        <w:lastRenderedPageBreak/>
        <w:tab/>
      </w:r>
      <w:r w:rsidRPr="006E25A6">
        <w:rPr>
          <w:lang w:val="fr-FR"/>
        </w:rPr>
        <w:tab/>
        <w:t>Teneur de la plainte</w:t>
      </w:r>
      <w:bookmarkEnd w:id="12"/>
    </w:p>
    <w:p w:rsidR="009A6608" w:rsidRPr="006E25A6" w:rsidRDefault="009A6608" w:rsidP="009A6608">
      <w:pPr>
        <w:pStyle w:val="SingleTxtG"/>
        <w:rPr>
          <w:lang w:val="x-none"/>
        </w:rPr>
      </w:pPr>
      <w:bookmarkStart w:id="13" w:name="bookmark_48"/>
      <w:r w:rsidRPr="006E25A6">
        <w:rPr>
          <w:lang w:val="fr-FR"/>
        </w:rPr>
        <w:t>3.1</w:t>
      </w:r>
      <w:r w:rsidRPr="006E25A6">
        <w:rPr>
          <w:lang w:val="fr-FR"/>
        </w:rPr>
        <w:tab/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auteure </w:t>
      </w:r>
      <w:r>
        <w:rPr>
          <w:lang w:val="fr-FR"/>
        </w:rPr>
        <w:t>affirme</w:t>
      </w:r>
      <w:r w:rsidRPr="006E25A6">
        <w:rPr>
          <w:lang w:val="fr-FR"/>
        </w:rPr>
        <w:t xml:space="preserve"> que les caractéristiques de la procédure administrative engagée contre elle relèvent du paragraphe 1 de l</w:t>
      </w:r>
      <w:r w:rsidR="00B908BE">
        <w:rPr>
          <w:lang w:val="fr-FR"/>
        </w:rPr>
        <w:t>’</w:t>
      </w:r>
      <w:r w:rsidRPr="006E25A6">
        <w:rPr>
          <w:lang w:val="fr-FR"/>
        </w:rPr>
        <w:t>article 14</w:t>
      </w:r>
      <w:r>
        <w:rPr>
          <w:lang w:val="fr-FR"/>
        </w:rPr>
        <w:t xml:space="preserve"> du Pacte</w:t>
      </w:r>
      <w:r w:rsidRPr="006E25A6">
        <w:rPr>
          <w:lang w:val="fr-FR"/>
        </w:rPr>
        <w:t>. Selon l</w:t>
      </w:r>
      <w:r w:rsidR="00B908BE">
        <w:rPr>
          <w:lang w:val="fr-FR"/>
        </w:rPr>
        <w:t>’</w:t>
      </w:r>
      <w:r w:rsidRPr="006E25A6">
        <w:rPr>
          <w:lang w:val="fr-FR"/>
        </w:rPr>
        <w:t>observation générale n</w:t>
      </w:r>
      <w:r w:rsidRPr="006E25A6">
        <w:rPr>
          <w:vertAlign w:val="superscript"/>
          <w:lang w:val="fr-FR"/>
        </w:rPr>
        <w:t>o</w:t>
      </w:r>
      <w:r w:rsidRPr="006E25A6">
        <w:rPr>
          <w:lang w:val="fr-FR"/>
        </w:rPr>
        <w:t xml:space="preserve"> 32 </w:t>
      </w:r>
      <w:r>
        <w:rPr>
          <w:lang w:val="fr-FR"/>
        </w:rPr>
        <w:t xml:space="preserve">(2007) </w:t>
      </w:r>
      <w:r w:rsidRPr="006E25A6">
        <w:rPr>
          <w:lang w:val="fr-FR"/>
        </w:rPr>
        <w:t>du Comité</w:t>
      </w:r>
      <w:r>
        <w:rPr>
          <w:lang w:val="fr-FR"/>
        </w:rPr>
        <w:t xml:space="preserve"> sur le droit à l</w:t>
      </w:r>
      <w:r w:rsidR="00B908BE">
        <w:rPr>
          <w:lang w:val="fr-FR"/>
        </w:rPr>
        <w:t>’</w:t>
      </w:r>
      <w:r>
        <w:rPr>
          <w:lang w:val="fr-FR"/>
        </w:rPr>
        <w:t>égalité devant les tribunaux et les cours de justice et à un procès équitable</w:t>
      </w:r>
      <w:r w:rsidRPr="006E25A6">
        <w:rPr>
          <w:lang w:val="fr-FR"/>
        </w:rPr>
        <w:t>, l</w:t>
      </w:r>
      <w:r w:rsidR="00B908BE">
        <w:rPr>
          <w:lang w:val="fr-FR"/>
        </w:rPr>
        <w:t>’</w:t>
      </w:r>
      <w:r w:rsidRPr="006E25A6">
        <w:rPr>
          <w:lang w:val="fr-FR"/>
        </w:rPr>
        <w:t>équité de la procédure a pour corollaire l</w:t>
      </w:r>
      <w:r w:rsidR="00B908BE">
        <w:rPr>
          <w:lang w:val="fr-FR"/>
        </w:rPr>
        <w:t>’</w:t>
      </w:r>
      <w:r w:rsidRPr="006E25A6">
        <w:rPr>
          <w:lang w:val="fr-FR"/>
        </w:rPr>
        <w:t>égalité des armes et donc également le principe du contradictoire, lequel ne peut pas être respecté sans la présence des deux parties, la défense et l</w:t>
      </w:r>
      <w:r w:rsidR="00B908BE">
        <w:rPr>
          <w:lang w:val="fr-FR"/>
        </w:rPr>
        <w:t>’</w:t>
      </w:r>
      <w:r w:rsidRPr="006E25A6">
        <w:rPr>
          <w:lang w:val="fr-FR"/>
        </w:rPr>
        <w:t>accusation. Dans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arrêt </w:t>
      </w:r>
      <w:r w:rsidRPr="006E25A6">
        <w:rPr>
          <w:i/>
          <w:iCs/>
          <w:lang w:val="fr-FR"/>
        </w:rPr>
        <w:t xml:space="preserve">Ozerov </w:t>
      </w:r>
      <w:r w:rsidRPr="004E7862">
        <w:rPr>
          <w:i/>
          <w:lang w:val="fr-FR"/>
        </w:rPr>
        <w:t>c.</w:t>
      </w:r>
      <w:r w:rsidRPr="006E25A6">
        <w:rPr>
          <w:lang w:val="fr-FR"/>
        </w:rPr>
        <w:t xml:space="preserve"> </w:t>
      </w:r>
      <w:r w:rsidRPr="006E25A6">
        <w:rPr>
          <w:i/>
          <w:iCs/>
          <w:lang w:val="fr-FR"/>
        </w:rPr>
        <w:t>Russie</w:t>
      </w:r>
      <w:r w:rsidRPr="006E25A6">
        <w:rPr>
          <w:lang w:val="fr-FR"/>
        </w:rPr>
        <w:t>, la Cour européenne des droits de l</w:t>
      </w:r>
      <w:r w:rsidR="00B908BE">
        <w:rPr>
          <w:lang w:val="fr-FR"/>
        </w:rPr>
        <w:t>’</w:t>
      </w:r>
      <w:r w:rsidRPr="006E25A6">
        <w:rPr>
          <w:lang w:val="fr-FR"/>
        </w:rPr>
        <w:t>homme a estimé que l</w:t>
      </w:r>
      <w:r w:rsidR="00B908BE">
        <w:rPr>
          <w:lang w:val="fr-FR"/>
        </w:rPr>
        <w:t>’</w:t>
      </w:r>
      <w:r w:rsidRPr="006E25A6">
        <w:rPr>
          <w:lang w:val="fr-FR"/>
        </w:rPr>
        <w:t>examen d</w:t>
      </w:r>
      <w:r w:rsidR="00B908BE">
        <w:rPr>
          <w:lang w:val="fr-FR"/>
        </w:rPr>
        <w:t>’</w:t>
      </w:r>
      <w:r w:rsidRPr="006E25A6">
        <w:rPr>
          <w:lang w:val="fr-FR"/>
        </w:rPr>
        <w:t>une affaire en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absence </w:t>
      </w:r>
      <w:r>
        <w:rPr>
          <w:lang w:val="fr-FR"/>
        </w:rPr>
        <w:t>d</w:t>
      </w:r>
      <w:r w:rsidR="00B908BE">
        <w:rPr>
          <w:lang w:val="fr-FR"/>
        </w:rPr>
        <w:t>’</w:t>
      </w:r>
      <w:r>
        <w:rPr>
          <w:lang w:val="fr-FR"/>
        </w:rPr>
        <w:t>un</w:t>
      </w:r>
      <w:r w:rsidRPr="006E25A6">
        <w:rPr>
          <w:lang w:val="fr-FR"/>
        </w:rPr>
        <w:t xml:space="preserve"> procureur entraînait une confusion entre les fonctions de procureur et de juge, et permettait légitimement de douter de l</w:t>
      </w:r>
      <w:r w:rsidR="00B908BE">
        <w:rPr>
          <w:lang w:val="fr-FR"/>
        </w:rPr>
        <w:t>’</w:t>
      </w:r>
      <w:r w:rsidRPr="006E25A6">
        <w:rPr>
          <w:lang w:val="fr-FR"/>
        </w:rPr>
        <w:t>impartialité du tribunal. En l</w:t>
      </w:r>
      <w:r w:rsidR="00B908BE">
        <w:rPr>
          <w:lang w:val="fr-FR"/>
        </w:rPr>
        <w:t>’</w:t>
      </w:r>
      <w:r w:rsidRPr="006E25A6">
        <w:rPr>
          <w:lang w:val="fr-FR"/>
        </w:rPr>
        <w:t>absence d</w:t>
      </w:r>
      <w:r w:rsidR="00B908BE">
        <w:rPr>
          <w:lang w:val="fr-FR"/>
        </w:rPr>
        <w:t>’</w:t>
      </w:r>
      <w:r w:rsidRPr="006E25A6">
        <w:rPr>
          <w:lang w:val="fr-FR"/>
        </w:rPr>
        <w:t>un procureur, il est évident qu</w:t>
      </w:r>
      <w:r w:rsidR="00B908BE">
        <w:rPr>
          <w:lang w:val="fr-FR"/>
        </w:rPr>
        <w:t>’</w:t>
      </w:r>
      <w:r w:rsidRPr="006E25A6">
        <w:rPr>
          <w:lang w:val="fr-FR"/>
        </w:rPr>
        <w:t>un juge doit assumer la fonction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accusation ou </w:t>
      </w:r>
      <w:r>
        <w:rPr>
          <w:lang w:val="fr-FR"/>
        </w:rPr>
        <w:t>bien</w:t>
      </w:r>
      <w:r w:rsidRPr="006E25A6">
        <w:rPr>
          <w:lang w:val="fr-FR"/>
        </w:rPr>
        <w:t xml:space="preserve"> classer l</w:t>
      </w:r>
      <w:r w:rsidR="00B908BE">
        <w:rPr>
          <w:lang w:val="fr-FR"/>
        </w:rPr>
        <w:t>’</w:t>
      </w:r>
      <w:r w:rsidRPr="006E25A6">
        <w:rPr>
          <w:lang w:val="fr-FR"/>
        </w:rPr>
        <w:t>affaire. Étant donné l</w:t>
      </w:r>
      <w:r w:rsidR="00B908BE">
        <w:rPr>
          <w:lang w:val="fr-FR"/>
        </w:rPr>
        <w:t>’</w:t>
      </w:r>
      <w:r w:rsidRPr="006E25A6">
        <w:rPr>
          <w:lang w:val="fr-FR"/>
        </w:rPr>
        <w:t>absence du procureur pendant la procédure engagée contre elle, l</w:t>
      </w:r>
      <w:r w:rsidR="00B908BE">
        <w:rPr>
          <w:lang w:val="fr-FR"/>
        </w:rPr>
        <w:t>’</w:t>
      </w:r>
      <w:r w:rsidRPr="006E25A6">
        <w:rPr>
          <w:lang w:val="fr-FR"/>
        </w:rPr>
        <w:t>auteure affirme que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État partie a violé </w:t>
      </w:r>
      <w:r>
        <w:rPr>
          <w:lang w:val="fr-FR"/>
        </w:rPr>
        <w:t>le</w:t>
      </w:r>
      <w:r w:rsidRPr="006E25A6">
        <w:rPr>
          <w:lang w:val="fr-FR"/>
        </w:rPr>
        <w:t xml:space="preserve"> droit à un procès équitable </w:t>
      </w:r>
      <w:r>
        <w:rPr>
          <w:lang w:val="fr-FR"/>
        </w:rPr>
        <w:t>qu</w:t>
      </w:r>
      <w:r w:rsidR="00B908BE">
        <w:rPr>
          <w:lang w:val="fr-FR"/>
        </w:rPr>
        <w:t>’</w:t>
      </w:r>
      <w:r>
        <w:rPr>
          <w:lang w:val="fr-FR"/>
        </w:rPr>
        <w:t>elle tient du</w:t>
      </w:r>
      <w:r w:rsidRPr="006E25A6">
        <w:rPr>
          <w:lang w:val="fr-FR"/>
        </w:rPr>
        <w:t xml:space="preserve"> paragraphe 1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FF4FB4">
        <w:rPr>
          <w:lang w:val="fr-FR"/>
        </w:rPr>
        <w:t> </w:t>
      </w:r>
      <w:r w:rsidRPr="006E25A6">
        <w:rPr>
          <w:lang w:val="fr-FR"/>
        </w:rPr>
        <w:t>14.</w:t>
      </w:r>
      <w:bookmarkEnd w:id="13"/>
    </w:p>
    <w:p w:rsidR="009A6608" w:rsidRPr="006E25A6" w:rsidRDefault="009A6608" w:rsidP="009A6608">
      <w:pPr>
        <w:pStyle w:val="SingleTxtG"/>
      </w:pPr>
      <w:bookmarkStart w:id="14" w:name="bookmark_49"/>
      <w:r w:rsidRPr="006E25A6">
        <w:rPr>
          <w:lang w:val="fr-FR"/>
        </w:rPr>
        <w:t>3.2</w:t>
      </w:r>
      <w:r w:rsidRPr="006E25A6">
        <w:rPr>
          <w:lang w:val="fr-FR"/>
        </w:rPr>
        <w:tab/>
        <w:t>Même à supposer que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auteure ait organisé une « manifestation de masse », </w:t>
      </w:r>
      <w:r>
        <w:rPr>
          <w:lang w:val="fr-FR"/>
        </w:rPr>
        <w:t xml:space="preserve">ce </w:t>
      </w:r>
      <w:r w:rsidRPr="006E25A6">
        <w:rPr>
          <w:lang w:val="fr-FR"/>
        </w:rPr>
        <w:t>qu</w:t>
      </w:r>
      <w:r w:rsidR="00B908BE">
        <w:rPr>
          <w:lang w:val="fr-FR"/>
        </w:rPr>
        <w:t>’</w:t>
      </w:r>
      <w:r w:rsidRPr="006E25A6">
        <w:rPr>
          <w:lang w:val="fr-FR"/>
        </w:rPr>
        <w:t>elle conteste, son arrestation</w:t>
      </w:r>
      <w:r>
        <w:rPr>
          <w:lang w:val="fr-FR"/>
        </w:rPr>
        <w:t>, l</w:t>
      </w:r>
      <w:r w:rsidR="00B908BE">
        <w:rPr>
          <w:lang w:val="fr-FR"/>
        </w:rPr>
        <w:t>’</w:t>
      </w:r>
      <w:r>
        <w:rPr>
          <w:lang w:val="fr-FR"/>
        </w:rPr>
        <w:t>établissement de sa culpabilité</w:t>
      </w:r>
      <w:r w:rsidRPr="006E25A6">
        <w:rPr>
          <w:lang w:val="fr-FR"/>
        </w:rPr>
        <w:t xml:space="preserve"> et sa condamnation à une amende administrative n</w:t>
      </w:r>
      <w:r w:rsidR="00B908BE">
        <w:rPr>
          <w:lang w:val="fr-FR"/>
        </w:rPr>
        <w:t>’</w:t>
      </w:r>
      <w:r w:rsidRPr="006E25A6">
        <w:rPr>
          <w:lang w:val="fr-FR"/>
        </w:rPr>
        <w:t>étaient pas nécessaires dans une société démocratique. Il convient de noter que le rassemblement du 5 décembre 2011 constitu</w:t>
      </w:r>
      <w:r>
        <w:rPr>
          <w:lang w:val="fr-FR"/>
        </w:rPr>
        <w:t>ait</w:t>
      </w:r>
      <w:r w:rsidRPr="006E25A6">
        <w:rPr>
          <w:lang w:val="fr-FR"/>
        </w:rPr>
        <w:t xml:space="preserve"> une réponse « directe et immédiate » à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annonce des résultats préliminaires des élections parlementaires du 4 décembre, qui </w:t>
      </w:r>
      <w:r>
        <w:rPr>
          <w:lang w:val="fr-FR"/>
        </w:rPr>
        <w:t xml:space="preserve">avaient été </w:t>
      </w:r>
      <w:r w:rsidRPr="006E25A6">
        <w:rPr>
          <w:lang w:val="fr-FR"/>
        </w:rPr>
        <w:t xml:space="preserve">considérés comme falsifiés. Les participants aux événements du 5 décembre 2011 </w:t>
      </w:r>
      <w:r>
        <w:rPr>
          <w:lang w:val="fr-FR"/>
        </w:rPr>
        <w:t>s</w:t>
      </w:r>
      <w:r w:rsidR="00B908BE">
        <w:rPr>
          <w:lang w:val="fr-FR"/>
        </w:rPr>
        <w:t>’</w:t>
      </w:r>
      <w:r>
        <w:rPr>
          <w:lang w:val="fr-FR"/>
        </w:rPr>
        <w:t xml:space="preserve">étaient </w:t>
      </w:r>
      <w:r w:rsidRPr="006E25A6">
        <w:rPr>
          <w:lang w:val="fr-FR"/>
        </w:rPr>
        <w:t xml:space="preserve">rendus </w:t>
      </w:r>
      <w:r>
        <w:rPr>
          <w:lang w:val="fr-FR"/>
        </w:rPr>
        <w:t>à l</w:t>
      </w:r>
      <w:r w:rsidR="00B908BE">
        <w:rPr>
          <w:lang w:val="fr-FR"/>
        </w:rPr>
        <w:t>’</w:t>
      </w:r>
      <w:r>
        <w:rPr>
          <w:lang w:val="fr-FR"/>
        </w:rPr>
        <w:t xml:space="preserve">avenue </w:t>
      </w:r>
      <w:r w:rsidRPr="006E25A6">
        <w:rPr>
          <w:lang w:val="fr-FR"/>
        </w:rPr>
        <w:t xml:space="preserve">Ligovsky pour manifester pacifiquement contre </w:t>
      </w:r>
      <w:r>
        <w:rPr>
          <w:lang w:val="fr-FR"/>
        </w:rPr>
        <w:t>c</w:t>
      </w:r>
      <w:r w:rsidRPr="006E25A6">
        <w:rPr>
          <w:lang w:val="fr-FR"/>
        </w:rPr>
        <w:t xml:space="preserve">es résultats. </w:t>
      </w:r>
      <w:r>
        <w:rPr>
          <w:lang w:val="fr-FR"/>
        </w:rPr>
        <w:t>Dans sa jurisprudence, le Comité des droits de l</w:t>
      </w:r>
      <w:r w:rsidR="00B908BE">
        <w:rPr>
          <w:lang w:val="fr-FR"/>
        </w:rPr>
        <w:t>’</w:t>
      </w:r>
      <w:r>
        <w:rPr>
          <w:lang w:val="fr-FR"/>
        </w:rPr>
        <w:t xml:space="preserve">homme </w:t>
      </w:r>
      <w:r w:rsidRPr="006E25A6">
        <w:rPr>
          <w:lang w:val="fr-FR"/>
        </w:rPr>
        <w:t xml:space="preserve">a </w:t>
      </w:r>
      <w:r>
        <w:rPr>
          <w:lang w:val="fr-FR"/>
        </w:rPr>
        <w:t>relevé</w:t>
      </w:r>
      <w:r w:rsidRPr="006E25A6">
        <w:rPr>
          <w:lang w:val="fr-FR"/>
        </w:rPr>
        <w:t xml:space="preserve"> que l</w:t>
      </w:r>
      <w:r>
        <w:rPr>
          <w:lang w:val="fr-FR"/>
        </w:rPr>
        <w:t xml:space="preserve">es </w:t>
      </w:r>
      <w:r w:rsidRPr="006E25A6">
        <w:rPr>
          <w:lang w:val="fr-FR"/>
        </w:rPr>
        <w:t>État</w:t>
      </w:r>
      <w:r>
        <w:rPr>
          <w:lang w:val="fr-FR"/>
        </w:rPr>
        <w:t>s</w:t>
      </w:r>
      <w:r w:rsidRPr="006E25A6">
        <w:rPr>
          <w:lang w:val="fr-FR"/>
        </w:rPr>
        <w:t xml:space="preserve"> partie</w:t>
      </w:r>
      <w:r>
        <w:rPr>
          <w:lang w:val="fr-FR"/>
        </w:rPr>
        <w:t>s</w:t>
      </w:r>
      <w:r w:rsidRPr="006E25A6">
        <w:rPr>
          <w:lang w:val="fr-FR"/>
        </w:rPr>
        <w:t xml:space="preserve"> </w:t>
      </w:r>
      <w:r>
        <w:rPr>
          <w:lang w:val="fr-FR"/>
        </w:rPr>
        <w:t xml:space="preserve">devaient </w:t>
      </w:r>
      <w:r w:rsidRPr="006E25A6">
        <w:rPr>
          <w:lang w:val="fr-FR"/>
        </w:rPr>
        <w:t>démontrer la nécessité des restrictions imposées</w:t>
      </w:r>
      <w:r>
        <w:rPr>
          <w:rStyle w:val="Appelnotedebasdep"/>
        </w:rPr>
        <w:footnoteReference w:id="5"/>
      </w:r>
      <w:r w:rsidRPr="006E25A6">
        <w:rPr>
          <w:lang w:val="fr-FR"/>
        </w:rPr>
        <w:t>. En l</w:t>
      </w:r>
      <w:r w:rsidR="00B908BE">
        <w:rPr>
          <w:lang w:val="fr-FR"/>
        </w:rPr>
        <w:t>’</w:t>
      </w:r>
      <w:r w:rsidRPr="006E25A6">
        <w:rPr>
          <w:lang w:val="fr-FR"/>
        </w:rPr>
        <w:t>espèce, le</w:t>
      </w:r>
      <w:r>
        <w:rPr>
          <w:lang w:val="fr-FR"/>
        </w:rPr>
        <w:t>s</w:t>
      </w:r>
      <w:r w:rsidRPr="006E25A6">
        <w:rPr>
          <w:lang w:val="fr-FR"/>
        </w:rPr>
        <w:t xml:space="preserve"> tribuna</w:t>
      </w:r>
      <w:r>
        <w:rPr>
          <w:lang w:val="fr-FR"/>
        </w:rPr>
        <w:t>ux</w:t>
      </w:r>
      <w:r w:rsidRPr="006E25A6">
        <w:rPr>
          <w:lang w:val="fr-FR"/>
        </w:rPr>
        <w:t xml:space="preserve"> n</w:t>
      </w:r>
      <w:r w:rsidR="00B908BE">
        <w:rPr>
          <w:lang w:val="fr-FR"/>
        </w:rPr>
        <w:t>’</w:t>
      </w:r>
      <w:r>
        <w:rPr>
          <w:lang w:val="fr-FR"/>
        </w:rPr>
        <w:t>ont</w:t>
      </w:r>
      <w:r w:rsidRPr="006E25A6">
        <w:rPr>
          <w:lang w:val="fr-FR"/>
        </w:rPr>
        <w:t xml:space="preserve"> pas expliqué en quoi, concrètement, les actes de l</w:t>
      </w:r>
      <w:r w:rsidR="00B908BE">
        <w:rPr>
          <w:lang w:val="fr-FR"/>
        </w:rPr>
        <w:t>’</w:t>
      </w:r>
      <w:r w:rsidRPr="006E25A6">
        <w:rPr>
          <w:lang w:val="fr-FR"/>
        </w:rPr>
        <w:t>auteure avaient cessé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être pacifiques ou </w:t>
      </w:r>
      <w:r>
        <w:rPr>
          <w:lang w:val="fr-FR"/>
        </w:rPr>
        <w:t xml:space="preserve">avaient </w:t>
      </w:r>
      <w:r w:rsidRPr="006E25A6">
        <w:rPr>
          <w:lang w:val="fr-FR"/>
        </w:rPr>
        <w:t>troublé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ordre public, par exemple </w:t>
      </w:r>
      <w:r>
        <w:rPr>
          <w:lang w:val="fr-FR"/>
        </w:rPr>
        <w:t xml:space="preserve">en gênant la circulation des véhicules </w:t>
      </w:r>
      <w:r w:rsidRPr="006E25A6">
        <w:rPr>
          <w:lang w:val="fr-FR"/>
        </w:rPr>
        <w:t>ou le passage des piétons. Il</w:t>
      </w:r>
      <w:r>
        <w:rPr>
          <w:lang w:val="fr-FR"/>
        </w:rPr>
        <w:t>s</w:t>
      </w:r>
      <w:r w:rsidRPr="006E25A6">
        <w:rPr>
          <w:lang w:val="fr-FR"/>
        </w:rPr>
        <w:t xml:space="preserve"> s</w:t>
      </w:r>
      <w:r>
        <w:rPr>
          <w:lang w:val="fr-FR"/>
        </w:rPr>
        <w:t>e sont</w:t>
      </w:r>
      <w:r w:rsidRPr="006E25A6">
        <w:rPr>
          <w:lang w:val="fr-FR"/>
        </w:rPr>
        <w:t xml:space="preserve"> </w:t>
      </w:r>
      <w:r>
        <w:rPr>
          <w:lang w:val="fr-FR"/>
        </w:rPr>
        <w:t xml:space="preserve">bornés à </w:t>
      </w:r>
      <w:r w:rsidRPr="006E25A6">
        <w:rPr>
          <w:lang w:val="fr-FR"/>
        </w:rPr>
        <w:t>examiner formellement si une autorisation préalable avait été obtenue auprès des autorités locales. L</w:t>
      </w:r>
      <w:r w:rsidR="00B908BE">
        <w:rPr>
          <w:lang w:val="fr-FR"/>
        </w:rPr>
        <w:t>’</w:t>
      </w:r>
      <w:r w:rsidRPr="006E25A6">
        <w:rPr>
          <w:lang w:val="fr-FR"/>
        </w:rPr>
        <w:t>auteure en conclut que les droits qu</w:t>
      </w:r>
      <w:r w:rsidR="00B908BE">
        <w:rPr>
          <w:lang w:val="fr-FR"/>
        </w:rPr>
        <w:t>’</w:t>
      </w:r>
      <w:r w:rsidRPr="006E25A6">
        <w:rPr>
          <w:lang w:val="fr-FR"/>
        </w:rPr>
        <w:t>elle tient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FF4FB4">
        <w:rPr>
          <w:lang w:val="fr-FR"/>
        </w:rPr>
        <w:t> </w:t>
      </w:r>
      <w:r w:rsidRPr="006E25A6">
        <w:rPr>
          <w:lang w:val="fr-FR"/>
        </w:rPr>
        <w:t>21 du Pacte ont été violés.</w:t>
      </w:r>
      <w:bookmarkEnd w:id="14"/>
    </w:p>
    <w:p w:rsidR="009A6608" w:rsidRPr="006E25A6" w:rsidRDefault="009A6608" w:rsidP="009A6608">
      <w:pPr>
        <w:pStyle w:val="H23G"/>
      </w:pPr>
      <w:bookmarkStart w:id="15" w:name="bookmark_50"/>
      <w:r w:rsidRPr="006E25A6">
        <w:rPr>
          <w:lang w:val="fr-FR"/>
        </w:rPr>
        <w:tab/>
      </w:r>
      <w:r w:rsidRPr="006E25A6">
        <w:rPr>
          <w:lang w:val="fr-FR"/>
        </w:rPr>
        <w:tab/>
        <w:t>Observations de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sur la recevabilité et sur le fond</w:t>
      </w:r>
      <w:bookmarkEnd w:id="15"/>
    </w:p>
    <w:p w:rsidR="009A6608" w:rsidRPr="006E25A6" w:rsidRDefault="009A6608" w:rsidP="009A6608">
      <w:pPr>
        <w:pStyle w:val="SingleTxtG"/>
        <w:rPr>
          <w:lang w:val="x-none"/>
        </w:rPr>
      </w:pPr>
      <w:bookmarkStart w:id="16" w:name="bookmark_51"/>
      <w:r w:rsidRPr="006E25A6">
        <w:rPr>
          <w:lang w:val="fr-FR"/>
        </w:rPr>
        <w:t>4.1</w:t>
      </w:r>
      <w:r w:rsidRPr="006E25A6">
        <w:rPr>
          <w:lang w:val="fr-FR"/>
        </w:rPr>
        <w:tab/>
        <w:t>Le 31 janvier 2013,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a contesté la recevabilité de la communication. Il a confirmé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avait été condamnée à une amende administrative pour violation de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article 20.2 (partie 1) du Code des infractions administratives de la Fédération de Russie. Cette décision </w:t>
      </w:r>
      <w:r>
        <w:rPr>
          <w:lang w:val="fr-FR"/>
        </w:rPr>
        <w:t>avait</w:t>
      </w:r>
      <w:r w:rsidRPr="006E25A6">
        <w:rPr>
          <w:lang w:val="fr-FR"/>
        </w:rPr>
        <w:t xml:space="preserve"> été contestée devant le tribunal du district Smolninsky, qui </w:t>
      </w:r>
      <w:r>
        <w:rPr>
          <w:lang w:val="fr-FR"/>
        </w:rPr>
        <w:t>avait</w:t>
      </w:r>
      <w:r w:rsidRPr="006E25A6">
        <w:rPr>
          <w:lang w:val="fr-FR"/>
        </w:rPr>
        <w:t xml:space="preserve"> confirmé la décision de la juridiction inférieure, de sorte que la décision du 6 février 2012 </w:t>
      </w:r>
      <w:r>
        <w:rPr>
          <w:lang w:val="fr-FR"/>
        </w:rPr>
        <w:t>était</w:t>
      </w:r>
      <w:r w:rsidRPr="006E25A6">
        <w:rPr>
          <w:lang w:val="fr-FR"/>
        </w:rPr>
        <w:t xml:space="preserve"> entrée en force de chose jugée.</w:t>
      </w:r>
      <w:bookmarkEnd w:id="16"/>
    </w:p>
    <w:p w:rsidR="009A6608" w:rsidRPr="006E25A6" w:rsidRDefault="009A6608" w:rsidP="009A6608">
      <w:pPr>
        <w:pStyle w:val="SingleTxtG"/>
        <w:rPr>
          <w:lang w:val="x-none"/>
        </w:rPr>
      </w:pPr>
      <w:bookmarkStart w:id="17" w:name="bookmark_53"/>
      <w:r w:rsidRPr="006E25A6">
        <w:rPr>
          <w:lang w:val="fr-FR"/>
        </w:rPr>
        <w:t>4.2</w:t>
      </w:r>
      <w:r w:rsidRPr="006E25A6">
        <w:rPr>
          <w:lang w:val="fr-FR"/>
        </w:rPr>
        <w:tab/>
      </w:r>
      <w:r>
        <w:rPr>
          <w:lang w:val="fr-FR"/>
        </w:rPr>
        <w:t>L</w:t>
      </w:r>
      <w:r w:rsidRPr="006E25A6">
        <w:rPr>
          <w:lang w:val="fr-FR"/>
        </w:rPr>
        <w:t>e tribunal de la ville de Saint-Pétersbourg</w:t>
      </w:r>
      <w:r>
        <w:rPr>
          <w:lang w:val="fr-FR"/>
        </w:rPr>
        <w:t xml:space="preserve"> a signalé que</w:t>
      </w:r>
      <w:r w:rsidRPr="006E25A6">
        <w:rPr>
          <w:lang w:val="fr-FR"/>
        </w:rPr>
        <w:t xml:space="preserve"> l</w:t>
      </w:r>
      <w:r w:rsidR="00B908BE">
        <w:rPr>
          <w:lang w:val="fr-FR"/>
        </w:rPr>
        <w:t>’</w:t>
      </w:r>
      <w:r w:rsidRPr="006E25A6">
        <w:rPr>
          <w:lang w:val="fr-FR"/>
        </w:rPr>
        <w:t>auteure n</w:t>
      </w:r>
      <w:r w:rsidR="00B908BE">
        <w:rPr>
          <w:lang w:val="fr-FR"/>
        </w:rPr>
        <w:t>’</w:t>
      </w:r>
      <w:r w:rsidRPr="006E25A6">
        <w:rPr>
          <w:lang w:val="fr-FR"/>
        </w:rPr>
        <w:t>a</w:t>
      </w:r>
      <w:r>
        <w:rPr>
          <w:lang w:val="fr-FR"/>
        </w:rPr>
        <w:t>vait</w:t>
      </w:r>
      <w:r w:rsidRPr="006E25A6">
        <w:rPr>
          <w:lang w:val="fr-FR"/>
        </w:rPr>
        <w:t xml:space="preserve"> pas formé de recours.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a affirmé en outre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n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avait pas déposé plainte auprès du Bureau du Procureur </w:t>
      </w:r>
      <w:r>
        <w:rPr>
          <w:lang w:val="fr-FR"/>
        </w:rPr>
        <w:t>comme l</w:t>
      </w:r>
      <w:r w:rsidR="00B908BE">
        <w:rPr>
          <w:lang w:val="fr-FR"/>
        </w:rPr>
        <w:t>’</w:t>
      </w:r>
      <w:r>
        <w:rPr>
          <w:lang w:val="fr-FR"/>
        </w:rPr>
        <w:t xml:space="preserve">y autorisait </w:t>
      </w:r>
      <w:r w:rsidRPr="006E25A6">
        <w:rPr>
          <w:lang w:val="fr-FR"/>
        </w:rPr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FB54BA">
        <w:rPr>
          <w:lang w:val="fr-FR"/>
        </w:rPr>
        <w:t> </w:t>
      </w:r>
      <w:r w:rsidRPr="006E25A6">
        <w:rPr>
          <w:lang w:val="fr-FR"/>
        </w:rPr>
        <w:t>25.11 (partie 1, al. 3) du Code des infractions administratives. Étant donné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n</w:t>
      </w:r>
      <w:r w:rsidR="00B908BE">
        <w:rPr>
          <w:lang w:val="fr-FR"/>
        </w:rPr>
        <w:t>’</w:t>
      </w:r>
      <w:r w:rsidRPr="006E25A6">
        <w:rPr>
          <w:lang w:val="fr-FR"/>
        </w:rPr>
        <w:t>a pas épuisé les recours internes, la communication doit être déclarée irrecevable.</w:t>
      </w:r>
      <w:bookmarkEnd w:id="17"/>
    </w:p>
    <w:p w:rsidR="009A6608" w:rsidRPr="006E25A6" w:rsidRDefault="009A6608" w:rsidP="009A6608">
      <w:pPr>
        <w:pStyle w:val="SingleTxtG"/>
        <w:rPr>
          <w:lang w:val="x-none"/>
        </w:rPr>
      </w:pPr>
      <w:bookmarkStart w:id="18" w:name="bookmark_54"/>
      <w:r w:rsidRPr="006E25A6">
        <w:rPr>
          <w:lang w:val="fr-FR"/>
        </w:rPr>
        <w:t>4.3</w:t>
      </w:r>
      <w:r w:rsidRPr="006E25A6">
        <w:rPr>
          <w:lang w:val="fr-FR"/>
        </w:rPr>
        <w:tab/>
        <w:t>Le 19 juin 2013,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État partie a formulé ses observations quant au fond de la communication. Il </w:t>
      </w:r>
      <w:r>
        <w:rPr>
          <w:lang w:val="fr-FR"/>
        </w:rPr>
        <w:t xml:space="preserve">a </w:t>
      </w:r>
      <w:r w:rsidRPr="006E25A6">
        <w:rPr>
          <w:lang w:val="fr-FR"/>
        </w:rPr>
        <w:t>affirm</w:t>
      </w:r>
      <w:r>
        <w:rPr>
          <w:lang w:val="fr-FR"/>
        </w:rPr>
        <w:t>é</w:t>
      </w:r>
      <w:r w:rsidRPr="006E25A6">
        <w:rPr>
          <w:lang w:val="fr-FR"/>
        </w:rPr>
        <w:t xml:space="preserve">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a</w:t>
      </w:r>
      <w:r>
        <w:rPr>
          <w:lang w:val="fr-FR"/>
        </w:rPr>
        <w:t>vait</w:t>
      </w:r>
      <w:r w:rsidRPr="006E25A6">
        <w:rPr>
          <w:lang w:val="fr-FR"/>
        </w:rPr>
        <w:t xml:space="preserve"> été arrêtée le 5 décembre 2011 alors qu</w:t>
      </w:r>
      <w:r w:rsidR="00B908BE">
        <w:rPr>
          <w:lang w:val="fr-FR"/>
        </w:rPr>
        <w:t>’</w:t>
      </w:r>
      <w:r w:rsidRPr="006E25A6">
        <w:rPr>
          <w:lang w:val="fr-FR"/>
        </w:rPr>
        <w:t>elle « refusait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obtempérer à des ordres légitimes » </w:t>
      </w:r>
      <w:r>
        <w:rPr>
          <w:lang w:val="fr-FR"/>
        </w:rPr>
        <w:t>de membres des forces de l</w:t>
      </w:r>
      <w:r w:rsidR="00B908BE">
        <w:rPr>
          <w:lang w:val="fr-FR"/>
        </w:rPr>
        <w:t>’</w:t>
      </w:r>
      <w:r>
        <w:rPr>
          <w:lang w:val="fr-FR"/>
        </w:rPr>
        <w:t>ordre</w:t>
      </w:r>
      <w:r w:rsidRPr="006E25A6">
        <w:rPr>
          <w:lang w:val="fr-FR"/>
        </w:rPr>
        <w:t xml:space="preserve"> qui exerçaient leurs fonctions officielles de protection de la sécurité publique. Au cours de la manifestation en question, Elena Popova avait communiqué aux autres participants les slogans qu</w:t>
      </w:r>
      <w:r w:rsidR="00B908BE">
        <w:rPr>
          <w:lang w:val="fr-FR"/>
        </w:rPr>
        <w:t>’</w:t>
      </w:r>
      <w:r w:rsidRPr="006E25A6">
        <w:rPr>
          <w:lang w:val="fr-FR"/>
        </w:rPr>
        <w:t>il fallait scander, coordonné les actions et, par conséquent, fait office d</w:t>
      </w:r>
      <w:r w:rsidR="00B908BE">
        <w:rPr>
          <w:lang w:val="fr-FR"/>
        </w:rPr>
        <w:t>’</w:t>
      </w:r>
      <w:r w:rsidRPr="006E25A6">
        <w:rPr>
          <w:lang w:val="fr-FR"/>
        </w:rPr>
        <w:t>organisatrice de l</w:t>
      </w:r>
      <w:r w:rsidR="00B908BE">
        <w:rPr>
          <w:lang w:val="fr-FR"/>
        </w:rPr>
        <w:t>’</w:t>
      </w:r>
      <w:r w:rsidRPr="006E25A6">
        <w:rPr>
          <w:lang w:val="fr-FR"/>
        </w:rPr>
        <w:t>événement</w:t>
      </w:r>
      <w:r>
        <w:rPr>
          <w:lang w:val="fr-FR"/>
        </w:rPr>
        <w:t>, qui avait un caractère spontané et</w:t>
      </w:r>
      <w:r w:rsidRPr="006E25A6">
        <w:rPr>
          <w:lang w:val="fr-FR"/>
        </w:rPr>
        <w:t xml:space="preserve"> n</w:t>
      </w:r>
      <w:r w:rsidR="00B908BE">
        <w:rPr>
          <w:lang w:val="fr-FR"/>
        </w:rPr>
        <w:t>’</w:t>
      </w:r>
      <w:r w:rsidRPr="006E25A6">
        <w:rPr>
          <w:lang w:val="fr-FR"/>
        </w:rPr>
        <w:t>avait pas fait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objet </w:t>
      </w:r>
      <w:r>
        <w:rPr>
          <w:lang w:val="fr-FR"/>
        </w:rPr>
        <w:t>de</w:t>
      </w:r>
      <w:r w:rsidRPr="006E25A6">
        <w:rPr>
          <w:lang w:val="fr-FR"/>
        </w:rPr>
        <w:t xml:space="preserve"> </w:t>
      </w:r>
      <w:r>
        <w:rPr>
          <w:lang w:val="fr-FR"/>
        </w:rPr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autorisation </w:t>
      </w:r>
      <w:r>
        <w:rPr>
          <w:lang w:val="fr-FR"/>
        </w:rPr>
        <w:t>requise par</w:t>
      </w:r>
      <w:r w:rsidRPr="006E25A6">
        <w:rPr>
          <w:lang w:val="fr-FR"/>
        </w:rPr>
        <w:t xml:space="preserve"> la loi. Les participants ayant refusé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obtempérer à des ordres légitimes, ils </w:t>
      </w:r>
      <w:r>
        <w:rPr>
          <w:lang w:val="fr-FR"/>
        </w:rPr>
        <w:t xml:space="preserve">avaient </w:t>
      </w:r>
      <w:r w:rsidRPr="006E25A6">
        <w:rPr>
          <w:lang w:val="fr-FR"/>
        </w:rPr>
        <w:t>été dispersés par la force. L</w:t>
      </w:r>
      <w:r w:rsidR="00B908BE">
        <w:rPr>
          <w:lang w:val="fr-FR"/>
        </w:rPr>
        <w:t>’</w:t>
      </w:r>
      <w:r w:rsidRPr="006E25A6">
        <w:rPr>
          <w:lang w:val="fr-FR"/>
        </w:rPr>
        <w:t>auteure a</w:t>
      </w:r>
      <w:r>
        <w:rPr>
          <w:lang w:val="fr-FR"/>
        </w:rPr>
        <w:t>vait</w:t>
      </w:r>
      <w:r w:rsidRPr="006E25A6">
        <w:rPr>
          <w:lang w:val="fr-FR"/>
        </w:rPr>
        <w:t xml:space="preserve"> été accusée de violation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51304E">
        <w:rPr>
          <w:lang w:val="fr-FR"/>
        </w:rPr>
        <w:t> </w:t>
      </w:r>
      <w:r w:rsidRPr="006E25A6">
        <w:rPr>
          <w:lang w:val="fr-FR"/>
        </w:rPr>
        <w:t>20.2 (partie</w:t>
      </w:r>
      <w:r w:rsidR="007F112C">
        <w:rPr>
          <w:lang w:val="fr-FR"/>
        </w:rPr>
        <w:t> </w:t>
      </w:r>
      <w:r w:rsidRPr="006E25A6">
        <w:rPr>
          <w:lang w:val="fr-FR"/>
        </w:rPr>
        <w:t>1) et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51304E">
        <w:rPr>
          <w:lang w:val="fr-FR"/>
        </w:rPr>
        <w:t> </w:t>
      </w:r>
      <w:r w:rsidRPr="006E25A6">
        <w:rPr>
          <w:lang w:val="fr-FR"/>
        </w:rPr>
        <w:t>19.3 (partie</w:t>
      </w:r>
      <w:r w:rsidR="007F112C">
        <w:rPr>
          <w:lang w:val="fr-FR"/>
        </w:rPr>
        <w:t> </w:t>
      </w:r>
      <w:r w:rsidRPr="006E25A6">
        <w:rPr>
          <w:lang w:val="fr-FR"/>
        </w:rPr>
        <w:t xml:space="preserve">1) </w:t>
      </w:r>
      <w:r>
        <w:rPr>
          <w:lang w:val="fr-FR"/>
        </w:rPr>
        <w:t xml:space="preserve">du Code des infractions administratives </w:t>
      </w:r>
      <w:r w:rsidRPr="006E25A6">
        <w:rPr>
          <w:lang w:val="fr-FR"/>
        </w:rPr>
        <w:t>pour avoir refusé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obéir aux ordres légitimes des </w:t>
      </w:r>
      <w:r>
        <w:rPr>
          <w:lang w:val="fr-FR"/>
        </w:rPr>
        <w:t>membres des forces de l</w:t>
      </w:r>
      <w:r w:rsidR="00B908BE">
        <w:rPr>
          <w:lang w:val="fr-FR"/>
        </w:rPr>
        <w:t>’</w:t>
      </w:r>
      <w:r>
        <w:rPr>
          <w:lang w:val="fr-FR"/>
        </w:rPr>
        <w:t>ordre</w:t>
      </w:r>
      <w:r w:rsidRPr="006E25A6">
        <w:rPr>
          <w:lang w:val="fr-FR"/>
        </w:rPr>
        <w:t>.</w:t>
      </w:r>
      <w:bookmarkEnd w:id="18"/>
    </w:p>
    <w:p w:rsidR="009A6608" w:rsidRPr="006E25A6" w:rsidRDefault="009A6608" w:rsidP="009A6608">
      <w:pPr>
        <w:pStyle w:val="SingleTxtG"/>
        <w:rPr>
          <w:lang w:val="x-none"/>
        </w:rPr>
      </w:pPr>
      <w:bookmarkStart w:id="19" w:name="bookmark_55"/>
      <w:r w:rsidRPr="006E25A6">
        <w:rPr>
          <w:lang w:val="fr-FR"/>
        </w:rPr>
        <w:lastRenderedPageBreak/>
        <w:t>4.4</w:t>
      </w:r>
      <w:r w:rsidRPr="006E25A6">
        <w:rPr>
          <w:lang w:val="fr-FR"/>
        </w:rPr>
        <w:tab/>
      </w:r>
      <w:r>
        <w:rPr>
          <w:lang w:val="fr-FR"/>
        </w:rPr>
        <w:t>L</w:t>
      </w:r>
      <w:r w:rsidR="00B908BE">
        <w:rPr>
          <w:lang w:val="fr-FR"/>
        </w:rPr>
        <w:t>’</w:t>
      </w:r>
      <w:r>
        <w:rPr>
          <w:lang w:val="fr-FR"/>
        </w:rPr>
        <w:t>État partie affirme que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7F112C">
        <w:rPr>
          <w:lang w:val="fr-FR"/>
        </w:rPr>
        <w:t> </w:t>
      </w:r>
      <w:r w:rsidRPr="006E25A6">
        <w:rPr>
          <w:lang w:val="fr-FR"/>
        </w:rPr>
        <w:t>31 de la Constitution de la Fédération de Russie donne aux citoyens le droit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organiser des « rassemblements, réunions, manifestations, défilés et piquets » pacifiques. </w:t>
      </w:r>
      <w:r>
        <w:rPr>
          <w:lang w:val="fr-FR"/>
        </w:rPr>
        <w:t>D</w:t>
      </w:r>
      <w:r w:rsidR="00B908BE">
        <w:rPr>
          <w:lang w:val="fr-FR"/>
        </w:rPr>
        <w:t>’</w:t>
      </w:r>
      <w:r>
        <w:rPr>
          <w:lang w:val="fr-FR"/>
        </w:rPr>
        <w:t xml:space="preserve">après </w:t>
      </w:r>
      <w:r w:rsidRPr="006E25A6">
        <w:rPr>
          <w:lang w:val="fr-FR"/>
        </w:rPr>
        <w:t>la loi sur les manifestations publiques, l</w:t>
      </w:r>
      <w:r w:rsidR="00B908BE">
        <w:rPr>
          <w:lang w:val="fr-FR"/>
        </w:rPr>
        <w:t>’</w:t>
      </w:r>
      <w:r w:rsidRPr="006E25A6">
        <w:rPr>
          <w:lang w:val="fr-FR"/>
        </w:rPr>
        <w:t>un des principes régissant l</w:t>
      </w:r>
      <w:r w:rsidR="00B908BE">
        <w:rPr>
          <w:lang w:val="fr-FR"/>
        </w:rPr>
        <w:t>’</w:t>
      </w:r>
      <w:r w:rsidRPr="006E25A6">
        <w:rPr>
          <w:lang w:val="fr-FR"/>
        </w:rPr>
        <w:t>organisation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une manifestation publique est la « légalité », à savoir le respect des dispositions de la Constitution de la Fédération de Russie, de la loi </w:t>
      </w:r>
      <w:r>
        <w:rPr>
          <w:lang w:val="fr-FR"/>
        </w:rPr>
        <w:t>précitée</w:t>
      </w:r>
      <w:r w:rsidRPr="006E25A6">
        <w:rPr>
          <w:lang w:val="fr-FR"/>
        </w:rPr>
        <w:t xml:space="preserve"> et d</w:t>
      </w:r>
      <w:r w:rsidR="00B908BE">
        <w:rPr>
          <w:lang w:val="fr-FR"/>
        </w:rPr>
        <w:t>’</w:t>
      </w:r>
      <w:r w:rsidRPr="006E25A6">
        <w:rPr>
          <w:lang w:val="fr-FR"/>
        </w:rPr>
        <w:t>autres textes législatifs.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7F112C">
        <w:rPr>
          <w:lang w:val="fr-FR"/>
        </w:rPr>
        <w:t> </w:t>
      </w:r>
      <w:r w:rsidRPr="006E25A6">
        <w:rPr>
          <w:lang w:val="fr-FR"/>
        </w:rPr>
        <w:t>5 (partie</w:t>
      </w:r>
      <w:r w:rsidR="007F112C">
        <w:rPr>
          <w:lang w:val="fr-FR"/>
        </w:rPr>
        <w:t> </w:t>
      </w:r>
      <w:r w:rsidRPr="006E25A6">
        <w:rPr>
          <w:lang w:val="fr-FR"/>
        </w:rPr>
        <w:t>4, al. 1) de la loi sur les manifestations publiques exige le dépôt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un préavis auprès des autorités locales. </w:t>
      </w:r>
      <w:bookmarkEnd w:id="19"/>
    </w:p>
    <w:p w:rsidR="009A6608" w:rsidRPr="006E25A6" w:rsidRDefault="009A6608" w:rsidP="009A6608">
      <w:pPr>
        <w:pStyle w:val="SingleTxtG"/>
        <w:rPr>
          <w:lang w:val="x-none"/>
        </w:rPr>
      </w:pPr>
      <w:bookmarkStart w:id="20" w:name="bookmark_56"/>
      <w:r w:rsidRPr="006E25A6">
        <w:rPr>
          <w:lang w:val="fr-FR"/>
        </w:rPr>
        <w:t>4.5</w:t>
      </w:r>
      <w:r w:rsidRPr="006E25A6">
        <w:rPr>
          <w:lang w:val="fr-FR"/>
        </w:rPr>
        <w:tab/>
        <w:t xml:space="preserve">Par décision du tribunal </w:t>
      </w:r>
      <w:r>
        <w:rPr>
          <w:lang w:val="fr-FR"/>
        </w:rPr>
        <w:t xml:space="preserve">en date </w:t>
      </w:r>
      <w:r w:rsidRPr="006E25A6">
        <w:rPr>
          <w:lang w:val="fr-FR"/>
        </w:rPr>
        <w:t>du 6</w:t>
      </w:r>
      <w:r w:rsidR="007F112C">
        <w:rPr>
          <w:lang w:val="fr-FR"/>
        </w:rPr>
        <w:t> </w:t>
      </w:r>
      <w:r w:rsidRPr="006E25A6">
        <w:rPr>
          <w:lang w:val="fr-FR"/>
        </w:rPr>
        <w:t>février 2012, l</w:t>
      </w:r>
      <w:r w:rsidR="00B908BE">
        <w:rPr>
          <w:lang w:val="fr-FR"/>
        </w:rPr>
        <w:t>’</w:t>
      </w:r>
      <w:r w:rsidRPr="006E25A6">
        <w:rPr>
          <w:lang w:val="fr-FR"/>
        </w:rPr>
        <w:t>auteure a été condamnée à une amende administrative. Elle a fait appel de cette décision mais a été déboutée. Elle a également été détenue pendant quatorze heures. Selon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7F112C">
        <w:rPr>
          <w:lang w:val="fr-FR"/>
        </w:rPr>
        <w:t> </w:t>
      </w:r>
      <w:r w:rsidRPr="006E25A6">
        <w:rPr>
          <w:lang w:val="fr-FR"/>
        </w:rPr>
        <w:t>27.5 (partie</w:t>
      </w:r>
      <w:r w:rsidR="0037692B">
        <w:rPr>
          <w:lang w:val="fr-FR"/>
        </w:rPr>
        <w:t> </w:t>
      </w:r>
      <w:r w:rsidRPr="006E25A6">
        <w:rPr>
          <w:lang w:val="fr-FR"/>
        </w:rPr>
        <w:t>3) du Code des infractions administratives, la personne accusée d</w:t>
      </w:r>
      <w:r w:rsidR="00B908BE">
        <w:rPr>
          <w:lang w:val="fr-FR"/>
        </w:rPr>
        <w:t>’</w:t>
      </w:r>
      <w:r w:rsidRPr="006E25A6">
        <w:rPr>
          <w:lang w:val="fr-FR"/>
        </w:rPr>
        <w:t>une infraction administrative peut être maintenue en détention jusqu</w:t>
      </w:r>
      <w:r w:rsidR="00B908BE">
        <w:rPr>
          <w:lang w:val="fr-FR"/>
        </w:rPr>
        <w:t>’</w:t>
      </w:r>
      <w:r w:rsidRPr="006E25A6">
        <w:rPr>
          <w:lang w:val="fr-FR"/>
        </w:rPr>
        <w:t>à quarante-huit heures.</w:t>
      </w:r>
      <w:bookmarkEnd w:id="20"/>
    </w:p>
    <w:p w:rsidR="009A6608" w:rsidRPr="006E25A6" w:rsidRDefault="009A6608" w:rsidP="009A6608">
      <w:pPr>
        <w:pStyle w:val="SingleTxtG"/>
        <w:rPr>
          <w:lang w:val="x-none"/>
        </w:rPr>
      </w:pPr>
      <w:bookmarkStart w:id="21" w:name="bookmark_57"/>
      <w:r w:rsidRPr="006E25A6">
        <w:rPr>
          <w:lang w:val="fr-FR"/>
        </w:rPr>
        <w:t>4.6</w:t>
      </w:r>
      <w:r w:rsidRPr="006E25A6">
        <w:rPr>
          <w:lang w:val="fr-FR"/>
        </w:rPr>
        <w:tab/>
        <w:t>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fait valoir en outre que le tribunal du district Smolninsky a dûment examiné les griefs formulés par l</w:t>
      </w:r>
      <w:r w:rsidR="00B908BE">
        <w:rPr>
          <w:lang w:val="fr-FR"/>
        </w:rPr>
        <w:t>’</w:t>
      </w:r>
      <w:r w:rsidRPr="006E25A6">
        <w:rPr>
          <w:lang w:val="fr-FR"/>
        </w:rPr>
        <w:t>auteure au titre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37692B">
        <w:rPr>
          <w:lang w:val="fr-FR"/>
        </w:rPr>
        <w:t> </w:t>
      </w:r>
      <w:r w:rsidRPr="006E25A6">
        <w:rPr>
          <w:lang w:val="fr-FR"/>
        </w:rPr>
        <w:t>21 du Pacte</w:t>
      </w:r>
      <w:r>
        <w:rPr>
          <w:lang w:val="fr-FR"/>
        </w:rPr>
        <w:t>, lequel dispose</w:t>
      </w:r>
      <w:r w:rsidRPr="006E25A6">
        <w:rPr>
          <w:lang w:val="fr-FR"/>
        </w:rPr>
        <w:t xml:space="preserve"> que le droit de réunion pacifique ne peut faire l</w:t>
      </w:r>
      <w:r w:rsidR="00B908BE">
        <w:rPr>
          <w:lang w:val="fr-FR"/>
        </w:rPr>
        <w:t>’</w:t>
      </w:r>
      <w:r w:rsidRPr="006E25A6">
        <w:rPr>
          <w:lang w:val="fr-FR"/>
        </w:rPr>
        <w:t>objet que des seules restrictions nécessaires dans une société démocratique, dans l</w:t>
      </w:r>
      <w:r w:rsidR="00B908BE">
        <w:rPr>
          <w:lang w:val="fr-FR"/>
        </w:rPr>
        <w:t>’</w:t>
      </w:r>
      <w:r w:rsidRPr="006E25A6">
        <w:rPr>
          <w:lang w:val="fr-FR"/>
        </w:rPr>
        <w:t>intérêt de la sécurité nationale, de la sûreté publique ou de la moralité, ou pour protéger les droits et les libertés d</w:t>
      </w:r>
      <w:r w:rsidR="00B908BE">
        <w:rPr>
          <w:lang w:val="fr-FR"/>
        </w:rPr>
        <w:t>’</w:t>
      </w:r>
      <w:r w:rsidRPr="006E25A6">
        <w:rPr>
          <w:lang w:val="fr-FR"/>
        </w:rPr>
        <w:t>autrui. Le paragraphe</w:t>
      </w:r>
      <w:r w:rsidR="0037692B">
        <w:rPr>
          <w:lang w:val="fr-FR"/>
        </w:rPr>
        <w:t> </w:t>
      </w:r>
      <w:r w:rsidRPr="006E25A6">
        <w:rPr>
          <w:lang w:val="fr-FR"/>
        </w:rPr>
        <w:t>3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37692B">
        <w:rPr>
          <w:lang w:val="fr-FR"/>
        </w:rPr>
        <w:t> </w:t>
      </w:r>
      <w:r w:rsidRPr="006E25A6">
        <w:rPr>
          <w:lang w:val="fr-FR"/>
        </w:rPr>
        <w:t xml:space="preserve">17 de la Constitution de la Fédération de Russie </w:t>
      </w:r>
      <w:r>
        <w:rPr>
          <w:lang w:val="fr-FR"/>
        </w:rPr>
        <w:t>garantit le plein exercice des</w:t>
      </w:r>
      <w:r w:rsidRPr="006E25A6">
        <w:rPr>
          <w:lang w:val="fr-FR"/>
        </w:rPr>
        <w:t xml:space="preserve"> droits de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homme et </w:t>
      </w:r>
      <w:r>
        <w:rPr>
          <w:lang w:val="fr-FR"/>
        </w:rPr>
        <w:t>des</w:t>
      </w:r>
      <w:r w:rsidRPr="006E25A6">
        <w:rPr>
          <w:lang w:val="fr-FR"/>
        </w:rPr>
        <w:t xml:space="preserve"> libertés </w:t>
      </w:r>
      <w:r>
        <w:rPr>
          <w:lang w:val="fr-FR"/>
        </w:rPr>
        <w:t>sous réserve qu</w:t>
      </w:r>
      <w:r w:rsidR="00B908BE">
        <w:rPr>
          <w:lang w:val="fr-FR"/>
        </w:rPr>
        <w:t>’</w:t>
      </w:r>
      <w:r>
        <w:rPr>
          <w:lang w:val="fr-FR"/>
        </w:rPr>
        <w:t xml:space="preserve">il ne porte </w:t>
      </w:r>
      <w:r w:rsidRPr="006E25A6">
        <w:rPr>
          <w:lang w:val="fr-FR"/>
        </w:rPr>
        <w:t>pas atteinte aux droits et libertés d</w:t>
      </w:r>
      <w:r w:rsidR="00B908BE">
        <w:rPr>
          <w:lang w:val="fr-FR"/>
        </w:rPr>
        <w:t>’</w:t>
      </w:r>
      <w:r w:rsidRPr="006E25A6">
        <w:rPr>
          <w:lang w:val="fr-FR"/>
        </w:rPr>
        <w:t>autrui.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obligation de déposer un préavis </w:t>
      </w:r>
      <w:r>
        <w:rPr>
          <w:lang w:val="fr-FR"/>
        </w:rPr>
        <w:t xml:space="preserve">vise à </w:t>
      </w:r>
      <w:r w:rsidRPr="006E25A6">
        <w:rPr>
          <w:lang w:val="fr-FR"/>
        </w:rPr>
        <w:t>protéger l</w:t>
      </w:r>
      <w:r w:rsidR="00B908BE">
        <w:rPr>
          <w:lang w:val="fr-FR"/>
        </w:rPr>
        <w:t>’</w:t>
      </w:r>
      <w:r w:rsidRPr="006E25A6">
        <w:rPr>
          <w:lang w:val="fr-FR"/>
        </w:rPr>
        <w:t>ordre public et les droits et libertés d</w:t>
      </w:r>
      <w:r w:rsidR="00B908BE">
        <w:rPr>
          <w:lang w:val="fr-FR"/>
        </w:rPr>
        <w:t>’</w:t>
      </w:r>
      <w:r w:rsidRPr="006E25A6">
        <w:rPr>
          <w:lang w:val="fr-FR"/>
        </w:rPr>
        <w:t>autrui</w:t>
      </w:r>
      <w:r>
        <w:rPr>
          <w:lang w:val="fr-FR"/>
        </w:rPr>
        <w:t xml:space="preserve">, et </w:t>
      </w:r>
      <w:r w:rsidRPr="006E25A6">
        <w:rPr>
          <w:lang w:val="fr-FR"/>
        </w:rPr>
        <w:t xml:space="preserve">ne </w:t>
      </w:r>
      <w:r>
        <w:rPr>
          <w:lang w:val="fr-FR"/>
        </w:rPr>
        <w:t xml:space="preserve">constitue donc </w:t>
      </w:r>
      <w:r w:rsidRPr="006E25A6">
        <w:rPr>
          <w:lang w:val="fr-FR"/>
        </w:rPr>
        <w:t xml:space="preserve">pas </w:t>
      </w:r>
      <w:r>
        <w:rPr>
          <w:lang w:val="fr-FR"/>
        </w:rPr>
        <w:t xml:space="preserve">une </w:t>
      </w:r>
      <w:r w:rsidRPr="006E25A6">
        <w:rPr>
          <w:lang w:val="fr-FR"/>
        </w:rPr>
        <w:t>atteinte au droit à la liberté de réunion consacré à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37692B">
        <w:rPr>
          <w:lang w:val="fr-FR"/>
        </w:rPr>
        <w:t> </w:t>
      </w:r>
      <w:r w:rsidRPr="006E25A6">
        <w:rPr>
          <w:lang w:val="fr-FR"/>
        </w:rPr>
        <w:t>21 du Pacte.</w:t>
      </w:r>
      <w:bookmarkEnd w:id="21"/>
    </w:p>
    <w:p w:rsidR="009A6608" w:rsidRPr="006E25A6" w:rsidRDefault="009A6608" w:rsidP="009A6608">
      <w:pPr>
        <w:pStyle w:val="SingleTxtG"/>
        <w:rPr>
          <w:lang w:val="x-none"/>
        </w:rPr>
      </w:pPr>
      <w:bookmarkStart w:id="22" w:name="bookmark_58"/>
      <w:r w:rsidRPr="006E25A6">
        <w:rPr>
          <w:lang w:val="fr-FR"/>
        </w:rPr>
        <w:t>4.7</w:t>
      </w:r>
      <w:r w:rsidRPr="006E25A6">
        <w:rPr>
          <w:lang w:val="fr-FR"/>
        </w:rPr>
        <w:tab/>
        <w:t xml:space="preserve">En ce qui concerne les griefs </w:t>
      </w:r>
      <w:r>
        <w:rPr>
          <w:lang w:val="fr-FR"/>
        </w:rPr>
        <w:t>que l</w:t>
      </w:r>
      <w:r w:rsidR="00B908BE">
        <w:rPr>
          <w:lang w:val="fr-FR"/>
        </w:rPr>
        <w:t>’</w:t>
      </w:r>
      <w:r>
        <w:rPr>
          <w:lang w:val="fr-FR"/>
        </w:rPr>
        <w:t>auteure tire</w:t>
      </w:r>
      <w:r w:rsidRPr="006E25A6">
        <w:rPr>
          <w:lang w:val="fr-FR"/>
        </w:rPr>
        <w:t xml:space="preserve"> du paragraphe 1 de l</w:t>
      </w:r>
      <w:r w:rsidR="00B908BE">
        <w:rPr>
          <w:lang w:val="fr-FR"/>
        </w:rPr>
        <w:t>’</w:t>
      </w:r>
      <w:r w:rsidRPr="006E25A6">
        <w:rPr>
          <w:lang w:val="fr-FR"/>
        </w:rPr>
        <w:t>article 14,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fait valoir qu</w:t>
      </w:r>
      <w:r w:rsidR="00B908BE">
        <w:rPr>
          <w:lang w:val="fr-FR"/>
        </w:rPr>
        <w:t>’</w:t>
      </w:r>
      <w:r w:rsidRPr="006E25A6">
        <w:rPr>
          <w:lang w:val="fr-FR"/>
        </w:rPr>
        <w:t>en vertu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37692B">
        <w:rPr>
          <w:lang w:val="fr-FR"/>
        </w:rPr>
        <w:t> </w:t>
      </w:r>
      <w:r w:rsidRPr="006E25A6">
        <w:rPr>
          <w:lang w:val="fr-FR"/>
        </w:rPr>
        <w:t>25.11 (partie</w:t>
      </w:r>
      <w:r w:rsidR="0037692B">
        <w:rPr>
          <w:lang w:val="fr-FR"/>
        </w:rPr>
        <w:t> </w:t>
      </w:r>
      <w:r w:rsidRPr="006E25A6">
        <w:rPr>
          <w:lang w:val="fr-FR"/>
        </w:rPr>
        <w:t xml:space="preserve">1) du Code des infractions administratives, le procureur qui participe à la procédure </w:t>
      </w:r>
      <w:r>
        <w:rPr>
          <w:lang w:val="fr-FR"/>
        </w:rPr>
        <w:t xml:space="preserve">judiciaire </w:t>
      </w:r>
      <w:r w:rsidRPr="006E25A6">
        <w:rPr>
          <w:lang w:val="fr-FR"/>
        </w:rPr>
        <w:t>a le droit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engager </w:t>
      </w:r>
      <w:r>
        <w:rPr>
          <w:lang w:val="fr-FR"/>
        </w:rPr>
        <w:t>une</w:t>
      </w:r>
      <w:r w:rsidRPr="006E25A6">
        <w:rPr>
          <w:lang w:val="fr-FR"/>
        </w:rPr>
        <w:t xml:space="preserve"> procédure administrative, d</w:t>
      </w:r>
      <w:r w:rsidR="00B908BE">
        <w:rPr>
          <w:lang w:val="fr-FR"/>
        </w:rPr>
        <w:t>’</w:t>
      </w:r>
      <w:r w:rsidRPr="006E25A6">
        <w:rPr>
          <w:lang w:val="fr-FR"/>
        </w:rPr>
        <w:t>assister aux audiences, de produire des preuves, de déposer des requêtes et d</w:t>
      </w:r>
      <w:r w:rsidR="00B908BE">
        <w:rPr>
          <w:lang w:val="fr-FR"/>
        </w:rPr>
        <w:t>’</w:t>
      </w:r>
      <w:r w:rsidRPr="006E25A6">
        <w:rPr>
          <w:lang w:val="fr-FR"/>
        </w:rPr>
        <w:t>accomplir d</w:t>
      </w:r>
      <w:r w:rsidR="00B908BE">
        <w:rPr>
          <w:lang w:val="fr-FR"/>
        </w:rPr>
        <w:t>’</w:t>
      </w:r>
      <w:r w:rsidRPr="006E25A6">
        <w:rPr>
          <w:lang w:val="fr-FR"/>
        </w:rPr>
        <w:t>autres actes prévus par la loi fédérale. Conformément à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37692B">
        <w:rPr>
          <w:lang w:val="fr-FR"/>
        </w:rPr>
        <w:t> </w:t>
      </w:r>
      <w:r w:rsidRPr="006E25A6">
        <w:rPr>
          <w:lang w:val="fr-FR"/>
        </w:rPr>
        <w:t>25.11 (partie</w:t>
      </w:r>
      <w:r w:rsidR="0037692B">
        <w:rPr>
          <w:lang w:val="fr-FR"/>
        </w:rPr>
        <w:t> </w:t>
      </w:r>
      <w:r w:rsidRPr="006E25A6">
        <w:rPr>
          <w:lang w:val="fr-FR"/>
        </w:rPr>
        <w:t>2) de la même loi, le procureur n</w:t>
      </w:r>
      <w:r w:rsidR="00B908BE">
        <w:rPr>
          <w:lang w:val="fr-FR"/>
        </w:rPr>
        <w:t>’</w:t>
      </w:r>
      <w:r w:rsidRPr="006E25A6">
        <w:rPr>
          <w:lang w:val="fr-FR"/>
        </w:rPr>
        <w:t>est informé de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heure, de la date et du lieu des audiences que </w:t>
      </w:r>
      <w:r>
        <w:rPr>
          <w:lang w:val="fr-FR"/>
        </w:rPr>
        <w:t xml:space="preserve">si elles concernent une </w:t>
      </w:r>
      <w:r w:rsidRPr="006E25A6">
        <w:rPr>
          <w:lang w:val="fr-FR"/>
        </w:rPr>
        <w:t>infraction administrative commise par un mineur ou lorsqu</w:t>
      </w:r>
      <w:r w:rsidR="00B908BE">
        <w:rPr>
          <w:lang w:val="fr-FR"/>
        </w:rPr>
        <w:t>’</w:t>
      </w:r>
      <w:r w:rsidRPr="006E25A6">
        <w:rPr>
          <w:lang w:val="fr-FR"/>
        </w:rPr>
        <w:t>il a lui-même engagé la procédure. Dans les autres cas, la loi fédérale n</w:t>
      </w:r>
      <w:r w:rsidR="00B908BE">
        <w:rPr>
          <w:lang w:val="fr-FR"/>
        </w:rPr>
        <w:t>’</w:t>
      </w:r>
      <w:r w:rsidRPr="006E25A6">
        <w:rPr>
          <w:lang w:val="fr-FR"/>
        </w:rPr>
        <w:t>exige pas du procureur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il participe à toutes les audiences administratives. </w:t>
      </w:r>
      <w:bookmarkEnd w:id="22"/>
    </w:p>
    <w:p w:rsidR="009A6608" w:rsidRPr="006E25A6" w:rsidRDefault="009A6608" w:rsidP="009A6608">
      <w:pPr>
        <w:pStyle w:val="SingleTxtG"/>
        <w:rPr>
          <w:lang w:val="x-none"/>
        </w:rPr>
      </w:pPr>
      <w:bookmarkStart w:id="23" w:name="bookmark_59"/>
      <w:r w:rsidRPr="006E25A6">
        <w:rPr>
          <w:lang w:val="fr-FR"/>
        </w:rPr>
        <w:t>4.8</w:t>
      </w:r>
      <w:r w:rsidRPr="006E25A6">
        <w:rPr>
          <w:lang w:val="fr-FR"/>
        </w:rPr>
        <w:tab/>
        <w:t xml:space="preserve">Comme il ressort clairement des </w:t>
      </w:r>
      <w:r>
        <w:rPr>
          <w:lang w:val="fr-FR"/>
        </w:rPr>
        <w:t>pièces de procédure</w:t>
      </w:r>
      <w:r w:rsidRPr="006E25A6">
        <w:rPr>
          <w:lang w:val="fr-FR"/>
        </w:rPr>
        <w:t>, l</w:t>
      </w:r>
      <w:r w:rsidR="00B908BE">
        <w:rPr>
          <w:lang w:val="fr-FR"/>
        </w:rPr>
        <w:t>’</w:t>
      </w:r>
      <w:r w:rsidRPr="006E25A6">
        <w:rPr>
          <w:lang w:val="fr-FR"/>
        </w:rPr>
        <w:t>auteure a pu participer à la procédure et expliquer sa position au sujet de l</w:t>
      </w:r>
      <w:r w:rsidR="00B908BE">
        <w:rPr>
          <w:lang w:val="fr-FR"/>
        </w:rPr>
        <w:t>’</w:t>
      </w:r>
      <w:r w:rsidRPr="006E25A6">
        <w:rPr>
          <w:lang w:val="fr-FR"/>
        </w:rPr>
        <w:t>infraction alléguée. Dans le cadre de la procédure en appel devant le tribunal du district Smolninsky, l</w:t>
      </w:r>
      <w:r w:rsidR="00B908BE">
        <w:rPr>
          <w:lang w:val="fr-FR"/>
        </w:rPr>
        <w:t>’</w:t>
      </w:r>
      <w:r w:rsidRPr="006E25A6">
        <w:rPr>
          <w:lang w:val="fr-FR"/>
        </w:rPr>
        <w:t>auteure était représentée par son avocat, M. Sergei Golubok. Elle a donc effectivement exercé son droit constitutionnel à une défense dans le cadre d</w:t>
      </w:r>
      <w:r w:rsidR="00B908BE">
        <w:rPr>
          <w:lang w:val="fr-FR"/>
        </w:rPr>
        <w:t>’</w:t>
      </w:r>
      <w:r w:rsidRPr="006E25A6">
        <w:rPr>
          <w:lang w:val="fr-FR"/>
        </w:rPr>
        <w:t>une procédure judiciaire.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en conclut qu</w:t>
      </w:r>
      <w:r w:rsidR="00B908BE">
        <w:rPr>
          <w:lang w:val="fr-FR"/>
        </w:rPr>
        <w:t>’</w:t>
      </w:r>
      <w:r w:rsidRPr="006E25A6">
        <w:rPr>
          <w:lang w:val="fr-FR"/>
        </w:rPr>
        <w:t>il n</w:t>
      </w:r>
      <w:r w:rsidR="00B908BE">
        <w:rPr>
          <w:lang w:val="fr-FR"/>
        </w:rPr>
        <w:t>’</w:t>
      </w:r>
      <w:r w:rsidRPr="006E25A6">
        <w:rPr>
          <w:lang w:val="fr-FR"/>
        </w:rPr>
        <w:t>y a pas eu violation des articles</w:t>
      </w:r>
      <w:r w:rsidR="000013B3">
        <w:rPr>
          <w:lang w:val="fr-FR"/>
        </w:rPr>
        <w:t> </w:t>
      </w:r>
      <w:r w:rsidRPr="006E25A6">
        <w:rPr>
          <w:lang w:val="fr-FR"/>
        </w:rPr>
        <w:t xml:space="preserve">14 (par. 1) </w:t>
      </w:r>
      <w:r>
        <w:rPr>
          <w:lang w:val="fr-FR"/>
        </w:rPr>
        <w:t xml:space="preserve">ou </w:t>
      </w:r>
      <w:r w:rsidRPr="006E25A6">
        <w:rPr>
          <w:lang w:val="fr-FR"/>
        </w:rPr>
        <w:t>21 du Pacte.</w:t>
      </w:r>
      <w:bookmarkEnd w:id="23"/>
    </w:p>
    <w:p w:rsidR="009A6608" w:rsidRPr="006E25A6" w:rsidRDefault="009A6608" w:rsidP="009A6608">
      <w:pPr>
        <w:pStyle w:val="H23G"/>
      </w:pPr>
      <w:bookmarkStart w:id="24" w:name="bookmark_60"/>
      <w:r w:rsidRPr="006E25A6">
        <w:rPr>
          <w:lang w:val="fr-FR"/>
        </w:rPr>
        <w:tab/>
      </w:r>
      <w:r w:rsidRPr="006E25A6">
        <w:rPr>
          <w:lang w:val="fr-FR"/>
        </w:rPr>
        <w:tab/>
        <w:t>Commentaires de l</w:t>
      </w:r>
      <w:r w:rsidR="00B908BE">
        <w:rPr>
          <w:lang w:val="fr-FR"/>
        </w:rPr>
        <w:t>’</w:t>
      </w:r>
      <w:r w:rsidRPr="006E25A6">
        <w:rPr>
          <w:lang w:val="fr-FR"/>
        </w:rPr>
        <w:t>auteure sur les observations de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État partie </w:t>
      </w:r>
      <w:r w:rsidRPr="006E25A6">
        <w:rPr>
          <w:lang w:val="fr-FR"/>
        </w:rPr>
        <w:br/>
        <w:t>concernant la recevabilité et le fond</w:t>
      </w:r>
      <w:bookmarkEnd w:id="24"/>
    </w:p>
    <w:p w:rsidR="009A6608" w:rsidRPr="006E25A6" w:rsidRDefault="009A6608" w:rsidP="009A6608">
      <w:pPr>
        <w:pStyle w:val="SingleTxtG"/>
        <w:rPr>
          <w:lang w:val="x-none"/>
        </w:rPr>
      </w:pPr>
      <w:bookmarkStart w:id="25" w:name="bookmark_61"/>
      <w:r w:rsidRPr="006E25A6">
        <w:rPr>
          <w:lang w:val="fr-FR"/>
        </w:rPr>
        <w:t>5.1</w:t>
      </w:r>
      <w:r w:rsidRPr="006E25A6">
        <w:rPr>
          <w:lang w:val="fr-FR"/>
        </w:rPr>
        <w:tab/>
        <w:t>Répondant aux observations de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partie,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auteure </w:t>
      </w:r>
      <w:r>
        <w:rPr>
          <w:lang w:val="fr-FR"/>
        </w:rPr>
        <w:t xml:space="preserve">réaffirme </w:t>
      </w:r>
      <w:r w:rsidRPr="006E25A6">
        <w:rPr>
          <w:lang w:val="fr-FR"/>
        </w:rPr>
        <w:t>sa position concernant la recevabilité de ses griefs et demande au Comité de déclarer la communication recevable dans son intégralité. Elle note que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État partie a </w:t>
      </w:r>
      <w:r>
        <w:rPr>
          <w:lang w:val="fr-FR"/>
        </w:rPr>
        <w:t>soutenu</w:t>
      </w:r>
      <w:r w:rsidRPr="006E25A6">
        <w:rPr>
          <w:lang w:val="fr-FR"/>
        </w:rPr>
        <w:t xml:space="preserve"> que l</w:t>
      </w:r>
      <w:r w:rsidR="00B908BE">
        <w:rPr>
          <w:lang w:val="fr-FR"/>
        </w:rPr>
        <w:t>’</w:t>
      </w:r>
      <w:r w:rsidRPr="006E25A6">
        <w:rPr>
          <w:lang w:val="fr-FR"/>
        </w:rPr>
        <w:t>amende qui lui a été infligée était conforme à la législation russe. Son argument principal porte toutefois sur le point de savoir si les restrictions qui lui ont été imposées étaient nécessaires dans une société démocratique, au sens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0013B3">
        <w:rPr>
          <w:lang w:val="fr-FR"/>
        </w:rPr>
        <w:t> </w:t>
      </w:r>
      <w:r w:rsidRPr="006E25A6">
        <w:rPr>
          <w:lang w:val="fr-FR"/>
        </w:rPr>
        <w:t xml:space="preserve">21 du Pacte. La manifestation </w:t>
      </w:r>
      <w:r>
        <w:rPr>
          <w:lang w:val="fr-FR"/>
        </w:rPr>
        <w:t xml:space="preserve">tenue </w:t>
      </w:r>
      <w:r w:rsidRPr="006E25A6">
        <w:rPr>
          <w:lang w:val="fr-FR"/>
        </w:rPr>
        <w:t xml:space="preserve">en réaction à un problème important </w:t>
      </w:r>
      <w:r w:rsidR="000013B3">
        <w:rPr>
          <w:lang w:val="fr-FR"/>
        </w:rPr>
        <w:t>− </w:t>
      </w:r>
      <w:r w:rsidRPr="006E25A6">
        <w:rPr>
          <w:lang w:val="fr-FR"/>
        </w:rPr>
        <w:t xml:space="preserve">des allégations de </w:t>
      </w:r>
      <w:r>
        <w:rPr>
          <w:lang w:val="fr-FR"/>
        </w:rPr>
        <w:t xml:space="preserve">trucage de </w:t>
      </w:r>
      <w:r w:rsidRPr="006E25A6">
        <w:rPr>
          <w:lang w:val="fr-FR"/>
        </w:rPr>
        <w:t>résultats électoraux</w:t>
      </w:r>
      <w:r w:rsidR="000013B3">
        <w:rPr>
          <w:lang w:val="fr-FR"/>
        </w:rPr>
        <w:t xml:space="preserve"> − </w:t>
      </w:r>
      <w:r w:rsidRPr="006E25A6">
        <w:rPr>
          <w:lang w:val="fr-FR"/>
        </w:rPr>
        <w:t xml:space="preserve">était « absolument pacifique, </w:t>
      </w:r>
      <w:r>
        <w:rPr>
          <w:lang w:val="fr-FR"/>
        </w:rPr>
        <w:t>sans qu</w:t>
      </w:r>
      <w:r w:rsidR="00B908BE">
        <w:rPr>
          <w:lang w:val="fr-FR"/>
        </w:rPr>
        <w:t>’</w:t>
      </w:r>
      <w:r w:rsidRPr="006E25A6">
        <w:rPr>
          <w:lang w:val="fr-FR"/>
        </w:rPr>
        <w:t>aucune personne ni aucun bien n</w:t>
      </w:r>
      <w:r w:rsidR="00B908BE">
        <w:rPr>
          <w:lang w:val="fr-FR"/>
        </w:rPr>
        <w:t>’</w:t>
      </w:r>
      <w:r w:rsidRPr="006E25A6">
        <w:rPr>
          <w:lang w:val="fr-FR"/>
        </w:rPr>
        <w:t>a</w:t>
      </w:r>
      <w:r>
        <w:rPr>
          <w:lang w:val="fr-FR"/>
        </w:rPr>
        <w:t>it</w:t>
      </w:r>
      <w:r w:rsidRPr="006E25A6">
        <w:rPr>
          <w:lang w:val="fr-FR"/>
        </w:rPr>
        <w:t xml:space="preserve"> subi de dommage ou n</w:t>
      </w:r>
      <w:r w:rsidR="00B908BE">
        <w:rPr>
          <w:lang w:val="fr-FR"/>
        </w:rPr>
        <w:t>’</w:t>
      </w:r>
      <w:r w:rsidRPr="006E25A6">
        <w:rPr>
          <w:lang w:val="fr-FR"/>
        </w:rPr>
        <w:t>a</w:t>
      </w:r>
      <w:r>
        <w:rPr>
          <w:lang w:val="fr-FR"/>
        </w:rPr>
        <w:t>it</w:t>
      </w:r>
      <w:r w:rsidRPr="006E25A6">
        <w:rPr>
          <w:lang w:val="fr-FR"/>
        </w:rPr>
        <w:t xml:space="preserve"> été mis en danger ».</w:t>
      </w:r>
      <w:bookmarkEnd w:id="25"/>
    </w:p>
    <w:p w:rsidR="009A6608" w:rsidRPr="006E25A6" w:rsidRDefault="009A6608" w:rsidP="009A6608">
      <w:pPr>
        <w:pStyle w:val="SingleTxtG"/>
        <w:rPr>
          <w:lang w:val="x-none"/>
        </w:rPr>
      </w:pPr>
      <w:bookmarkStart w:id="26" w:name="bookmark_62"/>
      <w:r w:rsidRPr="006E25A6">
        <w:rPr>
          <w:lang w:val="fr-FR"/>
        </w:rPr>
        <w:t>5.2</w:t>
      </w:r>
      <w:r w:rsidRPr="006E25A6">
        <w:rPr>
          <w:lang w:val="fr-FR"/>
        </w:rPr>
        <w:tab/>
      </w:r>
      <w:r>
        <w:rPr>
          <w:lang w:val="fr-FR"/>
        </w:rPr>
        <w:t>L</w:t>
      </w:r>
      <w:r w:rsidR="00B908BE">
        <w:rPr>
          <w:lang w:val="fr-FR"/>
        </w:rPr>
        <w:t>’</w:t>
      </w:r>
      <w:r>
        <w:rPr>
          <w:lang w:val="fr-FR"/>
        </w:rPr>
        <w:t>auteure estime que l</w:t>
      </w:r>
      <w:r w:rsidRPr="006E25A6">
        <w:rPr>
          <w:lang w:val="fr-FR"/>
        </w:rPr>
        <w:t>a réponse de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aux griefs tirés de la violation du paragraphe 1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0013B3">
        <w:rPr>
          <w:lang w:val="fr-FR"/>
        </w:rPr>
        <w:t> </w:t>
      </w:r>
      <w:r w:rsidRPr="006E25A6">
        <w:rPr>
          <w:lang w:val="fr-FR"/>
        </w:rPr>
        <w:t xml:space="preserve">14 est dénuée de pertinence. </w:t>
      </w:r>
      <w:r>
        <w:rPr>
          <w:lang w:val="fr-FR"/>
        </w:rPr>
        <w:t>Elle</w:t>
      </w:r>
      <w:r w:rsidRPr="006E25A6">
        <w:rPr>
          <w:lang w:val="fr-FR"/>
        </w:rPr>
        <w:t xml:space="preserve"> était effectivement représentée par un avocat</w:t>
      </w:r>
      <w:r>
        <w:rPr>
          <w:lang w:val="fr-FR"/>
        </w:rPr>
        <w:t>, mais e</w:t>
      </w:r>
      <w:r w:rsidRPr="006E25A6">
        <w:rPr>
          <w:lang w:val="fr-FR"/>
        </w:rPr>
        <w:t>lle affirme que l</w:t>
      </w:r>
      <w:r w:rsidR="00B908BE">
        <w:rPr>
          <w:lang w:val="fr-FR"/>
        </w:rPr>
        <w:t>’</w:t>
      </w:r>
      <w:r w:rsidRPr="006E25A6">
        <w:rPr>
          <w:lang w:val="fr-FR"/>
        </w:rPr>
        <w:t>absence du procureur a constitué une violation du principe de l</w:t>
      </w:r>
      <w:r w:rsidR="00B908BE">
        <w:rPr>
          <w:lang w:val="fr-FR"/>
        </w:rPr>
        <w:t>’</w:t>
      </w:r>
      <w:r w:rsidRPr="006E25A6">
        <w:rPr>
          <w:lang w:val="fr-FR"/>
        </w:rPr>
        <w:t>égalité des armes.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n</w:t>
      </w:r>
      <w:r w:rsidR="00B908BE">
        <w:rPr>
          <w:lang w:val="fr-FR"/>
        </w:rPr>
        <w:t>’</w:t>
      </w:r>
      <w:r w:rsidRPr="006E25A6">
        <w:rPr>
          <w:lang w:val="fr-FR"/>
        </w:rPr>
        <w:t>a pas avancé d</w:t>
      </w:r>
      <w:r w:rsidR="00B908BE">
        <w:rPr>
          <w:lang w:val="fr-FR"/>
        </w:rPr>
        <w:t>’</w:t>
      </w:r>
      <w:r w:rsidRPr="006E25A6">
        <w:rPr>
          <w:lang w:val="fr-FR"/>
        </w:rPr>
        <w:t>argument susceptible de réfuter cette allégation. L</w:t>
      </w:r>
      <w:r w:rsidR="00B908BE">
        <w:rPr>
          <w:lang w:val="fr-FR"/>
        </w:rPr>
        <w:t>’</w:t>
      </w:r>
      <w:r w:rsidRPr="006E25A6">
        <w:rPr>
          <w:lang w:val="fr-FR"/>
        </w:rPr>
        <w:t>auteure considère que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devrait lui restituer le montant de l</w:t>
      </w:r>
      <w:r w:rsidR="00B908BE">
        <w:rPr>
          <w:lang w:val="fr-FR"/>
        </w:rPr>
        <w:t>’</w:t>
      </w:r>
      <w:r w:rsidRPr="006E25A6">
        <w:rPr>
          <w:lang w:val="fr-FR"/>
        </w:rPr>
        <w:t>amende administrative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elle a payée, lui rembourser les frais engagés dans le cadre des procédures </w:t>
      </w:r>
      <w:r>
        <w:rPr>
          <w:lang w:val="fr-FR"/>
        </w:rPr>
        <w:t xml:space="preserve">devant les tribunaux et le </w:t>
      </w:r>
      <w:r w:rsidRPr="006E25A6">
        <w:rPr>
          <w:lang w:val="fr-FR"/>
        </w:rPr>
        <w:t xml:space="preserve">Comité, et </w:t>
      </w:r>
      <w:r>
        <w:rPr>
          <w:lang w:val="fr-FR"/>
        </w:rPr>
        <w:t xml:space="preserve">lui </w:t>
      </w:r>
      <w:r w:rsidRPr="006E25A6">
        <w:rPr>
          <w:lang w:val="fr-FR"/>
        </w:rPr>
        <w:t>présenter des excuses publiques.</w:t>
      </w:r>
      <w:bookmarkEnd w:id="26"/>
    </w:p>
    <w:p w:rsidR="009A6608" w:rsidRPr="006E25A6" w:rsidRDefault="009A6608" w:rsidP="009A6608">
      <w:pPr>
        <w:pStyle w:val="H23G"/>
      </w:pPr>
      <w:bookmarkStart w:id="27" w:name="bookmark_63"/>
      <w:r w:rsidRPr="006E25A6">
        <w:rPr>
          <w:lang w:val="fr-FR"/>
        </w:rPr>
        <w:lastRenderedPageBreak/>
        <w:tab/>
      </w:r>
      <w:r w:rsidRPr="006E25A6">
        <w:rPr>
          <w:lang w:val="fr-FR"/>
        </w:rPr>
        <w:tab/>
        <w:t>Délibérations du Comité</w:t>
      </w:r>
      <w:bookmarkEnd w:id="27"/>
    </w:p>
    <w:p w:rsidR="009A6608" w:rsidRPr="006E25A6" w:rsidRDefault="009A6608" w:rsidP="009A6608">
      <w:pPr>
        <w:pStyle w:val="H4G"/>
      </w:pPr>
      <w:bookmarkStart w:id="28" w:name="bookmark_64"/>
      <w:r w:rsidRPr="006E25A6">
        <w:rPr>
          <w:lang w:val="fr-FR"/>
        </w:rPr>
        <w:tab/>
      </w:r>
      <w:r w:rsidRPr="006E25A6">
        <w:rPr>
          <w:lang w:val="fr-FR"/>
        </w:rPr>
        <w:tab/>
        <w:t>Examen de la recevabilité</w:t>
      </w:r>
      <w:bookmarkEnd w:id="28"/>
    </w:p>
    <w:p w:rsidR="009A6608" w:rsidRPr="006E25A6" w:rsidRDefault="009A6608" w:rsidP="009A6608">
      <w:pPr>
        <w:pStyle w:val="SingleTxtG"/>
        <w:rPr>
          <w:lang w:val="x-none"/>
        </w:rPr>
      </w:pPr>
      <w:bookmarkStart w:id="29" w:name="bookmark_65"/>
      <w:r w:rsidRPr="006E25A6">
        <w:rPr>
          <w:lang w:val="fr-FR"/>
        </w:rPr>
        <w:t>6.1</w:t>
      </w:r>
      <w:r w:rsidRPr="006E25A6">
        <w:rPr>
          <w:lang w:val="fr-FR"/>
        </w:rPr>
        <w:tab/>
        <w:t>Avant d</w:t>
      </w:r>
      <w:r w:rsidR="00B908BE">
        <w:rPr>
          <w:lang w:val="fr-FR"/>
        </w:rPr>
        <w:t>’</w:t>
      </w:r>
      <w:r w:rsidRPr="006E25A6">
        <w:rPr>
          <w:lang w:val="fr-FR"/>
        </w:rPr>
        <w:t>examiner tout grief formulé dans une communication, le Comité des droits de l</w:t>
      </w:r>
      <w:r w:rsidR="00B908BE">
        <w:rPr>
          <w:lang w:val="fr-FR"/>
        </w:rPr>
        <w:t>’</w:t>
      </w:r>
      <w:r w:rsidRPr="006E25A6">
        <w:rPr>
          <w:lang w:val="fr-FR"/>
        </w:rPr>
        <w:t>homme doit, conformément à l</w:t>
      </w:r>
      <w:r w:rsidR="00B908BE">
        <w:rPr>
          <w:lang w:val="fr-FR"/>
        </w:rPr>
        <w:t>’</w:t>
      </w:r>
      <w:r w:rsidRPr="006E25A6">
        <w:rPr>
          <w:lang w:val="fr-FR"/>
        </w:rPr>
        <w:t>article 93 de son règlement intérieur, déterminer si la communication est recevable au regard du Protocole facultatif se rapportant au Pacte.</w:t>
      </w:r>
      <w:bookmarkEnd w:id="29"/>
    </w:p>
    <w:p w:rsidR="009A6608" w:rsidRPr="006E25A6" w:rsidRDefault="009A6608" w:rsidP="000013B3">
      <w:pPr>
        <w:pStyle w:val="SingleTxtG"/>
      </w:pPr>
      <w:bookmarkStart w:id="30" w:name="bookmark_66"/>
      <w:r w:rsidRPr="006E25A6">
        <w:rPr>
          <w:lang w:val="fr-FR"/>
        </w:rPr>
        <w:t>6.2</w:t>
      </w:r>
      <w:r w:rsidRPr="006E25A6">
        <w:rPr>
          <w:lang w:val="fr-FR"/>
        </w:rPr>
        <w:tab/>
        <w:t>Le Comité s</w:t>
      </w:r>
      <w:r w:rsidR="00B908BE">
        <w:rPr>
          <w:lang w:val="fr-FR"/>
        </w:rPr>
        <w:t>’</w:t>
      </w:r>
      <w:r w:rsidRPr="006E25A6">
        <w:rPr>
          <w:lang w:val="fr-FR"/>
        </w:rPr>
        <w:t>est assuré, comme il est tenu de le faire conformément au paragraphe </w:t>
      </w:r>
      <w:r w:rsidRPr="006E25A6">
        <w:t>2 a</w:t>
      </w:r>
      <w:r w:rsidRPr="006E25A6">
        <w:rPr>
          <w:lang w:val="fr-FR"/>
        </w:rPr>
        <w:t>)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0013B3">
        <w:rPr>
          <w:lang w:val="fr-FR"/>
        </w:rPr>
        <w:t> </w:t>
      </w:r>
      <w:r w:rsidRPr="006E25A6">
        <w:rPr>
          <w:lang w:val="fr-FR"/>
        </w:rPr>
        <w:t>5 du Protocole facultatif, que la même question n</w:t>
      </w:r>
      <w:r w:rsidR="00B908BE">
        <w:rPr>
          <w:lang w:val="fr-FR"/>
        </w:rPr>
        <w:t>’</w:t>
      </w:r>
      <w:r w:rsidRPr="006E25A6">
        <w:rPr>
          <w:lang w:val="fr-FR"/>
        </w:rPr>
        <w:t>était pas déjà en cours d</w:t>
      </w:r>
      <w:r w:rsidR="00B908BE">
        <w:rPr>
          <w:lang w:val="fr-FR"/>
        </w:rPr>
        <w:t>’</w:t>
      </w:r>
      <w:r w:rsidRPr="006E25A6">
        <w:rPr>
          <w:lang w:val="fr-FR"/>
        </w:rPr>
        <w:t>examen devant une autre instance internationale d</w:t>
      </w:r>
      <w:r w:rsidR="00B908BE">
        <w:rPr>
          <w:lang w:val="fr-FR"/>
        </w:rPr>
        <w:t>’</w:t>
      </w:r>
      <w:r w:rsidRPr="006E25A6">
        <w:rPr>
          <w:lang w:val="fr-FR"/>
        </w:rPr>
        <w:t>enquête ou de règlement.</w:t>
      </w:r>
      <w:bookmarkEnd w:id="30"/>
    </w:p>
    <w:p w:rsidR="009A6608" w:rsidRPr="006E25A6" w:rsidRDefault="009A6608" w:rsidP="009A6608">
      <w:pPr>
        <w:pStyle w:val="SingleTxtG"/>
        <w:rPr>
          <w:lang w:val="x-none"/>
        </w:rPr>
      </w:pPr>
      <w:bookmarkStart w:id="31" w:name="bookmark_67"/>
      <w:r w:rsidRPr="006E25A6">
        <w:rPr>
          <w:lang w:val="fr-FR"/>
        </w:rPr>
        <w:t>6.3</w:t>
      </w:r>
      <w:r w:rsidRPr="006E25A6">
        <w:rPr>
          <w:lang w:val="fr-FR"/>
        </w:rPr>
        <w:tab/>
        <w:t>Le Comité prend note de l</w:t>
      </w:r>
      <w:r w:rsidR="00B908BE">
        <w:rPr>
          <w:lang w:val="fr-FR"/>
        </w:rPr>
        <w:t>’</w:t>
      </w:r>
      <w:r w:rsidRPr="006E25A6">
        <w:rPr>
          <w:lang w:val="fr-FR"/>
        </w:rPr>
        <w:t>argument de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selon lequel l</w:t>
      </w:r>
      <w:r w:rsidR="00B908BE">
        <w:rPr>
          <w:lang w:val="fr-FR"/>
        </w:rPr>
        <w:t>’</w:t>
      </w:r>
      <w:r w:rsidRPr="006E25A6">
        <w:rPr>
          <w:lang w:val="fr-FR"/>
        </w:rPr>
        <w:t>auteure n</w:t>
      </w:r>
      <w:r w:rsidR="00B908BE">
        <w:rPr>
          <w:lang w:val="fr-FR"/>
        </w:rPr>
        <w:t>’</w:t>
      </w:r>
      <w:r w:rsidRPr="006E25A6">
        <w:rPr>
          <w:lang w:val="fr-FR"/>
        </w:rPr>
        <w:t>a pas épuisé tous les recours internes disponibles en n</w:t>
      </w:r>
      <w:r w:rsidR="00B908BE">
        <w:rPr>
          <w:lang w:val="fr-FR"/>
        </w:rPr>
        <w:t>’</w:t>
      </w:r>
      <w:r w:rsidRPr="006E25A6">
        <w:rPr>
          <w:lang w:val="fr-FR"/>
        </w:rPr>
        <w:t>engageant pas une procédure de contrôle. Renvoyant à sa jurisprudence, le Comité réaffirme que les demandes de contrôle de la légalité de décisions judiciaires devenues exécutoires adressées à un tribunal ou au bureau d</w:t>
      </w:r>
      <w:r w:rsidR="00B908BE">
        <w:rPr>
          <w:lang w:val="fr-FR"/>
        </w:rPr>
        <w:t>’</w:t>
      </w:r>
      <w:r w:rsidRPr="006E25A6">
        <w:rPr>
          <w:lang w:val="fr-FR"/>
        </w:rPr>
        <w:t>un procureur et subordonnées au pouvoir discrétionnaire d</w:t>
      </w:r>
      <w:r w:rsidR="00B908BE">
        <w:rPr>
          <w:lang w:val="fr-FR"/>
        </w:rPr>
        <w:t>’</w:t>
      </w:r>
      <w:r w:rsidRPr="006E25A6">
        <w:rPr>
          <w:lang w:val="fr-FR"/>
        </w:rPr>
        <w:t>un juge ou d</w:t>
      </w:r>
      <w:r w:rsidR="00B908BE">
        <w:rPr>
          <w:lang w:val="fr-FR"/>
        </w:rPr>
        <w:t>’</w:t>
      </w:r>
      <w:r w:rsidRPr="006E25A6">
        <w:rPr>
          <w:lang w:val="fr-FR"/>
        </w:rPr>
        <w:t>un procureur constituent un recours extraordinaire et que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doit montrer qu</w:t>
      </w:r>
      <w:r w:rsidR="00B908BE">
        <w:rPr>
          <w:lang w:val="fr-FR"/>
        </w:rPr>
        <w:t>’</w:t>
      </w:r>
      <w:r w:rsidRPr="006E25A6">
        <w:rPr>
          <w:lang w:val="fr-FR"/>
        </w:rPr>
        <w:t>il existe des chances raisonnables que ces demandes constituent un recours utile dans les circonstances de l</w:t>
      </w:r>
      <w:r w:rsidR="00B908BE">
        <w:rPr>
          <w:lang w:val="fr-FR"/>
        </w:rPr>
        <w:t>’</w:t>
      </w:r>
      <w:r w:rsidRPr="006E25A6">
        <w:rPr>
          <w:lang w:val="fr-FR"/>
        </w:rPr>
        <w:t>espèce</w:t>
      </w:r>
      <w:r w:rsidRPr="006E25A6">
        <w:rPr>
          <w:rStyle w:val="Appelnotedebasdep"/>
        </w:rPr>
        <w:footnoteReference w:id="6"/>
      </w:r>
      <w:r w:rsidRPr="006E25A6">
        <w:rPr>
          <w:lang w:val="fr-FR"/>
        </w:rPr>
        <w:t>. Or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n</w:t>
      </w:r>
      <w:r w:rsidR="00B908BE">
        <w:rPr>
          <w:lang w:val="fr-FR"/>
        </w:rPr>
        <w:t>’</w:t>
      </w:r>
      <w:r w:rsidRPr="006E25A6">
        <w:rPr>
          <w:lang w:val="fr-FR"/>
        </w:rPr>
        <w:t>a pas montré que les demandes au titre de la procédure de contrôle étaient accueillies dans des affaires concernant une mise en détention et une amende administratives, et n</w:t>
      </w:r>
      <w:r w:rsidR="00B908BE">
        <w:rPr>
          <w:lang w:val="fr-FR"/>
        </w:rPr>
        <w:t>’</w:t>
      </w:r>
      <w:r w:rsidRPr="006E25A6">
        <w:rPr>
          <w:lang w:val="fr-FR"/>
        </w:rPr>
        <w:t>a pas signalé, le cas échéant, dans combien d</w:t>
      </w:r>
      <w:r w:rsidR="00B908BE">
        <w:rPr>
          <w:lang w:val="fr-FR"/>
        </w:rPr>
        <w:t>’</w:t>
      </w:r>
      <w:r w:rsidRPr="006E25A6">
        <w:rPr>
          <w:lang w:val="fr-FR"/>
        </w:rPr>
        <w:t>affaires elles avaient abouti. Dans ces circonstances, le Comité estime que les dispositions des articles</w:t>
      </w:r>
      <w:r w:rsidR="00505C3F">
        <w:rPr>
          <w:lang w:val="fr-FR"/>
        </w:rPr>
        <w:t> </w:t>
      </w:r>
      <w:r w:rsidRPr="006E25A6">
        <w:rPr>
          <w:lang w:val="fr-FR"/>
        </w:rPr>
        <w:t>2 et 5 (par. 2 b) du Protocole facultatif ne s</w:t>
      </w:r>
      <w:r w:rsidR="00B908BE">
        <w:rPr>
          <w:lang w:val="fr-FR"/>
        </w:rPr>
        <w:t>’</w:t>
      </w:r>
      <w:r w:rsidRPr="006E25A6">
        <w:rPr>
          <w:lang w:val="fr-FR"/>
        </w:rPr>
        <w:t>opposent pas à ce qu</w:t>
      </w:r>
      <w:r w:rsidR="00B908BE">
        <w:rPr>
          <w:lang w:val="fr-FR"/>
        </w:rPr>
        <w:t>’</w:t>
      </w:r>
      <w:r w:rsidRPr="006E25A6">
        <w:rPr>
          <w:lang w:val="fr-FR"/>
        </w:rPr>
        <w:t>il examine la communication</w:t>
      </w:r>
      <w:r w:rsidRPr="006E25A6">
        <w:rPr>
          <w:rStyle w:val="Appelnotedebasdep"/>
          <w:lang w:val="fr-FR"/>
        </w:rPr>
        <w:footnoteReference w:id="7"/>
      </w:r>
      <w:r w:rsidRPr="006E25A6">
        <w:rPr>
          <w:lang w:val="fr-FR"/>
        </w:rPr>
        <w:t>.</w:t>
      </w:r>
      <w:bookmarkEnd w:id="31"/>
    </w:p>
    <w:p w:rsidR="009A6608" w:rsidRPr="006E25A6" w:rsidRDefault="009A6608" w:rsidP="009A6608">
      <w:pPr>
        <w:pStyle w:val="SingleTxtG"/>
        <w:rPr>
          <w:lang w:val="x-none"/>
        </w:rPr>
      </w:pPr>
      <w:bookmarkStart w:id="34" w:name="bookmark_70"/>
      <w:r w:rsidRPr="006E25A6">
        <w:rPr>
          <w:lang w:val="fr-FR"/>
        </w:rPr>
        <w:t>6.4</w:t>
      </w:r>
      <w:r w:rsidRPr="006E25A6">
        <w:rPr>
          <w:lang w:val="fr-FR"/>
        </w:rPr>
        <w:tab/>
        <w:t>Le Comité prend acte des griefs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tire du paragraphe 1 de l</w:t>
      </w:r>
      <w:r w:rsidR="00B908BE">
        <w:rPr>
          <w:lang w:val="fr-FR"/>
        </w:rPr>
        <w:t>’</w:t>
      </w:r>
      <w:r w:rsidRPr="006E25A6">
        <w:rPr>
          <w:lang w:val="fr-FR"/>
        </w:rPr>
        <w:t>article 14 du Pacte</w:t>
      </w:r>
      <w:r>
        <w:rPr>
          <w:lang w:val="fr-FR"/>
        </w:rPr>
        <w:t>, selon lesquels le procureur était absent lors des procédures administratives menées contre elle, ce qui permettait légitimement de douter de l</w:t>
      </w:r>
      <w:r w:rsidR="00B908BE">
        <w:rPr>
          <w:lang w:val="fr-FR"/>
        </w:rPr>
        <w:t>’</w:t>
      </w:r>
      <w:r>
        <w:rPr>
          <w:lang w:val="fr-FR"/>
        </w:rPr>
        <w:t>impartialité du tribunal.</w:t>
      </w:r>
      <w:r w:rsidRPr="006E25A6">
        <w:rPr>
          <w:lang w:val="fr-FR"/>
        </w:rPr>
        <w:t xml:space="preserve"> </w:t>
      </w:r>
      <w:r>
        <w:rPr>
          <w:lang w:val="fr-FR"/>
        </w:rPr>
        <w:t>Toutefois, e</w:t>
      </w:r>
      <w:r w:rsidRPr="006E25A6">
        <w:rPr>
          <w:lang w:val="fr-FR"/>
        </w:rPr>
        <w:t>n l</w:t>
      </w:r>
      <w:r w:rsidR="00B908BE">
        <w:rPr>
          <w:lang w:val="fr-FR"/>
        </w:rPr>
        <w:t>’</w:t>
      </w:r>
      <w:r w:rsidRPr="006E25A6">
        <w:rPr>
          <w:lang w:val="fr-FR"/>
        </w:rPr>
        <w:t>absence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autres renseignements pertinents dans le dossier, </w:t>
      </w:r>
      <w:r>
        <w:rPr>
          <w:lang w:val="fr-FR"/>
        </w:rPr>
        <w:t>et compte tenu de l</w:t>
      </w:r>
      <w:r w:rsidR="00B908BE">
        <w:rPr>
          <w:lang w:val="fr-FR"/>
        </w:rPr>
        <w:t>’</w:t>
      </w:r>
      <w:r>
        <w:rPr>
          <w:lang w:val="fr-FR"/>
        </w:rPr>
        <w:t>explication donnée par l</w:t>
      </w:r>
      <w:r w:rsidR="00B908BE">
        <w:rPr>
          <w:lang w:val="fr-FR"/>
        </w:rPr>
        <w:t>’</w:t>
      </w:r>
      <w:r>
        <w:rPr>
          <w:lang w:val="fr-FR"/>
        </w:rPr>
        <w:t>État partie concernant l</w:t>
      </w:r>
      <w:r w:rsidR="00B908BE">
        <w:rPr>
          <w:lang w:val="fr-FR"/>
        </w:rPr>
        <w:t>’</w:t>
      </w:r>
      <w:r>
        <w:rPr>
          <w:lang w:val="fr-FR"/>
        </w:rPr>
        <w:t>absence du procureur aux procédures de ce type (voir par.</w:t>
      </w:r>
      <w:r w:rsidR="000013B3">
        <w:rPr>
          <w:lang w:val="fr-FR"/>
        </w:rPr>
        <w:t> </w:t>
      </w:r>
      <w:r>
        <w:rPr>
          <w:lang w:val="fr-FR"/>
        </w:rPr>
        <w:t xml:space="preserve">4.7 ci-dessus), le Comité </w:t>
      </w:r>
      <w:r w:rsidRPr="006E25A6">
        <w:rPr>
          <w:lang w:val="fr-FR"/>
        </w:rPr>
        <w:t>estime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n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 pas suffisamment étayé ces griefs aux fins de la recevabilité. En conséquence, il déclare cette partie de la communication irrecevable </w:t>
      </w:r>
      <w:r w:rsidRPr="000013B3">
        <w:rPr>
          <w:lang w:val="fr-FR"/>
        </w:rPr>
        <w:t>au regard</w:t>
      </w:r>
      <w:r w:rsidRPr="006E25A6">
        <w:rPr>
          <w:lang w:val="fr-FR"/>
        </w:rPr>
        <w:t xml:space="preserve">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505C3F">
        <w:rPr>
          <w:lang w:val="fr-FR"/>
        </w:rPr>
        <w:t> </w:t>
      </w:r>
      <w:r w:rsidRPr="006E25A6">
        <w:rPr>
          <w:lang w:val="fr-FR"/>
        </w:rPr>
        <w:t>2 du Protocole facultatif.</w:t>
      </w:r>
      <w:bookmarkEnd w:id="34"/>
    </w:p>
    <w:p w:rsidR="009A6608" w:rsidRPr="006E25A6" w:rsidRDefault="009A6608" w:rsidP="009A6608">
      <w:pPr>
        <w:pStyle w:val="SingleTxtG"/>
        <w:rPr>
          <w:lang w:val="x-none"/>
        </w:rPr>
      </w:pPr>
      <w:bookmarkStart w:id="35" w:name="bookmark_71"/>
      <w:r w:rsidRPr="006E25A6">
        <w:rPr>
          <w:lang w:val="fr-FR"/>
        </w:rPr>
        <w:t>6.5</w:t>
      </w:r>
      <w:r w:rsidRPr="006E25A6">
        <w:rPr>
          <w:lang w:val="fr-FR"/>
        </w:rPr>
        <w:tab/>
        <w:t>Le Comité estime qu</w:t>
      </w:r>
      <w:r w:rsidR="00B908BE">
        <w:rPr>
          <w:lang w:val="fr-FR"/>
        </w:rPr>
        <w:t>’</w:t>
      </w:r>
      <w:r w:rsidRPr="006E25A6">
        <w:rPr>
          <w:lang w:val="fr-FR"/>
        </w:rPr>
        <w:t>aux fins de la recevabilité, l</w:t>
      </w:r>
      <w:r w:rsidR="00B908BE">
        <w:rPr>
          <w:lang w:val="fr-FR"/>
        </w:rPr>
        <w:t>’</w:t>
      </w:r>
      <w:r w:rsidRPr="006E25A6">
        <w:rPr>
          <w:lang w:val="fr-FR"/>
        </w:rPr>
        <w:t>auteure a suffisamment étayé ses autres griefs, qu</w:t>
      </w:r>
      <w:r w:rsidR="00B908BE">
        <w:rPr>
          <w:lang w:val="fr-FR"/>
        </w:rPr>
        <w:t>’</w:t>
      </w:r>
      <w:r w:rsidRPr="006E25A6">
        <w:rPr>
          <w:lang w:val="fr-FR"/>
        </w:rPr>
        <w:t>elle tire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505C3F">
        <w:rPr>
          <w:lang w:val="fr-FR"/>
        </w:rPr>
        <w:t> </w:t>
      </w:r>
      <w:r w:rsidRPr="006E25A6">
        <w:rPr>
          <w:lang w:val="fr-FR"/>
        </w:rPr>
        <w:t>21 du Pacte. Il déclare donc ces griefs recevables et procède à leur examen quant au fond.</w:t>
      </w:r>
      <w:bookmarkEnd w:id="35"/>
    </w:p>
    <w:p w:rsidR="009A6608" w:rsidRPr="006E25A6" w:rsidRDefault="009A6608" w:rsidP="009A6608">
      <w:pPr>
        <w:pStyle w:val="H4G"/>
      </w:pPr>
      <w:bookmarkStart w:id="36" w:name="bookmark_72"/>
      <w:r w:rsidRPr="006E25A6">
        <w:rPr>
          <w:lang w:val="fr-FR"/>
        </w:rPr>
        <w:tab/>
      </w:r>
      <w:r w:rsidRPr="006E25A6">
        <w:rPr>
          <w:lang w:val="fr-FR"/>
        </w:rPr>
        <w:tab/>
        <w:t>Examen au fond</w:t>
      </w:r>
      <w:bookmarkEnd w:id="36"/>
    </w:p>
    <w:p w:rsidR="009A6608" w:rsidRPr="006E25A6" w:rsidRDefault="009A6608" w:rsidP="009A6608">
      <w:pPr>
        <w:pStyle w:val="SingleTxtG"/>
        <w:rPr>
          <w:lang w:val="x-none"/>
        </w:rPr>
      </w:pPr>
      <w:bookmarkStart w:id="37" w:name="bookmark_73"/>
      <w:r w:rsidRPr="006E25A6">
        <w:rPr>
          <w:lang w:val="fr-FR"/>
        </w:rPr>
        <w:t>7.1</w:t>
      </w:r>
      <w:r w:rsidRPr="006E25A6">
        <w:rPr>
          <w:lang w:val="fr-FR"/>
        </w:rPr>
        <w:tab/>
        <w:t>Conformément au paragraphe 1 de l</w:t>
      </w:r>
      <w:r w:rsidR="00B908BE">
        <w:rPr>
          <w:lang w:val="fr-FR"/>
        </w:rPr>
        <w:t>’</w:t>
      </w:r>
      <w:r w:rsidRPr="006E25A6">
        <w:rPr>
          <w:lang w:val="fr-FR"/>
        </w:rPr>
        <w:t>article 5 du Protocole facultatif, le Comité des droits de l</w:t>
      </w:r>
      <w:r w:rsidR="00B908BE">
        <w:rPr>
          <w:lang w:val="fr-FR"/>
        </w:rPr>
        <w:t>’</w:t>
      </w:r>
      <w:r w:rsidRPr="006E25A6">
        <w:rPr>
          <w:lang w:val="fr-FR"/>
        </w:rPr>
        <w:t>homme a examiné la présente communication en tenant compte de toutes les informations que lui ont communiquées les parties.</w:t>
      </w:r>
      <w:bookmarkEnd w:id="37"/>
    </w:p>
    <w:p w:rsidR="009A6608" w:rsidRPr="006E25A6" w:rsidRDefault="009A6608" w:rsidP="009A6608">
      <w:pPr>
        <w:pStyle w:val="SingleTxtG"/>
        <w:rPr>
          <w:lang w:val="x-none"/>
        </w:rPr>
      </w:pPr>
      <w:bookmarkStart w:id="38" w:name="bookmark_74"/>
      <w:r w:rsidRPr="006E25A6">
        <w:rPr>
          <w:lang w:val="fr-FR"/>
        </w:rPr>
        <w:t>7.2</w:t>
      </w:r>
      <w:r w:rsidRPr="006E25A6">
        <w:rPr>
          <w:lang w:val="fr-FR"/>
        </w:rPr>
        <w:tab/>
        <w:t>Le Comité prend note du grief de l</w:t>
      </w:r>
      <w:r w:rsidR="00B908BE">
        <w:rPr>
          <w:lang w:val="fr-FR"/>
        </w:rPr>
        <w:t>’</w:t>
      </w:r>
      <w:r w:rsidRPr="006E25A6">
        <w:rPr>
          <w:lang w:val="fr-FR"/>
        </w:rPr>
        <w:t>auteure selon lequel la détention et l</w:t>
      </w:r>
      <w:r w:rsidR="00B908BE">
        <w:rPr>
          <w:lang w:val="fr-FR"/>
        </w:rPr>
        <w:t>’</w:t>
      </w:r>
      <w:r w:rsidRPr="006E25A6">
        <w:rPr>
          <w:lang w:val="fr-FR"/>
        </w:rPr>
        <w:t>amende administratives que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lui a infligées ont constitué une violation de son droit à la liberté de réunion. L</w:t>
      </w:r>
      <w:r w:rsidR="00B908BE">
        <w:rPr>
          <w:lang w:val="fr-FR"/>
        </w:rPr>
        <w:t>’</w:t>
      </w:r>
      <w:r w:rsidRPr="006E25A6">
        <w:rPr>
          <w:lang w:val="fr-FR"/>
        </w:rPr>
        <w:t>auteure soutient qu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elle a été arrêtée pendant une manifestation pacifique </w:t>
      </w:r>
      <w:r>
        <w:rPr>
          <w:lang w:val="fr-FR"/>
        </w:rPr>
        <w:t>tenue</w:t>
      </w:r>
      <w:r w:rsidRPr="006E25A6">
        <w:rPr>
          <w:lang w:val="fr-FR"/>
        </w:rPr>
        <w:t xml:space="preserve"> en réaction « directe et immédiate » à l</w:t>
      </w:r>
      <w:r w:rsidR="00B908BE">
        <w:rPr>
          <w:lang w:val="fr-FR"/>
        </w:rPr>
        <w:t>’</w:t>
      </w:r>
      <w:r w:rsidRPr="006E25A6">
        <w:rPr>
          <w:lang w:val="fr-FR"/>
        </w:rPr>
        <w:t>annonce des résultats préliminaires des élections parlementaires, qui étaient considérés comme falsifiés.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État partie </w:t>
      </w:r>
      <w:r>
        <w:rPr>
          <w:lang w:val="fr-FR"/>
        </w:rPr>
        <w:t>affirme</w:t>
      </w:r>
      <w:r w:rsidRPr="006E25A6">
        <w:rPr>
          <w:lang w:val="fr-FR"/>
        </w:rPr>
        <w:t xml:space="preserve">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a été arrêtée et condamnée à une amende pour avoir organisé une action publique sans en avoir informé</w:t>
      </w:r>
      <w:r>
        <w:rPr>
          <w:lang w:val="fr-FR"/>
        </w:rPr>
        <w:t xml:space="preserve"> </w:t>
      </w:r>
      <w:r w:rsidRPr="006E25A6">
        <w:rPr>
          <w:lang w:val="fr-FR"/>
        </w:rPr>
        <w:t xml:space="preserve">les autorités locales </w:t>
      </w:r>
      <w:r>
        <w:rPr>
          <w:lang w:val="fr-FR"/>
        </w:rPr>
        <w:t>dix</w:t>
      </w:r>
      <w:r w:rsidRPr="006E25A6">
        <w:rPr>
          <w:lang w:val="fr-FR"/>
        </w:rPr>
        <w:t xml:space="preserve"> jours à l</w:t>
      </w:r>
      <w:r w:rsidR="00B908BE">
        <w:rPr>
          <w:lang w:val="fr-FR"/>
        </w:rPr>
        <w:t>’</w:t>
      </w:r>
      <w:r w:rsidRPr="006E25A6">
        <w:rPr>
          <w:lang w:val="fr-FR"/>
        </w:rPr>
        <w:t>avance, au mépris de la loi n</w:t>
      </w:r>
      <w:r w:rsidRPr="006E25A6">
        <w:rPr>
          <w:vertAlign w:val="superscript"/>
          <w:lang w:val="fr-FR"/>
        </w:rPr>
        <w:t>o</w:t>
      </w:r>
      <w:r w:rsidRPr="006E25A6">
        <w:rPr>
          <w:lang w:val="fr-FR"/>
        </w:rPr>
        <w:t xml:space="preserve"> 54-FZ, et pour ne pas avoir obéi aux injonctions légitimes des </w:t>
      </w:r>
      <w:r>
        <w:rPr>
          <w:lang w:val="fr-FR"/>
        </w:rPr>
        <w:t>policiers</w:t>
      </w:r>
      <w:r w:rsidRPr="006E25A6">
        <w:rPr>
          <w:lang w:val="fr-FR"/>
        </w:rPr>
        <w:t xml:space="preserve"> qui tentaient de disperser la manifestation.</w:t>
      </w:r>
      <w:bookmarkEnd w:id="38"/>
    </w:p>
    <w:p w:rsidR="009A6608" w:rsidRPr="006E25A6" w:rsidRDefault="009A6608" w:rsidP="009A6608">
      <w:pPr>
        <w:pStyle w:val="SingleTxtG"/>
        <w:rPr>
          <w:lang w:val="x-none"/>
        </w:rPr>
      </w:pPr>
      <w:bookmarkStart w:id="39" w:name="bookmark_75"/>
      <w:r w:rsidRPr="006E25A6">
        <w:rPr>
          <w:lang w:val="fr-FR"/>
        </w:rPr>
        <w:lastRenderedPageBreak/>
        <w:t>7.3</w:t>
      </w:r>
      <w:r w:rsidRPr="006E25A6">
        <w:rPr>
          <w:lang w:val="fr-FR"/>
        </w:rPr>
        <w:tab/>
        <w:t xml:space="preserve">Le Comité rappelle que le droit de réunion </w:t>
      </w:r>
      <w:r>
        <w:rPr>
          <w:lang w:val="fr-FR"/>
        </w:rPr>
        <w:t>pacifique, garanti par l</w:t>
      </w:r>
      <w:r w:rsidR="00B908BE">
        <w:rPr>
          <w:lang w:val="fr-FR"/>
        </w:rPr>
        <w:t>’</w:t>
      </w:r>
      <w:r>
        <w:rPr>
          <w:lang w:val="fr-FR"/>
        </w:rPr>
        <w:t>article</w:t>
      </w:r>
      <w:r w:rsidR="008C1EA7">
        <w:rPr>
          <w:lang w:val="fr-FR"/>
        </w:rPr>
        <w:t> </w:t>
      </w:r>
      <w:r>
        <w:rPr>
          <w:lang w:val="fr-FR"/>
        </w:rPr>
        <w:t xml:space="preserve">21 du Pacte, </w:t>
      </w:r>
      <w:r w:rsidRPr="006E25A6">
        <w:rPr>
          <w:lang w:val="fr-FR"/>
        </w:rPr>
        <w:t>est un droit de l</w:t>
      </w:r>
      <w:r w:rsidR="00B908BE">
        <w:rPr>
          <w:lang w:val="fr-FR"/>
        </w:rPr>
        <w:t>’</w:t>
      </w:r>
      <w:r w:rsidRPr="006E25A6">
        <w:rPr>
          <w:lang w:val="fr-FR"/>
        </w:rPr>
        <w:t>homme fondamental, essentiel à l</w:t>
      </w:r>
      <w:r w:rsidR="00B908BE">
        <w:rPr>
          <w:lang w:val="fr-FR"/>
        </w:rPr>
        <w:t>’</w:t>
      </w:r>
      <w:r w:rsidRPr="006E25A6">
        <w:rPr>
          <w:lang w:val="fr-FR"/>
        </w:rPr>
        <w:t>expression publique des points de vue et opinions de chacun et indispensable dans une société démocratique</w:t>
      </w:r>
      <w:r w:rsidRPr="006E25A6">
        <w:rPr>
          <w:rStyle w:val="Appelnotedebasdep"/>
          <w:lang w:val="fr-FR"/>
        </w:rPr>
        <w:footnoteReference w:id="8"/>
      </w:r>
      <w:r w:rsidRPr="006E25A6">
        <w:rPr>
          <w:lang w:val="fr-FR"/>
        </w:rPr>
        <w:t xml:space="preserve">. </w:t>
      </w:r>
      <w:r>
        <w:rPr>
          <w:lang w:val="fr-FR"/>
        </w:rPr>
        <w:t>Ce droit suppose la possibilité d</w:t>
      </w:r>
      <w:r w:rsidR="00B908BE">
        <w:rPr>
          <w:lang w:val="fr-FR"/>
        </w:rPr>
        <w:t>’</w:t>
      </w:r>
      <w:r>
        <w:rPr>
          <w:lang w:val="fr-FR"/>
        </w:rPr>
        <w:t>organiser un rassemblement pacifique dans un lieu public, et d</w:t>
      </w:r>
      <w:r w:rsidR="00B908BE">
        <w:rPr>
          <w:lang w:val="fr-FR"/>
        </w:rPr>
        <w:t>’</w:t>
      </w:r>
      <w:r>
        <w:rPr>
          <w:lang w:val="fr-FR"/>
        </w:rPr>
        <w:t xml:space="preserve">y participer. </w:t>
      </w:r>
      <w:r w:rsidRPr="001B25B9">
        <w:rPr>
          <w:lang w:val="fr-FR"/>
        </w:rPr>
        <w:t>Les organisateurs d</w:t>
      </w:r>
      <w:r w:rsidR="00B908BE">
        <w:rPr>
          <w:lang w:val="fr-FR"/>
        </w:rPr>
        <w:t>’</w:t>
      </w:r>
      <w:r w:rsidRPr="001B25B9">
        <w:rPr>
          <w:lang w:val="fr-FR"/>
        </w:rPr>
        <w:t>une réunion ont, en principe, le droit de choisir un lieu à portée de vue et de voix du public ciblé, et l</w:t>
      </w:r>
      <w:r w:rsidR="00B908BE">
        <w:rPr>
          <w:lang w:val="fr-FR"/>
        </w:rPr>
        <w:t>’</w:t>
      </w:r>
      <w:r w:rsidRPr="001B25B9">
        <w:rPr>
          <w:lang w:val="fr-FR"/>
        </w:rPr>
        <w:t>exercice de ce droit ne peut faire l</w:t>
      </w:r>
      <w:r w:rsidR="00B908BE">
        <w:rPr>
          <w:lang w:val="fr-FR"/>
        </w:rPr>
        <w:t>’</w:t>
      </w:r>
      <w:r w:rsidRPr="001B25B9">
        <w:rPr>
          <w:lang w:val="fr-FR"/>
        </w:rPr>
        <w:t>objet que des seules restrictions</w:t>
      </w:r>
      <w:r w:rsidR="008C1EA7">
        <w:rPr>
          <w:lang w:val="fr-FR"/>
        </w:rPr>
        <w:t> </w:t>
      </w:r>
      <w:r w:rsidRPr="001B25B9">
        <w:rPr>
          <w:lang w:val="fr-FR"/>
        </w:rPr>
        <w:t>: a) imposées conformément à la loi</w:t>
      </w:r>
      <w:r w:rsidR="008C1EA7">
        <w:rPr>
          <w:lang w:val="fr-FR"/>
        </w:rPr>
        <w:t> </w:t>
      </w:r>
      <w:r w:rsidRPr="001B25B9">
        <w:rPr>
          <w:lang w:val="fr-FR"/>
        </w:rPr>
        <w:t>;</w:t>
      </w:r>
      <w:r w:rsidRPr="006E25A6">
        <w:rPr>
          <w:lang w:val="fr-FR"/>
        </w:rPr>
        <w:t xml:space="preserve"> et </w:t>
      </w:r>
      <w:r>
        <w:rPr>
          <w:lang w:val="fr-FR"/>
        </w:rPr>
        <w:t>b)</w:t>
      </w:r>
      <w:r w:rsidR="008C1EA7">
        <w:rPr>
          <w:lang w:val="fr-FR"/>
        </w:rPr>
        <w:t> </w:t>
      </w:r>
      <w:r w:rsidRPr="006E25A6">
        <w:rPr>
          <w:lang w:val="fr-FR"/>
        </w:rPr>
        <w:t>nécessaires dans une société démocratique, dans l</w:t>
      </w:r>
      <w:r w:rsidR="00B908BE">
        <w:rPr>
          <w:lang w:val="fr-FR"/>
        </w:rPr>
        <w:t>’</w:t>
      </w:r>
      <w:r w:rsidRPr="006E25A6">
        <w:rPr>
          <w:lang w:val="fr-FR"/>
        </w:rPr>
        <w:t>intérêt de la sécurité nationale, de la sûreté publique, de l</w:t>
      </w:r>
      <w:r w:rsidR="00B908BE">
        <w:rPr>
          <w:lang w:val="fr-FR"/>
        </w:rPr>
        <w:t>’</w:t>
      </w:r>
      <w:r w:rsidRPr="006E25A6">
        <w:rPr>
          <w:lang w:val="fr-FR"/>
        </w:rPr>
        <w:t>ordre public, ou pour protéger la santé ou la moralité publiques ou les droits et les libertés d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autrui. </w:t>
      </w:r>
      <w:r>
        <w:rPr>
          <w:lang w:val="fr-FR"/>
        </w:rPr>
        <w:t>Lorsqu</w:t>
      </w:r>
      <w:r w:rsidR="00B908BE">
        <w:rPr>
          <w:lang w:val="fr-FR"/>
        </w:rPr>
        <w:t>’</w:t>
      </w:r>
      <w:r>
        <w:rPr>
          <w:lang w:val="fr-FR"/>
        </w:rPr>
        <w:t xml:space="preserve">elles imposent des </w:t>
      </w:r>
      <w:r w:rsidRPr="006E25A6">
        <w:rPr>
          <w:lang w:val="fr-FR"/>
        </w:rPr>
        <w:t xml:space="preserve">restrictions </w:t>
      </w:r>
      <w:r>
        <w:rPr>
          <w:lang w:val="fr-FR"/>
        </w:rPr>
        <w:t>au droit de réunion pacifique des particuliers afin de concilier ce droit avec l</w:t>
      </w:r>
      <w:r w:rsidR="00B908BE">
        <w:rPr>
          <w:lang w:val="fr-FR"/>
        </w:rPr>
        <w:t>’</w:t>
      </w:r>
      <w:r>
        <w:rPr>
          <w:lang w:val="fr-FR"/>
        </w:rPr>
        <w:t xml:space="preserve">intérêt général, </w:t>
      </w:r>
      <w:r w:rsidRPr="006E25A6">
        <w:rPr>
          <w:lang w:val="fr-FR"/>
        </w:rPr>
        <w:t>les autorités de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doivent s</w:t>
      </w:r>
      <w:r w:rsidR="00B908BE">
        <w:rPr>
          <w:lang w:val="fr-FR"/>
        </w:rPr>
        <w:t>’</w:t>
      </w:r>
      <w:r w:rsidRPr="006E25A6">
        <w:rPr>
          <w:lang w:val="fr-FR"/>
        </w:rPr>
        <w:t>efforcer de faciliter l</w:t>
      </w:r>
      <w:r w:rsidR="00B908BE">
        <w:rPr>
          <w:lang w:val="fr-FR"/>
        </w:rPr>
        <w:t>’</w:t>
      </w:r>
      <w:r w:rsidRPr="006E25A6">
        <w:rPr>
          <w:lang w:val="fr-FR"/>
        </w:rPr>
        <w:t xml:space="preserve">exercice de ce droit </w:t>
      </w:r>
      <w:r>
        <w:rPr>
          <w:lang w:val="fr-FR"/>
        </w:rPr>
        <w:t xml:space="preserve">et non </w:t>
      </w:r>
      <w:r w:rsidRPr="006E25A6">
        <w:rPr>
          <w:lang w:val="fr-FR"/>
        </w:rPr>
        <w:t>s</w:t>
      </w:r>
      <w:r w:rsidR="00B908BE">
        <w:rPr>
          <w:lang w:val="fr-FR"/>
        </w:rPr>
        <w:t>’</w:t>
      </w:r>
      <w:r w:rsidRPr="006E25A6">
        <w:rPr>
          <w:lang w:val="fr-FR"/>
        </w:rPr>
        <w:t>employer à le restreindre par des moyens qui ne sont ni nécessaires ni proportionnés</w:t>
      </w:r>
      <w:r w:rsidRPr="006E25A6">
        <w:rPr>
          <w:rStyle w:val="Appelnotedebasdep"/>
          <w:lang w:val="fr-FR"/>
        </w:rPr>
        <w:footnoteReference w:id="9"/>
      </w:r>
      <w:r w:rsidRPr="006E25A6">
        <w:rPr>
          <w:lang w:val="fr-FR"/>
        </w:rPr>
        <w:t>.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est donc tenu de justifier la limitation du droit garanti à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8C1EA7">
        <w:rPr>
          <w:lang w:val="fr-FR"/>
        </w:rPr>
        <w:t> </w:t>
      </w:r>
      <w:r w:rsidRPr="006E25A6">
        <w:rPr>
          <w:lang w:val="fr-FR"/>
        </w:rPr>
        <w:t>21 du Pacte</w:t>
      </w:r>
      <w:r w:rsidRPr="006E25A6">
        <w:rPr>
          <w:rStyle w:val="Appelnotedebasdep"/>
          <w:lang w:val="fr-FR"/>
        </w:rPr>
        <w:footnoteReference w:id="10"/>
      </w:r>
      <w:r w:rsidRPr="006E25A6">
        <w:rPr>
          <w:lang w:val="fr-FR"/>
        </w:rPr>
        <w:t>.</w:t>
      </w:r>
      <w:bookmarkEnd w:id="39"/>
    </w:p>
    <w:p w:rsidR="009A6608" w:rsidRPr="006E25A6" w:rsidRDefault="009A6608" w:rsidP="009A6608">
      <w:pPr>
        <w:pStyle w:val="SingleTxtG"/>
        <w:rPr>
          <w:lang w:val="x-none"/>
        </w:rPr>
      </w:pPr>
      <w:bookmarkStart w:id="43" w:name="bookmark_79"/>
      <w:r w:rsidRPr="006E25A6">
        <w:rPr>
          <w:lang w:val="fr-FR"/>
        </w:rPr>
        <w:t>7.4</w:t>
      </w:r>
      <w:r w:rsidRPr="006E25A6">
        <w:rPr>
          <w:lang w:val="fr-FR"/>
        </w:rPr>
        <w:tab/>
      </w:r>
      <w:r w:rsidRPr="00F417BD">
        <w:rPr>
          <w:lang w:val="fr-FR"/>
        </w:rPr>
        <w:t>En l</w:t>
      </w:r>
      <w:r w:rsidR="00B908BE">
        <w:rPr>
          <w:lang w:val="fr-FR"/>
        </w:rPr>
        <w:t>’</w:t>
      </w:r>
      <w:r w:rsidRPr="00F417BD">
        <w:rPr>
          <w:lang w:val="fr-FR"/>
        </w:rPr>
        <w:t>espèce, la détention et l</w:t>
      </w:r>
      <w:r w:rsidR="00B908BE">
        <w:rPr>
          <w:lang w:val="fr-FR"/>
        </w:rPr>
        <w:t>’</w:t>
      </w:r>
      <w:r w:rsidRPr="00F417BD">
        <w:rPr>
          <w:lang w:val="fr-FR"/>
        </w:rPr>
        <w:t>amende administratives auxquelles l</w:t>
      </w:r>
      <w:r w:rsidR="00B908BE">
        <w:rPr>
          <w:lang w:val="fr-FR"/>
        </w:rPr>
        <w:t>’</w:t>
      </w:r>
      <w:r w:rsidRPr="00F417BD">
        <w:rPr>
          <w:lang w:val="fr-FR"/>
        </w:rPr>
        <w:t>auteure a été soumise ont constitué une limitation de son droit de réunion pacifique. Le Comité note que l</w:t>
      </w:r>
      <w:r w:rsidR="00B908BE">
        <w:rPr>
          <w:lang w:val="fr-FR"/>
        </w:rPr>
        <w:t>’</w:t>
      </w:r>
      <w:r w:rsidRPr="00F417BD">
        <w:rPr>
          <w:lang w:val="fr-FR"/>
        </w:rPr>
        <w:t>État partie affirme que cette restriction a été imposée conformément à l</w:t>
      </w:r>
      <w:r w:rsidR="00B908BE">
        <w:rPr>
          <w:lang w:val="fr-FR"/>
        </w:rPr>
        <w:t>’</w:t>
      </w:r>
      <w:r w:rsidRPr="00F417BD">
        <w:rPr>
          <w:lang w:val="fr-FR"/>
        </w:rPr>
        <w:t>article</w:t>
      </w:r>
      <w:r w:rsidR="008C1EA7">
        <w:rPr>
          <w:lang w:val="fr-FR"/>
        </w:rPr>
        <w:t> </w:t>
      </w:r>
      <w:r w:rsidRPr="00F417BD">
        <w:rPr>
          <w:lang w:val="fr-FR"/>
        </w:rPr>
        <w:t>31 de la Constitution de la Fédération de Russie et à l</w:t>
      </w:r>
      <w:r w:rsidR="00B908BE">
        <w:rPr>
          <w:lang w:val="fr-FR"/>
        </w:rPr>
        <w:t>’</w:t>
      </w:r>
      <w:r w:rsidRPr="00F417BD">
        <w:rPr>
          <w:lang w:val="fr-FR"/>
        </w:rPr>
        <w:t>article</w:t>
      </w:r>
      <w:r w:rsidR="008C1EA7">
        <w:rPr>
          <w:lang w:val="fr-FR"/>
        </w:rPr>
        <w:t> </w:t>
      </w:r>
      <w:r w:rsidRPr="00F417BD">
        <w:rPr>
          <w:lang w:val="fr-FR"/>
        </w:rPr>
        <w:t>5 (partie</w:t>
      </w:r>
      <w:r w:rsidR="008C1EA7">
        <w:rPr>
          <w:lang w:val="fr-FR"/>
        </w:rPr>
        <w:t> </w:t>
      </w:r>
      <w:r w:rsidRPr="00F417BD">
        <w:rPr>
          <w:lang w:val="fr-FR"/>
        </w:rPr>
        <w:t>4, al.</w:t>
      </w:r>
      <w:r w:rsidR="008C1EA7">
        <w:rPr>
          <w:lang w:val="fr-FR"/>
        </w:rPr>
        <w:t> </w:t>
      </w:r>
      <w:r w:rsidRPr="00F417BD">
        <w:rPr>
          <w:lang w:val="fr-FR"/>
        </w:rPr>
        <w:t>1) de la loi sur les manifestations publiques, qui exige le dépôt d</w:t>
      </w:r>
      <w:r w:rsidR="00B908BE">
        <w:rPr>
          <w:lang w:val="fr-FR"/>
        </w:rPr>
        <w:t>’</w:t>
      </w:r>
      <w:r w:rsidRPr="00F417BD">
        <w:rPr>
          <w:lang w:val="fr-FR"/>
        </w:rPr>
        <w:t>un préavis auprès des autorités locales (voir par.</w:t>
      </w:r>
      <w:r w:rsidR="008C1EA7">
        <w:rPr>
          <w:lang w:val="fr-FR"/>
        </w:rPr>
        <w:t> </w:t>
      </w:r>
      <w:r w:rsidRPr="00F417BD">
        <w:rPr>
          <w:lang w:val="fr-FR"/>
        </w:rPr>
        <w:t>4.4 ci-dessus). Il prend également note de l</w:t>
      </w:r>
      <w:r w:rsidR="00B908BE">
        <w:rPr>
          <w:lang w:val="fr-FR"/>
        </w:rPr>
        <w:t>’</w:t>
      </w:r>
      <w:r w:rsidRPr="00F417BD">
        <w:rPr>
          <w:lang w:val="fr-FR"/>
        </w:rPr>
        <w:t>argument de l</w:t>
      </w:r>
      <w:r w:rsidR="00B908BE">
        <w:rPr>
          <w:lang w:val="fr-FR"/>
        </w:rPr>
        <w:t>’</w:t>
      </w:r>
      <w:r w:rsidRPr="00F417BD">
        <w:rPr>
          <w:lang w:val="fr-FR"/>
        </w:rPr>
        <w:t>État partie selon lequel l</w:t>
      </w:r>
      <w:r w:rsidR="00B908BE">
        <w:rPr>
          <w:lang w:val="fr-FR"/>
        </w:rPr>
        <w:t>’</w:t>
      </w:r>
      <w:r w:rsidRPr="00F417BD">
        <w:rPr>
          <w:lang w:val="fr-FR"/>
        </w:rPr>
        <w:t>obligation de déposer un préavis vise à protéger l</w:t>
      </w:r>
      <w:r w:rsidR="00B908BE">
        <w:rPr>
          <w:lang w:val="fr-FR"/>
        </w:rPr>
        <w:t>’</w:t>
      </w:r>
      <w:r w:rsidRPr="00F417BD">
        <w:rPr>
          <w:lang w:val="fr-FR"/>
        </w:rPr>
        <w:t>ordre public ainsi que les droits et libertés d</w:t>
      </w:r>
      <w:r w:rsidR="00B908BE">
        <w:rPr>
          <w:lang w:val="fr-FR"/>
        </w:rPr>
        <w:t>’</w:t>
      </w:r>
      <w:r w:rsidRPr="00F417BD">
        <w:rPr>
          <w:lang w:val="fr-FR"/>
        </w:rPr>
        <w:t>autrui (voir par.</w:t>
      </w:r>
      <w:r w:rsidR="008C1EA7">
        <w:rPr>
          <w:lang w:val="fr-FR"/>
        </w:rPr>
        <w:t> </w:t>
      </w:r>
      <w:r w:rsidRPr="00F417BD">
        <w:rPr>
          <w:lang w:val="fr-FR"/>
        </w:rPr>
        <w:t>4.6 ci-dessus). Le Comité note toutefois également que l</w:t>
      </w:r>
      <w:r w:rsidR="00B908BE">
        <w:rPr>
          <w:lang w:val="fr-FR"/>
        </w:rPr>
        <w:t>’</w:t>
      </w:r>
      <w:r w:rsidRPr="00F417BD">
        <w:rPr>
          <w:lang w:val="fr-FR"/>
        </w:rPr>
        <w:t>auteure affirme que, même si la restriction était peut-être légale en droit interne, son arrestation, l</w:t>
      </w:r>
      <w:r w:rsidR="00B908BE">
        <w:rPr>
          <w:lang w:val="fr-FR"/>
        </w:rPr>
        <w:t>’</w:t>
      </w:r>
      <w:r w:rsidRPr="00F417BD">
        <w:rPr>
          <w:lang w:val="fr-FR"/>
        </w:rPr>
        <w:t>établissement de sa culpabilité et sa condamnation à une amende administrative n</w:t>
      </w:r>
      <w:r w:rsidR="00B908BE">
        <w:rPr>
          <w:lang w:val="fr-FR"/>
        </w:rPr>
        <w:t>’</w:t>
      </w:r>
      <w:r w:rsidRPr="00F417BD">
        <w:rPr>
          <w:lang w:val="fr-FR"/>
        </w:rPr>
        <w:t>étaient pas nécessaires dans une société démocratique pour la poursuite des objectifs légitimes invoqués par l</w:t>
      </w:r>
      <w:r w:rsidR="00B908BE">
        <w:rPr>
          <w:lang w:val="fr-FR"/>
        </w:rPr>
        <w:t>’</w:t>
      </w:r>
      <w:r w:rsidRPr="00F417BD">
        <w:rPr>
          <w:lang w:val="fr-FR"/>
        </w:rPr>
        <w:t>État partie (voir par.</w:t>
      </w:r>
      <w:r w:rsidR="008C1EA7">
        <w:rPr>
          <w:lang w:val="fr-FR"/>
        </w:rPr>
        <w:t> </w:t>
      </w:r>
      <w:r w:rsidRPr="00F417BD">
        <w:rPr>
          <w:lang w:val="fr-FR"/>
        </w:rPr>
        <w:t>3.2 ci-dessus). L</w:t>
      </w:r>
      <w:r w:rsidR="00B908BE">
        <w:rPr>
          <w:lang w:val="fr-FR"/>
        </w:rPr>
        <w:t>’</w:t>
      </w:r>
      <w:r w:rsidRPr="00F417BD">
        <w:rPr>
          <w:lang w:val="fr-FR"/>
        </w:rPr>
        <w:t xml:space="preserve">auteure affirme en outre que la manifestation </w:t>
      </w:r>
      <w:r>
        <w:rPr>
          <w:lang w:val="fr-FR"/>
        </w:rPr>
        <w:t xml:space="preserve">tenue </w:t>
      </w:r>
      <w:r w:rsidRPr="00F417BD">
        <w:rPr>
          <w:lang w:val="fr-FR"/>
        </w:rPr>
        <w:t xml:space="preserve">en réaction à un problème important </w:t>
      </w:r>
      <w:r w:rsidR="008C1EA7">
        <w:rPr>
          <w:lang w:val="fr-FR"/>
        </w:rPr>
        <w:t>− </w:t>
      </w:r>
      <w:r w:rsidRPr="00F417BD">
        <w:rPr>
          <w:lang w:val="fr-FR"/>
        </w:rPr>
        <w:t>des allégations de trucage de résultats électoraux</w:t>
      </w:r>
      <w:r w:rsidR="008C1EA7">
        <w:rPr>
          <w:lang w:val="fr-FR"/>
        </w:rPr>
        <w:t> −</w:t>
      </w:r>
      <w:r w:rsidRPr="00F417BD">
        <w:rPr>
          <w:lang w:val="fr-FR"/>
        </w:rPr>
        <w:t xml:space="preserve"> était absolument pacifique, et qu</w:t>
      </w:r>
      <w:r w:rsidR="00B908BE">
        <w:rPr>
          <w:lang w:val="fr-FR"/>
        </w:rPr>
        <w:t>’</w:t>
      </w:r>
      <w:r w:rsidRPr="00F417BD">
        <w:rPr>
          <w:lang w:val="fr-FR"/>
        </w:rPr>
        <w:t>aucune personne ni aucun bien n</w:t>
      </w:r>
      <w:r w:rsidR="00B908BE">
        <w:rPr>
          <w:lang w:val="fr-FR"/>
        </w:rPr>
        <w:t>’</w:t>
      </w:r>
      <w:r w:rsidRPr="00F417BD">
        <w:rPr>
          <w:lang w:val="fr-FR"/>
        </w:rPr>
        <w:t>a subi de dommage ou n</w:t>
      </w:r>
      <w:r w:rsidR="00B908BE">
        <w:rPr>
          <w:lang w:val="fr-FR"/>
        </w:rPr>
        <w:t>’</w:t>
      </w:r>
      <w:r w:rsidRPr="00F417BD">
        <w:rPr>
          <w:lang w:val="fr-FR"/>
        </w:rPr>
        <w:t>a été mis en danger (voir par.</w:t>
      </w:r>
      <w:r w:rsidR="00BF0530">
        <w:rPr>
          <w:lang w:val="fr-FR"/>
        </w:rPr>
        <w:t> </w:t>
      </w:r>
      <w:r w:rsidRPr="00F417BD">
        <w:rPr>
          <w:lang w:val="fr-FR"/>
        </w:rPr>
        <w:t>5.1 ci-dessus).</w:t>
      </w:r>
      <w:bookmarkEnd w:id="43"/>
    </w:p>
    <w:p w:rsidR="009A6608" w:rsidRDefault="009A6608" w:rsidP="009A6608">
      <w:pPr>
        <w:pStyle w:val="SingleTxtG"/>
        <w:rPr>
          <w:lang w:val="fr-FR"/>
        </w:rPr>
      </w:pPr>
      <w:bookmarkStart w:id="44" w:name="bookmark_83"/>
      <w:r w:rsidRPr="006E25A6">
        <w:rPr>
          <w:lang w:val="fr-FR"/>
        </w:rPr>
        <w:t>7.5</w:t>
      </w:r>
      <w:r w:rsidRPr="006E25A6">
        <w:rPr>
          <w:lang w:val="fr-FR"/>
        </w:rPr>
        <w:tab/>
      </w:r>
      <w:r w:rsidRPr="00160943">
        <w:rPr>
          <w:lang w:val="fr-FR"/>
        </w:rPr>
        <w:t>Le Comité a estimé précédemment qu</w:t>
      </w:r>
      <w:r w:rsidR="00B908BE">
        <w:rPr>
          <w:lang w:val="fr-FR"/>
        </w:rPr>
        <w:t>’</w:t>
      </w:r>
      <w:r w:rsidRPr="00160943">
        <w:rPr>
          <w:lang w:val="fr-FR"/>
        </w:rPr>
        <w:t>une obligation de préavis pouvait être compatible avec les restrictions autorisées par l</w:t>
      </w:r>
      <w:r w:rsidR="00B908BE">
        <w:rPr>
          <w:lang w:val="fr-FR"/>
        </w:rPr>
        <w:t>’</w:t>
      </w:r>
      <w:r w:rsidRPr="00160943">
        <w:rPr>
          <w:lang w:val="fr-FR"/>
        </w:rPr>
        <w:t>article</w:t>
      </w:r>
      <w:r w:rsidR="00BF0530">
        <w:rPr>
          <w:lang w:val="fr-FR"/>
        </w:rPr>
        <w:t> </w:t>
      </w:r>
      <w:r w:rsidRPr="00160943">
        <w:rPr>
          <w:lang w:val="fr-FR"/>
        </w:rPr>
        <w:t>21 du Pacte</w:t>
      </w:r>
      <w:r>
        <w:rPr>
          <w:rStyle w:val="Appelnotedebasdep"/>
        </w:rPr>
        <w:footnoteReference w:id="11"/>
      </w:r>
      <w:r w:rsidRPr="00160943">
        <w:rPr>
          <w:lang w:val="fr-FR"/>
        </w:rPr>
        <w:t>. Toutefois, si un système de préavis peut être important pour le bon déroulement des manifestations publiques, son application ne saurait devenir une fin en soi</w:t>
      </w:r>
      <w:r>
        <w:rPr>
          <w:rStyle w:val="Appelnotedebasdep"/>
        </w:rPr>
        <w:footnoteReference w:id="12"/>
      </w:r>
      <w:r w:rsidRPr="00160943">
        <w:rPr>
          <w:lang w:val="fr-FR"/>
        </w:rPr>
        <w:t>. Toute restriction au droit à la liberté de réunion pacifique doit en tout état de cause être justifiée par l</w:t>
      </w:r>
      <w:r w:rsidR="00B908BE">
        <w:rPr>
          <w:lang w:val="fr-FR"/>
        </w:rPr>
        <w:t>’</w:t>
      </w:r>
      <w:r w:rsidRPr="00160943">
        <w:rPr>
          <w:lang w:val="fr-FR"/>
        </w:rPr>
        <w:t>État partie au regard de la deuxième phrase de l</w:t>
      </w:r>
      <w:r w:rsidR="00B908BE">
        <w:rPr>
          <w:lang w:val="fr-FR"/>
        </w:rPr>
        <w:t>’</w:t>
      </w:r>
      <w:r w:rsidRPr="00160943">
        <w:rPr>
          <w:lang w:val="fr-FR"/>
        </w:rPr>
        <w:t>article</w:t>
      </w:r>
      <w:r w:rsidR="00BF0530">
        <w:rPr>
          <w:lang w:val="fr-FR"/>
        </w:rPr>
        <w:t> </w:t>
      </w:r>
      <w:r w:rsidRPr="00160943">
        <w:rPr>
          <w:lang w:val="fr-FR"/>
        </w:rPr>
        <w:t>21. Cela vaut en particulier pour les manifestations spontanées, qui ne peuvent, de par leur nature même, être soumises à une obligation de préavis, laquelle impliquerait de se conformer à une longue procédure.</w:t>
      </w:r>
      <w:bookmarkEnd w:id="44"/>
    </w:p>
    <w:p w:rsidR="009A6608" w:rsidRPr="006E25A6" w:rsidRDefault="009A6608" w:rsidP="009A6608">
      <w:pPr>
        <w:pStyle w:val="SingleTxtG"/>
        <w:rPr>
          <w:lang w:val="fr-FR"/>
        </w:rPr>
      </w:pPr>
      <w:r>
        <w:rPr>
          <w:lang w:val="fr-FR"/>
        </w:rPr>
        <w:t>7.6</w:t>
      </w:r>
      <w:r>
        <w:rPr>
          <w:lang w:val="fr-FR"/>
        </w:rPr>
        <w:tab/>
      </w:r>
      <w:r w:rsidRPr="007F2B10">
        <w:rPr>
          <w:lang w:val="fr-FR"/>
        </w:rPr>
        <w:t>Le Comité prend note du fait que, selon l</w:t>
      </w:r>
      <w:r w:rsidR="00B908BE">
        <w:rPr>
          <w:lang w:val="fr-FR"/>
        </w:rPr>
        <w:t>’</w:t>
      </w:r>
      <w:r w:rsidRPr="007F2B10">
        <w:rPr>
          <w:lang w:val="fr-FR"/>
        </w:rPr>
        <w:t xml:space="preserve">auteure, les tribunaux se sont </w:t>
      </w:r>
      <w:r>
        <w:rPr>
          <w:lang w:val="fr-FR"/>
        </w:rPr>
        <w:t xml:space="preserve">bornés à </w:t>
      </w:r>
      <w:r w:rsidRPr="007F2B10">
        <w:rPr>
          <w:lang w:val="fr-FR"/>
        </w:rPr>
        <w:t>examiner la question de savoir si une autorisation préalable avait été obtenue et n</w:t>
      </w:r>
      <w:r w:rsidR="00B908BE">
        <w:rPr>
          <w:lang w:val="fr-FR"/>
        </w:rPr>
        <w:t>’</w:t>
      </w:r>
      <w:r w:rsidRPr="007F2B10">
        <w:rPr>
          <w:lang w:val="fr-FR"/>
        </w:rPr>
        <w:t>ont pas expliqué en quoi les actes de l</w:t>
      </w:r>
      <w:r w:rsidR="00B908BE">
        <w:rPr>
          <w:lang w:val="fr-FR"/>
        </w:rPr>
        <w:t>’</w:t>
      </w:r>
      <w:r w:rsidRPr="007F2B10">
        <w:rPr>
          <w:lang w:val="fr-FR"/>
        </w:rPr>
        <w:t>auteure avaient cessé d</w:t>
      </w:r>
      <w:r w:rsidR="00B908BE">
        <w:rPr>
          <w:lang w:val="fr-FR"/>
        </w:rPr>
        <w:t>’</w:t>
      </w:r>
      <w:r w:rsidRPr="007F2B10">
        <w:rPr>
          <w:lang w:val="fr-FR"/>
        </w:rPr>
        <w:t>être pacifiques ou avaient perturbé l</w:t>
      </w:r>
      <w:r w:rsidR="00B908BE">
        <w:rPr>
          <w:lang w:val="fr-FR"/>
        </w:rPr>
        <w:t>’</w:t>
      </w:r>
      <w:r w:rsidRPr="007F2B10">
        <w:rPr>
          <w:lang w:val="fr-FR"/>
        </w:rPr>
        <w:t>ordre public, par exemple en gênant la circulation des véhicules ou le passage des piétons (voir par.</w:t>
      </w:r>
      <w:r w:rsidR="00BF0530">
        <w:rPr>
          <w:lang w:val="fr-FR"/>
        </w:rPr>
        <w:t> </w:t>
      </w:r>
      <w:r w:rsidRPr="007F2B10">
        <w:rPr>
          <w:lang w:val="fr-FR"/>
        </w:rPr>
        <w:t>3.2 ci-dessus), ce que l</w:t>
      </w:r>
      <w:r w:rsidR="00B908BE">
        <w:rPr>
          <w:lang w:val="fr-FR"/>
        </w:rPr>
        <w:t>’</w:t>
      </w:r>
      <w:r w:rsidRPr="007F2B10">
        <w:rPr>
          <w:lang w:val="fr-FR"/>
        </w:rPr>
        <w:t>État partie n</w:t>
      </w:r>
      <w:r w:rsidR="00B908BE">
        <w:rPr>
          <w:lang w:val="fr-FR"/>
        </w:rPr>
        <w:t>’</w:t>
      </w:r>
      <w:r w:rsidRPr="007F2B10">
        <w:rPr>
          <w:lang w:val="fr-FR"/>
        </w:rPr>
        <w:t>a pas contesté. Le Comité estime donc, au vu des éléments dont il dispose, que l</w:t>
      </w:r>
      <w:r w:rsidR="00B908BE">
        <w:rPr>
          <w:lang w:val="fr-FR"/>
        </w:rPr>
        <w:t>’</w:t>
      </w:r>
      <w:r w:rsidRPr="007F2B10">
        <w:rPr>
          <w:lang w:val="fr-FR"/>
        </w:rPr>
        <w:t>État partie n</w:t>
      </w:r>
      <w:r w:rsidR="00B908BE">
        <w:rPr>
          <w:lang w:val="fr-FR"/>
        </w:rPr>
        <w:t>’</w:t>
      </w:r>
      <w:r w:rsidRPr="007F2B10">
        <w:rPr>
          <w:lang w:val="fr-FR"/>
        </w:rPr>
        <w:t>a pas démontré que la détention et l</w:t>
      </w:r>
      <w:r w:rsidR="00B908BE">
        <w:rPr>
          <w:lang w:val="fr-FR"/>
        </w:rPr>
        <w:t>’</w:t>
      </w:r>
      <w:r w:rsidRPr="007F2B10">
        <w:rPr>
          <w:lang w:val="fr-FR"/>
        </w:rPr>
        <w:t>amende administratives infligées à l</w:t>
      </w:r>
      <w:r w:rsidR="00B908BE">
        <w:rPr>
          <w:lang w:val="fr-FR"/>
        </w:rPr>
        <w:t>’</w:t>
      </w:r>
      <w:r w:rsidRPr="007F2B10">
        <w:rPr>
          <w:lang w:val="fr-FR"/>
        </w:rPr>
        <w:t>auteure à la suite d</w:t>
      </w:r>
      <w:r w:rsidR="00B908BE">
        <w:rPr>
          <w:lang w:val="fr-FR"/>
        </w:rPr>
        <w:t>’</w:t>
      </w:r>
      <w:r w:rsidRPr="007F2B10">
        <w:rPr>
          <w:lang w:val="fr-FR"/>
        </w:rPr>
        <w:t>une manifestation pacifique étaient nécessaires dans une société démocratique, dans l</w:t>
      </w:r>
      <w:r w:rsidR="00B908BE">
        <w:rPr>
          <w:lang w:val="fr-FR"/>
        </w:rPr>
        <w:t>’</w:t>
      </w:r>
      <w:r w:rsidRPr="007F2B10">
        <w:rPr>
          <w:lang w:val="fr-FR"/>
        </w:rPr>
        <w:t>intérêt de la sécurité nationale, de la sûreté publique, de l</w:t>
      </w:r>
      <w:r w:rsidR="00B908BE">
        <w:rPr>
          <w:lang w:val="fr-FR"/>
        </w:rPr>
        <w:t>’</w:t>
      </w:r>
      <w:r w:rsidRPr="007F2B10">
        <w:rPr>
          <w:lang w:val="fr-FR"/>
        </w:rPr>
        <w:t>ordre public, ou pour protéger la santé ou la moralité publiques ou les droits et les libertés d</w:t>
      </w:r>
      <w:r w:rsidR="00B908BE">
        <w:rPr>
          <w:lang w:val="fr-FR"/>
        </w:rPr>
        <w:t>’</w:t>
      </w:r>
      <w:r w:rsidRPr="007F2B10">
        <w:rPr>
          <w:lang w:val="fr-FR"/>
        </w:rPr>
        <w:t>autrui, contrairement à ce qu</w:t>
      </w:r>
      <w:r w:rsidR="00B908BE">
        <w:rPr>
          <w:lang w:val="fr-FR"/>
        </w:rPr>
        <w:t>’</w:t>
      </w:r>
      <w:r w:rsidRPr="007F2B10">
        <w:rPr>
          <w:lang w:val="fr-FR"/>
        </w:rPr>
        <w:t>exige l</w:t>
      </w:r>
      <w:r w:rsidR="00B908BE">
        <w:rPr>
          <w:lang w:val="fr-FR"/>
        </w:rPr>
        <w:t>’</w:t>
      </w:r>
      <w:r w:rsidRPr="007F2B10">
        <w:rPr>
          <w:lang w:val="fr-FR"/>
        </w:rPr>
        <w:t>article</w:t>
      </w:r>
      <w:r w:rsidR="00BF0530">
        <w:rPr>
          <w:lang w:val="fr-FR"/>
        </w:rPr>
        <w:t> </w:t>
      </w:r>
      <w:r w:rsidRPr="007F2B10">
        <w:rPr>
          <w:lang w:val="fr-FR"/>
        </w:rPr>
        <w:t>21 du Pacte. Pour ces raisons, le Comité conclut en l</w:t>
      </w:r>
      <w:r w:rsidR="00B908BE">
        <w:rPr>
          <w:lang w:val="fr-FR"/>
        </w:rPr>
        <w:t>’</w:t>
      </w:r>
      <w:r w:rsidRPr="007F2B10">
        <w:rPr>
          <w:lang w:val="fr-FR"/>
        </w:rPr>
        <w:t xml:space="preserve">espèce </w:t>
      </w:r>
      <w:r>
        <w:rPr>
          <w:lang w:val="fr-FR"/>
        </w:rPr>
        <w:t xml:space="preserve">que </w:t>
      </w:r>
      <w:r w:rsidRPr="007F2B10">
        <w:rPr>
          <w:lang w:val="fr-FR"/>
        </w:rPr>
        <w:t>l</w:t>
      </w:r>
      <w:r w:rsidR="00B908BE">
        <w:rPr>
          <w:lang w:val="fr-FR"/>
        </w:rPr>
        <w:t>’</w:t>
      </w:r>
      <w:r w:rsidRPr="007F2B10">
        <w:rPr>
          <w:lang w:val="fr-FR"/>
        </w:rPr>
        <w:t>État partie</w:t>
      </w:r>
      <w:r>
        <w:rPr>
          <w:lang w:val="fr-FR"/>
        </w:rPr>
        <w:t xml:space="preserve"> a violé</w:t>
      </w:r>
      <w:r w:rsidRPr="007F2B10">
        <w:rPr>
          <w:lang w:val="fr-FR"/>
        </w:rPr>
        <w:t xml:space="preserve"> l</w:t>
      </w:r>
      <w:r w:rsidR="00B908BE">
        <w:rPr>
          <w:lang w:val="fr-FR"/>
        </w:rPr>
        <w:t>’</w:t>
      </w:r>
      <w:r w:rsidRPr="007F2B10">
        <w:rPr>
          <w:lang w:val="fr-FR"/>
        </w:rPr>
        <w:t>article</w:t>
      </w:r>
      <w:r w:rsidR="00BF0530">
        <w:rPr>
          <w:lang w:val="fr-FR"/>
        </w:rPr>
        <w:t> </w:t>
      </w:r>
      <w:r w:rsidRPr="007F2B10">
        <w:rPr>
          <w:lang w:val="fr-FR"/>
        </w:rPr>
        <w:t>21 du Pacte .</w:t>
      </w:r>
    </w:p>
    <w:p w:rsidR="009A6608" w:rsidRPr="006E25A6" w:rsidRDefault="009A6608" w:rsidP="009A6608">
      <w:pPr>
        <w:pStyle w:val="SingleTxtG"/>
        <w:rPr>
          <w:lang w:val="x-none"/>
        </w:rPr>
      </w:pPr>
      <w:bookmarkStart w:id="45" w:name="bookmark_86"/>
      <w:r w:rsidRPr="006E25A6">
        <w:rPr>
          <w:lang w:val="fr-FR"/>
        </w:rPr>
        <w:lastRenderedPageBreak/>
        <w:t>8.</w:t>
      </w:r>
      <w:r w:rsidRPr="006E25A6">
        <w:rPr>
          <w:lang w:val="fr-FR"/>
        </w:rPr>
        <w:tab/>
        <w:t>Le Comité, agissant en vertu du paragraphe</w:t>
      </w:r>
      <w:r w:rsidR="00B908BE">
        <w:rPr>
          <w:lang w:val="fr-FR"/>
        </w:rPr>
        <w:t> </w:t>
      </w:r>
      <w:r w:rsidRPr="006E25A6">
        <w:rPr>
          <w:lang w:val="fr-FR"/>
        </w:rPr>
        <w:t>4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B908BE">
        <w:rPr>
          <w:lang w:val="fr-FR"/>
        </w:rPr>
        <w:t> </w:t>
      </w:r>
      <w:r w:rsidRPr="006E25A6">
        <w:rPr>
          <w:lang w:val="fr-FR"/>
        </w:rPr>
        <w:t>5 du Protocole facultatif, constate que les faits dont il est saisi font apparaître une violation des droits que l</w:t>
      </w:r>
      <w:r w:rsidR="00B908BE">
        <w:rPr>
          <w:lang w:val="fr-FR"/>
        </w:rPr>
        <w:t>’</w:t>
      </w:r>
      <w:r w:rsidRPr="006E25A6">
        <w:rPr>
          <w:lang w:val="fr-FR"/>
        </w:rPr>
        <w:t>auteure tient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B908BE">
        <w:rPr>
          <w:lang w:val="fr-FR"/>
        </w:rPr>
        <w:t> </w:t>
      </w:r>
      <w:r w:rsidRPr="006E25A6">
        <w:rPr>
          <w:lang w:val="fr-FR"/>
        </w:rPr>
        <w:t>21 du Pacte.</w:t>
      </w:r>
      <w:bookmarkEnd w:id="45"/>
    </w:p>
    <w:p w:rsidR="009A6608" w:rsidRPr="006E25A6" w:rsidRDefault="009A6608" w:rsidP="009A6608">
      <w:pPr>
        <w:pStyle w:val="SingleTxtG"/>
        <w:rPr>
          <w:lang w:val="x-none"/>
        </w:rPr>
      </w:pPr>
      <w:bookmarkStart w:id="46" w:name="bookmark_87"/>
      <w:r w:rsidRPr="006E25A6">
        <w:rPr>
          <w:lang w:val="fr-FR"/>
        </w:rPr>
        <w:t>9.</w:t>
      </w:r>
      <w:r w:rsidRPr="006E25A6">
        <w:rPr>
          <w:lang w:val="fr-FR"/>
        </w:rPr>
        <w:tab/>
        <w:t>Conformément au paragraphe</w:t>
      </w:r>
      <w:r w:rsidR="00B908BE">
        <w:rPr>
          <w:lang w:val="fr-FR"/>
        </w:rPr>
        <w:t> </w:t>
      </w:r>
      <w:r w:rsidRPr="006E25A6">
        <w:rPr>
          <w:lang w:val="fr-FR"/>
        </w:rPr>
        <w:t>3</w:t>
      </w:r>
      <w:r w:rsidR="00B908BE">
        <w:rPr>
          <w:lang w:val="fr-FR"/>
        </w:rPr>
        <w:t> </w:t>
      </w:r>
      <w:r w:rsidRPr="006E25A6">
        <w:rPr>
          <w:lang w:val="fr-FR"/>
        </w:rPr>
        <w:t>a)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B908BE">
        <w:rPr>
          <w:lang w:val="fr-FR"/>
        </w:rPr>
        <w:t> </w:t>
      </w:r>
      <w:r w:rsidRPr="006E25A6">
        <w:rPr>
          <w:lang w:val="fr-FR"/>
        </w:rPr>
        <w:t>2 du Pacte,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est tenu d</w:t>
      </w:r>
      <w:r w:rsidR="00B908BE">
        <w:rPr>
          <w:lang w:val="fr-FR"/>
        </w:rPr>
        <w:t>’</w:t>
      </w:r>
      <w:r w:rsidRPr="006E25A6">
        <w:rPr>
          <w:lang w:val="fr-FR"/>
        </w:rPr>
        <w:t>assurer un recours utile</w:t>
      </w:r>
      <w:r>
        <w:rPr>
          <w:lang w:val="fr-FR"/>
        </w:rPr>
        <w:t xml:space="preserve"> à toute personne dont les droits et libertés reconnus dans le Pacte ont été violés</w:t>
      </w:r>
      <w:r w:rsidRPr="006E25A6">
        <w:rPr>
          <w:lang w:val="fr-FR"/>
        </w:rPr>
        <w:t>. En conséquence,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est tenu, entre autres, d</w:t>
      </w:r>
      <w:r w:rsidR="00B908BE">
        <w:rPr>
          <w:lang w:val="fr-FR"/>
        </w:rPr>
        <w:t>’</w:t>
      </w:r>
      <w:r w:rsidRPr="006E25A6">
        <w:rPr>
          <w:lang w:val="fr-FR"/>
        </w:rPr>
        <w:t>accorder à l</w:t>
      </w:r>
      <w:r w:rsidR="00B908BE">
        <w:rPr>
          <w:lang w:val="fr-FR"/>
        </w:rPr>
        <w:t>’</w:t>
      </w:r>
      <w:r w:rsidRPr="006E25A6">
        <w:rPr>
          <w:lang w:val="fr-FR"/>
        </w:rPr>
        <w:t>auteure une indemnisation adéquate</w:t>
      </w:r>
      <w:bookmarkStart w:id="47" w:name="_GoBack"/>
      <w:bookmarkEnd w:id="47"/>
      <w:r w:rsidRPr="006E25A6">
        <w:rPr>
          <w:lang w:val="fr-FR"/>
        </w:rPr>
        <w:t xml:space="preserve"> et de lui rembourser le montant de l</w:t>
      </w:r>
      <w:r w:rsidR="00B908BE">
        <w:rPr>
          <w:lang w:val="fr-FR"/>
        </w:rPr>
        <w:t>’</w:t>
      </w:r>
      <w:r w:rsidRPr="006E25A6">
        <w:rPr>
          <w:lang w:val="fr-FR"/>
        </w:rPr>
        <w:t>amende imposée, ainsi que tous frais de justice encourus. Il est également tenu de prendre toutes les mesures voulues pour empêcher que ce type de violations ne se reproduise.</w:t>
      </w:r>
      <w:bookmarkEnd w:id="46"/>
      <w:r w:rsidRPr="006E25A6">
        <w:rPr>
          <w:lang w:val="fr-FR"/>
        </w:rPr>
        <w:t xml:space="preserve"> À cette fin, il devrait examiner sa législation en vue </w:t>
      </w:r>
      <w:r>
        <w:rPr>
          <w:lang w:val="fr-FR"/>
        </w:rPr>
        <w:t>d</w:t>
      </w:r>
      <w:r w:rsidR="00B908BE">
        <w:rPr>
          <w:lang w:val="fr-FR"/>
        </w:rPr>
        <w:t>’</w:t>
      </w:r>
      <w:r>
        <w:rPr>
          <w:lang w:val="fr-FR"/>
        </w:rPr>
        <w:t>assurer sa conformité avec les</w:t>
      </w:r>
      <w:r w:rsidRPr="006E25A6">
        <w:rPr>
          <w:lang w:val="fr-FR"/>
        </w:rPr>
        <w:t xml:space="preserve"> dispositions de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B908BE">
        <w:rPr>
          <w:lang w:val="fr-FR"/>
        </w:rPr>
        <w:t> </w:t>
      </w:r>
      <w:r w:rsidRPr="006E25A6">
        <w:rPr>
          <w:lang w:val="fr-FR"/>
        </w:rPr>
        <w:t>21 du Pacte, y</w:t>
      </w:r>
      <w:r w:rsidR="00B908BE">
        <w:rPr>
          <w:lang w:val="fr-FR"/>
        </w:rPr>
        <w:t> </w:t>
      </w:r>
      <w:r w:rsidRPr="006E25A6">
        <w:rPr>
          <w:lang w:val="fr-FR"/>
        </w:rPr>
        <w:t>compris en ce qui concerne les manifestations spontanées.</w:t>
      </w:r>
    </w:p>
    <w:p w:rsidR="00E85C42" w:rsidRDefault="009A6608" w:rsidP="009A6608">
      <w:pPr>
        <w:pStyle w:val="SingleTxtG"/>
        <w:rPr>
          <w:lang w:val="fr-FR"/>
        </w:rPr>
      </w:pPr>
      <w:r w:rsidRPr="006E25A6">
        <w:rPr>
          <w:lang w:val="fr-FR"/>
        </w:rPr>
        <w:t>10.</w:t>
      </w:r>
      <w:r w:rsidRPr="006E25A6">
        <w:rPr>
          <w:lang w:val="fr-FR"/>
        </w:rPr>
        <w:tab/>
        <w:t>Étant donné qu</w:t>
      </w:r>
      <w:r w:rsidR="00B908BE">
        <w:rPr>
          <w:lang w:val="fr-FR"/>
        </w:rPr>
        <w:t>’</w:t>
      </w:r>
      <w:r w:rsidRPr="006E25A6">
        <w:rPr>
          <w:lang w:val="fr-FR"/>
        </w:rPr>
        <w:t>en adhérant au Protocole facultatif,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 a reconnu que le Comité a compétence pour déterminer s</w:t>
      </w:r>
      <w:r w:rsidR="00B908BE">
        <w:rPr>
          <w:lang w:val="fr-FR"/>
        </w:rPr>
        <w:t>’</w:t>
      </w:r>
      <w:r w:rsidRPr="006E25A6">
        <w:rPr>
          <w:lang w:val="fr-FR"/>
        </w:rPr>
        <w:t>il y a ou non violation du Pacte et que, conformément à l</w:t>
      </w:r>
      <w:r w:rsidR="00B908BE">
        <w:rPr>
          <w:lang w:val="fr-FR"/>
        </w:rPr>
        <w:t>’</w:t>
      </w:r>
      <w:r w:rsidRPr="006E25A6">
        <w:rPr>
          <w:lang w:val="fr-FR"/>
        </w:rPr>
        <w:t>article</w:t>
      </w:r>
      <w:r w:rsidR="00B908BE">
        <w:rPr>
          <w:lang w:val="fr-FR"/>
        </w:rPr>
        <w:t> </w:t>
      </w:r>
      <w:r w:rsidRPr="006E25A6">
        <w:rPr>
          <w:lang w:val="fr-FR"/>
        </w:rPr>
        <w:t>2 du Pacte, il s</w:t>
      </w:r>
      <w:r w:rsidR="00B908BE">
        <w:rPr>
          <w:lang w:val="fr-FR"/>
        </w:rPr>
        <w:t>’</w:t>
      </w:r>
      <w:r w:rsidRPr="006E25A6">
        <w:rPr>
          <w:lang w:val="fr-FR"/>
        </w:rPr>
        <w:t>est engagé à garantir à tous les individus se trouvant sur son territoire et relevant de sa juridiction les droits reconnus dans le Pacte et à assurer un recours utile lorsqu</w:t>
      </w:r>
      <w:r w:rsidR="00B908BE">
        <w:rPr>
          <w:lang w:val="fr-FR"/>
        </w:rPr>
        <w:t>’</w:t>
      </w:r>
      <w:r w:rsidRPr="006E25A6">
        <w:rPr>
          <w:lang w:val="fr-FR"/>
        </w:rPr>
        <w:t>une violation a été établie, le Comité souhaite recevoir de l</w:t>
      </w:r>
      <w:r w:rsidR="00B908BE">
        <w:rPr>
          <w:lang w:val="fr-FR"/>
        </w:rPr>
        <w:t>’</w:t>
      </w:r>
      <w:r w:rsidRPr="006E25A6">
        <w:rPr>
          <w:lang w:val="fr-FR"/>
        </w:rPr>
        <w:t>État partie, dans un délai de cent quatre-vingts jours, des renseignements sur les mesures prises pour donner effet aux présentes constatations. L</w:t>
      </w:r>
      <w:r w:rsidR="00B908BE">
        <w:rPr>
          <w:lang w:val="fr-FR"/>
        </w:rPr>
        <w:t>’</w:t>
      </w:r>
      <w:r w:rsidRPr="006E25A6">
        <w:rPr>
          <w:lang w:val="fr-FR"/>
        </w:rPr>
        <w:t>État</w:t>
      </w:r>
      <w:r w:rsidR="00B908BE">
        <w:rPr>
          <w:lang w:val="fr-FR"/>
        </w:rPr>
        <w:t xml:space="preserve"> </w:t>
      </w:r>
      <w:r w:rsidRPr="006E25A6">
        <w:rPr>
          <w:lang w:val="fr-FR"/>
        </w:rPr>
        <w:t>partie est invité en outre à rendre celles-ci publiques et à les diffuser largement dans ses langues officielles.</w:t>
      </w:r>
    </w:p>
    <w:p w:rsidR="00B908BE" w:rsidRPr="00B908BE" w:rsidRDefault="00B908BE" w:rsidP="00B908B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08BE" w:rsidRPr="00B908BE" w:rsidSect="00BA3F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5D" w:rsidRDefault="008B1E5D" w:rsidP="00F95C08">
      <w:pPr>
        <w:spacing w:line="240" w:lineRule="auto"/>
      </w:pPr>
    </w:p>
  </w:endnote>
  <w:endnote w:type="continuationSeparator" w:id="0">
    <w:p w:rsidR="008B1E5D" w:rsidRPr="00AC3823" w:rsidRDefault="008B1E5D" w:rsidP="00AC3823">
      <w:pPr>
        <w:pStyle w:val="Pieddepage"/>
      </w:pPr>
    </w:p>
  </w:endnote>
  <w:endnote w:type="continuationNotice" w:id="1">
    <w:p w:rsidR="008B1E5D" w:rsidRDefault="008B1E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5D" w:rsidRPr="00BA3F30" w:rsidRDefault="008B1E5D" w:rsidP="00BA3F30">
    <w:pPr>
      <w:pStyle w:val="Pieddepage"/>
      <w:tabs>
        <w:tab w:val="right" w:pos="9638"/>
      </w:tabs>
    </w:pPr>
    <w:r w:rsidRPr="00BA3F30">
      <w:rPr>
        <w:b/>
        <w:sz w:val="18"/>
      </w:rPr>
      <w:fldChar w:fldCharType="begin"/>
    </w:r>
    <w:r w:rsidRPr="00BA3F30">
      <w:rPr>
        <w:b/>
        <w:sz w:val="18"/>
      </w:rPr>
      <w:instrText xml:space="preserve"> PAGE  \* MERGEFORMAT </w:instrText>
    </w:r>
    <w:r w:rsidRPr="00BA3F30">
      <w:rPr>
        <w:b/>
        <w:sz w:val="18"/>
      </w:rPr>
      <w:fldChar w:fldCharType="separate"/>
    </w:r>
    <w:r w:rsidRPr="00BA3F30">
      <w:rPr>
        <w:b/>
        <w:noProof/>
        <w:sz w:val="18"/>
      </w:rPr>
      <w:t>2</w:t>
    </w:r>
    <w:r w:rsidRPr="00BA3F30">
      <w:rPr>
        <w:b/>
        <w:sz w:val="18"/>
      </w:rPr>
      <w:fldChar w:fldCharType="end"/>
    </w:r>
    <w:r>
      <w:rPr>
        <w:b/>
        <w:sz w:val="18"/>
      </w:rPr>
      <w:tab/>
    </w:r>
    <w:r>
      <w:t>GE.18-07926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5D" w:rsidRPr="00BA3F30" w:rsidRDefault="008B1E5D" w:rsidP="00BA3F30">
    <w:pPr>
      <w:pStyle w:val="Pieddepage"/>
      <w:tabs>
        <w:tab w:val="right" w:pos="9638"/>
      </w:tabs>
      <w:rPr>
        <w:b/>
        <w:sz w:val="18"/>
      </w:rPr>
    </w:pPr>
    <w:r>
      <w:t>GE.18-07926</w:t>
    </w:r>
    <w:r>
      <w:tab/>
    </w:r>
    <w:r w:rsidRPr="00BA3F30">
      <w:rPr>
        <w:b/>
        <w:sz w:val="18"/>
      </w:rPr>
      <w:fldChar w:fldCharType="begin"/>
    </w:r>
    <w:r w:rsidRPr="00BA3F30">
      <w:rPr>
        <w:b/>
        <w:sz w:val="18"/>
      </w:rPr>
      <w:instrText xml:space="preserve"> PAGE  \* MERGEFORMAT </w:instrText>
    </w:r>
    <w:r w:rsidRPr="00BA3F30">
      <w:rPr>
        <w:b/>
        <w:sz w:val="18"/>
      </w:rPr>
      <w:fldChar w:fldCharType="separate"/>
    </w:r>
    <w:r w:rsidRPr="00BA3F30">
      <w:rPr>
        <w:b/>
        <w:noProof/>
        <w:sz w:val="18"/>
      </w:rPr>
      <w:t>3</w:t>
    </w:r>
    <w:r w:rsidRPr="00BA3F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5D" w:rsidRPr="00BA3F30" w:rsidRDefault="008B1E5D" w:rsidP="00BA3F30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18-07926  (F)    190819    011019</w:t>
    </w:r>
    <w:r>
      <w:rPr>
        <w:sz w:val="20"/>
      </w:rPr>
      <w:br/>
    </w:r>
    <w:r w:rsidRPr="00BA3F30">
      <w:rPr>
        <w:rFonts w:ascii="C39T30Lfz" w:hAnsi="C39T30Lfz"/>
        <w:sz w:val="56"/>
      </w:rPr>
      <w:t></w:t>
    </w:r>
    <w:r w:rsidRPr="00BA3F30">
      <w:rPr>
        <w:rFonts w:ascii="C39T30Lfz" w:hAnsi="C39T30Lfz"/>
        <w:sz w:val="56"/>
      </w:rPr>
      <w:t></w:t>
    </w:r>
    <w:r w:rsidRPr="00BA3F30">
      <w:rPr>
        <w:rFonts w:ascii="C39T30Lfz" w:hAnsi="C39T30Lfz"/>
        <w:sz w:val="56"/>
      </w:rPr>
      <w:t></w:t>
    </w:r>
    <w:r w:rsidRPr="00BA3F30">
      <w:rPr>
        <w:rFonts w:ascii="C39T30Lfz" w:hAnsi="C39T30Lfz"/>
        <w:sz w:val="56"/>
      </w:rPr>
      <w:t></w:t>
    </w:r>
    <w:r w:rsidRPr="00BA3F30">
      <w:rPr>
        <w:rFonts w:ascii="C39T30Lfz" w:hAnsi="C39T30Lfz"/>
        <w:sz w:val="56"/>
      </w:rPr>
      <w:t></w:t>
    </w:r>
    <w:r w:rsidRPr="00BA3F30">
      <w:rPr>
        <w:rFonts w:ascii="C39T30Lfz" w:hAnsi="C39T30Lfz"/>
        <w:sz w:val="56"/>
      </w:rPr>
      <w:t></w:t>
    </w:r>
    <w:r w:rsidRPr="00BA3F30">
      <w:rPr>
        <w:rFonts w:ascii="C39T30Lfz" w:hAnsi="C39T30Lfz"/>
        <w:sz w:val="56"/>
      </w:rPr>
      <w:t></w:t>
    </w:r>
    <w:r w:rsidRPr="00BA3F30">
      <w:rPr>
        <w:rFonts w:ascii="C39T30Lfz" w:hAnsi="C39T30Lfz"/>
        <w:sz w:val="56"/>
      </w:rPr>
      <w:t></w:t>
    </w:r>
    <w:r w:rsidRPr="00BA3F3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22/D/2217/20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2/D/2217/20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5D" w:rsidRPr="00AC3823" w:rsidRDefault="008B1E5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1E5D" w:rsidRPr="00AC3823" w:rsidRDefault="008B1E5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1E5D" w:rsidRPr="00AC3823" w:rsidRDefault="008B1E5D">
      <w:pPr>
        <w:spacing w:line="240" w:lineRule="auto"/>
        <w:rPr>
          <w:sz w:val="2"/>
          <w:szCs w:val="2"/>
        </w:rPr>
      </w:pPr>
    </w:p>
  </w:footnote>
  <w:footnote w:id="2">
    <w:p w:rsidR="008B1E5D" w:rsidRPr="004E7862" w:rsidRDefault="008B1E5D" w:rsidP="00A749F5">
      <w:pPr>
        <w:pStyle w:val="Notedebasdepage"/>
        <w:rPr>
          <w:lang w:val="fr-BE"/>
        </w:rPr>
      </w:pPr>
      <w:r>
        <w:tab/>
      </w:r>
      <w:r w:rsidRPr="00A749F5">
        <w:rPr>
          <w:rStyle w:val="Appelnotedebasdep"/>
          <w:sz w:val="20"/>
          <w:vertAlign w:val="baseline"/>
        </w:rPr>
        <w:t>*</w:t>
      </w:r>
      <w:r w:rsidRPr="00A749F5">
        <w:rPr>
          <w:sz w:val="20"/>
        </w:rPr>
        <w:tab/>
      </w:r>
      <w:r>
        <w:rPr>
          <w:lang w:val="fr-BE"/>
        </w:rPr>
        <w:t>Adoptées par le Comité à sa 122</w:t>
      </w:r>
      <w:r w:rsidRPr="004E7862">
        <w:rPr>
          <w:vertAlign w:val="superscript"/>
          <w:lang w:val="fr-BE"/>
        </w:rPr>
        <w:t>e</w:t>
      </w:r>
      <w:r>
        <w:rPr>
          <w:lang w:val="fr-BE"/>
        </w:rPr>
        <w:t xml:space="preserve"> session (12 mars-6 avril 2018).</w:t>
      </w:r>
    </w:p>
  </w:footnote>
  <w:footnote w:id="3">
    <w:p w:rsidR="008B1E5D" w:rsidRPr="009A6608" w:rsidRDefault="008B1E5D">
      <w:pPr>
        <w:pStyle w:val="Notedebasdepage"/>
      </w:pPr>
      <w:r>
        <w:rPr>
          <w:rStyle w:val="Appelnotedebasdep"/>
        </w:rPr>
        <w:tab/>
      </w:r>
      <w:r w:rsidRPr="009A6608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972C39">
        <w:t>Les membres du Comité dont le nom suit ont participé à l’examen de la communication</w:t>
      </w:r>
      <w:r>
        <w:t xml:space="preserve"> : </w:t>
      </w:r>
      <w:r w:rsidRPr="004C3D42">
        <w:t xml:space="preserve">Yadh Ben Achour, Ilze Brands Kehris, Ahmed Amin Fathalla, Olivier de Frouville, Christof Heyns, Yuji Iwasawa, Ivana Jelić, </w:t>
      </w:r>
      <w:proofErr w:type="spellStart"/>
      <w:r w:rsidRPr="004C3D42">
        <w:t>Bamariam</w:t>
      </w:r>
      <w:proofErr w:type="spellEnd"/>
      <w:r w:rsidRPr="004C3D42">
        <w:t xml:space="preserve"> </w:t>
      </w:r>
      <w:proofErr w:type="spellStart"/>
      <w:r w:rsidRPr="004C3D42">
        <w:t>Koita</w:t>
      </w:r>
      <w:proofErr w:type="spellEnd"/>
      <w:r w:rsidRPr="004C3D42">
        <w:t>, Marcia V.</w:t>
      </w:r>
      <w:r w:rsidR="0072781B">
        <w:t> </w:t>
      </w:r>
      <w:r w:rsidRPr="004C3D42">
        <w:t xml:space="preserve">J. Kran, Duncan Laki Muhumuza, Photini Pazartzis, Mauro Politi, José Manuel Santos Pais, Yuval Shany </w:t>
      </w:r>
      <w:r>
        <w:t>et</w:t>
      </w:r>
      <w:r w:rsidRPr="004C3D42">
        <w:t xml:space="preserve"> Margo Waterval.</w:t>
      </w:r>
    </w:p>
  </w:footnote>
  <w:footnote w:id="4">
    <w:p w:rsidR="008B1E5D" w:rsidRDefault="008B1E5D" w:rsidP="009A6608">
      <w:pPr>
        <w:pStyle w:val="Notedebasdepage"/>
      </w:pPr>
      <w:bookmarkStart w:id="7" w:name="footnoteBookmark_41"/>
      <w:r>
        <w:tab/>
      </w:r>
      <w:r>
        <w:rPr>
          <w:rStyle w:val="Appelnotedebasdep"/>
        </w:rPr>
        <w:footnoteRef/>
      </w:r>
      <w:r>
        <w:tab/>
      </w:r>
      <w:r w:rsidRPr="009924AB">
        <w:rPr>
          <w:lang w:val="fr-FR"/>
        </w:rPr>
        <w:t>Environ 25 euros à l’époque.</w:t>
      </w:r>
    </w:p>
    <w:bookmarkEnd w:id="7"/>
  </w:footnote>
  <w:footnote w:id="5">
    <w:p w:rsidR="008B1E5D" w:rsidRPr="004E7862" w:rsidRDefault="008B1E5D" w:rsidP="009A6608">
      <w:pPr>
        <w:pStyle w:val="Notedebasdepage"/>
        <w:rPr>
          <w:lang w:val="fr-BE"/>
        </w:rPr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BE"/>
        </w:rPr>
        <w:t xml:space="preserve">L’auteure fait référence à l’affaire </w:t>
      </w:r>
      <w:r>
        <w:rPr>
          <w:i/>
          <w:lang w:val="fr-BE"/>
        </w:rPr>
        <w:t>Zalesskaya</w:t>
      </w:r>
      <w:r>
        <w:rPr>
          <w:lang w:val="fr-BE"/>
        </w:rPr>
        <w:t xml:space="preserve"> </w:t>
      </w:r>
      <w:r w:rsidRPr="004E7862">
        <w:rPr>
          <w:i/>
          <w:lang w:val="fr-BE"/>
        </w:rPr>
        <w:t>c</w:t>
      </w:r>
      <w:r>
        <w:rPr>
          <w:lang w:val="fr-BE"/>
        </w:rPr>
        <w:t xml:space="preserve">. </w:t>
      </w:r>
      <w:r>
        <w:rPr>
          <w:i/>
          <w:lang w:val="fr-BE"/>
        </w:rPr>
        <w:t>Bélarus</w:t>
      </w:r>
      <w:r>
        <w:rPr>
          <w:lang w:val="fr-BE"/>
        </w:rPr>
        <w:t xml:space="preserve"> (CCPR/C/101/D/1604/2007), par. 10.5 et 10.6.</w:t>
      </w:r>
    </w:p>
  </w:footnote>
  <w:footnote w:id="6">
    <w:p w:rsidR="008B1E5D" w:rsidRDefault="008B1E5D" w:rsidP="009A6608">
      <w:pPr>
        <w:pStyle w:val="Notedebasdepage"/>
      </w:pPr>
      <w:bookmarkStart w:id="32" w:name="footnoteBookmark_68"/>
      <w:r>
        <w:tab/>
      </w:r>
      <w:r>
        <w:rPr>
          <w:rStyle w:val="Appelnotedebasdep"/>
        </w:rPr>
        <w:footnoteRef/>
      </w:r>
      <w:r>
        <w:tab/>
      </w:r>
      <w:r w:rsidRPr="009924AB">
        <w:rPr>
          <w:lang w:val="fr-FR"/>
        </w:rPr>
        <w:t xml:space="preserve">Voir </w:t>
      </w:r>
      <w:r w:rsidRPr="00FC035E">
        <w:rPr>
          <w:i/>
          <w:lang w:val="fr-FR"/>
        </w:rPr>
        <w:t>Gelazauskas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 w:rsidRPr="009924AB">
        <w:rPr>
          <w:lang w:val="fr-FR"/>
        </w:rPr>
        <w:t> </w:t>
      </w:r>
      <w:r w:rsidRPr="00FC035E">
        <w:rPr>
          <w:i/>
          <w:lang w:val="fr-FR"/>
        </w:rPr>
        <w:t>Lituanie</w:t>
      </w:r>
      <w:r>
        <w:rPr>
          <w:lang w:val="fr-FR"/>
        </w:rPr>
        <w:t xml:space="preserve"> (CCPR/C/77/D/836/1998) </w:t>
      </w:r>
      <w:r w:rsidRPr="009924AB">
        <w:rPr>
          <w:lang w:val="fr-FR"/>
        </w:rPr>
        <w:t>par.</w:t>
      </w:r>
      <w:r>
        <w:rPr>
          <w:lang w:val="fr-FR"/>
        </w:rPr>
        <w:t> </w:t>
      </w:r>
      <w:r w:rsidRPr="009924AB">
        <w:rPr>
          <w:lang w:val="fr-FR"/>
        </w:rPr>
        <w:t>7.4</w:t>
      </w:r>
      <w:r>
        <w:rPr>
          <w:lang w:val="fr-FR"/>
        </w:rPr>
        <w:t> </w:t>
      </w:r>
      <w:r w:rsidRPr="009924AB">
        <w:rPr>
          <w:lang w:val="fr-FR"/>
        </w:rPr>
        <w:t xml:space="preserve">; </w:t>
      </w:r>
      <w:r w:rsidRPr="00FC035E">
        <w:rPr>
          <w:i/>
          <w:lang w:val="fr-FR"/>
        </w:rPr>
        <w:t>Sekerko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C035E">
        <w:rPr>
          <w:i/>
          <w:lang w:val="fr-FR"/>
        </w:rPr>
        <w:t>Bélarus</w:t>
      </w:r>
      <w:r>
        <w:rPr>
          <w:lang w:val="fr-FR"/>
        </w:rPr>
        <w:t xml:space="preserve"> (CCPR/C/109/D/1851/2008), </w:t>
      </w:r>
      <w:r w:rsidRPr="009924AB">
        <w:rPr>
          <w:lang w:val="fr-FR"/>
        </w:rPr>
        <w:t>par.</w:t>
      </w:r>
      <w:r>
        <w:rPr>
          <w:lang w:val="fr-FR"/>
        </w:rPr>
        <w:t> </w:t>
      </w:r>
      <w:r w:rsidRPr="009924AB">
        <w:rPr>
          <w:lang w:val="fr-FR"/>
        </w:rPr>
        <w:t>8.3</w:t>
      </w:r>
      <w:r>
        <w:rPr>
          <w:lang w:val="fr-FR"/>
        </w:rPr>
        <w:t> </w:t>
      </w:r>
      <w:r w:rsidRPr="009924AB">
        <w:rPr>
          <w:lang w:val="fr-FR"/>
        </w:rPr>
        <w:t xml:space="preserve">; </w:t>
      </w:r>
      <w:r w:rsidRPr="00FC035E">
        <w:rPr>
          <w:i/>
          <w:lang w:val="fr-FR"/>
        </w:rPr>
        <w:t>Protsko et Tolchin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C035E">
        <w:rPr>
          <w:i/>
          <w:lang w:val="fr-FR"/>
        </w:rPr>
        <w:t>Bélarus</w:t>
      </w:r>
      <w:r>
        <w:rPr>
          <w:lang w:val="fr-FR"/>
        </w:rPr>
        <w:t xml:space="preserve"> (CCPR/C/109/D/1919-1920/2009)</w:t>
      </w:r>
      <w:r w:rsidRPr="009924AB">
        <w:rPr>
          <w:lang w:val="fr-FR"/>
        </w:rPr>
        <w:t>, par.</w:t>
      </w:r>
      <w:r>
        <w:rPr>
          <w:lang w:val="fr-FR"/>
        </w:rPr>
        <w:t> </w:t>
      </w:r>
      <w:r w:rsidRPr="009924AB">
        <w:rPr>
          <w:lang w:val="fr-FR"/>
        </w:rPr>
        <w:t>6.5</w:t>
      </w:r>
      <w:r>
        <w:rPr>
          <w:lang w:val="fr-FR"/>
        </w:rPr>
        <w:t> </w:t>
      </w:r>
      <w:r w:rsidRPr="009924AB">
        <w:rPr>
          <w:lang w:val="fr-FR"/>
        </w:rPr>
        <w:t xml:space="preserve">; </w:t>
      </w:r>
      <w:r w:rsidRPr="00FC035E">
        <w:rPr>
          <w:i/>
          <w:lang w:val="fr-FR"/>
        </w:rPr>
        <w:t>Schumilin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C035E">
        <w:rPr>
          <w:i/>
          <w:lang w:val="fr-FR"/>
        </w:rPr>
        <w:t>Bélarus</w:t>
      </w:r>
      <w:r>
        <w:rPr>
          <w:lang w:val="fr-FR"/>
        </w:rPr>
        <w:t xml:space="preserve"> (CCPR/C/105/D/1784/2008)</w:t>
      </w:r>
      <w:r w:rsidRPr="009924AB">
        <w:rPr>
          <w:lang w:val="fr-FR"/>
        </w:rPr>
        <w:t>, par.</w:t>
      </w:r>
      <w:r>
        <w:rPr>
          <w:lang w:val="fr-FR"/>
        </w:rPr>
        <w:t> </w:t>
      </w:r>
      <w:r w:rsidRPr="009924AB">
        <w:rPr>
          <w:lang w:val="fr-FR"/>
        </w:rPr>
        <w:t>8.3</w:t>
      </w:r>
      <w:r>
        <w:rPr>
          <w:lang w:val="fr-FR"/>
        </w:rPr>
        <w:t> </w:t>
      </w:r>
      <w:r w:rsidRPr="009924AB">
        <w:rPr>
          <w:lang w:val="fr-FR"/>
        </w:rPr>
        <w:t xml:space="preserve">; </w:t>
      </w:r>
      <w:r w:rsidRPr="00FC035E">
        <w:rPr>
          <w:i/>
          <w:lang w:val="fr-FR"/>
        </w:rPr>
        <w:t>P. L.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C035E">
        <w:rPr>
          <w:i/>
          <w:lang w:val="fr-FR"/>
        </w:rPr>
        <w:t>Bélarus</w:t>
      </w:r>
      <w:r>
        <w:rPr>
          <w:lang w:val="fr-FR"/>
        </w:rPr>
        <w:t xml:space="preserve"> (CCPR/C/102/D/1814/2008), </w:t>
      </w:r>
      <w:r w:rsidRPr="009924AB">
        <w:rPr>
          <w:lang w:val="fr-FR"/>
        </w:rPr>
        <w:t>par.</w:t>
      </w:r>
      <w:r>
        <w:rPr>
          <w:lang w:val="fr-FR"/>
        </w:rPr>
        <w:t> </w:t>
      </w:r>
      <w:r w:rsidRPr="009924AB">
        <w:rPr>
          <w:lang w:val="fr-FR"/>
        </w:rPr>
        <w:t>6.2</w:t>
      </w:r>
      <w:r>
        <w:rPr>
          <w:lang w:val="fr-FR"/>
        </w:rPr>
        <w:t> </w:t>
      </w:r>
      <w:r w:rsidRPr="009924AB">
        <w:rPr>
          <w:lang w:val="fr-FR"/>
        </w:rPr>
        <w:t xml:space="preserve">; </w:t>
      </w:r>
      <w:r w:rsidRPr="00FC035E">
        <w:rPr>
          <w:i/>
          <w:lang w:val="fr-FR"/>
        </w:rPr>
        <w:t>E. Z.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C035E">
        <w:rPr>
          <w:i/>
          <w:lang w:val="fr-FR"/>
        </w:rPr>
        <w:t>Kazakhstan</w:t>
      </w:r>
      <w:r>
        <w:rPr>
          <w:lang w:val="fr-FR"/>
        </w:rPr>
        <w:t xml:space="preserve"> (CCPR/C/113/D/2021/2010)</w:t>
      </w:r>
      <w:r w:rsidRPr="009924AB">
        <w:rPr>
          <w:lang w:val="fr-FR"/>
        </w:rPr>
        <w:t>, par.</w:t>
      </w:r>
      <w:r>
        <w:rPr>
          <w:lang w:val="fr-FR"/>
        </w:rPr>
        <w:t> </w:t>
      </w:r>
      <w:r w:rsidRPr="009924AB">
        <w:rPr>
          <w:lang w:val="fr-FR"/>
        </w:rPr>
        <w:t>7.3</w:t>
      </w:r>
      <w:r>
        <w:rPr>
          <w:lang w:val="fr-FR"/>
        </w:rPr>
        <w:t> </w:t>
      </w:r>
      <w:r w:rsidRPr="009924AB">
        <w:rPr>
          <w:lang w:val="fr-FR"/>
        </w:rPr>
        <w:t xml:space="preserve">; </w:t>
      </w:r>
      <w:r w:rsidRPr="00FC035E">
        <w:rPr>
          <w:i/>
          <w:lang w:val="fr-FR"/>
        </w:rPr>
        <w:t>Alekseev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C035E">
        <w:rPr>
          <w:i/>
          <w:lang w:val="fr-FR"/>
        </w:rPr>
        <w:t>Fédération de Russie</w:t>
      </w:r>
      <w:r>
        <w:rPr>
          <w:lang w:val="fr-FR"/>
        </w:rPr>
        <w:t xml:space="preserve"> (CCPR/C/109/D/1873/2009)</w:t>
      </w:r>
      <w:r w:rsidRPr="009924AB">
        <w:rPr>
          <w:lang w:val="fr-FR"/>
        </w:rPr>
        <w:t>, par.</w:t>
      </w:r>
      <w:r>
        <w:rPr>
          <w:lang w:val="fr-FR"/>
        </w:rPr>
        <w:t> </w:t>
      </w:r>
      <w:r w:rsidRPr="009924AB">
        <w:rPr>
          <w:lang w:val="fr-FR"/>
        </w:rPr>
        <w:t>8.4</w:t>
      </w:r>
      <w:r>
        <w:rPr>
          <w:lang w:val="fr-FR"/>
        </w:rPr>
        <w:t> </w:t>
      </w:r>
      <w:r w:rsidRPr="009924AB">
        <w:rPr>
          <w:lang w:val="fr-FR"/>
        </w:rPr>
        <w:t xml:space="preserve">; </w:t>
      </w:r>
      <w:r w:rsidRPr="00FC035E">
        <w:rPr>
          <w:i/>
          <w:lang w:val="fr-FR"/>
        </w:rPr>
        <w:t>Dorofeev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C035E">
        <w:rPr>
          <w:i/>
          <w:lang w:val="fr-FR"/>
        </w:rPr>
        <w:t>Fédération de Russie</w:t>
      </w:r>
      <w:r>
        <w:rPr>
          <w:lang w:val="fr-FR"/>
        </w:rPr>
        <w:t xml:space="preserve"> (CCPR/C/111/D/2041/2011)</w:t>
      </w:r>
      <w:r w:rsidRPr="009924AB">
        <w:rPr>
          <w:lang w:val="fr-FR"/>
        </w:rPr>
        <w:t>, par.</w:t>
      </w:r>
      <w:r>
        <w:rPr>
          <w:lang w:val="fr-FR"/>
        </w:rPr>
        <w:t> </w:t>
      </w:r>
      <w:r w:rsidRPr="009924AB">
        <w:rPr>
          <w:lang w:val="fr-FR"/>
        </w:rPr>
        <w:t>9.6.</w:t>
      </w:r>
    </w:p>
    <w:bookmarkEnd w:id="32"/>
  </w:footnote>
  <w:footnote w:id="7">
    <w:p w:rsidR="008B1E5D" w:rsidRPr="009924AB" w:rsidRDefault="008B1E5D" w:rsidP="009A6608">
      <w:pPr>
        <w:pStyle w:val="Notedebasdepage"/>
        <w:rPr>
          <w:lang w:val="fr-FR"/>
        </w:rPr>
      </w:pPr>
      <w:bookmarkStart w:id="33" w:name="footnoteBookmark_69"/>
      <w:r w:rsidRPr="008814F4">
        <w:rPr>
          <w:sz w:val="20"/>
          <w:lang w:val="fr-FR"/>
        </w:rPr>
        <w:tab/>
      </w:r>
      <w:r w:rsidRPr="008814F4">
        <w:rPr>
          <w:rStyle w:val="Appelnotedebasdep"/>
          <w:sz w:val="20"/>
          <w:lang w:val="fr-FR"/>
        </w:rPr>
        <w:footnoteRef/>
      </w:r>
      <w:r w:rsidRPr="008814F4">
        <w:rPr>
          <w:sz w:val="20"/>
          <w:lang w:val="fr-FR"/>
        </w:rPr>
        <w:tab/>
      </w:r>
      <w:r w:rsidRPr="009924AB">
        <w:rPr>
          <w:lang w:val="fr-FR"/>
        </w:rPr>
        <w:t xml:space="preserve">Voir également </w:t>
      </w:r>
      <w:r w:rsidRPr="00FC035E">
        <w:rPr>
          <w:i/>
          <w:lang w:val="fr-FR"/>
        </w:rPr>
        <w:t>Kostenko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C035E">
        <w:rPr>
          <w:i/>
          <w:lang w:val="fr-FR"/>
        </w:rPr>
        <w:t>Fédération de Russie</w:t>
      </w:r>
      <w:r>
        <w:rPr>
          <w:lang w:val="fr-FR"/>
        </w:rPr>
        <w:t xml:space="preserve"> (CCPR/C/115/D/2141/2012)</w:t>
      </w:r>
      <w:r w:rsidRPr="009924AB">
        <w:rPr>
          <w:lang w:val="fr-FR"/>
        </w:rPr>
        <w:t>, par.</w:t>
      </w:r>
      <w:r>
        <w:rPr>
          <w:lang w:val="fr-FR"/>
        </w:rPr>
        <w:t> </w:t>
      </w:r>
      <w:r w:rsidRPr="009924AB">
        <w:rPr>
          <w:lang w:val="fr-FR"/>
        </w:rPr>
        <w:t>6.3.</w:t>
      </w:r>
      <w:bookmarkEnd w:id="33"/>
    </w:p>
  </w:footnote>
  <w:footnote w:id="8">
    <w:p w:rsidR="008B1E5D" w:rsidRPr="009924AB" w:rsidRDefault="008B1E5D" w:rsidP="009A6608">
      <w:pPr>
        <w:pStyle w:val="Notedebasdepage"/>
        <w:rPr>
          <w:lang w:val="fr-FR"/>
        </w:rPr>
      </w:pPr>
      <w:bookmarkStart w:id="40" w:name="footnoteBookmark_76"/>
      <w:r w:rsidRPr="008814F4">
        <w:rPr>
          <w:sz w:val="20"/>
          <w:lang w:val="fr-FR"/>
        </w:rPr>
        <w:tab/>
      </w:r>
      <w:r w:rsidRPr="00FC035E">
        <w:rPr>
          <w:rStyle w:val="Appelnotedebasdep"/>
        </w:rPr>
        <w:footnoteRef/>
      </w:r>
      <w:r w:rsidRPr="00FC035E">
        <w:rPr>
          <w:rStyle w:val="Appelnotedebasdep"/>
        </w:rPr>
        <w:t xml:space="preserve"> </w:t>
      </w:r>
      <w:r w:rsidRPr="008814F4">
        <w:rPr>
          <w:sz w:val="20"/>
          <w:lang w:val="fr-FR"/>
        </w:rPr>
        <w:tab/>
      </w:r>
      <w:r w:rsidRPr="009924AB">
        <w:rPr>
          <w:lang w:val="fr-FR"/>
        </w:rPr>
        <w:t xml:space="preserve">Voir, par exemple, </w:t>
      </w:r>
      <w:r w:rsidRPr="00F35316">
        <w:rPr>
          <w:i/>
          <w:lang w:val="fr-FR"/>
        </w:rPr>
        <w:t>Margarita Korol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F35316">
        <w:rPr>
          <w:i/>
          <w:lang w:val="fr-FR"/>
        </w:rPr>
        <w:t>Bélarus</w:t>
      </w:r>
      <w:r>
        <w:rPr>
          <w:lang w:val="fr-FR"/>
        </w:rPr>
        <w:t xml:space="preserve"> (CCPR/C/117/D/2089/2011)</w:t>
      </w:r>
      <w:r w:rsidRPr="009924AB">
        <w:rPr>
          <w:lang w:val="fr-FR"/>
        </w:rPr>
        <w:t>, par.</w:t>
      </w:r>
      <w:r>
        <w:rPr>
          <w:lang w:val="fr-FR"/>
        </w:rPr>
        <w:t> </w:t>
      </w:r>
      <w:r w:rsidRPr="009924AB">
        <w:rPr>
          <w:lang w:val="fr-FR"/>
        </w:rPr>
        <w:t>7.5.</w:t>
      </w:r>
      <w:bookmarkEnd w:id="40"/>
    </w:p>
  </w:footnote>
  <w:footnote w:id="9">
    <w:p w:rsidR="008B1E5D" w:rsidRPr="009924AB" w:rsidRDefault="008B1E5D" w:rsidP="009A6608">
      <w:pPr>
        <w:pStyle w:val="Notedebasdepage"/>
        <w:rPr>
          <w:lang w:val="fr-FR"/>
        </w:rPr>
      </w:pPr>
      <w:bookmarkStart w:id="41" w:name="footnoteBookmark_77"/>
      <w:r w:rsidRPr="008814F4">
        <w:rPr>
          <w:sz w:val="20"/>
          <w:lang w:val="fr-FR"/>
        </w:rPr>
        <w:tab/>
      </w:r>
      <w:r w:rsidRPr="00FC035E">
        <w:rPr>
          <w:rStyle w:val="Appelnotedebasdep"/>
        </w:rPr>
        <w:footnoteRef/>
      </w:r>
      <w:r w:rsidRPr="008814F4">
        <w:rPr>
          <w:sz w:val="20"/>
          <w:lang w:val="fr-FR"/>
        </w:rPr>
        <w:tab/>
      </w:r>
      <w:r w:rsidRPr="009924AB">
        <w:rPr>
          <w:lang w:val="fr-FR"/>
        </w:rPr>
        <w:t>Ibid.</w:t>
      </w:r>
      <w:bookmarkEnd w:id="41"/>
    </w:p>
  </w:footnote>
  <w:footnote w:id="10">
    <w:p w:rsidR="008B1E5D" w:rsidRPr="009924AB" w:rsidRDefault="008B1E5D" w:rsidP="009A6608">
      <w:pPr>
        <w:pStyle w:val="Notedebasdepage"/>
        <w:rPr>
          <w:lang w:val="fr-FR"/>
        </w:rPr>
      </w:pPr>
      <w:bookmarkStart w:id="42" w:name="footnoteBookmark_78"/>
      <w:r w:rsidRPr="008814F4">
        <w:rPr>
          <w:sz w:val="20"/>
          <w:lang w:val="fr-FR"/>
        </w:rPr>
        <w:tab/>
      </w:r>
      <w:r w:rsidRPr="00FC035E">
        <w:rPr>
          <w:rStyle w:val="Appelnotedebasdep"/>
        </w:rPr>
        <w:footnoteRef/>
      </w:r>
      <w:r>
        <w:rPr>
          <w:sz w:val="20"/>
          <w:lang w:val="fr-FR"/>
        </w:rPr>
        <w:tab/>
      </w:r>
      <w:r w:rsidRPr="009924AB">
        <w:rPr>
          <w:lang w:val="fr-FR"/>
        </w:rPr>
        <w:t xml:space="preserve">Voir </w:t>
      </w:r>
      <w:r w:rsidRPr="00F35316">
        <w:rPr>
          <w:i/>
          <w:lang w:val="fr-FR"/>
        </w:rPr>
        <w:t>Poplavny</w:t>
      </w:r>
      <w:r w:rsidRPr="009924AB">
        <w:rPr>
          <w:lang w:val="fr-FR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B70752">
        <w:rPr>
          <w:i/>
          <w:lang w:val="fr-FR"/>
        </w:rPr>
        <w:t>Bélarus</w:t>
      </w:r>
      <w:r>
        <w:rPr>
          <w:lang w:val="fr-FR"/>
        </w:rPr>
        <w:t xml:space="preserve"> (CCPR/C/115/D/2019/2010)</w:t>
      </w:r>
      <w:r w:rsidRPr="009924AB">
        <w:rPr>
          <w:lang w:val="fr-FR"/>
        </w:rPr>
        <w:t>, par.</w:t>
      </w:r>
      <w:r>
        <w:rPr>
          <w:lang w:val="fr-FR"/>
        </w:rPr>
        <w:t> </w:t>
      </w:r>
      <w:r w:rsidRPr="009924AB">
        <w:rPr>
          <w:lang w:val="fr-FR"/>
        </w:rPr>
        <w:t>8.4.</w:t>
      </w:r>
      <w:bookmarkEnd w:id="42"/>
    </w:p>
  </w:footnote>
  <w:footnote w:id="11">
    <w:p w:rsidR="008B1E5D" w:rsidRPr="004E7862" w:rsidRDefault="008B1E5D" w:rsidP="009A6608">
      <w:pPr>
        <w:pStyle w:val="Notedebasdepage"/>
        <w:rPr>
          <w:lang w:val="fr-BE"/>
        </w:rPr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BE"/>
        </w:rPr>
        <w:t xml:space="preserve">Voir </w:t>
      </w:r>
      <w:proofErr w:type="spellStart"/>
      <w:r>
        <w:rPr>
          <w:i/>
          <w:lang w:val="fr-BE"/>
        </w:rPr>
        <w:t>Kivenmaa</w:t>
      </w:r>
      <w:proofErr w:type="spellEnd"/>
      <w:r>
        <w:rPr>
          <w:i/>
          <w:lang w:val="fr-BE"/>
        </w:rPr>
        <w:t xml:space="preserve"> </w:t>
      </w:r>
      <w:r w:rsidR="00792AD9" w:rsidRPr="00505C3F">
        <w:rPr>
          <w:i/>
          <w:lang w:val="fr-FR"/>
        </w:rPr>
        <w:t>c.</w:t>
      </w:r>
      <w:r w:rsidR="00792AD9">
        <w:rPr>
          <w:i/>
          <w:lang w:val="fr-FR"/>
        </w:rPr>
        <w:t> </w:t>
      </w:r>
      <w:r>
        <w:rPr>
          <w:i/>
          <w:lang w:val="fr-BE"/>
        </w:rPr>
        <w:t>Finlande</w:t>
      </w:r>
      <w:r>
        <w:rPr>
          <w:lang w:val="fr-BE"/>
        </w:rPr>
        <w:t xml:space="preserve"> (CCPR/C/50/D/412/1990), par. 9.2.</w:t>
      </w:r>
    </w:p>
  </w:footnote>
  <w:footnote w:id="12">
    <w:p w:rsidR="008B1E5D" w:rsidRPr="004E7862" w:rsidRDefault="008B1E5D" w:rsidP="009A6608">
      <w:pPr>
        <w:pStyle w:val="Notedebasdepage"/>
        <w:rPr>
          <w:lang w:val="fr-BE"/>
        </w:rPr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BE"/>
        </w:rPr>
        <w:t xml:space="preserve">Voir Cour européenne des droits de l’homme, </w:t>
      </w:r>
      <w:r w:rsidRPr="004E7862">
        <w:rPr>
          <w:i/>
          <w:lang w:val="fr-BE"/>
        </w:rPr>
        <w:t>Annenkov et autres</w:t>
      </w:r>
      <w:r>
        <w:rPr>
          <w:lang w:val="fr-BE"/>
        </w:rPr>
        <w:t xml:space="preserve"> </w:t>
      </w:r>
      <w:r w:rsidRPr="00505C3F">
        <w:rPr>
          <w:i/>
          <w:lang w:val="fr-FR"/>
        </w:rPr>
        <w:t>c.</w:t>
      </w:r>
      <w:r>
        <w:rPr>
          <w:i/>
          <w:lang w:val="fr-FR"/>
        </w:rPr>
        <w:t> </w:t>
      </w:r>
      <w:r w:rsidRPr="004E7862">
        <w:rPr>
          <w:i/>
          <w:lang w:val="fr-BE"/>
        </w:rPr>
        <w:t>Russie</w:t>
      </w:r>
      <w:r>
        <w:rPr>
          <w:lang w:val="fr-BE"/>
        </w:rPr>
        <w:t xml:space="preserve"> (requête n</w:t>
      </w:r>
      <w:r w:rsidRPr="004E7862">
        <w:rPr>
          <w:vertAlign w:val="superscript"/>
          <w:lang w:val="fr-BE"/>
        </w:rPr>
        <w:t>o</w:t>
      </w:r>
      <w:r>
        <w:rPr>
          <w:lang w:val="fr-BE"/>
        </w:rPr>
        <w:t> 31475/10), arrêt du 25 octobre 2017, par. 131 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5D" w:rsidRPr="00BA3F30" w:rsidRDefault="008B1E5D">
    <w:pPr>
      <w:pStyle w:val="En-tte"/>
    </w:pPr>
    <w:fldSimple w:instr=" TITLE  \* MERGEFORMAT ">
      <w:r w:rsidR="00FB54BA">
        <w:t>CCPR/C/122/D/2217/2012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5D" w:rsidRPr="00BA3F30" w:rsidRDefault="008B1E5D" w:rsidP="00BA3F30">
    <w:pPr>
      <w:pStyle w:val="En-tte"/>
      <w:jc w:val="right"/>
    </w:pPr>
    <w:fldSimple w:instr=" TITLE  \* MERGEFORMAT ">
      <w:r w:rsidR="00FB54BA">
        <w:t>CCPR/C/122/D/2217/2012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4F48"/>
    <w:rsid w:val="000013B3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7692B"/>
    <w:rsid w:val="003A6E96"/>
    <w:rsid w:val="004200EC"/>
    <w:rsid w:val="00446FE5"/>
    <w:rsid w:val="00452396"/>
    <w:rsid w:val="00505C3F"/>
    <w:rsid w:val="0051304E"/>
    <w:rsid w:val="005505B7"/>
    <w:rsid w:val="00573BE5"/>
    <w:rsid w:val="00586ED3"/>
    <w:rsid w:val="00596AA9"/>
    <w:rsid w:val="005D460D"/>
    <w:rsid w:val="006F7144"/>
    <w:rsid w:val="006F71EA"/>
    <w:rsid w:val="0071601D"/>
    <w:rsid w:val="0072781B"/>
    <w:rsid w:val="00792AD9"/>
    <w:rsid w:val="00793E85"/>
    <w:rsid w:val="007A611C"/>
    <w:rsid w:val="007A62E6"/>
    <w:rsid w:val="007E2032"/>
    <w:rsid w:val="007F112C"/>
    <w:rsid w:val="0080684C"/>
    <w:rsid w:val="008560DB"/>
    <w:rsid w:val="00871C75"/>
    <w:rsid w:val="008776DC"/>
    <w:rsid w:val="008B1E5D"/>
    <w:rsid w:val="008C1EA7"/>
    <w:rsid w:val="009705C8"/>
    <w:rsid w:val="009A6608"/>
    <w:rsid w:val="009B1E6C"/>
    <w:rsid w:val="009E2C6A"/>
    <w:rsid w:val="00A749F5"/>
    <w:rsid w:val="00A9151D"/>
    <w:rsid w:val="00AA6A35"/>
    <w:rsid w:val="00AC3823"/>
    <w:rsid w:val="00AE323C"/>
    <w:rsid w:val="00B00181"/>
    <w:rsid w:val="00B40EF5"/>
    <w:rsid w:val="00B70752"/>
    <w:rsid w:val="00B765F7"/>
    <w:rsid w:val="00B908BE"/>
    <w:rsid w:val="00BA0CA9"/>
    <w:rsid w:val="00BA3F30"/>
    <w:rsid w:val="00BF0530"/>
    <w:rsid w:val="00C01ACF"/>
    <w:rsid w:val="00C02897"/>
    <w:rsid w:val="00CA7BC4"/>
    <w:rsid w:val="00D05667"/>
    <w:rsid w:val="00D3439C"/>
    <w:rsid w:val="00D34F48"/>
    <w:rsid w:val="00D744E5"/>
    <w:rsid w:val="00D83177"/>
    <w:rsid w:val="00DB1831"/>
    <w:rsid w:val="00DD3BFD"/>
    <w:rsid w:val="00DF6678"/>
    <w:rsid w:val="00E472C8"/>
    <w:rsid w:val="00E85C42"/>
    <w:rsid w:val="00EC30D5"/>
    <w:rsid w:val="00EE1BD4"/>
    <w:rsid w:val="00F12152"/>
    <w:rsid w:val="00F660DF"/>
    <w:rsid w:val="00F95C08"/>
    <w:rsid w:val="00FB54BA"/>
    <w:rsid w:val="00FD57A3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494AB0"/>
  <w15:docId w15:val="{D27CAE57-6789-4091-808F-1144B56B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7</Pages>
  <Words>3568</Words>
  <Characters>20911</Characters>
  <Application>Microsoft Office Word</Application>
  <DocSecurity>0</DocSecurity>
  <Lines>1901</Lines>
  <Paragraphs>815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CCPR/C/122/D/2217/2012</vt:lpstr>
    </vt:vector>
  </TitlesOfParts>
  <Company>DCM</Company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CCPR/C/122/D/2217/2012</dc:title>
  <dc:subject/>
  <dc:creator>Corinne ROBERT</dc:creator>
  <cp:keywords/>
  <cp:lastModifiedBy>Corinne Robert</cp:lastModifiedBy>
  <cp:revision>2</cp:revision>
  <cp:lastPrinted>2019-10-01T07:16:00Z</cp:lastPrinted>
  <dcterms:created xsi:type="dcterms:W3CDTF">2019-10-01T09:12:00Z</dcterms:created>
  <dcterms:modified xsi:type="dcterms:W3CDTF">2019-10-01T09:12:00Z</dcterms:modified>
</cp:coreProperties>
</file>