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70A9DD91" w14:textId="77777777" w:rsidTr="005B51C4">
        <w:trPr>
          <w:trHeight w:hRule="exact" w:val="851"/>
        </w:trPr>
        <w:tc>
          <w:tcPr>
            <w:tcW w:w="1274" w:type="dxa"/>
            <w:tcBorders>
              <w:bottom w:val="single" w:sz="4" w:space="0" w:color="auto"/>
            </w:tcBorders>
            <w:shd w:val="clear" w:color="auto" w:fill="auto"/>
          </w:tcPr>
          <w:p w14:paraId="1E75EC49" w14:textId="77777777" w:rsidR="006B3E27" w:rsidRPr="00466940" w:rsidRDefault="006B3E27" w:rsidP="005B51C4">
            <w:pPr>
              <w:jc w:val="center"/>
              <w:rPr>
                <w:rFonts w:hint="cs"/>
                <w:sz w:val="56"/>
                <w:szCs w:val="56"/>
              </w:rPr>
            </w:pPr>
          </w:p>
        </w:tc>
        <w:tc>
          <w:tcPr>
            <w:tcW w:w="4537" w:type="dxa"/>
            <w:tcBorders>
              <w:bottom w:val="single" w:sz="4" w:space="0" w:color="auto"/>
            </w:tcBorders>
            <w:shd w:val="clear" w:color="auto" w:fill="auto"/>
            <w:vAlign w:val="bottom"/>
          </w:tcPr>
          <w:p w14:paraId="2CF6743A"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05D5A865" w14:textId="77777777" w:rsidR="006B3E27" w:rsidRPr="005B51C4" w:rsidRDefault="00466940" w:rsidP="00581B6C">
            <w:pPr>
              <w:bidi w:val="0"/>
              <w:spacing w:after="20"/>
              <w:jc w:val="left"/>
              <w:rPr>
                <w:szCs w:val="20"/>
              </w:rPr>
            </w:pPr>
            <w:r w:rsidRPr="00466940">
              <w:rPr>
                <w:sz w:val="40"/>
                <w:szCs w:val="20"/>
              </w:rPr>
              <w:t>CCPR</w:t>
            </w:r>
            <w:r>
              <w:rPr>
                <w:szCs w:val="20"/>
              </w:rPr>
              <w:t>/C/</w:t>
            </w:r>
            <w:r w:rsidRPr="008D13D7">
              <w:rPr>
                <w:szCs w:val="20"/>
              </w:rPr>
              <w:t>128</w:t>
            </w:r>
            <w:r>
              <w:rPr>
                <w:szCs w:val="20"/>
              </w:rPr>
              <w:t>/D/</w:t>
            </w:r>
            <w:r w:rsidRPr="008D13D7">
              <w:rPr>
                <w:szCs w:val="20"/>
              </w:rPr>
              <w:t>2534</w:t>
            </w:r>
            <w:r>
              <w:rPr>
                <w:szCs w:val="20"/>
              </w:rPr>
              <w:t>/</w:t>
            </w:r>
            <w:r w:rsidRPr="008D13D7">
              <w:rPr>
                <w:szCs w:val="20"/>
              </w:rPr>
              <w:t>2015</w:t>
            </w:r>
          </w:p>
        </w:tc>
      </w:tr>
      <w:tr w:rsidR="006B3E27" w:rsidRPr="00ED7442" w14:paraId="343DCA5D" w14:textId="77777777" w:rsidTr="005B51C4">
        <w:trPr>
          <w:trHeight w:hRule="exact" w:val="2835"/>
        </w:trPr>
        <w:tc>
          <w:tcPr>
            <w:tcW w:w="1274" w:type="dxa"/>
            <w:tcBorders>
              <w:top w:val="single" w:sz="4" w:space="0" w:color="auto"/>
              <w:bottom w:val="single" w:sz="12" w:space="0" w:color="auto"/>
            </w:tcBorders>
            <w:shd w:val="clear" w:color="auto" w:fill="auto"/>
          </w:tcPr>
          <w:p w14:paraId="3FA5EA54" w14:textId="646DAFED" w:rsidR="006B3E27" w:rsidRPr="005B51C4" w:rsidRDefault="00D409F3" w:rsidP="005B51C4">
            <w:pPr>
              <w:jc w:val="center"/>
              <w:rPr>
                <w:sz w:val="56"/>
                <w:szCs w:val="56"/>
                <w:rtl/>
              </w:rPr>
            </w:pPr>
            <w:r>
              <w:rPr>
                <w:noProof/>
                <w:sz w:val="56"/>
                <w:szCs w:val="56"/>
              </w:rPr>
              <w:drawing>
                <wp:inline distT="0" distB="0" distL="0" distR="0" wp14:anchorId="43534DB7" wp14:editId="5E0AEE88">
                  <wp:extent cx="628650"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B1B6CA9"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624688F" w14:textId="77777777" w:rsidR="006B3E27" w:rsidRDefault="00581B6C" w:rsidP="00581B6C">
            <w:pPr>
              <w:bidi w:val="0"/>
              <w:spacing w:before="240"/>
              <w:jc w:val="left"/>
              <w:rPr>
                <w:szCs w:val="20"/>
              </w:rPr>
            </w:pPr>
            <w:r>
              <w:rPr>
                <w:szCs w:val="20"/>
              </w:rPr>
              <w:t>Distr.: General</w:t>
            </w:r>
          </w:p>
          <w:p w14:paraId="7DCC15A1" w14:textId="77777777" w:rsidR="00581B6C" w:rsidRDefault="00581B6C" w:rsidP="00581B6C">
            <w:pPr>
              <w:bidi w:val="0"/>
              <w:jc w:val="left"/>
              <w:rPr>
                <w:szCs w:val="20"/>
              </w:rPr>
            </w:pPr>
            <w:r w:rsidRPr="008D13D7">
              <w:rPr>
                <w:szCs w:val="20"/>
              </w:rPr>
              <w:t>15</w:t>
            </w:r>
            <w:r>
              <w:rPr>
                <w:szCs w:val="20"/>
              </w:rPr>
              <w:t xml:space="preserve"> June </w:t>
            </w:r>
            <w:r w:rsidRPr="008D13D7">
              <w:rPr>
                <w:szCs w:val="20"/>
              </w:rPr>
              <w:t>2020</w:t>
            </w:r>
          </w:p>
          <w:p w14:paraId="1966BFF8" w14:textId="77777777" w:rsidR="00581B6C" w:rsidRDefault="00581B6C" w:rsidP="00581B6C">
            <w:pPr>
              <w:bidi w:val="0"/>
              <w:jc w:val="left"/>
              <w:rPr>
                <w:szCs w:val="20"/>
              </w:rPr>
            </w:pPr>
            <w:r>
              <w:rPr>
                <w:szCs w:val="20"/>
              </w:rPr>
              <w:t>Arabic</w:t>
            </w:r>
          </w:p>
          <w:p w14:paraId="15DF57F3" w14:textId="77777777" w:rsidR="00581B6C" w:rsidRPr="005B51C4" w:rsidRDefault="00581B6C" w:rsidP="00581B6C">
            <w:pPr>
              <w:bidi w:val="0"/>
              <w:jc w:val="left"/>
              <w:rPr>
                <w:szCs w:val="20"/>
              </w:rPr>
            </w:pPr>
            <w:r>
              <w:rPr>
                <w:szCs w:val="20"/>
              </w:rPr>
              <w:t>Original: English</w:t>
            </w:r>
          </w:p>
        </w:tc>
      </w:tr>
    </w:tbl>
    <w:p w14:paraId="4C39D444" w14:textId="77777777" w:rsidR="00E45DA1" w:rsidRPr="00E45DA1" w:rsidRDefault="00E45DA1" w:rsidP="00E45DA1">
      <w:pPr>
        <w:spacing w:before="120" w:after="120" w:line="360" w:lineRule="exact"/>
        <w:rPr>
          <w:b/>
          <w:bCs/>
          <w:sz w:val="26"/>
          <w:szCs w:val="36"/>
          <w:rtl/>
          <w:lang w:val="fr-CH"/>
        </w:rPr>
      </w:pPr>
      <w:r w:rsidRPr="00E45DA1">
        <w:rPr>
          <w:b/>
          <w:bCs/>
          <w:sz w:val="26"/>
          <w:szCs w:val="36"/>
          <w:rtl/>
          <w:lang w:val="fr-CH"/>
        </w:rPr>
        <w:t>اللجنة المعنية بحقوق الإنسان</w:t>
      </w:r>
    </w:p>
    <w:p w14:paraId="61911C07" w14:textId="69813C12" w:rsidR="00E45DA1" w:rsidRPr="00E45DA1" w:rsidRDefault="00E45DA1" w:rsidP="00E45DA1">
      <w:pPr>
        <w:pStyle w:val="HChGA"/>
        <w:rPr>
          <w:rtl/>
        </w:rPr>
      </w:pPr>
      <w:r w:rsidRPr="00E45DA1">
        <w:rPr>
          <w:rtl/>
          <w:lang w:val="fr-CH"/>
        </w:rPr>
        <w:tab/>
      </w:r>
      <w:r w:rsidRPr="00E45DA1">
        <w:rPr>
          <w:rtl/>
          <w:lang w:val="fr-CH"/>
        </w:rPr>
        <w:tab/>
        <w:t>قرار اتخذته اللجنة بموجب البروتوكول الاختياري، بشأن البلاغ رقم</w:t>
      </w:r>
      <w:r w:rsidR="003F01F5">
        <w:rPr>
          <w:rFonts w:hint="cs"/>
          <w:rtl/>
          <w:lang w:val="fr-CH"/>
        </w:rPr>
        <w:t> </w:t>
      </w:r>
      <w:r w:rsidR="003F01F5">
        <w:rPr>
          <w:szCs w:val="28"/>
          <w:lang w:val="fr-CH"/>
        </w:rPr>
        <w:t>2534</w:t>
      </w:r>
      <w:r w:rsidRPr="00E45DA1">
        <w:rPr>
          <w:rtl/>
          <w:lang w:val="fr-CH"/>
        </w:rPr>
        <w:t>/</w:t>
      </w:r>
      <w:r w:rsidR="003F01F5">
        <w:rPr>
          <w:rFonts w:hint="cs"/>
          <w:szCs w:val="28"/>
          <w:rtl/>
          <w:lang w:val="fr-CH"/>
        </w:rPr>
        <w:t>2015</w:t>
      </w:r>
      <w:r w:rsidRPr="00E45DA1">
        <w:rPr>
          <w:rStyle w:val="FootnoteReference"/>
          <w:sz w:val="20"/>
          <w:vertAlign w:val="baseline"/>
          <w:rtl/>
          <w:lang w:val="fr-CH"/>
        </w:rPr>
        <w:footnoteReference w:customMarkFollows="1" w:id="1"/>
        <w:t>*</w:t>
      </w:r>
      <w:r>
        <w:rPr>
          <w:rFonts w:hint="cs"/>
          <w:rtl/>
          <w:lang w:val="fr-CH"/>
        </w:rPr>
        <w:t xml:space="preserve"> </w:t>
      </w:r>
      <w:r w:rsidRPr="00E45DA1">
        <w:rPr>
          <w:rStyle w:val="FootnoteReference"/>
          <w:sz w:val="20"/>
          <w:vertAlign w:val="baseline"/>
          <w:rtl/>
          <w:lang w:val="fr-CH"/>
        </w:rPr>
        <w:footnoteReference w:customMarkFollows="1" w:id="2"/>
        <w:t>**</w:t>
      </w:r>
    </w:p>
    <w:p w14:paraId="16ED24E4" w14:textId="44E6D181" w:rsidR="00E45DA1" w:rsidRPr="00E45DA1" w:rsidRDefault="00E45DA1" w:rsidP="00E45DA1">
      <w:pPr>
        <w:pStyle w:val="SingleTxtGA"/>
        <w:ind w:left="4649" w:hanging="2721"/>
        <w:rPr>
          <w:rtl/>
          <w:lang w:val="fr-CH"/>
        </w:rPr>
      </w:pPr>
      <w:r w:rsidRPr="00E45DA1">
        <w:rPr>
          <w:i/>
          <w:iCs/>
          <w:rtl/>
          <w:lang w:val="fr-CH"/>
        </w:rPr>
        <w:t>المقدم من:</w:t>
      </w:r>
      <w:r>
        <w:rPr>
          <w:i/>
          <w:iCs/>
          <w:rtl/>
          <w:lang w:val="fr-CH"/>
        </w:rPr>
        <w:tab/>
      </w:r>
      <w:r>
        <w:rPr>
          <w:i/>
          <w:iCs/>
          <w:rtl/>
          <w:lang w:val="fr-CH"/>
        </w:rPr>
        <w:tab/>
      </w:r>
      <w:r w:rsidRPr="00E45DA1">
        <w:rPr>
          <w:rtl/>
          <w:lang w:val="fr-CH"/>
        </w:rPr>
        <w:tab/>
        <w:t>م.</w:t>
      </w:r>
      <w:r w:rsidR="003F01F5">
        <w:rPr>
          <w:rFonts w:hint="cs"/>
          <w:rtl/>
          <w:lang w:val="fr-CH"/>
        </w:rPr>
        <w:t xml:space="preserve"> </w:t>
      </w:r>
      <w:r w:rsidRPr="00E45DA1">
        <w:rPr>
          <w:rtl/>
          <w:lang w:val="fr-CH"/>
        </w:rPr>
        <w:t>أ</w:t>
      </w:r>
      <w:r w:rsidR="003F01F5">
        <w:rPr>
          <w:rFonts w:hint="cs"/>
          <w:rtl/>
          <w:lang w:val="fr-CH"/>
        </w:rPr>
        <w:t>.</w:t>
      </w:r>
      <w:r w:rsidRPr="00E45DA1">
        <w:rPr>
          <w:rtl/>
          <w:lang w:val="fr-CH"/>
        </w:rPr>
        <w:t xml:space="preserve"> (لا يمثله محام)</w:t>
      </w:r>
    </w:p>
    <w:p w14:paraId="22AD0B55" w14:textId="49D9973A" w:rsidR="00E45DA1" w:rsidRPr="00E45DA1" w:rsidRDefault="00E45DA1" w:rsidP="00E45DA1">
      <w:pPr>
        <w:pStyle w:val="SingleTxtGA"/>
        <w:ind w:left="4649" w:hanging="2721"/>
        <w:rPr>
          <w:rtl/>
          <w:lang w:val="fr-CH"/>
        </w:rPr>
      </w:pPr>
      <w:r w:rsidRPr="00E45DA1">
        <w:rPr>
          <w:i/>
          <w:iCs/>
          <w:rtl/>
          <w:lang w:val="fr-CH"/>
        </w:rPr>
        <w:t>الشخص المدعى أنه ضحية:</w:t>
      </w:r>
      <w:r w:rsidRPr="00E45DA1">
        <w:rPr>
          <w:rtl/>
          <w:lang w:val="fr-CH"/>
        </w:rPr>
        <w:tab/>
      </w:r>
      <w:r>
        <w:rPr>
          <w:rtl/>
          <w:lang w:val="fr-CH"/>
        </w:rPr>
        <w:tab/>
      </w:r>
      <w:r w:rsidRPr="00E45DA1">
        <w:rPr>
          <w:rtl/>
          <w:lang w:val="fr-CH"/>
        </w:rPr>
        <w:t>صاحب البلاغ</w:t>
      </w:r>
    </w:p>
    <w:p w14:paraId="639880D0" w14:textId="7104A875" w:rsidR="00E45DA1" w:rsidRPr="00E45DA1" w:rsidRDefault="00E45DA1" w:rsidP="00E45DA1">
      <w:pPr>
        <w:pStyle w:val="SingleTxtGA"/>
        <w:ind w:left="4649" w:hanging="2721"/>
        <w:rPr>
          <w:rtl/>
          <w:lang w:val="fr-CH"/>
        </w:rPr>
      </w:pPr>
      <w:r w:rsidRPr="00E45DA1">
        <w:rPr>
          <w:i/>
          <w:iCs/>
          <w:rtl/>
          <w:lang w:val="fr-CH"/>
        </w:rPr>
        <w:t>الدولة الطرف:</w:t>
      </w:r>
      <w:r w:rsidRPr="00E45DA1">
        <w:rPr>
          <w:rtl/>
          <w:lang w:val="fr-CH"/>
        </w:rPr>
        <w:tab/>
      </w:r>
      <w:r>
        <w:rPr>
          <w:rtl/>
          <w:lang w:val="fr-CH"/>
        </w:rPr>
        <w:tab/>
      </w:r>
      <w:r>
        <w:rPr>
          <w:rtl/>
          <w:lang w:val="fr-CH"/>
        </w:rPr>
        <w:tab/>
      </w:r>
      <w:r w:rsidRPr="00E45DA1">
        <w:rPr>
          <w:rtl/>
          <w:lang w:val="fr-CH"/>
        </w:rPr>
        <w:t>الاتحاد الروسي</w:t>
      </w:r>
    </w:p>
    <w:p w14:paraId="6C928998" w14:textId="5ABF78A7" w:rsidR="00E45DA1" w:rsidRPr="00E45DA1" w:rsidRDefault="00E45DA1" w:rsidP="00E45DA1">
      <w:pPr>
        <w:pStyle w:val="SingleTxtGA"/>
        <w:ind w:left="4649" w:hanging="2721"/>
        <w:rPr>
          <w:rtl/>
          <w:lang w:val="fr-CH"/>
        </w:rPr>
      </w:pPr>
      <w:r w:rsidRPr="00E45DA1">
        <w:rPr>
          <w:i/>
          <w:iCs/>
          <w:rtl/>
          <w:lang w:val="fr-CH"/>
        </w:rPr>
        <w:t>تاريخ تقديم البلاغ:</w:t>
      </w:r>
      <w:r w:rsidRPr="00E45DA1">
        <w:rPr>
          <w:rtl/>
          <w:lang w:val="fr-CH"/>
        </w:rPr>
        <w:tab/>
      </w:r>
      <w:r>
        <w:rPr>
          <w:rtl/>
          <w:lang w:val="fr-CH"/>
        </w:rPr>
        <w:tab/>
      </w:r>
      <w:r w:rsidRPr="008D13D7">
        <w:rPr>
          <w:szCs w:val="20"/>
          <w:rtl/>
          <w:lang w:val="fr-CH"/>
        </w:rPr>
        <w:t>19</w:t>
      </w:r>
      <w:r w:rsidRPr="00E45DA1">
        <w:rPr>
          <w:rtl/>
          <w:lang w:val="fr-CH"/>
        </w:rPr>
        <w:t xml:space="preserve"> أيار/مايو </w:t>
      </w:r>
      <w:r w:rsidRPr="008D13D7">
        <w:rPr>
          <w:szCs w:val="20"/>
          <w:rtl/>
          <w:lang w:val="fr-CH"/>
        </w:rPr>
        <w:t>2014</w:t>
      </w:r>
      <w:r w:rsidRPr="00E45DA1">
        <w:rPr>
          <w:rtl/>
          <w:lang w:val="fr-CH"/>
        </w:rPr>
        <w:t xml:space="preserve"> (تاريخ الرسالة الأولى)</w:t>
      </w:r>
    </w:p>
    <w:p w14:paraId="4CB58AD9" w14:textId="1DEA5E3A" w:rsidR="00E45DA1" w:rsidRPr="00E45DA1" w:rsidRDefault="00E45DA1" w:rsidP="00E45DA1">
      <w:pPr>
        <w:pStyle w:val="SingleTxtGA"/>
        <w:ind w:left="4649" w:hanging="2721"/>
        <w:rPr>
          <w:rtl/>
          <w:lang w:val="fr-CH"/>
        </w:rPr>
      </w:pPr>
      <w:r w:rsidRPr="00E45DA1">
        <w:rPr>
          <w:i/>
          <w:iCs/>
          <w:rtl/>
          <w:lang w:val="fr-CH"/>
        </w:rPr>
        <w:t>الوثائق المرجعية:</w:t>
      </w:r>
      <w:r>
        <w:rPr>
          <w:i/>
          <w:iCs/>
          <w:rtl/>
          <w:lang w:val="fr-CH"/>
        </w:rPr>
        <w:tab/>
      </w:r>
      <w:r>
        <w:rPr>
          <w:i/>
          <w:iCs/>
          <w:rtl/>
          <w:lang w:val="fr-CH"/>
        </w:rPr>
        <w:tab/>
      </w:r>
      <w:r w:rsidRPr="00E45DA1">
        <w:rPr>
          <w:rtl/>
          <w:lang w:val="fr-CH"/>
        </w:rPr>
        <w:tab/>
        <w:t xml:space="preserve">القرار المتخذ بموجب المادة </w:t>
      </w:r>
      <w:r w:rsidRPr="008D13D7">
        <w:rPr>
          <w:szCs w:val="20"/>
          <w:rtl/>
          <w:lang w:val="fr-CH"/>
        </w:rPr>
        <w:t>92</w:t>
      </w:r>
      <w:r w:rsidRPr="00E45DA1">
        <w:rPr>
          <w:rtl/>
          <w:lang w:val="fr-CH"/>
        </w:rPr>
        <w:t xml:space="preserve"> من النظام الداخلي للجنة، والمحال إلى الدولة الطرف في </w:t>
      </w:r>
      <w:r w:rsidRPr="008D13D7">
        <w:rPr>
          <w:szCs w:val="20"/>
          <w:rtl/>
          <w:lang w:val="fr-CH"/>
        </w:rPr>
        <w:t>19</w:t>
      </w:r>
      <w:r w:rsidRPr="00E45DA1">
        <w:rPr>
          <w:rtl/>
          <w:lang w:val="fr-CH"/>
        </w:rPr>
        <w:t xml:space="preserve"> كانون الثاني/</w:t>
      </w:r>
      <w:r w:rsidR="003F01F5">
        <w:rPr>
          <w:rFonts w:hint="cs"/>
          <w:rtl/>
          <w:lang w:val="fr-CH"/>
        </w:rPr>
        <w:t xml:space="preserve"> </w:t>
      </w:r>
      <w:r w:rsidRPr="00E45DA1">
        <w:rPr>
          <w:rtl/>
          <w:lang w:val="fr-CH"/>
        </w:rPr>
        <w:t xml:space="preserve">يناير </w:t>
      </w:r>
      <w:r w:rsidRPr="008D13D7">
        <w:rPr>
          <w:szCs w:val="20"/>
          <w:rtl/>
          <w:lang w:val="fr-CH"/>
        </w:rPr>
        <w:t>2015</w:t>
      </w:r>
      <w:r w:rsidRPr="00E45DA1">
        <w:rPr>
          <w:rtl/>
          <w:lang w:val="fr-CH"/>
        </w:rPr>
        <w:t xml:space="preserve"> (لم يصدر في شكل وثيقة)</w:t>
      </w:r>
    </w:p>
    <w:p w14:paraId="6B9C7FC5" w14:textId="259241FD" w:rsidR="00E45DA1" w:rsidRPr="00E45DA1" w:rsidRDefault="00E45DA1" w:rsidP="00E45DA1">
      <w:pPr>
        <w:pStyle w:val="SingleTxtGA"/>
        <w:ind w:left="4649" w:hanging="2721"/>
        <w:rPr>
          <w:rtl/>
          <w:lang w:val="fr-CH"/>
        </w:rPr>
      </w:pPr>
      <w:r w:rsidRPr="00E45DA1">
        <w:rPr>
          <w:i/>
          <w:iCs/>
          <w:rtl/>
          <w:lang w:val="fr-CH"/>
        </w:rPr>
        <w:t>تاريخ اعتماد القرار:</w:t>
      </w:r>
      <w:r>
        <w:rPr>
          <w:i/>
          <w:iCs/>
          <w:rtl/>
          <w:lang w:val="fr-CH"/>
        </w:rPr>
        <w:tab/>
      </w:r>
      <w:r w:rsidRPr="00E45DA1">
        <w:rPr>
          <w:rtl/>
          <w:lang w:val="fr-CH"/>
        </w:rPr>
        <w:tab/>
      </w:r>
      <w:r w:rsidRPr="008D13D7">
        <w:rPr>
          <w:szCs w:val="20"/>
          <w:rtl/>
          <w:lang w:val="fr-CH"/>
        </w:rPr>
        <w:t>13</w:t>
      </w:r>
      <w:r w:rsidRPr="00E45DA1">
        <w:rPr>
          <w:rtl/>
          <w:lang w:val="fr-CH"/>
        </w:rPr>
        <w:t xml:space="preserve"> آذار/مارس </w:t>
      </w:r>
      <w:r w:rsidRPr="008D13D7">
        <w:rPr>
          <w:szCs w:val="20"/>
          <w:rtl/>
          <w:lang w:val="fr-CH"/>
        </w:rPr>
        <w:t>2020</w:t>
      </w:r>
    </w:p>
    <w:p w14:paraId="6DDE99B5" w14:textId="58931552" w:rsidR="00E45DA1" w:rsidRPr="00E45DA1" w:rsidRDefault="00E45DA1" w:rsidP="00E45DA1">
      <w:pPr>
        <w:pStyle w:val="SingleTxtGA"/>
        <w:ind w:left="4649" w:hanging="2721"/>
        <w:rPr>
          <w:rtl/>
          <w:lang w:val="fr-CH"/>
        </w:rPr>
      </w:pPr>
      <w:r w:rsidRPr="00E45DA1">
        <w:rPr>
          <w:i/>
          <w:iCs/>
          <w:rtl/>
          <w:lang w:val="fr-CH"/>
        </w:rPr>
        <w:t>الموضوع:</w:t>
      </w:r>
      <w:r>
        <w:rPr>
          <w:i/>
          <w:iCs/>
          <w:rtl/>
          <w:lang w:val="fr-CH"/>
        </w:rPr>
        <w:tab/>
      </w:r>
      <w:r>
        <w:rPr>
          <w:i/>
          <w:iCs/>
          <w:rtl/>
          <w:lang w:val="fr-CH"/>
        </w:rPr>
        <w:tab/>
      </w:r>
      <w:r>
        <w:rPr>
          <w:i/>
          <w:iCs/>
          <w:rtl/>
          <w:lang w:val="fr-CH"/>
        </w:rPr>
        <w:tab/>
      </w:r>
      <w:r w:rsidRPr="00E45DA1">
        <w:rPr>
          <w:rtl/>
          <w:lang w:val="fr-CH"/>
        </w:rPr>
        <w:tab/>
        <w:t>تخفيف عقوبة الإعدام إلى السجن المؤبد</w:t>
      </w:r>
    </w:p>
    <w:p w14:paraId="0FBB9963" w14:textId="7D7A8EE1" w:rsidR="00E45DA1" w:rsidRPr="00E45DA1" w:rsidRDefault="00E45DA1" w:rsidP="00E45DA1">
      <w:pPr>
        <w:pStyle w:val="SingleTxtGA"/>
        <w:ind w:left="4649" w:hanging="2721"/>
        <w:rPr>
          <w:rtl/>
          <w:lang w:val="fr-CH"/>
        </w:rPr>
      </w:pPr>
      <w:r w:rsidRPr="00E45DA1">
        <w:rPr>
          <w:i/>
          <w:iCs/>
          <w:rtl/>
          <w:lang w:val="fr-CH"/>
        </w:rPr>
        <w:t>المسائل الإجرائية:</w:t>
      </w:r>
      <w:r w:rsidRPr="00E45DA1">
        <w:rPr>
          <w:rtl/>
          <w:lang w:val="fr-CH"/>
        </w:rPr>
        <w:tab/>
      </w:r>
      <w:r>
        <w:rPr>
          <w:rtl/>
          <w:lang w:val="fr-CH"/>
        </w:rPr>
        <w:tab/>
      </w:r>
      <w:r>
        <w:rPr>
          <w:rtl/>
          <w:lang w:val="fr-CH"/>
        </w:rPr>
        <w:tab/>
      </w:r>
      <w:r w:rsidRPr="00E45DA1">
        <w:rPr>
          <w:rtl/>
          <w:lang w:val="fr-CH"/>
        </w:rPr>
        <w:t>إساءة استخدام الحق في تقديم البلاغات</w:t>
      </w:r>
    </w:p>
    <w:p w14:paraId="2AF81C58" w14:textId="68D4AF1A" w:rsidR="00E45DA1" w:rsidRPr="00E45DA1" w:rsidRDefault="00E45DA1" w:rsidP="00E45DA1">
      <w:pPr>
        <w:pStyle w:val="SingleTxtGA"/>
        <w:ind w:left="4649" w:hanging="2721"/>
        <w:rPr>
          <w:rtl/>
          <w:lang w:val="fr-CH"/>
        </w:rPr>
      </w:pPr>
      <w:r w:rsidRPr="00E45DA1">
        <w:rPr>
          <w:i/>
          <w:iCs/>
          <w:rtl/>
          <w:lang w:val="fr-CH"/>
        </w:rPr>
        <w:t>المسائل الموضوعية:</w:t>
      </w:r>
      <w:r w:rsidRPr="00E45DA1">
        <w:rPr>
          <w:rtl/>
          <w:lang w:val="fr-CH"/>
        </w:rPr>
        <w:tab/>
      </w:r>
      <w:r>
        <w:rPr>
          <w:rtl/>
          <w:lang w:val="fr-CH"/>
        </w:rPr>
        <w:tab/>
      </w:r>
      <w:r>
        <w:rPr>
          <w:rtl/>
          <w:lang w:val="fr-CH"/>
        </w:rPr>
        <w:tab/>
      </w:r>
      <w:r w:rsidRPr="00E45DA1">
        <w:rPr>
          <w:rtl/>
          <w:lang w:val="fr-CH"/>
        </w:rPr>
        <w:t>المحاكمة العادلة</w:t>
      </w:r>
      <w:r>
        <w:rPr>
          <w:rFonts w:hint="cs"/>
          <w:rtl/>
          <w:lang w:val="fr-CH"/>
        </w:rPr>
        <w:t xml:space="preserve"> </w:t>
      </w:r>
      <w:r w:rsidRPr="00E45DA1">
        <w:rPr>
          <w:rtl/>
          <w:lang w:val="fr-CH"/>
        </w:rPr>
        <w:t>-</w:t>
      </w:r>
      <w:r>
        <w:rPr>
          <w:rFonts w:hint="cs"/>
          <w:rtl/>
          <w:lang w:val="fr-CH"/>
        </w:rPr>
        <w:t xml:space="preserve"> </w:t>
      </w:r>
      <w:r w:rsidRPr="00E45DA1">
        <w:rPr>
          <w:rtl/>
          <w:lang w:val="fr-CH"/>
        </w:rPr>
        <w:t>تكافؤ وسائل الدفاع؛ المحاكمة العادلة - المساعدة القانونية؛ الحق في الطعن في قرار الإدانة الجنائية وفي العقوبة الصادرة؛ تطبيق القانون الجنائي الذي ينص على عقوبة أخف، بأثر رجعي؛ حظر التمييز</w:t>
      </w:r>
    </w:p>
    <w:p w14:paraId="0B642A59" w14:textId="0826A6C1" w:rsidR="00E45DA1" w:rsidRPr="00E45DA1" w:rsidRDefault="00E45DA1" w:rsidP="00E45DA1">
      <w:pPr>
        <w:pStyle w:val="SingleTxtGA"/>
        <w:ind w:left="4649" w:hanging="2721"/>
        <w:rPr>
          <w:rtl/>
          <w:lang w:val="fr-CH"/>
        </w:rPr>
      </w:pPr>
      <w:r w:rsidRPr="00E45DA1">
        <w:rPr>
          <w:i/>
          <w:iCs/>
          <w:rtl/>
          <w:lang w:val="fr-CH"/>
        </w:rPr>
        <w:t>مواد العهد:</w:t>
      </w:r>
      <w:r>
        <w:rPr>
          <w:i/>
          <w:iCs/>
          <w:rtl/>
          <w:lang w:val="fr-CH"/>
        </w:rPr>
        <w:tab/>
      </w:r>
      <w:r>
        <w:rPr>
          <w:i/>
          <w:iCs/>
          <w:rtl/>
          <w:lang w:val="fr-CH"/>
        </w:rPr>
        <w:tab/>
      </w:r>
      <w:r w:rsidRPr="00E45DA1">
        <w:rPr>
          <w:rtl/>
          <w:lang w:val="fr-CH"/>
        </w:rPr>
        <w:tab/>
        <w:t xml:space="preserve">المواد </w:t>
      </w:r>
      <w:r w:rsidRPr="008D13D7">
        <w:rPr>
          <w:szCs w:val="20"/>
          <w:rtl/>
          <w:lang w:val="fr-CH"/>
        </w:rPr>
        <w:t>14</w:t>
      </w:r>
      <w:r w:rsidRPr="00E45DA1">
        <w:rPr>
          <w:rtl/>
          <w:lang w:val="fr-CH"/>
        </w:rPr>
        <w:t>(</w:t>
      </w:r>
      <w:r w:rsidRPr="008D13D7">
        <w:rPr>
          <w:szCs w:val="20"/>
          <w:rtl/>
          <w:lang w:val="fr-CH"/>
        </w:rPr>
        <w:t>1</w:t>
      </w:r>
      <w:r w:rsidRPr="00E45DA1">
        <w:rPr>
          <w:rtl/>
          <w:lang w:val="fr-CH"/>
        </w:rPr>
        <w:t>) و(</w:t>
      </w:r>
      <w:r w:rsidRPr="008D13D7">
        <w:rPr>
          <w:szCs w:val="20"/>
          <w:rtl/>
          <w:lang w:val="fr-CH"/>
        </w:rPr>
        <w:t>3</w:t>
      </w:r>
      <w:r w:rsidRPr="00E45DA1">
        <w:rPr>
          <w:rtl/>
          <w:lang w:val="fr-CH"/>
        </w:rPr>
        <w:t>)(ب) و(</w:t>
      </w:r>
      <w:r w:rsidRPr="008D13D7">
        <w:rPr>
          <w:szCs w:val="20"/>
          <w:rtl/>
          <w:lang w:val="fr-CH"/>
        </w:rPr>
        <w:t>5</w:t>
      </w:r>
      <w:r w:rsidRPr="00E45DA1">
        <w:rPr>
          <w:rtl/>
          <w:lang w:val="fr-CH"/>
        </w:rPr>
        <w:t>)، و</w:t>
      </w:r>
      <w:r w:rsidRPr="008D13D7">
        <w:rPr>
          <w:szCs w:val="20"/>
          <w:rtl/>
          <w:lang w:val="fr-CH"/>
        </w:rPr>
        <w:t>15</w:t>
      </w:r>
      <w:r w:rsidRPr="00E45DA1">
        <w:rPr>
          <w:rtl/>
          <w:lang w:val="fr-CH"/>
        </w:rPr>
        <w:t>(</w:t>
      </w:r>
      <w:r w:rsidRPr="008D13D7">
        <w:rPr>
          <w:szCs w:val="20"/>
          <w:rtl/>
          <w:lang w:val="fr-CH"/>
        </w:rPr>
        <w:t>1</w:t>
      </w:r>
      <w:r w:rsidRPr="00E45DA1">
        <w:rPr>
          <w:rtl/>
          <w:lang w:val="fr-CH"/>
        </w:rPr>
        <w:t>) و</w:t>
      </w:r>
      <w:r w:rsidRPr="008D13D7">
        <w:rPr>
          <w:szCs w:val="20"/>
          <w:rtl/>
          <w:lang w:val="fr-CH"/>
        </w:rPr>
        <w:t>26</w:t>
      </w:r>
    </w:p>
    <w:p w14:paraId="1CB94BA9" w14:textId="35E41C32" w:rsidR="00E45DA1" w:rsidRPr="00E45DA1" w:rsidRDefault="00E45DA1" w:rsidP="00E45DA1">
      <w:pPr>
        <w:pStyle w:val="SingleTxtGA"/>
        <w:ind w:left="4649" w:hanging="2721"/>
        <w:rPr>
          <w:rtl/>
          <w:lang w:val="fr-CH"/>
        </w:rPr>
      </w:pPr>
      <w:r w:rsidRPr="00E45DA1">
        <w:rPr>
          <w:i/>
          <w:iCs/>
          <w:rtl/>
          <w:lang w:val="fr-CH"/>
        </w:rPr>
        <w:t>مواد البروتوكول الاختياري:</w:t>
      </w:r>
      <w:r>
        <w:rPr>
          <w:i/>
          <w:iCs/>
          <w:rtl/>
          <w:lang w:val="fr-CH"/>
        </w:rPr>
        <w:tab/>
      </w:r>
      <w:r w:rsidRPr="00E45DA1">
        <w:rPr>
          <w:rtl/>
          <w:lang w:val="fr-CH"/>
        </w:rPr>
        <w:tab/>
      </w:r>
      <w:r w:rsidRPr="008D13D7">
        <w:rPr>
          <w:szCs w:val="20"/>
          <w:rtl/>
          <w:lang w:val="fr-CH"/>
        </w:rPr>
        <w:t>3</w:t>
      </w:r>
    </w:p>
    <w:p w14:paraId="0B985622" w14:textId="5E0535A8" w:rsidR="00E45DA1" w:rsidRPr="00E45DA1" w:rsidRDefault="00E45DA1" w:rsidP="00E45DA1">
      <w:pPr>
        <w:pStyle w:val="SingleTxtGA"/>
        <w:rPr>
          <w:rtl/>
          <w:lang w:val="fr-CH"/>
        </w:rPr>
      </w:pPr>
      <w:r w:rsidRPr="008D13D7">
        <w:rPr>
          <w:szCs w:val="20"/>
          <w:rtl/>
          <w:lang w:val="fr-CH"/>
        </w:rPr>
        <w:lastRenderedPageBreak/>
        <w:t>1</w:t>
      </w:r>
      <w:r w:rsidRPr="00E45DA1">
        <w:rPr>
          <w:rtl/>
          <w:lang w:val="fr-CH"/>
        </w:rPr>
        <w:t>-</w:t>
      </w:r>
      <w:r w:rsidRPr="00E45DA1">
        <w:rPr>
          <w:rtl/>
          <w:lang w:val="fr-CH"/>
        </w:rPr>
        <w:tab/>
        <w:t>صاحب البلاغ هو م.</w:t>
      </w:r>
      <w:r w:rsidR="003F01F5">
        <w:rPr>
          <w:rFonts w:hint="cs"/>
          <w:rtl/>
          <w:lang w:val="fr-CH"/>
        </w:rPr>
        <w:t xml:space="preserve"> </w:t>
      </w:r>
      <w:r w:rsidRPr="00E45DA1">
        <w:rPr>
          <w:rtl/>
          <w:lang w:val="fr-CH"/>
        </w:rPr>
        <w:t>إ</w:t>
      </w:r>
      <w:r w:rsidR="003F01F5">
        <w:rPr>
          <w:rFonts w:hint="cs"/>
          <w:rtl/>
          <w:lang w:val="fr-CH"/>
        </w:rPr>
        <w:t>.</w:t>
      </w:r>
      <w:r w:rsidRPr="00E45DA1">
        <w:rPr>
          <w:rtl/>
          <w:lang w:val="fr-CH"/>
        </w:rPr>
        <w:t xml:space="preserve">، وهو مواطن من الاتحاد الروسي وُلِد في عام </w:t>
      </w:r>
      <w:r w:rsidRPr="008D13D7">
        <w:rPr>
          <w:szCs w:val="20"/>
          <w:rtl/>
          <w:lang w:val="fr-CH"/>
        </w:rPr>
        <w:t>1962</w:t>
      </w:r>
      <w:r w:rsidRPr="00E45DA1">
        <w:rPr>
          <w:rtl/>
          <w:lang w:val="fr-CH"/>
        </w:rPr>
        <w:t xml:space="preserve">. </w:t>
      </w:r>
      <w:r w:rsidRPr="00E45DA1">
        <w:rPr>
          <w:rFonts w:ascii="Arial" w:hAnsi="Arial" w:cs="Arial" w:hint="cs"/>
          <w:rtl/>
          <w:lang w:val="fr-CH"/>
        </w:rPr>
        <w:t>‬</w:t>
      </w:r>
      <w:r w:rsidRPr="00E45DA1">
        <w:rPr>
          <w:rtl/>
          <w:lang w:val="fr-CH"/>
        </w:rPr>
        <w:t xml:space="preserve"> ويدَّعي أن الدولة الطرف انتهكت حقوقه المكفولة بموجب المواد </w:t>
      </w:r>
      <w:r w:rsidRPr="008D13D7">
        <w:rPr>
          <w:szCs w:val="20"/>
          <w:rtl/>
          <w:lang w:val="fr-CH"/>
        </w:rPr>
        <w:t>14</w:t>
      </w:r>
      <w:r w:rsidRPr="00E45DA1">
        <w:rPr>
          <w:rtl/>
          <w:lang w:val="fr-CH"/>
        </w:rPr>
        <w:t>(</w:t>
      </w:r>
      <w:r w:rsidRPr="008D13D7">
        <w:rPr>
          <w:szCs w:val="20"/>
          <w:rtl/>
          <w:lang w:val="fr-CH"/>
        </w:rPr>
        <w:t>1</w:t>
      </w:r>
      <w:r w:rsidRPr="00E45DA1">
        <w:rPr>
          <w:rtl/>
          <w:lang w:val="fr-CH"/>
        </w:rPr>
        <w:t>) و(</w:t>
      </w:r>
      <w:r w:rsidRPr="008D13D7">
        <w:rPr>
          <w:szCs w:val="20"/>
          <w:rtl/>
          <w:lang w:val="fr-CH"/>
        </w:rPr>
        <w:t>3</w:t>
      </w:r>
      <w:r w:rsidRPr="00E45DA1">
        <w:rPr>
          <w:rtl/>
          <w:lang w:val="fr-CH"/>
        </w:rPr>
        <w:t>)(ب) و(</w:t>
      </w:r>
      <w:r w:rsidRPr="008D13D7">
        <w:rPr>
          <w:szCs w:val="20"/>
          <w:rtl/>
          <w:lang w:val="fr-CH"/>
        </w:rPr>
        <w:t>5</w:t>
      </w:r>
      <w:r w:rsidRPr="00E45DA1">
        <w:rPr>
          <w:rtl/>
          <w:lang w:val="fr-CH"/>
        </w:rPr>
        <w:t>)، و</w:t>
      </w:r>
      <w:r w:rsidRPr="008D13D7">
        <w:rPr>
          <w:szCs w:val="20"/>
          <w:rtl/>
          <w:lang w:val="fr-CH"/>
        </w:rPr>
        <w:t>15</w:t>
      </w:r>
      <w:r w:rsidRPr="00E45DA1">
        <w:rPr>
          <w:rtl/>
          <w:lang w:val="fr-CH"/>
        </w:rPr>
        <w:t>(</w:t>
      </w:r>
      <w:r w:rsidRPr="008D13D7">
        <w:rPr>
          <w:szCs w:val="20"/>
          <w:rtl/>
          <w:lang w:val="fr-CH"/>
        </w:rPr>
        <w:t>1</w:t>
      </w:r>
      <w:r w:rsidRPr="00E45DA1">
        <w:rPr>
          <w:rtl/>
          <w:lang w:val="fr-CH"/>
        </w:rPr>
        <w:t>) و</w:t>
      </w:r>
      <w:r w:rsidRPr="008D13D7">
        <w:rPr>
          <w:szCs w:val="20"/>
          <w:rtl/>
          <w:lang w:val="fr-CH"/>
        </w:rPr>
        <w:t>26</w:t>
      </w:r>
      <w:r w:rsidRPr="00E45DA1">
        <w:rPr>
          <w:rtl/>
          <w:lang w:val="fr-CH"/>
        </w:rPr>
        <w:t xml:space="preserve"> من العهد. وقد دخل البروتوكول الاختياري حيز النفاذ بالنسبة إلى الدولة الطرف في </w:t>
      </w:r>
      <w:r w:rsidRPr="008D13D7">
        <w:rPr>
          <w:szCs w:val="20"/>
          <w:rtl/>
          <w:lang w:val="fr-CH"/>
        </w:rPr>
        <w:t>1</w:t>
      </w:r>
      <w:r w:rsidRPr="00E45DA1">
        <w:rPr>
          <w:rtl/>
          <w:lang w:val="fr-CH"/>
        </w:rPr>
        <w:t xml:space="preserve"> كانون الثاني/</w:t>
      </w:r>
      <w:r w:rsidR="003F01F5">
        <w:rPr>
          <w:rFonts w:hint="cs"/>
          <w:rtl/>
          <w:lang w:val="fr-CH"/>
        </w:rPr>
        <w:t xml:space="preserve"> </w:t>
      </w:r>
      <w:r w:rsidRPr="00E45DA1">
        <w:rPr>
          <w:rtl/>
          <w:lang w:val="fr-CH"/>
        </w:rPr>
        <w:t>يناير</w:t>
      </w:r>
      <w:r w:rsidR="003F01F5">
        <w:rPr>
          <w:rFonts w:hint="cs"/>
          <w:rtl/>
          <w:lang w:val="fr-CH"/>
        </w:rPr>
        <w:t> </w:t>
      </w:r>
      <w:r w:rsidRPr="008D13D7">
        <w:rPr>
          <w:szCs w:val="20"/>
          <w:rtl/>
          <w:lang w:val="fr-CH"/>
        </w:rPr>
        <w:t>1992</w:t>
      </w:r>
      <w:r w:rsidRPr="00E45DA1">
        <w:rPr>
          <w:rtl/>
          <w:lang w:val="fr-CH"/>
        </w:rPr>
        <w:t>. ولا يمثل صاحب البلاغ محام.</w:t>
      </w:r>
    </w:p>
    <w:p w14:paraId="6E2D119E" w14:textId="77777777" w:rsidR="00E45DA1" w:rsidRPr="00E45DA1" w:rsidRDefault="00E45DA1" w:rsidP="003F01F5">
      <w:pPr>
        <w:pStyle w:val="H23GA"/>
        <w:keepNext/>
        <w:keepLines/>
        <w:rPr>
          <w:rtl/>
          <w:lang w:val="fr-CH"/>
        </w:rPr>
      </w:pPr>
      <w:r w:rsidRPr="00E45DA1">
        <w:rPr>
          <w:rtl/>
          <w:lang w:val="fr-CH"/>
        </w:rPr>
        <w:tab/>
      </w:r>
      <w:r w:rsidRPr="00E45DA1">
        <w:rPr>
          <w:rtl/>
          <w:lang w:val="fr-CH"/>
        </w:rPr>
        <w:tab/>
        <w:t>الوقائع كما عرضها صاحب البلاغ</w:t>
      </w:r>
    </w:p>
    <w:p w14:paraId="5209CE3D" w14:textId="08E86120" w:rsidR="00E45DA1" w:rsidRPr="00E45DA1" w:rsidRDefault="00E45DA1" w:rsidP="00D26A91">
      <w:pPr>
        <w:pStyle w:val="SingleTxtGA"/>
        <w:spacing w:line="350" w:lineRule="exact"/>
        <w:rPr>
          <w:rtl/>
          <w:lang w:val="fr-CH"/>
        </w:rPr>
      </w:pPr>
      <w:r w:rsidRPr="003F01F5">
        <w:rPr>
          <w:spacing w:val="-3"/>
          <w:szCs w:val="20"/>
          <w:rtl/>
          <w:lang w:val="fr-CH"/>
        </w:rPr>
        <w:t>2</w:t>
      </w:r>
      <w:r w:rsidRPr="003F01F5">
        <w:rPr>
          <w:spacing w:val="-3"/>
          <w:rtl/>
          <w:lang w:val="fr-CH"/>
        </w:rPr>
        <w:t>-</w:t>
      </w:r>
      <w:r w:rsidRPr="003F01F5">
        <w:rPr>
          <w:spacing w:val="-3"/>
          <w:szCs w:val="20"/>
          <w:rtl/>
          <w:lang w:val="fr-CH"/>
        </w:rPr>
        <w:t>1</w:t>
      </w:r>
      <w:r w:rsidRPr="003F01F5">
        <w:rPr>
          <w:spacing w:val="-3"/>
          <w:rtl/>
          <w:lang w:val="fr-CH"/>
        </w:rPr>
        <w:tab/>
        <w:t xml:space="preserve">في </w:t>
      </w:r>
      <w:r w:rsidRPr="003F01F5">
        <w:rPr>
          <w:spacing w:val="-3"/>
          <w:szCs w:val="20"/>
          <w:rtl/>
          <w:lang w:val="fr-CH"/>
        </w:rPr>
        <w:t>23</w:t>
      </w:r>
      <w:r w:rsidRPr="003F01F5">
        <w:rPr>
          <w:spacing w:val="-3"/>
          <w:rtl/>
          <w:lang w:val="fr-CH"/>
        </w:rPr>
        <w:t xml:space="preserve"> حزيران/يونيه </w:t>
      </w:r>
      <w:r w:rsidRPr="003F01F5">
        <w:rPr>
          <w:spacing w:val="-3"/>
          <w:szCs w:val="20"/>
          <w:rtl/>
          <w:lang w:val="fr-CH"/>
        </w:rPr>
        <w:t>1995</w:t>
      </w:r>
      <w:r w:rsidRPr="003F01F5">
        <w:rPr>
          <w:spacing w:val="-3"/>
          <w:rtl/>
          <w:lang w:val="fr-CH"/>
        </w:rPr>
        <w:t>، أدين صاحب البلاغ بارتكاب جريمة السرقة</w:t>
      </w:r>
      <w:r w:rsidRPr="003F01F5">
        <w:rPr>
          <w:spacing w:val="-3"/>
          <w:vertAlign w:val="superscript"/>
          <w:rtl/>
          <w:lang w:val="fr-CH"/>
        </w:rPr>
        <w:t>(</w:t>
      </w:r>
      <w:r w:rsidRPr="003F01F5">
        <w:rPr>
          <w:rFonts w:cs="Times New Roman"/>
          <w:spacing w:val="-3"/>
          <w:position w:val="4"/>
          <w:vertAlign w:val="superscript"/>
        </w:rPr>
        <w:footnoteReference w:id="3"/>
      </w:r>
      <w:r w:rsidRPr="003F01F5">
        <w:rPr>
          <w:spacing w:val="-3"/>
          <w:vertAlign w:val="superscript"/>
          <w:rtl/>
          <w:lang w:val="fr-CH"/>
        </w:rPr>
        <w:t>)</w:t>
      </w:r>
      <w:r w:rsidRPr="003F01F5">
        <w:rPr>
          <w:spacing w:val="-3"/>
          <w:rtl/>
          <w:lang w:val="fr-CH"/>
        </w:rPr>
        <w:t xml:space="preserve"> وثلاث جرائم قتل مع سبق الإصرار مقترنة بظروف مشددة للعقوبة</w:t>
      </w:r>
      <w:r w:rsidRPr="003F01F5">
        <w:rPr>
          <w:spacing w:val="-3"/>
          <w:vertAlign w:val="superscript"/>
          <w:rtl/>
          <w:lang w:val="fr-CH"/>
        </w:rPr>
        <w:t>(</w:t>
      </w:r>
      <w:r w:rsidRPr="003F01F5">
        <w:rPr>
          <w:rFonts w:cs="Times New Roman"/>
          <w:spacing w:val="-3"/>
          <w:position w:val="4"/>
          <w:vertAlign w:val="superscript"/>
        </w:rPr>
        <w:footnoteReference w:id="4"/>
      </w:r>
      <w:r w:rsidRPr="003F01F5">
        <w:rPr>
          <w:spacing w:val="-3"/>
          <w:vertAlign w:val="superscript"/>
          <w:rtl/>
          <w:lang w:val="fr-CH"/>
        </w:rPr>
        <w:t>)</w:t>
      </w:r>
      <w:r w:rsidRPr="003F01F5">
        <w:rPr>
          <w:spacing w:val="-3"/>
          <w:rtl/>
          <w:lang w:val="fr-CH"/>
        </w:rPr>
        <w:t>، وهو تحت تأثير الكحول، وحكمت عليه محكمة تشيليابينسك الإقليمية بالإعدام. وبما أن صاحب البلاغ كان قد أدين من قبل بجريمة قتل مع سبق الإصرار</w:t>
      </w:r>
      <w:r w:rsidRPr="003F01F5">
        <w:rPr>
          <w:spacing w:val="-3"/>
          <w:vertAlign w:val="superscript"/>
          <w:rtl/>
          <w:lang w:val="fr-CH"/>
        </w:rPr>
        <w:t>(</w:t>
      </w:r>
      <w:r w:rsidRPr="003F01F5">
        <w:rPr>
          <w:rFonts w:cs="Times New Roman"/>
          <w:spacing w:val="-3"/>
          <w:position w:val="4"/>
          <w:vertAlign w:val="superscript"/>
        </w:rPr>
        <w:footnoteReference w:id="5"/>
      </w:r>
      <w:r w:rsidRPr="003F01F5">
        <w:rPr>
          <w:spacing w:val="-3"/>
          <w:vertAlign w:val="superscript"/>
          <w:rtl/>
          <w:lang w:val="fr-CH"/>
        </w:rPr>
        <w:t>)</w:t>
      </w:r>
      <w:r w:rsidRPr="003F01F5">
        <w:rPr>
          <w:spacing w:val="-3"/>
          <w:rtl/>
          <w:lang w:val="fr-CH"/>
        </w:rPr>
        <w:t xml:space="preserve">، فإن المحكمة اعتبرته من المجرمين العائدين الخطرين، وفقاً للتعليق رقم </w:t>
      </w:r>
      <w:r w:rsidRPr="003F01F5">
        <w:rPr>
          <w:spacing w:val="-3"/>
          <w:szCs w:val="20"/>
          <w:rtl/>
          <w:lang w:val="fr-CH"/>
        </w:rPr>
        <w:t>1</w:t>
      </w:r>
      <w:r w:rsidRPr="003F01F5">
        <w:rPr>
          <w:spacing w:val="-3"/>
          <w:rtl/>
          <w:lang w:val="fr-CH"/>
        </w:rPr>
        <w:t xml:space="preserve"> الوارد في المادة </w:t>
      </w:r>
      <w:r w:rsidRPr="003F01F5">
        <w:rPr>
          <w:spacing w:val="-3"/>
          <w:szCs w:val="20"/>
          <w:rtl/>
          <w:lang w:val="fr-CH"/>
        </w:rPr>
        <w:t>24</w:t>
      </w:r>
      <w:r w:rsidRPr="003F01F5">
        <w:rPr>
          <w:spacing w:val="-3"/>
          <w:rtl/>
          <w:lang w:val="fr-CH"/>
        </w:rPr>
        <w:t>-</w:t>
      </w:r>
      <w:r w:rsidRPr="003F01F5">
        <w:rPr>
          <w:spacing w:val="-3"/>
          <w:szCs w:val="20"/>
          <w:rtl/>
          <w:lang w:val="fr-CH"/>
        </w:rPr>
        <w:t>1</w:t>
      </w:r>
      <w:r w:rsidRPr="00E45DA1">
        <w:rPr>
          <w:rtl/>
          <w:lang w:val="fr-CH"/>
        </w:rPr>
        <w:t>(</w:t>
      </w:r>
      <w:r w:rsidRPr="008D13D7">
        <w:rPr>
          <w:szCs w:val="20"/>
          <w:rtl/>
          <w:lang w:val="fr-CH"/>
        </w:rPr>
        <w:t>1</w:t>
      </w:r>
      <w:r w:rsidRPr="00E45DA1">
        <w:rPr>
          <w:rtl/>
          <w:lang w:val="fr-CH"/>
        </w:rPr>
        <w:t xml:space="preserve">) من القانون الجنائي لجمهورية روسيا الاتحادية الاشتراكية السوفياتية لعام </w:t>
      </w:r>
      <w:r w:rsidRPr="008D13D7">
        <w:rPr>
          <w:szCs w:val="20"/>
          <w:rtl/>
          <w:lang w:val="fr-CH"/>
        </w:rPr>
        <w:t>1960</w:t>
      </w:r>
      <w:r w:rsidRPr="00E45DA1">
        <w:rPr>
          <w:rtl/>
          <w:lang w:val="fr-CH"/>
        </w:rPr>
        <w:t xml:space="preserve">، الذي كان سارياً في ذلك الحين. وفي </w:t>
      </w:r>
      <w:r w:rsidRPr="008D13D7">
        <w:rPr>
          <w:szCs w:val="20"/>
          <w:rtl/>
          <w:lang w:val="fr-CH"/>
        </w:rPr>
        <w:t>11</w:t>
      </w:r>
      <w:r w:rsidRPr="00E45DA1">
        <w:rPr>
          <w:rtl/>
          <w:lang w:val="fr-CH"/>
        </w:rPr>
        <w:t xml:space="preserve"> كانون الثاني/يناير </w:t>
      </w:r>
      <w:r w:rsidRPr="008D13D7">
        <w:rPr>
          <w:szCs w:val="20"/>
          <w:rtl/>
          <w:lang w:val="fr-CH"/>
        </w:rPr>
        <w:t>1996</w:t>
      </w:r>
      <w:r w:rsidRPr="00E45DA1">
        <w:rPr>
          <w:rtl/>
          <w:lang w:val="fr-CH"/>
        </w:rPr>
        <w:t xml:space="preserve">، أيدت الهيئة القضائية للمحكمة العليا، بصفتها محكمة النقض، حكم الإعدام الصادر بحقه. </w:t>
      </w:r>
    </w:p>
    <w:p w14:paraId="5D39CD1B" w14:textId="1EA0907B" w:rsidR="00E45DA1" w:rsidRPr="00D26A91" w:rsidRDefault="00E45DA1" w:rsidP="00D26A91">
      <w:pPr>
        <w:pStyle w:val="SingleTxtGA"/>
        <w:spacing w:line="350" w:lineRule="exact"/>
        <w:rPr>
          <w:spacing w:val="-4"/>
          <w:rtl/>
          <w:lang w:val="fr-CH"/>
        </w:rPr>
      </w:pPr>
      <w:r w:rsidRPr="008D13D7">
        <w:rPr>
          <w:szCs w:val="20"/>
          <w:rtl/>
          <w:lang w:val="fr-CH"/>
        </w:rPr>
        <w:t>2</w:t>
      </w:r>
      <w:r w:rsidRPr="00E45DA1">
        <w:rPr>
          <w:rtl/>
          <w:lang w:val="fr-CH"/>
        </w:rPr>
        <w:t>-</w:t>
      </w:r>
      <w:r w:rsidRPr="008D13D7">
        <w:rPr>
          <w:szCs w:val="20"/>
          <w:rtl/>
          <w:lang w:val="fr-CH"/>
        </w:rPr>
        <w:t>2</w:t>
      </w:r>
      <w:r w:rsidRPr="00E45DA1">
        <w:rPr>
          <w:rtl/>
          <w:lang w:val="fr-CH"/>
        </w:rPr>
        <w:tab/>
      </w:r>
      <w:r w:rsidRPr="00D26A91">
        <w:rPr>
          <w:spacing w:val="-4"/>
          <w:rtl/>
          <w:lang w:val="fr-CH"/>
        </w:rPr>
        <w:t xml:space="preserve">وفي </w:t>
      </w:r>
      <w:r w:rsidRPr="00D26A91">
        <w:rPr>
          <w:spacing w:val="-4"/>
          <w:szCs w:val="20"/>
          <w:rtl/>
          <w:lang w:val="fr-CH"/>
        </w:rPr>
        <w:t>17</w:t>
      </w:r>
      <w:r w:rsidRPr="00D26A91">
        <w:rPr>
          <w:spacing w:val="-4"/>
          <w:rtl/>
          <w:lang w:val="fr-CH"/>
        </w:rPr>
        <w:t xml:space="preserve"> أيار/مايو </w:t>
      </w:r>
      <w:r w:rsidRPr="00D26A91">
        <w:rPr>
          <w:spacing w:val="-4"/>
          <w:szCs w:val="20"/>
          <w:rtl/>
          <w:lang w:val="fr-CH"/>
        </w:rPr>
        <w:t>1999</w:t>
      </w:r>
      <w:r w:rsidRPr="00D26A91">
        <w:rPr>
          <w:spacing w:val="-4"/>
          <w:rtl/>
          <w:lang w:val="fr-CH"/>
        </w:rPr>
        <w:t xml:space="preserve">، خُفف حكم الإعدام الصادر بحق صاحب البلاغ إلى السجن المؤبد بموجب مرسوم عفو رئاسي. وفي </w:t>
      </w:r>
      <w:r w:rsidRPr="00D26A91">
        <w:rPr>
          <w:spacing w:val="-4"/>
          <w:szCs w:val="20"/>
          <w:rtl/>
          <w:lang w:val="fr-CH"/>
        </w:rPr>
        <w:t>23</w:t>
      </w:r>
      <w:r w:rsidRPr="00D26A91">
        <w:rPr>
          <w:spacing w:val="-4"/>
          <w:rtl/>
          <w:lang w:val="fr-CH"/>
        </w:rPr>
        <w:t xml:space="preserve"> أيلول/سبتمبر </w:t>
      </w:r>
      <w:r w:rsidRPr="00D26A91">
        <w:rPr>
          <w:spacing w:val="-4"/>
          <w:szCs w:val="20"/>
          <w:rtl/>
          <w:lang w:val="fr-CH"/>
        </w:rPr>
        <w:t>1999</w:t>
      </w:r>
      <w:r w:rsidRPr="00D26A91">
        <w:rPr>
          <w:spacing w:val="-4"/>
          <w:rtl/>
          <w:lang w:val="fr-CH"/>
        </w:rPr>
        <w:t xml:space="preserve">، حذفت محكمة تشيليابينسك الإقليمية الإشارة إلى ارتكاب جريمة قتل تحت تأثير الكحول باعتبارها من الظروف المشددة للعقوبة الصادرة في حق صاحب البلاغ، وذلك تمشياً مع القانون الجنائي الجديد الذي دخل حيز النفاذ في </w:t>
      </w:r>
      <w:r w:rsidRPr="00D26A91">
        <w:rPr>
          <w:spacing w:val="-4"/>
          <w:szCs w:val="20"/>
          <w:rtl/>
          <w:lang w:val="fr-CH"/>
        </w:rPr>
        <w:t>13</w:t>
      </w:r>
      <w:r w:rsidRPr="00D26A91">
        <w:rPr>
          <w:spacing w:val="-4"/>
          <w:rtl/>
          <w:lang w:val="fr-CH"/>
        </w:rPr>
        <w:t xml:space="preserve"> حزيران/يونيه </w:t>
      </w:r>
      <w:r w:rsidRPr="00D26A91">
        <w:rPr>
          <w:spacing w:val="-4"/>
          <w:szCs w:val="20"/>
          <w:rtl/>
          <w:lang w:val="fr-CH"/>
        </w:rPr>
        <w:t>1996</w:t>
      </w:r>
      <w:r w:rsidRPr="00D26A91">
        <w:rPr>
          <w:spacing w:val="-4"/>
          <w:rtl/>
          <w:lang w:val="fr-CH"/>
        </w:rPr>
        <w:t xml:space="preserve">. </w:t>
      </w:r>
    </w:p>
    <w:p w14:paraId="0D7E6193" w14:textId="6542BF3A" w:rsidR="00E45DA1" w:rsidRPr="00D26A91" w:rsidRDefault="00E45DA1" w:rsidP="00D26A91">
      <w:pPr>
        <w:pStyle w:val="SingleTxtGA"/>
        <w:spacing w:line="350" w:lineRule="exact"/>
        <w:rPr>
          <w:spacing w:val="-2"/>
          <w:rtl/>
          <w:lang w:val="fr-CH"/>
        </w:rPr>
      </w:pPr>
      <w:r w:rsidRPr="008D13D7">
        <w:rPr>
          <w:szCs w:val="20"/>
          <w:rtl/>
          <w:lang w:val="fr-CH"/>
        </w:rPr>
        <w:t>2</w:t>
      </w:r>
      <w:r w:rsidRPr="00E45DA1">
        <w:rPr>
          <w:rtl/>
          <w:lang w:val="fr-CH"/>
        </w:rPr>
        <w:t>-</w:t>
      </w:r>
      <w:r w:rsidRPr="008D13D7">
        <w:rPr>
          <w:szCs w:val="20"/>
          <w:rtl/>
          <w:lang w:val="fr-CH"/>
        </w:rPr>
        <w:t>3</w:t>
      </w:r>
      <w:r w:rsidRPr="00E45DA1">
        <w:rPr>
          <w:rtl/>
          <w:lang w:val="fr-CH"/>
        </w:rPr>
        <w:tab/>
        <w:t xml:space="preserve">وفي </w:t>
      </w:r>
      <w:r w:rsidRPr="008D13D7">
        <w:rPr>
          <w:szCs w:val="20"/>
          <w:rtl/>
          <w:lang w:val="fr-CH"/>
        </w:rPr>
        <w:t>4</w:t>
      </w:r>
      <w:r w:rsidRPr="00E45DA1">
        <w:rPr>
          <w:rtl/>
          <w:lang w:val="fr-CH"/>
        </w:rPr>
        <w:t xml:space="preserve"> أيار/مايو </w:t>
      </w:r>
      <w:r w:rsidRPr="008D13D7">
        <w:rPr>
          <w:szCs w:val="20"/>
          <w:rtl/>
          <w:lang w:val="fr-CH"/>
        </w:rPr>
        <w:t>2006</w:t>
      </w:r>
      <w:r w:rsidRPr="00E45DA1">
        <w:rPr>
          <w:rtl/>
          <w:lang w:val="fr-CH"/>
        </w:rPr>
        <w:t>، ألغت</w:t>
      </w:r>
      <w:r>
        <w:rPr>
          <w:vertAlign w:val="superscript"/>
          <w:rtl/>
          <w:lang w:val="fr-CH"/>
        </w:rPr>
        <w:t>(</w:t>
      </w:r>
      <w:r w:rsidRPr="00E45DA1">
        <w:rPr>
          <w:rFonts w:cs="Times New Roman"/>
          <w:position w:val="4"/>
          <w:vertAlign w:val="superscript"/>
        </w:rPr>
        <w:footnoteReference w:id="6"/>
      </w:r>
      <w:r>
        <w:rPr>
          <w:vertAlign w:val="superscript"/>
          <w:rtl/>
          <w:lang w:val="fr-CH"/>
        </w:rPr>
        <w:t>)</w:t>
      </w:r>
      <w:r w:rsidRPr="00E45DA1">
        <w:rPr>
          <w:rtl/>
          <w:lang w:val="fr-CH"/>
        </w:rPr>
        <w:t xml:space="preserve"> محكمة مدينة سوليكامسك في منطقة بيرم مصادرة الممتلكات كعقوبة إضافية نصت عليها المادة </w:t>
      </w:r>
      <w:r w:rsidRPr="008D13D7">
        <w:rPr>
          <w:szCs w:val="20"/>
          <w:rtl/>
          <w:lang w:val="fr-CH"/>
        </w:rPr>
        <w:t>146</w:t>
      </w:r>
      <w:r w:rsidRPr="00E45DA1">
        <w:rPr>
          <w:rtl/>
          <w:lang w:val="fr-CH"/>
        </w:rPr>
        <w:t>(</w:t>
      </w:r>
      <w:r w:rsidRPr="008D13D7">
        <w:rPr>
          <w:szCs w:val="20"/>
          <w:rtl/>
          <w:lang w:val="fr-CH"/>
        </w:rPr>
        <w:t>2</w:t>
      </w:r>
      <w:r w:rsidRPr="00E45DA1">
        <w:rPr>
          <w:rtl/>
          <w:lang w:val="fr-CH"/>
        </w:rPr>
        <w:t xml:space="preserve">)(أ) من القانون الجنائي لعام </w:t>
      </w:r>
      <w:r w:rsidRPr="008D13D7">
        <w:rPr>
          <w:szCs w:val="20"/>
          <w:rtl/>
          <w:lang w:val="fr-CH"/>
        </w:rPr>
        <w:t>1960</w:t>
      </w:r>
      <w:r w:rsidRPr="00E45DA1">
        <w:rPr>
          <w:rtl/>
          <w:lang w:val="fr-CH"/>
        </w:rPr>
        <w:t xml:space="preserve">، وحذفت من توصيف جريمة القتل مع سبق الإصرار التي ارتكبها صاحب البلاغ، الإشارة إلى "جريمة قتل ارتكبها شخص سبق له ارتكاب جريمة من قبل، فيما عدا جرائم القتل المنصوص عليها في المادتين </w:t>
      </w:r>
      <w:r w:rsidRPr="008D13D7">
        <w:rPr>
          <w:szCs w:val="20"/>
          <w:rtl/>
          <w:lang w:val="fr-CH"/>
        </w:rPr>
        <w:t>105</w:t>
      </w:r>
      <w:r w:rsidRPr="00E45DA1">
        <w:rPr>
          <w:rtl/>
          <w:lang w:val="fr-CH"/>
        </w:rPr>
        <w:t xml:space="preserve"> و</w:t>
      </w:r>
      <w:r w:rsidRPr="008D13D7">
        <w:rPr>
          <w:szCs w:val="20"/>
          <w:rtl/>
          <w:lang w:val="fr-CH"/>
        </w:rPr>
        <w:t>106</w:t>
      </w:r>
      <w:r w:rsidRPr="00E45DA1">
        <w:rPr>
          <w:rtl/>
          <w:lang w:val="fr-CH"/>
        </w:rPr>
        <w:t xml:space="preserve"> من القانون الجنائي"، وذلك تمشيا</w:t>
      </w:r>
      <w:r w:rsidR="00BF29BF">
        <w:rPr>
          <w:rFonts w:hint="cs"/>
          <w:rtl/>
          <w:lang w:val="fr-CH"/>
        </w:rPr>
        <w:t>ً</w:t>
      </w:r>
      <w:r w:rsidRPr="00E45DA1">
        <w:rPr>
          <w:rtl/>
          <w:lang w:val="fr-CH"/>
        </w:rPr>
        <w:t xml:space="preserve"> مع التغييرات التي أدخلت على القانون الجنائي بموجب القانون المؤرخ </w:t>
      </w:r>
      <w:r w:rsidRPr="008D13D7">
        <w:rPr>
          <w:szCs w:val="20"/>
          <w:rtl/>
          <w:lang w:val="fr-CH"/>
        </w:rPr>
        <w:t>8</w:t>
      </w:r>
      <w:r w:rsidRPr="00E45DA1">
        <w:rPr>
          <w:rtl/>
          <w:lang w:val="fr-CH"/>
        </w:rPr>
        <w:t xml:space="preserve"> كانون الأول/ديسمبر </w:t>
      </w:r>
      <w:r w:rsidRPr="008D13D7">
        <w:rPr>
          <w:szCs w:val="20"/>
          <w:rtl/>
          <w:lang w:val="fr-CH"/>
        </w:rPr>
        <w:t>2003</w:t>
      </w:r>
      <w:r w:rsidRPr="00E45DA1">
        <w:rPr>
          <w:rtl/>
          <w:lang w:val="fr-CH"/>
        </w:rPr>
        <w:t xml:space="preserve"> بشأن إدخال تغييرات وتعديلات على القانون الجنائي. وفي </w:t>
      </w:r>
      <w:r w:rsidRPr="008D13D7">
        <w:rPr>
          <w:szCs w:val="20"/>
          <w:rtl/>
          <w:lang w:val="fr-CH"/>
        </w:rPr>
        <w:t>20</w:t>
      </w:r>
      <w:r w:rsidRPr="00E45DA1">
        <w:rPr>
          <w:rtl/>
          <w:lang w:val="fr-CH"/>
        </w:rPr>
        <w:t xml:space="preserve"> </w:t>
      </w:r>
      <w:r w:rsidRPr="00D26A91">
        <w:rPr>
          <w:spacing w:val="-2"/>
          <w:rtl/>
          <w:lang w:val="fr-CH"/>
        </w:rPr>
        <w:t xml:space="preserve">حزيران/يونيه </w:t>
      </w:r>
      <w:r w:rsidRPr="00D26A91">
        <w:rPr>
          <w:spacing w:val="-2"/>
          <w:szCs w:val="20"/>
          <w:rtl/>
          <w:lang w:val="fr-CH"/>
        </w:rPr>
        <w:t>2006</w:t>
      </w:r>
      <w:r w:rsidRPr="00D26A91">
        <w:rPr>
          <w:spacing w:val="-2"/>
          <w:rtl/>
          <w:lang w:val="fr-CH"/>
        </w:rPr>
        <w:t xml:space="preserve">، قبلت محكمة بيرم الإقليمية طلب الطعن بالنقض في قرار محكمة مدينة سوليكامسك الذي قدمه صاحب البلاغ وحذفت الإشارة إلى صاحب البلاغ بوصفه من المجرمين العائدين الخطرين، مع الإبقاء على الحكم بالسجن المؤبد. وفي هذا الصدد، ذكرت محكمة بيرم الإقليمية على وجه التحديد، أن عقوبة صاحب البلاغ لا تقبل التغيير، لأنها أُنزلت به في إطار التشريع الحالي. </w:t>
      </w:r>
    </w:p>
    <w:p w14:paraId="4471F2EF" w14:textId="4CAF031D" w:rsidR="00E45DA1" w:rsidRPr="003F01F5" w:rsidRDefault="00E45DA1" w:rsidP="00D26A91">
      <w:pPr>
        <w:pStyle w:val="SingleTxtGA"/>
        <w:spacing w:line="350" w:lineRule="exact"/>
        <w:rPr>
          <w:spacing w:val="-2"/>
          <w:rtl/>
          <w:lang w:val="fr-CH"/>
        </w:rPr>
      </w:pPr>
      <w:r w:rsidRPr="003F01F5">
        <w:rPr>
          <w:spacing w:val="-2"/>
          <w:szCs w:val="20"/>
          <w:rtl/>
          <w:lang w:val="fr-CH"/>
        </w:rPr>
        <w:t>2</w:t>
      </w:r>
      <w:r w:rsidRPr="003F01F5">
        <w:rPr>
          <w:spacing w:val="-2"/>
          <w:rtl/>
          <w:lang w:val="fr-CH"/>
        </w:rPr>
        <w:t>-</w:t>
      </w:r>
      <w:r w:rsidRPr="003F01F5">
        <w:rPr>
          <w:spacing w:val="-2"/>
          <w:szCs w:val="20"/>
          <w:rtl/>
          <w:lang w:val="fr-CH"/>
        </w:rPr>
        <w:t>4</w:t>
      </w:r>
      <w:r w:rsidRPr="003F01F5">
        <w:rPr>
          <w:spacing w:val="-2"/>
          <w:rtl/>
          <w:lang w:val="fr-CH"/>
        </w:rPr>
        <w:tab/>
        <w:t>وفي تاريخ غير معلوم، قدم صاحب البلاغ طلبا</w:t>
      </w:r>
      <w:r w:rsidR="00BF29BF">
        <w:rPr>
          <w:rFonts w:hint="cs"/>
          <w:spacing w:val="-2"/>
          <w:rtl/>
          <w:lang w:val="fr-CH"/>
        </w:rPr>
        <w:t>ً</w:t>
      </w:r>
      <w:r w:rsidRPr="003F01F5">
        <w:rPr>
          <w:spacing w:val="-2"/>
          <w:rtl/>
          <w:lang w:val="fr-CH"/>
        </w:rPr>
        <w:t xml:space="preserve"> لإجراء استعراض قضائي إشرافي للقرارات القضائية الصادرة عن محكمة مدينة سوليكامسك في </w:t>
      </w:r>
      <w:r w:rsidRPr="003F01F5">
        <w:rPr>
          <w:spacing w:val="-2"/>
          <w:szCs w:val="20"/>
          <w:rtl/>
          <w:lang w:val="fr-CH"/>
        </w:rPr>
        <w:t>4</w:t>
      </w:r>
      <w:r w:rsidRPr="003F01F5">
        <w:rPr>
          <w:spacing w:val="-2"/>
          <w:rtl/>
          <w:lang w:val="fr-CH"/>
        </w:rPr>
        <w:t xml:space="preserve"> أيار/مايو </w:t>
      </w:r>
      <w:r w:rsidRPr="003F01F5">
        <w:rPr>
          <w:spacing w:val="-2"/>
          <w:szCs w:val="20"/>
          <w:rtl/>
          <w:lang w:val="fr-CH"/>
        </w:rPr>
        <w:t>2006</w:t>
      </w:r>
      <w:r w:rsidRPr="003F01F5">
        <w:rPr>
          <w:spacing w:val="-2"/>
          <w:rtl/>
          <w:lang w:val="fr-CH"/>
        </w:rPr>
        <w:t xml:space="preserve"> ومحكمة بيرم الإقليمية في </w:t>
      </w:r>
      <w:r w:rsidRPr="003F01F5">
        <w:rPr>
          <w:spacing w:val="-2"/>
          <w:szCs w:val="20"/>
          <w:rtl/>
          <w:lang w:val="fr-CH"/>
        </w:rPr>
        <w:t>20</w:t>
      </w:r>
      <w:r w:rsidRPr="003F01F5">
        <w:rPr>
          <w:spacing w:val="-2"/>
          <w:rtl/>
          <w:lang w:val="fr-CH"/>
        </w:rPr>
        <w:t xml:space="preserve"> حزيران/يونيه </w:t>
      </w:r>
      <w:r w:rsidRPr="003F01F5">
        <w:rPr>
          <w:spacing w:val="-2"/>
          <w:szCs w:val="20"/>
          <w:rtl/>
          <w:lang w:val="fr-CH"/>
        </w:rPr>
        <w:t>2006</w:t>
      </w:r>
      <w:r w:rsidRPr="003F01F5">
        <w:rPr>
          <w:spacing w:val="-2"/>
          <w:rtl/>
          <w:lang w:val="fr-CH"/>
        </w:rPr>
        <w:t xml:space="preserve">، ودفع بأن الحكم الصادر بحقه لم يواءم بالكامل مع القانون الجنائي الجديد وطلب تغيير الحكم بالسجن المؤبد إلى السجن لمدة </w:t>
      </w:r>
      <w:r w:rsidRPr="003F01F5">
        <w:rPr>
          <w:spacing w:val="-2"/>
          <w:szCs w:val="20"/>
          <w:rtl/>
          <w:lang w:val="fr-CH"/>
        </w:rPr>
        <w:t>15</w:t>
      </w:r>
      <w:r w:rsidRPr="003F01F5">
        <w:rPr>
          <w:spacing w:val="-2"/>
          <w:rtl/>
          <w:lang w:val="fr-CH"/>
        </w:rPr>
        <w:t xml:space="preserve"> عاماً. واستشهد في مطالبته، بالمادة </w:t>
      </w:r>
      <w:r w:rsidRPr="003F01F5">
        <w:rPr>
          <w:spacing w:val="-2"/>
          <w:szCs w:val="20"/>
          <w:rtl/>
          <w:lang w:val="fr-CH"/>
        </w:rPr>
        <w:t>18</w:t>
      </w:r>
      <w:r w:rsidRPr="003F01F5">
        <w:rPr>
          <w:spacing w:val="-2"/>
          <w:rtl/>
          <w:lang w:val="fr-CH"/>
        </w:rPr>
        <w:t>(</w:t>
      </w:r>
      <w:r w:rsidRPr="003F01F5">
        <w:rPr>
          <w:spacing w:val="-2"/>
          <w:szCs w:val="20"/>
          <w:rtl/>
          <w:lang w:val="fr-CH"/>
        </w:rPr>
        <w:t>5</w:t>
      </w:r>
      <w:r w:rsidRPr="003F01F5">
        <w:rPr>
          <w:spacing w:val="-2"/>
          <w:rtl/>
          <w:lang w:val="fr-CH"/>
        </w:rPr>
        <w:t xml:space="preserve">)، مقروءة بالاقتران مع المادتين </w:t>
      </w:r>
      <w:r w:rsidRPr="003F01F5">
        <w:rPr>
          <w:spacing w:val="-2"/>
          <w:szCs w:val="20"/>
          <w:rtl/>
          <w:lang w:val="fr-CH"/>
        </w:rPr>
        <w:t>63</w:t>
      </w:r>
      <w:r w:rsidRPr="003F01F5">
        <w:rPr>
          <w:spacing w:val="-2"/>
          <w:rtl/>
          <w:lang w:val="fr-CH"/>
        </w:rPr>
        <w:t>(</w:t>
      </w:r>
      <w:r w:rsidRPr="003F01F5">
        <w:rPr>
          <w:spacing w:val="-2"/>
          <w:szCs w:val="20"/>
          <w:rtl/>
          <w:lang w:val="fr-CH"/>
        </w:rPr>
        <w:t>1</w:t>
      </w:r>
      <w:r w:rsidRPr="003F01F5">
        <w:rPr>
          <w:spacing w:val="-2"/>
          <w:rtl/>
          <w:lang w:val="fr-CH"/>
        </w:rPr>
        <w:t>)(أ) و</w:t>
      </w:r>
      <w:r w:rsidRPr="003F01F5">
        <w:rPr>
          <w:spacing w:val="-2"/>
          <w:szCs w:val="20"/>
          <w:rtl/>
          <w:lang w:val="fr-CH"/>
        </w:rPr>
        <w:t>68</w:t>
      </w:r>
      <w:r w:rsidRPr="003F01F5">
        <w:rPr>
          <w:spacing w:val="-2"/>
          <w:rtl/>
          <w:lang w:val="fr-CH"/>
        </w:rPr>
        <w:t>(</w:t>
      </w:r>
      <w:r w:rsidRPr="003F01F5">
        <w:rPr>
          <w:spacing w:val="-2"/>
          <w:szCs w:val="20"/>
          <w:rtl/>
          <w:lang w:val="fr-CH"/>
        </w:rPr>
        <w:t>1</w:t>
      </w:r>
      <w:r w:rsidRPr="003F01F5">
        <w:rPr>
          <w:spacing w:val="-2"/>
          <w:rtl/>
          <w:lang w:val="fr-CH"/>
        </w:rPr>
        <w:t xml:space="preserve">) من القانون الجنائي لعام </w:t>
      </w:r>
      <w:r w:rsidRPr="003F01F5">
        <w:rPr>
          <w:spacing w:val="-2"/>
          <w:szCs w:val="20"/>
          <w:rtl/>
          <w:lang w:val="fr-CH"/>
        </w:rPr>
        <w:t>1996</w:t>
      </w:r>
      <w:r w:rsidRPr="003F01F5">
        <w:rPr>
          <w:spacing w:val="-2"/>
          <w:rtl/>
          <w:lang w:val="fr-CH"/>
        </w:rPr>
        <w:t xml:space="preserve">، اللتين تنصان على إيلاء الاعتبار الواجب لنوع العود عند إنزال العقوبة. وأشار كذلك إلى الحكم الذي أصدرته المحكمة الدستورية في </w:t>
      </w:r>
      <w:r w:rsidRPr="003F01F5">
        <w:rPr>
          <w:spacing w:val="-2"/>
          <w:szCs w:val="20"/>
          <w:rtl/>
          <w:lang w:val="fr-CH"/>
        </w:rPr>
        <w:t>20</w:t>
      </w:r>
      <w:r w:rsidRPr="003F01F5">
        <w:rPr>
          <w:spacing w:val="-2"/>
          <w:rtl/>
          <w:lang w:val="fr-CH"/>
        </w:rPr>
        <w:t xml:space="preserve"> نيسان/أبريل </w:t>
      </w:r>
      <w:r w:rsidRPr="003F01F5">
        <w:rPr>
          <w:spacing w:val="-2"/>
          <w:szCs w:val="20"/>
          <w:rtl/>
          <w:lang w:val="fr-CH"/>
        </w:rPr>
        <w:t>2006</w:t>
      </w:r>
      <w:r w:rsidRPr="003F01F5">
        <w:rPr>
          <w:spacing w:val="-2"/>
          <w:rtl/>
          <w:lang w:val="fr-CH"/>
        </w:rPr>
        <w:t xml:space="preserve">، وقضت فيه بأن مواءمة العقوبة المفروضة مع القانون الجنائي الجديد تستوجب تطبيق </w:t>
      </w:r>
      <w:r w:rsidRPr="003F01F5">
        <w:rPr>
          <w:spacing w:val="-2"/>
          <w:rtl/>
          <w:lang w:val="fr-CH"/>
        </w:rPr>
        <w:lastRenderedPageBreak/>
        <w:t xml:space="preserve">جميع الأحكام المتعلقة بفرض العقوبة، على النحو المنصوص عليه في القانون الجنائي. ودفع صاحب البلاغ بأن محكمة تشيليابينسك الإقليمية حين قررت في الأساس أن تحكم عليه بالإعدام، استندت في قرارها إلى كونه يعتبر من المجرمين العائدين الخطرين. وبما أن هذه الإشارة قد حُذفت فيما بعد من الحكم الصادر على صاحب البلاغ، ينبغي تخفيف عقوبته إلى السجن لمدة </w:t>
      </w:r>
      <w:r w:rsidRPr="003F01F5">
        <w:rPr>
          <w:spacing w:val="-2"/>
          <w:szCs w:val="20"/>
          <w:rtl/>
          <w:lang w:val="fr-CH"/>
        </w:rPr>
        <w:t>15</w:t>
      </w:r>
      <w:r w:rsidRPr="003F01F5">
        <w:rPr>
          <w:spacing w:val="-2"/>
          <w:rtl/>
          <w:lang w:val="fr-CH"/>
        </w:rPr>
        <w:t xml:space="preserve"> سنة.</w:t>
      </w:r>
    </w:p>
    <w:p w14:paraId="62818CF2" w14:textId="29A60B58" w:rsidR="00E45DA1" w:rsidRPr="00E45DA1" w:rsidRDefault="00E45DA1" w:rsidP="00E45DA1">
      <w:pPr>
        <w:pStyle w:val="SingleTxtGA"/>
        <w:rPr>
          <w:rtl/>
          <w:lang w:val="fr-CH"/>
        </w:rPr>
      </w:pPr>
      <w:r w:rsidRPr="008D13D7">
        <w:rPr>
          <w:szCs w:val="20"/>
          <w:rtl/>
          <w:lang w:val="fr-CH"/>
        </w:rPr>
        <w:t>2</w:t>
      </w:r>
      <w:r w:rsidRPr="00E45DA1">
        <w:rPr>
          <w:rtl/>
          <w:lang w:val="fr-CH"/>
        </w:rPr>
        <w:t>-</w:t>
      </w:r>
      <w:r w:rsidRPr="008D13D7">
        <w:rPr>
          <w:szCs w:val="20"/>
          <w:rtl/>
          <w:lang w:val="fr-CH"/>
        </w:rPr>
        <w:t>5</w:t>
      </w:r>
      <w:r w:rsidRPr="00E45DA1">
        <w:rPr>
          <w:rtl/>
          <w:lang w:val="fr-CH"/>
        </w:rPr>
        <w:tab/>
        <w:t xml:space="preserve">وفي </w:t>
      </w:r>
      <w:r w:rsidRPr="008D13D7">
        <w:rPr>
          <w:szCs w:val="20"/>
          <w:rtl/>
          <w:lang w:val="fr-CH"/>
        </w:rPr>
        <w:t>27</w:t>
      </w:r>
      <w:r w:rsidRPr="00E45DA1">
        <w:rPr>
          <w:rtl/>
          <w:lang w:val="fr-CH"/>
        </w:rPr>
        <w:t xml:space="preserve"> كانون الثاني/يناير </w:t>
      </w:r>
      <w:r w:rsidRPr="008D13D7">
        <w:rPr>
          <w:szCs w:val="20"/>
          <w:rtl/>
          <w:lang w:val="fr-CH"/>
        </w:rPr>
        <w:t>2009</w:t>
      </w:r>
      <w:r w:rsidRPr="00E45DA1">
        <w:rPr>
          <w:rtl/>
          <w:lang w:val="fr-CH"/>
        </w:rPr>
        <w:t>، رفضت محكمة بيرم الإقليمية الطلب الذي قدمه صاحب البلاغ لإجراء استعراض قضائي إشرافي للقرارات القضائية الصادرة عن محكمة مدينة سوليكامسك في</w:t>
      </w:r>
      <w:r w:rsidR="003F01F5">
        <w:rPr>
          <w:rFonts w:hint="cs"/>
          <w:rtl/>
          <w:lang w:val="fr-CH"/>
        </w:rPr>
        <w:t> </w:t>
      </w:r>
      <w:r w:rsidRPr="008D13D7">
        <w:rPr>
          <w:szCs w:val="20"/>
          <w:rtl/>
          <w:lang w:val="fr-CH"/>
        </w:rPr>
        <w:t>4</w:t>
      </w:r>
      <w:r w:rsidRPr="00E45DA1">
        <w:rPr>
          <w:rtl/>
          <w:lang w:val="fr-CH"/>
        </w:rPr>
        <w:t xml:space="preserve"> أيار/مايو </w:t>
      </w:r>
      <w:r w:rsidRPr="008D13D7">
        <w:rPr>
          <w:szCs w:val="20"/>
          <w:rtl/>
          <w:lang w:val="fr-CH"/>
        </w:rPr>
        <w:t>2006</w:t>
      </w:r>
      <w:r w:rsidRPr="00E45DA1">
        <w:rPr>
          <w:rtl/>
          <w:lang w:val="fr-CH"/>
        </w:rPr>
        <w:t xml:space="preserve"> ومحكمة بيرم الإقليمية في </w:t>
      </w:r>
      <w:r w:rsidRPr="008D13D7">
        <w:rPr>
          <w:szCs w:val="20"/>
          <w:rtl/>
          <w:lang w:val="fr-CH"/>
        </w:rPr>
        <w:t>20</w:t>
      </w:r>
      <w:r w:rsidRPr="00E45DA1">
        <w:rPr>
          <w:rtl/>
          <w:lang w:val="fr-CH"/>
        </w:rPr>
        <w:t xml:space="preserve"> حزيران/يونيه </w:t>
      </w:r>
      <w:r w:rsidRPr="008D13D7">
        <w:rPr>
          <w:szCs w:val="20"/>
          <w:rtl/>
          <w:lang w:val="fr-CH"/>
        </w:rPr>
        <w:t>2006</w:t>
      </w:r>
      <w:r w:rsidRPr="00E45DA1">
        <w:rPr>
          <w:rtl/>
          <w:lang w:val="fr-CH"/>
        </w:rPr>
        <w:t>، والتي ذكر فيها أنه بالنظر إلى أن حكم الإعدام الصادر بحق صاحب البلاغ قد خُفف إلى السجن المؤبد بموجب مرسوم عفو رئاسي، في إطار ممارسة صلاحية العفو التي خولها الدستور للرئيس</w:t>
      </w:r>
      <w:r>
        <w:rPr>
          <w:vertAlign w:val="superscript"/>
          <w:rtl/>
          <w:lang w:val="fr-CH"/>
        </w:rPr>
        <w:t>(</w:t>
      </w:r>
      <w:r w:rsidRPr="00E45DA1">
        <w:rPr>
          <w:rFonts w:cs="Times New Roman"/>
          <w:position w:val="4"/>
          <w:vertAlign w:val="superscript"/>
        </w:rPr>
        <w:footnoteReference w:id="7"/>
      </w:r>
      <w:r>
        <w:rPr>
          <w:vertAlign w:val="superscript"/>
          <w:rtl/>
          <w:lang w:val="fr-CH"/>
        </w:rPr>
        <w:t>)</w:t>
      </w:r>
      <w:r w:rsidRPr="00E45DA1">
        <w:rPr>
          <w:rtl/>
          <w:lang w:val="fr-CH"/>
        </w:rPr>
        <w:t xml:space="preserve"> وليس في إطار الإجراءات الجنائية السجن المؤبد، فإن القواعد المتعلقة بفرض العقوبة المنصوص عليها في المادة </w:t>
      </w:r>
      <w:r w:rsidRPr="008D13D7">
        <w:rPr>
          <w:szCs w:val="20"/>
          <w:rtl/>
          <w:lang w:val="fr-CH"/>
        </w:rPr>
        <w:t>54</w:t>
      </w:r>
      <w:r w:rsidRPr="00E45DA1">
        <w:rPr>
          <w:rtl/>
          <w:lang w:val="fr-CH"/>
        </w:rPr>
        <w:t xml:space="preserve"> من دستور الاتحاد الروسي والمادة </w:t>
      </w:r>
      <w:r w:rsidRPr="008D13D7">
        <w:rPr>
          <w:szCs w:val="20"/>
          <w:rtl/>
          <w:lang w:val="fr-CH"/>
        </w:rPr>
        <w:t>10</w:t>
      </w:r>
      <w:r w:rsidRPr="00E45DA1">
        <w:rPr>
          <w:rtl/>
          <w:lang w:val="fr-CH"/>
        </w:rPr>
        <w:t xml:space="preserve"> من القانون الجنائي لعام </w:t>
      </w:r>
      <w:r w:rsidRPr="008D13D7">
        <w:rPr>
          <w:szCs w:val="20"/>
          <w:rtl/>
          <w:lang w:val="fr-CH"/>
        </w:rPr>
        <w:t>1996</w:t>
      </w:r>
      <w:r w:rsidRPr="00E45DA1">
        <w:rPr>
          <w:rtl/>
          <w:lang w:val="fr-CH"/>
        </w:rPr>
        <w:t xml:space="preserve"> (الأثر الرجعي للقانون الجنائي) لا تنطبق في قضيته</w:t>
      </w:r>
      <w:r>
        <w:rPr>
          <w:vertAlign w:val="superscript"/>
          <w:rtl/>
          <w:lang w:val="fr-CH"/>
        </w:rPr>
        <w:t>(</w:t>
      </w:r>
      <w:r w:rsidRPr="00E45DA1">
        <w:rPr>
          <w:rFonts w:cs="Times New Roman"/>
          <w:position w:val="4"/>
          <w:vertAlign w:val="superscript"/>
        </w:rPr>
        <w:footnoteReference w:id="8"/>
      </w:r>
      <w:r>
        <w:rPr>
          <w:vertAlign w:val="superscript"/>
          <w:rtl/>
          <w:lang w:val="fr-CH"/>
        </w:rPr>
        <w:t>)</w:t>
      </w:r>
      <w:r w:rsidRPr="00E45DA1">
        <w:rPr>
          <w:rtl/>
          <w:lang w:val="fr-CH"/>
        </w:rPr>
        <w:t xml:space="preserve">. وأضافت محكمة بيرم الإقليمية أن إلغاء العقوبة المفروضة بموجب مرسوم العفو الرئاسي أو إعادة النظر فيه يصبح بذلك خارج نطاق اختصاصها. وللسبب نفسه، فإن الموقف القانوني للمحكمة الدستورية، الذي ذُكر في حكمها الصادر في </w:t>
      </w:r>
      <w:r w:rsidRPr="008D13D7">
        <w:rPr>
          <w:szCs w:val="20"/>
          <w:rtl/>
          <w:lang w:val="fr-CH"/>
        </w:rPr>
        <w:t>20</w:t>
      </w:r>
      <w:r w:rsidRPr="00E45DA1">
        <w:rPr>
          <w:rtl/>
          <w:lang w:val="fr-CH"/>
        </w:rPr>
        <w:t xml:space="preserve"> نيسان/أبريل </w:t>
      </w:r>
      <w:r w:rsidRPr="008D13D7">
        <w:rPr>
          <w:szCs w:val="20"/>
          <w:rtl/>
          <w:lang w:val="fr-CH"/>
        </w:rPr>
        <w:t>2006</w:t>
      </w:r>
      <w:r w:rsidRPr="00E45DA1">
        <w:rPr>
          <w:rtl/>
          <w:lang w:val="fr-CH"/>
        </w:rPr>
        <w:t xml:space="preserve"> وأشار إليه صاحب البلاغ، لا</w:t>
      </w:r>
      <w:r w:rsidR="003F01F5">
        <w:rPr>
          <w:rFonts w:hint="cs"/>
          <w:rtl/>
          <w:lang w:val="fr-CH"/>
        </w:rPr>
        <w:t> </w:t>
      </w:r>
      <w:r w:rsidRPr="00E45DA1">
        <w:rPr>
          <w:rtl/>
          <w:lang w:val="fr-CH"/>
        </w:rPr>
        <w:t xml:space="preserve">ينطبق على المراسيم الرئاسية. </w:t>
      </w:r>
    </w:p>
    <w:p w14:paraId="1F08FCC1" w14:textId="4E07AF4B" w:rsidR="00E45DA1" w:rsidRPr="00D26A91" w:rsidRDefault="00E45DA1" w:rsidP="00E45DA1">
      <w:pPr>
        <w:pStyle w:val="SingleTxtGA"/>
        <w:rPr>
          <w:spacing w:val="-2"/>
          <w:rtl/>
          <w:lang w:val="fr-CH"/>
        </w:rPr>
      </w:pPr>
      <w:r w:rsidRPr="008D13D7">
        <w:rPr>
          <w:szCs w:val="20"/>
          <w:rtl/>
          <w:lang w:val="fr-CH"/>
        </w:rPr>
        <w:t>2</w:t>
      </w:r>
      <w:r w:rsidRPr="00E45DA1">
        <w:rPr>
          <w:rtl/>
          <w:lang w:val="fr-CH"/>
        </w:rPr>
        <w:t>-</w:t>
      </w:r>
      <w:r w:rsidRPr="008D13D7">
        <w:rPr>
          <w:szCs w:val="20"/>
          <w:rtl/>
          <w:lang w:val="fr-CH"/>
        </w:rPr>
        <w:t>6</w:t>
      </w:r>
      <w:r w:rsidRPr="00E45DA1">
        <w:rPr>
          <w:rtl/>
          <w:lang w:val="fr-CH"/>
        </w:rPr>
        <w:tab/>
      </w:r>
      <w:r w:rsidRPr="00D26A91">
        <w:rPr>
          <w:spacing w:val="-2"/>
          <w:rtl/>
          <w:lang w:val="fr-CH"/>
        </w:rPr>
        <w:t xml:space="preserve">وفي </w:t>
      </w:r>
      <w:r w:rsidRPr="00D26A91">
        <w:rPr>
          <w:spacing w:val="-2"/>
          <w:szCs w:val="20"/>
          <w:rtl/>
          <w:lang w:val="fr-CH"/>
        </w:rPr>
        <w:t>15</w:t>
      </w:r>
      <w:r w:rsidRPr="00D26A91">
        <w:rPr>
          <w:spacing w:val="-2"/>
          <w:rtl/>
          <w:lang w:val="fr-CH"/>
        </w:rPr>
        <w:t xml:space="preserve"> نيسان/أبريل </w:t>
      </w:r>
      <w:r w:rsidRPr="00D26A91">
        <w:rPr>
          <w:spacing w:val="-2"/>
          <w:szCs w:val="20"/>
          <w:rtl/>
          <w:lang w:val="fr-CH"/>
        </w:rPr>
        <w:t>2009</w:t>
      </w:r>
      <w:r w:rsidRPr="00D26A91">
        <w:rPr>
          <w:spacing w:val="-2"/>
          <w:rtl/>
          <w:lang w:val="fr-CH"/>
        </w:rPr>
        <w:t>، رفض رئيس محكمة بيرم الإقليمية الطلب الذي قدمه صاحب البلاغ لإجراء استعراض قضائي إشرافي للقرارات القضائية الصادرة عن محكمة مدينة سوليكامسك في</w:t>
      </w:r>
      <w:r w:rsidR="003F01F5" w:rsidRPr="00D26A91">
        <w:rPr>
          <w:rFonts w:hint="cs"/>
          <w:spacing w:val="-2"/>
          <w:rtl/>
          <w:lang w:val="fr-CH"/>
        </w:rPr>
        <w:t> </w:t>
      </w:r>
      <w:r w:rsidRPr="00D26A91">
        <w:rPr>
          <w:spacing w:val="-2"/>
          <w:szCs w:val="20"/>
          <w:rtl/>
          <w:lang w:val="fr-CH"/>
        </w:rPr>
        <w:t>4</w:t>
      </w:r>
      <w:r w:rsidRPr="00D26A91">
        <w:rPr>
          <w:spacing w:val="-2"/>
          <w:rtl/>
          <w:lang w:val="fr-CH"/>
        </w:rPr>
        <w:t xml:space="preserve"> أيار/مايو </w:t>
      </w:r>
      <w:r w:rsidRPr="00D26A91">
        <w:rPr>
          <w:spacing w:val="-2"/>
          <w:szCs w:val="20"/>
          <w:rtl/>
          <w:lang w:val="fr-CH"/>
        </w:rPr>
        <w:t>2006</w:t>
      </w:r>
      <w:r w:rsidRPr="00D26A91">
        <w:rPr>
          <w:spacing w:val="-2"/>
          <w:rtl/>
          <w:lang w:val="fr-CH"/>
        </w:rPr>
        <w:t xml:space="preserve"> ومحكمة بيرم الإقليمية في </w:t>
      </w:r>
      <w:r w:rsidRPr="00D26A91">
        <w:rPr>
          <w:spacing w:val="-2"/>
          <w:szCs w:val="20"/>
          <w:rtl/>
          <w:lang w:val="fr-CH"/>
        </w:rPr>
        <w:t>20</w:t>
      </w:r>
      <w:r w:rsidRPr="00D26A91">
        <w:rPr>
          <w:spacing w:val="-2"/>
          <w:rtl/>
          <w:lang w:val="fr-CH"/>
        </w:rPr>
        <w:t xml:space="preserve"> حزيران/يونيه </w:t>
      </w:r>
      <w:r w:rsidRPr="00D26A91">
        <w:rPr>
          <w:spacing w:val="-2"/>
          <w:szCs w:val="20"/>
          <w:rtl/>
          <w:lang w:val="fr-CH"/>
        </w:rPr>
        <w:t>2006</w:t>
      </w:r>
      <w:r w:rsidRPr="00D26A91">
        <w:rPr>
          <w:spacing w:val="-2"/>
          <w:rtl/>
          <w:lang w:val="fr-CH"/>
        </w:rPr>
        <w:t xml:space="preserve"> و</w:t>
      </w:r>
      <w:r w:rsidRPr="00D26A91">
        <w:rPr>
          <w:spacing w:val="-2"/>
          <w:szCs w:val="20"/>
          <w:rtl/>
          <w:lang w:val="fr-CH"/>
        </w:rPr>
        <w:t>27</w:t>
      </w:r>
      <w:r w:rsidRPr="00D26A91">
        <w:rPr>
          <w:spacing w:val="-2"/>
          <w:rtl/>
          <w:lang w:val="fr-CH"/>
        </w:rPr>
        <w:t xml:space="preserve"> كانون الثاني/يناير </w:t>
      </w:r>
      <w:r w:rsidRPr="00D26A91">
        <w:rPr>
          <w:spacing w:val="-2"/>
          <w:szCs w:val="20"/>
          <w:rtl/>
          <w:lang w:val="fr-CH"/>
        </w:rPr>
        <w:t>2009</w:t>
      </w:r>
      <w:r w:rsidRPr="00D26A91">
        <w:rPr>
          <w:spacing w:val="-2"/>
          <w:rtl/>
          <w:lang w:val="fr-CH"/>
        </w:rPr>
        <w:t xml:space="preserve">. وجاء في القرار أن صاحب البلاغ استفاد من العفو الصادر عن رئيس الاتحاد الروسي، غير أن الحكم الصادر بحقه قد ووئم مع القانون الجنائي الجديد، الذي كان له أثر رجعي، وخضع لاستعراض قضائي إشرافي. </w:t>
      </w:r>
    </w:p>
    <w:p w14:paraId="36D52D9D" w14:textId="5E85D009" w:rsidR="00E45DA1" w:rsidRPr="00E45DA1" w:rsidRDefault="00E45DA1" w:rsidP="00E45DA1">
      <w:pPr>
        <w:pStyle w:val="SingleTxtGA"/>
        <w:rPr>
          <w:rtl/>
          <w:lang w:val="fr-CH"/>
        </w:rPr>
      </w:pPr>
      <w:r w:rsidRPr="003F01F5">
        <w:rPr>
          <w:spacing w:val="-1"/>
          <w:szCs w:val="20"/>
          <w:rtl/>
          <w:lang w:val="fr-CH"/>
        </w:rPr>
        <w:t>2</w:t>
      </w:r>
      <w:r w:rsidRPr="003F01F5">
        <w:rPr>
          <w:spacing w:val="-1"/>
          <w:rtl/>
          <w:lang w:val="fr-CH"/>
        </w:rPr>
        <w:t>-</w:t>
      </w:r>
      <w:r w:rsidRPr="003F01F5">
        <w:rPr>
          <w:spacing w:val="-1"/>
          <w:szCs w:val="20"/>
          <w:rtl/>
          <w:lang w:val="fr-CH"/>
        </w:rPr>
        <w:t>7</w:t>
      </w:r>
      <w:r w:rsidRPr="003F01F5">
        <w:rPr>
          <w:spacing w:val="-1"/>
          <w:rtl/>
          <w:lang w:val="fr-CH"/>
        </w:rPr>
        <w:tab/>
        <w:t xml:space="preserve">وفي </w:t>
      </w:r>
      <w:r w:rsidRPr="003F01F5">
        <w:rPr>
          <w:spacing w:val="-1"/>
          <w:szCs w:val="20"/>
          <w:rtl/>
          <w:lang w:val="fr-CH"/>
        </w:rPr>
        <w:t>15</w:t>
      </w:r>
      <w:r w:rsidRPr="003F01F5">
        <w:rPr>
          <w:spacing w:val="-1"/>
          <w:rtl/>
          <w:lang w:val="fr-CH"/>
        </w:rPr>
        <w:t xml:space="preserve"> نيسان/أبريل </w:t>
      </w:r>
      <w:r w:rsidRPr="003F01F5">
        <w:rPr>
          <w:spacing w:val="-1"/>
          <w:szCs w:val="20"/>
          <w:rtl/>
          <w:lang w:val="fr-CH"/>
        </w:rPr>
        <w:t>2009</w:t>
      </w:r>
      <w:r w:rsidRPr="003F01F5">
        <w:rPr>
          <w:spacing w:val="-1"/>
          <w:rtl/>
          <w:lang w:val="fr-CH"/>
        </w:rPr>
        <w:t>، رفض رئيس محكمة بيرم الإقليمية الطلب الذي قدمه صاحب البلاغ لإجراء استعراض قضائي إشرافي للقرارات القضائية الصادرة عن محكمة مدينة سوليكامسك في</w:t>
      </w:r>
      <w:r w:rsidR="003F01F5" w:rsidRPr="003F01F5">
        <w:rPr>
          <w:rFonts w:hint="cs"/>
          <w:spacing w:val="-1"/>
          <w:rtl/>
          <w:lang w:val="fr-CH"/>
        </w:rPr>
        <w:t> </w:t>
      </w:r>
      <w:r w:rsidRPr="003F01F5">
        <w:rPr>
          <w:spacing w:val="-1"/>
          <w:szCs w:val="20"/>
          <w:rtl/>
          <w:lang w:val="fr-CH"/>
        </w:rPr>
        <w:t>4</w:t>
      </w:r>
      <w:r w:rsidRPr="003F01F5">
        <w:rPr>
          <w:spacing w:val="-1"/>
          <w:rtl/>
          <w:lang w:val="fr-CH"/>
        </w:rPr>
        <w:t xml:space="preserve"> أيار/مايو </w:t>
      </w:r>
      <w:r w:rsidRPr="003F01F5">
        <w:rPr>
          <w:spacing w:val="-1"/>
          <w:szCs w:val="20"/>
          <w:rtl/>
          <w:lang w:val="fr-CH"/>
        </w:rPr>
        <w:t>2006</w:t>
      </w:r>
      <w:r w:rsidRPr="003F01F5">
        <w:rPr>
          <w:spacing w:val="-1"/>
          <w:rtl/>
          <w:lang w:val="fr-CH"/>
        </w:rPr>
        <w:t xml:space="preserve"> ومحكمة بيرم الإقليمية في </w:t>
      </w:r>
      <w:r w:rsidRPr="003F01F5">
        <w:rPr>
          <w:spacing w:val="-1"/>
          <w:szCs w:val="20"/>
          <w:rtl/>
          <w:lang w:val="fr-CH"/>
        </w:rPr>
        <w:t>20</w:t>
      </w:r>
      <w:r w:rsidRPr="003F01F5">
        <w:rPr>
          <w:spacing w:val="-1"/>
          <w:rtl/>
          <w:lang w:val="fr-CH"/>
        </w:rPr>
        <w:t xml:space="preserve"> حزيران/يونيه </w:t>
      </w:r>
      <w:r w:rsidRPr="003F01F5">
        <w:rPr>
          <w:spacing w:val="-1"/>
          <w:szCs w:val="20"/>
          <w:rtl/>
          <w:lang w:val="fr-CH"/>
        </w:rPr>
        <w:t>2006</w:t>
      </w:r>
      <w:r w:rsidRPr="003F01F5">
        <w:rPr>
          <w:spacing w:val="-1"/>
          <w:rtl/>
          <w:lang w:val="fr-CH"/>
        </w:rPr>
        <w:t xml:space="preserve"> و</w:t>
      </w:r>
      <w:r w:rsidR="003F01F5" w:rsidRPr="003F01F5">
        <w:rPr>
          <w:rFonts w:hint="cs"/>
          <w:spacing w:val="-1"/>
          <w:szCs w:val="20"/>
          <w:rtl/>
          <w:lang w:val="fr-CH"/>
        </w:rPr>
        <w:t>1</w:t>
      </w:r>
      <w:r w:rsidRPr="003F01F5">
        <w:rPr>
          <w:spacing w:val="-1"/>
          <w:szCs w:val="20"/>
          <w:rtl/>
          <w:lang w:val="fr-CH"/>
        </w:rPr>
        <w:t>7</w:t>
      </w:r>
      <w:r w:rsidRPr="003F01F5">
        <w:rPr>
          <w:spacing w:val="-1"/>
          <w:rtl/>
          <w:lang w:val="fr-CH"/>
        </w:rPr>
        <w:t xml:space="preserve"> </w:t>
      </w:r>
      <w:r w:rsidR="003F01F5" w:rsidRPr="003F01F5">
        <w:rPr>
          <w:rFonts w:hint="cs"/>
          <w:spacing w:val="-1"/>
          <w:rtl/>
          <w:lang w:val="fr-CH"/>
        </w:rPr>
        <w:t xml:space="preserve">كانون الأول/ديسمبر </w:t>
      </w:r>
      <w:r w:rsidRPr="003F01F5">
        <w:rPr>
          <w:spacing w:val="-1"/>
          <w:szCs w:val="20"/>
          <w:rtl/>
          <w:lang w:val="fr-CH"/>
        </w:rPr>
        <w:t>2009</w:t>
      </w:r>
      <w:r w:rsidRPr="00E45DA1">
        <w:rPr>
          <w:rtl/>
          <w:lang w:val="fr-CH"/>
        </w:rPr>
        <w:t>. وفي</w:t>
      </w:r>
      <w:r w:rsidR="003F01F5">
        <w:rPr>
          <w:rFonts w:hint="cs"/>
          <w:rtl/>
          <w:lang w:val="fr-CH"/>
        </w:rPr>
        <w:t> </w:t>
      </w:r>
      <w:r w:rsidRPr="008D13D7">
        <w:rPr>
          <w:szCs w:val="20"/>
          <w:rtl/>
          <w:lang w:val="fr-CH"/>
        </w:rPr>
        <w:t>17</w:t>
      </w:r>
      <w:r w:rsidRPr="00E45DA1">
        <w:rPr>
          <w:rtl/>
          <w:lang w:val="fr-CH"/>
        </w:rPr>
        <w:t xml:space="preserve"> كانون الأول/ديسمبر </w:t>
      </w:r>
      <w:r w:rsidRPr="008D13D7">
        <w:rPr>
          <w:szCs w:val="20"/>
          <w:rtl/>
          <w:lang w:val="fr-CH"/>
        </w:rPr>
        <w:t>2013</w:t>
      </w:r>
      <w:r w:rsidRPr="00E45DA1">
        <w:rPr>
          <w:rtl/>
          <w:lang w:val="fr-CH"/>
        </w:rPr>
        <w:t xml:space="preserve">، رفض نائب رئيس المحكمة العليا طلب صاحب البلاغ إجراء استعراض قضائي إشرافي للقرارات القضائية المذكورة أعلاه التي أصدرتها محكمة مدينة سوليكامسك ومحكمة بيرم الإقليمية، وكذلك للقرار الذي أصدرته المحكمة العليا في </w:t>
      </w:r>
      <w:r w:rsidRPr="008D13D7">
        <w:rPr>
          <w:szCs w:val="20"/>
          <w:rtl/>
          <w:lang w:val="fr-CH"/>
        </w:rPr>
        <w:t>23</w:t>
      </w:r>
      <w:r w:rsidRPr="00E45DA1">
        <w:rPr>
          <w:rtl/>
          <w:lang w:val="fr-CH"/>
        </w:rPr>
        <w:t xml:space="preserve"> نيسان/أبريل </w:t>
      </w:r>
      <w:r w:rsidRPr="008D13D7">
        <w:rPr>
          <w:szCs w:val="20"/>
          <w:rtl/>
          <w:lang w:val="fr-CH"/>
        </w:rPr>
        <w:t>2013</w:t>
      </w:r>
      <w:r w:rsidRPr="00E45DA1">
        <w:rPr>
          <w:rtl/>
          <w:lang w:val="fr-CH"/>
        </w:rPr>
        <w:t xml:space="preserve">. وفي </w:t>
      </w:r>
      <w:r w:rsidRPr="008D13D7">
        <w:rPr>
          <w:szCs w:val="20"/>
          <w:rtl/>
          <w:lang w:val="fr-CH"/>
        </w:rPr>
        <w:t>30</w:t>
      </w:r>
      <w:r w:rsidRPr="00E45DA1">
        <w:rPr>
          <w:rtl/>
          <w:lang w:val="fr-CH"/>
        </w:rPr>
        <w:t xml:space="preserve"> آب/أغسطس </w:t>
      </w:r>
      <w:r w:rsidRPr="008D13D7">
        <w:rPr>
          <w:szCs w:val="20"/>
          <w:rtl/>
          <w:lang w:val="fr-CH"/>
        </w:rPr>
        <w:t>2013</w:t>
      </w:r>
      <w:r w:rsidRPr="00E45DA1">
        <w:rPr>
          <w:rtl/>
          <w:lang w:val="fr-CH"/>
        </w:rPr>
        <w:t xml:space="preserve"> و</w:t>
      </w:r>
      <w:r w:rsidRPr="008D13D7">
        <w:rPr>
          <w:szCs w:val="20"/>
          <w:rtl/>
          <w:lang w:val="fr-CH"/>
        </w:rPr>
        <w:t>24</w:t>
      </w:r>
      <w:r w:rsidRPr="00E45DA1">
        <w:rPr>
          <w:rtl/>
          <w:lang w:val="fr-CH"/>
        </w:rPr>
        <w:t xml:space="preserve"> تشرين الأول/أكتوبر </w:t>
      </w:r>
      <w:r w:rsidRPr="008D13D7">
        <w:rPr>
          <w:szCs w:val="20"/>
          <w:rtl/>
          <w:lang w:val="fr-CH"/>
        </w:rPr>
        <w:t>2013</w:t>
      </w:r>
      <w:r w:rsidRPr="00E45DA1">
        <w:rPr>
          <w:rtl/>
          <w:lang w:val="fr-CH"/>
        </w:rPr>
        <w:t xml:space="preserve"> و</w:t>
      </w:r>
      <w:r w:rsidRPr="008D13D7">
        <w:rPr>
          <w:szCs w:val="20"/>
          <w:rtl/>
          <w:lang w:val="fr-CH"/>
        </w:rPr>
        <w:t>11</w:t>
      </w:r>
      <w:r w:rsidRPr="00E45DA1">
        <w:rPr>
          <w:rtl/>
          <w:lang w:val="fr-CH"/>
        </w:rPr>
        <w:t xml:space="preserve"> كانون الأول/ديسمبر </w:t>
      </w:r>
      <w:r w:rsidRPr="008D13D7">
        <w:rPr>
          <w:szCs w:val="20"/>
          <w:rtl/>
          <w:lang w:val="fr-CH"/>
        </w:rPr>
        <w:t>2013</w:t>
      </w:r>
      <w:r w:rsidRPr="00E45DA1">
        <w:rPr>
          <w:rtl/>
          <w:lang w:val="fr-CH"/>
        </w:rPr>
        <w:t>، رفض مكتب المدعي العام الإقليمي في بيرم الطلبات التي قدمها صاحب البلاغ لإجراء استعراض قضائي إشرافي للقرارات المذكورة أعلاه التي أصدرتها محكمة مدينة سوليكامسك ومحكمة بيرم الإقليمية. ومن جملة ما قضى به قرار مكتب المدعي العام الإقليمي في بيرم، أن المحاكم حين أدخلت تغييرات على الحكم الصادر بحق صاحب البلاغ، أولت الاعتبار الواجب لطبيعة وخطورة الجرائم التي ارتكبها صاحب البلاغ، وكذلك لملابسات ارتكابها.</w:t>
      </w:r>
    </w:p>
    <w:p w14:paraId="2B43AE09" w14:textId="77777777" w:rsidR="00E45DA1" w:rsidRPr="00E45DA1" w:rsidRDefault="00E45DA1" w:rsidP="00E45DA1">
      <w:pPr>
        <w:pStyle w:val="SingleTxtGA"/>
        <w:rPr>
          <w:rtl/>
          <w:lang w:val="fr-CH"/>
        </w:rPr>
      </w:pPr>
      <w:r w:rsidRPr="008D13D7">
        <w:rPr>
          <w:szCs w:val="20"/>
          <w:rtl/>
          <w:lang w:val="fr-CH"/>
        </w:rPr>
        <w:lastRenderedPageBreak/>
        <w:t>2</w:t>
      </w:r>
      <w:r w:rsidRPr="00E45DA1">
        <w:rPr>
          <w:rtl/>
          <w:lang w:val="fr-CH"/>
        </w:rPr>
        <w:t>-</w:t>
      </w:r>
      <w:r w:rsidRPr="008D13D7">
        <w:rPr>
          <w:szCs w:val="20"/>
          <w:rtl/>
          <w:lang w:val="fr-CH"/>
        </w:rPr>
        <w:t>8</w:t>
      </w:r>
      <w:r w:rsidRPr="00E45DA1">
        <w:rPr>
          <w:rtl/>
          <w:lang w:val="fr-CH"/>
        </w:rPr>
        <w:tab/>
        <w:t xml:space="preserve">وفي تاريخ غير معلوم، طلب صاحب البلاغ إجراء استعراض قضائي إشرافي للقرار الصادر عن المحكمة العليا في </w:t>
      </w:r>
      <w:r w:rsidRPr="008D13D7">
        <w:rPr>
          <w:szCs w:val="20"/>
          <w:rtl/>
          <w:lang w:val="fr-CH"/>
        </w:rPr>
        <w:t>11</w:t>
      </w:r>
      <w:r w:rsidRPr="00E45DA1">
        <w:rPr>
          <w:rtl/>
          <w:lang w:val="fr-CH"/>
        </w:rPr>
        <w:t xml:space="preserve"> كانون الثاني/يناير </w:t>
      </w:r>
      <w:r w:rsidRPr="008D13D7">
        <w:rPr>
          <w:szCs w:val="20"/>
          <w:rtl/>
          <w:lang w:val="fr-CH"/>
        </w:rPr>
        <w:t>1996</w:t>
      </w:r>
      <w:r w:rsidRPr="00E45DA1">
        <w:rPr>
          <w:rtl/>
          <w:lang w:val="fr-CH"/>
        </w:rPr>
        <w:t>، ودفع بأن محكمة النقض انتهكت حقه في الدفاع، بالنظر إلى أن محكمة تشيليابينسك الإقليمية لم تبلغه بأن أطرافا أخرى في الإجراءات الجنائية قدمت طلبات للطعن بالنقض خلال الفترة التي كانت فيها الدعوى الجنائية المقامة ضده قيد الإعداد لكي تنظر فيها المحكمة العليا.</w:t>
      </w:r>
    </w:p>
    <w:p w14:paraId="5E786C7B" w14:textId="2445C015" w:rsidR="00E45DA1" w:rsidRPr="00E45DA1" w:rsidRDefault="00E45DA1" w:rsidP="00E45DA1">
      <w:pPr>
        <w:pStyle w:val="SingleTxtGA"/>
        <w:rPr>
          <w:rtl/>
          <w:lang w:val="fr-CH"/>
        </w:rPr>
      </w:pPr>
      <w:r w:rsidRPr="008D13D7">
        <w:rPr>
          <w:szCs w:val="20"/>
          <w:rtl/>
          <w:lang w:val="fr-CH"/>
        </w:rPr>
        <w:t>2</w:t>
      </w:r>
      <w:r w:rsidRPr="00E45DA1">
        <w:rPr>
          <w:rtl/>
          <w:lang w:val="fr-CH"/>
        </w:rPr>
        <w:t>-</w:t>
      </w:r>
      <w:r w:rsidRPr="008D13D7">
        <w:rPr>
          <w:szCs w:val="20"/>
          <w:rtl/>
          <w:lang w:val="fr-CH"/>
        </w:rPr>
        <w:t>9</w:t>
      </w:r>
      <w:r w:rsidRPr="00E45DA1">
        <w:rPr>
          <w:rtl/>
          <w:lang w:val="fr-CH"/>
        </w:rPr>
        <w:tab/>
        <w:t xml:space="preserve">وفي </w:t>
      </w:r>
      <w:r w:rsidRPr="008D13D7">
        <w:rPr>
          <w:szCs w:val="20"/>
          <w:rtl/>
          <w:lang w:val="fr-CH"/>
        </w:rPr>
        <w:t>10</w:t>
      </w:r>
      <w:r w:rsidRPr="00E45DA1">
        <w:rPr>
          <w:rtl/>
          <w:lang w:val="fr-CH"/>
        </w:rPr>
        <w:t xml:space="preserve"> كانون الثاني/يناير </w:t>
      </w:r>
      <w:r w:rsidRPr="008D13D7">
        <w:rPr>
          <w:szCs w:val="20"/>
          <w:rtl/>
          <w:lang w:val="fr-CH"/>
        </w:rPr>
        <w:t>2013</w:t>
      </w:r>
      <w:r w:rsidRPr="00E45DA1">
        <w:rPr>
          <w:rtl/>
          <w:lang w:val="fr-CH"/>
        </w:rPr>
        <w:t>، رفضت الهيئة القضائية للمحكمة العليا طلب صاحب البلاغ إجراء استعراض قضائي إشرافي لقرار المحكمة العليا الصادر في</w:t>
      </w:r>
      <w:r w:rsidRPr="008D13D7">
        <w:rPr>
          <w:szCs w:val="20"/>
          <w:rtl/>
          <w:lang w:val="fr-CH"/>
        </w:rPr>
        <w:t>11</w:t>
      </w:r>
      <w:r w:rsidRPr="00E45DA1">
        <w:rPr>
          <w:rtl/>
          <w:lang w:val="fr-CH"/>
        </w:rPr>
        <w:t xml:space="preserve"> كانون الثاني/يناير </w:t>
      </w:r>
      <w:r w:rsidRPr="008D13D7">
        <w:rPr>
          <w:szCs w:val="20"/>
          <w:rtl/>
          <w:lang w:val="fr-CH"/>
        </w:rPr>
        <w:t>1996</w:t>
      </w:r>
      <w:r w:rsidRPr="00E45DA1">
        <w:rPr>
          <w:rtl/>
          <w:lang w:val="fr-CH"/>
        </w:rPr>
        <w:t xml:space="preserve">، وأبلغت صاحب البلاغ بأن ملف النقض يشير إلى أن المحكمة الابتدائية أرسلت إخطاراً إلى مركز الحبس الاحتياطي الذي كان محتجزاً فيه في ذلك الوقت. وتضمن الإخطار معلومات عن إحالة قضية صاحب البلاغ، إلى جانب طلبات الطعن بالنقض التي قدمها الأشخاص المدانون ومحاموهم، إلى الهيئة القضائية للمحكمة العليا لعقد جلسة استماع. وفي </w:t>
      </w:r>
      <w:r w:rsidRPr="008D13D7">
        <w:rPr>
          <w:szCs w:val="20"/>
          <w:rtl/>
          <w:lang w:val="fr-CH"/>
        </w:rPr>
        <w:t>15</w:t>
      </w:r>
      <w:r w:rsidRPr="00E45DA1">
        <w:rPr>
          <w:rtl/>
          <w:lang w:val="fr-CH"/>
        </w:rPr>
        <w:t xml:space="preserve"> آذار/مارس </w:t>
      </w:r>
      <w:r w:rsidRPr="008D13D7">
        <w:rPr>
          <w:szCs w:val="20"/>
          <w:rtl/>
          <w:lang w:val="fr-CH"/>
        </w:rPr>
        <w:t>2013</w:t>
      </w:r>
      <w:r w:rsidRPr="00E45DA1">
        <w:rPr>
          <w:rtl/>
          <w:lang w:val="fr-CH"/>
        </w:rPr>
        <w:t>، طلب صاحب البلاغ إلى رئيس مركز الحبس الاحتياطي المعني أن يخبره ما إذا كان هذا الإخطار مسجلا في ملفه الشخصي. وفي تاريخ غير معلوم، أبلغ رئيس مركز الحبس الاحتياطي صاحب البلاغ بأن ملفه الشخصي لم يُسجل فيه الإخطار الذي أرسلته محكمة تشيليابينسك الإقليمية</w:t>
      </w:r>
      <w:r>
        <w:rPr>
          <w:vertAlign w:val="superscript"/>
          <w:rtl/>
          <w:lang w:val="fr-CH"/>
        </w:rPr>
        <w:t>(</w:t>
      </w:r>
      <w:r w:rsidRPr="00E45DA1">
        <w:rPr>
          <w:rFonts w:cs="Times New Roman"/>
          <w:position w:val="4"/>
          <w:vertAlign w:val="superscript"/>
        </w:rPr>
        <w:footnoteReference w:id="9"/>
      </w:r>
      <w:r>
        <w:rPr>
          <w:vertAlign w:val="superscript"/>
          <w:rtl/>
          <w:lang w:val="fr-CH"/>
        </w:rPr>
        <w:t>)</w:t>
      </w:r>
      <w:r w:rsidRPr="00E45DA1">
        <w:rPr>
          <w:rtl/>
          <w:lang w:val="fr-CH"/>
        </w:rPr>
        <w:t xml:space="preserve">. ورفض نائب رئيس المحكمة العليا في </w:t>
      </w:r>
      <w:r w:rsidRPr="008D13D7">
        <w:rPr>
          <w:szCs w:val="20"/>
          <w:rtl/>
          <w:lang w:val="fr-CH"/>
        </w:rPr>
        <w:t>16</w:t>
      </w:r>
      <w:r w:rsidRPr="00E45DA1">
        <w:rPr>
          <w:rtl/>
          <w:lang w:val="fr-CH"/>
        </w:rPr>
        <w:t xml:space="preserve"> </w:t>
      </w:r>
      <w:r w:rsidR="003F01F5">
        <w:rPr>
          <w:rFonts w:hint="cs"/>
          <w:rtl/>
          <w:lang w:val="fr-CH"/>
        </w:rPr>
        <w:t>كانون الأول/ديسمبر</w:t>
      </w:r>
      <w:r w:rsidRPr="00E45DA1">
        <w:rPr>
          <w:rtl/>
          <w:lang w:val="fr-CH"/>
        </w:rPr>
        <w:t xml:space="preserve"> </w:t>
      </w:r>
      <w:r w:rsidRPr="008D13D7">
        <w:rPr>
          <w:szCs w:val="20"/>
          <w:rtl/>
          <w:lang w:val="fr-CH"/>
        </w:rPr>
        <w:t>2013</w:t>
      </w:r>
      <w:r w:rsidRPr="00E45DA1">
        <w:rPr>
          <w:rtl/>
          <w:lang w:val="fr-CH"/>
        </w:rPr>
        <w:t xml:space="preserve">، الطعن الذي قدمه صاحب البلاغ في قرار الهيئة القضائية للمحكمة العليا الصادر في </w:t>
      </w:r>
      <w:r w:rsidRPr="008D13D7">
        <w:rPr>
          <w:szCs w:val="20"/>
          <w:rtl/>
          <w:lang w:val="fr-CH"/>
        </w:rPr>
        <w:t>10</w:t>
      </w:r>
      <w:r w:rsidRPr="00E45DA1">
        <w:rPr>
          <w:rtl/>
          <w:lang w:val="fr-CH"/>
        </w:rPr>
        <w:t xml:space="preserve"> </w:t>
      </w:r>
      <w:r w:rsidR="003F01F5">
        <w:rPr>
          <w:rFonts w:hint="cs"/>
          <w:rtl/>
          <w:lang w:val="fr-CH"/>
        </w:rPr>
        <w:t xml:space="preserve">نيسان/أبريل </w:t>
      </w:r>
      <w:r w:rsidRPr="008D13D7">
        <w:rPr>
          <w:szCs w:val="20"/>
          <w:rtl/>
          <w:lang w:val="fr-CH"/>
        </w:rPr>
        <w:t>2013</w:t>
      </w:r>
      <w:r w:rsidRPr="00E45DA1">
        <w:rPr>
          <w:rtl/>
          <w:lang w:val="fr-CH"/>
        </w:rPr>
        <w:t xml:space="preserve">. </w:t>
      </w:r>
    </w:p>
    <w:p w14:paraId="4CE68306" w14:textId="26806CE0" w:rsidR="00E45DA1" w:rsidRPr="00E45DA1" w:rsidRDefault="00E45DA1" w:rsidP="00E45DA1">
      <w:pPr>
        <w:pStyle w:val="SingleTxtGA"/>
        <w:rPr>
          <w:rtl/>
          <w:lang w:val="fr-CH"/>
        </w:rPr>
      </w:pPr>
      <w:r w:rsidRPr="008D13D7">
        <w:rPr>
          <w:szCs w:val="20"/>
          <w:rtl/>
          <w:lang w:val="fr-CH"/>
        </w:rPr>
        <w:t>2</w:t>
      </w:r>
      <w:r w:rsidRPr="00E45DA1">
        <w:rPr>
          <w:rtl/>
          <w:lang w:val="fr-CH"/>
        </w:rPr>
        <w:t>-</w:t>
      </w:r>
      <w:r w:rsidRPr="008D13D7">
        <w:rPr>
          <w:szCs w:val="20"/>
          <w:rtl/>
          <w:lang w:val="fr-CH"/>
        </w:rPr>
        <w:t>10</w:t>
      </w:r>
      <w:r w:rsidRPr="00E45DA1">
        <w:rPr>
          <w:rtl/>
          <w:lang w:val="fr-CH"/>
        </w:rPr>
        <w:tab/>
        <w:t xml:space="preserve">ورفض مكتب المدعي العام في </w:t>
      </w:r>
      <w:r w:rsidRPr="008D13D7">
        <w:rPr>
          <w:szCs w:val="20"/>
          <w:rtl/>
          <w:lang w:val="fr-CH"/>
        </w:rPr>
        <w:t>30</w:t>
      </w:r>
      <w:r w:rsidRPr="00E45DA1">
        <w:rPr>
          <w:rtl/>
          <w:lang w:val="fr-CH"/>
        </w:rPr>
        <w:t xml:space="preserve"> تموز/يوليه </w:t>
      </w:r>
      <w:r w:rsidRPr="008D13D7">
        <w:rPr>
          <w:szCs w:val="20"/>
          <w:rtl/>
          <w:lang w:val="fr-CH"/>
        </w:rPr>
        <w:t>2013</w:t>
      </w:r>
      <w:r w:rsidRPr="00E45DA1">
        <w:rPr>
          <w:rtl/>
          <w:lang w:val="fr-CH"/>
        </w:rPr>
        <w:t xml:space="preserve"> الطلب الإضافي الذي قدمه صاحب البلاغ لإجراء استعراض قضائي إشرافي لقرار المحكمة العليا الصادر في </w:t>
      </w:r>
      <w:r w:rsidRPr="008D13D7">
        <w:rPr>
          <w:szCs w:val="20"/>
          <w:rtl/>
          <w:lang w:val="fr-CH"/>
        </w:rPr>
        <w:t>11</w:t>
      </w:r>
      <w:r w:rsidRPr="00E45DA1">
        <w:rPr>
          <w:rtl/>
          <w:lang w:val="fr-CH"/>
        </w:rPr>
        <w:t xml:space="preserve"> كانون الثاني/يناير </w:t>
      </w:r>
      <w:r w:rsidRPr="008D13D7">
        <w:rPr>
          <w:szCs w:val="20"/>
          <w:rtl/>
          <w:lang w:val="fr-CH"/>
        </w:rPr>
        <w:t>1996</w:t>
      </w:r>
      <w:r w:rsidRPr="00E45DA1">
        <w:rPr>
          <w:rtl/>
          <w:lang w:val="fr-CH"/>
        </w:rPr>
        <w:t xml:space="preserve">. وأُبلغ صاحب البلاغ بأن المحكمة الابتدائية قد أرسلت إخطاراً إلى مركز الحبس الاحتياطي، وفقاً لما ورد في ملف الدعوى الجنائية. وتضمن الإخطار معلومات عن إحالة قضية صاحب البلاغ، إلى جانب طلبات الطعن بالنقض التي قدمها الأشخاص المدانون ومحاموهم، إلى الهيئة القضائية للمحكمة العليا لعقد جلسة استماع. وأُبلغ صاحب البلاغ أيضاً بأنه لم يرد في السجلات ما يفيد بأنه طلب تمكينه من الاطلاع على الطعون المقدمة من الأطراف الأخرى في الإجراءات الجنائية. وفي </w:t>
      </w:r>
      <w:r w:rsidRPr="008D13D7">
        <w:rPr>
          <w:szCs w:val="20"/>
          <w:rtl/>
          <w:lang w:val="fr-CH"/>
        </w:rPr>
        <w:t>4</w:t>
      </w:r>
      <w:r w:rsidRPr="00E45DA1">
        <w:rPr>
          <w:rtl/>
          <w:lang w:val="fr-CH"/>
        </w:rPr>
        <w:t xml:space="preserve"> كانون الأول/ديسمبر </w:t>
      </w:r>
      <w:r w:rsidRPr="008D13D7">
        <w:rPr>
          <w:szCs w:val="20"/>
          <w:rtl/>
          <w:lang w:val="fr-CH"/>
        </w:rPr>
        <w:t>2013</w:t>
      </w:r>
      <w:r w:rsidRPr="00E45DA1">
        <w:rPr>
          <w:rtl/>
          <w:lang w:val="fr-CH"/>
        </w:rPr>
        <w:t>، رفض مكتب المدعي العام الإقليمي في تشيليابينسك أيضاً طلبا مماثلا قدمه صاحب البلاغ لإجراء استعراض قضائي إشرافي لقرار المحكمة العليا الذي تقدم ذكره. ومن جملة ما</w:t>
      </w:r>
      <w:r w:rsidR="00BF29BF">
        <w:rPr>
          <w:rFonts w:hint="cs"/>
          <w:rtl/>
          <w:lang w:val="fr-CH"/>
        </w:rPr>
        <w:t> </w:t>
      </w:r>
      <w:r w:rsidRPr="00E45DA1">
        <w:rPr>
          <w:rtl/>
          <w:lang w:val="fr-CH"/>
        </w:rPr>
        <w:t>ورد في كتاب الرفض الصادر عن مكتب المدعي العام، أن صاحب البلاغ استطاع الإدلاء بما لديه من حجج في طلب الطعن بالنقض الذي قدمه وأنه لا توجد تناقضات بين حججه والحجج التي دفع بها محاميه وشركاؤه في التهمة في طلبات الطعن بالنقض التي قدمها كل منهم.</w:t>
      </w:r>
    </w:p>
    <w:p w14:paraId="423D5CF0" w14:textId="77777777" w:rsidR="00E45DA1" w:rsidRPr="00E45DA1" w:rsidRDefault="00E45DA1" w:rsidP="00E45DA1">
      <w:pPr>
        <w:pStyle w:val="SingleTxtGA"/>
        <w:rPr>
          <w:rtl/>
          <w:lang w:val="fr-CH"/>
        </w:rPr>
      </w:pPr>
      <w:r w:rsidRPr="008D13D7">
        <w:rPr>
          <w:szCs w:val="20"/>
          <w:rtl/>
          <w:lang w:val="fr-CH"/>
        </w:rPr>
        <w:t>2</w:t>
      </w:r>
      <w:r w:rsidRPr="00E45DA1">
        <w:rPr>
          <w:rtl/>
          <w:lang w:val="fr-CH"/>
        </w:rPr>
        <w:t>-</w:t>
      </w:r>
      <w:r w:rsidRPr="008D13D7">
        <w:rPr>
          <w:szCs w:val="20"/>
          <w:rtl/>
          <w:lang w:val="fr-CH"/>
        </w:rPr>
        <w:t>11</w:t>
      </w:r>
      <w:r w:rsidRPr="00E45DA1">
        <w:rPr>
          <w:rtl/>
          <w:lang w:val="fr-CH"/>
        </w:rPr>
        <w:tab/>
        <w:t>وبناءً على ذلك، يفيد صاحب البلاغ بأنه قد استنفد جميع سبل الانتصاف المحلية المتاحة والفعالة.</w:t>
      </w:r>
    </w:p>
    <w:p w14:paraId="47234245" w14:textId="77777777" w:rsidR="00E45DA1" w:rsidRPr="00E45DA1" w:rsidRDefault="00E45DA1" w:rsidP="003F01F5">
      <w:pPr>
        <w:pStyle w:val="H23GA"/>
        <w:keepNext/>
        <w:keepLines/>
        <w:rPr>
          <w:rtl/>
          <w:lang w:val="fr-CH"/>
        </w:rPr>
      </w:pPr>
      <w:r w:rsidRPr="00E45DA1">
        <w:rPr>
          <w:rtl/>
          <w:lang w:val="fr-CH"/>
        </w:rPr>
        <w:tab/>
      </w:r>
      <w:r w:rsidRPr="00E45DA1">
        <w:rPr>
          <w:rtl/>
          <w:lang w:val="fr-CH"/>
        </w:rPr>
        <w:tab/>
        <w:t>الشكوى</w:t>
      </w:r>
    </w:p>
    <w:p w14:paraId="2EB23E2A" w14:textId="5E3231E9" w:rsidR="00E45DA1" w:rsidRPr="00E45DA1" w:rsidRDefault="00E45DA1" w:rsidP="00E45DA1">
      <w:pPr>
        <w:pStyle w:val="SingleTxtGA"/>
        <w:rPr>
          <w:rtl/>
          <w:lang w:val="fr-CH"/>
        </w:rPr>
      </w:pPr>
      <w:r w:rsidRPr="008D13D7">
        <w:rPr>
          <w:szCs w:val="20"/>
          <w:rtl/>
          <w:lang w:val="fr-CH"/>
        </w:rPr>
        <w:t>3</w:t>
      </w:r>
      <w:r w:rsidRPr="00E45DA1">
        <w:rPr>
          <w:rtl/>
          <w:lang w:val="fr-CH"/>
        </w:rPr>
        <w:t>-</w:t>
      </w:r>
      <w:r w:rsidRPr="008D13D7">
        <w:rPr>
          <w:szCs w:val="20"/>
          <w:rtl/>
          <w:lang w:val="fr-CH"/>
        </w:rPr>
        <w:t>1</w:t>
      </w:r>
      <w:r w:rsidRPr="00E45DA1">
        <w:rPr>
          <w:rtl/>
          <w:lang w:val="fr-CH"/>
        </w:rPr>
        <w:tab/>
        <w:t xml:space="preserve">يدعي صاحب البلاغ انتهاك حقوقه المكفولة بموجب المادة </w:t>
      </w:r>
      <w:r w:rsidRPr="008D13D7">
        <w:rPr>
          <w:szCs w:val="20"/>
          <w:rtl/>
          <w:lang w:val="fr-CH"/>
        </w:rPr>
        <w:t>14</w:t>
      </w:r>
      <w:r w:rsidRPr="00E45DA1">
        <w:rPr>
          <w:rtl/>
          <w:lang w:val="fr-CH"/>
        </w:rPr>
        <w:t>(</w:t>
      </w:r>
      <w:r w:rsidRPr="008D13D7">
        <w:rPr>
          <w:szCs w:val="20"/>
          <w:rtl/>
          <w:lang w:val="fr-CH"/>
        </w:rPr>
        <w:t>3</w:t>
      </w:r>
      <w:r w:rsidRPr="00E45DA1">
        <w:rPr>
          <w:rtl/>
          <w:lang w:val="fr-CH"/>
        </w:rPr>
        <w:t xml:space="preserve">)(ب) من العهد، لأن محكمة تشيليابينسك الإقليمية لم تبلغه بتقديم أطرافٍ أخرى في الإجراءات الجنائية، بمن في ذلك محاميه، أ. والمدعى عليهم، طلبات طعن بالنقض خلال فترة إعداد الدعوى الجنائية المرفوعة ضده لكي </w:t>
      </w:r>
      <w:r w:rsidRPr="00E45DA1">
        <w:rPr>
          <w:rtl/>
          <w:lang w:val="fr-CH"/>
        </w:rPr>
        <w:lastRenderedPageBreak/>
        <w:t>تنظر فيها الهيئة القضائية للمحكمة العليا، بصفتها محكمة النقض، وهو ما يخالف مقتضيات المادة</w:t>
      </w:r>
      <w:r w:rsidR="003C20CF">
        <w:rPr>
          <w:rFonts w:hint="cs"/>
          <w:rtl/>
          <w:lang w:val="fr-CH"/>
        </w:rPr>
        <w:t> </w:t>
      </w:r>
      <w:r w:rsidRPr="008D13D7">
        <w:rPr>
          <w:szCs w:val="20"/>
          <w:rtl/>
          <w:lang w:val="fr-CH"/>
        </w:rPr>
        <w:t>327</w:t>
      </w:r>
      <w:r w:rsidRPr="00E45DA1">
        <w:rPr>
          <w:rtl/>
          <w:lang w:val="fr-CH"/>
        </w:rPr>
        <w:t xml:space="preserve"> من قانون الإجراءات الجنائية لعام </w:t>
      </w:r>
      <w:r w:rsidRPr="008D13D7">
        <w:rPr>
          <w:szCs w:val="20"/>
          <w:rtl/>
          <w:lang w:val="fr-CH"/>
        </w:rPr>
        <w:t>1960</w:t>
      </w:r>
      <w:r w:rsidRPr="00E45DA1">
        <w:rPr>
          <w:rtl/>
          <w:lang w:val="fr-CH"/>
        </w:rPr>
        <w:t xml:space="preserve"> لجمهورية روسيا الاتحادية الاشتراكية السوفياتية، الذي كان سارياً في ذلك الوقت</w:t>
      </w:r>
      <w:r>
        <w:rPr>
          <w:vertAlign w:val="superscript"/>
          <w:rtl/>
          <w:lang w:val="fr-CH"/>
        </w:rPr>
        <w:t>(</w:t>
      </w:r>
      <w:r w:rsidRPr="00E45DA1">
        <w:rPr>
          <w:rFonts w:cs="Times New Roman"/>
          <w:position w:val="4"/>
          <w:vertAlign w:val="superscript"/>
        </w:rPr>
        <w:footnoteReference w:id="10"/>
      </w:r>
      <w:r>
        <w:rPr>
          <w:vertAlign w:val="superscript"/>
          <w:rtl/>
          <w:lang w:val="fr-CH"/>
        </w:rPr>
        <w:t>)</w:t>
      </w:r>
      <w:r w:rsidRPr="00E45DA1">
        <w:rPr>
          <w:rtl/>
          <w:lang w:val="fr-CH"/>
        </w:rPr>
        <w:t xml:space="preserve">. ويدفع صاحب البلاغ بأن حقه في الاطلاع على طلبات الطعن بالنقض التي قدمتها الأطراف الأخرى في الإجراءات الجنائية إلى محكمة تشيليابينسك الإقليمية قد انتُهك، مما حرمه فعلياً من فرصة تقديم حجج مضادة وإيضاحات إضافية و/أو طلبات إجرائية. ويشير في هذا الصدد إلى المادة </w:t>
      </w:r>
      <w:r w:rsidRPr="008D13D7">
        <w:rPr>
          <w:szCs w:val="20"/>
          <w:rtl/>
          <w:lang w:val="fr-CH"/>
        </w:rPr>
        <w:t>19</w:t>
      </w:r>
      <w:r w:rsidRPr="00E45DA1">
        <w:rPr>
          <w:rtl/>
          <w:lang w:val="fr-CH"/>
        </w:rPr>
        <w:t xml:space="preserve"> من قانون الإجراءات الجنائية لعام </w:t>
      </w:r>
      <w:r w:rsidRPr="008D13D7">
        <w:rPr>
          <w:szCs w:val="20"/>
          <w:rtl/>
          <w:lang w:val="fr-CH"/>
        </w:rPr>
        <w:t>1960</w:t>
      </w:r>
      <w:r w:rsidRPr="00E45DA1">
        <w:rPr>
          <w:rtl/>
          <w:lang w:val="fr-CH"/>
        </w:rPr>
        <w:t xml:space="preserve"> (التي تكفل حق الدفاع للمشتبه فيه والمتهم). ويضيف صاحب البلاغ أنه لم يحضر لا هو ولا محاميه جلسة النظر في الطعن بالنقض.</w:t>
      </w:r>
    </w:p>
    <w:p w14:paraId="070796B8" w14:textId="77777777" w:rsidR="00E45DA1" w:rsidRPr="00E45DA1" w:rsidRDefault="00E45DA1" w:rsidP="00D26A91">
      <w:pPr>
        <w:pStyle w:val="SingleTxtGA"/>
        <w:spacing w:line="354" w:lineRule="exact"/>
        <w:rPr>
          <w:rtl/>
          <w:lang w:val="fr-CH"/>
        </w:rPr>
      </w:pPr>
      <w:r w:rsidRPr="008D13D7">
        <w:rPr>
          <w:szCs w:val="20"/>
          <w:rtl/>
          <w:lang w:val="fr-CH"/>
        </w:rPr>
        <w:t>3</w:t>
      </w:r>
      <w:r w:rsidRPr="00E45DA1">
        <w:rPr>
          <w:rtl/>
          <w:lang w:val="fr-CH"/>
        </w:rPr>
        <w:t>-</w:t>
      </w:r>
      <w:r w:rsidRPr="008D13D7">
        <w:rPr>
          <w:szCs w:val="20"/>
          <w:rtl/>
          <w:lang w:val="fr-CH"/>
        </w:rPr>
        <w:t>2</w:t>
      </w:r>
      <w:r w:rsidRPr="00E45DA1">
        <w:rPr>
          <w:rtl/>
          <w:lang w:val="fr-CH"/>
        </w:rPr>
        <w:tab/>
        <w:t xml:space="preserve">ويدعي صاحب البلاغ حدوث انتهاكٍ للمادة </w:t>
      </w:r>
      <w:r w:rsidRPr="008D13D7">
        <w:rPr>
          <w:szCs w:val="20"/>
          <w:rtl/>
          <w:lang w:val="fr-CH"/>
        </w:rPr>
        <w:t>14</w:t>
      </w:r>
      <w:r w:rsidRPr="00E45DA1">
        <w:rPr>
          <w:rtl/>
          <w:lang w:val="fr-CH"/>
        </w:rPr>
        <w:t>(</w:t>
      </w:r>
      <w:r w:rsidRPr="008D13D7">
        <w:rPr>
          <w:szCs w:val="20"/>
          <w:rtl/>
          <w:lang w:val="fr-CH"/>
        </w:rPr>
        <w:t>1</w:t>
      </w:r>
      <w:r w:rsidRPr="00E45DA1">
        <w:rPr>
          <w:rtl/>
          <w:lang w:val="fr-CH"/>
        </w:rPr>
        <w:t>) و(</w:t>
      </w:r>
      <w:r w:rsidRPr="008D13D7">
        <w:rPr>
          <w:szCs w:val="20"/>
          <w:rtl/>
          <w:lang w:val="fr-CH"/>
        </w:rPr>
        <w:t>5</w:t>
      </w:r>
      <w:r w:rsidRPr="00E45DA1">
        <w:rPr>
          <w:rtl/>
          <w:lang w:val="fr-CH"/>
        </w:rPr>
        <w:t xml:space="preserve">) من العهد، لأنه حُرم فعلياً من الحق في محاكمة عادلة طبقاً لنظام الخصومة وعلى مبدأ المساواة بين أطرافها، عندما نظرت الهيئة القضائية للمحكمة العليا، بصفتها محكمة النقض، في الدعوى الجنائية المقامة ضده. ويدفع في هذا الصدد، بأن سلطات الدولة الطرف لم تكفل التقيد بمقتضيات المادة </w:t>
      </w:r>
      <w:r w:rsidRPr="008D13D7">
        <w:rPr>
          <w:szCs w:val="20"/>
          <w:rtl/>
          <w:lang w:val="fr-CH"/>
        </w:rPr>
        <w:t>327</w:t>
      </w:r>
      <w:r w:rsidRPr="00E45DA1">
        <w:rPr>
          <w:rtl/>
          <w:lang w:val="fr-CH"/>
        </w:rPr>
        <w:t xml:space="preserve"> من قانون الإجراءات الجنائية لعام </w:t>
      </w:r>
      <w:r w:rsidRPr="008D13D7">
        <w:rPr>
          <w:szCs w:val="20"/>
          <w:rtl/>
          <w:lang w:val="fr-CH"/>
        </w:rPr>
        <w:t>1960</w:t>
      </w:r>
      <w:r w:rsidRPr="00E45DA1">
        <w:rPr>
          <w:rtl/>
          <w:lang w:val="fr-CH"/>
        </w:rPr>
        <w:t xml:space="preserve"> (انظر الفقرتين </w:t>
      </w:r>
      <w:r w:rsidRPr="008D13D7">
        <w:rPr>
          <w:szCs w:val="20"/>
          <w:rtl/>
          <w:lang w:val="fr-CH"/>
        </w:rPr>
        <w:t>2</w:t>
      </w:r>
      <w:r w:rsidRPr="00E45DA1">
        <w:rPr>
          <w:rtl/>
          <w:lang w:val="fr-CH"/>
        </w:rPr>
        <w:t>-</w:t>
      </w:r>
      <w:r w:rsidRPr="008D13D7">
        <w:rPr>
          <w:szCs w:val="20"/>
          <w:rtl/>
          <w:lang w:val="fr-CH"/>
        </w:rPr>
        <w:t>9</w:t>
      </w:r>
      <w:r w:rsidRPr="00E45DA1">
        <w:rPr>
          <w:rtl/>
          <w:lang w:val="fr-CH"/>
        </w:rPr>
        <w:t xml:space="preserve"> و</w:t>
      </w:r>
      <w:r w:rsidRPr="008D13D7">
        <w:rPr>
          <w:szCs w:val="20"/>
          <w:rtl/>
          <w:lang w:val="fr-CH"/>
        </w:rPr>
        <w:t>2</w:t>
      </w:r>
      <w:r w:rsidRPr="00E45DA1">
        <w:rPr>
          <w:rtl/>
          <w:lang w:val="fr-CH"/>
        </w:rPr>
        <w:t>-</w:t>
      </w:r>
      <w:r w:rsidRPr="008D13D7">
        <w:rPr>
          <w:szCs w:val="20"/>
          <w:rtl/>
          <w:lang w:val="fr-CH"/>
        </w:rPr>
        <w:t>10</w:t>
      </w:r>
      <w:r w:rsidRPr="00E45DA1">
        <w:rPr>
          <w:rtl/>
          <w:lang w:val="fr-CH"/>
        </w:rPr>
        <w:t xml:space="preserve"> أعلاه).</w:t>
      </w:r>
    </w:p>
    <w:p w14:paraId="492DD2EE" w14:textId="77777777" w:rsidR="00E45DA1" w:rsidRPr="00E45DA1" w:rsidRDefault="00E45DA1" w:rsidP="00D26A91">
      <w:pPr>
        <w:pStyle w:val="SingleTxtGA"/>
        <w:spacing w:line="354" w:lineRule="exact"/>
        <w:rPr>
          <w:rtl/>
          <w:lang w:val="fr-CH"/>
        </w:rPr>
      </w:pPr>
      <w:r w:rsidRPr="008D13D7">
        <w:rPr>
          <w:szCs w:val="20"/>
          <w:rtl/>
          <w:lang w:val="fr-CH"/>
        </w:rPr>
        <w:t>3</w:t>
      </w:r>
      <w:r w:rsidRPr="00E45DA1">
        <w:rPr>
          <w:rtl/>
          <w:lang w:val="fr-CH"/>
        </w:rPr>
        <w:t>-</w:t>
      </w:r>
      <w:r w:rsidRPr="008D13D7">
        <w:rPr>
          <w:szCs w:val="20"/>
          <w:rtl/>
          <w:lang w:val="fr-CH"/>
        </w:rPr>
        <w:t>3</w:t>
      </w:r>
      <w:r w:rsidRPr="00E45DA1">
        <w:rPr>
          <w:rtl/>
          <w:lang w:val="fr-CH"/>
        </w:rPr>
        <w:tab/>
        <w:t xml:space="preserve">ويدعي صاحب البلاغ أن الحكم الصادر بحقه لم يواءم بالكامل مع القانون الجنائي الجديد، وهو ما يشكل انتهاكاً للمادتين </w:t>
      </w:r>
      <w:r w:rsidRPr="008D13D7">
        <w:rPr>
          <w:szCs w:val="20"/>
          <w:rtl/>
          <w:lang w:val="fr-CH"/>
        </w:rPr>
        <w:t>14</w:t>
      </w:r>
      <w:r w:rsidRPr="00E45DA1">
        <w:rPr>
          <w:rtl/>
          <w:lang w:val="fr-CH"/>
        </w:rPr>
        <w:t>(</w:t>
      </w:r>
      <w:r w:rsidRPr="008D13D7">
        <w:rPr>
          <w:szCs w:val="20"/>
          <w:rtl/>
          <w:lang w:val="fr-CH"/>
        </w:rPr>
        <w:t>1</w:t>
      </w:r>
      <w:r w:rsidRPr="00E45DA1">
        <w:rPr>
          <w:rtl/>
          <w:lang w:val="fr-CH"/>
        </w:rPr>
        <w:t>) و</w:t>
      </w:r>
      <w:r w:rsidRPr="008D13D7">
        <w:rPr>
          <w:szCs w:val="20"/>
          <w:rtl/>
          <w:lang w:val="fr-CH"/>
        </w:rPr>
        <w:t>15</w:t>
      </w:r>
      <w:r w:rsidRPr="00E45DA1">
        <w:rPr>
          <w:rtl/>
          <w:lang w:val="fr-CH"/>
        </w:rPr>
        <w:t>(</w:t>
      </w:r>
      <w:r w:rsidRPr="008D13D7">
        <w:rPr>
          <w:szCs w:val="20"/>
          <w:rtl/>
          <w:lang w:val="fr-CH"/>
        </w:rPr>
        <w:t>1</w:t>
      </w:r>
      <w:r w:rsidRPr="00E45DA1">
        <w:rPr>
          <w:rtl/>
          <w:lang w:val="fr-CH"/>
        </w:rPr>
        <w:t xml:space="preserve">) من العهد. ودفع صاحب البلاغ بأن محكمة تشيليابينسك الإقليمية حين قررت في الأساس أن تحكم عليه بالإعدام، استندت في قرارها إلى كونه من المجرمين العائدين الخطرين. وبالنظر إلى أن هذه الإشارة قد حذفت فيما بعد من الحكم الصادر بحق صاحب البلاغ، فإن عقوبته ينبغي أن تُخفف إلى السجن لمدة </w:t>
      </w:r>
      <w:r w:rsidRPr="008D13D7">
        <w:rPr>
          <w:szCs w:val="20"/>
          <w:rtl/>
          <w:lang w:val="fr-CH"/>
        </w:rPr>
        <w:t>15</w:t>
      </w:r>
      <w:r w:rsidRPr="00E45DA1">
        <w:rPr>
          <w:rtl/>
          <w:lang w:val="fr-CH"/>
        </w:rPr>
        <w:t xml:space="preserve"> سنة، عملاً بمقتضيات المادة </w:t>
      </w:r>
      <w:r w:rsidRPr="008D13D7">
        <w:rPr>
          <w:szCs w:val="20"/>
          <w:rtl/>
          <w:lang w:val="fr-CH"/>
        </w:rPr>
        <w:t>54</w:t>
      </w:r>
      <w:r w:rsidRPr="00E45DA1">
        <w:rPr>
          <w:rtl/>
          <w:lang w:val="fr-CH"/>
        </w:rPr>
        <w:t xml:space="preserve"> من دستور الاتحاد الروسي والمادة </w:t>
      </w:r>
      <w:r w:rsidRPr="008D13D7">
        <w:rPr>
          <w:szCs w:val="20"/>
          <w:rtl/>
          <w:lang w:val="fr-CH"/>
        </w:rPr>
        <w:t>10</w:t>
      </w:r>
      <w:r w:rsidRPr="00E45DA1">
        <w:rPr>
          <w:rtl/>
          <w:lang w:val="fr-CH"/>
        </w:rPr>
        <w:t xml:space="preserve"> من القانون الجنائي لعام </w:t>
      </w:r>
      <w:r w:rsidRPr="008D13D7">
        <w:rPr>
          <w:szCs w:val="20"/>
          <w:rtl/>
          <w:lang w:val="fr-CH"/>
        </w:rPr>
        <w:t>1996</w:t>
      </w:r>
      <w:r w:rsidRPr="00E45DA1">
        <w:rPr>
          <w:rtl/>
          <w:lang w:val="fr-CH"/>
        </w:rPr>
        <w:t xml:space="preserve"> (انظر الفقرة </w:t>
      </w:r>
      <w:r w:rsidRPr="008D13D7">
        <w:rPr>
          <w:szCs w:val="20"/>
          <w:rtl/>
          <w:lang w:val="fr-CH"/>
        </w:rPr>
        <w:t>2</w:t>
      </w:r>
      <w:r w:rsidRPr="00E45DA1">
        <w:rPr>
          <w:rtl/>
          <w:lang w:val="fr-CH"/>
        </w:rPr>
        <w:t>-</w:t>
      </w:r>
      <w:r w:rsidRPr="008D13D7">
        <w:rPr>
          <w:szCs w:val="20"/>
          <w:rtl/>
          <w:lang w:val="fr-CH"/>
        </w:rPr>
        <w:t>4</w:t>
      </w:r>
      <w:r w:rsidRPr="00E45DA1">
        <w:rPr>
          <w:rtl/>
          <w:lang w:val="fr-CH"/>
        </w:rPr>
        <w:t xml:space="preserve"> أعلاه).</w:t>
      </w:r>
    </w:p>
    <w:p w14:paraId="7E01D63D" w14:textId="77777777" w:rsidR="00E45DA1" w:rsidRPr="00E45DA1" w:rsidRDefault="00E45DA1" w:rsidP="00D26A91">
      <w:pPr>
        <w:pStyle w:val="SingleTxtGA"/>
        <w:spacing w:line="354" w:lineRule="exact"/>
        <w:rPr>
          <w:rtl/>
          <w:lang w:val="fr-CH"/>
        </w:rPr>
      </w:pPr>
      <w:r w:rsidRPr="008D13D7">
        <w:rPr>
          <w:szCs w:val="20"/>
          <w:rtl/>
          <w:lang w:val="fr-CH"/>
        </w:rPr>
        <w:t>3</w:t>
      </w:r>
      <w:r w:rsidRPr="00E45DA1">
        <w:rPr>
          <w:rtl/>
          <w:lang w:val="fr-CH"/>
        </w:rPr>
        <w:t>-</w:t>
      </w:r>
      <w:r w:rsidRPr="008D13D7">
        <w:rPr>
          <w:szCs w:val="20"/>
          <w:rtl/>
          <w:lang w:val="fr-CH"/>
        </w:rPr>
        <w:t>4</w:t>
      </w:r>
      <w:r w:rsidRPr="00E45DA1">
        <w:rPr>
          <w:rtl/>
          <w:lang w:val="fr-CH"/>
        </w:rPr>
        <w:tab/>
        <w:t xml:space="preserve">ويدعي صاحب البلاغ أن حقوقه المكفولة بموجب المادة </w:t>
      </w:r>
      <w:r w:rsidRPr="008D13D7">
        <w:rPr>
          <w:szCs w:val="20"/>
          <w:rtl/>
          <w:lang w:val="fr-CH"/>
        </w:rPr>
        <w:t>26</w:t>
      </w:r>
      <w:r w:rsidRPr="00E45DA1">
        <w:rPr>
          <w:rtl/>
          <w:lang w:val="fr-CH"/>
        </w:rPr>
        <w:t xml:space="preserve"> من العهد قد انتُهكت، لأن سلطات الدولة الطرف ومحاكمها عللت رفضها تغيير الحكم الصادر إلى عقوبة السجن بالقول إنه حكم عليه في البداية بالإعدام، ثم خُفِّف هذا الحكم إلى السجن المؤبد بموجب مرسوم عفو رئاسي. ويدفع صاحب البلاغ بأن هذا التحيز ضده يعد بمثابة تمييز بسبب الأصل الاجتماعي -أي بسبب كونه شخصا حُكم عليه بالإعدام واستفاد من عفو رئاسي يقضى بتخفيف الحكم إلى السجن المؤبد. </w:t>
      </w:r>
    </w:p>
    <w:p w14:paraId="2784E3F0" w14:textId="77777777" w:rsidR="00E45DA1" w:rsidRPr="00E45DA1" w:rsidRDefault="00E45DA1" w:rsidP="003F01F5">
      <w:pPr>
        <w:pStyle w:val="H23GA"/>
        <w:keepNext/>
        <w:keepLines/>
        <w:rPr>
          <w:rtl/>
          <w:lang w:val="fr-CH"/>
        </w:rPr>
      </w:pPr>
      <w:r w:rsidRPr="00E45DA1">
        <w:rPr>
          <w:rtl/>
          <w:lang w:val="fr-CH"/>
        </w:rPr>
        <w:tab/>
      </w:r>
      <w:r w:rsidRPr="00E45DA1">
        <w:rPr>
          <w:rtl/>
          <w:lang w:val="fr-CH"/>
        </w:rPr>
        <w:tab/>
        <w:t>ملاحظات الدولة الطرف بشأن المقبولية والأسس الموضوعية</w:t>
      </w:r>
    </w:p>
    <w:p w14:paraId="302938BE" w14:textId="31C1C152" w:rsidR="00E45DA1" w:rsidRPr="00D26A91" w:rsidRDefault="00E45DA1" w:rsidP="00E45DA1">
      <w:pPr>
        <w:pStyle w:val="SingleTxtGA"/>
        <w:rPr>
          <w:spacing w:val="-2"/>
          <w:rtl/>
          <w:lang w:val="fr-CH"/>
        </w:rPr>
      </w:pPr>
      <w:r w:rsidRPr="008D13D7">
        <w:rPr>
          <w:szCs w:val="20"/>
          <w:rtl/>
          <w:lang w:val="fr-CH"/>
        </w:rPr>
        <w:t>4</w:t>
      </w:r>
      <w:r w:rsidRPr="00E45DA1">
        <w:rPr>
          <w:rtl/>
          <w:lang w:val="fr-CH"/>
        </w:rPr>
        <w:t>-</w:t>
      </w:r>
      <w:r w:rsidRPr="008D13D7">
        <w:rPr>
          <w:szCs w:val="20"/>
          <w:rtl/>
          <w:lang w:val="fr-CH"/>
        </w:rPr>
        <w:t>1</w:t>
      </w:r>
      <w:r w:rsidRPr="00E45DA1">
        <w:rPr>
          <w:rtl/>
          <w:lang w:val="fr-CH"/>
        </w:rPr>
        <w:tab/>
      </w:r>
      <w:r w:rsidRPr="00D26A91">
        <w:rPr>
          <w:spacing w:val="-2"/>
          <w:rtl/>
          <w:lang w:val="fr-CH"/>
        </w:rPr>
        <w:t xml:space="preserve">قدمت الدولة الطرف، في مذكرة شفوية مؤرخة </w:t>
      </w:r>
      <w:r w:rsidRPr="00D26A91">
        <w:rPr>
          <w:spacing w:val="-2"/>
          <w:szCs w:val="20"/>
          <w:rtl/>
          <w:lang w:val="fr-CH"/>
        </w:rPr>
        <w:t>15</w:t>
      </w:r>
      <w:r w:rsidRPr="00D26A91">
        <w:rPr>
          <w:spacing w:val="-2"/>
          <w:rtl/>
          <w:lang w:val="fr-CH"/>
        </w:rPr>
        <w:t xml:space="preserve"> تموز/يوليه </w:t>
      </w:r>
      <w:r w:rsidRPr="00D26A91">
        <w:rPr>
          <w:spacing w:val="-2"/>
          <w:szCs w:val="20"/>
          <w:rtl/>
          <w:lang w:val="fr-CH"/>
        </w:rPr>
        <w:t>2015</w:t>
      </w:r>
      <w:r w:rsidRPr="00D26A91">
        <w:rPr>
          <w:spacing w:val="-2"/>
          <w:rtl/>
          <w:lang w:val="fr-CH"/>
        </w:rPr>
        <w:t>، ملاحظاتها بشأن مقبولية البلاغ وأسسه الموضوعية.</w:t>
      </w:r>
      <w:r w:rsidRPr="00D26A91">
        <w:rPr>
          <w:rFonts w:ascii="Arial" w:hAnsi="Arial" w:cs="Arial" w:hint="cs"/>
          <w:spacing w:val="-2"/>
          <w:rtl/>
          <w:lang w:val="fr-CH"/>
        </w:rPr>
        <w:t>‬</w:t>
      </w:r>
      <w:r w:rsidRPr="00D26A91">
        <w:rPr>
          <w:spacing w:val="-2"/>
          <w:rtl/>
          <w:lang w:val="fr-CH"/>
        </w:rPr>
        <w:t xml:space="preserve"> وهي تقدم قائمة بالقرارات القضائية التي اعتمدت بشأن صاحب البلاغ (انظر الفقرتين </w:t>
      </w:r>
      <w:r w:rsidRPr="00D26A91">
        <w:rPr>
          <w:spacing w:val="-2"/>
          <w:szCs w:val="20"/>
          <w:rtl/>
          <w:lang w:val="fr-CH"/>
        </w:rPr>
        <w:t>2</w:t>
      </w:r>
      <w:r w:rsidRPr="00D26A91">
        <w:rPr>
          <w:spacing w:val="-2"/>
          <w:rtl/>
          <w:lang w:val="fr-CH"/>
        </w:rPr>
        <w:t>-</w:t>
      </w:r>
      <w:r w:rsidRPr="00D26A91">
        <w:rPr>
          <w:spacing w:val="-2"/>
          <w:szCs w:val="20"/>
          <w:rtl/>
          <w:lang w:val="fr-CH"/>
        </w:rPr>
        <w:t>1</w:t>
      </w:r>
      <w:r w:rsidRPr="00D26A91">
        <w:rPr>
          <w:spacing w:val="-2"/>
          <w:rtl/>
          <w:lang w:val="fr-CH"/>
        </w:rPr>
        <w:t xml:space="preserve"> إلى </w:t>
      </w:r>
      <w:r w:rsidRPr="00D26A91">
        <w:rPr>
          <w:spacing w:val="-2"/>
          <w:szCs w:val="20"/>
          <w:rtl/>
          <w:lang w:val="fr-CH"/>
        </w:rPr>
        <w:t>2</w:t>
      </w:r>
      <w:r w:rsidRPr="00D26A91">
        <w:rPr>
          <w:spacing w:val="-2"/>
          <w:rtl/>
          <w:lang w:val="fr-CH"/>
        </w:rPr>
        <w:t>-</w:t>
      </w:r>
      <w:r w:rsidRPr="00D26A91">
        <w:rPr>
          <w:spacing w:val="-2"/>
          <w:szCs w:val="20"/>
          <w:rtl/>
          <w:lang w:val="fr-CH"/>
        </w:rPr>
        <w:t>6</w:t>
      </w:r>
      <w:r w:rsidRPr="00D26A91">
        <w:rPr>
          <w:spacing w:val="-2"/>
          <w:rtl/>
          <w:lang w:val="fr-CH"/>
        </w:rPr>
        <w:t xml:space="preserve"> أعلاه)، وتدفع بأن البلاغ يشكل إساءة لاستخدام الحق في تقديم البلاغات، لأنه قُدم أول مرة، إلى اللجنة في أيار/مايو </w:t>
      </w:r>
      <w:r w:rsidRPr="00D26A91">
        <w:rPr>
          <w:spacing w:val="-2"/>
          <w:szCs w:val="20"/>
          <w:rtl/>
          <w:lang w:val="fr-CH"/>
        </w:rPr>
        <w:t>2014</w:t>
      </w:r>
      <w:r w:rsidRPr="00D26A91">
        <w:rPr>
          <w:spacing w:val="-2"/>
          <w:rtl/>
          <w:lang w:val="fr-CH"/>
        </w:rPr>
        <w:t xml:space="preserve"> -أي بعد مرور أكثر من </w:t>
      </w:r>
      <w:r w:rsidRPr="00D26A91">
        <w:rPr>
          <w:spacing w:val="-2"/>
          <w:szCs w:val="20"/>
          <w:rtl/>
          <w:lang w:val="fr-CH"/>
        </w:rPr>
        <w:t>18</w:t>
      </w:r>
      <w:r w:rsidRPr="00D26A91">
        <w:rPr>
          <w:spacing w:val="-2"/>
          <w:rtl/>
          <w:lang w:val="fr-CH"/>
        </w:rPr>
        <w:t xml:space="preserve"> عاماً على التاريخ الذي </w:t>
      </w:r>
      <w:r w:rsidRPr="00D26A91">
        <w:rPr>
          <w:spacing w:val="-2"/>
          <w:rtl/>
          <w:lang w:val="fr-CH"/>
        </w:rPr>
        <w:lastRenderedPageBreak/>
        <w:t xml:space="preserve">أصبح فيه الحكم الصادر بحقه قابلاً للتنفيذ بموجب قرار المحكمة العليا المؤرخ </w:t>
      </w:r>
      <w:r w:rsidRPr="00D26A91">
        <w:rPr>
          <w:spacing w:val="-2"/>
          <w:szCs w:val="20"/>
          <w:rtl/>
          <w:lang w:val="fr-CH"/>
        </w:rPr>
        <w:t>11</w:t>
      </w:r>
      <w:r w:rsidRPr="00D26A91">
        <w:rPr>
          <w:spacing w:val="-2"/>
          <w:rtl/>
          <w:lang w:val="fr-CH"/>
        </w:rPr>
        <w:t xml:space="preserve"> كانون الثاني/يناير </w:t>
      </w:r>
      <w:r w:rsidRPr="00D26A91">
        <w:rPr>
          <w:spacing w:val="-2"/>
          <w:szCs w:val="20"/>
          <w:rtl/>
          <w:lang w:val="fr-CH"/>
        </w:rPr>
        <w:t>1996</w:t>
      </w:r>
      <w:r w:rsidRPr="00D26A91">
        <w:rPr>
          <w:spacing w:val="-2"/>
          <w:rtl/>
          <w:lang w:val="fr-CH"/>
        </w:rPr>
        <w:t xml:space="preserve">. ولذلك، تدعي الدولة الطرف أن عدم وجود أي ظروف تبرر تأخر صاحب البلاغ في تقديم بلاغه إلى اللجنة يستوجب اعتبار ادعاءاته، التي تندرج في إطار المادة </w:t>
      </w:r>
      <w:r w:rsidRPr="00D26A91">
        <w:rPr>
          <w:spacing w:val="-2"/>
          <w:szCs w:val="20"/>
          <w:rtl/>
          <w:lang w:val="fr-CH"/>
        </w:rPr>
        <w:t>14</w:t>
      </w:r>
      <w:r w:rsidRPr="00D26A91">
        <w:rPr>
          <w:spacing w:val="-2"/>
          <w:rtl/>
          <w:lang w:val="fr-CH"/>
        </w:rPr>
        <w:t>(</w:t>
      </w:r>
      <w:r w:rsidRPr="00D26A91">
        <w:rPr>
          <w:spacing w:val="-2"/>
          <w:szCs w:val="20"/>
          <w:rtl/>
          <w:lang w:val="fr-CH"/>
        </w:rPr>
        <w:t>3</w:t>
      </w:r>
      <w:r w:rsidRPr="00D26A91">
        <w:rPr>
          <w:spacing w:val="-2"/>
          <w:rtl/>
          <w:lang w:val="fr-CH"/>
        </w:rPr>
        <w:t xml:space="preserve">) من العهد، غير مقبولة بموجب المادة </w:t>
      </w:r>
      <w:r w:rsidRPr="00D26A91">
        <w:rPr>
          <w:spacing w:val="-2"/>
          <w:szCs w:val="20"/>
          <w:rtl/>
          <w:lang w:val="fr-CH"/>
        </w:rPr>
        <w:t>3</w:t>
      </w:r>
      <w:r w:rsidRPr="00D26A91">
        <w:rPr>
          <w:spacing w:val="-2"/>
          <w:rtl/>
          <w:lang w:val="fr-CH"/>
        </w:rPr>
        <w:t xml:space="preserve"> من البروتوكول الاختياري، لكونها تشكل إساءة لاستخدام الحق في تقديم البلاغات. </w:t>
      </w:r>
    </w:p>
    <w:p w14:paraId="3872A099" w14:textId="77777777" w:rsidR="00E45DA1" w:rsidRPr="00D26A91" w:rsidRDefault="00E45DA1" w:rsidP="00E45DA1">
      <w:pPr>
        <w:pStyle w:val="SingleTxtGA"/>
        <w:rPr>
          <w:spacing w:val="-2"/>
          <w:rtl/>
          <w:lang w:val="fr-CH"/>
        </w:rPr>
      </w:pPr>
      <w:r w:rsidRPr="008D13D7">
        <w:rPr>
          <w:szCs w:val="20"/>
          <w:rtl/>
          <w:lang w:val="fr-CH"/>
        </w:rPr>
        <w:t>4</w:t>
      </w:r>
      <w:r w:rsidRPr="00E45DA1">
        <w:rPr>
          <w:rtl/>
          <w:lang w:val="fr-CH"/>
        </w:rPr>
        <w:t>-</w:t>
      </w:r>
      <w:r w:rsidRPr="008D13D7">
        <w:rPr>
          <w:szCs w:val="20"/>
          <w:rtl/>
          <w:lang w:val="fr-CH"/>
        </w:rPr>
        <w:t>2</w:t>
      </w:r>
      <w:r w:rsidRPr="00E45DA1">
        <w:rPr>
          <w:rtl/>
          <w:lang w:val="fr-CH"/>
        </w:rPr>
        <w:tab/>
      </w:r>
      <w:r w:rsidRPr="00D26A91">
        <w:rPr>
          <w:spacing w:val="-2"/>
          <w:rtl/>
          <w:lang w:val="fr-CH"/>
        </w:rPr>
        <w:t xml:space="preserve">وفيما يتعلق بالفقرة </w:t>
      </w:r>
      <w:r w:rsidRPr="00D26A91">
        <w:rPr>
          <w:spacing w:val="-2"/>
          <w:szCs w:val="20"/>
          <w:rtl/>
          <w:lang w:val="fr-CH"/>
        </w:rPr>
        <w:t>9</w:t>
      </w:r>
      <w:r w:rsidRPr="00D26A91">
        <w:rPr>
          <w:spacing w:val="-2"/>
          <w:rtl/>
          <w:lang w:val="fr-CH"/>
        </w:rPr>
        <w:t xml:space="preserve"> من تعليق اللجنة العام رقم </w:t>
      </w:r>
      <w:r w:rsidRPr="00D26A91">
        <w:rPr>
          <w:spacing w:val="-2"/>
          <w:szCs w:val="20"/>
          <w:rtl/>
          <w:lang w:val="fr-CH"/>
        </w:rPr>
        <w:t>32</w:t>
      </w:r>
      <w:r w:rsidRPr="00D26A91">
        <w:rPr>
          <w:spacing w:val="-2"/>
          <w:rtl/>
          <w:lang w:val="fr-CH"/>
        </w:rPr>
        <w:t>(</w:t>
      </w:r>
      <w:r w:rsidRPr="00D26A91">
        <w:rPr>
          <w:spacing w:val="-2"/>
          <w:szCs w:val="20"/>
          <w:rtl/>
          <w:lang w:val="fr-CH"/>
        </w:rPr>
        <w:t>2007</w:t>
      </w:r>
      <w:r w:rsidRPr="00D26A91">
        <w:rPr>
          <w:spacing w:val="-2"/>
          <w:rtl/>
          <w:lang w:val="fr-CH"/>
        </w:rPr>
        <w:t xml:space="preserve">) بشأن الحق في المساواة أمام المحاكم والهيئات القضائية وفي محاكمة عادلة، تدعي الدولة الطرف أن مراجعة حكم صادر عقب اعتماد قانون جنائي جديد ينص على تخفيف العقوبة، وله أثر رجعي، هي ليست فصلا في التهم الجنائية أو الحقوق والالتزامات في دعوى مدنية، بالمعنى المقصود في المادة </w:t>
      </w:r>
      <w:r w:rsidRPr="00D26A91">
        <w:rPr>
          <w:spacing w:val="-2"/>
          <w:szCs w:val="20"/>
          <w:rtl/>
          <w:lang w:val="fr-CH"/>
        </w:rPr>
        <w:t>14</w:t>
      </w:r>
      <w:r w:rsidRPr="00D26A91">
        <w:rPr>
          <w:spacing w:val="-2"/>
          <w:rtl/>
          <w:lang w:val="fr-CH"/>
        </w:rPr>
        <w:t xml:space="preserve"> من العهد. وتشير كذلك، إلى أن الإجراء الذي ينطبق على مراجعة حكم صادر في حق شخص عقب اعتماد قانون جنائي جديد ينص على عقوبة أخف، وله أثر رجعي، لا يدخل، على ما يبدو، في نطاق المادة </w:t>
      </w:r>
      <w:r w:rsidRPr="00D26A91">
        <w:rPr>
          <w:spacing w:val="-2"/>
          <w:szCs w:val="20"/>
          <w:rtl/>
          <w:lang w:val="fr-CH"/>
        </w:rPr>
        <w:t>15</w:t>
      </w:r>
      <w:r w:rsidRPr="00D26A91">
        <w:rPr>
          <w:spacing w:val="-2"/>
          <w:rtl/>
          <w:lang w:val="fr-CH"/>
        </w:rPr>
        <w:t xml:space="preserve"> من العهد.</w:t>
      </w:r>
    </w:p>
    <w:p w14:paraId="2087E3AD" w14:textId="77777777" w:rsidR="00E45DA1" w:rsidRPr="00E45DA1" w:rsidRDefault="00E45DA1" w:rsidP="00E45DA1">
      <w:pPr>
        <w:pStyle w:val="SingleTxtGA"/>
        <w:rPr>
          <w:rtl/>
          <w:lang w:val="fr-CH"/>
        </w:rPr>
      </w:pPr>
      <w:r w:rsidRPr="008D13D7">
        <w:rPr>
          <w:szCs w:val="20"/>
          <w:rtl/>
          <w:lang w:val="fr-CH"/>
        </w:rPr>
        <w:t>4</w:t>
      </w:r>
      <w:r w:rsidRPr="00E45DA1">
        <w:rPr>
          <w:rtl/>
          <w:lang w:val="fr-CH"/>
        </w:rPr>
        <w:t>-</w:t>
      </w:r>
      <w:r w:rsidRPr="008D13D7">
        <w:rPr>
          <w:szCs w:val="20"/>
          <w:rtl/>
          <w:lang w:val="fr-CH"/>
        </w:rPr>
        <w:t>3</w:t>
      </w:r>
      <w:r w:rsidRPr="00E45DA1">
        <w:rPr>
          <w:rtl/>
          <w:lang w:val="fr-CH"/>
        </w:rPr>
        <w:tab/>
        <w:t xml:space="preserve">وتدفع الدولة الطرف أيضاً بأن إعادة النظر في الحكم الصادر بحق صاحب البلاغ عقب اعتماد قانون جنائي جديد ينص على عقوبة أخف، وله أثر رجعي، جرت في الفترة من أيار/مايو وحزيران/يونيه </w:t>
      </w:r>
      <w:r w:rsidRPr="008D13D7">
        <w:rPr>
          <w:szCs w:val="20"/>
          <w:rtl/>
          <w:lang w:val="fr-CH"/>
        </w:rPr>
        <w:t>2006</w:t>
      </w:r>
      <w:r w:rsidRPr="00E45DA1">
        <w:rPr>
          <w:rtl/>
          <w:lang w:val="fr-CH"/>
        </w:rPr>
        <w:t xml:space="preserve">، في حين أن صاحب البلاغ لم يقدم بلاغه إلى اللجنة إلا في أيار/مايو </w:t>
      </w:r>
      <w:r w:rsidRPr="008D13D7">
        <w:rPr>
          <w:szCs w:val="20"/>
          <w:rtl/>
          <w:lang w:val="fr-CH"/>
        </w:rPr>
        <w:t>2014</w:t>
      </w:r>
      <w:r w:rsidRPr="00E45DA1">
        <w:rPr>
          <w:rtl/>
          <w:lang w:val="fr-CH"/>
        </w:rPr>
        <w:t xml:space="preserve"> -أي بعد مرور ثماني سنوات. وبالنظر إلى عدم وجود أي ظروف تبرر تأخر صاحب البلاغ في تقديم بلاغه إلى اللجنة، ينبغي اعتبار ادعاءات صاحب البلاغ التي تندرج في إطار المادتين </w:t>
      </w:r>
      <w:r w:rsidRPr="008D13D7">
        <w:rPr>
          <w:szCs w:val="20"/>
          <w:rtl/>
          <w:lang w:val="fr-CH"/>
        </w:rPr>
        <w:t>14</w:t>
      </w:r>
      <w:r w:rsidRPr="00E45DA1">
        <w:rPr>
          <w:rtl/>
          <w:lang w:val="fr-CH"/>
        </w:rPr>
        <w:t xml:space="preserve"> و</w:t>
      </w:r>
      <w:r w:rsidRPr="008D13D7">
        <w:rPr>
          <w:szCs w:val="20"/>
          <w:rtl/>
          <w:lang w:val="fr-CH"/>
        </w:rPr>
        <w:t>15</w:t>
      </w:r>
      <w:r w:rsidRPr="00E45DA1">
        <w:rPr>
          <w:rtl/>
          <w:lang w:val="fr-CH"/>
        </w:rPr>
        <w:t xml:space="preserve"> من العهد، وتتعلق بإعادة النظر في الحكم الصادر بحقه عقب اعتماد قانون جنائي جديد ينص على عقوبة أخف، وله أثر رجعي، غير مقبولة بموجب المادة </w:t>
      </w:r>
      <w:r w:rsidRPr="008D13D7">
        <w:rPr>
          <w:szCs w:val="20"/>
          <w:rtl/>
          <w:lang w:val="fr-CH"/>
        </w:rPr>
        <w:t>3</w:t>
      </w:r>
      <w:r w:rsidRPr="00E45DA1">
        <w:rPr>
          <w:rtl/>
          <w:lang w:val="fr-CH"/>
        </w:rPr>
        <w:t xml:space="preserve"> من البروتوكول الاختياري، لكونها تشكل إساءة لاستخدام الحق في تقديم البلاغات.</w:t>
      </w:r>
    </w:p>
    <w:p w14:paraId="18363260" w14:textId="77777777" w:rsidR="00E45DA1" w:rsidRPr="00E45DA1" w:rsidRDefault="00E45DA1" w:rsidP="00E45DA1">
      <w:pPr>
        <w:pStyle w:val="SingleTxtGA"/>
        <w:rPr>
          <w:rtl/>
          <w:lang w:val="fr-CH"/>
        </w:rPr>
      </w:pPr>
      <w:r w:rsidRPr="008D13D7">
        <w:rPr>
          <w:szCs w:val="20"/>
          <w:rtl/>
          <w:lang w:val="fr-CH"/>
        </w:rPr>
        <w:t>4</w:t>
      </w:r>
      <w:r w:rsidRPr="00E45DA1">
        <w:rPr>
          <w:rtl/>
          <w:lang w:val="fr-CH"/>
        </w:rPr>
        <w:t>-</w:t>
      </w:r>
      <w:r w:rsidRPr="008D13D7">
        <w:rPr>
          <w:szCs w:val="20"/>
          <w:rtl/>
          <w:lang w:val="fr-CH"/>
        </w:rPr>
        <w:t>4</w:t>
      </w:r>
      <w:r w:rsidRPr="00E45DA1">
        <w:rPr>
          <w:rtl/>
          <w:lang w:val="fr-CH"/>
        </w:rPr>
        <w:tab/>
        <w:t xml:space="preserve">وتدعي الدولة الطرف أن ادعاء صاحب البلاغ الذي يندرج في إطار المادة </w:t>
      </w:r>
      <w:r w:rsidRPr="008D13D7">
        <w:rPr>
          <w:szCs w:val="20"/>
          <w:rtl/>
          <w:lang w:val="fr-CH"/>
        </w:rPr>
        <w:t>26</w:t>
      </w:r>
      <w:r w:rsidRPr="00E45DA1">
        <w:rPr>
          <w:rtl/>
          <w:lang w:val="fr-CH"/>
        </w:rPr>
        <w:t xml:space="preserve"> من العهد (انظر الفقرة </w:t>
      </w:r>
      <w:r w:rsidRPr="008D13D7">
        <w:rPr>
          <w:szCs w:val="20"/>
          <w:rtl/>
          <w:lang w:val="fr-CH"/>
        </w:rPr>
        <w:t>3</w:t>
      </w:r>
      <w:r w:rsidRPr="00E45DA1">
        <w:rPr>
          <w:rtl/>
          <w:lang w:val="fr-CH"/>
        </w:rPr>
        <w:t>-</w:t>
      </w:r>
      <w:r w:rsidRPr="008D13D7">
        <w:rPr>
          <w:szCs w:val="20"/>
          <w:rtl/>
          <w:lang w:val="fr-CH"/>
        </w:rPr>
        <w:t>4</w:t>
      </w:r>
      <w:r w:rsidRPr="00E45DA1">
        <w:rPr>
          <w:rtl/>
          <w:lang w:val="fr-CH"/>
        </w:rPr>
        <w:t xml:space="preserve"> أعلاه) ينبغي اعتباره غير مقبول بموجب المادة </w:t>
      </w:r>
      <w:r w:rsidRPr="008D13D7">
        <w:rPr>
          <w:szCs w:val="20"/>
          <w:rtl/>
          <w:lang w:val="fr-CH"/>
        </w:rPr>
        <w:t>2</w:t>
      </w:r>
      <w:r w:rsidRPr="00E45DA1">
        <w:rPr>
          <w:rtl/>
          <w:lang w:val="fr-CH"/>
        </w:rPr>
        <w:t xml:space="preserve"> من البروتوكول الاختياري لعدم استنادها الظاهر إلى أساس. </w:t>
      </w:r>
    </w:p>
    <w:p w14:paraId="72374E23" w14:textId="295FE318" w:rsidR="00E45DA1" w:rsidRPr="00E45DA1" w:rsidRDefault="00E45DA1" w:rsidP="00E45DA1">
      <w:pPr>
        <w:pStyle w:val="SingleTxtGA"/>
        <w:rPr>
          <w:rtl/>
          <w:lang w:val="fr-CH"/>
        </w:rPr>
      </w:pPr>
      <w:r w:rsidRPr="008D13D7">
        <w:rPr>
          <w:szCs w:val="20"/>
          <w:rtl/>
          <w:lang w:val="fr-CH"/>
        </w:rPr>
        <w:t>4</w:t>
      </w:r>
      <w:r w:rsidRPr="00E45DA1">
        <w:rPr>
          <w:rtl/>
          <w:lang w:val="fr-CH"/>
        </w:rPr>
        <w:t>-</w:t>
      </w:r>
      <w:r w:rsidRPr="008D13D7">
        <w:rPr>
          <w:szCs w:val="20"/>
          <w:rtl/>
          <w:lang w:val="fr-CH"/>
        </w:rPr>
        <w:t>5</w:t>
      </w:r>
      <w:r w:rsidRPr="00E45DA1">
        <w:rPr>
          <w:rtl/>
          <w:lang w:val="fr-CH"/>
        </w:rPr>
        <w:tab/>
        <w:t xml:space="preserve">وتدعي الدولة الطرف أيضاً أن ادعاءات صاحب البلاغ التي تندرج في إطار المواد </w:t>
      </w:r>
      <w:r w:rsidRPr="008D13D7">
        <w:rPr>
          <w:szCs w:val="20"/>
          <w:rtl/>
          <w:lang w:val="fr-CH"/>
        </w:rPr>
        <w:t>14</w:t>
      </w:r>
      <w:r w:rsidRPr="00E45DA1">
        <w:rPr>
          <w:rtl/>
          <w:lang w:val="fr-CH"/>
        </w:rPr>
        <w:t>(</w:t>
      </w:r>
      <w:r w:rsidRPr="008D13D7">
        <w:rPr>
          <w:szCs w:val="20"/>
          <w:rtl/>
          <w:lang w:val="fr-CH"/>
        </w:rPr>
        <w:t>1</w:t>
      </w:r>
      <w:r w:rsidRPr="00E45DA1">
        <w:rPr>
          <w:rtl/>
          <w:lang w:val="fr-CH"/>
        </w:rPr>
        <w:t>) و(</w:t>
      </w:r>
      <w:r w:rsidRPr="008D13D7">
        <w:rPr>
          <w:szCs w:val="20"/>
          <w:rtl/>
          <w:lang w:val="fr-CH"/>
        </w:rPr>
        <w:t>3</w:t>
      </w:r>
      <w:r w:rsidRPr="00E45DA1">
        <w:rPr>
          <w:rtl/>
          <w:lang w:val="fr-CH"/>
        </w:rPr>
        <w:t>)(ب) و(</w:t>
      </w:r>
      <w:r w:rsidRPr="008D13D7">
        <w:rPr>
          <w:szCs w:val="20"/>
          <w:rtl/>
          <w:lang w:val="fr-CH"/>
        </w:rPr>
        <w:t>5</w:t>
      </w:r>
      <w:r w:rsidRPr="00E45DA1">
        <w:rPr>
          <w:rtl/>
          <w:lang w:val="fr-CH"/>
        </w:rPr>
        <w:t>) و(</w:t>
      </w:r>
      <w:r w:rsidRPr="008D13D7">
        <w:rPr>
          <w:szCs w:val="20"/>
          <w:rtl/>
          <w:lang w:val="fr-CH"/>
        </w:rPr>
        <w:t>15</w:t>
      </w:r>
      <w:r w:rsidRPr="00E45DA1">
        <w:rPr>
          <w:rtl/>
          <w:lang w:val="fr-CH"/>
        </w:rPr>
        <w:t>)(</w:t>
      </w:r>
      <w:r w:rsidRPr="008D13D7">
        <w:rPr>
          <w:szCs w:val="20"/>
          <w:rtl/>
          <w:lang w:val="fr-CH"/>
        </w:rPr>
        <w:t>1</w:t>
      </w:r>
      <w:r w:rsidRPr="00E45DA1">
        <w:rPr>
          <w:rtl/>
          <w:lang w:val="fr-CH"/>
        </w:rPr>
        <w:t>) و</w:t>
      </w:r>
      <w:r w:rsidRPr="008D13D7">
        <w:rPr>
          <w:szCs w:val="20"/>
          <w:rtl/>
          <w:lang w:val="fr-CH"/>
        </w:rPr>
        <w:t>26</w:t>
      </w:r>
      <w:r w:rsidRPr="00E45DA1">
        <w:rPr>
          <w:rtl/>
          <w:lang w:val="fr-CH"/>
        </w:rPr>
        <w:t xml:space="preserve"> من العهد لا تستند إلى أي أسس موضوعية. </w:t>
      </w:r>
    </w:p>
    <w:p w14:paraId="4EBD7692" w14:textId="5E97DA1F" w:rsidR="00E45DA1" w:rsidRPr="00D26A91" w:rsidRDefault="00E45DA1" w:rsidP="00E45DA1">
      <w:pPr>
        <w:pStyle w:val="SingleTxtGA"/>
        <w:rPr>
          <w:spacing w:val="-2"/>
          <w:rtl/>
          <w:lang w:val="fr-CH"/>
        </w:rPr>
      </w:pPr>
      <w:r w:rsidRPr="008D13D7">
        <w:rPr>
          <w:szCs w:val="20"/>
          <w:rtl/>
          <w:lang w:val="fr-CH"/>
        </w:rPr>
        <w:t>4</w:t>
      </w:r>
      <w:r w:rsidRPr="00E45DA1">
        <w:rPr>
          <w:rtl/>
          <w:lang w:val="fr-CH"/>
        </w:rPr>
        <w:t>-</w:t>
      </w:r>
      <w:r w:rsidRPr="008D13D7">
        <w:rPr>
          <w:szCs w:val="20"/>
          <w:rtl/>
          <w:lang w:val="fr-CH"/>
        </w:rPr>
        <w:t>6</w:t>
      </w:r>
      <w:r w:rsidRPr="00E45DA1">
        <w:rPr>
          <w:rtl/>
          <w:lang w:val="fr-CH"/>
        </w:rPr>
        <w:tab/>
      </w:r>
      <w:r w:rsidRPr="00D26A91">
        <w:rPr>
          <w:spacing w:val="-2"/>
          <w:rtl/>
          <w:lang w:val="fr-CH"/>
        </w:rPr>
        <w:t xml:space="preserve">ووفقاً للمادتين </w:t>
      </w:r>
      <w:r w:rsidRPr="00D26A91">
        <w:rPr>
          <w:spacing w:val="-2"/>
          <w:szCs w:val="20"/>
          <w:rtl/>
          <w:lang w:val="fr-CH"/>
        </w:rPr>
        <w:t>335</w:t>
      </w:r>
      <w:r w:rsidRPr="00D26A91">
        <w:rPr>
          <w:spacing w:val="-2"/>
          <w:rtl/>
          <w:lang w:val="fr-CH"/>
        </w:rPr>
        <w:t xml:space="preserve"> و</w:t>
      </w:r>
      <w:r w:rsidRPr="00D26A91">
        <w:rPr>
          <w:spacing w:val="-2"/>
          <w:szCs w:val="20"/>
          <w:rtl/>
          <w:lang w:val="fr-CH"/>
        </w:rPr>
        <w:t>336</w:t>
      </w:r>
      <w:r w:rsidRPr="00D26A91">
        <w:rPr>
          <w:spacing w:val="-2"/>
          <w:rtl/>
          <w:lang w:val="fr-CH"/>
        </w:rPr>
        <w:t xml:space="preserve"> من قانون الإجراءات الجنائية لعام </w:t>
      </w:r>
      <w:r w:rsidRPr="00D26A91">
        <w:rPr>
          <w:spacing w:val="-2"/>
          <w:szCs w:val="20"/>
          <w:rtl/>
          <w:lang w:val="fr-CH"/>
        </w:rPr>
        <w:t>1960</w:t>
      </w:r>
      <w:r w:rsidRPr="00D26A91">
        <w:rPr>
          <w:spacing w:val="-2"/>
          <w:rtl/>
          <w:lang w:val="fr-CH"/>
        </w:rPr>
        <w:t>، الذي كان ساريا</w:t>
      </w:r>
      <w:r w:rsidR="003C20CF" w:rsidRPr="00D26A91">
        <w:rPr>
          <w:rFonts w:hint="cs"/>
          <w:spacing w:val="-2"/>
          <w:rtl/>
          <w:lang w:val="fr-CH"/>
        </w:rPr>
        <w:t>ً</w:t>
      </w:r>
      <w:r w:rsidRPr="00D26A91">
        <w:rPr>
          <w:spacing w:val="-2"/>
          <w:rtl/>
          <w:lang w:val="fr-CH"/>
        </w:rPr>
        <w:t xml:space="preserve"> في الوقت الذي عقدت فيه جلسة النقض في الدعوى الجنائية المقامة ضد صاحب البلاغ</w:t>
      </w:r>
      <w:r w:rsidRPr="00D26A91">
        <w:rPr>
          <w:spacing w:val="-2"/>
          <w:vertAlign w:val="superscript"/>
          <w:rtl/>
          <w:lang w:val="fr-CH"/>
        </w:rPr>
        <w:t>(</w:t>
      </w:r>
      <w:r w:rsidRPr="00D26A91">
        <w:rPr>
          <w:rFonts w:cs="Times New Roman"/>
          <w:spacing w:val="-2"/>
          <w:position w:val="4"/>
          <w:vertAlign w:val="superscript"/>
        </w:rPr>
        <w:footnoteReference w:id="11"/>
      </w:r>
      <w:r w:rsidRPr="00D26A91">
        <w:rPr>
          <w:spacing w:val="-2"/>
          <w:vertAlign w:val="superscript"/>
          <w:rtl/>
          <w:lang w:val="fr-CH"/>
        </w:rPr>
        <w:t>)</w:t>
      </w:r>
      <w:r w:rsidRPr="00D26A91">
        <w:rPr>
          <w:spacing w:val="-2"/>
          <w:rtl/>
          <w:lang w:val="fr-CH"/>
        </w:rPr>
        <w:t>،</w:t>
      </w:r>
      <w:r w:rsidR="001221CE" w:rsidRPr="00D26A91">
        <w:rPr>
          <w:spacing w:val="-2"/>
          <w:rtl/>
          <w:lang w:val="fr-CH"/>
        </w:rPr>
        <w:t xml:space="preserve"> </w:t>
      </w:r>
      <w:r w:rsidRPr="00D26A91">
        <w:rPr>
          <w:spacing w:val="-2"/>
          <w:rtl/>
          <w:lang w:val="fr-CH"/>
        </w:rPr>
        <w:t xml:space="preserve">لا يُخطر الأطراف في الإجراءات الجنائية بزمان ومكان جلسة الاستماع التي تعقدها الهيئة القضائية للمحكمة العليا إلا إذا التمسوا ذلك في طلب الطعن بالنقض أو في اعتراضاتهم على الطعن. ولم يدرج المحامي، أ.، الذي تولى تمثيل صاحب البلاغ في المحكمة الابتدائية، في طلب الطعن بالنقض الذي قدمه التماسا بحضور جلسة الاستماع التي ستعقدها الهيئة القضائية للمحكمة العليا. ولم يطلب صاحب البلاغ حضور جلسة النقض ولم يطلب أيضا، الحصول على المساعدة القانونية في هذه المرحلة من الإجراءات الجنائية. وأُبلغت محكمة النقض بموقف صاحب البلاغ وموقف محاميه في طلب بالنقض الذي قدمه كل منهما. </w:t>
      </w:r>
    </w:p>
    <w:p w14:paraId="557AA192" w14:textId="77777777" w:rsidR="00E45DA1" w:rsidRPr="00E45DA1" w:rsidRDefault="00E45DA1" w:rsidP="00E45DA1">
      <w:pPr>
        <w:pStyle w:val="SingleTxtGA"/>
        <w:rPr>
          <w:rtl/>
          <w:lang w:val="fr-CH"/>
        </w:rPr>
      </w:pPr>
      <w:r w:rsidRPr="008D13D7">
        <w:rPr>
          <w:szCs w:val="20"/>
          <w:rtl/>
          <w:lang w:val="fr-CH"/>
        </w:rPr>
        <w:t>4</w:t>
      </w:r>
      <w:r w:rsidRPr="00E45DA1">
        <w:rPr>
          <w:rtl/>
          <w:lang w:val="fr-CH"/>
        </w:rPr>
        <w:t>-</w:t>
      </w:r>
      <w:r w:rsidRPr="008D13D7">
        <w:rPr>
          <w:szCs w:val="20"/>
          <w:rtl/>
          <w:lang w:val="fr-CH"/>
        </w:rPr>
        <w:t>7</w:t>
      </w:r>
      <w:r w:rsidRPr="00E45DA1">
        <w:rPr>
          <w:rtl/>
          <w:lang w:val="fr-CH"/>
        </w:rPr>
        <w:tab/>
        <w:t xml:space="preserve">وفيما يتعلق بالتزامات المحكمة الابتدائية المنصوص عليها في المادة </w:t>
      </w:r>
      <w:r w:rsidRPr="008D13D7">
        <w:rPr>
          <w:szCs w:val="20"/>
          <w:rtl/>
          <w:lang w:val="fr-CH"/>
        </w:rPr>
        <w:t>327</w:t>
      </w:r>
      <w:r w:rsidRPr="00E45DA1">
        <w:rPr>
          <w:rtl/>
          <w:lang w:val="fr-CH"/>
        </w:rPr>
        <w:t>(</w:t>
      </w:r>
      <w:r w:rsidRPr="008D13D7">
        <w:rPr>
          <w:szCs w:val="20"/>
          <w:rtl/>
          <w:lang w:val="fr-CH"/>
        </w:rPr>
        <w:t>1</w:t>
      </w:r>
      <w:r w:rsidRPr="00E45DA1">
        <w:rPr>
          <w:rtl/>
          <w:lang w:val="fr-CH"/>
        </w:rPr>
        <w:t xml:space="preserve">) من قانون الإجراءات الجنائية لعام </w:t>
      </w:r>
      <w:r w:rsidRPr="008D13D7">
        <w:rPr>
          <w:szCs w:val="20"/>
          <w:rtl/>
          <w:lang w:val="fr-CH"/>
        </w:rPr>
        <w:t>1960</w:t>
      </w:r>
      <w:r w:rsidRPr="00E45DA1">
        <w:rPr>
          <w:rtl/>
          <w:lang w:val="fr-CH"/>
        </w:rPr>
        <w:t xml:space="preserve"> (انظر الفقرتين </w:t>
      </w:r>
      <w:r w:rsidRPr="008D13D7">
        <w:rPr>
          <w:szCs w:val="20"/>
          <w:rtl/>
          <w:lang w:val="fr-CH"/>
        </w:rPr>
        <w:t>3</w:t>
      </w:r>
      <w:r w:rsidRPr="00E45DA1">
        <w:rPr>
          <w:rtl/>
          <w:lang w:val="fr-CH"/>
        </w:rPr>
        <w:t>-</w:t>
      </w:r>
      <w:r w:rsidRPr="008D13D7">
        <w:rPr>
          <w:szCs w:val="20"/>
          <w:rtl/>
          <w:lang w:val="fr-CH"/>
        </w:rPr>
        <w:t>1</w:t>
      </w:r>
      <w:r w:rsidRPr="00E45DA1">
        <w:rPr>
          <w:rtl/>
          <w:lang w:val="fr-CH"/>
        </w:rPr>
        <w:t xml:space="preserve"> و</w:t>
      </w:r>
      <w:r w:rsidRPr="008D13D7">
        <w:rPr>
          <w:szCs w:val="20"/>
          <w:rtl/>
          <w:lang w:val="fr-CH"/>
        </w:rPr>
        <w:t>3</w:t>
      </w:r>
      <w:r w:rsidRPr="00E45DA1">
        <w:rPr>
          <w:rtl/>
          <w:lang w:val="fr-CH"/>
        </w:rPr>
        <w:t>-</w:t>
      </w:r>
      <w:r w:rsidRPr="008D13D7">
        <w:rPr>
          <w:szCs w:val="20"/>
          <w:rtl/>
          <w:lang w:val="fr-CH"/>
        </w:rPr>
        <w:t>2</w:t>
      </w:r>
      <w:r w:rsidRPr="00E45DA1">
        <w:rPr>
          <w:rtl/>
          <w:lang w:val="fr-CH"/>
        </w:rPr>
        <w:t xml:space="preserve"> أعلاه)، تدفع الدولة الطرف بعدم وجود تناقض بين حجج صاحب البلاغ والحجج التي أدلى بها محاميه وشركاؤه في التهمة في طلبات الطعن بالنقض التي رفعها كل منهم. وعليه، فإن عدم إبلاغ صاحب البلاغ بطلبات الطعن بالنقض المقدمة </w:t>
      </w:r>
      <w:r w:rsidRPr="00E45DA1">
        <w:rPr>
          <w:rtl/>
          <w:lang w:val="fr-CH"/>
        </w:rPr>
        <w:lastRenderedPageBreak/>
        <w:t xml:space="preserve">من أطراف أخرى في الإجراءات الجنائية لم يؤد إلى انتهاك حقه في الدفاع. وتذكّر الدولة الطرف بأن ادعاءات صاحب البلاغ بشأن انتهاك حقه في الدفاع قد نظر فيها كلٌ من الهيئة القضائية للمحكمة العليا ونائب رئيس المحكمة العليا، ورفضتها الهيئة في </w:t>
      </w:r>
      <w:r w:rsidRPr="008D13D7">
        <w:rPr>
          <w:szCs w:val="20"/>
          <w:rtl/>
          <w:lang w:val="fr-CH"/>
        </w:rPr>
        <w:t>10</w:t>
      </w:r>
      <w:r w:rsidRPr="00E45DA1">
        <w:rPr>
          <w:rtl/>
          <w:lang w:val="fr-CH"/>
        </w:rPr>
        <w:t xml:space="preserve"> كانون الثاني/يناير </w:t>
      </w:r>
      <w:r w:rsidRPr="008D13D7">
        <w:rPr>
          <w:szCs w:val="20"/>
          <w:rtl/>
          <w:lang w:val="fr-CH"/>
        </w:rPr>
        <w:t>2013</w:t>
      </w:r>
      <w:r w:rsidRPr="00E45DA1">
        <w:rPr>
          <w:rtl/>
          <w:lang w:val="fr-CH"/>
        </w:rPr>
        <w:t xml:space="preserve"> ورفضها نائب رئيس المحكمة العليا في </w:t>
      </w:r>
      <w:r w:rsidRPr="008D13D7">
        <w:rPr>
          <w:szCs w:val="20"/>
          <w:rtl/>
          <w:lang w:val="fr-CH"/>
        </w:rPr>
        <w:t>16</w:t>
      </w:r>
      <w:r w:rsidRPr="00E45DA1">
        <w:rPr>
          <w:rtl/>
          <w:lang w:val="fr-CH"/>
        </w:rPr>
        <w:t xml:space="preserve"> نيسان/أبريل </w:t>
      </w:r>
      <w:r w:rsidRPr="008D13D7">
        <w:rPr>
          <w:szCs w:val="20"/>
          <w:rtl/>
          <w:lang w:val="fr-CH"/>
        </w:rPr>
        <w:t>2013</w:t>
      </w:r>
      <w:r w:rsidRPr="00E45DA1">
        <w:rPr>
          <w:rtl/>
          <w:lang w:val="fr-CH"/>
        </w:rPr>
        <w:t>.</w:t>
      </w:r>
    </w:p>
    <w:p w14:paraId="5C953268" w14:textId="77777777" w:rsidR="00E45DA1" w:rsidRPr="00E45DA1" w:rsidRDefault="00E45DA1" w:rsidP="00E45DA1">
      <w:pPr>
        <w:pStyle w:val="SingleTxtGA"/>
        <w:rPr>
          <w:rtl/>
          <w:lang w:val="fr-CH"/>
        </w:rPr>
      </w:pPr>
      <w:r w:rsidRPr="008D13D7">
        <w:rPr>
          <w:szCs w:val="20"/>
          <w:rtl/>
          <w:lang w:val="fr-CH"/>
        </w:rPr>
        <w:t>4</w:t>
      </w:r>
      <w:r w:rsidRPr="00E45DA1">
        <w:rPr>
          <w:rtl/>
          <w:lang w:val="fr-CH"/>
        </w:rPr>
        <w:t>-</w:t>
      </w:r>
      <w:r w:rsidRPr="008D13D7">
        <w:rPr>
          <w:szCs w:val="20"/>
          <w:rtl/>
          <w:lang w:val="fr-CH"/>
        </w:rPr>
        <w:t>8</w:t>
      </w:r>
      <w:r w:rsidRPr="00E45DA1">
        <w:rPr>
          <w:rtl/>
          <w:lang w:val="fr-CH"/>
        </w:rPr>
        <w:tab/>
        <w:t xml:space="preserve">وتدفع الدولة الطرف بأن الحكم الصادر بحق صاحب البلاغ قد ووئم مع القانون الجنائي الجديد بالكامل. وتنص المادة </w:t>
      </w:r>
      <w:r w:rsidRPr="008D13D7">
        <w:rPr>
          <w:szCs w:val="20"/>
          <w:rtl/>
          <w:lang w:val="fr-CH"/>
        </w:rPr>
        <w:t>102</w:t>
      </w:r>
      <w:r w:rsidRPr="00E45DA1">
        <w:rPr>
          <w:rtl/>
          <w:lang w:val="fr-CH"/>
        </w:rPr>
        <w:t xml:space="preserve"> من القانون الجنائي لعام </w:t>
      </w:r>
      <w:r w:rsidRPr="008D13D7">
        <w:rPr>
          <w:szCs w:val="20"/>
          <w:rtl/>
          <w:lang w:val="fr-CH"/>
        </w:rPr>
        <w:t>1960</w:t>
      </w:r>
      <w:r w:rsidRPr="00E45DA1">
        <w:rPr>
          <w:rtl/>
          <w:lang w:val="fr-CH"/>
        </w:rPr>
        <w:t xml:space="preserve"> (القتل مع سبق الإصرار المقترن بظروف مشددة للعقوبة)، التي استُند إليها في الحُكم على صاحب البلاغ في الأساس، على عقوبة السجن لمدة تتراوح بين </w:t>
      </w:r>
      <w:r w:rsidRPr="008D13D7">
        <w:rPr>
          <w:szCs w:val="20"/>
          <w:rtl/>
          <w:lang w:val="fr-CH"/>
        </w:rPr>
        <w:t>8</w:t>
      </w:r>
      <w:r w:rsidRPr="00E45DA1">
        <w:rPr>
          <w:rtl/>
          <w:lang w:val="fr-CH"/>
        </w:rPr>
        <w:t xml:space="preserve"> سنوات و</w:t>
      </w:r>
      <w:r w:rsidRPr="008D13D7">
        <w:rPr>
          <w:szCs w:val="20"/>
          <w:rtl/>
          <w:lang w:val="fr-CH"/>
        </w:rPr>
        <w:t>15</w:t>
      </w:r>
      <w:r w:rsidRPr="00E45DA1">
        <w:rPr>
          <w:rtl/>
          <w:lang w:val="fr-CH"/>
        </w:rPr>
        <w:t xml:space="preserve"> سنة أو عقوبة الإعدام. وتنص المادة </w:t>
      </w:r>
      <w:r w:rsidRPr="008D13D7">
        <w:rPr>
          <w:szCs w:val="20"/>
          <w:rtl/>
          <w:lang w:val="fr-CH"/>
        </w:rPr>
        <w:t>15</w:t>
      </w:r>
      <w:r w:rsidRPr="00E45DA1">
        <w:rPr>
          <w:rtl/>
          <w:lang w:val="fr-CH"/>
        </w:rPr>
        <w:t>(</w:t>
      </w:r>
      <w:r w:rsidRPr="008D13D7">
        <w:rPr>
          <w:szCs w:val="20"/>
          <w:rtl/>
          <w:lang w:val="fr-CH"/>
        </w:rPr>
        <w:t>2</w:t>
      </w:r>
      <w:r w:rsidRPr="00E45DA1">
        <w:rPr>
          <w:rtl/>
          <w:lang w:val="fr-CH"/>
        </w:rPr>
        <w:t xml:space="preserve">) من القانون الجنائي لعام </w:t>
      </w:r>
      <w:r w:rsidRPr="008D13D7">
        <w:rPr>
          <w:szCs w:val="20"/>
          <w:rtl/>
          <w:lang w:val="fr-CH"/>
        </w:rPr>
        <w:t>1996</w:t>
      </w:r>
      <w:r w:rsidRPr="00E45DA1">
        <w:rPr>
          <w:rtl/>
          <w:lang w:val="fr-CH"/>
        </w:rPr>
        <w:t xml:space="preserve"> على فرض عقوبة أشد في نفس الجريمة -أي السجن المؤبد أو عقوبة الإعدام. وحذف الإشارة إلى "جريمة قتل ارتكبها شخص سبق له ارتكاب جريمة من قبل، فيما عدا جرائم القتل المنصوص عليها في المادتين </w:t>
      </w:r>
      <w:r w:rsidRPr="008D13D7">
        <w:rPr>
          <w:szCs w:val="20"/>
          <w:rtl/>
          <w:lang w:val="fr-CH"/>
        </w:rPr>
        <w:t>105</w:t>
      </w:r>
      <w:r w:rsidRPr="00E45DA1">
        <w:rPr>
          <w:rtl/>
          <w:lang w:val="fr-CH"/>
        </w:rPr>
        <w:t xml:space="preserve"> و</w:t>
      </w:r>
      <w:r w:rsidRPr="008D13D7">
        <w:rPr>
          <w:szCs w:val="20"/>
          <w:rtl/>
          <w:lang w:val="fr-CH"/>
        </w:rPr>
        <w:t>106</w:t>
      </w:r>
      <w:r w:rsidRPr="00E45DA1">
        <w:rPr>
          <w:rtl/>
          <w:lang w:val="fr-CH"/>
        </w:rPr>
        <w:t xml:space="preserve"> من القانون الجنائي"، وإلى عبارة "مجرم عائد خطير" من توصيف الجرائم التي ارتكبها صاحب البلاغ، ليس شرطاً مطلقاً لفرض عقوبة أخف. </w:t>
      </w:r>
    </w:p>
    <w:p w14:paraId="62BBADD9" w14:textId="27DD9289" w:rsidR="00E45DA1" w:rsidRPr="00E45DA1" w:rsidRDefault="00E45DA1" w:rsidP="00E45DA1">
      <w:pPr>
        <w:pStyle w:val="SingleTxtGA"/>
        <w:rPr>
          <w:rtl/>
          <w:lang w:val="fr-CH"/>
        </w:rPr>
      </w:pPr>
      <w:r w:rsidRPr="008D13D7">
        <w:rPr>
          <w:szCs w:val="20"/>
          <w:rtl/>
          <w:lang w:val="fr-CH"/>
        </w:rPr>
        <w:t>4</w:t>
      </w:r>
      <w:r w:rsidRPr="00E45DA1">
        <w:rPr>
          <w:rtl/>
          <w:lang w:val="fr-CH"/>
        </w:rPr>
        <w:t>-</w:t>
      </w:r>
      <w:r w:rsidRPr="008D13D7">
        <w:rPr>
          <w:szCs w:val="20"/>
          <w:rtl/>
          <w:lang w:val="fr-CH"/>
        </w:rPr>
        <w:t>9</w:t>
      </w:r>
      <w:r w:rsidRPr="00E45DA1">
        <w:rPr>
          <w:rtl/>
          <w:lang w:val="fr-CH"/>
        </w:rPr>
        <w:tab/>
        <w:t>وتدفع الدولة الطرف بأن البلاغ المقدم لا يتضمن أي معلومة مثبتة موضوعيا عن انتهاك أحكام العهد. وامتعاض صاحب البلاغ من النتيجة التي أسفر عنها النظر في الدعوى الجنائية المرفوعة ضده، وفقاً للقانون المحلي الذي كان ساريا</w:t>
      </w:r>
      <w:r w:rsidR="00BF29BF">
        <w:rPr>
          <w:rFonts w:hint="cs"/>
          <w:rtl/>
          <w:lang w:val="fr-CH"/>
        </w:rPr>
        <w:t>ً</w:t>
      </w:r>
      <w:r w:rsidRPr="00E45DA1">
        <w:rPr>
          <w:rtl/>
          <w:lang w:val="fr-CH"/>
        </w:rPr>
        <w:t xml:space="preserve"> في حينه، لا يعد بمثابة انتهاك لحقوقه المنصوص عليها في العهد. وتستنتج الدولة الطرف أن البلاغ برمته يشكل إساءة لاستخدام الحق في تقديم البلاغات، وينبغي اعتباره غير مقبول بموجب المادة </w:t>
      </w:r>
      <w:r w:rsidRPr="008D13D7">
        <w:rPr>
          <w:szCs w:val="20"/>
          <w:rtl/>
          <w:lang w:val="fr-CH"/>
        </w:rPr>
        <w:t>3</w:t>
      </w:r>
      <w:r w:rsidRPr="00E45DA1">
        <w:rPr>
          <w:rtl/>
          <w:lang w:val="fr-CH"/>
        </w:rPr>
        <w:t xml:space="preserve"> من البروتوكول الاختياري.</w:t>
      </w:r>
    </w:p>
    <w:p w14:paraId="55095784" w14:textId="77777777" w:rsidR="00E45DA1" w:rsidRPr="00E45DA1" w:rsidRDefault="00E45DA1" w:rsidP="003F01F5">
      <w:pPr>
        <w:pStyle w:val="H23GA"/>
        <w:keepNext/>
        <w:keepLines/>
        <w:rPr>
          <w:rtl/>
          <w:lang w:val="fr-CH"/>
        </w:rPr>
      </w:pPr>
      <w:r w:rsidRPr="00E45DA1">
        <w:rPr>
          <w:rtl/>
          <w:lang w:val="fr-CH"/>
        </w:rPr>
        <w:tab/>
      </w:r>
      <w:r w:rsidRPr="00E45DA1">
        <w:rPr>
          <w:rtl/>
          <w:lang w:val="fr-CH"/>
        </w:rPr>
        <w:tab/>
        <w:t>تعليقات صاحب البلاغ على ملاحظات الدولة الطرف بشأن المقبولية والأسس الموضوعية</w:t>
      </w:r>
    </w:p>
    <w:p w14:paraId="626F3C31" w14:textId="274F9624" w:rsidR="00E45DA1" w:rsidRPr="00E45DA1" w:rsidRDefault="00E45DA1" w:rsidP="00E45DA1">
      <w:pPr>
        <w:pStyle w:val="SingleTxtGA"/>
        <w:rPr>
          <w:rtl/>
          <w:lang w:val="fr-CH"/>
        </w:rPr>
      </w:pPr>
      <w:r w:rsidRPr="008D13D7">
        <w:rPr>
          <w:szCs w:val="20"/>
          <w:rtl/>
          <w:lang w:val="fr-CH"/>
        </w:rPr>
        <w:t>5</w:t>
      </w:r>
      <w:r>
        <w:rPr>
          <w:rFonts w:hint="cs"/>
          <w:rtl/>
          <w:lang w:val="fr-CH"/>
        </w:rPr>
        <w:t>-</w:t>
      </w:r>
      <w:r w:rsidRPr="00E45DA1">
        <w:rPr>
          <w:rtl/>
          <w:lang w:val="fr-CH"/>
        </w:rPr>
        <w:tab/>
        <w:t xml:space="preserve">في </w:t>
      </w:r>
      <w:r w:rsidRPr="008D13D7">
        <w:rPr>
          <w:szCs w:val="20"/>
          <w:rtl/>
          <w:lang w:val="fr-CH"/>
        </w:rPr>
        <w:t>10</w:t>
      </w:r>
      <w:r w:rsidRPr="00E45DA1">
        <w:rPr>
          <w:rtl/>
          <w:lang w:val="fr-CH"/>
        </w:rPr>
        <w:t xml:space="preserve"> آب/أغسطس </w:t>
      </w:r>
      <w:r w:rsidRPr="008D13D7">
        <w:rPr>
          <w:szCs w:val="20"/>
          <w:rtl/>
          <w:lang w:val="fr-CH"/>
        </w:rPr>
        <w:t>2015</w:t>
      </w:r>
      <w:r w:rsidRPr="00E45DA1">
        <w:rPr>
          <w:rtl/>
          <w:lang w:val="fr-CH"/>
        </w:rPr>
        <w:t xml:space="preserve">، قدم صاحب البلاغ تعليقاته على ملاحظات الدولة الطرف. وهو يعرب عن اختلافه الكلي مع الموقف الذي تبنته سلطات الدولة الطرف ويرى أن التعليق عليه ليس ضروريا. ويشير صاحب البلاغ إلى الرسالة الأولى التي وجهها إلى اللجنة، والتي تبين بوضوح، في رأيه، ادعاءاته وحججه الداعمة. </w:t>
      </w:r>
    </w:p>
    <w:p w14:paraId="60650A73" w14:textId="77777777" w:rsidR="00E45DA1" w:rsidRPr="00E45DA1" w:rsidRDefault="00E45DA1" w:rsidP="003F01F5">
      <w:pPr>
        <w:pStyle w:val="H23GA"/>
        <w:keepNext/>
        <w:keepLines/>
        <w:rPr>
          <w:rtl/>
          <w:lang w:val="fr-CH"/>
        </w:rPr>
      </w:pPr>
      <w:r w:rsidRPr="00E45DA1">
        <w:rPr>
          <w:rtl/>
          <w:lang w:val="fr-CH"/>
        </w:rPr>
        <w:tab/>
      </w:r>
      <w:r w:rsidRPr="00E45DA1">
        <w:rPr>
          <w:rtl/>
          <w:lang w:val="fr-CH"/>
        </w:rPr>
        <w:tab/>
        <w:t>المسائل والإجراءات المعروضة على اللجنة</w:t>
      </w:r>
    </w:p>
    <w:p w14:paraId="1F4ED823" w14:textId="77777777" w:rsidR="00E45DA1" w:rsidRPr="00E45DA1" w:rsidRDefault="00E45DA1" w:rsidP="00E45DA1">
      <w:pPr>
        <w:pStyle w:val="H4GA"/>
        <w:rPr>
          <w:rtl/>
          <w:lang w:val="fr-CH"/>
        </w:rPr>
      </w:pPr>
      <w:r w:rsidRPr="00E45DA1">
        <w:rPr>
          <w:rtl/>
          <w:lang w:val="fr-CH"/>
        </w:rPr>
        <w:tab/>
      </w:r>
      <w:r w:rsidRPr="00E45DA1">
        <w:rPr>
          <w:rtl/>
          <w:lang w:val="fr-CH"/>
        </w:rPr>
        <w:tab/>
        <w:t>النظر في المقبولية</w:t>
      </w:r>
    </w:p>
    <w:p w14:paraId="2EC681F2" w14:textId="77777777" w:rsidR="00E45DA1" w:rsidRPr="00E45DA1" w:rsidRDefault="00E45DA1" w:rsidP="00E45DA1">
      <w:pPr>
        <w:pStyle w:val="SingleTxtGA"/>
        <w:rPr>
          <w:rtl/>
          <w:lang w:val="fr-CH"/>
        </w:rPr>
      </w:pPr>
      <w:r w:rsidRPr="008D13D7">
        <w:rPr>
          <w:szCs w:val="20"/>
          <w:rtl/>
          <w:lang w:val="fr-CH"/>
        </w:rPr>
        <w:t>6</w:t>
      </w:r>
      <w:r w:rsidRPr="00E45DA1">
        <w:rPr>
          <w:rtl/>
          <w:lang w:val="fr-CH"/>
        </w:rPr>
        <w:t>-</w:t>
      </w:r>
      <w:r w:rsidRPr="008D13D7">
        <w:rPr>
          <w:szCs w:val="20"/>
          <w:rtl/>
          <w:lang w:val="fr-CH"/>
        </w:rPr>
        <w:t>1</w:t>
      </w:r>
      <w:r w:rsidRPr="00E45DA1">
        <w:rPr>
          <w:rtl/>
          <w:lang w:val="fr-CH"/>
        </w:rPr>
        <w:tab/>
        <w:t xml:space="preserve">قبل النظر في أي ادعاء يرد في بلاغ ما، يجب على اللجنة، وفقاً لما تقتضيه المادة </w:t>
      </w:r>
      <w:r w:rsidRPr="008D13D7">
        <w:rPr>
          <w:szCs w:val="20"/>
          <w:rtl/>
          <w:lang w:val="fr-CH"/>
        </w:rPr>
        <w:t>97</w:t>
      </w:r>
      <w:r w:rsidRPr="00E45DA1">
        <w:rPr>
          <w:rtl/>
          <w:lang w:val="fr-CH"/>
        </w:rPr>
        <w:t xml:space="preserve"> من نظامها الداخلي، أن تقرر ما إذا كان البلاغ مقبولاً أم لا بموجب البروتوكول الاختياري.</w:t>
      </w:r>
    </w:p>
    <w:p w14:paraId="1073E27B" w14:textId="49CAB9C5" w:rsidR="00E45DA1" w:rsidRPr="00E45DA1" w:rsidRDefault="00E45DA1" w:rsidP="00E45DA1">
      <w:pPr>
        <w:pStyle w:val="SingleTxtGA"/>
        <w:rPr>
          <w:rtl/>
          <w:lang w:val="fr-CH"/>
        </w:rPr>
      </w:pPr>
      <w:r w:rsidRPr="008D13D7">
        <w:rPr>
          <w:szCs w:val="20"/>
          <w:rtl/>
          <w:lang w:val="fr-CH"/>
        </w:rPr>
        <w:t>6</w:t>
      </w:r>
      <w:r w:rsidRPr="00E45DA1">
        <w:rPr>
          <w:rtl/>
          <w:lang w:val="fr-CH"/>
        </w:rPr>
        <w:t>-</w:t>
      </w:r>
      <w:r w:rsidRPr="008D13D7">
        <w:rPr>
          <w:szCs w:val="20"/>
          <w:rtl/>
          <w:lang w:val="fr-CH"/>
        </w:rPr>
        <w:t>2</w:t>
      </w:r>
      <w:r w:rsidRPr="00E45DA1">
        <w:rPr>
          <w:rtl/>
          <w:lang w:val="fr-CH"/>
        </w:rPr>
        <w:tab/>
        <w:t xml:space="preserve">وقد تأكدت اللجنة، وفقاً لما تقتضيه المادة </w:t>
      </w:r>
      <w:r w:rsidRPr="008D13D7">
        <w:rPr>
          <w:szCs w:val="20"/>
          <w:rtl/>
          <w:lang w:val="fr-CH"/>
        </w:rPr>
        <w:t>5</w:t>
      </w:r>
      <w:r w:rsidRPr="00E45DA1">
        <w:rPr>
          <w:rtl/>
          <w:lang w:val="fr-CH"/>
        </w:rPr>
        <w:t>(</w:t>
      </w:r>
      <w:r w:rsidRPr="008D13D7">
        <w:rPr>
          <w:szCs w:val="20"/>
          <w:rtl/>
          <w:lang w:val="fr-CH"/>
        </w:rPr>
        <w:t>2</w:t>
      </w:r>
      <w:r w:rsidRPr="00E45DA1">
        <w:rPr>
          <w:rtl/>
          <w:lang w:val="fr-CH"/>
        </w:rPr>
        <w:t>)(أ) من البروتوكول الاختياري، من أن المسألة ذاتها ليست قيد البحث في إطار أي إجراء آخر من إجراءات التحقيق الدولي أو التسوية الدولية.</w:t>
      </w:r>
    </w:p>
    <w:p w14:paraId="48C439B0" w14:textId="38A47611" w:rsidR="00E45DA1" w:rsidRPr="00E45DA1" w:rsidRDefault="00E45DA1" w:rsidP="00E45DA1">
      <w:pPr>
        <w:pStyle w:val="SingleTxtGA"/>
        <w:rPr>
          <w:rtl/>
          <w:lang w:val="fr-CH"/>
        </w:rPr>
      </w:pPr>
      <w:r w:rsidRPr="008D13D7">
        <w:rPr>
          <w:szCs w:val="20"/>
          <w:rtl/>
          <w:lang w:val="fr-CH"/>
        </w:rPr>
        <w:t>6</w:t>
      </w:r>
      <w:r w:rsidRPr="00E45DA1">
        <w:rPr>
          <w:rtl/>
          <w:lang w:val="fr-CH"/>
        </w:rPr>
        <w:t>-</w:t>
      </w:r>
      <w:r w:rsidRPr="008D13D7">
        <w:rPr>
          <w:szCs w:val="20"/>
          <w:rtl/>
          <w:lang w:val="fr-CH"/>
        </w:rPr>
        <w:t>3</w:t>
      </w:r>
      <w:r w:rsidRPr="00E45DA1">
        <w:rPr>
          <w:rtl/>
          <w:lang w:val="fr-CH"/>
        </w:rPr>
        <w:tab/>
        <w:t xml:space="preserve">وتحيط اللجنة علما بادعاء صاحب البلاغ بشأن استنفاده جميع سبل الانتصاف المحلية الفعالة المتاحة أمامه. ونظرا إلى عدم ورود أي اعتراض من الدولة الطرف في هذا الصدد، ترى اللجنة أن مقتضيات المادة </w:t>
      </w:r>
      <w:r w:rsidRPr="008D13D7">
        <w:rPr>
          <w:szCs w:val="20"/>
          <w:rtl/>
          <w:lang w:val="fr-CH"/>
        </w:rPr>
        <w:t>5</w:t>
      </w:r>
      <w:r w:rsidRPr="00E45DA1">
        <w:rPr>
          <w:rtl/>
          <w:lang w:val="fr-CH"/>
        </w:rPr>
        <w:t>(</w:t>
      </w:r>
      <w:r w:rsidRPr="008D13D7">
        <w:rPr>
          <w:szCs w:val="20"/>
          <w:rtl/>
          <w:lang w:val="fr-CH"/>
        </w:rPr>
        <w:t>2</w:t>
      </w:r>
      <w:r w:rsidRPr="00E45DA1">
        <w:rPr>
          <w:rtl/>
          <w:lang w:val="fr-CH"/>
        </w:rPr>
        <w:t>)(ب) من البروتوكول الاختياري قد استوفيت.</w:t>
      </w:r>
    </w:p>
    <w:p w14:paraId="2AE5E6D6" w14:textId="77777777" w:rsidR="00E45DA1" w:rsidRPr="00E45DA1" w:rsidRDefault="00E45DA1" w:rsidP="00E45DA1">
      <w:pPr>
        <w:pStyle w:val="SingleTxtGA"/>
        <w:rPr>
          <w:rtl/>
          <w:lang w:val="fr-CH"/>
        </w:rPr>
      </w:pPr>
      <w:r w:rsidRPr="008D13D7">
        <w:rPr>
          <w:szCs w:val="20"/>
          <w:rtl/>
          <w:lang w:val="fr-CH"/>
        </w:rPr>
        <w:t>6</w:t>
      </w:r>
      <w:r w:rsidRPr="00E45DA1">
        <w:rPr>
          <w:rtl/>
          <w:lang w:val="fr-CH"/>
        </w:rPr>
        <w:t>-</w:t>
      </w:r>
      <w:r w:rsidRPr="008D13D7">
        <w:rPr>
          <w:szCs w:val="20"/>
          <w:rtl/>
          <w:lang w:val="fr-CH"/>
        </w:rPr>
        <w:t>4</w:t>
      </w:r>
      <w:r w:rsidRPr="00E45DA1">
        <w:rPr>
          <w:rtl/>
          <w:lang w:val="fr-CH"/>
        </w:rPr>
        <w:tab/>
        <w:t xml:space="preserve">وتحيط اللجنة علماً كذلك بموقف الدولة الطرف الذي ذهبت فيه إلى أن التأخر في تقديم هذا البلاغ يستدعي أن تعتبره اللجنة غير مقبول لأنه يشكل إساءة لاستخدام الحق في تقديم البلاغات وفقا للمادة </w:t>
      </w:r>
      <w:r w:rsidRPr="008D13D7">
        <w:rPr>
          <w:szCs w:val="20"/>
          <w:rtl/>
          <w:lang w:val="fr-CH"/>
        </w:rPr>
        <w:t>3</w:t>
      </w:r>
      <w:r w:rsidRPr="00E45DA1">
        <w:rPr>
          <w:rtl/>
          <w:lang w:val="fr-CH"/>
        </w:rPr>
        <w:t xml:space="preserve"> من البروتوكول الاختياري. </w:t>
      </w:r>
    </w:p>
    <w:p w14:paraId="50D567AC" w14:textId="185243DE" w:rsidR="00E45DA1" w:rsidRPr="00D26A91" w:rsidRDefault="00E45DA1" w:rsidP="00E45DA1">
      <w:pPr>
        <w:pStyle w:val="SingleTxtGA"/>
        <w:rPr>
          <w:spacing w:val="-2"/>
          <w:rtl/>
          <w:lang w:val="fr-CH"/>
        </w:rPr>
      </w:pPr>
      <w:r w:rsidRPr="008D13D7">
        <w:rPr>
          <w:szCs w:val="20"/>
          <w:rtl/>
          <w:lang w:val="fr-CH"/>
        </w:rPr>
        <w:lastRenderedPageBreak/>
        <w:t>6</w:t>
      </w:r>
      <w:r w:rsidRPr="00E45DA1">
        <w:rPr>
          <w:rtl/>
          <w:lang w:val="fr-CH"/>
        </w:rPr>
        <w:t>-</w:t>
      </w:r>
      <w:r w:rsidRPr="008D13D7">
        <w:rPr>
          <w:szCs w:val="20"/>
          <w:rtl/>
          <w:lang w:val="fr-CH"/>
        </w:rPr>
        <w:t>5</w:t>
      </w:r>
      <w:r w:rsidRPr="00E45DA1">
        <w:rPr>
          <w:rtl/>
          <w:lang w:val="fr-CH"/>
        </w:rPr>
        <w:tab/>
      </w:r>
      <w:r w:rsidRPr="00D26A91">
        <w:rPr>
          <w:spacing w:val="-2"/>
          <w:rtl/>
          <w:lang w:val="fr-CH"/>
        </w:rPr>
        <w:t>وتذكّر اللجنة في هذا الصدد، بأن تقديم بلاغات بموجب البروتوكول الاختياري ليس محددا بأجل زمني، وأن مجرد التأخر في تقديمها لا ينطوي في حد ذاته على إساءة استخدام الحق في تقديم البلاغات</w:t>
      </w:r>
      <w:r w:rsidRPr="00D26A91">
        <w:rPr>
          <w:spacing w:val="-2"/>
          <w:vertAlign w:val="superscript"/>
          <w:rtl/>
          <w:lang w:val="fr-CH"/>
        </w:rPr>
        <w:t>(</w:t>
      </w:r>
      <w:r w:rsidRPr="00D26A91">
        <w:rPr>
          <w:rFonts w:cs="Times New Roman"/>
          <w:spacing w:val="-2"/>
          <w:position w:val="4"/>
          <w:vertAlign w:val="superscript"/>
        </w:rPr>
        <w:footnoteReference w:id="12"/>
      </w:r>
      <w:r w:rsidRPr="00D26A91">
        <w:rPr>
          <w:spacing w:val="-2"/>
          <w:vertAlign w:val="superscript"/>
          <w:rtl/>
          <w:lang w:val="fr-CH"/>
        </w:rPr>
        <w:t>)</w:t>
      </w:r>
      <w:r w:rsidRPr="00D26A91">
        <w:rPr>
          <w:spacing w:val="-2"/>
          <w:rtl/>
          <w:lang w:val="fr-CH"/>
        </w:rPr>
        <w:t>. غير أن اللجنة تتوقع، في ظروف معينة، أن تقدم لها إيضاحات معقولة تبرر التأخير</w:t>
      </w:r>
      <w:r w:rsidRPr="00D26A91">
        <w:rPr>
          <w:spacing w:val="-2"/>
          <w:vertAlign w:val="superscript"/>
          <w:rtl/>
          <w:lang w:val="fr-CH"/>
        </w:rPr>
        <w:t>(</w:t>
      </w:r>
      <w:r w:rsidRPr="00D26A91">
        <w:rPr>
          <w:rFonts w:cs="Times New Roman"/>
          <w:spacing w:val="-2"/>
          <w:position w:val="4"/>
          <w:vertAlign w:val="superscript"/>
        </w:rPr>
        <w:footnoteReference w:id="13"/>
      </w:r>
      <w:r w:rsidRPr="00D26A91">
        <w:rPr>
          <w:spacing w:val="-2"/>
          <w:vertAlign w:val="superscript"/>
          <w:rtl/>
          <w:lang w:val="fr-CH"/>
        </w:rPr>
        <w:t>)</w:t>
      </w:r>
      <w:r w:rsidRPr="00D26A91">
        <w:rPr>
          <w:spacing w:val="-2"/>
          <w:rtl/>
          <w:lang w:val="fr-CH"/>
        </w:rPr>
        <w:t xml:space="preserve">. وعلاوة على ذلك، تنص المادة </w:t>
      </w:r>
      <w:r w:rsidRPr="00D26A91">
        <w:rPr>
          <w:spacing w:val="-2"/>
          <w:szCs w:val="20"/>
          <w:rtl/>
          <w:lang w:val="fr-CH"/>
        </w:rPr>
        <w:t>99</w:t>
      </w:r>
      <w:r w:rsidRPr="00D26A91">
        <w:rPr>
          <w:spacing w:val="-2"/>
          <w:rtl/>
          <w:lang w:val="fr-CH"/>
        </w:rPr>
        <w:t>(ج) من النظام الداخلي للجنة على أن البلاغ قد يشكل إساءة لاستخدام الحق في تقديم البلاغات عندما يقدَّم بعد خمس سنوات من استنفاد صاحبه لسبل الانتصاف المحلية أو، حيثما انطبق ذلك، بعد ثلاث سنوات من انتهاء إجراء آخر من إجراءات التحقيق الدولي أو التسوية الدولية، ما لم تكن هناك مبررات لهذا التأخير، مع مراعاة جميع ملابسات البلاغ"</w:t>
      </w:r>
      <w:r w:rsidRPr="00D26A91">
        <w:rPr>
          <w:spacing w:val="-2"/>
          <w:vertAlign w:val="superscript"/>
          <w:rtl/>
          <w:lang w:val="fr-CH"/>
        </w:rPr>
        <w:t>(</w:t>
      </w:r>
      <w:r w:rsidRPr="00D26A91">
        <w:rPr>
          <w:rFonts w:cs="Times New Roman"/>
          <w:spacing w:val="-2"/>
          <w:position w:val="4"/>
          <w:vertAlign w:val="superscript"/>
        </w:rPr>
        <w:footnoteReference w:id="14"/>
      </w:r>
      <w:r w:rsidRPr="00D26A91">
        <w:rPr>
          <w:spacing w:val="-2"/>
          <w:vertAlign w:val="superscript"/>
          <w:rtl/>
          <w:lang w:val="fr-CH"/>
        </w:rPr>
        <w:t>)</w:t>
      </w:r>
      <w:r w:rsidRPr="00D26A91">
        <w:rPr>
          <w:spacing w:val="-2"/>
          <w:rtl/>
          <w:lang w:val="fr-CH"/>
        </w:rPr>
        <w:t>.</w:t>
      </w:r>
    </w:p>
    <w:p w14:paraId="25F719B6" w14:textId="014594EF" w:rsidR="00E45DA1" w:rsidRPr="00D26A91" w:rsidRDefault="00E45DA1" w:rsidP="00E45DA1">
      <w:pPr>
        <w:pStyle w:val="SingleTxtGA"/>
        <w:rPr>
          <w:spacing w:val="-2"/>
          <w:rtl/>
          <w:lang w:val="fr-CH"/>
        </w:rPr>
      </w:pPr>
      <w:r w:rsidRPr="008D13D7">
        <w:rPr>
          <w:szCs w:val="20"/>
          <w:rtl/>
          <w:lang w:val="fr-CH"/>
        </w:rPr>
        <w:t>6</w:t>
      </w:r>
      <w:r w:rsidRPr="00E45DA1">
        <w:rPr>
          <w:rtl/>
          <w:lang w:val="fr-CH"/>
        </w:rPr>
        <w:t>-</w:t>
      </w:r>
      <w:r w:rsidRPr="008D13D7">
        <w:rPr>
          <w:szCs w:val="20"/>
          <w:rtl/>
          <w:lang w:val="fr-CH"/>
        </w:rPr>
        <w:t>6</w:t>
      </w:r>
      <w:r w:rsidRPr="00E45DA1">
        <w:rPr>
          <w:rtl/>
          <w:lang w:val="fr-CH"/>
        </w:rPr>
        <w:tab/>
        <w:t xml:space="preserve">وفي هذه القضية، تأخر تقديم هذا البلاغ زمنا طويلا، إذ قُدم إلى اللجنة بعد مرور </w:t>
      </w:r>
      <w:r w:rsidRPr="008D13D7">
        <w:rPr>
          <w:szCs w:val="20"/>
          <w:rtl/>
          <w:lang w:val="fr-CH"/>
        </w:rPr>
        <w:t>18</w:t>
      </w:r>
      <w:r w:rsidRPr="00E45DA1">
        <w:rPr>
          <w:rtl/>
          <w:lang w:val="fr-CH"/>
        </w:rPr>
        <w:t xml:space="preserve"> عاماً على التاريخ الذي أصبح فيه الحكم الصادر بحق صاحب البلاغ قابلا للتنفيذ، عملاً بقرار المحكمة العليا المؤرخ </w:t>
      </w:r>
      <w:r w:rsidRPr="008D13D7">
        <w:rPr>
          <w:szCs w:val="20"/>
          <w:rtl/>
          <w:lang w:val="fr-CH"/>
        </w:rPr>
        <w:t>11</w:t>
      </w:r>
      <w:r w:rsidRPr="00E45DA1">
        <w:rPr>
          <w:rtl/>
          <w:lang w:val="fr-CH"/>
        </w:rPr>
        <w:t xml:space="preserve"> كانون الثاني/يناير </w:t>
      </w:r>
      <w:r w:rsidRPr="008D13D7">
        <w:rPr>
          <w:szCs w:val="20"/>
          <w:rtl/>
          <w:lang w:val="fr-CH"/>
        </w:rPr>
        <w:t>1996</w:t>
      </w:r>
      <w:r w:rsidRPr="00E45DA1">
        <w:rPr>
          <w:rtl/>
          <w:lang w:val="fr-CH"/>
        </w:rPr>
        <w:t xml:space="preserve">، وبعد </w:t>
      </w:r>
      <w:r w:rsidRPr="008D13D7">
        <w:rPr>
          <w:szCs w:val="20"/>
          <w:rtl/>
          <w:lang w:val="fr-CH"/>
        </w:rPr>
        <w:t>8</w:t>
      </w:r>
      <w:r w:rsidRPr="00E45DA1">
        <w:rPr>
          <w:rtl/>
          <w:lang w:val="fr-CH"/>
        </w:rPr>
        <w:t xml:space="preserve"> سنوات من إعادة النظر في تلك العقوبة في محكمة مدينة سوليكامسك في </w:t>
      </w:r>
      <w:r w:rsidRPr="008D13D7">
        <w:rPr>
          <w:szCs w:val="20"/>
          <w:rtl/>
          <w:lang w:val="fr-CH"/>
        </w:rPr>
        <w:t>4</w:t>
      </w:r>
      <w:r w:rsidRPr="00E45DA1">
        <w:rPr>
          <w:rtl/>
          <w:lang w:val="fr-CH"/>
        </w:rPr>
        <w:t xml:space="preserve"> أيار/مايو </w:t>
      </w:r>
      <w:r w:rsidRPr="008D13D7">
        <w:rPr>
          <w:szCs w:val="20"/>
          <w:rtl/>
          <w:lang w:val="fr-CH"/>
        </w:rPr>
        <w:t>2006</w:t>
      </w:r>
      <w:r w:rsidRPr="00E45DA1">
        <w:rPr>
          <w:rtl/>
          <w:lang w:val="fr-CH"/>
        </w:rPr>
        <w:t xml:space="preserve"> وفي محكمة بيرم الإقليمية في </w:t>
      </w:r>
      <w:r w:rsidRPr="008D13D7">
        <w:rPr>
          <w:szCs w:val="20"/>
          <w:rtl/>
          <w:lang w:val="fr-CH"/>
        </w:rPr>
        <w:t>20</w:t>
      </w:r>
      <w:r w:rsidRPr="00E45DA1">
        <w:rPr>
          <w:rtl/>
          <w:lang w:val="fr-CH"/>
        </w:rPr>
        <w:t xml:space="preserve"> حزيران/يونيه </w:t>
      </w:r>
      <w:r w:rsidRPr="008D13D7">
        <w:rPr>
          <w:szCs w:val="20"/>
          <w:rtl/>
          <w:lang w:val="fr-CH"/>
        </w:rPr>
        <w:t>2006</w:t>
      </w:r>
      <w:r w:rsidRPr="00E45DA1">
        <w:rPr>
          <w:rtl/>
          <w:lang w:val="fr-CH"/>
        </w:rPr>
        <w:t>، عملا</w:t>
      </w:r>
      <w:r w:rsidR="00AA0F36">
        <w:rPr>
          <w:rFonts w:hint="cs"/>
          <w:rtl/>
          <w:lang w:val="fr-CH"/>
        </w:rPr>
        <w:t>ً</w:t>
      </w:r>
      <w:r w:rsidRPr="00E45DA1">
        <w:rPr>
          <w:rtl/>
          <w:lang w:val="fr-CH"/>
        </w:rPr>
        <w:t xml:space="preserve"> بأحكام قانون جنائي جديد ينص على عقوبة أخف ويُطبق بأثر رجعي. وتلاحظ اللجنة أن المعلومات المقدمة لا تتضمن ما يفيد بأن فرص صاحب البلاغ في الاتصال بأشخاص خارج السجن كانت </w:t>
      </w:r>
      <w:r w:rsidRPr="00D26A91">
        <w:rPr>
          <w:spacing w:val="-2"/>
          <w:rtl/>
          <w:lang w:val="fr-CH"/>
        </w:rPr>
        <w:t xml:space="preserve">تخضع لقيود، ولا سيما بالنظر إلى عدد الشكاوى التي قدمت إلى السلطات والمحاكم المحلية أثناء وجوده في السجن. وتلاحظ اللجنة أيضاً أن صاحب البلاغ استند أساسا، في طلب إجراء الاستعراض القضائي الإشرافي بعد عام </w:t>
      </w:r>
      <w:r w:rsidRPr="00D26A91">
        <w:rPr>
          <w:spacing w:val="-2"/>
          <w:szCs w:val="20"/>
          <w:rtl/>
          <w:lang w:val="fr-CH"/>
        </w:rPr>
        <w:t>2006</w:t>
      </w:r>
      <w:r w:rsidRPr="00D26A91">
        <w:rPr>
          <w:spacing w:val="-2"/>
          <w:rtl/>
          <w:lang w:val="fr-CH"/>
        </w:rPr>
        <w:t xml:space="preserve">، إلى الوقائع والظروف التي حدثت قبل تلك السنة أو خلالها. غير أن صاحب البلاغ لم يوضح متى تنبَّه للعيوب الإجرائية المزعومة في الإجراءات المحلية التي احتج بها في هذا البلاغ، ولم يبين الأسباب التي حالت دون تمكنه من تقديم بلاغه إلى اللجنة في وقت سابق. وعلاوة على ذلك، يبدو أن الطلبات الأخيرة التي قدمها صاحب البلاغ في عام </w:t>
      </w:r>
      <w:r w:rsidRPr="00D26A91">
        <w:rPr>
          <w:spacing w:val="-2"/>
          <w:szCs w:val="20"/>
          <w:rtl/>
          <w:lang w:val="fr-CH"/>
        </w:rPr>
        <w:t>2013</w:t>
      </w:r>
      <w:r w:rsidRPr="00D26A91">
        <w:rPr>
          <w:spacing w:val="-2"/>
          <w:rtl/>
          <w:lang w:val="fr-CH"/>
        </w:rPr>
        <w:t xml:space="preserve"> لإجراء الاستعراض القضائي الإشرافي لا تتضمن أي عناصر جديدة غير العيوب الإجرائية المزعومة في الإجراءات المحلية، وهي عيوب سبق أن أثارها في الماضي. وبناء على ذلك، ترى اللجنة أن صاحب البلاغ لم يقدم تفسيراً مقنعاً لتأخره في تقديم البلاغ. وفي غياب هذا التفسير، ترى اللجنة أن تقديم البلاغ بعد هذه الفترة الزمنية الطويلة يشكل إساءة لاستخدام الحق في تقديم البلاغات. ولذلك، ترى اللجنة أن هذا البلاغ غير مقبول بموجب المادة </w:t>
      </w:r>
      <w:r w:rsidRPr="00D26A91">
        <w:rPr>
          <w:spacing w:val="-2"/>
          <w:szCs w:val="20"/>
          <w:rtl/>
          <w:lang w:val="fr-CH"/>
        </w:rPr>
        <w:t>3</w:t>
      </w:r>
      <w:r w:rsidRPr="00D26A91">
        <w:rPr>
          <w:spacing w:val="-2"/>
          <w:rtl/>
          <w:lang w:val="fr-CH"/>
        </w:rPr>
        <w:t xml:space="preserve"> من البروتوكول الاختياري والمادة </w:t>
      </w:r>
      <w:r w:rsidRPr="00D26A91">
        <w:rPr>
          <w:spacing w:val="-2"/>
          <w:szCs w:val="20"/>
          <w:rtl/>
          <w:lang w:val="fr-CH"/>
        </w:rPr>
        <w:t>96</w:t>
      </w:r>
      <w:r w:rsidRPr="00D26A91">
        <w:rPr>
          <w:spacing w:val="-2"/>
          <w:rtl/>
          <w:lang w:val="fr-CH"/>
        </w:rPr>
        <w:t>(ج) من النظام الداخلي للجنة.</w:t>
      </w:r>
    </w:p>
    <w:p w14:paraId="13A227FF" w14:textId="77777777" w:rsidR="00E45DA1" w:rsidRPr="00E45DA1" w:rsidRDefault="00E45DA1" w:rsidP="00E45DA1">
      <w:pPr>
        <w:pStyle w:val="SingleTxtGA"/>
        <w:rPr>
          <w:rtl/>
          <w:lang w:val="fr-CH"/>
        </w:rPr>
      </w:pPr>
      <w:r w:rsidRPr="008D13D7">
        <w:rPr>
          <w:szCs w:val="20"/>
          <w:rtl/>
          <w:lang w:val="fr-CH"/>
        </w:rPr>
        <w:t>6</w:t>
      </w:r>
      <w:r w:rsidRPr="00E45DA1">
        <w:rPr>
          <w:rtl/>
          <w:lang w:val="fr-CH"/>
        </w:rPr>
        <w:t>-</w:t>
      </w:r>
      <w:r w:rsidRPr="008D13D7">
        <w:rPr>
          <w:szCs w:val="20"/>
          <w:rtl/>
          <w:lang w:val="fr-CH"/>
        </w:rPr>
        <w:t>7</w:t>
      </w:r>
      <w:r w:rsidRPr="00E45DA1">
        <w:rPr>
          <w:rtl/>
          <w:lang w:val="fr-CH"/>
        </w:rPr>
        <w:tab/>
        <w:t>واللجنة، إذ توصلت إلى هذا الاستنتاج، تقرر عدم النظر في بقية ادعاءات الدولة الطرف بشأن مقبولية هذا البلاغ.</w:t>
      </w:r>
    </w:p>
    <w:p w14:paraId="4EE5230C" w14:textId="77777777" w:rsidR="00E45DA1" w:rsidRPr="00E45DA1" w:rsidRDefault="00E45DA1" w:rsidP="00E45DA1">
      <w:pPr>
        <w:pStyle w:val="SingleTxtGA"/>
        <w:rPr>
          <w:rtl/>
          <w:lang w:val="fr-CH"/>
        </w:rPr>
      </w:pPr>
      <w:r w:rsidRPr="008D13D7">
        <w:rPr>
          <w:szCs w:val="20"/>
          <w:rtl/>
          <w:lang w:val="fr-CH"/>
        </w:rPr>
        <w:t>7</w:t>
      </w:r>
      <w:r w:rsidRPr="00E45DA1">
        <w:rPr>
          <w:rtl/>
          <w:lang w:val="fr-CH"/>
        </w:rPr>
        <w:t>-</w:t>
      </w:r>
      <w:r w:rsidRPr="00E45DA1">
        <w:rPr>
          <w:rtl/>
          <w:lang w:val="fr-CH"/>
        </w:rPr>
        <w:tab/>
        <w:t>وبناءً عليه، تقرر اللجنة ما يلي:</w:t>
      </w:r>
    </w:p>
    <w:p w14:paraId="477E7327" w14:textId="77777777" w:rsidR="00E45DA1" w:rsidRPr="00E45DA1" w:rsidRDefault="00E45DA1" w:rsidP="00E45DA1">
      <w:pPr>
        <w:pStyle w:val="SingleTxtGA"/>
        <w:rPr>
          <w:rtl/>
          <w:lang w:val="fr-CH"/>
        </w:rPr>
      </w:pPr>
      <w:r w:rsidRPr="00E45DA1">
        <w:rPr>
          <w:rtl/>
          <w:lang w:val="fr-CH"/>
        </w:rPr>
        <w:tab/>
        <w:t>(أ)</w:t>
      </w:r>
      <w:r w:rsidRPr="00E45DA1">
        <w:rPr>
          <w:rtl/>
          <w:lang w:val="fr-CH"/>
        </w:rPr>
        <w:tab/>
        <w:t>عدم قبول البلاغ بموجب الماد</w:t>
      </w:r>
      <w:bookmarkStart w:id="0" w:name="_GoBack"/>
      <w:bookmarkEnd w:id="0"/>
      <w:r w:rsidRPr="00E45DA1">
        <w:rPr>
          <w:rtl/>
          <w:lang w:val="fr-CH"/>
        </w:rPr>
        <w:t xml:space="preserve">ة </w:t>
      </w:r>
      <w:r w:rsidRPr="008D13D7">
        <w:rPr>
          <w:szCs w:val="20"/>
          <w:rtl/>
          <w:lang w:val="fr-CH"/>
        </w:rPr>
        <w:t>3</w:t>
      </w:r>
      <w:r w:rsidRPr="00E45DA1">
        <w:rPr>
          <w:rtl/>
          <w:lang w:val="fr-CH"/>
        </w:rPr>
        <w:t xml:space="preserve"> من البروتوكول الاختياري؛</w:t>
      </w:r>
    </w:p>
    <w:p w14:paraId="5914794E" w14:textId="77777777" w:rsidR="00E45DA1" w:rsidRPr="00E45DA1" w:rsidRDefault="00E45DA1" w:rsidP="00E45DA1">
      <w:pPr>
        <w:pStyle w:val="SingleTxtGA"/>
        <w:rPr>
          <w:rtl/>
          <w:lang w:val="fr-CH"/>
        </w:rPr>
      </w:pPr>
      <w:r w:rsidRPr="00E45DA1">
        <w:rPr>
          <w:rtl/>
          <w:lang w:val="fr-CH"/>
        </w:rPr>
        <w:tab/>
        <w:t>(ب)</w:t>
      </w:r>
      <w:r w:rsidRPr="00E45DA1">
        <w:rPr>
          <w:rtl/>
          <w:lang w:val="fr-CH"/>
        </w:rPr>
        <w:tab/>
        <w:t>إبلاغ الدولة الطرف وصاحب البلاغ بهذا القرار.</w:t>
      </w:r>
    </w:p>
    <w:p w14:paraId="41891765" w14:textId="333FA2FE" w:rsidR="00B54045" w:rsidRPr="00E45DA1" w:rsidRDefault="00E45DA1" w:rsidP="00E45DA1">
      <w:pPr>
        <w:spacing w:before="120"/>
        <w:jc w:val="center"/>
        <w:rPr>
          <w:u w:val="single"/>
          <w:lang w:val="fr-CH"/>
        </w:rPr>
      </w:pPr>
      <w:r>
        <w:rPr>
          <w:u w:val="single"/>
          <w:rtl/>
          <w:lang w:val="fr-CH"/>
        </w:rPr>
        <w:tab/>
      </w:r>
      <w:r>
        <w:rPr>
          <w:u w:val="single"/>
          <w:rtl/>
          <w:lang w:val="fr-CH"/>
        </w:rPr>
        <w:tab/>
      </w:r>
      <w:r>
        <w:rPr>
          <w:u w:val="single"/>
          <w:rtl/>
          <w:lang w:val="fr-CH"/>
        </w:rPr>
        <w:tab/>
      </w:r>
    </w:p>
    <w:sectPr w:rsidR="00B54045" w:rsidRPr="00E45DA1" w:rsidSect="0046694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A8613" w14:textId="77777777" w:rsidR="008D13D7" w:rsidRPr="002901D9" w:rsidRDefault="008D13D7" w:rsidP="002901D9">
      <w:pPr>
        <w:spacing w:after="60" w:line="240" w:lineRule="auto"/>
        <w:rPr>
          <w:i/>
          <w:iCs/>
        </w:rPr>
      </w:pPr>
      <w:r>
        <w:rPr>
          <w:rFonts w:hint="cs"/>
          <w:i/>
          <w:iCs/>
          <w:rtl/>
        </w:rPr>
        <w:t>الحواشي</w:t>
      </w:r>
    </w:p>
  </w:endnote>
  <w:endnote w:type="continuationSeparator" w:id="0">
    <w:p w14:paraId="3565C0E2" w14:textId="77777777" w:rsidR="008D13D7" w:rsidRDefault="008D13D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FB1F" w14:textId="77777777" w:rsidR="008D13D7" w:rsidRPr="00581B6C" w:rsidRDefault="008D13D7" w:rsidP="00581B6C">
    <w:pPr>
      <w:pStyle w:val="Footer"/>
      <w:tabs>
        <w:tab w:val="right" w:pos="9598"/>
      </w:tabs>
      <w:rPr>
        <w:sz w:val="17"/>
      </w:rPr>
    </w:pPr>
    <w:r>
      <w:rPr>
        <w:sz w:val="17"/>
      </w:rPr>
      <w:t>GE.20-07889</w:t>
    </w:r>
    <w:r>
      <w:rPr>
        <w:sz w:val="17"/>
      </w:rPr>
      <w:tab/>
    </w:r>
    <w:r w:rsidRPr="00581B6C">
      <w:rPr>
        <w:b/>
        <w:sz w:val="18"/>
      </w:rPr>
      <w:fldChar w:fldCharType="begin"/>
    </w:r>
    <w:r w:rsidRPr="00581B6C">
      <w:rPr>
        <w:b/>
        <w:sz w:val="18"/>
      </w:rPr>
      <w:instrText xml:space="preserve"> PAGE  \* MERGEFORMAT </w:instrText>
    </w:r>
    <w:r w:rsidRPr="00581B6C">
      <w:rPr>
        <w:b/>
        <w:sz w:val="18"/>
      </w:rPr>
      <w:fldChar w:fldCharType="separate"/>
    </w:r>
    <w:r>
      <w:rPr>
        <w:b/>
        <w:sz w:val="18"/>
      </w:rPr>
      <w:t>2</w:t>
    </w:r>
    <w:r w:rsidRPr="00581B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632D" w14:textId="77777777" w:rsidR="008D13D7" w:rsidRPr="00581B6C" w:rsidRDefault="008D13D7" w:rsidP="006959B0">
    <w:pPr>
      <w:pStyle w:val="Footer"/>
      <w:tabs>
        <w:tab w:val="right" w:pos="9599"/>
      </w:tabs>
      <w:jc w:val="left"/>
      <w:rPr>
        <w:b/>
        <w:sz w:val="18"/>
        <w:lang w:val="en-US"/>
      </w:rPr>
    </w:pPr>
    <w:r w:rsidRPr="00581B6C">
      <w:rPr>
        <w:b/>
        <w:sz w:val="18"/>
        <w:lang w:val="en-US"/>
      </w:rPr>
      <w:fldChar w:fldCharType="begin"/>
    </w:r>
    <w:r w:rsidRPr="00581B6C">
      <w:rPr>
        <w:b/>
        <w:sz w:val="18"/>
        <w:lang w:val="en-US"/>
      </w:rPr>
      <w:instrText xml:space="preserve"> PAGE  \* MERGEFORMAT </w:instrText>
    </w:r>
    <w:r w:rsidRPr="00581B6C">
      <w:rPr>
        <w:b/>
        <w:sz w:val="18"/>
        <w:lang w:val="en-US"/>
      </w:rPr>
      <w:fldChar w:fldCharType="separate"/>
    </w:r>
    <w:r w:rsidRPr="00581B6C">
      <w:rPr>
        <w:b/>
        <w:noProof/>
        <w:sz w:val="18"/>
        <w:lang w:val="en-US"/>
      </w:rPr>
      <w:t>3</w:t>
    </w:r>
    <w:r w:rsidRPr="00581B6C">
      <w:rPr>
        <w:b/>
        <w:sz w:val="18"/>
        <w:lang w:val="en-US"/>
      </w:rPr>
      <w:fldChar w:fldCharType="end"/>
    </w:r>
    <w:r>
      <w:rPr>
        <w:b/>
        <w:sz w:val="18"/>
        <w:lang w:val="en-US"/>
      </w:rPr>
      <w:tab/>
    </w:r>
    <w:r>
      <w:rPr>
        <w:sz w:val="17"/>
        <w:lang w:val="en-US"/>
      </w:rPr>
      <w:t>GE.20-07889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FD5A" w14:textId="75B9321E" w:rsidR="008D13D7" w:rsidRDefault="008D13D7" w:rsidP="00982139">
    <w:pPr>
      <w:pStyle w:val="Footer"/>
      <w:spacing w:before="360"/>
      <w:jc w:val="right"/>
      <w:rPr>
        <w:sz w:val="20"/>
        <w:szCs w:val="20"/>
      </w:rPr>
    </w:pPr>
    <w:r>
      <w:rPr>
        <w:sz w:val="20"/>
        <w:szCs w:val="20"/>
      </w:rPr>
      <w:t>GE.20-07889</w:t>
    </w:r>
    <w:r w:rsidR="00D409F3">
      <w:rPr>
        <w:noProof/>
      </w:rPr>
      <w:drawing>
        <wp:anchor distT="0" distB="0" distL="114300" distR="114300" simplePos="0" relativeHeight="251657728" behindDoc="1" locked="1" layoutInCell="0" allowOverlap="1" wp14:anchorId="7C9421AE" wp14:editId="6A8B1BDF">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42733FAF" w14:textId="0333DD89" w:rsidR="008D13D7" w:rsidRPr="00466940" w:rsidRDefault="008D13D7" w:rsidP="0046694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D409F3">
      <w:rPr>
        <w:noProof/>
      </w:rPr>
      <w:drawing>
        <wp:anchor distT="0" distB="0" distL="114300" distR="114300" simplePos="0" relativeHeight="251659776" behindDoc="0" locked="0" layoutInCell="1" allowOverlap="1" wp14:anchorId="59DCFB48" wp14:editId="3DA1CCA0">
          <wp:simplePos x="0" y="0"/>
          <wp:positionH relativeFrom="page">
            <wp:posOffset>719455</wp:posOffset>
          </wp:positionH>
          <wp:positionV relativeFrom="page">
            <wp:posOffset>9611995</wp:posOffset>
          </wp:positionV>
          <wp:extent cx="641350" cy="641350"/>
          <wp:effectExtent l="0" t="0" r="0" b="0"/>
          <wp:wrapNone/>
          <wp:docPr id="2" name="Picture 2" descr="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5462" w14:textId="78D901CC" w:rsidR="008D13D7" w:rsidRPr="000437B8" w:rsidRDefault="008D13D7" w:rsidP="00E45DA1">
      <w:pPr>
        <w:pStyle w:val="Footer"/>
        <w:bidi/>
        <w:spacing w:after="80" w:line="200" w:lineRule="exact"/>
        <w:ind w:left="680"/>
      </w:pPr>
      <w:r>
        <w:rPr>
          <w:rtl/>
        </w:rPr>
        <w:t>__________</w:t>
      </w:r>
    </w:p>
  </w:footnote>
  <w:footnote w:type="continuationSeparator" w:id="0">
    <w:p w14:paraId="6C37FA3D" w14:textId="77777777" w:rsidR="008D13D7" w:rsidRDefault="008D13D7" w:rsidP="00656392">
      <w:pPr>
        <w:spacing w:line="240" w:lineRule="auto"/>
      </w:pPr>
      <w:r>
        <w:continuationSeparator/>
      </w:r>
    </w:p>
  </w:footnote>
  <w:footnote w:id="1">
    <w:p w14:paraId="470E38B7" w14:textId="66791F24" w:rsidR="008D13D7" w:rsidRPr="00E45DA1" w:rsidRDefault="008D13D7" w:rsidP="008D13D7">
      <w:pPr>
        <w:pStyle w:val="FootnoteText1"/>
        <w:rPr>
          <w:rtl/>
        </w:rPr>
      </w:pPr>
      <w:r>
        <w:rPr>
          <w:rtl/>
        </w:rPr>
        <w:t>*</w:t>
      </w:r>
      <w:r>
        <w:rPr>
          <w:rtl/>
        </w:rPr>
        <w:tab/>
      </w:r>
      <w:r w:rsidRPr="00E45DA1">
        <w:rPr>
          <w:rtl/>
        </w:rPr>
        <w:t xml:space="preserve">اعتمدته اللجنة في دورتها </w:t>
      </w:r>
      <w:r w:rsidRPr="008D13D7">
        <w:rPr>
          <w:szCs w:val="18"/>
          <w:rtl/>
        </w:rPr>
        <w:t>128</w:t>
      </w:r>
      <w:r w:rsidRPr="00E45DA1">
        <w:rPr>
          <w:rtl/>
        </w:rPr>
        <w:t xml:space="preserve"> (</w:t>
      </w:r>
      <w:r w:rsidRPr="008D13D7">
        <w:rPr>
          <w:szCs w:val="18"/>
          <w:rtl/>
        </w:rPr>
        <w:t>2</w:t>
      </w:r>
      <w:r w:rsidRPr="00E45DA1">
        <w:rPr>
          <w:rtl/>
        </w:rPr>
        <w:t>-</w:t>
      </w:r>
      <w:r w:rsidRPr="008D13D7">
        <w:rPr>
          <w:szCs w:val="18"/>
          <w:rtl/>
        </w:rPr>
        <w:t>27</w:t>
      </w:r>
      <w:r w:rsidRPr="00E45DA1">
        <w:rPr>
          <w:rtl/>
        </w:rPr>
        <w:t xml:space="preserve"> آذار/مارس </w:t>
      </w:r>
      <w:r w:rsidRPr="008D13D7">
        <w:rPr>
          <w:szCs w:val="18"/>
          <w:rtl/>
        </w:rPr>
        <w:t>2020</w:t>
      </w:r>
      <w:r w:rsidRPr="00E45DA1">
        <w:rPr>
          <w:rtl/>
        </w:rPr>
        <w:t>).</w:t>
      </w:r>
    </w:p>
  </w:footnote>
  <w:footnote w:id="2">
    <w:p w14:paraId="6390585B" w14:textId="7B0B49E3" w:rsidR="008D13D7" w:rsidRPr="00E45DA1" w:rsidRDefault="008D13D7" w:rsidP="008D13D7">
      <w:pPr>
        <w:pStyle w:val="FootnoteText1"/>
      </w:pPr>
      <w:r>
        <w:rPr>
          <w:rtl/>
        </w:rPr>
        <w:t>**</w:t>
      </w:r>
      <w:r>
        <w:rPr>
          <w:rtl/>
        </w:rPr>
        <w:tab/>
      </w:r>
      <w:r w:rsidRPr="00E45DA1">
        <w:rPr>
          <w:rtl/>
        </w:rPr>
        <w:t>شارك أعضاء اللجنة التالية أسماؤهم في دراسة هذا البلاغ: عياض بن عاشور، وعارف بلقان، وأحمد أمين فتح الله، وكريستوف هاينز، وبا مريم كويتا، ومارسيا ف. ج. كران، ودنكان موهوموزا لاكي، وفوتيني بازارتزيس، وفاسيلكا سانسين، وخوسيه مانويل سانتوس باييس، ويوفال شاني، وهيلين تيغرودجا، وجنتيان زيبيري.</w:t>
      </w:r>
    </w:p>
  </w:footnote>
  <w:footnote w:id="3">
    <w:p w14:paraId="3FEA7A80" w14:textId="2112143C"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المادة </w:t>
      </w:r>
      <w:r w:rsidRPr="008D13D7">
        <w:rPr>
          <w:szCs w:val="18"/>
          <w:rtl/>
        </w:rPr>
        <w:t>146</w:t>
      </w:r>
      <w:r w:rsidRPr="00E45DA1">
        <w:rPr>
          <w:rtl/>
        </w:rPr>
        <w:t>(</w:t>
      </w:r>
      <w:r w:rsidRPr="008D13D7">
        <w:rPr>
          <w:szCs w:val="18"/>
          <w:rtl/>
        </w:rPr>
        <w:t>2</w:t>
      </w:r>
      <w:r w:rsidRPr="00E45DA1">
        <w:rPr>
          <w:rtl/>
        </w:rPr>
        <w:t xml:space="preserve">)(أ) من القانون الجنائي لعام </w:t>
      </w:r>
      <w:r w:rsidRPr="008D13D7">
        <w:rPr>
          <w:szCs w:val="18"/>
          <w:rtl/>
        </w:rPr>
        <w:t>1960</w:t>
      </w:r>
      <w:r w:rsidRPr="00E45DA1">
        <w:rPr>
          <w:rtl/>
        </w:rPr>
        <w:t xml:space="preserve">. </w:t>
      </w:r>
      <w:r w:rsidRPr="00E45DA1">
        <w:rPr>
          <w:rFonts w:ascii="Arial" w:hAnsi="Arial" w:cs="Arial" w:hint="cs"/>
          <w:rtl/>
        </w:rPr>
        <w:t>‬</w:t>
      </w:r>
    </w:p>
  </w:footnote>
  <w:footnote w:id="4">
    <w:p w14:paraId="524AF2E3" w14:textId="4D9F0F46"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المواد </w:t>
      </w:r>
      <w:r w:rsidRPr="008D13D7">
        <w:rPr>
          <w:szCs w:val="18"/>
          <w:rtl/>
        </w:rPr>
        <w:t>102</w:t>
      </w:r>
      <w:r w:rsidRPr="00E45DA1">
        <w:rPr>
          <w:rtl/>
        </w:rPr>
        <w:t>(ج) و(د) و(و)</w:t>
      </w:r>
      <w:r>
        <w:rPr>
          <w:rtl/>
        </w:rPr>
        <w:t xml:space="preserve"> و</w:t>
      </w:r>
      <w:r w:rsidRPr="00E45DA1">
        <w:rPr>
          <w:rtl/>
        </w:rPr>
        <w:t xml:space="preserve">(ط) من القانون الجنائي لعام </w:t>
      </w:r>
      <w:r w:rsidRPr="008D13D7">
        <w:rPr>
          <w:szCs w:val="18"/>
          <w:rtl/>
        </w:rPr>
        <w:t>1960</w:t>
      </w:r>
      <w:r w:rsidRPr="00E45DA1">
        <w:rPr>
          <w:rtl/>
        </w:rPr>
        <w:t xml:space="preserve">. </w:t>
      </w:r>
    </w:p>
  </w:footnote>
  <w:footnote w:id="5">
    <w:p w14:paraId="07BEFBA8" w14:textId="154BFBE6"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في </w:t>
      </w:r>
      <w:r w:rsidRPr="008D13D7">
        <w:rPr>
          <w:szCs w:val="18"/>
          <w:rtl/>
        </w:rPr>
        <w:t>6</w:t>
      </w:r>
      <w:r w:rsidRPr="00E45DA1">
        <w:rPr>
          <w:rtl/>
        </w:rPr>
        <w:t xml:space="preserve"> شباط/فبراير </w:t>
      </w:r>
      <w:r w:rsidRPr="008D13D7">
        <w:rPr>
          <w:szCs w:val="18"/>
          <w:rtl/>
        </w:rPr>
        <w:t>1985</w:t>
      </w:r>
      <w:r w:rsidRPr="00E45DA1">
        <w:rPr>
          <w:rtl/>
        </w:rPr>
        <w:t>، أدين صاحب البلاغ بقتل والده عمداً وحُكم عليه بالسجن لمدة ست سنوات.</w:t>
      </w:r>
    </w:p>
  </w:footnote>
  <w:footnote w:id="6">
    <w:p w14:paraId="4D59A136" w14:textId="1F0B62A6"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بناء على طلب إجرائي قدمه صاحب البلاغ.</w:t>
      </w:r>
    </w:p>
  </w:footnote>
  <w:footnote w:id="7">
    <w:p w14:paraId="5E1E2A4F" w14:textId="6A19C339"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أُشير إلى المادة </w:t>
      </w:r>
      <w:r w:rsidRPr="008D13D7">
        <w:rPr>
          <w:szCs w:val="18"/>
          <w:rtl/>
        </w:rPr>
        <w:t>89</w:t>
      </w:r>
      <w:r w:rsidRPr="00E45DA1">
        <w:rPr>
          <w:rtl/>
        </w:rPr>
        <w:t xml:space="preserve">(ج) من دستور الاتحاد الروسي. </w:t>
      </w:r>
    </w:p>
  </w:footnote>
  <w:footnote w:id="8">
    <w:p w14:paraId="40C3F462" w14:textId="74CFB694"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تنص المادة </w:t>
      </w:r>
      <w:r w:rsidRPr="008D13D7">
        <w:rPr>
          <w:szCs w:val="18"/>
          <w:rtl/>
        </w:rPr>
        <w:t>54</w:t>
      </w:r>
      <w:r w:rsidRPr="00E45DA1">
        <w:rPr>
          <w:rtl/>
        </w:rPr>
        <w:t xml:space="preserve"> من الدستور على ما يلي: </w:t>
      </w:r>
      <w:r w:rsidRPr="00E45DA1">
        <w:rPr>
          <w:rFonts w:ascii="Arial" w:hAnsi="Arial" w:cs="Arial" w:hint="cs"/>
          <w:rtl/>
        </w:rPr>
        <w:t>‬</w:t>
      </w:r>
      <w:r w:rsidRPr="00E45DA1">
        <w:rPr>
          <w:rtl/>
        </w:rPr>
        <w:t xml:space="preserve"> </w:t>
      </w:r>
    </w:p>
    <w:p w14:paraId="1BA6D766" w14:textId="76B2E970" w:rsidR="008D13D7" w:rsidRPr="00E45DA1" w:rsidRDefault="008D13D7" w:rsidP="00AA0F36">
      <w:pPr>
        <w:pStyle w:val="FootnoteText1"/>
        <w:ind w:left="1814"/>
        <w:rPr>
          <w:rtl/>
        </w:rPr>
      </w:pPr>
      <w:r w:rsidRPr="00E45DA1">
        <w:rPr>
          <w:rtl/>
        </w:rPr>
        <w:t>(</w:t>
      </w:r>
      <w:r w:rsidRPr="008D13D7">
        <w:rPr>
          <w:szCs w:val="18"/>
          <w:rtl/>
        </w:rPr>
        <w:t>1</w:t>
      </w:r>
      <w:r w:rsidRPr="00E45DA1">
        <w:rPr>
          <w:rtl/>
        </w:rPr>
        <w:t>)</w:t>
      </w:r>
      <w:r w:rsidR="00AA0F36">
        <w:rPr>
          <w:rtl/>
        </w:rPr>
        <w:tab/>
      </w:r>
      <w:r w:rsidRPr="00E45DA1">
        <w:rPr>
          <w:rtl/>
        </w:rPr>
        <w:t>إن القانون الذي ينص على المسؤولية أو على تشديدها لا يكون له أثر رجعي. (</w:t>
      </w:r>
      <w:r w:rsidRPr="008D13D7">
        <w:rPr>
          <w:szCs w:val="18"/>
          <w:rtl/>
        </w:rPr>
        <w:t>2</w:t>
      </w:r>
      <w:r w:rsidRPr="00E45DA1">
        <w:rPr>
          <w:rtl/>
        </w:rPr>
        <w:t>)</w:t>
      </w:r>
      <w:r w:rsidR="00AA0F36">
        <w:rPr>
          <w:rFonts w:hint="cs"/>
          <w:rtl/>
        </w:rPr>
        <w:t xml:space="preserve"> </w:t>
      </w:r>
      <w:r w:rsidRPr="00E45DA1">
        <w:rPr>
          <w:rtl/>
        </w:rPr>
        <w:t>لا يدان أي شخص بارتكاب فعل لم يكن وقت ارتكابه يشكل جريمة. وإذا نص القانون، بعد ارتكاب الجريمة، على إلغاء المسؤولية الجنائية أو تخفيف العقوبة، يُطبق القانون الجديد.</w:t>
      </w:r>
    </w:p>
  </w:footnote>
  <w:footnote w:id="9">
    <w:p w14:paraId="5A6C1500" w14:textId="6DFE066B"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في رسالة مؤرخة </w:t>
      </w:r>
      <w:r w:rsidRPr="008D13D7">
        <w:rPr>
          <w:szCs w:val="18"/>
          <w:rtl/>
        </w:rPr>
        <w:t>10</w:t>
      </w:r>
      <w:r w:rsidRPr="00E45DA1">
        <w:rPr>
          <w:rtl/>
        </w:rPr>
        <w:t xml:space="preserve"> أيلول/سبتمبر </w:t>
      </w:r>
      <w:r w:rsidRPr="008D13D7">
        <w:rPr>
          <w:szCs w:val="18"/>
          <w:rtl/>
        </w:rPr>
        <w:t>2013</w:t>
      </w:r>
      <w:r w:rsidRPr="00E45DA1">
        <w:rPr>
          <w:rtl/>
        </w:rPr>
        <w:t>، أبلغ رئيس محكمة تشيليابينسك الإقليمية صاحب البلاغ بأن ملف الدعوى الجنائية المقامة ضده لم يُسجل فيه ما يؤكد أنه تلقى إخطاراً بإحالة قضيته إلى جانب طلبات الطعن بالنقض التي قدمها الأشخاص المدانون ومحاموهم، إلى الهيئة القضائية للمحكمة العليا لعقد جلسة استماع.</w:t>
      </w:r>
    </w:p>
  </w:footnote>
  <w:footnote w:id="10">
    <w:p w14:paraId="7729A1B9" w14:textId="45493593"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تنص المادة </w:t>
      </w:r>
      <w:r w:rsidRPr="008D13D7">
        <w:rPr>
          <w:szCs w:val="18"/>
          <w:rtl/>
        </w:rPr>
        <w:t>327</w:t>
      </w:r>
      <w:r w:rsidRPr="00E45DA1">
        <w:rPr>
          <w:rtl/>
        </w:rPr>
        <w:t xml:space="preserve"> من قانون الإجراءات الجنائية (الإخطار بالاعتراضات والطعون المرفوعة) على ما يلي: </w:t>
      </w:r>
    </w:p>
    <w:p w14:paraId="132E1C1D" w14:textId="0F5DCCF4" w:rsidR="008D13D7" w:rsidRPr="00E45DA1" w:rsidRDefault="00AA0F36" w:rsidP="00AA0F36">
      <w:pPr>
        <w:pStyle w:val="FootnoteText1"/>
        <w:ind w:firstLine="0"/>
        <w:rPr>
          <w:rtl/>
        </w:rPr>
      </w:pPr>
      <w:r>
        <w:rPr>
          <w:rtl/>
        </w:rPr>
        <w:tab/>
      </w:r>
      <w:r w:rsidR="008D13D7" w:rsidRPr="00E45DA1">
        <w:rPr>
          <w:rtl/>
        </w:rPr>
        <w:t>تخطر المحكمة الابتدائية الشخص المدان والشخص المبرأ والأطراف الأخرى في الإجراءات متى مُست مصالحهم، بأي اعتراض أو طعن يرفع.</w:t>
      </w:r>
    </w:p>
    <w:p w14:paraId="6AF93935" w14:textId="1C8C60CB" w:rsidR="008D13D7" w:rsidRPr="00E45DA1" w:rsidRDefault="00AA0F36" w:rsidP="00AA0F36">
      <w:pPr>
        <w:pStyle w:val="FootnoteText1"/>
        <w:ind w:firstLine="0"/>
        <w:rPr>
          <w:rtl/>
        </w:rPr>
      </w:pPr>
      <w:r>
        <w:rPr>
          <w:rtl/>
        </w:rPr>
        <w:tab/>
      </w:r>
      <w:r w:rsidR="008D13D7" w:rsidRPr="00E45DA1">
        <w:rPr>
          <w:rtl/>
        </w:rPr>
        <w:t>ويحق للشخص المدان والشخص المبرأ وللأطراف الأخرى في الإجراءات الاطلاع على أي اعتراضات أو طعون ترفع إلى المحكمة وتقديم ما لديهم من اعتراضات عليها.</w:t>
      </w:r>
    </w:p>
    <w:p w14:paraId="76149AB1" w14:textId="506A0F68" w:rsidR="008D13D7" w:rsidRPr="00E45DA1" w:rsidRDefault="00AA0F36" w:rsidP="00AA0F36">
      <w:pPr>
        <w:pStyle w:val="FootnoteText1"/>
        <w:ind w:firstLine="0"/>
        <w:rPr>
          <w:rtl/>
        </w:rPr>
      </w:pPr>
      <w:r>
        <w:rPr>
          <w:rtl/>
        </w:rPr>
        <w:tab/>
      </w:r>
      <w:r w:rsidR="008D13D7" w:rsidRPr="00E45DA1">
        <w:rPr>
          <w:rtl/>
        </w:rPr>
        <w:t xml:space="preserve">ويحصل الشخص المدان أو الشخص المبرأ، بناء على طلبه، على نسخة من الاعتراض أو الطعن المقدم من الطرف المتضرر. </w:t>
      </w:r>
    </w:p>
    <w:p w14:paraId="0F7F5CA2" w14:textId="0FDDE373" w:rsidR="008D13D7" w:rsidRPr="00E45DA1" w:rsidRDefault="00AA0F36" w:rsidP="00AA0F36">
      <w:pPr>
        <w:pStyle w:val="FootnoteText1"/>
        <w:ind w:firstLine="0"/>
        <w:rPr>
          <w:rtl/>
        </w:rPr>
      </w:pPr>
      <w:r>
        <w:rPr>
          <w:rtl/>
        </w:rPr>
        <w:tab/>
      </w:r>
      <w:r w:rsidR="008D13D7" w:rsidRPr="00E45DA1">
        <w:rPr>
          <w:rtl/>
        </w:rPr>
        <w:t xml:space="preserve">وتُضمُّ إلى ملف القضية، الاعتراضات المرفوعة على الطعن المقدم أو الاعتراض الذي سبق رفعه أو تحال [إلى المحكمة التي ستنظر في القضية] بالإضافة إلى ملف القضية في غضون </w:t>
      </w:r>
      <w:r w:rsidR="008D13D7" w:rsidRPr="008D13D7">
        <w:rPr>
          <w:szCs w:val="18"/>
          <w:rtl/>
        </w:rPr>
        <w:t>24</w:t>
      </w:r>
      <w:r w:rsidR="008D13D7" w:rsidRPr="00E45DA1">
        <w:rPr>
          <w:rtl/>
        </w:rPr>
        <w:t xml:space="preserve"> ساعة.</w:t>
      </w:r>
    </w:p>
  </w:footnote>
  <w:footnote w:id="11">
    <w:p w14:paraId="476257BF" w14:textId="2499283D"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تنص المادة </w:t>
      </w:r>
      <w:r w:rsidRPr="008D13D7">
        <w:rPr>
          <w:szCs w:val="18"/>
          <w:rtl/>
        </w:rPr>
        <w:t>1</w:t>
      </w:r>
      <w:r w:rsidRPr="00E45DA1">
        <w:rPr>
          <w:rtl/>
        </w:rPr>
        <w:t>(</w:t>
      </w:r>
      <w:r w:rsidRPr="008D13D7">
        <w:rPr>
          <w:szCs w:val="18"/>
          <w:rtl/>
        </w:rPr>
        <w:t>2</w:t>
      </w:r>
      <w:r w:rsidRPr="00E45DA1">
        <w:rPr>
          <w:rtl/>
        </w:rPr>
        <w:t xml:space="preserve">) من قانون الإجراءات الجنائية لعام </w:t>
      </w:r>
      <w:r w:rsidRPr="008D13D7">
        <w:rPr>
          <w:szCs w:val="18"/>
          <w:rtl/>
        </w:rPr>
        <w:t>1960</w:t>
      </w:r>
      <w:r w:rsidRPr="00E45DA1">
        <w:rPr>
          <w:rtl/>
        </w:rPr>
        <w:t xml:space="preserve"> والمادة </w:t>
      </w:r>
      <w:r w:rsidRPr="008D13D7">
        <w:rPr>
          <w:szCs w:val="18"/>
          <w:rtl/>
        </w:rPr>
        <w:t>4</w:t>
      </w:r>
      <w:r w:rsidRPr="00E45DA1">
        <w:rPr>
          <w:rtl/>
        </w:rPr>
        <w:t xml:space="preserve"> من قانون الإجراءات الجنائية لعام </w:t>
      </w:r>
      <w:r w:rsidRPr="008D13D7">
        <w:rPr>
          <w:szCs w:val="18"/>
          <w:rtl/>
        </w:rPr>
        <w:t>2002</w:t>
      </w:r>
      <w:r w:rsidRPr="00E45DA1">
        <w:rPr>
          <w:rtl/>
        </w:rPr>
        <w:t xml:space="preserve"> على أن تُتخذ التدابير أو القرارات الإجرائية استنادا إلى قانون الإجراءات الجنائية الساري في حينه.</w:t>
      </w:r>
    </w:p>
  </w:footnote>
  <w:footnote w:id="12">
    <w:p w14:paraId="724E05E5" w14:textId="2F30ECD9"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قضية </w:t>
      </w:r>
      <w:r w:rsidRPr="001221CE">
        <w:rPr>
          <w:i/>
          <w:iCs/>
          <w:rtl/>
        </w:rPr>
        <w:t>بولاتشكوفا وبولاتشك ضد الجمهورية التشيكية</w:t>
      </w:r>
      <w:r w:rsidRPr="00E45DA1">
        <w:rPr>
          <w:rtl/>
        </w:rPr>
        <w:t xml:space="preserve"> (</w:t>
      </w:r>
      <w:r w:rsidRPr="00E45DA1">
        <w:t>CCPR/C/</w:t>
      </w:r>
      <w:r w:rsidRPr="008D13D7">
        <w:rPr>
          <w:szCs w:val="18"/>
        </w:rPr>
        <w:t>90</w:t>
      </w:r>
      <w:r w:rsidRPr="00E45DA1">
        <w:t>/D/</w:t>
      </w:r>
      <w:r w:rsidRPr="008D13D7">
        <w:rPr>
          <w:szCs w:val="18"/>
        </w:rPr>
        <w:t>1445</w:t>
      </w:r>
      <w:r w:rsidRPr="00E45DA1">
        <w:t>/</w:t>
      </w:r>
      <w:r w:rsidRPr="008D13D7">
        <w:rPr>
          <w:szCs w:val="18"/>
        </w:rPr>
        <w:t>2006</w:t>
      </w:r>
      <w:r w:rsidRPr="00E45DA1">
        <w:rPr>
          <w:rtl/>
        </w:rPr>
        <w:t xml:space="preserve">)، الفقرة </w:t>
      </w:r>
      <w:r w:rsidRPr="008D13D7">
        <w:rPr>
          <w:szCs w:val="18"/>
          <w:rtl/>
        </w:rPr>
        <w:t>6</w:t>
      </w:r>
      <w:r w:rsidRPr="00E45DA1">
        <w:rPr>
          <w:rtl/>
        </w:rPr>
        <w:t>-</w:t>
      </w:r>
      <w:r w:rsidRPr="008D13D7">
        <w:rPr>
          <w:szCs w:val="18"/>
          <w:rtl/>
        </w:rPr>
        <w:t>3</w:t>
      </w:r>
      <w:r w:rsidRPr="00E45DA1">
        <w:rPr>
          <w:rtl/>
        </w:rPr>
        <w:t xml:space="preserve">؛ وقضية </w:t>
      </w:r>
      <w:r w:rsidRPr="001221CE">
        <w:rPr>
          <w:i/>
          <w:iCs/>
          <w:rtl/>
        </w:rPr>
        <w:t>د.</w:t>
      </w:r>
      <w:r w:rsidR="00AA0F36">
        <w:rPr>
          <w:rFonts w:hint="cs"/>
          <w:i/>
          <w:iCs/>
          <w:rtl/>
        </w:rPr>
        <w:t> </w:t>
      </w:r>
      <w:r w:rsidRPr="001221CE">
        <w:rPr>
          <w:i/>
          <w:iCs/>
          <w:rtl/>
        </w:rPr>
        <w:t>س. ضد الاتحاد الروسي</w:t>
      </w:r>
      <w:r w:rsidRPr="00E45DA1">
        <w:rPr>
          <w:rtl/>
        </w:rPr>
        <w:t xml:space="preserve"> (</w:t>
      </w:r>
      <w:r w:rsidRPr="00E45DA1">
        <w:t>CCPR/C/</w:t>
      </w:r>
      <w:r w:rsidRPr="008D13D7">
        <w:rPr>
          <w:szCs w:val="18"/>
        </w:rPr>
        <w:t>120</w:t>
      </w:r>
      <w:r w:rsidRPr="00E45DA1">
        <w:t>/D/</w:t>
      </w:r>
      <w:r w:rsidRPr="008D13D7">
        <w:rPr>
          <w:szCs w:val="18"/>
        </w:rPr>
        <w:t>2705</w:t>
      </w:r>
      <w:r w:rsidRPr="00E45DA1">
        <w:t>/</w:t>
      </w:r>
      <w:r w:rsidRPr="008D13D7">
        <w:rPr>
          <w:szCs w:val="18"/>
        </w:rPr>
        <w:t>2015</w:t>
      </w:r>
      <w:r w:rsidRPr="00E45DA1">
        <w:rPr>
          <w:rtl/>
        </w:rPr>
        <w:t xml:space="preserve">)، الفقرة </w:t>
      </w:r>
      <w:r w:rsidRPr="008D13D7">
        <w:rPr>
          <w:szCs w:val="18"/>
          <w:rtl/>
        </w:rPr>
        <w:t>6</w:t>
      </w:r>
      <w:r w:rsidRPr="00E45DA1">
        <w:rPr>
          <w:rtl/>
        </w:rPr>
        <w:t>-</w:t>
      </w:r>
      <w:r w:rsidRPr="008D13D7">
        <w:rPr>
          <w:szCs w:val="18"/>
          <w:rtl/>
        </w:rPr>
        <w:t>4</w:t>
      </w:r>
      <w:r w:rsidRPr="00E45DA1">
        <w:rPr>
          <w:rtl/>
        </w:rPr>
        <w:t>.</w:t>
      </w:r>
    </w:p>
  </w:footnote>
  <w:footnote w:id="13">
    <w:p w14:paraId="15FD3088" w14:textId="589B4CCE"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r>
      <w:r w:rsidRPr="001221CE">
        <w:rPr>
          <w:i/>
          <w:iCs/>
          <w:rtl/>
        </w:rPr>
        <w:t>غوبين ضد موريشيوس</w:t>
      </w:r>
      <w:r w:rsidRPr="00E45DA1">
        <w:rPr>
          <w:rtl/>
        </w:rPr>
        <w:t xml:space="preserve"> (</w:t>
      </w:r>
      <w:r w:rsidRPr="00E45DA1">
        <w:t>CCPR/C/</w:t>
      </w:r>
      <w:r w:rsidRPr="008D13D7">
        <w:rPr>
          <w:szCs w:val="18"/>
        </w:rPr>
        <w:t>72</w:t>
      </w:r>
      <w:r w:rsidRPr="00E45DA1">
        <w:t>/D/</w:t>
      </w:r>
      <w:r w:rsidRPr="008D13D7">
        <w:rPr>
          <w:szCs w:val="18"/>
        </w:rPr>
        <w:t>787</w:t>
      </w:r>
      <w:r w:rsidRPr="00E45DA1">
        <w:t>/</w:t>
      </w:r>
      <w:r w:rsidRPr="008D13D7">
        <w:rPr>
          <w:szCs w:val="18"/>
        </w:rPr>
        <w:t>1997</w:t>
      </w:r>
      <w:r w:rsidRPr="00E45DA1">
        <w:rPr>
          <w:rtl/>
        </w:rPr>
        <w:t xml:space="preserve">)، الفقرة </w:t>
      </w:r>
      <w:r w:rsidRPr="008D13D7">
        <w:rPr>
          <w:szCs w:val="18"/>
          <w:rtl/>
        </w:rPr>
        <w:t>6</w:t>
      </w:r>
      <w:r w:rsidRPr="00E45DA1">
        <w:rPr>
          <w:rtl/>
        </w:rPr>
        <w:t>-</w:t>
      </w:r>
      <w:r w:rsidRPr="008D13D7">
        <w:rPr>
          <w:szCs w:val="18"/>
          <w:rtl/>
        </w:rPr>
        <w:t>3</w:t>
      </w:r>
      <w:r w:rsidRPr="00E45DA1">
        <w:rPr>
          <w:rtl/>
        </w:rPr>
        <w:t>.</w:t>
      </w:r>
    </w:p>
  </w:footnote>
  <w:footnote w:id="14">
    <w:p w14:paraId="3BCCB125" w14:textId="03AA662E" w:rsidR="008D13D7" w:rsidRPr="00E45DA1" w:rsidRDefault="008D13D7" w:rsidP="008D13D7">
      <w:pPr>
        <w:pStyle w:val="FootnoteText1"/>
        <w:rPr>
          <w:rtl/>
        </w:rPr>
      </w:pPr>
      <w:r w:rsidRPr="00E45DA1">
        <w:rPr>
          <w:b/>
          <w:rtl/>
        </w:rPr>
        <w:t>(</w:t>
      </w:r>
      <w:r w:rsidRPr="008D13D7">
        <w:rPr>
          <w:rFonts w:cs="Times New Roman"/>
        </w:rPr>
        <w:footnoteRef/>
      </w:r>
      <w:r w:rsidRPr="00E45DA1">
        <w:rPr>
          <w:b/>
          <w:rtl/>
        </w:rPr>
        <w:t>)</w:t>
      </w:r>
      <w:r w:rsidRPr="00E45DA1">
        <w:rPr>
          <w:rtl/>
        </w:rPr>
        <w:tab/>
        <w:t xml:space="preserve">تنطبق هذه القاعدة على البلاغات التي تلقتها اللجنة بعد </w:t>
      </w:r>
      <w:r w:rsidRPr="008D13D7">
        <w:rPr>
          <w:szCs w:val="18"/>
          <w:rtl/>
        </w:rPr>
        <w:t>1</w:t>
      </w:r>
      <w:r w:rsidRPr="00E45DA1">
        <w:rPr>
          <w:rtl/>
        </w:rPr>
        <w:t xml:space="preserve"> كانون الثاني/يناير </w:t>
      </w:r>
      <w:r w:rsidRPr="008D13D7">
        <w:rPr>
          <w:szCs w:val="18"/>
          <w:rtl/>
        </w:rPr>
        <w:t>2012</w:t>
      </w:r>
      <w:r w:rsidRPr="00E45DA1">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2A39" w14:textId="77777777" w:rsidR="008D13D7" w:rsidRPr="00581B6C" w:rsidRDefault="008D13D7" w:rsidP="00581B6C">
    <w:pPr>
      <w:pStyle w:val="Header"/>
      <w:jc w:val="right"/>
    </w:pPr>
    <w:r w:rsidRPr="00581B6C">
      <w:t>CCPR/C/128/D/2534/2015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DB4F" w14:textId="77777777" w:rsidR="008D13D7" w:rsidRPr="00581B6C" w:rsidRDefault="008D13D7" w:rsidP="00581B6C">
    <w:pPr>
      <w:pStyle w:val="Header"/>
      <w:jc w:val="left"/>
    </w:pPr>
    <w:r w:rsidRPr="00581B6C">
      <w:t>CCPR/C/128/D/2534/2015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50CFE"/>
    <w:rsid w:val="000076D5"/>
    <w:rsid w:val="00043663"/>
    <w:rsid w:val="000437B8"/>
    <w:rsid w:val="000505CF"/>
    <w:rsid w:val="000A4AC5"/>
    <w:rsid w:val="000D701C"/>
    <w:rsid w:val="000E2A71"/>
    <w:rsid w:val="001221CE"/>
    <w:rsid w:val="00160263"/>
    <w:rsid w:val="00181F96"/>
    <w:rsid w:val="001A1371"/>
    <w:rsid w:val="001B346A"/>
    <w:rsid w:val="001E1CAD"/>
    <w:rsid w:val="001E290D"/>
    <w:rsid w:val="002144FA"/>
    <w:rsid w:val="0023469A"/>
    <w:rsid w:val="00243C8A"/>
    <w:rsid w:val="00267A0E"/>
    <w:rsid w:val="002901D9"/>
    <w:rsid w:val="002976C2"/>
    <w:rsid w:val="00325F8A"/>
    <w:rsid w:val="003260FF"/>
    <w:rsid w:val="00343D95"/>
    <w:rsid w:val="00363A18"/>
    <w:rsid w:val="00374341"/>
    <w:rsid w:val="003C20CF"/>
    <w:rsid w:val="003D1062"/>
    <w:rsid w:val="003F01F5"/>
    <w:rsid w:val="00420D7B"/>
    <w:rsid w:val="00450B21"/>
    <w:rsid w:val="00453B63"/>
    <w:rsid w:val="00455780"/>
    <w:rsid w:val="00466940"/>
    <w:rsid w:val="004B0A1C"/>
    <w:rsid w:val="004D298E"/>
    <w:rsid w:val="00517BC9"/>
    <w:rsid w:val="0054472E"/>
    <w:rsid w:val="005662A9"/>
    <w:rsid w:val="00581B6C"/>
    <w:rsid w:val="005827D4"/>
    <w:rsid w:val="0059622A"/>
    <w:rsid w:val="005B51C4"/>
    <w:rsid w:val="005C5878"/>
    <w:rsid w:val="005C7CEA"/>
    <w:rsid w:val="005D3C0B"/>
    <w:rsid w:val="005E5217"/>
    <w:rsid w:val="005F0FA4"/>
    <w:rsid w:val="005F30EE"/>
    <w:rsid w:val="0060473A"/>
    <w:rsid w:val="00650CFE"/>
    <w:rsid w:val="00656392"/>
    <w:rsid w:val="0068781D"/>
    <w:rsid w:val="006959B0"/>
    <w:rsid w:val="006B3E27"/>
    <w:rsid w:val="006B6507"/>
    <w:rsid w:val="006C104C"/>
    <w:rsid w:val="00733704"/>
    <w:rsid w:val="0078071A"/>
    <w:rsid w:val="00787E1E"/>
    <w:rsid w:val="00852A9A"/>
    <w:rsid w:val="008D13D7"/>
    <w:rsid w:val="008F49E1"/>
    <w:rsid w:val="0090370F"/>
    <w:rsid w:val="009269D2"/>
    <w:rsid w:val="00942135"/>
    <w:rsid w:val="009521B0"/>
    <w:rsid w:val="00982139"/>
    <w:rsid w:val="009867A8"/>
    <w:rsid w:val="009A7E9F"/>
    <w:rsid w:val="009E5018"/>
    <w:rsid w:val="00A03700"/>
    <w:rsid w:val="00A12B37"/>
    <w:rsid w:val="00A6182D"/>
    <w:rsid w:val="00AA0F36"/>
    <w:rsid w:val="00AB6758"/>
    <w:rsid w:val="00B13763"/>
    <w:rsid w:val="00B477A4"/>
    <w:rsid w:val="00B54045"/>
    <w:rsid w:val="00BF29BF"/>
    <w:rsid w:val="00C438D7"/>
    <w:rsid w:val="00C81B50"/>
    <w:rsid w:val="00CB6622"/>
    <w:rsid w:val="00CD1801"/>
    <w:rsid w:val="00CF65C6"/>
    <w:rsid w:val="00D10EF1"/>
    <w:rsid w:val="00D26A91"/>
    <w:rsid w:val="00D409F3"/>
    <w:rsid w:val="00D42810"/>
    <w:rsid w:val="00D914A7"/>
    <w:rsid w:val="00DD13C3"/>
    <w:rsid w:val="00DD596E"/>
    <w:rsid w:val="00DD621E"/>
    <w:rsid w:val="00DE50B1"/>
    <w:rsid w:val="00DF0575"/>
    <w:rsid w:val="00E45DA1"/>
    <w:rsid w:val="00E70E04"/>
    <w:rsid w:val="00E91BB3"/>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B7791DB"/>
  <w15:docId w15:val="{714239D3-BA6F-4CFA-82E3-2BAE981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B0F0-7C2B-434D-8186-22359304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3322</Words>
  <Characters>16347</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GE.</dc:subject>
  <dc:creator>Sayed Mohamed ALY</dc:creator>
  <cp:keywords>ODS No.</cp:keywords>
  <dc:description>Distribution:_x000d_
Original: English_x000d_
Date:</dc:description>
  <cp:lastModifiedBy>Ibrahim Balan</cp:lastModifiedBy>
  <cp:revision>2</cp:revision>
  <dcterms:created xsi:type="dcterms:W3CDTF">2020-06-26T06:43:00Z</dcterms:created>
  <dcterms:modified xsi:type="dcterms:W3CDTF">2020-06-26T06:43:00Z</dcterms:modified>
  <cp:category>Finale</cp:category>
</cp:coreProperties>
</file>