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123DA92" w14:textId="77777777" w:rsidTr="002B7BC7">
        <w:trPr>
          <w:trHeight w:hRule="exact" w:val="851"/>
        </w:trPr>
        <w:tc>
          <w:tcPr>
            <w:tcW w:w="1276" w:type="dxa"/>
            <w:tcBorders>
              <w:bottom w:val="single" w:sz="4" w:space="0" w:color="auto"/>
            </w:tcBorders>
          </w:tcPr>
          <w:p w14:paraId="6382264F" w14:textId="77777777" w:rsidR="006F71EA" w:rsidRPr="00DB58B5" w:rsidRDefault="006F71EA" w:rsidP="00D02AC5"/>
        </w:tc>
        <w:tc>
          <w:tcPr>
            <w:tcW w:w="2268" w:type="dxa"/>
            <w:tcBorders>
              <w:bottom w:val="single" w:sz="4" w:space="0" w:color="auto"/>
            </w:tcBorders>
            <w:vAlign w:val="bottom"/>
          </w:tcPr>
          <w:p w14:paraId="13049FE2"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766C41" w14:textId="77777777" w:rsidR="006F71EA" w:rsidRPr="00DB58B5" w:rsidRDefault="00D02AC5" w:rsidP="00D02AC5">
            <w:pPr>
              <w:jc w:val="right"/>
            </w:pPr>
            <w:r w:rsidRPr="00D02AC5">
              <w:rPr>
                <w:sz w:val="40"/>
              </w:rPr>
              <w:t>CCPR</w:t>
            </w:r>
            <w:r>
              <w:t>/C/128/D/2534/2015</w:t>
            </w:r>
          </w:p>
        </w:tc>
      </w:tr>
      <w:tr w:rsidR="006F71EA" w:rsidRPr="00DB58B5" w14:paraId="47637A0D" w14:textId="77777777" w:rsidTr="002B7BC7">
        <w:trPr>
          <w:trHeight w:hRule="exact" w:val="2835"/>
        </w:trPr>
        <w:tc>
          <w:tcPr>
            <w:tcW w:w="1276" w:type="dxa"/>
            <w:tcBorders>
              <w:top w:val="single" w:sz="4" w:space="0" w:color="auto"/>
              <w:bottom w:val="single" w:sz="12" w:space="0" w:color="auto"/>
            </w:tcBorders>
          </w:tcPr>
          <w:p w14:paraId="3784EE87" w14:textId="77777777" w:rsidR="006F71EA" w:rsidRPr="00DB58B5" w:rsidRDefault="006F71EA" w:rsidP="002B7BC7">
            <w:pPr>
              <w:spacing w:before="120"/>
              <w:jc w:val="center"/>
            </w:pPr>
            <w:r>
              <w:rPr>
                <w:noProof/>
                <w:lang w:eastAsia="fr-CH"/>
              </w:rPr>
              <w:drawing>
                <wp:inline distT="0" distB="0" distL="0" distR="0" wp14:anchorId="74A3A82A" wp14:editId="457754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F8292"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2B00C021" w14:textId="77777777" w:rsidR="006F71EA" w:rsidRDefault="00D02AC5" w:rsidP="002B7BC7">
            <w:pPr>
              <w:spacing w:before="240"/>
            </w:pPr>
            <w:proofErr w:type="spellStart"/>
            <w:r>
              <w:t>Distr</w:t>
            </w:r>
            <w:proofErr w:type="spellEnd"/>
            <w:r w:rsidR="000E54C5" w:rsidRPr="000E54C5">
              <w:t>.</w:t>
            </w:r>
            <w:r>
              <w:t xml:space="preserve"> générale</w:t>
            </w:r>
          </w:p>
          <w:p w14:paraId="56D78875" w14:textId="77777777" w:rsidR="00D02AC5" w:rsidRDefault="00D02AC5" w:rsidP="00D02AC5">
            <w:pPr>
              <w:spacing w:line="240" w:lineRule="exact"/>
            </w:pPr>
            <w:r>
              <w:t>15 juin 2020</w:t>
            </w:r>
          </w:p>
          <w:p w14:paraId="259AD283" w14:textId="77777777" w:rsidR="00D02AC5" w:rsidRDefault="00D02AC5" w:rsidP="00D02AC5">
            <w:pPr>
              <w:spacing w:line="240" w:lineRule="exact"/>
            </w:pPr>
            <w:r>
              <w:t>Français</w:t>
            </w:r>
          </w:p>
          <w:p w14:paraId="3F8AB58B" w14:textId="77777777" w:rsidR="00D02AC5" w:rsidRPr="00DB58B5" w:rsidRDefault="00D02AC5" w:rsidP="00D02AC5">
            <w:pPr>
              <w:spacing w:line="240" w:lineRule="exact"/>
            </w:pPr>
            <w:r>
              <w:t>Original : anglais</w:t>
            </w:r>
          </w:p>
        </w:tc>
      </w:tr>
    </w:tbl>
    <w:p w14:paraId="4E4E156B" w14:textId="77777777" w:rsidR="006F71EA" w:rsidRDefault="006F71EA" w:rsidP="006F71EA">
      <w:pPr>
        <w:spacing w:before="120"/>
        <w:rPr>
          <w:b/>
          <w:sz w:val="24"/>
          <w:szCs w:val="24"/>
        </w:rPr>
      </w:pPr>
      <w:r w:rsidRPr="00DF3BF1">
        <w:rPr>
          <w:b/>
          <w:sz w:val="24"/>
          <w:szCs w:val="24"/>
        </w:rPr>
        <w:t>Comité des droits de l’homme</w:t>
      </w:r>
    </w:p>
    <w:p w14:paraId="24989BC4" w14:textId="77777777" w:rsidR="00D02AC5" w:rsidRPr="008450E1" w:rsidRDefault="00D02AC5" w:rsidP="00D02AC5">
      <w:pPr>
        <w:pStyle w:val="HChG"/>
        <w:rPr>
          <w:rFonts w:eastAsia="MS Mincho"/>
          <w:lang w:val="fr-FR"/>
        </w:rPr>
      </w:pPr>
      <w:r>
        <w:tab/>
      </w:r>
      <w:r>
        <w:tab/>
      </w:r>
      <w:r w:rsidRPr="00163102">
        <w:t>Décision adoptée par le Comité en vertu du Protocole facultatif, concernant la c</w:t>
      </w:r>
      <w:r w:rsidRPr="00233D47">
        <w:t xml:space="preserve">ommunication </w:t>
      </w:r>
      <w:r w:rsidRPr="00577DED">
        <w:rPr>
          <w:rFonts w:eastAsia="MS Mincho"/>
          <w:lang w:val="fr-FR"/>
        </w:rPr>
        <w:t>n</w:t>
      </w:r>
      <w:r w:rsidRPr="00577DED">
        <w:rPr>
          <w:rFonts w:eastAsia="MS Mincho"/>
          <w:vertAlign w:val="superscript"/>
          <w:lang w:val="fr-FR"/>
        </w:rPr>
        <w:t>o</w:t>
      </w:r>
      <w:r w:rsidRPr="00577DED">
        <w:rPr>
          <w:rFonts w:eastAsia="MS Mincho"/>
          <w:lang w:val="fr-FR"/>
        </w:rPr>
        <w:t> 2534/2015</w:t>
      </w:r>
      <w:r w:rsidRPr="00D02AC5">
        <w:rPr>
          <w:rStyle w:val="Appelnotedebasdep"/>
          <w:b w:val="0"/>
          <w:bCs/>
          <w:sz w:val="20"/>
          <w:vertAlign w:val="baseline"/>
        </w:rPr>
        <w:footnoteReference w:customMarkFollows="1" w:id="2"/>
        <w:t>*</w:t>
      </w:r>
      <w:r w:rsidRPr="00D02AC5">
        <w:rPr>
          <w:rFonts w:eastAsia="MS Mincho"/>
          <w:b w:val="0"/>
          <w:bCs/>
          <w:position w:val="6"/>
          <w:sz w:val="20"/>
          <w:lang w:val="fr-FR"/>
        </w:rPr>
        <w:t xml:space="preserve">, </w:t>
      </w:r>
      <w:r w:rsidRPr="001C3F83">
        <w:rPr>
          <w:rStyle w:val="Appelnotedebasdep"/>
          <w:rFonts w:eastAsia="MS Mincho"/>
          <w:b w:val="0"/>
          <w:sz w:val="20"/>
          <w:vertAlign w:val="baseline"/>
          <w:lang w:val="fr-FR"/>
        </w:rPr>
        <w:footnoteReference w:customMarkFollows="1" w:id="3"/>
        <w:t>**</w:t>
      </w:r>
      <w:bookmarkStart w:id="0" w:name="_GoBack"/>
      <w:bookmarkEnd w:id="0"/>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D02AC5" w:rsidRPr="003C21E1" w14:paraId="6DC08F3E" w14:textId="77777777" w:rsidTr="00C2516B">
        <w:tc>
          <w:tcPr>
            <w:tcW w:w="2835" w:type="dxa"/>
          </w:tcPr>
          <w:p w14:paraId="0D9C6547" w14:textId="77777777" w:rsidR="00D02AC5" w:rsidRPr="008450E1" w:rsidRDefault="00D02AC5" w:rsidP="00C2516B">
            <w:pPr>
              <w:pStyle w:val="SingleTxtG"/>
              <w:spacing w:after="100"/>
              <w:ind w:left="0" w:right="0"/>
              <w:jc w:val="left"/>
              <w:rPr>
                <w:i/>
                <w:lang w:val="fr-FR"/>
              </w:rPr>
            </w:pPr>
            <w:r w:rsidRPr="008450E1">
              <w:rPr>
                <w:i/>
                <w:iCs/>
                <w:lang w:val="fr-FR"/>
              </w:rPr>
              <w:t>Communication présentée par</w:t>
            </w:r>
            <w:r>
              <w:rPr>
                <w:i/>
                <w:iCs/>
                <w:lang w:val="fr-FR"/>
              </w:rPr>
              <w:t> </w:t>
            </w:r>
            <w:r w:rsidRPr="007D7666">
              <w:rPr>
                <w:lang w:val="fr-FR"/>
              </w:rPr>
              <w:t>:</w:t>
            </w:r>
          </w:p>
        </w:tc>
        <w:tc>
          <w:tcPr>
            <w:tcW w:w="3969" w:type="dxa"/>
          </w:tcPr>
          <w:p w14:paraId="43E61BAD" w14:textId="77777777" w:rsidR="00D02AC5" w:rsidRPr="008450E1" w:rsidRDefault="00D02AC5" w:rsidP="00C2516B">
            <w:pPr>
              <w:pStyle w:val="SingleTxtG"/>
              <w:spacing w:after="100"/>
              <w:ind w:left="57" w:right="0"/>
              <w:jc w:val="left"/>
              <w:rPr>
                <w:lang w:val="fr-FR"/>
              </w:rPr>
            </w:pPr>
            <w:r w:rsidRPr="008450E1">
              <w:rPr>
                <w:lang w:val="fr-FR"/>
              </w:rPr>
              <w:t>M</w:t>
            </w:r>
            <w:r w:rsidR="000E54C5" w:rsidRPr="000E54C5">
              <w:rPr>
                <w:lang w:val="fr-FR"/>
              </w:rPr>
              <w:t>.</w:t>
            </w:r>
            <w:r w:rsidRPr="008450E1">
              <w:rPr>
                <w:lang w:val="fr-FR"/>
              </w:rPr>
              <w:t xml:space="preserve"> I</w:t>
            </w:r>
            <w:r w:rsidR="000E54C5" w:rsidRPr="000E54C5">
              <w:rPr>
                <w:lang w:val="fr-FR"/>
              </w:rPr>
              <w:t>.</w:t>
            </w:r>
            <w:r w:rsidRPr="008450E1">
              <w:rPr>
                <w:lang w:val="fr-FR"/>
              </w:rPr>
              <w:t>(non représenté par un conseil)</w:t>
            </w:r>
          </w:p>
        </w:tc>
      </w:tr>
      <w:tr w:rsidR="00D02AC5" w:rsidRPr="008450E1" w14:paraId="744EB699" w14:textId="77777777" w:rsidTr="00C2516B">
        <w:tc>
          <w:tcPr>
            <w:tcW w:w="2835" w:type="dxa"/>
          </w:tcPr>
          <w:p w14:paraId="0F441DBC" w14:textId="77777777" w:rsidR="00D02AC5" w:rsidRPr="008450E1" w:rsidRDefault="00D02AC5" w:rsidP="00C2516B">
            <w:pPr>
              <w:pStyle w:val="SingleTxtG"/>
              <w:spacing w:after="100"/>
              <w:ind w:left="0" w:right="0"/>
              <w:jc w:val="left"/>
              <w:rPr>
                <w:i/>
                <w:lang w:val="fr-FR"/>
              </w:rPr>
            </w:pPr>
            <w:r w:rsidRPr="00E61EDB">
              <w:rPr>
                <w:i/>
                <w:iCs/>
                <w:lang w:val="fr-FR"/>
              </w:rPr>
              <w:t>Victime(s) présumée(s)</w:t>
            </w:r>
            <w:r>
              <w:rPr>
                <w:i/>
                <w:iCs/>
                <w:lang w:val="fr-FR"/>
              </w:rPr>
              <w:t> </w:t>
            </w:r>
            <w:r w:rsidRPr="007D7666">
              <w:rPr>
                <w:lang w:val="fr-FR"/>
              </w:rPr>
              <w:t>:</w:t>
            </w:r>
          </w:p>
        </w:tc>
        <w:tc>
          <w:tcPr>
            <w:tcW w:w="3969" w:type="dxa"/>
          </w:tcPr>
          <w:p w14:paraId="43357177" w14:textId="77777777" w:rsidR="00D02AC5" w:rsidRPr="008450E1" w:rsidRDefault="00D02AC5" w:rsidP="00C2516B">
            <w:pPr>
              <w:pStyle w:val="SingleTxtG"/>
              <w:spacing w:after="100"/>
              <w:ind w:left="57" w:right="0"/>
              <w:jc w:val="left"/>
              <w:rPr>
                <w:lang w:val="fr-FR"/>
              </w:rPr>
            </w:pPr>
            <w:r>
              <w:rPr>
                <w:lang w:val="fr-FR"/>
              </w:rPr>
              <w:t>L’auteur</w:t>
            </w:r>
          </w:p>
        </w:tc>
      </w:tr>
      <w:tr w:rsidR="00D02AC5" w:rsidRPr="008450E1" w14:paraId="08BAF906" w14:textId="77777777" w:rsidTr="00C2516B">
        <w:tc>
          <w:tcPr>
            <w:tcW w:w="2835" w:type="dxa"/>
          </w:tcPr>
          <w:p w14:paraId="0ABFF9A8" w14:textId="77777777" w:rsidR="00D02AC5" w:rsidRPr="008450E1" w:rsidRDefault="00D02AC5" w:rsidP="00C2516B">
            <w:pPr>
              <w:pStyle w:val="SingleTxtG"/>
              <w:spacing w:after="100"/>
              <w:ind w:left="0" w:right="0"/>
              <w:jc w:val="left"/>
              <w:rPr>
                <w:i/>
                <w:lang w:val="fr-FR"/>
              </w:rPr>
            </w:pPr>
            <w:r w:rsidRPr="008450E1">
              <w:rPr>
                <w:i/>
                <w:iCs/>
                <w:lang w:val="fr-FR"/>
              </w:rPr>
              <w:t>État partie</w:t>
            </w:r>
            <w:r>
              <w:rPr>
                <w:i/>
                <w:iCs/>
                <w:lang w:val="fr-FR"/>
              </w:rPr>
              <w:t> </w:t>
            </w:r>
            <w:r w:rsidRPr="007D7666">
              <w:rPr>
                <w:lang w:val="fr-FR"/>
              </w:rPr>
              <w:t>:</w:t>
            </w:r>
          </w:p>
        </w:tc>
        <w:tc>
          <w:tcPr>
            <w:tcW w:w="3969" w:type="dxa"/>
          </w:tcPr>
          <w:p w14:paraId="01D94F11" w14:textId="77777777" w:rsidR="00D02AC5" w:rsidRPr="008450E1" w:rsidRDefault="00D02AC5" w:rsidP="00C2516B">
            <w:pPr>
              <w:pStyle w:val="SingleTxtG"/>
              <w:spacing w:after="100"/>
              <w:ind w:left="57" w:right="0"/>
              <w:jc w:val="left"/>
              <w:rPr>
                <w:lang w:val="fr-FR"/>
              </w:rPr>
            </w:pPr>
            <w:r w:rsidRPr="008450E1">
              <w:rPr>
                <w:lang w:val="fr-FR"/>
              </w:rPr>
              <w:t>Fédération de Russie</w:t>
            </w:r>
          </w:p>
        </w:tc>
      </w:tr>
      <w:tr w:rsidR="00D02AC5" w:rsidRPr="008450E1" w14:paraId="7ED42E68" w14:textId="77777777" w:rsidTr="00C2516B">
        <w:tc>
          <w:tcPr>
            <w:tcW w:w="2835" w:type="dxa"/>
          </w:tcPr>
          <w:p w14:paraId="07F0175A" w14:textId="77777777" w:rsidR="00D02AC5" w:rsidRPr="008450E1" w:rsidRDefault="00D02AC5" w:rsidP="00C2516B">
            <w:pPr>
              <w:pStyle w:val="SingleTxtG"/>
              <w:spacing w:after="100"/>
              <w:ind w:left="0" w:right="0"/>
              <w:jc w:val="left"/>
              <w:rPr>
                <w:i/>
                <w:lang w:val="fr-FR"/>
              </w:rPr>
            </w:pPr>
            <w:r w:rsidRPr="008450E1">
              <w:rPr>
                <w:i/>
                <w:iCs/>
                <w:lang w:val="fr-FR"/>
              </w:rPr>
              <w:t>Date de la communication</w:t>
            </w:r>
            <w:r>
              <w:rPr>
                <w:i/>
                <w:iCs/>
                <w:lang w:val="fr-FR"/>
              </w:rPr>
              <w:t> </w:t>
            </w:r>
            <w:r w:rsidRPr="007D7666">
              <w:rPr>
                <w:lang w:val="fr-FR"/>
              </w:rPr>
              <w:t>:</w:t>
            </w:r>
          </w:p>
        </w:tc>
        <w:tc>
          <w:tcPr>
            <w:tcW w:w="3969" w:type="dxa"/>
          </w:tcPr>
          <w:p w14:paraId="20BC9CB2" w14:textId="77777777" w:rsidR="00D02AC5" w:rsidRPr="008450E1" w:rsidRDefault="00D02AC5" w:rsidP="00C2516B">
            <w:pPr>
              <w:spacing w:after="100"/>
              <w:ind w:left="57"/>
              <w:rPr>
                <w:lang w:val="fr-FR"/>
              </w:rPr>
            </w:pPr>
            <w:r w:rsidRPr="008450E1">
              <w:rPr>
                <w:lang w:val="fr-FR"/>
              </w:rPr>
              <w:t>19 mai 2014 (</w:t>
            </w:r>
            <w:r>
              <w:rPr>
                <w:lang w:val="fr-FR"/>
              </w:rPr>
              <w:t xml:space="preserve">date de la </w:t>
            </w:r>
            <w:r w:rsidRPr="008450E1">
              <w:rPr>
                <w:lang w:val="fr-FR"/>
              </w:rPr>
              <w:t>lettre initiale)</w:t>
            </w:r>
          </w:p>
        </w:tc>
      </w:tr>
      <w:tr w:rsidR="00D02AC5" w:rsidRPr="003C21E1" w14:paraId="0DBFF006" w14:textId="77777777" w:rsidTr="00C2516B">
        <w:tc>
          <w:tcPr>
            <w:tcW w:w="2835" w:type="dxa"/>
          </w:tcPr>
          <w:p w14:paraId="2D054B9C" w14:textId="77777777" w:rsidR="00D02AC5" w:rsidRPr="008450E1" w:rsidRDefault="00D02AC5" w:rsidP="00C2516B">
            <w:pPr>
              <w:pStyle w:val="SingleTxtG"/>
              <w:spacing w:after="100"/>
              <w:ind w:left="0" w:right="0"/>
              <w:jc w:val="left"/>
              <w:rPr>
                <w:i/>
                <w:lang w:val="fr-FR"/>
              </w:rPr>
            </w:pPr>
            <w:r w:rsidRPr="008450E1">
              <w:rPr>
                <w:i/>
                <w:iCs/>
                <w:lang w:val="fr-FR"/>
              </w:rPr>
              <w:t>Références</w:t>
            </w:r>
            <w:r>
              <w:rPr>
                <w:i/>
                <w:iCs/>
                <w:lang w:val="fr-FR"/>
              </w:rPr>
              <w:t> </w:t>
            </w:r>
            <w:r w:rsidRPr="007D7666">
              <w:rPr>
                <w:lang w:val="fr-FR"/>
              </w:rPr>
              <w:t>:</w:t>
            </w:r>
          </w:p>
        </w:tc>
        <w:tc>
          <w:tcPr>
            <w:tcW w:w="3969" w:type="dxa"/>
          </w:tcPr>
          <w:p w14:paraId="3F327504" w14:textId="77777777" w:rsidR="00D02AC5" w:rsidRPr="008450E1" w:rsidRDefault="00D02AC5" w:rsidP="00C2516B">
            <w:pPr>
              <w:pStyle w:val="SingleTxtG"/>
              <w:spacing w:after="100"/>
              <w:ind w:left="57" w:right="0"/>
              <w:jc w:val="left"/>
              <w:rPr>
                <w:lang w:val="fr-FR"/>
              </w:rPr>
            </w:pPr>
            <w:r w:rsidRPr="008450E1">
              <w:rPr>
                <w:lang w:val="fr-FR"/>
              </w:rPr>
              <w:t>Décision prise en application de l</w:t>
            </w:r>
            <w:r>
              <w:rPr>
                <w:lang w:val="fr-FR"/>
              </w:rPr>
              <w:t>’</w:t>
            </w:r>
            <w:r w:rsidRPr="008450E1">
              <w:rPr>
                <w:lang w:val="fr-FR"/>
              </w:rPr>
              <w:t xml:space="preserve">article 92 </w:t>
            </w:r>
            <w:r>
              <w:rPr>
                <w:lang w:val="fr-FR"/>
              </w:rPr>
              <w:br/>
            </w:r>
            <w:r w:rsidRPr="008450E1">
              <w:rPr>
                <w:lang w:val="fr-FR"/>
              </w:rPr>
              <w:t>du règlement intérieur du Comité, communiquée à l</w:t>
            </w:r>
            <w:r>
              <w:rPr>
                <w:lang w:val="fr-FR"/>
              </w:rPr>
              <w:t>’</w:t>
            </w:r>
            <w:r w:rsidRPr="008450E1">
              <w:rPr>
                <w:lang w:val="fr-FR"/>
              </w:rPr>
              <w:t>État partie le 19 janvier 2015 (non publiée sous forme de document)</w:t>
            </w:r>
          </w:p>
        </w:tc>
      </w:tr>
      <w:tr w:rsidR="00D02AC5" w:rsidRPr="008450E1" w14:paraId="339ABD82" w14:textId="77777777" w:rsidTr="00C2516B">
        <w:tc>
          <w:tcPr>
            <w:tcW w:w="2835" w:type="dxa"/>
          </w:tcPr>
          <w:p w14:paraId="1767DA4B" w14:textId="77777777" w:rsidR="00D02AC5" w:rsidRPr="008450E1" w:rsidRDefault="00D02AC5" w:rsidP="00C2516B">
            <w:pPr>
              <w:pStyle w:val="SingleTxtG"/>
              <w:spacing w:after="100"/>
              <w:ind w:left="0" w:right="0"/>
              <w:jc w:val="left"/>
              <w:rPr>
                <w:i/>
                <w:lang w:val="fr-FR"/>
              </w:rPr>
            </w:pPr>
            <w:r w:rsidRPr="008450E1">
              <w:rPr>
                <w:i/>
                <w:iCs/>
                <w:lang w:val="fr-FR"/>
              </w:rPr>
              <w:t>Date de</w:t>
            </w:r>
            <w:r>
              <w:rPr>
                <w:i/>
                <w:iCs/>
                <w:lang w:val="fr-FR"/>
              </w:rPr>
              <w:t xml:space="preserve"> la déci</w:t>
            </w:r>
            <w:r w:rsidRPr="008450E1">
              <w:rPr>
                <w:i/>
                <w:iCs/>
                <w:lang w:val="fr-FR"/>
              </w:rPr>
              <w:t>sion</w:t>
            </w:r>
            <w:r>
              <w:rPr>
                <w:i/>
                <w:iCs/>
                <w:lang w:val="fr-FR"/>
              </w:rPr>
              <w:t> </w:t>
            </w:r>
            <w:r w:rsidRPr="007D7666">
              <w:rPr>
                <w:lang w:val="fr-FR"/>
              </w:rPr>
              <w:t>:</w:t>
            </w:r>
          </w:p>
        </w:tc>
        <w:tc>
          <w:tcPr>
            <w:tcW w:w="3969" w:type="dxa"/>
            <w:vAlign w:val="bottom"/>
          </w:tcPr>
          <w:p w14:paraId="062E26FF" w14:textId="77777777" w:rsidR="00D02AC5" w:rsidRPr="008450E1" w:rsidRDefault="00D02AC5" w:rsidP="00C2516B">
            <w:pPr>
              <w:pStyle w:val="SingleTxtG"/>
              <w:spacing w:after="100"/>
              <w:ind w:left="57" w:right="0"/>
              <w:jc w:val="left"/>
              <w:rPr>
                <w:lang w:val="fr-FR"/>
              </w:rPr>
            </w:pPr>
            <w:r>
              <w:rPr>
                <w:lang w:val="fr-FR"/>
              </w:rPr>
              <w:t>13</w:t>
            </w:r>
            <w:r w:rsidRPr="008450E1">
              <w:rPr>
                <w:lang w:val="fr-FR"/>
              </w:rPr>
              <w:t xml:space="preserve"> mars 2020</w:t>
            </w:r>
          </w:p>
        </w:tc>
      </w:tr>
      <w:tr w:rsidR="00D02AC5" w:rsidRPr="003C21E1" w14:paraId="41670AC4" w14:textId="77777777" w:rsidTr="00C2516B">
        <w:tc>
          <w:tcPr>
            <w:tcW w:w="2835" w:type="dxa"/>
          </w:tcPr>
          <w:p w14:paraId="5264F8E5" w14:textId="77777777" w:rsidR="00D02AC5" w:rsidRPr="008450E1" w:rsidRDefault="00D02AC5" w:rsidP="00C2516B">
            <w:pPr>
              <w:pStyle w:val="SingleTxtG"/>
              <w:spacing w:after="100"/>
              <w:ind w:left="0" w:right="0"/>
              <w:jc w:val="left"/>
              <w:rPr>
                <w:i/>
                <w:lang w:val="fr-FR"/>
              </w:rPr>
            </w:pPr>
            <w:r w:rsidRPr="008450E1">
              <w:rPr>
                <w:i/>
                <w:iCs/>
                <w:lang w:val="fr-FR"/>
              </w:rPr>
              <w:t>Objet</w:t>
            </w:r>
            <w:r>
              <w:rPr>
                <w:i/>
                <w:iCs/>
                <w:lang w:val="fr-FR"/>
              </w:rPr>
              <w:t> </w:t>
            </w:r>
            <w:r w:rsidRPr="007D7666">
              <w:rPr>
                <w:lang w:val="fr-FR"/>
              </w:rPr>
              <w:t>:</w:t>
            </w:r>
          </w:p>
        </w:tc>
        <w:tc>
          <w:tcPr>
            <w:tcW w:w="3969" w:type="dxa"/>
          </w:tcPr>
          <w:p w14:paraId="06AD4CC6" w14:textId="77777777" w:rsidR="00D02AC5" w:rsidRPr="00E4342D" w:rsidRDefault="00D02AC5" w:rsidP="00C2516B">
            <w:pPr>
              <w:pStyle w:val="SingleTxtG"/>
              <w:spacing w:after="100"/>
              <w:ind w:left="57" w:right="0"/>
              <w:jc w:val="left"/>
              <w:rPr>
                <w:lang w:val="fr-FR"/>
              </w:rPr>
            </w:pPr>
            <w:r w:rsidRPr="00E4342D">
              <w:rPr>
                <w:lang w:val="fr-FR"/>
              </w:rPr>
              <w:t>C</w:t>
            </w:r>
            <w:r w:rsidRPr="00E4342D">
              <w:rPr>
                <w:bCs/>
                <w:lang w:val="fr-FR"/>
              </w:rPr>
              <w:t>ommutation de la peine de mort en peine d</w:t>
            </w:r>
            <w:r>
              <w:rPr>
                <w:bCs/>
                <w:lang w:val="fr-FR"/>
              </w:rPr>
              <w:t>’</w:t>
            </w:r>
            <w:r w:rsidRPr="00E4342D">
              <w:rPr>
                <w:bCs/>
                <w:lang w:val="fr-FR"/>
              </w:rPr>
              <w:t>emprisonnement à perpétuité</w:t>
            </w:r>
          </w:p>
        </w:tc>
      </w:tr>
      <w:tr w:rsidR="00D02AC5" w:rsidRPr="003C21E1" w14:paraId="4C6D9E33" w14:textId="77777777" w:rsidTr="00C2516B">
        <w:tc>
          <w:tcPr>
            <w:tcW w:w="2835" w:type="dxa"/>
          </w:tcPr>
          <w:p w14:paraId="2914DBF1" w14:textId="77777777" w:rsidR="00D02AC5" w:rsidRPr="008450E1" w:rsidRDefault="00D02AC5" w:rsidP="00C2516B">
            <w:pPr>
              <w:pStyle w:val="SingleTxtG"/>
              <w:spacing w:after="100"/>
              <w:ind w:left="0" w:right="0"/>
              <w:jc w:val="left"/>
              <w:rPr>
                <w:i/>
                <w:iCs/>
                <w:lang w:val="fr-FR"/>
              </w:rPr>
            </w:pPr>
            <w:r w:rsidRPr="008450E1">
              <w:rPr>
                <w:i/>
                <w:iCs/>
                <w:lang w:val="fr-FR"/>
              </w:rPr>
              <w:t>Question</w:t>
            </w:r>
            <w:r>
              <w:rPr>
                <w:i/>
                <w:iCs/>
                <w:lang w:val="fr-FR"/>
              </w:rPr>
              <w:t>(s)</w:t>
            </w:r>
            <w:r w:rsidRPr="008450E1">
              <w:rPr>
                <w:i/>
                <w:iCs/>
                <w:lang w:val="fr-FR"/>
              </w:rPr>
              <w:t xml:space="preserve"> de procédure</w:t>
            </w:r>
            <w:r>
              <w:rPr>
                <w:i/>
                <w:iCs/>
                <w:lang w:val="fr-FR"/>
              </w:rPr>
              <w:t> </w:t>
            </w:r>
            <w:r w:rsidRPr="007D7666">
              <w:rPr>
                <w:lang w:val="fr-FR"/>
              </w:rPr>
              <w:t>:</w:t>
            </w:r>
          </w:p>
        </w:tc>
        <w:tc>
          <w:tcPr>
            <w:tcW w:w="3969" w:type="dxa"/>
          </w:tcPr>
          <w:p w14:paraId="2046851E" w14:textId="77777777" w:rsidR="00D02AC5" w:rsidRPr="008450E1" w:rsidRDefault="00D02AC5" w:rsidP="00C2516B">
            <w:pPr>
              <w:pStyle w:val="SingleTxtG"/>
              <w:spacing w:after="100"/>
              <w:ind w:left="57" w:right="0"/>
              <w:jc w:val="left"/>
              <w:rPr>
                <w:lang w:val="fr-FR"/>
              </w:rPr>
            </w:pPr>
            <w:r w:rsidRPr="008450E1">
              <w:rPr>
                <w:lang w:val="fr-FR"/>
              </w:rPr>
              <w:t>Abus du droit de présenter des communications</w:t>
            </w:r>
          </w:p>
        </w:tc>
      </w:tr>
      <w:tr w:rsidR="00D02AC5" w:rsidRPr="003C21E1" w14:paraId="47CBF511" w14:textId="77777777" w:rsidTr="00C2516B">
        <w:tc>
          <w:tcPr>
            <w:tcW w:w="2835" w:type="dxa"/>
          </w:tcPr>
          <w:p w14:paraId="245ADD40" w14:textId="77777777" w:rsidR="00D02AC5" w:rsidRPr="008450E1" w:rsidRDefault="00D02AC5" w:rsidP="00C2516B">
            <w:pPr>
              <w:pStyle w:val="SingleTxtG"/>
              <w:keepNext/>
              <w:spacing w:after="100"/>
              <w:ind w:left="0" w:right="0"/>
              <w:jc w:val="left"/>
              <w:rPr>
                <w:i/>
                <w:iCs/>
                <w:lang w:val="fr-FR"/>
              </w:rPr>
            </w:pPr>
            <w:r w:rsidRPr="008450E1">
              <w:rPr>
                <w:i/>
                <w:iCs/>
                <w:lang w:val="fr-FR"/>
              </w:rPr>
              <w:t>Question(s) de fond</w:t>
            </w:r>
            <w:r>
              <w:rPr>
                <w:i/>
                <w:iCs/>
                <w:lang w:val="fr-FR"/>
              </w:rPr>
              <w:t> </w:t>
            </w:r>
            <w:r w:rsidRPr="007D7666">
              <w:rPr>
                <w:lang w:val="fr-FR"/>
              </w:rPr>
              <w:t>:</w:t>
            </w:r>
          </w:p>
        </w:tc>
        <w:tc>
          <w:tcPr>
            <w:tcW w:w="3969" w:type="dxa"/>
          </w:tcPr>
          <w:p w14:paraId="4CE6A81B" w14:textId="77777777" w:rsidR="00D02AC5" w:rsidRPr="008450E1" w:rsidRDefault="00D02AC5" w:rsidP="00C2516B">
            <w:pPr>
              <w:keepNext/>
              <w:spacing w:after="100"/>
              <w:ind w:left="57"/>
              <w:rPr>
                <w:lang w:val="fr-FR"/>
              </w:rPr>
            </w:pPr>
            <w:r w:rsidRPr="008450E1">
              <w:rPr>
                <w:lang w:val="fr-FR"/>
              </w:rPr>
              <w:t>Procès équitable</w:t>
            </w:r>
            <w:r>
              <w:rPr>
                <w:lang w:val="fr-FR"/>
              </w:rPr>
              <w:t> :</w:t>
            </w:r>
            <w:r w:rsidRPr="008450E1">
              <w:rPr>
                <w:lang w:val="fr-FR"/>
              </w:rPr>
              <w:t xml:space="preserve"> principe de l</w:t>
            </w:r>
            <w:r>
              <w:rPr>
                <w:lang w:val="fr-FR"/>
              </w:rPr>
              <w:t>’</w:t>
            </w:r>
            <w:r w:rsidRPr="008450E1">
              <w:rPr>
                <w:lang w:val="fr-FR"/>
              </w:rPr>
              <w:t>égalité des armes</w:t>
            </w:r>
            <w:r>
              <w:rPr>
                <w:lang w:val="fr-FR"/>
              </w:rPr>
              <w:t> ;</w:t>
            </w:r>
            <w:r w:rsidRPr="008450E1">
              <w:rPr>
                <w:lang w:val="fr-FR"/>
              </w:rPr>
              <w:t xml:space="preserve"> procès équitable</w:t>
            </w:r>
            <w:r>
              <w:rPr>
                <w:lang w:val="fr-FR"/>
              </w:rPr>
              <w:t> :</w:t>
            </w:r>
            <w:r w:rsidRPr="008450E1">
              <w:rPr>
                <w:lang w:val="fr-FR"/>
              </w:rPr>
              <w:t xml:space="preserve"> assistance d</w:t>
            </w:r>
            <w:r>
              <w:rPr>
                <w:lang w:val="fr-FR"/>
              </w:rPr>
              <w:t>’</w:t>
            </w:r>
            <w:r w:rsidRPr="008450E1">
              <w:rPr>
                <w:lang w:val="fr-FR"/>
              </w:rPr>
              <w:t>un avocat</w:t>
            </w:r>
            <w:r>
              <w:rPr>
                <w:lang w:val="fr-FR"/>
              </w:rPr>
              <w:t> ;</w:t>
            </w:r>
            <w:r w:rsidRPr="008450E1">
              <w:rPr>
                <w:lang w:val="fr-FR"/>
              </w:rPr>
              <w:t xml:space="preserve"> droit de former un recours contre une déclaration de culpabilité et une condamnation pénale</w:t>
            </w:r>
            <w:r>
              <w:rPr>
                <w:lang w:val="fr-FR"/>
              </w:rPr>
              <w:t> ;</w:t>
            </w:r>
            <w:r w:rsidRPr="008450E1">
              <w:rPr>
                <w:lang w:val="fr-FR"/>
              </w:rPr>
              <w:t xml:space="preserve"> application rétroactive de la législation pénale prévoyant une peine plus légère</w:t>
            </w:r>
            <w:r>
              <w:rPr>
                <w:lang w:val="fr-FR"/>
              </w:rPr>
              <w:t> ;</w:t>
            </w:r>
            <w:r w:rsidRPr="008450E1">
              <w:rPr>
                <w:lang w:val="fr-FR"/>
              </w:rPr>
              <w:t xml:space="preserve"> interdiction de la discrimination</w:t>
            </w:r>
          </w:p>
        </w:tc>
      </w:tr>
      <w:tr w:rsidR="00D02AC5" w:rsidRPr="003C21E1" w14:paraId="7D2793EA" w14:textId="77777777" w:rsidTr="00C2516B">
        <w:tc>
          <w:tcPr>
            <w:tcW w:w="2835" w:type="dxa"/>
          </w:tcPr>
          <w:p w14:paraId="76855E2C" w14:textId="77777777" w:rsidR="00D02AC5" w:rsidRPr="008450E1" w:rsidRDefault="00D02AC5" w:rsidP="00C2516B">
            <w:pPr>
              <w:pStyle w:val="SingleTxtG"/>
              <w:spacing w:after="100"/>
              <w:ind w:left="0" w:right="0"/>
              <w:jc w:val="left"/>
              <w:rPr>
                <w:i/>
                <w:iCs/>
                <w:lang w:val="fr-FR"/>
              </w:rPr>
            </w:pPr>
            <w:r w:rsidRPr="008450E1">
              <w:rPr>
                <w:i/>
                <w:iCs/>
                <w:lang w:val="fr-FR"/>
              </w:rPr>
              <w:t>Article(s) du Pacte</w:t>
            </w:r>
            <w:r>
              <w:rPr>
                <w:i/>
                <w:iCs/>
                <w:lang w:val="fr-FR"/>
              </w:rPr>
              <w:t> </w:t>
            </w:r>
            <w:r w:rsidRPr="007D7666">
              <w:rPr>
                <w:lang w:val="fr-FR"/>
              </w:rPr>
              <w:t>:</w:t>
            </w:r>
          </w:p>
        </w:tc>
        <w:tc>
          <w:tcPr>
            <w:tcW w:w="3969" w:type="dxa"/>
          </w:tcPr>
          <w:p w14:paraId="757AA562" w14:textId="77777777" w:rsidR="00D02AC5" w:rsidRPr="008450E1" w:rsidRDefault="00D02AC5" w:rsidP="00C2516B">
            <w:pPr>
              <w:pStyle w:val="SingleTxtG"/>
              <w:spacing w:after="100"/>
              <w:ind w:left="57" w:right="0"/>
              <w:jc w:val="left"/>
              <w:rPr>
                <w:lang w:val="fr-FR"/>
              </w:rPr>
            </w:pPr>
            <w:r w:rsidRPr="008450E1">
              <w:rPr>
                <w:lang w:val="fr-FR"/>
              </w:rPr>
              <w:t>14 (par</w:t>
            </w:r>
            <w:r w:rsidR="000E54C5" w:rsidRPr="000E54C5">
              <w:rPr>
                <w:lang w:val="fr-FR"/>
              </w:rPr>
              <w:t>.</w:t>
            </w:r>
            <w:r w:rsidRPr="008450E1">
              <w:rPr>
                <w:lang w:val="fr-FR"/>
              </w:rPr>
              <w:t> 1, 3 b) et 5), 15 (par</w:t>
            </w:r>
            <w:r w:rsidR="000E54C5" w:rsidRPr="000E54C5">
              <w:rPr>
                <w:lang w:val="fr-FR"/>
              </w:rPr>
              <w:t>.</w:t>
            </w:r>
            <w:r w:rsidRPr="008450E1">
              <w:rPr>
                <w:lang w:val="fr-FR"/>
              </w:rPr>
              <w:t> 1) et 26</w:t>
            </w:r>
          </w:p>
        </w:tc>
      </w:tr>
      <w:tr w:rsidR="00D02AC5" w:rsidRPr="008450E1" w14:paraId="2661B696" w14:textId="77777777" w:rsidTr="00C2516B">
        <w:tc>
          <w:tcPr>
            <w:tcW w:w="2835" w:type="dxa"/>
          </w:tcPr>
          <w:p w14:paraId="726266D3" w14:textId="77777777" w:rsidR="00D02AC5" w:rsidRPr="008450E1" w:rsidRDefault="00D02AC5" w:rsidP="00C2516B">
            <w:pPr>
              <w:pStyle w:val="SingleTxtG"/>
              <w:spacing w:after="100"/>
              <w:ind w:left="0" w:right="0"/>
              <w:jc w:val="left"/>
              <w:rPr>
                <w:i/>
                <w:iCs/>
                <w:lang w:val="fr-FR"/>
              </w:rPr>
            </w:pPr>
            <w:r w:rsidRPr="008450E1">
              <w:rPr>
                <w:i/>
                <w:iCs/>
                <w:lang w:val="fr-FR"/>
              </w:rPr>
              <w:t>Article(s) du Protocole facultatif</w:t>
            </w:r>
            <w:r>
              <w:rPr>
                <w:i/>
                <w:iCs/>
                <w:lang w:val="fr-FR"/>
              </w:rPr>
              <w:t> </w:t>
            </w:r>
            <w:r w:rsidRPr="00740846">
              <w:rPr>
                <w:lang w:val="fr-FR"/>
              </w:rPr>
              <w:t>:</w:t>
            </w:r>
          </w:p>
        </w:tc>
        <w:tc>
          <w:tcPr>
            <w:tcW w:w="3969" w:type="dxa"/>
          </w:tcPr>
          <w:p w14:paraId="440F9F5E" w14:textId="77777777" w:rsidR="00D02AC5" w:rsidRPr="008450E1" w:rsidRDefault="00D02AC5" w:rsidP="00C2516B">
            <w:pPr>
              <w:pStyle w:val="SingleTxtG"/>
              <w:spacing w:after="100"/>
              <w:ind w:left="57" w:right="0"/>
              <w:jc w:val="left"/>
              <w:rPr>
                <w:lang w:val="fr-FR"/>
              </w:rPr>
            </w:pPr>
            <w:r w:rsidRPr="008450E1">
              <w:rPr>
                <w:lang w:val="fr-FR"/>
              </w:rPr>
              <w:t>3</w:t>
            </w:r>
          </w:p>
        </w:tc>
      </w:tr>
    </w:tbl>
    <w:p w14:paraId="0DA65F61" w14:textId="77777777" w:rsidR="00D02AC5" w:rsidRPr="008450E1" w:rsidRDefault="00D02AC5" w:rsidP="000E54C5">
      <w:pPr>
        <w:pStyle w:val="SingleTxtG"/>
        <w:spacing w:before="120"/>
        <w:rPr>
          <w:lang w:val="fr-FR"/>
        </w:rPr>
      </w:pPr>
      <w:r w:rsidRPr="008450E1">
        <w:rPr>
          <w:lang w:val="fr-FR"/>
        </w:rPr>
        <w:t>1</w:t>
      </w:r>
      <w:r w:rsidR="000E54C5" w:rsidRPr="000E54C5">
        <w:rPr>
          <w:lang w:val="fr-FR"/>
        </w:rPr>
        <w:t>.</w:t>
      </w:r>
      <w:r w:rsidRPr="008450E1">
        <w:rPr>
          <w:lang w:val="fr-FR"/>
        </w:rPr>
        <w:tab/>
        <w:t>L</w:t>
      </w:r>
      <w:r>
        <w:rPr>
          <w:lang w:val="fr-FR"/>
        </w:rPr>
        <w:t>’</w:t>
      </w:r>
      <w:r w:rsidRPr="008450E1">
        <w:rPr>
          <w:lang w:val="fr-FR"/>
        </w:rPr>
        <w:t>auteur de la communication est M</w:t>
      </w:r>
      <w:r w:rsidR="000E54C5" w:rsidRPr="000E54C5">
        <w:rPr>
          <w:lang w:val="fr-FR"/>
        </w:rPr>
        <w:t>.</w:t>
      </w:r>
      <w:r w:rsidRPr="008450E1">
        <w:rPr>
          <w:lang w:val="fr-FR"/>
        </w:rPr>
        <w:t xml:space="preserve"> I</w:t>
      </w:r>
      <w:r w:rsidR="000E54C5" w:rsidRPr="000E54C5">
        <w:rPr>
          <w:lang w:val="fr-FR"/>
        </w:rPr>
        <w:t>.</w:t>
      </w:r>
      <w:r w:rsidRPr="008450E1">
        <w:rPr>
          <w:lang w:val="fr-FR"/>
        </w:rPr>
        <w:t>, de nationalité russe, né en 1962</w:t>
      </w:r>
      <w:r w:rsidR="000E54C5" w:rsidRPr="000E54C5">
        <w:rPr>
          <w:lang w:val="fr-FR"/>
        </w:rPr>
        <w:t>.</w:t>
      </w:r>
      <w:r w:rsidRPr="008450E1">
        <w:rPr>
          <w:lang w:val="fr-FR"/>
        </w:rPr>
        <w:t xml:space="preserve"> Il affirme que l</w:t>
      </w:r>
      <w:r>
        <w:rPr>
          <w:lang w:val="fr-FR"/>
        </w:rPr>
        <w:t>’</w:t>
      </w:r>
      <w:r w:rsidRPr="008450E1">
        <w:rPr>
          <w:lang w:val="fr-FR"/>
        </w:rPr>
        <w:t>État partie a violé les droits qu</w:t>
      </w:r>
      <w:r>
        <w:rPr>
          <w:lang w:val="fr-FR"/>
        </w:rPr>
        <w:t>’</w:t>
      </w:r>
      <w:r w:rsidRPr="008450E1">
        <w:rPr>
          <w:lang w:val="fr-FR"/>
        </w:rPr>
        <w:t>il tient des articles</w:t>
      </w:r>
      <w:r>
        <w:rPr>
          <w:lang w:val="fr-FR"/>
        </w:rPr>
        <w:t> </w:t>
      </w:r>
      <w:r w:rsidRPr="008450E1">
        <w:rPr>
          <w:lang w:val="fr-FR"/>
        </w:rPr>
        <w:t>14 (par</w:t>
      </w:r>
      <w:r w:rsidR="000E54C5" w:rsidRPr="000E54C5">
        <w:rPr>
          <w:lang w:val="fr-FR"/>
        </w:rPr>
        <w:t>.</w:t>
      </w:r>
      <w:r>
        <w:rPr>
          <w:lang w:val="fr-FR"/>
        </w:rPr>
        <w:t> </w:t>
      </w:r>
      <w:r w:rsidRPr="008450E1">
        <w:rPr>
          <w:lang w:val="fr-FR"/>
        </w:rPr>
        <w:t>1, 3</w:t>
      </w:r>
      <w:r>
        <w:rPr>
          <w:lang w:val="fr-FR"/>
        </w:rPr>
        <w:t> </w:t>
      </w:r>
      <w:r w:rsidRPr="008450E1">
        <w:rPr>
          <w:lang w:val="fr-FR"/>
        </w:rPr>
        <w:t>b) et</w:t>
      </w:r>
      <w:r>
        <w:rPr>
          <w:lang w:val="fr-FR"/>
        </w:rPr>
        <w:t> </w:t>
      </w:r>
      <w:r w:rsidRPr="008450E1">
        <w:rPr>
          <w:lang w:val="fr-FR"/>
        </w:rPr>
        <w:t>5), 15 (par</w:t>
      </w:r>
      <w:r w:rsidR="000E54C5" w:rsidRPr="000E54C5">
        <w:rPr>
          <w:lang w:val="fr-FR"/>
        </w:rPr>
        <w:t>.</w:t>
      </w:r>
      <w:r>
        <w:rPr>
          <w:lang w:val="fr-FR"/>
        </w:rPr>
        <w:t> </w:t>
      </w:r>
      <w:r w:rsidRPr="008450E1">
        <w:rPr>
          <w:lang w:val="fr-FR"/>
        </w:rPr>
        <w:t>1) et 26 du Pacte</w:t>
      </w:r>
      <w:r w:rsidR="000E54C5" w:rsidRPr="000E54C5">
        <w:rPr>
          <w:lang w:val="fr-FR"/>
        </w:rPr>
        <w:t>.</w:t>
      </w:r>
      <w:r w:rsidRPr="008450E1">
        <w:rPr>
          <w:lang w:val="fr-FR"/>
        </w:rPr>
        <w:t xml:space="preserve"> Le Protocole facultatif se rapportant au Pacte est entré en vigueur pour </w:t>
      </w:r>
      <w:r w:rsidRPr="00896E85">
        <w:rPr>
          <w:lang w:val="fr-FR"/>
        </w:rPr>
        <w:t>l</w:t>
      </w:r>
      <w:r>
        <w:rPr>
          <w:lang w:val="fr-FR"/>
        </w:rPr>
        <w:t>’</w:t>
      </w:r>
      <w:r w:rsidRPr="00896E85">
        <w:rPr>
          <w:lang w:val="fr-FR"/>
        </w:rPr>
        <w:t>État partie</w:t>
      </w:r>
      <w:r w:rsidRPr="008450E1">
        <w:rPr>
          <w:lang w:val="fr-FR"/>
        </w:rPr>
        <w:t xml:space="preserve"> le 1</w:t>
      </w:r>
      <w:r w:rsidRPr="008450E1">
        <w:rPr>
          <w:vertAlign w:val="superscript"/>
          <w:lang w:val="fr-FR"/>
        </w:rPr>
        <w:t>er</w:t>
      </w:r>
      <w:r>
        <w:rPr>
          <w:lang w:val="fr-FR"/>
        </w:rPr>
        <w:t> </w:t>
      </w:r>
      <w:r w:rsidRPr="008450E1">
        <w:rPr>
          <w:lang w:val="fr-FR"/>
        </w:rPr>
        <w:t>janvier 1992</w:t>
      </w:r>
      <w:r w:rsidR="000E54C5" w:rsidRPr="000E54C5">
        <w:rPr>
          <w:lang w:val="fr-FR"/>
        </w:rPr>
        <w:t>.</w:t>
      </w:r>
      <w:r w:rsidRPr="008450E1">
        <w:rPr>
          <w:lang w:val="fr-FR"/>
        </w:rPr>
        <w:t xml:space="preserve"> L</w:t>
      </w:r>
      <w:r>
        <w:rPr>
          <w:lang w:val="fr-FR"/>
        </w:rPr>
        <w:t>’</w:t>
      </w:r>
      <w:r w:rsidRPr="008450E1">
        <w:rPr>
          <w:lang w:val="fr-FR"/>
        </w:rPr>
        <w:t>auteur n</w:t>
      </w:r>
      <w:r>
        <w:rPr>
          <w:lang w:val="fr-FR"/>
        </w:rPr>
        <w:t>’</w:t>
      </w:r>
      <w:r w:rsidRPr="008450E1">
        <w:rPr>
          <w:lang w:val="fr-FR"/>
        </w:rPr>
        <w:t>est pas représenté par un conseil</w:t>
      </w:r>
      <w:r w:rsidR="000E54C5" w:rsidRPr="000E54C5">
        <w:rPr>
          <w:lang w:val="fr-FR"/>
        </w:rPr>
        <w:t>.</w:t>
      </w:r>
    </w:p>
    <w:p w14:paraId="42A5B945" w14:textId="77777777" w:rsidR="00D02AC5" w:rsidRPr="008450E1" w:rsidRDefault="00D02AC5" w:rsidP="000E54C5">
      <w:pPr>
        <w:pStyle w:val="H23G"/>
        <w:rPr>
          <w:lang w:val="fr-FR"/>
        </w:rPr>
      </w:pPr>
      <w:r w:rsidRPr="008450E1">
        <w:rPr>
          <w:lang w:val="fr-FR"/>
        </w:rPr>
        <w:lastRenderedPageBreak/>
        <w:tab/>
      </w:r>
      <w:r w:rsidRPr="008450E1">
        <w:rPr>
          <w:lang w:val="fr-FR"/>
        </w:rPr>
        <w:tab/>
        <w:t>Rappel des faits présentés par l</w:t>
      </w:r>
      <w:r>
        <w:rPr>
          <w:lang w:val="fr-FR"/>
        </w:rPr>
        <w:t>’</w:t>
      </w:r>
      <w:r w:rsidRPr="008450E1">
        <w:rPr>
          <w:lang w:val="fr-FR"/>
        </w:rPr>
        <w:t>auteur</w:t>
      </w:r>
    </w:p>
    <w:p w14:paraId="6AC16C46" w14:textId="77777777" w:rsidR="00D02AC5" w:rsidRPr="008450E1" w:rsidRDefault="00D02AC5" w:rsidP="000E54C5">
      <w:pPr>
        <w:pStyle w:val="SingleTxtG"/>
        <w:keepNext/>
        <w:keepLines/>
        <w:rPr>
          <w:lang w:val="fr-FR"/>
        </w:rPr>
      </w:pPr>
      <w:r w:rsidRPr="008450E1">
        <w:rPr>
          <w:lang w:val="fr-FR"/>
        </w:rPr>
        <w:t>2</w:t>
      </w:r>
      <w:r w:rsidR="000E54C5" w:rsidRPr="000E54C5">
        <w:rPr>
          <w:lang w:val="fr-FR"/>
        </w:rPr>
        <w:t>.</w:t>
      </w:r>
      <w:r w:rsidRPr="008450E1">
        <w:rPr>
          <w:lang w:val="fr-FR"/>
        </w:rPr>
        <w:t>1</w:t>
      </w:r>
      <w:r w:rsidRPr="008450E1">
        <w:rPr>
          <w:lang w:val="fr-FR"/>
        </w:rPr>
        <w:tab/>
        <w:t>Le 23</w:t>
      </w:r>
      <w:r>
        <w:rPr>
          <w:lang w:val="fr-FR"/>
        </w:rPr>
        <w:t> </w:t>
      </w:r>
      <w:r w:rsidRPr="008450E1">
        <w:rPr>
          <w:lang w:val="fr-FR"/>
        </w:rPr>
        <w:t>juin 1995, l</w:t>
      </w:r>
      <w:r>
        <w:rPr>
          <w:lang w:val="fr-FR"/>
        </w:rPr>
        <w:t>’</w:t>
      </w:r>
      <w:r w:rsidRPr="008450E1">
        <w:rPr>
          <w:lang w:val="fr-FR"/>
        </w:rPr>
        <w:t>auteur a été déclaré coupable de vol</w:t>
      </w:r>
      <w:r w:rsidRPr="00D02AC5">
        <w:rPr>
          <w:rStyle w:val="Appelnotedebasdep"/>
        </w:rPr>
        <w:footnoteReference w:id="4"/>
      </w:r>
      <w:r w:rsidRPr="008450E1">
        <w:rPr>
          <w:lang w:val="fr-FR"/>
        </w:rPr>
        <w:t xml:space="preserve"> et de trois assassinats avec circonstances aggravantes</w:t>
      </w:r>
      <w:r w:rsidRPr="00D02AC5">
        <w:rPr>
          <w:rStyle w:val="Appelnotedebasdep"/>
        </w:rPr>
        <w:footnoteReference w:id="5"/>
      </w:r>
      <w:r w:rsidRPr="008450E1">
        <w:rPr>
          <w:lang w:val="fr-FR"/>
        </w:rPr>
        <w:t>, commis sous l</w:t>
      </w:r>
      <w:r>
        <w:rPr>
          <w:lang w:val="fr-FR"/>
        </w:rPr>
        <w:t>’</w:t>
      </w:r>
      <w:r w:rsidRPr="008450E1">
        <w:rPr>
          <w:lang w:val="fr-FR"/>
        </w:rPr>
        <w:t>empire de l</w:t>
      </w:r>
      <w:r>
        <w:rPr>
          <w:lang w:val="fr-FR"/>
        </w:rPr>
        <w:t>’</w:t>
      </w:r>
      <w:r w:rsidRPr="008450E1">
        <w:rPr>
          <w:lang w:val="fr-FR"/>
        </w:rPr>
        <w:t xml:space="preserve">alcool, et a été condamné à mort par le tribunal régional de </w:t>
      </w:r>
      <w:proofErr w:type="spellStart"/>
      <w:r w:rsidRPr="008450E1">
        <w:rPr>
          <w:lang w:val="fr-FR"/>
        </w:rPr>
        <w:t>Chelyabinsk</w:t>
      </w:r>
      <w:proofErr w:type="spellEnd"/>
      <w:r w:rsidR="000E54C5" w:rsidRPr="000E54C5">
        <w:rPr>
          <w:lang w:val="fr-FR"/>
        </w:rPr>
        <w:t>.</w:t>
      </w:r>
      <w:r w:rsidRPr="008450E1">
        <w:rPr>
          <w:lang w:val="fr-FR"/>
        </w:rPr>
        <w:t xml:space="preserve"> Parce qu</w:t>
      </w:r>
      <w:r>
        <w:rPr>
          <w:lang w:val="fr-FR"/>
        </w:rPr>
        <w:t>’</w:t>
      </w:r>
      <w:r w:rsidRPr="008450E1">
        <w:rPr>
          <w:lang w:val="fr-FR"/>
        </w:rPr>
        <w:t>il avait déjà été reconnu coupable d</w:t>
      </w:r>
      <w:r>
        <w:rPr>
          <w:lang w:val="fr-FR"/>
        </w:rPr>
        <w:t>’</w:t>
      </w:r>
      <w:r w:rsidRPr="008450E1">
        <w:rPr>
          <w:lang w:val="fr-FR"/>
        </w:rPr>
        <w:t>un précédent assassinat</w:t>
      </w:r>
      <w:r w:rsidRPr="00D02AC5">
        <w:rPr>
          <w:rStyle w:val="Appelnotedebasdep"/>
        </w:rPr>
        <w:footnoteReference w:id="6"/>
      </w:r>
      <w:r w:rsidRPr="008450E1">
        <w:rPr>
          <w:lang w:val="fr-FR"/>
        </w:rPr>
        <w:t>, l</w:t>
      </w:r>
      <w:r>
        <w:rPr>
          <w:lang w:val="fr-FR"/>
        </w:rPr>
        <w:t>’</w:t>
      </w:r>
      <w:r w:rsidRPr="008450E1">
        <w:rPr>
          <w:lang w:val="fr-FR"/>
        </w:rPr>
        <w:t xml:space="preserve">auteur a également été déclaré </w:t>
      </w:r>
      <w:r>
        <w:rPr>
          <w:lang w:val="fr-FR"/>
        </w:rPr>
        <w:t>« </w:t>
      </w:r>
      <w:r w:rsidRPr="008450E1">
        <w:rPr>
          <w:lang w:val="fr-FR"/>
        </w:rPr>
        <w:t>récidiviste dangereux</w:t>
      </w:r>
      <w:r>
        <w:rPr>
          <w:lang w:val="fr-FR"/>
        </w:rPr>
        <w:t> »</w:t>
      </w:r>
      <w:r w:rsidRPr="008450E1">
        <w:rPr>
          <w:lang w:val="fr-FR"/>
        </w:rPr>
        <w:t xml:space="preserve"> par le tribunal, conformément à l</w:t>
      </w:r>
      <w:r>
        <w:rPr>
          <w:lang w:val="fr-FR"/>
        </w:rPr>
        <w:t>’</w:t>
      </w:r>
      <w:r w:rsidRPr="008450E1">
        <w:rPr>
          <w:lang w:val="fr-FR"/>
        </w:rPr>
        <w:t>article</w:t>
      </w:r>
      <w:r>
        <w:rPr>
          <w:lang w:val="fr-FR"/>
        </w:rPr>
        <w:t> </w:t>
      </w:r>
      <w:r w:rsidRPr="008450E1">
        <w:rPr>
          <w:lang w:val="fr-FR"/>
        </w:rPr>
        <w:t>24</w:t>
      </w:r>
      <w:r w:rsidR="000E54C5" w:rsidRPr="000E54C5">
        <w:rPr>
          <w:lang w:val="fr-FR"/>
        </w:rPr>
        <w:t>.</w:t>
      </w:r>
      <w:r>
        <w:rPr>
          <w:lang w:val="fr-FR"/>
        </w:rPr>
        <w:t>1</w:t>
      </w:r>
      <w:r w:rsidRPr="008450E1">
        <w:rPr>
          <w:lang w:val="fr-FR"/>
        </w:rPr>
        <w:t xml:space="preserve"> (par</w:t>
      </w:r>
      <w:r w:rsidR="000E54C5" w:rsidRPr="000E54C5">
        <w:rPr>
          <w:lang w:val="fr-FR"/>
        </w:rPr>
        <w:t>.</w:t>
      </w:r>
      <w:r>
        <w:rPr>
          <w:lang w:val="fr-FR"/>
        </w:rPr>
        <w:t> </w:t>
      </w:r>
      <w:r w:rsidRPr="008450E1">
        <w:rPr>
          <w:lang w:val="fr-FR"/>
        </w:rPr>
        <w:t>1</w:t>
      </w:r>
      <w:r>
        <w:rPr>
          <w:lang w:val="fr-FR"/>
        </w:rPr>
        <w:t>, note 1</w:t>
      </w:r>
      <w:r w:rsidRPr="008450E1">
        <w:rPr>
          <w:lang w:val="fr-FR"/>
        </w:rPr>
        <w:t xml:space="preserve">) du Code pénal de la République socialiste fédérative soviétique de Russie </w:t>
      </w:r>
      <w:r>
        <w:rPr>
          <w:lang w:val="fr-FR"/>
        </w:rPr>
        <w:t xml:space="preserve">qui était </w:t>
      </w:r>
      <w:r w:rsidRPr="008450E1">
        <w:rPr>
          <w:lang w:val="fr-FR"/>
        </w:rPr>
        <w:t>en vigueur à l</w:t>
      </w:r>
      <w:r>
        <w:rPr>
          <w:lang w:val="fr-FR"/>
        </w:rPr>
        <w:t>’</w:t>
      </w:r>
      <w:r w:rsidRPr="008450E1">
        <w:rPr>
          <w:lang w:val="fr-FR"/>
        </w:rPr>
        <w:t>époque</w:t>
      </w:r>
      <w:r w:rsidR="000E54C5" w:rsidRPr="000E54C5">
        <w:rPr>
          <w:lang w:val="fr-FR"/>
        </w:rPr>
        <w:t>.</w:t>
      </w:r>
      <w:r w:rsidRPr="008450E1">
        <w:rPr>
          <w:lang w:val="fr-FR"/>
        </w:rPr>
        <w:t xml:space="preserve"> Le 11 janvier 1996, la Chambre juridictionnelle de la Cour suprême, siégeant en tant que </w:t>
      </w:r>
      <w:r>
        <w:rPr>
          <w:lang w:val="fr-FR"/>
        </w:rPr>
        <w:t>cour de cassation</w:t>
      </w:r>
      <w:r w:rsidRPr="008450E1">
        <w:rPr>
          <w:lang w:val="fr-FR"/>
        </w:rPr>
        <w:t>, a confirmé sa condamnation à mort</w:t>
      </w:r>
      <w:r w:rsidR="000E54C5" w:rsidRPr="000E54C5">
        <w:rPr>
          <w:lang w:val="fr-FR"/>
        </w:rPr>
        <w:t>.</w:t>
      </w:r>
    </w:p>
    <w:p w14:paraId="19639BF7" w14:textId="77777777" w:rsidR="00D02AC5" w:rsidRPr="008450E1" w:rsidRDefault="00D02AC5" w:rsidP="00D02AC5">
      <w:pPr>
        <w:pStyle w:val="SingleTxtG"/>
        <w:rPr>
          <w:lang w:val="fr-FR"/>
        </w:rPr>
      </w:pPr>
      <w:r w:rsidRPr="008450E1">
        <w:rPr>
          <w:lang w:val="fr-FR"/>
        </w:rPr>
        <w:t>2</w:t>
      </w:r>
      <w:r w:rsidR="000E54C5" w:rsidRPr="000E54C5">
        <w:rPr>
          <w:lang w:val="fr-FR"/>
        </w:rPr>
        <w:t>.</w:t>
      </w:r>
      <w:r w:rsidRPr="008450E1">
        <w:rPr>
          <w:lang w:val="fr-FR"/>
        </w:rPr>
        <w:t>2</w:t>
      </w:r>
      <w:r w:rsidRPr="008450E1">
        <w:rPr>
          <w:lang w:val="fr-FR"/>
        </w:rPr>
        <w:tab/>
        <w:t>Le 17 mai 1999, par un décret de grâce présidentielle, la peine de mort imposée à l</w:t>
      </w:r>
      <w:r>
        <w:rPr>
          <w:lang w:val="fr-FR"/>
        </w:rPr>
        <w:t>’</w:t>
      </w:r>
      <w:r w:rsidRPr="008450E1">
        <w:rPr>
          <w:lang w:val="fr-FR"/>
        </w:rPr>
        <w:t>auteur a été commuée en peine d</w:t>
      </w:r>
      <w:r>
        <w:rPr>
          <w:lang w:val="fr-FR"/>
        </w:rPr>
        <w:t>’</w:t>
      </w:r>
      <w:r w:rsidRPr="008450E1">
        <w:rPr>
          <w:lang w:val="fr-FR"/>
        </w:rPr>
        <w:t>emprisonnement à perpétuité</w:t>
      </w:r>
      <w:r w:rsidR="000E54C5" w:rsidRPr="000E54C5">
        <w:rPr>
          <w:lang w:val="fr-FR"/>
        </w:rPr>
        <w:t>.</w:t>
      </w:r>
      <w:r w:rsidRPr="008450E1">
        <w:rPr>
          <w:lang w:val="fr-FR"/>
        </w:rPr>
        <w:t xml:space="preserve"> Le 23</w:t>
      </w:r>
      <w:r>
        <w:rPr>
          <w:lang w:val="fr-FR"/>
        </w:rPr>
        <w:t> </w:t>
      </w:r>
      <w:r w:rsidRPr="008450E1">
        <w:rPr>
          <w:lang w:val="fr-FR"/>
        </w:rPr>
        <w:t xml:space="preserve">septembre 1999, conformément au nouveau </w:t>
      </w:r>
      <w:r>
        <w:rPr>
          <w:lang w:val="fr-FR"/>
        </w:rPr>
        <w:t>C</w:t>
      </w:r>
      <w:r w:rsidRPr="008450E1">
        <w:rPr>
          <w:lang w:val="fr-FR"/>
        </w:rPr>
        <w:t xml:space="preserve">ode pénal </w:t>
      </w:r>
      <w:r>
        <w:rPr>
          <w:lang w:val="fr-FR"/>
        </w:rPr>
        <w:t xml:space="preserve">qui était entré </w:t>
      </w:r>
      <w:r w:rsidRPr="008450E1">
        <w:rPr>
          <w:lang w:val="fr-FR"/>
        </w:rPr>
        <w:t xml:space="preserve">en vigueur le 13 juin 1996, le tribunal régional de </w:t>
      </w:r>
      <w:proofErr w:type="spellStart"/>
      <w:r w:rsidRPr="008450E1">
        <w:rPr>
          <w:lang w:val="fr-FR"/>
        </w:rPr>
        <w:t>Chelyabinsk</w:t>
      </w:r>
      <w:proofErr w:type="spellEnd"/>
      <w:r w:rsidRPr="008450E1">
        <w:rPr>
          <w:lang w:val="fr-FR"/>
        </w:rPr>
        <w:t xml:space="preserve"> a supprimé la mention du « meurtre commis sous l</w:t>
      </w:r>
      <w:r>
        <w:rPr>
          <w:lang w:val="fr-FR"/>
        </w:rPr>
        <w:t>’</w:t>
      </w:r>
      <w:r w:rsidRPr="008450E1">
        <w:rPr>
          <w:lang w:val="fr-FR"/>
        </w:rPr>
        <w:t>empire de l</w:t>
      </w:r>
      <w:r>
        <w:rPr>
          <w:lang w:val="fr-FR"/>
        </w:rPr>
        <w:t>’</w:t>
      </w:r>
      <w:r w:rsidRPr="008450E1">
        <w:rPr>
          <w:lang w:val="fr-FR"/>
        </w:rPr>
        <w:t>alcool », qui était l</w:t>
      </w:r>
      <w:r>
        <w:rPr>
          <w:lang w:val="fr-FR"/>
        </w:rPr>
        <w:t>’</w:t>
      </w:r>
      <w:r w:rsidRPr="008450E1">
        <w:rPr>
          <w:lang w:val="fr-FR"/>
        </w:rPr>
        <w:t xml:space="preserve">une des circonstances aggravantes figurant </w:t>
      </w:r>
      <w:r w:rsidRPr="00E4342D">
        <w:rPr>
          <w:lang w:val="fr-FR"/>
        </w:rPr>
        <w:t>dans le jugement de condamnation</w:t>
      </w:r>
      <w:r w:rsidR="000E54C5" w:rsidRPr="000E54C5">
        <w:rPr>
          <w:lang w:val="fr-FR"/>
        </w:rPr>
        <w:t>.</w:t>
      </w:r>
    </w:p>
    <w:p w14:paraId="1D6300BD" w14:textId="77777777" w:rsidR="00D02AC5" w:rsidRPr="008450E1" w:rsidRDefault="00D02AC5" w:rsidP="00D02AC5">
      <w:pPr>
        <w:pStyle w:val="SingleTxtG"/>
        <w:rPr>
          <w:lang w:val="fr-FR"/>
        </w:rPr>
      </w:pPr>
      <w:r w:rsidRPr="008450E1">
        <w:rPr>
          <w:lang w:val="fr-FR"/>
        </w:rPr>
        <w:t>2</w:t>
      </w:r>
      <w:r w:rsidR="000E54C5" w:rsidRPr="000E54C5">
        <w:rPr>
          <w:lang w:val="fr-FR"/>
        </w:rPr>
        <w:t>.</w:t>
      </w:r>
      <w:r w:rsidRPr="008450E1">
        <w:rPr>
          <w:lang w:val="fr-FR"/>
        </w:rPr>
        <w:t>3</w:t>
      </w:r>
      <w:r w:rsidRPr="008450E1">
        <w:rPr>
          <w:lang w:val="fr-FR"/>
        </w:rPr>
        <w:tab/>
        <w:t>Le 4 mai 2006, le tribunal municipal de Solikamsk dans la région de Perm a supprimé</w:t>
      </w:r>
      <w:r w:rsidRPr="00D02AC5">
        <w:rPr>
          <w:rStyle w:val="Appelnotedebasdep"/>
        </w:rPr>
        <w:footnoteReference w:id="7"/>
      </w:r>
      <w:r w:rsidRPr="008450E1">
        <w:rPr>
          <w:lang w:val="fr-FR"/>
        </w:rPr>
        <w:t xml:space="preserve"> la confiscation de biens qui était une peine supplémentaire prévue par l</w:t>
      </w:r>
      <w:r>
        <w:rPr>
          <w:lang w:val="fr-FR"/>
        </w:rPr>
        <w:t>’</w:t>
      </w:r>
      <w:r w:rsidRPr="008450E1">
        <w:rPr>
          <w:lang w:val="fr-FR"/>
        </w:rPr>
        <w:t>article 146 (par</w:t>
      </w:r>
      <w:r w:rsidR="000E54C5" w:rsidRPr="000E54C5">
        <w:rPr>
          <w:lang w:val="fr-FR"/>
        </w:rPr>
        <w:t>.</w:t>
      </w:r>
      <w:r w:rsidRPr="008450E1">
        <w:rPr>
          <w:lang w:val="fr-FR"/>
        </w:rPr>
        <w:t> 2</w:t>
      </w:r>
      <w:r>
        <w:rPr>
          <w:lang w:val="fr-FR"/>
        </w:rPr>
        <w:t> a)</w:t>
      </w:r>
      <w:r w:rsidRPr="008450E1">
        <w:rPr>
          <w:lang w:val="fr-FR"/>
        </w:rPr>
        <w:t>) du Code pénal de 1960, et a supprimé la mention du « meurtre commis par une personne qui a déjà commis un meurtre, à l</w:t>
      </w:r>
      <w:r>
        <w:rPr>
          <w:lang w:val="fr-FR"/>
        </w:rPr>
        <w:t>’</w:t>
      </w:r>
      <w:r w:rsidRPr="008450E1">
        <w:rPr>
          <w:lang w:val="fr-FR"/>
        </w:rPr>
        <w:t>exception des meurtres visés aux articles 105 et 106 du Code pénal » de la qualification de l</w:t>
      </w:r>
      <w:r>
        <w:rPr>
          <w:lang w:val="fr-FR"/>
        </w:rPr>
        <w:t>’</w:t>
      </w:r>
      <w:r w:rsidRPr="008450E1">
        <w:rPr>
          <w:lang w:val="fr-FR"/>
        </w:rPr>
        <w:t>infraction d</w:t>
      </w:r>
      <w:r>
        <w:rPr>
          <w:lang w:val="fr-FR"/>
        </w:rPr>
        <w:t>’</w:t>
      </w:r>
      <w:r w:rsidRPr="008450E1">
        <w:rPr>
          <w:lang w:val="fr-FR"/>
        </w:rPr>
        <w:t>assassinat commis par l</w:t>
      </w:r>
      <w:r>
        <w:rPr>
          <w:lang w:val="fr-FR"/>
        </w:rPr>
        <w:t>’</w:t>
      </w:r>
      <w:r w:rsidRPr="008450E1">
        <w:rPr>
          <w:lang w:val="fr-FR"/>
        </w:rPr>
        <w:t xml:space="preserve">auteur, conformément </w:t>
      </w:r>
      <w:r>
        <w:rPr>
          <w:lang w:val="fr-FR"/>
        </w:rPr>
        <w:t xml:space="preserve">au </w:t>
      </w:r>
      <w:r w:rsidRPr="008450E1">
        <w:rPr>
          <w:lang w:val="fr-FR"/>
        </w:rPr>
        <w:t>nouveau Code pénal, tel que modifié par la loi du 8 décembre 2003 portant modification du Code pénal</w:t>
      </w:r>
      <w:r w:rsidR="000E54C5" w:rsidRPr="000E54C5">
        <w:rPr>
          <w:lang w:val="fr-FR"/>
        </w:rPr>
        <w:t>.</w:t>
      </w:r>
      <w:r w:rsidRPr="008450E1">
        <w:rPr>
          <w:lang w:val="fr-FR"/>
        </w:rPr>
        <w:t xml:space="preserve"> Le 20 juin 2006, le tribunal régional de Perm a fait droit au recours en cassation formé par l</w:t>
      </w:r>
      <w:r>
        <w:rPr>
          <w:lang w:val="fr-FR"/>
        </w:rPr>
        <w:t>’</w:t>
      </w:r>
      <w:r w:rsidRPr="008450E1">
        <w:rPr>
          <w:lang w:val="fr-FR"/>
        </w:rPr>
        <w:t>auteur contre la décision du tribunal municipal de Solikamsk et supprimé la mention de récidiviste dangereux, tout en maintenant la peine d</w:t>
      </w:r>
      <w:r>
        <w:rPr>
          <w:lang w:val="fr-FR"/>
        </w:rPr>
        <w:t>’</w:t>
      </w:r>
      <w:r w:rsidRPr="008450E1">
        <w:rPr>
          <w:lang w:val="fr-FR"/>
        </w:rPr>
        <w:t xml:space="preserve">emprisonnement à </w:t>
      </w:r>
      <w:r>
        <w:rPr>
          <w:lang w:val="fr-FR"/>
        </w:rPr>
        <w:t>perpétuité</w:t>
      </w:r>
      <w:r w:rsidR="000E54C5" w:rsidRPr="000E54C5">
        <w:rPr>
          <w:lang w:val="fr-FR"/>
        </w:rPr>
        <w:t>.</w:t>
      </w:r>
      <w:r w:rsidRPr="008450E1">
        <w:rPr>
          <w:lang w:val="fr-FR"/>
        </w:rPr>
        <w:t xml:space="preserve"> Le tribunal régional de Perm a expressément dit sur ce point, que la peine de l</w:t>
      </w:r>
      <w:r>
        <w:rPr>
          <w:lang w:val="fr-FR"/>
        </w:rPr>
        <w:t>’</w:t>
      </w:r>
      <w:r w:rsidRPr="008450E1">
        <w:rPr>
          <w:lang w:val="fr-FR"/>
        </w:rPr>
        <w:t>auteur n</w:t>
      </w:r>
      <w:r>
        <w:rPr>
          <w:lang w:val="fr-FR"/>
        </w:rPr>
        <w:t xml:space="preserve">’était </w:t>
      </w:r>
      <w:r w:rsidRPr="008450E1">
        <w:rPr>
          <w:lang w:val="fr-FR"/>
        </w:rPr>
        <w:t xml:space="preserve">pas </w:t>
      </w:r>
      <w:r>
        <w:rPr>
          <w:lang w:val="fr-FR"/>
        </w:rPr>
        <w:t>sujette</w:t>
      </w:r>
      <w:r w:rsidRPr="008450E1">
        <w:rPr>
          <w:lang w:val="fr-FR"/>
        </w:rPr>
        <w:t xml:space="preserve"> </w:t>
      </w:r>
      <w:r>
        <w:rPr>
          <w:lang w:val="fr-FR"/>
        </w:rPr>
        <w:t xml:space="preserve">à </w:t>
      </w:r>
      <w:r w:rsidRPr="008450E1">
        <w:rPr>
          <w:lang w:val="fr-FR"/>
        </w:rPr>
        <w:t>modifications, parce qu</w:t>
      </w:r>
      <w:r>
        <w:rPr>
          <w:lang w:val="fr-FR"/>
        </w:rPr>
        <w:t>’</w:t>
      </w:r>
      <w:r w:rsidRPr="008450E1">
        <w:rPr>
          <w:lang w:val="fr-FR"/>
        </w:rPr>
        <w:t>elle avait été imposée dans le cadre de la législation actuelle</w:t>
      </w:r>
      <w:r w:rsidR="000E54C5" w:rsidRPr="000E54C5">
        <w:rPr>
          <w:lang w:val="fr-FR"/>
        </w:rPr>
        <w:t>.</w:t>
      </w:r>
    </w:p>
    <w:p w14:paraId="7A201A5D" w14:textId="77777777" w:rsidR="00D02AC5" w:rsidRPr="008450E1" w:rsidRDefault="00D02AC5" w:rsidP="00D02AC5">
      <w:pPr>
        <w:pStyle w:val="SingleTxtG"/>
        <w:rPr>
          <w:lang w:val="fr-FR"/>
        </w:rPr>
      </w:pPr>
      <w:r w:rsidRPr="008450E1">
        <w:rPr>
          <w:lang w:val="fr-FR"/>
        </w:rPr>
        <w:t>2</w:t>
      </w:r>
      <w:r w:rsidR="000E54C5" w:rsidRPr="000E54C5">
        <w:rPr>
          <w:lang w:val="fr-FR"/>
        </w:rPr>
        <w:t>.</w:t>
      </w:r>
      <w:r w:rsidRPr="008450E1">
        <w:rPr>
          <w:lang w:val="fr-FR"/>
        </w:rPr>
        <w:t>4</w:t>
      </w:r>
      <w:r w:rsidRPr="008450E1">
        <w:rPr>
          <w:lang w:val="fr-FR"/>
        </w:rPr>
        <w:tab/>
        <w:t>À une date non précisée, l</w:t>
      </w:r>
      <w:r>
        <w:rPr>
          <w:lang w:val="fr-FR"/>
        </w:rPr>
        <w:t>’</w:t>
      </w:r>
      <w:r w:rsidRPr="008450E1">
        <w:rPr>
          <w:lang w:val="fr-FR"/>
        </w:rPr>
        <w:t>auteur a demandé un réexamen au titre de la procédure de contrôle des décisions rendues le 4 mai 2006 par le tribunal municipal de Solikamsk et le 20 juin 2006 par le tribunal régional de Perm, alléguant que sa condamnation n</w:t>
      </w:r>
      <w:r>
        <w:rPr>
          <w:lang w:val="fr-FR"/>
        </w:rPr>
        <w:t>’</w:t>
      </w:r>
      <w:r w:rsidRPr="008450E1">
        <w:rPr>
          <w:lang w:val="fr-FR"/>
        </w:rPr>
        <w:t>avait pas été mise en totale conformité avec la nouvelle loi pénale et demandant que sa peine d</w:t>
      </w:r>
      <w:r>
        <w:rPr>
          <w:lang w:val="fr-FR"/>
        </w:rPr>
        <w:t>’</w:t>
      </w:r>
      <w:r w:rsidRPr="008450E1">
        <w:rPr>
          <w:lang w:val="fr-FR"/>
        </w:rPr>
        <w:t xml:space="preserve">emprisonnement à perpétuité soit commuée en peine de </w:t>
      </w:r>
      <w:r>
        <w:rPr>
          <w:lang w:val="fr-FR"/>
        </w:rPr>
        <w:t xml:space="preserve">quinze </w:t>
      </w:r>
      <w:r w:rsidRPr="008450E1">
        <w:rPr>
          <w:lang w:val="fr-FR"/>
        </w:rPr>
        <w:t>ans d</w:t>
      </w:r>
      <w:r>
        <w:rPr>
          <w:lang w:val="fr-FR"/>
        </w:rPr>
        <w:t>’</w:t>
      </w:r>
      <w:r w:rsidRPr="008450E1">
        <w:rPr>
          <w:lang w:val="fr-FR"/>
        </w:rPr>
        <w:t>emprisonnement</w:t>
      </w:r>
      <w:r w:rsidR="000E54C5" w:rsidRPr="000E54C5">
        <w:rPr>
          <w:lang w:val="fr-FR"/>
        </w:rPr>
        <w:t>.</w:t>
      </w:r>
      <w:r w:rsidRPr="008450E1">
        <w:rPr>
          <w:lang w:val="fr-FR"/>
        </w:rPr>
        <w:t xml:space="preserve"> Dans sa demande, il a invoqué l</w:t>
      </w:r>
      <w:r>
        <w:rPr>
          <w:lang w:val="fr-FR"/>
        </w:rPr>
        <w:t>’</w:t>
      </w:r>
      <w:r w:rsidRPr="008450E1">
        <w:rPr>
          <w:lang w:val="fr-FR"/>
        </w:rPr>
        <w:t>article 18 (par</w:t>
      </w:r>
      <w:r w:rsidR="000E54C5" w:rsidRPr="000E54C5">
        <w:rPr>
          <w:lang w:val="fr-FR"/>
        </w:rPr>
        <w:t>.</w:t>
      </w:r>
      <w:r w:rsidRPr="008450E1">
        <w:rPr>
          <w:lang w:val="fr-FR"/>
        </w:rPr>
        <w:t> 5)</w:t>
      </w:r>
      <w:r>
        <w:rPr>
          <w:lang w:val="fr-FR"/>
        </w:rPr>
        <w:t>,</w:t>
      </w:r>
      <w:r w:rsidRPr="008450E1">
        <w:rPr>
          <w:lang w:val="fr-FR"/>
        </w:rPr>
        <w:t xml:space="preserve"> lu conjointement avec les articles</w:t>
      </w:r>
      <w:r>
        <w:rPr>
          <w:lang w:val="fr-FR"/>
        </w:rPr>
        <w:t> </w:t>
      </w:r>
      <w:r w:rsidRPr="008450E1">
        <w:rPr>
          <w:lang w:val="fr-FR"/>
        </w:rPr>
        <w:t>63 (par</w:t>
      </w:r>
      <w:r w:rsidR="000E54C5" w:rsidRPr="000E54C5">
        <w:rPr>
          <w:lang w:val="fr-FR"/>
        </w:rPr>
        <w:t>.</w:t>
      </w:r>
      <w:r>
        <w:rPr>
          <w:lang w:val="fr-FR"/>
        </w:rPr>
        <w:t> </w:t>
      </w:r>
      <w:r w:rsidRPr="008450E1">
        <w:rPr>
          <w:lang w:val="fr-FR"/>
        </w:rPr>
        <w:t>1 a)) et 68</w:t>
      </w:r>
      <w:r>
        <w:rPr>
          <w:lang w:val="fr-FR"/>
        </w:rPr>
        <w:t xml:space="preserve"> </w:t>
      </w:r>
      <w:r w:rsidRPr="008450E1">
        <w:rPr>
          <w:lang w:val="fr-FR"/>
        </w:rPr>
        <w:t>(par</w:t>
      </w:r>
      <w:r w:rsidR="000E54C5" w:rsidRPr="000E54C5">
        <w:rPr>
          <w:lang w:val="fr-FR"/>
        </w:rPr>
        <w:t>.</w:t>
      </w:r>
      <w:r w:rsidRPr="008450E1">
        <w:rPr>
          <w:lang w:val="fr-FR"/>
        </w:rPr>
        <w:t xml:space="preserve"> 1) du Code pénal de 1996, qui dispose que le type de récidive doit être dûment pris en considération lorsque le tribunal </w:t>
      </w:r>
      <w:r>
        <w:rPr>
          <w:lang w:val="fr-FR"/>
        </w:rPr>
        <w:t>fixe</w:t>
      </w:r>
      <w:r w:rsidRPr="008450E1">
        <w:rPr>
          <w:lang w:val="fr-FR"/>
        </w:rPr>
        <w:t xml:space="preserve"> la peine</w:t>
      </w:r>
      <w:r w:rsidR="000E54C5" w:rsidRPr="000E54C5">
        <w:rPr>
          <w:lang w:val="fr-FR"/>
        </w:rPr>
        <w:t>.</w:t>
      </w:r>
      <w:r w:rsidRPr="008450E1">
        <w:rPr>
          <w:lang w:val="fr-FR"/>
        </w:rPr>
        <w:t xml:space="preserve"> Il a également invoqué la décision par laquelle la Cour constitutionnelle a établi, le 20 avril 2006, que lorsqu</w:t>
      </w:r>
      <w:r>
        <w:rPr>
          <w:lang w:val="fr-FR"/>
        </w:rPr>
        <w:t>’</w:t>
      </w:r>
      <w:r w:rsidRPr="008450E1">
        <w:rPr>
          <w:lang w:val="fr-FR"/>
        </w:rPr>
        <w:t>une condamnation est modifiée de manière à correspondre à la nouvelle loi pénale, toutes les dispositions relatives à la condamnation, telles qu</w:t>
      </w:r>
      <w:r>
        <w:rPr>
          <w:lang w:val="fr-FR"/>
        </w:rPr>
        <w:t>’</w:t>
      </w:r>
      <w:r w:rsidRPr="008450E1">
        <w:rPr>
          <w:lang w:val="fr-FR"/>
        </w:rPr>
        <w:t>énoncées dans le Code pénal, s</w:t>
      </w:r>
      <w:r>
        <w:rPr>
          <w:lang w:val="fr-FR"/>
        </w:rPr>
        <w:t>’</w:t>
      </w:r>
      <w:r w:rsidRPr="008450E1">
        <w:rPr>
          <w:lang w:val="fr-FR"/>
        </w:rPr>
        <w:t>appliquent</w:t>
      </w:r>
      <w:r w:rsidR="000E54C5" w:rsidRPr="000E54C5">
        <w:rPr>
          <w:lang w:val="fr-FR"/>
        </w:rPr>
        <w:t>.</w:t>
      </w:r>
      <w:r w:rsidRPr="008450E1">
        <w:rPr>
          <w:lang w:val="fr-FR"/>
        </w:rPr>
        <w:t xml:space="preserve"> Selon l</w:t>
      </w:r>
      <w:r>
        <w:rPr>
          <w:lang w:val="fr-FR"/>
        </w:rPr>
        <w:t>’</w:t>
      </w:r>
      <w:r w:rsidRPr="008450E1">
        <w:rPr>
          <w:lang w:val="fr-FR"/>
        </w:rPr>
        <w:t xml:space="preserve">auteur, </w:t>
      </w:r>
      <w:bookmarkStart w:id="1" w:name="_Hlk30673059"/>
      <w:r w:rsidRPr="008450E1">
        <w:rPr>
          <w:lang w:val="fr-FR"/>
        </w:rPr>
        <w:t xml:space="preserve">le tribunal régional de </w:t>
      </w:r>
      <w:proofErr w:type="spellStart"/>
      <w:r w:rsidRPr="008450E1">
        <w:rPr>
          <w:lang w:val="fr-FR"/>
        </w:rPr>
        <w:t>Chelyabinsk</w:t>
      </w:r>
      <w:proofErr w:type="spellEnd"/>
      <w:r w:rsidRPr="008450E1">
        <w:rPr>
          <w:lang w:val="fr-FR"/>
        </w:rPr>
        <w:t xml:space="preserve"> a fondé sa décision initiale de le condamner à la peine de mort sur le fait qu</w:t>
      </w:r>
      <w:r>
        <w:rPr>
          <w:lang w:val="fr-FR"/>
        </w:rPr>
        <w:t>’</w:t>
      </w:r>
      <w:r w:rsidRPr="008450E1">
        <w:rPr>
          <w:lang w:val="fr-FR"/>
        </w:rPr>
        <w:t xml:space="preserve">il avait </w:t>
      </w:r>
      <w:r>
        <w:rPr>
          <w:lang w:val="fr-FR"/>
        </w:rPr>
        <w:t xml:space="preserve">alors </w:t>
      </w:r>
      <w:r w:rsidRPr="008450E1">
        <w:rPr>
          <w:lang w:val="fr-FR"/>
        </w:rPr>
        <w:t>été déclaré récidiviste dangereux</w:t>
      </w:r>
      <w:r w:rsidR="000E54C5" w:rsidRPr="000E54C5">
        <w:rPr>
          <w:lang w:val="fr-FR"/>
        </w:rPr>
        <w:t>.</w:t>
      </w:r>
      <w:r w:rsidRPr="008450E1">
        <w:rPr>
          <w:lang w:val="fr-FR"/>
        </w:rPr>
        <w:t xml:space="preserve"> Cette mention ayant par la suite été supprimée du jugement de condamnation, </w:t>
      </w:r>
      <w:r>
        <w:rPr>
          <w:lang w:val="fr-FR"/>
        </w:rPr>
        <w:t>s</w:t>
      </w:r>
      <w:r w:rsidRPr="008450E1">
        <w:rPr>
          <w:lang w:val="fr-FR"/>
        </w:rPr>
        <w:t xml:space="preserve">a peine devrait être ramenée à </w:t>
      </w:r>
      <w:r>
        <w:rPr>
          <w:lang w:val="fr-FR"/>
        </w:rPr>
        <w:t xml:space="preserve">quinze </w:t>
      </w:r>
      <w:r w:rsidRPr="008450E1">
        <w:rPr>
          <w:lang w:val="fr-FR"/>
        </w:rPr>
        <w:t>ans d</w:t>
      </w:r>
      <w:r>
        <w:rPr>
          <w:lang w:val="fr-FR"/>
        </w:rPr>
        <w:t>’</w:t>
      </w:r>
      <w:r w:rsidRPr="008450E1">
        <w:rPr>
          <w:lang w:val="fr-FR"/>
        </w:rPr>
        <w:t>emprisonnement</w:t>
      </w:r>
      <w:bookmarkEnd w:id="1"/>
      <w:r w:rsidR="000E54C5" w:rsidRPr="000E54C5">
        <w:rPr>
          <w:lang w:val="fr-FR"/>
        </w:rPr>
        <w:t>.</w:t>
      </w:r>
    </w:p>
    <w:p w14:paraId="3CA05B78" w14:textId="77777777" w:rsidR="00D02AC5" w:rsidRPr="008450E1" w:rsidRDefault="00D02AC5" w:rsidP="00D02AC5">
      <w:pPr>
        <w:pStyle w:val="SingleTxtG"/>
        <w:rPr>
          <w:lang w:val="fr-FR"/>
        </w:rPr>
      </w:pPr>
      <w:r w:rsidRPr="008450E1">
        <w:rPr>
          <w:lang w:val="fr-FR"/>
        </w:rPr>
        <w:t>2</w:t>
      </w:r>
      <w:r w:rsidR="000E54C5" w:rsidRPr="000E54C5">
        <w:rPr>
          <w:lang w:val="fr-FR"/>
        </w:rPr>
        <w:t>.</w:t>
      </w:r>
      <w:r w:rsidRPr="008450E1">
        <w:rPr>
          <w:lang w:val="fr-FR"/>
        </w:rPr>
        <w:t>5</w:t>
      </w:r>
      <w:r w:rsidRPr="008450E1">
        <w:rPr>
          <w:lang w:val="fr-FR"/>
        </w:rPr>
        <w:tab/>
        <w:t>Le 27</w:t>
      </w:r>
      <w:r>
        <w:rPr>
          <w:lang w:val="fr-FR"/>
        </w:rPr>
        <w:t> </w:t>
      </w:r>
      <w:r w:rsidRPr="008450E1">
        <w:rPr>
          <w:lang w:val="fr-FR"/>
        </w:rPr>
        <w:t>janvier 2009, le tribunal régional de Perm a rejeté la demande de l</w:t>
      </w:r>
      <w:r>
        <w:rPr>
          <w:lang w:val="fr-FR"/>
        </w:rPr>
        <w:t>’</w:t>
      </w:r>
      <w:r w:rsidRPr="008450E1">
        <w:rPr>
          <w:lang w:val="fr-FR"/>
        </w:rPr>
        <w:t>auteur tendant à obtenir un réexamen, au titre de la procédure de contrôle, des décisions rendues le 4</w:t>
      </w:r>
      <w:r>
        <w:rPr>
          <w:lang w:val="fr-FR"/>
        </w:rPr>
        <w:t> </w:t>
      </w:r>
      <w:r w:rsidRPr="008450E1">
        <w:rPr>
          <w:lang w:val="fr-FR"/>
        </w:rPr>
        <w:t>mai 2006 par le tribunal municipal de Solikamsk et le 20</w:t>
      </w:r>
      <w:r>
        <w:rPr>
          <w:lang w:val="fr-FR"/>
        </w:rPr>
        <w:t> </w:t>
      </w:r>
      <w:r w:rsidRPr="008450E1">
        <w:rPr>
          <w:lang w:val="fr-FR"/>
        </w:rPr>
        <w:t>juin 2006 par le tribunal régional de Perm au motif que, puisque la condamnation à mort de l</w:t>
      </w:r>
      <w:r>
        <w:rPr>
          <w:lang w:val="fr-FR"/>
        </w:rPr>
        <w:t>’</w:t>
      </w:r>
      <w:r w:rsidRPr="008450E1">
        <w:rPr>
          <w:lang w:val="fr-FR"/>
        </w:rPr>
        <w:t>auteur avait été commuée en peine d</w:t>
      </w:r>
      <w:r>
        <w:rPr>
          <w:lang w:val="fr-FR"/>
        </w:rPr>
        <w:t>’</w:t>
      </w:r>
      <w:r w:rsidRPr="008450E1">
        <w:rPr>
          <w:lang w:val="fr-FR"/>
        </w:rPr>
        <w:t>emprisonnement à perpétuité par un décret de grâce présidentielle dans l</w:t>
      </w:r>
      <w:r>
        <w:rPr>
          <w:lang w:val="fr-FR"/>
        </w:rPr>
        <w:t>’</w:t>
      </w:r>
      <w:r w:rsidRPr="008450E1">
        <w:rPr>
          <w:lang w:val="fr-FR"/>
        </w:rPr>
        <w:t>exercice de la prérogative constitutionnelle du Président d</w:t>
      </w:r>
      <w:r>
        <w:rPr>
          <w:lang w:val="fr-FR"/>
        </w:rPr>
        <w:t>’</w:t>
      </w:r>
      <w:r w:rsidRPr="008450E1">
        <w:rPr>
          <w:lang w:val="fr-FR"/>
        </w:rPr>
        <w:t>accorder la grâce</w:t>
      </w:r>
      <w:r w:rsidRPr="00D02AC5">
        <w:rPr>
          <w:rStyle w:val="Appelnotedebasdep"/>
        </w:rPr>
        <w:footnoteReference w:id="8"/>
      </w:r>
      <w:r w:rsidRPr="008450E1">
        <w:rPr>
          <w:lang w:val="fr-FR"/>
        </w:rPr>
        <w:t>, et non dans le cadre de la procédure pénale, les règles relatives à l</w:t>
      </w:r>
      <w:r>
        <w:rPr>
          <w:lang w:val="fr-FR"/>
        </w:rPr>
        <w:t>’</w:t>
      </w:r>
      <w:r w:rsidRPr="008450E1">
        <w:rPr>
          <w:lang w:val="fr-FR"/>
        </w:rPr>
        <w:t xml:space="preserve">imposition de la peine, </w:t>
      </w:r>
      <w:r w:rsidRPr="008450E1">
        <w:rPr>
          <w:lang w:val="fr-FR"/>
        </w:rPr>
        <w:lastRenderedPageBreak/>
        <w:t>prescrites par l</w:t>
      </w:r>
      <w:r>
        <w:rPr>
          <w:lang w:val="fr-FR"/>
        </w:rPr>
        <w:t>’</w:t>
      </w:r>
      <w:r w:rsidRPr="008450E1">
        <w:rPr>
          <w:lang w:val="fr-FR"/>
        </w:rPr>
        <w:t>article</w:t>
      </w:r>
      <w:r>
        <w:rPr>
          <w:lang w:val="fr-FR"/>
        </w:rPr>
        <w:t> </w:t>
      </w:r>
      <w:r w:rsidRPr="008450E1">
        <w:rPr>
          <w:lang w:val="fr-FR"/>
        </w:rPr>
        <w:t>54 de la Constitution de la Fédération de Russie</w:t>
      </w:r>
      <w:r w:rsidRPr="00D02AC5">
        <w:rPr>
          <w:rStyle w:val="Appelnotedebasdep"/>
        </w:rPr>
        <w:footnoteReference w:id="9"/>
      </w:r>
      <w:r w:rsidRPr="008450E1">
        <w:rPr>
          <w:lang w:val="fr-FR"/>
        </w:rPr>
        <w:t xml:space="preserve"> et l</w:t>
      </w:r>
      <w:r>
        <w:rPr>
          <w:lang w:val="fr-FR"/>
        </w:rPr>
        <w:t>’</w:t>
      </w:r>
      <w:r w:rsidRPr="008450E1">
        <w:rPr>
          <w:lang w:val="fr-FR"/>
        </w:rPr>
        <w:t>article</w:t>
      </w:r>
      <w:r>
        <w:rPr>
          <w:lang w:val="fr-FR"/>
        </w:rPr>
        <w:t> </w:t>
      </w:r>
      <w:r w:rsidRPr="008450E1">
        <w:rPr>
          <w:lang w:val="fr-FR"/>
        </w:rPr>
        <w:t>10 du Code pénal de 1996 (effet rétroactif de la loi pénale) ne s</w:t>
      </w:r>
      <w:r>
        <w:rPr>
          <w:lang w:val="fr-FR"/>
        </w:rPr>
        <w:t>’</w:t>
      </w:r>
      <w:r w:rsidRPr="008450E1">
        <w:rPr>
          <w:lang w:val="fr-FR"/>
        </w:rPr>
        <w:t>appliquaient pas dans le cas de l</w:t>
      </w:r>
      <w:r>
        <w:rPr>
          <w:lang w:val="fr-FR"/>
        </w:rPr>
        <w:t>’</w:t>
      </w:r>
      <w:r w:rsidRPr="008450E1">
        <w:rPr>
          <w:lang w:val="fr-FR"/>
        </w:rPr>
        <w:t>auteur</w:t>
      </w:r>
      <w:r w:rsidR="000E54C5" w:rsidRPr="000E54C5">
        <w:rPr>
          <w:lang w:val="fr-FR"/>
        </w:rPr>
        <w:t>.</w:t>
      </w:r>
      <w:r w:rsidRPr="008450E1">
        <w:rPr>
          <w:lang w:val="fr-FR"/>
        </w:rPr>
        <w:t xml:space="preserve"> Le tribunal régional de Perm a ajouté qu</w:t>
      </w:r>
      <w:r>
        <w:rPr>
          <w:lang w:val="fr-FR"/>
        </w:rPr>
        <w:t>’</w:t>
      </w:r>
      <w:r w:rsidRPr="008450E1">
        <w:rPr>
          <w:lang w:val="fr-FR"/>
        </w:rPr>
        <w:t>il n</w:t>
      </w:r>
      <w:r>
        <w:rPr>
          <w:lang w:val="fr-FR"/>
        </w:rPr>
        <w:t>’</w:t>
      </w:r>
      <w:r w:rsidRPr="008450E1">
        <w:rPr>
          <w:lang w:val="fr-FR"/>
        </w:rPr>
        <w:t>était donc pas compétent pour abroger ou réviser la peine imposée par le décret de grâce présidentielle</w:t>
      </w:r>
      <w:r w:rsidR="000E54C5" w:rsidRPr="000E54C5">
        <w:rPr>
          <w:lang w:val="fr-FR"/>
        </w:rPr>
        <w:t>.</w:t>
      </w:r>
      <w:r w:rsidRPr="008450E1">
        <w:rPr>
          <w:lang w:val="fr-FR"/>
        </w:rPr>
        <w:t xml:space="preserve"> Pour la même raison, la position juridique de la Cour constitutionnelle, précisée dans son arrêt du 20</w:t>
      </w:r>
      <w:r>
        <w:rPr>
          <w:lang w:val="fr-FR"/>
        </w:rPr>
        <w:t> </w:t>
      </w:r>
      <w:r w:rsidRPr="008450E1">
        <w:rPr>
          <w:lang w:val="fr-FR"/>
        </w:rPr>
        <w:t>avril 2006 et évoquée par l</w:t>
      </w:r>
      <w:r>
        <w:rPr>
          <w:lang w:val="fr-FR"/>
        </w:rPr>
        <w:t>’</w:t>
      </w:r>
      <w:r w:rsidRPr="008450E1">
        <w:rPr>
          <w:lang w:val="fr-FR"/>
        </w:rPr>
        <w:t>auteur, ne s</w:t>
      </w:r>
      <w:r>
        <w:rPr>
          <w:lang w:val="fr-FR"/>
        </w:rPr>
        <w:t>’</w:t>
      </w:r>
      <w:r w:rsidRPr="008450E1">
        <w:rPr>
          <w:lang w:val="fr-FR"/>
        </w:rPr>
        <w:t>appliquait pas aux décrets présidentiels</w:t>
      </w:r>
      <w:r w:rsidR="000E54C5" w:rsidRPr="000E54C5">
        <w:rPr>
          <w:lang w:val="fr-FR"/>
        </w:rPr>
        <w:t>.</w:t>
      </w:r>
    </w:p>
    <w:p w14:paraId="6EE1E3D5" w14:textId="77777777" w:rsidR="00D02AC5" w:rsidRPr="008450E1" w:rsidRDefault="00D02AC5" w:rsidP="00D02AC5">
      <w:pPr>
        <w:pStyle w:val="SingleTxtG"/>
        <w:rPr>
          <w:lang w:val="fr-FR"/>
        </w:rPr>
      </w:pPr>
      <w:r w:rsidRPr="008450E1">
        <w:rPr>
          <w:lang w:val="fr-FR"/>
        </w:rPr>
        <w:t>2</w:t>
      </w:r>
      <w:r w:rsidR="000E54C5" w:rsidRPr="000E54C5">
        <w:rPr>
          <w:lang w:val="fr-FR"/>
        </w:rPr>
        <w:t>.</w:t>
      </w:r>
      <w:r w:rsidRPr="008450E1">
        <w:rPr>
          <w:lang w:val="fr-FR"/>
        </w:rPr>
        <w:t>6</w:t>
      </w:r>
      <w:r w:rsidRPr="008450E1">
        <w:rPr>
          <w:lang w:val="fr-FR"/>
        </w:rPr>
        <w:tab/>
        <w:t>Le 15</w:t>
      </w:r>
      <w:r>
        <w:rPr>
          <w:lang w:val="fr-FR"/>
        </w:rPr>
        <w:t> </w:t>
      </w:r>
      <w:r w:rsidRPr="008450E1">
        <w:rPr>
          <w:lang w:val="fr-FR"/>
        </w:rPr>
        <w:t>avril 2009, le Président du tribunal régional de Perm a rejeté la demande de l</w:t>
      </w:r>
      <w:r>
        <w:rPr>
          <w:lang w:val="fr-FR"/>
        </w:rPr>
        <w:t>’</w:t>
      </w:r>
      <w:r w:rsidRPr="008450E1">
        <w:rPr>
          <w:lang w:val="fr-FR"/>
        </w:rPr>
        <w:t>auteur tendant à obtenir un réexamen, au titre de la procédure de contrôle, des décisions rendues le 4</w:t>
      </w:r>
      <w:r>
        <w:rPr>
          <w:lang w:val="fr-FR"/>
        </w:rPr>
        <w:t> </w:t>
      </w:r>
      <w:r w:rsidRPr="008450E1">
        <w:rPr>
          <w:lang w:val="fr-FR"/>
        </w:rPr>
        <w:t>mai 2006 par le tribunal municipal de Solikamsk et les 20</w:t>
      </w:r>
      <w:r>
        <w:rPr>
          <w:lang w:val="fr-FR"/>
        </w:rPr>
        <w:t> </w:t>
      </w:r>
      <w:r w:rsidRPr="008450E1">
        <w:rPr>
          <w:lang w:val="fr-FR"/>
        </w:rPr>
        <w:t>juin 2006 et 27 janvier 2009 par le tribunal régional de Perm</w:t>
      </w:r>
      <w:r w:rsidR="000E54C5" w:rsidRPr="000E54C5">
        <w:rPr>
          <w:lang w:val="fr-FR"/>
        </w:rPr>
        <w:t>.</w:t>
      </w:r>
      <w:r w:rsidRPr="008450E1">
        <w:rPr>
          <w:lang w:val="fr-FR"/>
        </w:rPr>
        <w:t xml:space="preserve"> Il a dit dans sa décision que, même si l</w:t>
      </w:r>
      <w:r>
        <w:rPr>
          <w:lang w:val="fr-FR"/>
        </w:rPr>
        <w:t>’</w:t>
      </w:r>
      <w:r w:rsidRPr="008450E1">
        <w:rPr>
          <w:lang w:val="fr-FR"/>
        </w:rPr>
        <w:t xml:space="preserve">auteur avait été gracié par le Président de la Fédération de Russie, sa condamnation avait été mise en conformité avec la nouvelle loi pénale ayant </w:t>
      </w:r>
      <w:r w:rsidRPr="00E4342D">
        <w:rPr>
          <w:lang w:val="fr-FR"/>
        </w:rPr>
        <w:t>effet rétroactif</w:t>
      </w:r>
      <w:r w:rsidRPr="008450E1">
        <w:rPr>
          <w:lang w:val="fr-FR"/>
        </w:rPr>
        <w:t xml:space="preserve"> et a</w:t>
      </w:r>
      <w:r>
        <w:rPr>
          <w:lang w:val="fr-FR"/>
        </w:rPr>
        <w:t>vait</w:t>
      </w:r>
      <w:r w:rsidRPr="008450E1">
        <w:rPr>
          <w:lang w:val="fr-FR"/>
        </w:rPr>
        <w:t xml:space="preserve"> fait l</w:t>
      </w:r>
      <w:r>
        <w:rPr>
          <w:lang w:val="fr-FR"/>
        </w:rPr>
        <w:t>’</w:t>
      </w:r>
      <w:r w:rsidRPr="008450E1">
        <w:rPr>
          <w:lang w:val="fr-FR"/>
        </w:rPr>
        <w:t>objet d</w:t>
      </w:r>
      <w:r>
        <w:rPr>
          <w:lang w:val="fr-FR"/>
        </w:rPr>
        <w:t>’</w:t>
      </w:r>
      <w:r w:rsidRPr="008450E1">
        <w:rPr>
          <w:lang w:val="fr-FR"/>
        </w:rPr>
        <w:t>un contrôle judiciaire</w:t>
      </w:r>
      <w:r w:rsidR="000E54C5" w:rsidRPr="000E54C5">
        <w:rPr>
          <w:lang w:val="fr-FR"/>
        </w:rPr>
        <w:t>.</w:t>
      </w:r>
    </w:p>
    <w:p w14:paraId="6AEE4907" w14:textId="77777777" w:rsidR="00D02AC5" w:rsidRPr="008450E1" w:rsidRDefault="00D02AC5" w:rsidP="00D02AC5">
      <w:pPr>
        <w:pStyle w:val="SingleTxtG"/>
        <w:rPr>
          <w:lang w:val="fr-FR"/>
        </w:rPr>
      </w:pPr>
      <w:r w:rsidRPr="008450E1">
        <w:rPr>
          <w:lang w:val="fr-FR"/>
        </w:rPr>
        <w:t>2</w:t>
      </w:r>
      <w:r w:rsidR="000E54C5" w:rsidRPr="000E54C5">
        <w:rPr>
          <w:lang w:val="fr-FR"/>
        </w:rPr>
        <w:t>.</w:t>
      </w:r>
      <w:r w:rsidRPr="008450E1">
        <w:rPr>
          <w:lang w:val="fr-FR"/>
        </w:rPr>
        <w:t>7</w:t>
      </w:r>
      <w:r w:rsidRPr="008450E1">
        <w:rPr>
          <w:lang w:val="fr-FR"/>
        </w:rPr>
        <w:tab/>
        <w:t>Le 23 avril 2013, la Cour suprême a rejeté la demande de l</w:t>
      </w:r>
      <w:r>
        <w:rPr>
          <w:lang w:val="fr-FR"/>
        </w:rPr>
        <w:t>’</w:t>
      </w:r>
      <w:r w:rsidRPr="008450E1">
        <w:rPr>
          <w:lang w:val="fr-FR"/>
        </w:rPr>
        <w:t>auteur tendant à obtenir un réexamen, au titre de la procédure de contrôle, des décisions rendues le 4</w:t>
      </w:r>
      <w:r>
        <w:rPr>
          <w:lang w:val="fr-FR"/>
        </w:rPr>
        <w:t> </w:t>
      </w:r>
      <w:r w:rsidRPr="008450E1">
        <w:rPr>
          <w:lang w:val="fr-FR"/>
        </w:rPr>
        <w:t>mai 2006 par le tribunal municipal de Solikamsk et le 20</w:t>
      </w:r>
      <w:r>
        <w:rPr>
          <w:lang w:val="fr-FR"/>
        </w:rPr>
        <w:t> </w:t>
      </w:r>
      <w:r w:rsidRPr="008450E1">
        <w:rPr>
          <w:lang w:val="fr-FR"/>
        </w:rPr>
        <w:t>juin 2006 par le tribunal régional de Perm</w:t>
      </w:r>
      <w:r w:rsidR="000E54C5" w:rsidRPr="000E54C5">
        <w:rPr>
          <w:lang w:val="fr-FR"/>
        </w:rPr>
        <w:t>.</w:t>
      </w:r>
      <w:r w:rsidRPr="008450E1">
        <w:rPr>
          <w:lang w:val="fr-FR"/>
        </w:rPr>
        <w:t xml:space="preserve"> Le</w:t>
      </w:r>
      <w:r>
        <w:rPr>
          <w:lang w:val="fr-FR"/>
        </w:rPr>
        <w:t> </w:t>
      </w:r>
      <w:r w:rsidRPr="008450E1">
        <w:rPr>
          <w:lang w:val="fr-FR"/>
        </w:rPr>
        <w:t>17 décembre 2013, le Vice-Président de la Cour suprême a rejeté la demande de l</w:t>
      </w:r>
      <w:r>
        <w:rPr>
          <w:lang w:val="fr-FR"/>
        </w:rPr>
        <w:t>’</w:t>
      </w:r>
      <w:r w:rsidRPr="008450E1">
        <w:rPr>
          <w:lang w:val="fr-FR"/>
        </w:rPr>
        <w:t xml:space="preserve">auteur tendant à obtenir un réexamen, au titre de la procédure de contrôle, des décisions </w:t>
      </w:r>
      <w:r>
        <w:rPr>
          <w:lang w:val="fr-FR"/>
        </w:rPr>
        <w:t xml:space="preserve">susmentionnées </w:t>
      </w:r>
      <w:r w:rsidRPr="008450E1">
        <w:rPr>
          <w:lang w:val="fr-FR"/>
        </w:rPr>
        <w:t>rendues par le tribunal municipal de Solikamsk</w:t>
      </w:r>
      <w:r>
        <w:rPr>
          <w:lang w:val="fr-FR"/>
        </w:rPr>
        <w:t xml:space="preserve"> et</w:t>
      </w:r>
      <w:r w:rsidRPr="008450E1">
        <w:rPr>
          <w:lang w:val="fr-FR"/>
        </w:rPr>
        <w:t xml:space="preserve"> par le tribunal régional de Perm et </w:t>
      </w:r>
      <w:r>
        <w:rPr>
          <w:lang w:val="fr-FR"/>
        </w:rPr>
        <w:t xml:space="preserve">de la décision rendue </w:t>
      </w:r>
      <w:r w:rsidRPr="008450E1">
        <w:rPr>
          <w:lang w:val="fr-FR"/>
        </w:rPr>
        <w:t>le 23 avril 2013 par la Cour suprême</w:t>
      </w:r>
      <w:r w:rsidR="000E54C5" w:rsidRPr="000E54C5">
        <w:rPr>
          <w:lang w:val="fr-FR"/>
        </w:rPr>
        <w:t>.</w:t>
      </w:r>
      <w:r w:rsidRPr="008450E1">
        <w:rPr>
          <w:lang w:val="fr-FR"/>
        </w:rPr>
        <w:t xml:space="preserve"> Le</w:t>
      </w:r>
      <w:r>
        <w:rPr>
          <w:lang w:val="fr-FR"/>
        </w:rPr>
        <w:t>s</w:t>
      </w:r>
      <w:r w:rsidRPr="008450E1">
        <w:rPr>
          <w:lang w:val="fr-FR"/>
        </w:rPr>
        <w:t xml:space="preserve"> 30 août, 24</w:t>
      </w:r>
      <w:r>
        <w:rPr>
          <w:lang w:val="fr-FR"/>
        </w:rPr>
        <w:t> </w:t>
      </w:r>
      <w:r w:rsidRPr="008450E1">
        <w:rPr>
          <w:lang w:val="fr-FR"/>
        </w:rPr>
        <w:t xml:space="preserve">octobre et 11 décembre 2013, le Bureau du Procureur de la région de Perm a rejeté </w:t>
      </w:r>
      <w:r>
        <w:rPr>
          <w:lang w:val="fr-FR"/>
        </w:rPr>
        <w:t>des</w:t>
      </w:r>
      <w:r w:rsidRPr="008450E1">
        <w:rPr>
          <w:lang w:val="fr-FR"/>
        </w:rPr>
        <w:t xml:space="preserve"> demande</w:t>
      </w:r>
      <w:r>
        <w:rPr>
          <w:lang w:val="fr-FR"/>
        </w:rPr>
        <w:t>s</w:t>
      </w:r>
      <w:r w:rsidRPr="008450E1">
        <w:rPr>
          <w:lang w:val="fr-FR"/>
        </w:rPr>
        <w:t xml:space="preserve"> de l</w:t>
      </w:r>
      <w:r>
        <w:rPr>
          <w:lang w:val="fr-FR"/>
        </w:rPr>
        <w:t>’</w:t>
      </w:r>
      <w:r w:rsidRPr="008450E1">
        <w:rPr>
          <w:lang w:val="fr-FR"/>
        </w:rPr>
        <w:t xml:space="preserve">auteur tendant à obtenir un réexamen, au titre de la procédure de contrôle, des décisions </w:t>
      </w:r>
      <w:r>
        <w:rPr>
          <w:lang w:val="fr-FR"/>
        </w:rPr>
        <w:t xml:space="preserve">susmentionnées </w:t>
      </w:r>
      <w:r w:rsidRPr="008450E1">
        <w:rPr>
          <w:lang w:val="fr-FR"/>
        </w:rPr>
        <w:t>rendues par le tribunal municipal de Solikamsk et par le tribunal régional de Perm</w:t>
      </w:r>
      <w:r w:rsidR="000E54C5" w:rsidRPr="000E54C5">
        <w:rPr>
          <w:lang w:val="fr-FR"/>
        </w:rPr>
        <w:t>.</w:t>
      </w:r>
      <w:r w:rsidRPr="008450E1">
        <w:rPr>
          <w:lang w:val="fr-FR"/>
        </w:rPr>
        <w:t xml:space="preserve"> Il a dit, entre autres, que lorsqu</w:t>
      </w:r>
      <w:r>
        <w:rPr>
          <w:lang w:val="fr-FR"/>
        </w:rPr>
        <w:t>’</w:t>
      </w:r>
      <w:r w:rsidRPr="008450E1">
        <w:rPr>
          <w:lang w:val="fr-FR"/>
        </w:rPr>
        <w:t>ils avaient apporté des modifications au jugement de condamnation de l</w:t>
      </w:r>
      <w:r>
        <w:rPr>
          <w:lang w:val="fr-FR"/>
        </w:rPr>
        <w:t>’</w:t>
      </w:r>
      <w:r w:rsidRPr="008450E1">
        <w:rPr>
          <w:lang w:val="fr-FR"/>
        </w:rPr>
        <w:t>auteur, les tribunaux avaient dûment pris en considération la nature et la gravité des infractions commises par celui-ci, ainsi que les circonstances dans lesquelles elles avaient été commises</w:t>
      </w:r>
      <w:r w:rsidR="000E54C5" w:rsidRPr="000E54C5">
        <w:rPr>
          <w:lang w:val="fr-FR"/>
        </w:rPr>
        <w:t>.</w:t>
      </w:r>
    </w:p>
    <w:p w14:paraId="52748C0D" w14:textId="77777777" w:rsidR="00D02AC5" w:rsidRPr="008450E1" w:rsidRDefault="00D02AC5" w:rsidP="00D02AC5">
      <w:pPr>
        <w:pStyle w:val="SingleTxtG"/>
        <w:rPr>
          <w:lang w:val="fr-FR"/>
        </w:rPr>
      </w:pPr>
      <w:r w:rsidRPr="008450E1">
        <w:rPr>
          <w:lang w:val="fr-FR"/>
        </w:rPr>
        <w:t>2</w:t>
      </w:r>
      <w:r w:rsidR="000E54C5" w:rsidRPr="000E54C5">
        <w:rPr>
          <w:lang w:val="fr-FR"/>
        </w:rPr>
        <w:t>.</w:t>
      </w:r>
      <w:r w:rsidRPr="008450E1">
        <w:rPr>
          <w:lang w:val="fr-FR"/>
        </w:rPr>
        <w:t>8</w:t>
      </w:r>
      <w:r w:rsidRPr="008450E1">
        <w:rPr>
          <w:lang w:val="fr-FR"/>
        </w:rPr>
        <w:tab/>
        <w:t>À une date non précisée, l</w:t>
      </w:r>
      <w:r>
        <w:rPr>
          <w:lang w:val="fr-FR"/>
        </w:rPr>
        <w:t>’</w:t>
      </w:r>
      <w:r w:rsidRPr="008450E1">
        <w:rPr>
          <w:lang w:val="fr-FR"/>
        </w:rPr>
        <w:t xml:space="preserve">auteur a demandé un réexamen, au titre de la procédure de contrôle, de la décision rendue le 11 janvier 1996 par la Cour suprême, alléguant que son droit à la défense avait été violé par la </w:t>
      </w:r>
      <w:r>
        <w:rPr>
          <w:lang w:val="fr-FR"/>
        </w:rPr>
        <w:t>Cour de cassation</w:t>
      </w:r>
      <w:r w:rsidRPr="008450E1">
        <w:rPr>
          <w:lang w:val="fr-FR"/>
        </w:rPr>
        <w:t>, dans la mesure où il n</w:t>
      </w:r>
      <w:r>
        <w:rPr>
          <w:lang w:val="fr-FR"/>
        </w:rPr>
        <w:t>’</w:t>
      </w:r>
      <w:r w:rsidRPr="008450E1">
        <w:rPr>
          <w:lang w:val="fr-FR"/>
        </w:rPr>
        <w:t xml:space="preserve">avait pas été informé par le tribunal régional de </w:t>
      </w:r>
      <w:proofErr w:type="spellStart"/>
      <w:r w:rsidRPr="008450E1">
        <w:rPr>
          <w:lang w:val="fr-FR"/>
        </w:rPr>
        <w:t>Chelyabinsk</w:t>
      </w:r>
      <w:proofErr w:type="spellEnd"/>
      <w:r w:rsidRPr="008450E1">
        <w:rPr>
          <w:lang w:val="fr-FR"/>
        </w:rPr>
        <w:t xml:space="preserve"> du fait que d</w:t>
      </w:r>
      <w:r>
        <w:rPr>
          <w:lang w:val="fr-FR"/>
        </w:rPr>
        <w:t>’</w:t>
      </w:r>
      <w:r w:rsidRPr="008450E1">
        <w:rPr>
          <w:lang w:val="fr-FR"/>
        </w:rPr>
        <w:t>autres parties à la procédure pénale avaient introduit des recours en cassation, à l</w:t>
      </w:r>
      <w:r>
        <w:rPr>
          <w:lang w:val="fr-FR"/>
        </w:rPr>
        <w:t>’</w:t>
      </w:r>
      <w:r w:rsidRPr="008450E1">
        <w:rPr>
          <w:lang w:val="fr-FR"/>
        </w:rPr>
        <w:t>époque à laquelle l</w:t>
      </w:r>
      <w:r>
        <w:rPr>
          <w:lang w:val="fr-FR"/>
        </w:rPr>
        <w:t>’</w:t>
      </w:r>
      <w:r w:rsidRPr="008450E1">
        <w:rPr>
          <w:lang w:val="fr-FR"/>
        </w:rPr>
        <w:t>affaire pénale le concernant était mise en état pour une audience devant la Cour suprême</w:t>
      </w:r>
      <w:r w:rsidR="000E54C5" w:rsidRPr="000E54C5">
        <w:rPr>
          <w:lang w:val="fr-FR"/>
        </w:rPr>
        <w:t>.</w:t>
      </w:r>
    </w:p>
    <w:p w14:paraId="5C2DA7F6" w14:textId="77777777" w:rsidR="00D02AC5" w:rsidRPr="008450E1" w:rsidRDefault="00D02AC5" w:rsidP="00D02AC5">
      <w:pPr>
        <w:pStyle w:val="SingleTxtG"/>
        <w:rPr>
          <w:lang w:val="fr-FR"/>
        </w:rPr>
      </w:pPr>
      <w:r w:rsidRPr="008450E1">
        <w:rPr>
          <w:lang w:val="fr-FR"/>
        </w:rPr>
        <w:t>2</w:t>
      </w:r>
      <w:r w:rsidR="000E54C5" w:rsidRPr="000E54C5">
        <w:rPr>
          <w:lang w:val="fr-FR"/>
        </w:rPr>
        <w:t>.</w:t>
      </w:r>
      <w:r w:rsidRPr="008450E1">
        <w:rPr>
          <w:lang w:val="fr-FR"/>
        </w:rPr>
        <w:t>9</w:t>
      </w:r>
      <w:r w:rsidRPr="008450E1">
        <w:rPr>
          <w:lang w:val="fr-FR"/>
        </w:rPr>
        <w:tab/>
        <w:t>Le 10 janvier 2013, la Chambre juridictionnelle de la Cour suprême a rejeté la demande de l</w:t>
      </w:r>
      <w:r>
        <w:rPr>
          <w:lang w:val="fr-FR"/>
        </w:rPr>
        <w:t>’</w:t>
      </w:r>
      <w:r w:rsidRPr="008450E1">
        <w:rPr>
          <w:lang w:val="fr-FR"/>
        </w:rPr>
        <w:t>auteur tendant à obtenir un réexamen, au titre de la procédure de contrôle, de la décision rendue le 11 janvier 1996 par la Cour suprême, et a informé l</w:t>
      </w:r>
      <w:r>
        <w:rPr>
          <w:lang w:val="fr-FR"/>
        </w:rPr>
        <w:t>’</w:t>
      </w:r>
      <w:r w:rsidRPr="008450E1">
        <w:rPr>
          <w:lang w:val="fr-FR"/>
        </w:rPr>
        <w:t xml:space="preserve">auteur que, </w:t>
      </w:r>
      <w:bookmarkStart w:id="2" w:name="_Hlk30669326"/>
      <w:r w:rsidRPr="008450E1">
        <w:rPr>
          <w:lang w:val="fr-FR"/>
        </w:rPr>
        <w:t>d</w:t>
      </w:r>
      <w:r>
        <w:rPr>
          <w:lang w:val="fr-FR"/>
        </w:rPr>
        <w:t>’</w:t>
      </w:r>
      <w:r w:rsidRPr="008450E1">
        <w:rPr>
          <w:lang w:val="fr-FR"/>
        </w:rPr>
        <w:t xml:space="preserve">après les éléments du dossier de cassation, le tribunal de première instance avait envoyé </w:t>
      </w:r>
      <w:r>
        <w:rPr>
          <w:lang w:val="fr-FR"/>
        </w:rPr>
        <w:t xml:space="preserve">une notification </w:t>
      </w:r>
      <w:r w:rsidRPr="008450E1">
        <w:rPr>
          <w:lang w:val="fr-FR"/>
        </w:rPr>
        <w:t>à la maison d</w:t>
      </w:r>
      <w:r>
        <w:rPr>
          <w:lang w:val="fr-FR"/>
        </w:rPr>
        <w:t>’</w:t>
      </w:r>
      <w:r w:rsidRPr="008450E1">
        <w:rPr>
          <w:lang w:val="fr-FR"/>
        </w:rPr>
        <w:t>arrêt dans laquelle l</w:t>
      </w:r>
      <w:r>
        <w:rPr>
          <w:lang w:val="fr-FR"/>
        </w:rPr>
        <w:t>’</w:t>
      </w:r>
      <w:r w:rsidRPr="008450E1">
        <w:rPr>
          <w:lang w:val="fr-FR"/>
        </w:rPr>
        <w:t>auteur était détenu à l</w:t>
      </w:r>
      <w:r>
        <w:rPr>
          <w:lang w:val="fr-FR"/>
        </w:rPr>
        <w:t>’</w:t>
      </w:r>
      <w:r w:rsidRPr="008450E1">
        <w:rPr>
          <w:lang w:val="fr-FR"/>
        </w:rPr>
        <w:t>époque</w:t>
      </w:r>
      <w:r w:rsidR="000E54C5" w:rsidRPr="000E54C5">
        <w:rPr>
          <w:lang w:val="fr-FR"/>
        </w:rPr>
        <w:t>.</w:t>
      </w:r>
      <w:r>
        <w:rPr>
          <w:lang w:val="fr-FR"/>
        </w:rPr>
        <w:t xml:space="preserve"> Cette </w:t>
      </w:r>
      <w:r w:rsidRPr="008450E1">
        <w:rPr>
          <w:lang w:val="fr-FR"/>
        </w:rPr>
        <w:t xml:space="preserve">notification </w:t>
      </w:r>
      <w:r>
        <w:rPr>
          <w:lang w:val="fr-FR"/>
        </w:rPr>
        <w:t>contenait des informations relatives à</w:t>
      </w:r>
      <w:r w:rsidRPr="008450E1">
        <w:rPr>
          <w:lang w:val="fr-FR"/>
        </w:rPr>
        <w:t xml:space="preserve"> la transmission du dossier de l</w:t>
      </w:r>
      <w:r>
        <w:rPr>
          <w:lang w:val="fr-FR"/>
        </w:rPr>
        <w:t>’</w:t>
      </w:r>
      <w:r w:rsidRPr="008450E1">
        <w:rPr>
          <w:lang w:val="fr-FR"/>
        </w:rPr>
        <w:t>affaire concernant l</w:t>
      </w:r>
      <w:r>
        <w:rPr>
          <w:lang w:val="fr-FR"/>
        </w:rPr>
        <w:t>’</w:t>
      </w:r>
      <w:r w:rsidRPr="008450E1">
        <w:rPr>
          <w:lang w:val="fr-FR"/>
        </w:rPr>
        <w:t xml:space="preserve">auteur, ainsi que </w:t>
      </w:r>
      <w:r>
        <w:rPr>
          <w:lang w:val="fr-FR"/>
        </w:rPr>
        <w:t>d</w:t>
      </w:r>
      <w:r w:rsidRPr="008450E1">
        <w:rPr>
          <w:lang w:val="fr-FR"/>
        </w:rPr>
        <w:t>es recours en cassation formés par les personnes condamnées et leurs avocats, pour une audience devant la Chambre juridictionnelle de la Cour suprême</w:t>
      </w:r>
      <w:r w:rsidR="000E54C5" w:rsidRPr="000E54C5">
        <w:rPr>
          <w:lang w:val="fr-FR"/>
        </w:rPr>
        <w:t>.</w:t>
      </w:r>
      <w:bookmarkEnd w:id="2"/>
      <w:r w:rsidRPr="008450E1">
        <w:rPr>
          <w:lang w:val="fr-FR"/>
        </w:rPr>
        <w:t xml:space="preserve"> Le 15 mars 2013, l</w:t>
      </w:r>
      <w:r>
        <w:rPr>
          <w:lang w:val="fr-FR"/>
        </w:rPr>
        <w:t>’</w:t>
      </w:r>
      <w:r w:rsidRPr="008450E1">
        <w:rPr>
          <w:lang w:val="fr-FR"/>
        </w:rPr>
        <w:t>auteur a demandé au responsable de la maison d</w:t>
      </w:r>
      <w:r>
        <w:rPr>
          <w:lang w:val="fr-FR"/>
        </w:rPr>
        <w:t>’</w:t>
      </w:r>
      <w:r w:rsidRPr="008450E1">
        <w:rPr>
          <w:lang w:val="fr-FR"/>
        </w:rPr>
        <w:t>arrêt en question de lui indiquer si cette notification était consignée dans son dossier personnel</w:t>
      </w:r>
      <w:r w:rsidR="000E54C5" w:rsidRPr="000E54C5">
        <w:rPr>
          <w:lang w:val="fr-FR"/>
        </w:rPr>
        <w:t>.</w:t>
      </w:r>
      <w:r w:rsidRPr="008450E1">
        <w:rPr>
          <w:lang w:val="fr-FR"/>
        </w:rPr>
        <w:t xml:space="preserve"> À une date non précisée, ce responsable a informé l</w:t>
      </w:r>
      <w:r>
        <w:rPr>
          <w:lang w:val="fr-FR"/>
        </w:rPr>
        <w:t>’</w:t>
      </w:r>
      <w:r w:rsidRPr="008450E1">
        <w:rPr>
          <w:lang w:val="fr-FR"/>
        </w:rPr>
        <w:t xml:space="preserve">auteur que son dossier personnel ne contenait aucune trace de la notification envoyée par le tribunal régional de </w:t>
      </w:r>
      <w:proofErr w:type="spellStart"/>
      <w:r w:rsidRPr="008450E1">
        <w:rPr>
          <w:lang w:val="fr-FR"/>
        </w:rPr>
        <w:t>Chelyabinsk</w:t>
      </w:r>
      <w:proofErr w:type="spellEnd"/>
      <w:r w:rsidRPr="00D02AC5">
        <w:rPr>
          <w:rStyle w:val="Appelnotedebasdep"/>
        </w:rPr>
        <w:footnoteReference w:id="10"/>
      </w:r>
      <w:r w:rsidR="000E54C5" w:rsidRPr="000E54C5">
        <w:rPr>
          <w:lang w:val="fr-FR"/>
        </w:rPr>
        <w:t>.</w:t>
      </w:r>
      <w:r w:rsidRPr="008450E1">
        <w:rPr>
          <w:lang w:val="fr-FR"/>
        </w:rPr>
        <w:t xml:space="preserve"> Le</w:t>
      </w:r>
      <w:r>
        <w:rPr>
          <w:lang w:val="fr-FR"/>
        </w:rPr>
        <w:t xml:space="preserve"> </w:t>
      </w:r>
      <w:r w:rsidRPr="008450E1">
        <w:rPr>
          <w:lang w:val="fr-FR"/>
        </w:rPr>
        <w:t>16 avril 2013, le Vice-Président de la Cour suprême a rejeté l</w:t>
      </w:r>
      <w:r>
        <w:rPr>
          <w:lang w:val="fr-FR"/>
        </w:rPr>
        <w:t>’</w:t>
      </w:r>
      <w:r w:rsidRPr="008450E1">
        <w:rPr>
          <w:lang w:val="fr-FR"/>
        </w:rPr>
        <w:t>appel formé par l</w:t>
      </w:r>
      <w:r>
        <w:rPr>
          <w:lang w:val="fr-FR"/>
        </w:rPr>
        <w:t>’</w:t>
      </w:r>
      <w:r w:rsidRPr="008450E1">
        <w:rPr>
          <w:lang w:val="fr-FR"/>
        </w:rPr>
        <w:t xml:space="preserve">auteur </w:t>
      </w:r>
      <w:r w:rsidRPr="008450E1">
        <w:rPr>
          <w:lang w:val="fr-FR"/>
        </w:rPr>
        <w:lastRenderedPageBreak/>
        <w:t>contre la décision rendue le 10 janvier 2013 par la Chambre juridictionnelle de la Cour suprême</w:t>
      </w:r>
      <w:r w:rsidR="000E54C5" w:rsidRPr="000E54C5">
        <w:rPr>
          <w:lang w:val="fr-FR"/>
        </w:rPr>
        <w:t>.</w:t>
      </w:r>
    </w:p>
    <w:p w14:paraId="5E916F04" w14:textId="77777777" w:rsidR="00D02AC5" w:rsidRPr="008450E1" w:rsidRDefault="00D02AC5" w:rsidP="00D02AC5">
      <w:pPr>
        <w:pStyle w:val="SingleTxtG"/>
        <w:rPr>
          <w:lang w:val="fr-FR"/>
        </w:rPr>
      </w:pPr>
      <w:r w:rsidRPr="008450E1">
        <w:rPr>
          <w:lang w:val="fr-FR"/>
        </w:rPr>
        <w:t>2</w:t>
      </w:r>
      <w:r w:rsidR="000E54C5" w:rsidRPr="000E54C5">
        <w:rPr>
          <w:lang w:val="fr-FR"/>
        </w:rPr>
        <w:t>.</w:t>
      </w:r>
      <w:r w:rsidRPr="008450E1">
        <w:rPr>
          <w:lang w:val="fr-FR"/>
        </w:rPr>
        <w:t>10</w:t>
      </w:r>
      <w:r w:rsidRPr="008450E1">
        <w:rPr>
          <w:lang w:val="fr-FR"/>
        </w:rPr>
        <w:tab/>
      </w:r>
      <w:r>
        <w:rPr>
          <w:lang w:val="fr-FR"/>
        </w:rPr>
        <w:t xml:space="preserve">Le 30 juillet 2013, le Bureau du Procureur général a rejeté la nouvelle demande </w:t>
      </w:r>
      <w:r w:rsidRPr="008450E1">
        <w:rPr>
          <w:lang w:val="fr-FR"/>
        </w:rPr>
        <w:t>de l</w:t>
      </w:r>
      <w:r>
        <w:rPr>
          <w:lang w:val="fr-FR"/>
        </w:rPr>
        <w:t>’</w:t>
      </w:r>
      <w:r w:rsidRPr="008450E1">
        <w:rPr>
          <w:lang w:val="fr-FR"/>
        </w:rPr>
        <w:t>auteur tendant à obtenir un réexamen</w:t>
      </w:r>
      <w:r>
        <w:rPr>
          <w:lang w:val="fr-FR"/>
        </w:rPr>
        <w:t>,</w:t>
      </w:r>
      <w:r w:rsidRPr="008450E1">
        <w:rPr>
          <w:lang w:val="fr-FR"/>
        </w:rPr>
        <w:t xml:space="preserve"> au titre de la procédure de contrôle</w:t>
      </w:r>
      <w:r>
        <w:rPr>
          <w:lang w:val="fr-FR"/>
        </w:rPr>
        <w:t>,</w:t>
      </w:r>
      <w:r w:rsidRPr="008450E1">
        <w:rPr>
          <w:lang w:val="fr-FR"/>
        </w:rPr>
        <w:t xml:space="preserve"> de la décision rendue le 11</w:t>
      </w:r>
      <w:r>
        <w:rPr>
          <w:lang w:val="fr-FR"/>
        </w:rPr>
        <w:t> </w:t>
      </w:r>
      <w:r w:rsidRPr="008450E1">
        <w:rPr>
          <w:lang w:val="fr-FR"/>
        </w:rPr>
        <w:t>janvier 1996 par la Cour suprême</w:t>
      </w:r>
      <w:r w:rsidR="000E54C5" w:rsidRPr="000E54C5">
        <w:rPr>
          <w:lang w:val="fr-FR"/>
        </w:rPr>
        <w:t>.</w:t>
      </w:r>
      <w:r w:rsidRPr="008450E1">
        <w:rPr>
          <w:lang w:val="fr-FR"/>
        </w:rPr>
        <w:t xml:space="preserve"> L</w:t>
      </w:r>
      <w:r>
        <w:rPr>
          <w:lang w:val="fr-FR"/>
        </w:rPr>
        <w:t>’</w:t>
      </w:r>
      <w:r w:rsidRPr="008450E1">
        <w:rPr>
          <w:lang w:val="fr-FR"/>
        </w:rPr>
        <w:t>auteur a été informé que, d</w:t>
      </w:r>
      <w:r>
        <w:rPr>
          <w:lang w:val="fr-FR"/>
        </w:rPr>
        <w:t>’</w:t>
      </w:r>
      <w:r w:rsidRPr="008450E1">
        <w:rPr>
          <w:lang w:val="fr-FR"/>
        </w:rPr>
        <w:t xml:space="preserve">après les éléments du dossier </w:t>
      </w:r>
      <w:r>
        <w:rPr>
          <w:lang w:val="fr-FR"/>
        </w:rPr>
        <w:t>pénal</w:t>
      </w:r>
      <w:r w:rsidRPr="008450E1">
        <w:rPr>
          <w:lang w:val="fr-FR"/>
        </w:rPr>
        <w:t xml:space="preserve">, le tribunal de première instance avait envoyé </w:t>
      </w:r>
      <w:r>
        <w:rPr>
          <w:lang w:val="fr-FR"/>
        </w:rPr>
        <w:t xml:space="preserve">une notification à la maison </w:t>
      </w:r>
      <w:r w:rsidRPr="008450E1">
        <w:rPr>
          <w:lang w:val="fr-FR"/>
        </w:rPr>
        <w:t>d</w:t>
      </w:r>
      <w:r>
        <w:rPr>
          <w:lang w:val="fr-FR"/>
        </w:rPr>
        <w:t>’</w:t>
      </w:r>
      <w:r w:rsidRPr="008450E1">
        <w:rPr>
          <w:lang w:val="fr-FR"/>
        </w:rPr>
        <w:t>arrêt</w:t>
      </w:r>
      <w:r w:rsidR="000E54C5" w:rsidRPr="000E54C5">
        <w:rPr>
          <w:lang w:val="fr-FR"/>
        </w:rPr>
        <w:t>.</w:t>
      </w:r>
      <w:r>
        <w:rPr>
          <w:lang w:val="fr-FR"/>
        </w:rPr>
        <w:t xml:space="preserve"> Cette</w:t>
      </w:r>
      <w:r w:rsidRPr="008450E1">
        <w:rPr>
          <w:lang w:val="fr-FR"/>
        </w:rPr>
        <w:t xml:space="preserve"> notification con</w:t>
      </w:r>
      <w:r>
        <w:rPr>
          <w:lang w:val="fr-FR"/>
        </w:rPr>
        <w:t>tenait des informations relatives à</w:t>
      </w:r>
      <w:r w:rsidRPr="008450E1">
        <w:rPr>
          <w:lang w:val="fr-FR"/>
        </w:rPr>
        <w:t xml:space="preserve"> la transmission du dossier de l</w:t>
      </w:r>
      <w:r>
        <w:rPr>
          <w:lang w:val="fr-FR"/>
        </w:rPr>
        <w:t>’</w:t>
      </w:r>
      <w:r w:rsidRPr="008450E1">
        <w:rPr>
          <w:lang w:val="fr-FR"/>
        </w:rPr>
        <w:t>affaire</w:t>
      </w:r>
      <w:r>
        <w:rPr>
          <w:lang w:val="fr-FR"/>
        </w:rPr>
        <w:t xml:space="preserve"> le</w:t>
      </w:r>
      <w:r w:rsidRPr="008450E1">
        <w:rPr>
          <w:lang w:val="fr-FR"/>
        </w:rPr>
        <w:t xml:space="preserve"> concernant, ainsi que </w:t>
      </w:r>
      <w:r>
        <w:rPr>
          <w:lang w:val="fr-FR"/>
        </w:rPr>
        <w:t>d</w:t>
      </w:r>
      <w:r w:rsidRPr="008450E1">
        <w:rPr>
          <w:lang w:val="fr-FR"/>
        </w:rPr>
        <w:t>es recours en cassation, pour une audience devant la Chambre juridictionnelle de la Cour suprême</w:t>
      </w:r>
      <w:r w:rsidR="000E54C5" w:rsidRPr="000E54C5">
        <w:rPr>
          <w:lang w:val="fr-FR"/>
        </w:rPr>
        <w:t>.</w:t>
      </w:r>
      <w:r w:rsidRPr="008450E1">
        <w:rPr>
          <w:lang w:val="fr-FR"/>
        </w:rPr>
        <w:t xml:space="preserve"> Il a également été informé qu</w:t>
      </w:r>
      <w:r>
        <w:rPr>
          <w:lang w:val="fr-FR"/>
        </w:rPr>
        <w:t>’</w:t>
      </w:r>
      <w:r w:rsidRPr="008450E1">
        <w:rPr>
          <w:lang w:val="fr-FR"/>
        </w:rPr>
        <w:t>il n</w:t>
      </w:r>
      <w:r>
        <w:rPr>
          <w:lang w:val="fr-FR"/>
        </w:rPr>
        <w:t>’</w:t>
      </w:r>
      <w:r w:rsidRPr="008450E1">
        <w:rPr>
          <w:lang w:val="fr-FR"/>
        </w:rPr>
        <w:t>y avait aucune trace du fait qu</w:t>
      </w:r>
      <w:r>
        <w:rPr>
          <w:lang w:val="fr-FR"/>
        </w:rPr>
        <w:t>’</w:t>
      </w:r>
      <w:r w:rsidRPr="008450E1">
        <w:rPr>
          <w:lang w:val="fr-FR"/>
        </w:rPr>
        <w:t>il avait demandé à prendre connaissance des recours introduits par d</w:t>
      </w:r>
      <w:r>
        <w:rPr>
          <w:lang w:val="fr-FR"/>
        </w:rPr>
        <w:t>’</w:t>
      </w:r>
      <w:r w:rsidRPr="008450E1">
        <w:rPr>
          <w:lang w:val="fr-FR"/>
        </w:rPr>
        <w:t>autres parties à la procédure pénale</w:t>
      </w:r>
      <w:r w:rsidR="000E54C5" w:rsidRPr="000E54C5">
        <w:rPr>
          <w:lang w:val="fr-FR"/>
        </w:rPr>
        <w:t>.</w:t>
      </w:r>
      <w:r w:rsidRPr="008450E1">
        <w:rPr>
          <w:lang w:val="fr-FR"/>
        </w:rPr>
        <w:t xml:space="preserve"> Le 4 décembre 2013, le </w:t>
      </w:r>
      <w:r>
        <w:rPr>
          <w:lang w:val="fr-FR"/>
        </w:rPr>
        <w:t>Bureau du procureur</w:t>
      </w:r>
      <w:r w:rsidRPr="008450E1">
        <w:rPr>
          <w:lang w:val="fr-FR"/>
        </w:rPr>
        <w:t xml:space="preserve"> régional de </w:t>
      </w:r>
      <w:proofErr w:type="spellStart"/>
      <w:r w:rsidRPr="008450E1">
        <w:rPr>
          <w:lang w:val="fr-FR"/>
        </w:rPr>
        <w:t>Chelyabinsk</w:t>
      </w:r>
      <w:proofErr w:type="spellEnd"/>
      <w:r w:rsidRPr="008450E1">
        <w:rPr>
          <w:lang w:val="fr-FR"/>
        </w:rPr>
        <w:t xml:space="preserve"> a également rejeté une demande similaire de l</w:t>
      </w:r>
      <w:r>
        <w:rPr>
          <w:lang w:val="fr-FR"/>
        </w:rPr>
        <w:t>’</w:t>
      </w:r>
      <w:r w:rsidRPr="008450E1">
        <w:rPr>
          <w:lang w:val="fr-FR"/>
        </w:rPr>
        <w:t>auteur tendant à obtenir un réexamen</w:t>
      </w:r>
      <w:r>
        <w:rPr>
          <w:lang w:val="fr-FR"/>
        </w:rPr>
        <w:t>,</w:t>
      </w:r>
      <w:r w:rsidRPr="008450E1">
        <w:rPr>
          <w:lang w:val="fr-FR"/>
        </w:rPr>
        <w:t xml:space="preserve"> au titre de la procédure de contrôle</w:t>
      </w:r>
      <w:r>
        <w:rPr>
          <w:lang w:val="fr-FR"/>
        </w:rPr>
        <w:t>,</w:t>
      </w:r>
      <w:r w:rsidRPr="008450E1">
        <w:rPr>
          <w:lang w:val="fr-FR"/>
        </w:rPr>
        <w:t xml:space="preserve"> de la décision </w:t>
      </w:r>
      <w:r>
        <w:rPr>
          <w:lang w:val="fr-FR"/>
        </w:rPr>
        <w:t xml:space="preserve">susmentionnée de </w:t>
      </w:r>
      <w:r w:rsidRPr="008450E1">
        <w:rPr>
          <w:lang w:val="fr-FR"/>
        </w:rPr>
        <w:t>la Cour suprême</w:t>
      </w:r>
      <w:r w:rsidR="000E54C5" w:rsidRPr="000E54C5">
        <w:rPr>
          <w:lang w:val="fr-FR"/>
        </w:rPr>
        <w:t>.</w:t>
      </w:r>
      <w:r w:rsidRPr="008450E1">
        <w:rPr>
          <w:lang w:val="fr-FR"/>
        </w:rPr>
        <w:t xml:space="preserve"> </w:t>
      </w:r>
      <w:r>
        <w:rPr>
          <w:lang w:val="fr-FR"/>
        </w:rPr>
        <w:t>Dans la lettre de rejet émanant du Bureau du procureur, il était dit</w:t>
      </w:r>
      <w:r w:rsidRPr="008450E1">
        <w:rPr>
          <w:lang w:val="fr-FR"/>
        </w:rPr>
        <w:t>, entre autres, que l</w:t>
      </w:r>
      <w:r>
        <w:rPr>
          <w:lang w:val="fr-FR"/>
        </w:rPr>
        <w:t>’</w:t>
      </w:r>
      <w:r w:rsidRPr="008450E1">
        <w:rPr>
          <w:lang w:val="fr-FR"/>
        </w:rPr>
        <w:t>auteur avait pu présenter ses arguments dans son recours en cassation et qu</w:t>
      </w:r>
      <w:r>
        <w:rPr>
          <w:lang w:val="fr-FR"/>
        </w:rPr>
        <w:t>’</w:t>
      </w:r>
      <w:r w:rsidRPr="008450E1">
        <w:rPr>
          <w:lang w:val="fr-FR"/>
        </w:rPr>
        <w:t>il n</w:t>
      </w:r>
      <w:r>
        <w:rPr>
          <w:lang w:val="fr-FR"/>
        </w:rPr>
        <w:t>’</w:t>
      </w:r>
      <w:r w:rsidRPr="008450E1">
        <w:rPr>
          <w:lang w:val="fr-FR"/>
        </w:rPr>
        <w:t xml:space="preserve">y avait </w:t>
      </w:r>
      <w:r>
        <w:rPr>
          <w:lang w:val="fr-FR"/>
        </w:rPr>
        <w:t>aucune</w:t>
      </w:r>
      <w:r w:rsidRPr="008450E1">
        <w:rPr>
          <w:lang w:val="fr-FR"/>
        </w:rPr>
        <w:t xml:space="preserve"> contradiction entre ses arguments et ceux présentés par son avocat et ses </w:t>
      </w:r>
      <w:proofErr w:type="spellStart"/>
      <w:r w:rsidR="009B39F0">
        <w:rPr>
          <w:lang w:val="fr-FR"/>
        </w:rPr>
        <w:t>coaccusé</w:t>
      </w:r>
      <w:r w:rsidRPr="008450E1">
        <w:rPr>
          <w:lang w:val="fr-FR"/>
        </w:rPr>
        <w:t>s</w:t>
      </w:r>
      <w:proofErr w:type="spellEnd"/>
      <w:r w:rsidRPr="008450E1">
        <w:rPr>
          <w:lang w:val="fr-FR"/>
        </w:rPr>
        <w:t xml:space="preserve"> dans leurs recours en cassation respectifs</w:t>
      </w:r>
      <w:r w:rsidR="000E54C5" w:rsidRPr="000E54C5">
        <w:rPr>
          <w:lang w:val="fr-FR"/>
        </w:rPr>
        <w:t>.</w:t>
      </w:r>
    </w:p>
    <w:p w14:paraId="0C5CE6D1" w14:textId="77777777" w:rsidR="00D02AC5" w:rsidRPr="008450E1" w:rsidRDefault="00D02AC5" w:rsidP="00D02AC5">
      <w:pPr>
        <w:pStyle w:val="SingleTxtG"/>
        <w:rPr>
          <w:lang w:val="fr-FR"/>
        </w:rPr>
      </w:pPr>
      <w:r w:rsidRPr="008450E1">
        <w:rPr>
          <w:lang w:val="fr-FR"/>
        </w:rPr>
        <w:t>2</w:t>
      </w:r>
      <w:r w:rsidR="000E54C5" w:rsidRPr="000E54C5">
        <w:rPr>
          <w:lang w:val="fr-FR"/>
        </w:rPr>
        <w:t>.</w:t>
      </w:r>
      <w:r w:rsidRPr="008450E1">
        <w:rPr>
          <w:lang w:val="fr-FR"/>
        </w:rPr>
        <w:t>11</w:t>
      </w:r>
      <w:r w:rsidRPr="008450E1">
        <w:rPr>
          <w:lang w:val="fr-FR"/>
        </w:rPr>
        <w:tab/>
        <w:t>L</w:t>
      </w:r>
      <w:r>
        <w:rPr>
          <w:lang w:val="fr-FR"/>
        </w:rPr>
        <w:t>’</w:t>
      </w:r>
      <w:r w:rsidRPr="008450E1">
        <w:rPr>
          <w:lang w:val="fr-FR"/>
        </w:rPr>
        <w:t>auteur soutient par conséquent qu</w:t>
      </w:r>
      <w:r>
        <w:rPr>
          <w:lang w:val="fr-FR"/>
        </w:rPr>
        <w:t>’</w:t>
      </w:r>
      <w:r w:rsidRPr="008450E1">
        <w:rPr>
          <w:lang w:val="fr-FR"/>
        </w:rPr>
        <w:t>il a épuisé tous les recours internes disponibles et utiles</w:t>
      </w:r>
      <w:r w:rsidR="000E54C5" w:rsidRPr="000E54C5">
        <w:rPr>
          <w:lang w:val="fr-FR"/>
        </w:rPr>
        <w:t>.</w:t>
      </w:r>
    </w:p>
    <w:p w14:paraId="630F84CA" w14:textId="77777777" w:rsidR="00D02AC5" w:rsidRPr="008450E1" w:rsidRDefault="00D02AC5" w:rsidP="00D02AC5">
      <w:pPr>
        <w:pStyle w:val="H23G"/>
        <w:rPr>
          <w:lang w:val="fr-FR"/>
        </w:rPr>
      </w:pPr>
      <w:r w:rsidRPr="008450E1">
        <w:rPr>
          <w:lang w:val="fr-FR"/>
        </w:rPr>
        <w:tab/>
      </w:r>
      <w:r w:rsidRPr="008450E1">
        <w:rPr>
          <w:lang w:val="fr-FR"/>
        </w:rPr>
        <w:tab/>
        <w:t>Teneur de la plainte</w:t>
      </w:r>
    </w:p>
    <w:p w14:paraId="6566214E" w14:textId="77777777" w:rsidR="00D02AC5" w:rsidRPr="008450E1" w:rsidRDefault="00D02AC5" w:rsidP="00D02AC5">
      <w:pPr>
        <w:pStyle w:val="SingleTxtG"/>
        <w:rPr>
          <w:lang w:val="fr-FR"/>
        </w:rPr>
      </w:pPr>
      <w:r w:rsidRPr="008450E1">
        <w:rPr>
          <w:lang w:val="fr-FR"/>
        </w:rPr>
        <w:t>3</w:t>
      </w:r>
      <w:r w:rsidR="000E54C5" w:rsidRPr="000E54C5">
        <w:rPr>
          <w:lang w:val="fr-FR"/>
        </w:rPr>
        <w:t>.</w:t>
      </w:r>
      <w:r w:rsidRPr="008450E1">
        <w:rPr>
          <w:lang w:val="fr-FR"/>
        </w:rPr>
        <w:t>1</w:t>
      </w:r>
      <w:r w:rsidRPr="008450E1">
        <w:rPr>
          <w:lang w:val="fr-FR"/>
        </w:rPr>
        <w:tab/>
        <w:t>L</w:t>
      </w:r>
      <w:r>
        <w:rPr>
          <w:lang w:val="fr-FR"/>
        </w:rPr>
        <w:t>’</w:t>
      </w:r>
      <w:r w:rsidRPr="008450E1">
        <w:rPr>
          <w:lang w:val="fr-FR"/>
        </w:rPr>
        <w:t>auteur dénonce une violation des droits qu</w:t>
      </w:r>
      <w:r>
        <w:rPr>
          <w:lang w:val="fr-FR"/>
        </w:rPr>
        <w:t>’</w:t>
      </w:r>
      <w:r w:rsidRPr="008450E1">
        <w:rPr>
          <w:lang w:val="fr-FR"/>
        </w:rPr>
        <w:t>il tient de l</w:t>
      </w:r>
      <w:r>
        <w:rPr>
          <w:lang w:val="fr-FR"/>
        </w:rPr>
        <w:t>’</w:t>
      </w:r>
      <w:r w:rsidRPr="008450E1">
        <w:rPr>
          <w:lang w:val="fr-FR"/>
        </w:rPr>
        <w:t>article 14 (par</w:t>
      </w:r>
      <w:r w:rsidR="000E54C5" w:rsidRPr="000E54C5">
        <w:rPr>
          <w:lang w:val="fr-FR"/>
        </w:rPr>
        <w:t>.</w:t>
      </w:r>
      <w:r w:rsidRPr="008450E1">
        <w:rPr>
          <w:lang w:val="fr-FR"/>
        </w:rPr>
        <w:t xml:space="preserve"> 3 b)) du Pacte parce que, contrairement à ce que prévoyait </w:t>
      </w:r>
      <w:bookmarkStart w:id="3" w:name="_Hlk30684319"/>
      <w:r w:rsidRPr="008450E1">
        <w:rPr>
          <w:lang w:val="fr-FR"/>
        </w:rPr>
        <w:t>l</w:t>
      </w:r>
      <w:r>
        <w:rPr>
          <w:lang w:val="fr-FR"/>
        </w:rPr>
        <w:t>’</w:t>
      </w:r>
      <w:r w:rsidRPr="008450E1">
        <w:rPr>
          <w:lang w:val="fr-FR"/>
        </w:rPr>
        <w:t>article</w:t>
      </w:r>
      <w:r>
        <w:rPr>
          <w:lang w:val="fr-FR"/>
        </w:rPr>
        <w:t> </w:t>
      </w:r>
      <w:r w:rsidRPr="008450E1">
        <w:rPr>
          <w:lang w:val="fr-FR"/>
        </w:rPr>
        <w:t xml:space="preserve">327 du Code de procédure pénale de 1960 </w:t>
      </w:r>
      <w:bookmarkEnd w:id="3"/>
      <w:r w:rsidRPr="008450E1">
        <w:rPr>
          <w:lang w:val="fr-FR"/>
        </w:rPr>
        <w:t>de la République socialiste fédérative soviétique de Russie</w:t>
      </w:r>
      <w:r>
        <w:rPr>
          <w:lang w:val="fr-FR"/>
        </w:rPr>
        <w:t>, qui était</w:t>
      </w:r>
      <w:r w:rsidRPr="008450E1">
        <w:rPr>
          <w:lang w:val="fr-FR"/>
        </w:rPr>
        <w:t xml:space="preserve"> en vigueur à l</w:t>
      </w:r>
      <w:r>
        <w:rPr>
          <w:lang w:val="fr-FR"/>
        </w:rPr>
        <w:t>’</w:t>
      </w:r>
      <w:r w:rsidRPr="008450E1">
        <w:rPr>
          <w:lang w:val="fr-FR"/>
        </w:rPr>
        <w:t>époque</w:t>
      </w:r>
      <w:r w:rsidRPr="00D02AC5">
        <w:rPr>
          <w:rStyle w:val="Appelnotedebasdep"/>
        </w:rPr>
        <w:footnoteReference w:id="11"/>
      </w:r>
      <w:r w:rsidRPr="008450E1">
        <w:rPr>
          <w:lang w:val="fr-FR"/>
        </w:rPr>
        <w:t xml:space="preserve">, le tribunal régional de </w:t>
      </w:r>
      <w:proofErr w:type="spellStart"/>
      <w:r w:rsidRPr="008450E1">
        <w:rPr>
          <w:lang w:val="fr-FR"/>
        </w:rPr>
        <w:t>Chelyabinsk</w:t>
      </w:r>
      <w:proofErr w:type="spellEnd"/>
      <w:r w:rsidRPr="008450E1">
        <w:rPr>
          <w:lang w:val="fr-FR"/>
        </w:rPr>
        <w:t xml:space="preserve"> ne l</w:t>
      </w:r>
      <w:r>
        <w:rPr>
          <w:lang w:val="fr-FR"/>
        </w:rPr>
        <w:t>’</w:t>
      </w:r>
      <w:r w:rsidRPr="008450E1">
        <w:rPr>
          <w:lang w:val="fr-FR"/>
        </w:rPr>
        <w:t>a pas informé du fait que d</w:t>
      </w:r>
      <w:r>
        <w:rPr>
          <w:lang w:val="fr-FR"/>
        </w:rPr>
        <w:t>’</w:t>
      </w:r>
      <w:r w:rsidRPr="008450E1">
        <w:rPr>
          <w:lang w:val="fr-FR"/>
        </w:rPr>
        <w:t>autres parties à la procédure pénale, dont son avocat, A</w:t>
      </w:r>
      <w:r w:rsidR="000E54C5" w:rsidRPr="000E54C5">
        <w:rPr>
          <w:lang w:val="fr-FR"/>
        </w:rPr>
        <w:t>.</w:t>
      </w:r>
      <w:r w:rsidRPr="008450E1">
        <w:rPr>
          <w:lang w:val="fr-FR"/>
        </w:rPr>
        <w:t xml:space="preserve">, et ses </w:t>
      </w:r>
      <w:proofErr w:type="spellStart"/>
      <w:r w:rsidR="009B39F0">
        <w:rPr>
          <w:lang w:val="fr-FR"/>
        </w:rPr>
        <w:t>coaccusé</w:t>
      </w:r>
      <w:r w:rsidRPr="008450E1">
        <w:rPr>
          <w:lang w:val="fr-FR"/>
        </w:rPr>
        <w:t>s</w:t>
      </w:r>
      <w:proofErr w:type="spellEnd"/>
      <w:r w:rsidRPr="008450E1">
        <w:rPr>
          <w:lang w:val="fr-FR"/>
        </w:rPr>
        <w:t>, avaient formé des recours en cassation à l</w:t>
      </w:r>
      <w:r>
        <w:rPr>
          <w:lang w:val="fr-FR"/>
        </w:rPr>
        <w:t>’</w:t>
      </w:r>
      <w:r w:rsidRPr="008450E1">
        <w:rPr>
          <w:lang w:val="fr-FR"/>
        </w:rPr>
        <w:t xml:space="preserve">époque à laquelle son affaire pénale était mise en état pour être entendue par la Chambre juridictionnelle de la Cour suprême, siégeant en tant que </w:t>
      </w:r>
      <w:r>
        <w:rPr>
          <w:lang w:val="fr-FR"/>
        </w:rPr>
        <w:t>Cour de cassation</w:t>
      </w:r>
      <w:r w:rsidR="000E54C5" w:rsidRPr="000E54C5">
        <w:rPr>
          <w:lang w:val="fr-FR"/>
        </w:rPr>
        <w:t>.</w:t>
      </w:r>
      <w:r w:rsidRPr="008450E1">
        <w:rPr>
          <w:lang w:val="fr-FR"/>
        </w:rPr>
        <w:t xml:space="preserve"> Il affirme que son droit de prendre connaissance des recours en cassation soumis au tribunal régional de </w:t>
      </w:r>
      <w:proofErr w:type="spellStart"/>
      <w:r w:rsidRPr="008450E1">
        <w:rPr>
          <w:lang w:val="fr-FR"/>
        </w:rPr>
        <w:t>Chelyabinsk</w:t>
      </w:r>
      <w:proofErr w:type="spellEnd"/>
      <w:r w:rsidRPr="008450E1">
        <w:rPr>
          <w:lang w:val="fr-FR"/>
        </w:rPr>
        <w:t xml:space="preserve"> par d</w:t>
      </w:r>
      <w:r>
        <w:rPr>
          <w:lang w:val="fr-FR"/>
        </w:rPr>
        <w:t>’</w:t>
      </w:r>
      <w:r w:rsidRPr="008450E1">
        <w:rPr>
          <w:lang w:val="fr-FR"/>
        </w:rPr>
        <w:t>autres parties à la procédure pénale a été violé, ce qui l</w:t>
      </w:r>
      <w:r>
        <w:rPr>
          <w:lang w:val="fr-FR"/>
        </w:rPr>
        <w:t>’</w:t>
      </w:r>
      <w:r w:rsidRPr="008450E1">
        <w:rPr>
          <w:lang w:val="fr-FR"/>
        </w:rPr>
        <w:t>a effectivement privé de la possibilité de présenter des contre-arguments, des précisions supplémentaires et/ou des demandes concernant la procédure</w:t>
      </w:r>
      <w:r w:rsidR="000E54C5" w:rsidRPr="000E54C5">
        <w:rPr>
          <w:lang w:val="fr-FR"/>
        </w:rPr>
        <w:t>.</w:t>
      </w:r>
      <w:r w:rsidRPr="008450E1">
        <w:rPr>
          <w:lang w:val="fr-FR"/>
        </w:rPr>
        <w:t xml:space="preserve"> Il invoque sur ce point l</w:t>
      </w:r>
      <w:r>
        <w:rPr>
          <w:lang w:val="fr-FR"/>
        </w:rPr>
        <w:t>’</w:t>
      </w:r>
      <w:r w:rsidRPr="008450E1">
        <w:rPr>
          <w:lang w:val="fr-FR"/>
        </w:rPr>
        <w:t>article 19 du Code de procédure pénale de 1960 (garantissant au suspect et à l</w:t>
      </w:r>
      <w:r>
        <w:rPr>
          <w:lang w:val="fr-FR"/>
        </w:rPr>
        <w:t>’</w:t>
      </w:r>
      <w:r w:rsidRPr="008450E1">
        <w:rPr>
          <w:lang w:val="fr-FR"/>
        </w:rPr>
        <w:t>accusé le droit à la défense)</w:t>
      </w:r>
      <w:r w:rsidR="000E54C5" w:rsidRPr="000E54C5">
        <w:rPr>
          <w:lang w:val="fr-FR"/>
        </w:rPr>
        <w:t>.</w:t>
      </w:r>
      <w:r w:rsidRPr="008450E1">
        <w:rPr>
          <w:lang w:val="fr-FR"/>
        </w:rPr>
        <w:t xml:space="preserve"> Il ajoute que ni lui ni son avocat n</w:t>
      </w:r>
      <w:r>
        <w:rPr>
          <w:lang w:val="fr-FR"/>
        </w:rPr>
        <w:t>’</w:t>
      </w:r>
      <w:r w:rsidRPr="008450E1">
        <w:rPr>
          <w:lang w:val="fr-FR"/>
        </w:rPr>
        <w:t>étaient présent</w:t>
      </w:r>
      <w:r>
        <w:rPr>
          <w:lang w:val="fr-FR"/>
        </w:rPr>
        <w:t>s</w:t>
      </w:r>
      <w:r w:rsidRPr="008450E1">
        <w:rPr>
          <w:lang w:val="fr-FR"/>
        </w:rPr>
        <w:t xml:space="preserve"> à l</w:t>
      </w:r>
      <w:r>
        <w:rPr>
          <w:lang w:val="fr-FR"/>
        </w:rPr>
        <w:t>’</w:t>
      </w:r>
      <w:r w:rsidRPr="008450E1">
        <w:rPr>
          <w:lang w:val="fr-FR"/>
        </w:rPr>
        <w:t>audience de cassation</w:t>
      </w:r>
      <w:r w:rsidR="000E54C5" w:rsidRPr="000E54C5">
        <w:rPr>
          <w:lang w:val="fr-FR"/>
        </w:rPr>
        <w:t>.</w:t>
      </w:r>
    </w:p>
    <w:p w14:paraId="1A18AB11" w14:textId="77777777" w:rsidR="00D02AC5" w:rsidRPr="008450E1" w:rsidRDefault="00D02AC5" w:rsidP="00D02AC5">
      <w:pPr>
        <w:pStyle w:val="SingleTxtG"/>
        <w:rPr>
          <w:lang w:val="fr-FR"/>
        </w:rPr>
      </w:pPr>
      <w:r w:rsidRPr="008450E1">
        <w:rPr>
          <w:lang w:val="fr-FR"/>
        </w:rPr>
        <w:t>3</w:t>
      </w:r>
      <w:r w:rsidR="000E54C5" w:rsidRPr="000E54C5">
        <w:rPr>
          <w:lang w:val="fr-FR"/>
        </w:rPr>
        <w:t>.</w:t>
      </w:r>
      <w:r w:rsidRPr="008450E1">
        <w:rPr>
          <w:lang w:val="fr-FR"/>
        </w:rPr>
        <w:t>2</w:t>
      </w:r>
      <w:r w:rsidRPr="008450E1">
        <w:rPr>
          <w:lang w:val="fr-FR"/>
        </w:rPr>
        <w:tab/>
        <w:t>L</w:t>
      </w:r>
      <w:r>
        <w:rPr>
          <w:lang w:val="fr-FR"/>
        </w:rPr>
        <w:t>’</w:t>
      </w:r>
      <w:r w:rsidRPr="008450E1">
        <w:rPr>
          <w:lang w:val="fr-FR"/>
        </w:rPr>
        <w:t>auteur dénonce une violation des droits qu</w:t>
      </w:r>
      <w:r>
        <w:rPr>
          <w:lang w:val="fr-FR"/>
        </w:rPr>
        <w:t>’</w:t>
      </w:r>
      <w:r w:rsidRPr="008450E1">
        <w:rPr>
          <w:lang w:val="fr-FR"/>
        </w:rPr>
        <w:t>il tient de l</w:t>
      </w:r>
      <w:r>
        <w:rPr>
          <w:lang w:val="fr-FR"/>
        </w:rPr>
        <w:t>’</w:t>
      </w:r>
      <w:r w:rsidRPr="008450E1">
        <w:rPr>
          <w:lang w:val="fr-FR"/>
        </w:rPr>
        <w:t>article 14 (par</w:t>
      </w:r>
      <w:r w:rsidR="000E54C5" w:rsidRPr="000E54C5">
        <w:rPr>
          <w:lang w:val="fr-FR"/>
        </w:rPr>
        <w:t>.</w:t>
      </w:r>
      <w:r>
        <w:rPr>
          <w:lang w:val="fr-FR"/>
        </w:rPr>
        <w:t> </w:t>
      </w:r>
      <w:r w:rsidRPr="008450E1">
        <w:rPr>
          <w:lang w:val="fr-FR"/>
        </w:rPr>
        <w:t>1 et</w:t>
      </w:r>
      <w:r>
        <w:rPr>
          <w:lang w:val="fr-FR"/>
        </w:rPr>
        <w:t> </w:t>
      </w:r>
      <w:r w:rsidRPr="008450E1">
        <w:rPr>
          <w:lang w:val="fr-FR"/>
        </w:rPr>
        <w:t>5) du Pacte parce qu</w:t>
      </w:r>
      <w:r>
        <w:rPr>
          <w:lang w:val="fr-FR"/>
        </w:rPr>
        <w:t>’</w:t>
      </w:r>
      <w:r w:rsidRPr="008450E1">
        <w:rPr>
          <w:lang w:val="fr-FR"/>
        </w:rPr>
        <w:t>il a effectivement été privé du droit à un procès équitable conduit selon les principes du contradictoire et de l</w:t>
      </w:r>
      <w:r>
        <w:rPr>
          <w:lang w:val="fr-FR"/>
        </w:rPr>
        <w:t>’</w:t>
      </w:r>
      <w:r w:rsidRPr="008450E1">
        <w:rPr>
          <w:lang w:val="fr-FR"/>
        </w:rPr>
        <w:t>égalité des parties, lorsque l</w:t>
      </w:r>
      <w:r>
        <w:rPr>
          <w:lang w:val="fr-FR"/>
        </w:rPr>
        <w:t>’</w:t>
      </w:r>
      <w:r w:rsidRPr="008450E1">
        <w:rPr>
          <w:lang w:val="fr-FR"/>
        </w:rPr>
        <w:t xml:space="preserve">affaire pénale le concernant a été entendue par la Chambre juridictionnelle de la Cour suprême, siégeant en tant que </w:t>
      </w:r>
      <w:r>
        <w:rPr>
          <w:lang w:val="fr-FR"/>
        </w:rPr>
        <w:t>Cour de cassation</w:t>
      </w:r>
      <w:r w:rsidR="000E54C5" w:rsidRPr="000E54C5">
        <w:rPr>
          <w:lang w:val="fr-FR"/>
        </w:rPr>
        <w:t>.</w:t>
      </w:r>
      <w:r w:rsidRPr="008450E1">
        <w:rPr>
          <w:lang w:val="fr-FR"/>
        </w:rPr>
        <w:t xml:space="preserve"> Il soutient sur ce point que les autorités de l</w:t>
      </w:r>
      <w:r>
        <w:rPr>
          <w:lang w:val="fr-FR"/>
        </w:rPr>
        <w:t>’</w:t>
      </w:r>
      <w:r w:rsidRPr="008450E1">
        <w:rPr>
          <w:lang w:val="fr-FR"/>
        </w:rPr>
        <w:t>État partie n</w:t>
      </w:r>
      <w:r>
        <w:rPr>
          <w:lang w:val="fr-FR"/>
        </w:rPr>
        <w:t>’</w:t>
      </w:r>
      <w:r w:rsidRPr="008450E1">
        <w:rPr>
          <w:lang w:val="fr-FR"/>
        </w:rPr>
        <w:t>ont pas veillé au respect des dispositions de l</w:t>
      </w:r>
      <w:r>
        <w:rPr>
          <w:lang w:val="fr-FR"/>
        </w:rPr>
        <w:t>’</w:t>
      </w:r>
      <w:r w:rsidRPr="008450E1">
        <w:rPr>
          <w:lang w:val="fr-FR"/>
        </w:rPr>
        <w:t>article 327 du Code de procédure pénale de 1960 (voir par</w:t>
      </w:r>
      <w:r w:rsidR="000E54C5" w:rsidRPr="000E54C5">
        <w:rPr>
          <w:lang w:val="fr-FR"/>
        </w:rPr>
        <w:t>.</w:t>
      </w:r>
      <w:r w:rsidRPr="008450E1">
        <w:rPr>
          <w:lang w:val="fr-FR"/>
        </w:rPr>
        <w:t> 2</w:t>
      </w:r>
      <w:r w:rsidR="000E54C5" w:rsidRPr="000E54C5">
        <w:rPr>
          <w:lang w:val="fr-FR"/>
        </w:rPr>
        <w:t>.</w:t>
      </w:r>
      <w:r w:rsidRPr="008450E1">
        <w:rPr>
          <w:lang w:val="fr-FR"/>
        </w:rPr>
        <w:t>9 et 2</w:t>
      </w:r>
      <w:r w:rsidR="000E54C5" w:rsidRPr="000E54C5">
        <w:rPr>
          <w:lang w:val="fr-FR"/>
        </w:rPr>
        <w:t>.</w:t>
      </w:r>
      <w:r w:rsidRPr="008450E1">
        <w:rPr>
          <w:lang w:val="fr-FR"/>
        </w:rPr>
        <w:t>10 ci-dessus)</w:t>
      </w:r>
      <w:r w:rsidR="000E54C5" w:rsidRPr="000E54C5">
        <w:rPr>
          <w:lang w:val="fr-FR"/>
        </w:rPr>
        <w:t>.</w:t>
      </w:r>
    </w:p>
    <w:p w14:paraId="3F677D13" w14:textId="77777777" w:rsidR="00D02AC5" w:rsidRPr="008450E1" w:rsidRDefault="00D02AC5" w:rsidP="00D02AC5">
      <w:pPr>
        <w:pStyle w:val="SingleTxtG"/>
        <w:rPr>
          <w:lang w:val="fr-FR"/>
        </w:rPr>
      </w:pPr>
      <w:r w:rsidRPr="008450E1">
        <w:rPr>
          <w:lang w:val="fr-FR"/>
        </w:rPr>
        <w:lastRenderedPageBreak/>
        <w:t>3</w:t>
      </w:r>
      <w:r w:rsidR="000E54C5" w:rsidRPr="000E54C5">
        <w:rPr>
          <w:lang w:val="fr-FR"/>
        </w:rPr>
        <w:t>.</w:t>
      </w:r>
      <w:r w:rsidRPr="008450E1">
        <w:rPr>
          <w:lang w:val="fr-FR"/>
        </w:rPr>
        <w:t>3</w:t>
      </w:r>
      <w:r w:rsidRPr="008450E1">
        <w:rPr>
          <w:lang w:val="fr-FR"/>
        </w:rPr>
        <w:tab/>
        <w:t>L</w:t>
      </w:r>
      <w:r>
        <w:rPr>
          <w:lang w:val="fr-FR"/>
        </w:rPr>
        <w:t>’</w:t>
      </w:r>
      <w:r w:rsidRPr="008450E1">
        <w:rPr>
          <w:lang w:val="fr-FR"/>
        </w:rPr>
        <w:t>auteur soutient que, en violation des articles 14 (par</w:t>
      </w:r>
      <w:r w:rsidR="000E54C5" w:rsidRPr="000E54C5">
        <w:rPr>
          <w:lang w:val="fr-FR"/>
        </w:rPr>
        <w:t>.</w:t>
      </w:r>
      <w:r w:rsidRPr="008450E1">
        <w:rPr>
          <w:lang w:val="fr-FR"/>
        </w:rPr>
        <w:t> 1) et 15 (par</w:t>
      </w:r>
      <w:r w:rsidR="000E54C5" w:rsidRPr="000E54C5">
        <w:rPr>
          <w:lang w:val="fr-FR"/>
        </w:rPr>
        <w:t>.</w:t>
      </w:r>
      <w:r w:rsidRPr="008450E1">
        <w:rPr>
          <w:lang w:val="fr-FR"/>
        </w:rPr>
        <w:t xml:space="preserve"> 1) du Pacte, sa </w:t>
      </w:r>
      <w:r>
        <w:rPr>
          <w:lang w:val="fr-FR"/>
        </w:rPr>
        <w:t>condamnation</w:t>
      </w:r>
      <w:r w:rsidRPr="008450E1">
        <w:rPr>
          <w:lang w:val="fr-FR"/>
        </w:rPr>
        <w:t xml:space="preserve"> n</w:t>
      </w:r>
      <w:r>
        <w:rPr>
          <w:lang w:val="fr-FR"/>
        </w:rPr>
        <w:t>’</w:t>
      </w:r>
      <w:r w:rsidRPr="008450E1">
        <w:rPr>
          <w:lang w:val="fr-FR"/>
        </w:rPr>
        <w:t xml:space="preserve">a pas été mise en totale conformité avec la nouvelle </w:t>
      </w:r>
      <w:r>
        <w:rPr>
          <w:lang w:val="fr-FR"/>
        </w:rPr>
        <w:t>loi</w:t>
      </w:r>
      <w:r w:rsidRPr="008450E1">
        <w:rPr>
          <w:lang w:val="fr-FR"/>
        </w:rPr>
        <w:t xml:space="preserve"> pénale</w:t>
      </w:r>
      <w:r w:rsidR="000E54C5" w:rsidRPr="000E54C5">
        <w:rPr>
          <w:lang w:val="fr-FR"/>
        </w:rPr>
        <w:t>.</w:t>
      </w:r>
      <w:r w:rsidRPr="008450E1">
        <w:rPr>
          <w:lang w:val="fr-FR"/>
        </w:rPr>
        <w:t xml:space="preserve"> Il dit que le tribunal régional de </w:t>
      </w:r>
      <w:proofErr w:type="spellStart"/>
      <w:r w:rsidRPr="008450E1">
        <w:rPr>
          <w:lang w:val="fr-FR"/>
        </w:rPr>
        <w:t>Chelyabinsk</w:t>
      </w:r>
      <w:proofErr w:type="spellEnd"/>
      <w:r w:rsidRPr="008450E1">
        <w:rPr>
          <w:lang w:val="fr-FR"/>
        </w:rPr>
        <w:t xml:space="preserve"> a fondé sa décision initiale de </w:t>
      </w:r>
      <w:r>
        <w:rPr>
          <w:lang w:val="fr-FR"/>
        </w:rPr>
        <w:t xml:space="preserve">le </w:t>
      </w:r>
      <w:r w:rsidRPr="008450E1">
        <w:rPr>
          <w:lang w:val="fr-FR"/>
        </w:rPr>
        <w:t xml:space="preserve">condamner à la peine de mort sur le fait </w:t>
      </w:r>
      <w:r>
        <w:rPr>
          <w:lang w:val="fr-FR"/>
        </w:rPr>
        <w:t>qu’il</w:t>
      </w:r>
      <w:r w:rsidRPr="008450E1">
        <w:rPr>
          <w:lang w:val="fr-FR"/>
        </w:rPr>
        <w:t xml:space="preserve"> avait </w:t>
      </w:r>
      <w:r>
        <w:rPr>
          <w:lang w:val="fr-FR"/>
        </w:rPr>
        <w:t xml:space="preserve">alors </w:t>
      </w:r>
      <w:r w:rsidRPr="008450E1">
        <w:rPr>
          <w:lang w:val="fr-FR"/>
        </w:rPr>
        <w:t>été déclaré récidiviste dangereux</w:t>
      </w:r>
      <w:r w:rsidR="000E54C5" w:rsidRPr="000E54C5">
        <w:rPr>
          <w:lang w:val="fr-FR"/>
        </w:rPr>
        <w:t>.</w:t>
      </w:r>
      <w:r w:rsidRPr="008450E1">
        <w:rPr>
          <w:lang w:val="fr-FR"/>
        </w:rPr>
        <w:t xml:space="preserve"> Cette mention ayant par la suite été supprimée du jugement de condamnation, sa peine devrait être </w:t>
      </w:r>
      <w:r>
        <w:rPr>
          <w:lang w:val="fr-FR"/>
        </w:rPr>
        <w:t>ramenée</w:t>
      </w:r>
      <w:r w:rsidRPr="008450E1">
        <w:rPr>
          <w:lang w:val="fr-FR"/>
        </w:rPr>
        <w:t xml:space="preserve"> à </w:t>
      </w:r>
      <w:r>
        <w:rPr>
          <w:lang w:val="fr-FR"/>
        </w:rPr>
        <w:t xml:space="preserve">quinze </w:t>
      </w:r>
      <w:r w:rsidRPr="008450E1">
        <w:rPr>
          <w:lang w:val="fr-FR"/>
        </w:rPr>
        <w:t>ans d</w:t>
      </w:r>
      <w:r>
        <w:rPr>
          <w:lang w:val="fr-FR"/>
        </w:rPr>
        <w:t>’</w:t>
      </w:r>
      <w:r w:rsidRPr="008450E1">
        <w:rPr>
          <w:lang w:val="fr-FR"/>
        </w:rPr>
        <w:t>emprisonnement, en application des dispositions de l</w:t>
      </w:r>
      <w:r>
        <w:rPr>
          <w:lang w:val="fr-FR"/>
        </w:rPr>
        <w:t>’</w:t>
      </w:r>
      <w:r w:rsidRPr="008450E1">
        <w:rPr>
          <w:lang w:val="fr-FR"/>
        </w:rPr>
        <w:t>article 54 de la Constitution de la Fédération de Russie et de l</w:t>
      </w:r>
      <w:r>
        <w:rPr>
          <w:lang w:val="fr-FR"/>
        </w:rPr>
        <w:t>’</w:t>
      </w:r>
      <w:r w:rsidRPr="008450E1">
        <w:rPr>
          <w:lang w:val="fr-FR"/>
        </w:rPr>
        <w:t>article 10 du Code pénal de 1996 (voir par</w:t>
      </w:r>
      <w:r w:rsidR="000E54C5" w:rsidRPr="000E54C5">
        <w:rPr>
          <w:lang w:val="fr-FR"/>
        </w:rPr>
        <w:t>.</w:t>
      </w:r>
      <w:r w:rsidRPr="008450E1">
        <w:rPr>
          <w:lang w:val="fr-FR"/>
        </w:rPr>
        <w:t> 2</w:t>
      </w:r>
      <w:r w:rsidR="000E54C5" w:rsidRPr="000E54C5">
        <w:rPr>
          <w:lang w:val="fr-FR"/>
        </w:rPr>
        <w:t>.</w:t>
      </w:r>
      <w:r w:rsidRPr="008450E1">
        <w:rPr>
          <w:lang w:val="fr-FR"/>
        </w:rPr>
        <w:t>4 ci-dessus)</w:t>
      </w:r>
      <w:r w:rsidR="000E54C5" w:rsidRPr="000E54C5">
        <w:rPr>
          <w:lang w:val="fr-FR"/>
        </w:rPr>
        <w:t>.</w:t>
      </w:r>
    </w:p>
    <w:p w14:paraId="003609D6" w14:textId="77777777" w:rsidR="00D02AC5" w:rsidRPr="008450E1" w:rsidRDefault="00D02AC5" w:rsidP="00D02AC5">
      <w:pPr>
        <w:pStyle w:val="SingleTxtG"/>
        <w:rPr>
          <w:lang w:val="fr-FR"/>
        </w:rPr>
      </w:pPr>
      <w:r w:rsidRPr="008450E1">
        <w:rPr>
          <w:lang w:val="fr-FR"/>
        </w:rPr>
        <w:t>3</w:t>
      </w:r>
      <w:r w:rsidR="000E54C5" w:rsidRPr="000E54C5">
        <w:rPr>
          <w:lang w:val="fr-FR"/>
        </w:rPr>
        <w:t>.</w:t>
      </w:r>
      <w:r w:rsidRPr="008450E1">
        <w:rPr>
          <w:lang w:val="fr-FR"/>
        </w:rPr>
        <w:t>4</w:t>
      </w:r>
      <w:r w:rsidRPr="008450E1">
        <w:rPr>
          <w:lang w:val="fr-FR"/>
        </w:rPr>
        <w:tab/>
        <w:t>L</w:t>
      </w:r>
      <w:r>
        <w:rPr>
          <w:lang w:val="fr-FR"/>
        </w:rPr>
        <w:t>’</w:t>
      </w:r>
      <w:r w:rsidRPr="008450E1">
        <w:rPr>
          <w:lang w:val="fr-FR"/>
        </w:rPr>
        <w:t>auteur affirme que les droits qu</w:t>
      </w:r>
      <w:r>
        <w:rPr>
          <w:lang w:val="fr-FR"/>
        </w:rPr>
        <w:t>’</w:t>
      </w:r>
      <w:r w:rsidRPr="008450E1">
        <w:rPr>
          <w:lang w:val="fr-FR"/>
        </w:rPr>
        <w:t>il tient de l</w:t>
      </w:r>
      <w:r>
        <w:rPr>
          <w:lang w:val="fr-FR"/>
        </w:rPr>
        <w:t>’</w:t>
      </w:r>
      <w:r w:rsidRPr="008450E1">
        <w:rPr>
          <w:lang w:val="fr-FR"/>
        </w:rPr>
        <w:t>article 26 du Pacte ont été violés parce que</w:t>
      </w:r>
      <w:r>
        <w:rPr>
          <w:lang w:val="fr-FR"/>
        </w:rPr>
        <w:t xml:space="preserve"> </w:t>
      </w:r>
      <w:r w:rsidRPr="008450E1">
        <w:rPr>
          <w:lang w:val="fr-FR"/>
        </w:rPr>
        <w:t>les autorités et les tribunaux de l</w:t>
      </w:r>
      <w:r>
        <w:rPr>
          <w:lang w:val="fr-FR"/>
        </w:rPr>
        <w:t>’</w:t>
      </w:r>
      <w:r w:rsidRPr="008450E1">
        <w:rPr>
          <w:lang w:val="fr-FR"/>
        </w:rPr>
        <w:t>État partie</w:t>
      </w:r>
      <w:r>
        <w:rPr>
          <w:lang w:val="fr-FR"/>
        </w:rPr>
        <w:t xml:space="preserve"> ont motivé leur </w:t>
      </w:r>
      <w:r w:rsidRPr="008450E1">
        <w:rPr>
          <w:lang w:val="fr-FR"/>
        </w:rPr>
        <w:t xml:space="preserve">refus de </w:t>
      </w:r>
      <w:r>
        <w:rPr>
          <w:lang w:val="fr-FR"/>
        </w:rPr>
        <w:t>modifier</w:t>
      </w:r>
      <w:r w:rsidRPr="008450E1">
        <w:rPr>
          <w:lang w:val="fr-FR"/>
        </w:rPr>
        <w:t xml:space="preserve"> </w:t>
      </w:r>
      <w:r>
        <w:rPr>
          <w:lang w:val="fr-FR"/>
        </w:rPr>
        <w:t>s</w:t>
      </w:r>
      <w:r w:rsidRPr="008450E1">
        <w:rPr>
          <w:lang w:val="fr-FR"/>
        </w:rPr>
        <w:t xml:space="preserve">a </w:t>
      </w:r>
      <w:r>
        <w:rPr>
          <w:lang w:val="fr-FR"/>
        </w:rPr>
        <w:t>peine</w:t>
      </w:r>
      <w:r w:rsidRPr="008450E1">
        <w:rPr>
          <w:lang w:val="fr-FR"/>
        </w:rPr>
        <w:t xml:space="preserve"> en peine d</w:t>
      </w:r>
      <w:r>
        <w:rPr>
          <w:lang w:val="fr-FR"/>
        </w:rPr>
        <w:t>’</w:t>
      </w:r>
      <w:r w:rsidRPr="008450E1">
        <w:rPr>
          <w:lang w:val="fr-FR"/>
        </w:rPr>
        <w:t xml:space="preserve">emprisonnement </w:t>
      </w:r>
      <w:r>
        <w:rPr>
          <w:lang w:val="fr-FR"/>
        </w:rPr>
        <w:t xml:space="preserve">d’une </w:t>
      </w:r>
      <w:r w:rsidRPr="008450E1">
        <w:rPr>
          <w:lang w:val="fr-FR"/>
        </w:rPr>
        <w:t>durée</w:t>
      </w:r>
      <w:r>
        <w:rPr>
          <w:lang w:val="fr-FR"/>
        </w:rPr>
        <w:t xml:space="preserve"> limitée</w:t>
      </w:r>
      <w:r w:rsidRPr="008450E1">
        <w:rPr>
          <w:lang w:val="fr-FR"/>
        </w:rPr>
        <w:t xml:space="preserve"> par le fait qu</w:t>
      </w:r>
      <w:r>
        <w:rPr>
          <w:lang w:val="fr-FR"/>
        </w:rPr>
        <w:t>’</w:t>
      </w:r>
      <w:r w:rsidRPr="008450E1">
        <w:rPr>
          <w:lang w:val="fr-FR"/>
        </w:rPr>
        <w:t>il avait été initialement condamné à mort</w:t>
      </w:r>
      <w:r>
        <w:rPr>
          <w:lang w:val="fr-FR"/>
        </w:rPr>
        <w:t xml:space="preserve"> et que</w:t>
      </w:r>
      <w:r w:rsidRPr="008450E1">
        <w:rPr>
          <w:lang w:val="fr-FR"/>
        </w:rPr>
        <w:t xml:space="preserve"> cette condamnation a</w:t>
      </w:r>
      <w:r>
        <w:rPr>
          <w:lang w:val="fr-FR"/>
        </w:rPr>
        <w:t>vai</w:t>
      </w:r>
      <w:r w:rsidRPr="008450E1">
        <w:rPr>
          <w:lang w:val="fr-FR"/>
        </w:rPr>
        <w:t xml:space="preserve">t par la suite été commuée en </w:t>
      </w:r>
      <w:r>
        <w:rPr>
          <w:lang w:val="fr-FR"/>
        </w:rPr>
        <w:t>emprisonnement</w:t>
      </w:r>
      <w:r w:rsidRPr="008450E1">
        <w:rPr>
          <w:lang w:val="fr-FR"/>
        </w:rPr>
        <w:t xml:space="preserve"> à perpétuité par un décret </w:t>
      </w:r>
      <w:r>
        <w:rPr>
          <w:lang w:val="fr-FR"/>
        </w:rPr>
        <w:t xml:space="preserve">de grâce </w:t>
      </w:r>
      <w:r w:rsidRPr="008450E1">
        <w:rPr>
          <w:lang w:val="fr-FR"/>
        </w:rPr>
        <w:t>présidentiel</w:t>
      </w:r>
      <w:r>
        <w:rPr>
          <w:lang w:val="fr-FR"/>
        </w:rPr>
        <w:t>le</w:t>
      </w:r>
      <w:r w:rsidR="000E54C5" w:rsidRPr="000E54C5">
        <w:rPr>
          <w:lang w:val="fr-FR"/>
        </w:rPr>
        <w:t>.</w:t>
      </w:r>
      <w:r w:rsidRPr="008450E1">
        <w:rPr>
          <w:lang w:val="fr-FR"/>
        </w:rPr>
        <w:t xml:space="preserve"> </w:t>
      </w:r>
      <w:r>
        <w:rPr>
          <w:lang w:val="fr-FR"/>
        </w:rPr>
        <w:t xml:space="preserve">Il </w:t>
      </w:r>
      <w:r w:rsidRPr="008450E1">
        <w:rPr>
          <w:lang w:val="fr-FR"/>
        </w:rPr>
        <w:t>soutient que ce préjugé à son égard constitue une discrimination fondée sur l</w:t>
      </w:r>
      <w:r>
        <w:rPr>
          <w:lang w:val="fr-FR"/>
        </w:rPr>
        <w:t>’</w:t>
      </w:r>
      <w:r w:rsidRPr="008450E1">
        <w:rPr>
          <w:lang w:val="fr-FR"/>
        </w:rPr>
        <w:t>origine sociale, c</w:t>
      </w:r>
      <w:r>
        <w:rPr>
          <w:lang w:val="fr-FR"/>
        </w:rPr>
        <w:t>’</w:t>
      </w:r>
      <w:r w:rsidRPr="008450E1">
        <w:rPr>
          <w:lang w:val="fr-FR"/>
        </w:rPr>
        <w:t xml:space="preserve">est-à-dire </w:t>
      </w:r>
      <w:r>
        <w:rPr>
          <w:lang w:val="fr-FR"/>
        </w:rPr>
        <w:t xml:space="preserve">sur le fait qu’il est </w:t>
      </w:r>
      <w:r w:rsidRPr="008450E1">
        <w:rPr>
          <w:lang w:val="fr-FR"/>
        </w:rPr>
        <w:t>un condamné à mort gracié</w:t>
      </w:r>
      <w:r>
        <w:rPr>
          <w:lang w:val="fr-FR"/>
        </w:rPr>
        <w:t>,</w:t>
      </w:r>
      <w:r w:rsidRPr="008450E1">
        <w:rPr>
          <w:lang w:val="fr-FR"/>
        </w:rPr>
        <w:t xml:space="preserve"> </w:t>
      </w:r>
      <w:r>
        <w:rPr>
          <w:lang w:val="fr-FR"/>
        </w:rPr>
        <w:t>bénéficiant donc</w:t>
      </w:r>
      <w:r w:rsidRPr="008450E1">
        <w:rPr>
          <w:lang w:val="fr-FR"/>
        </w:rPr>
        <w:t xml:space="preserve"> de </w:t>
      </w:r>
      <w:r>
        <w:rPr>
          <w:lang w:val="fr-FR"/>
        </w:rPr>
        <w:t xml:space="preserve">l’emprisonnement </w:t>
      </w:r>
      <w:r w:rsidRPr="008450E1">
        <w:rPr>
          <w:lang w:val="fr-FR"/>
        </w:rPr>
        <w:t xml:space="preserve">à </w:t>
      </w:r>
      <w:r>
        <w:rPr>
          <w:lang w:val="fr-FR"/>
        </w:rPr>
        <w:t>perpétuité</w:t>
      </w:r>
      <w:r w:rsidR="000E54C5" w:rsidRPr="000E54C5">
        <w:rPr>
          <w:lang w:val="fr-FR"/>
        </w:rPr>
        <w:t>.</w:t>
      </w:r>
    </w:p>
    <w:p w14:paraId="3424189B" w14:textId="77777777" w:rsidR="00D02AC5" w:rsidRPr="008450E1" w:rsidRDefault="00D02AC5" w:rsidP="00D02AC5">
      <w:pPr>
        <w:pStyle w:val="H23G"/>
        <w:rPr>
          <w:lang w:val="fr-FR"/>
        </w:rPr>
      </w:pPr>
      <w:r w:rsidRPr="008450E1">
        <w:rPr>
          <w:lang w:val="fr-FR"/>
        </w:rPr>
        <w:tab/>
      </w:r>
      <w:r w:rsidRPr="008450E1">
        <w:rPr>
          <w:lang w:val="fr-FR"/>
        </w:rPr>
        <w:tab/>
        <w:t>Observations de l</w:t>
      </w:r>
      <w:r>
        <w:rPr>
          <w:lang w:val="fr-FR"/>
        </w:rPr>
        <w:t>’</w:t>
      </w:r>
      <w:r w:rsidRPr="008450E1">
        <w:rPr>
          <w:lang w:val="fr-FR"/>
        </w:rPr>
        <w:t>État partie sur la recevabilité et sur le fond</w:t>
      </w:r>
    </w:p>
    <w:p w14:paraId="67D0BF2F" w14:textId="77777777" w:rsidR="00D02AC5" w:rsidRPr="008450E1" w:rsidRDefault="00D02AC5" w:rsidP="00D02AC5">
      <w:pPr>
        <w:pStyle w:val="SingleTxtG"/>
        <w:rPr>
          <w:lang w:val="fr-FR"/>
        </w:rPr>
      </w:pPr>
      <w:r w:rsidRPr="008450E1">
        <w:rPr>
          <w:lang w:val="fr-FR"/>
        </w:rPr>
        <w:t>4</w:t>
      </w:r>
      <w:r w:rsidR="000E54C5" w:rsidRPr="000E54C5">
        <w:rPr>
          <w:lang w:val="fr-FR"/>
        </w:rPr>
        <w:t>.</w:t>
      </w:r>
      <w:r w:rsidRPr="008450E1">
        <w:rPr>
          <w:lang w:val="fr-FR"/>
        </w:rPr>
        <w:t>1</w:t>
      </w:r>
      <w:r w:rsidRPr="008450E1">
        <w:rPr>
          <w:lang w:val="fr-FR"/>
        </w:rPr>
        <w:tab/>
        <w:t>Dans une note verbale datée du 15</w:t>
      </w:r>
      <w:r>
        <w:rPr>
          <w:lang w:val="fr-FR"/>
        </w:rPr>
        <w:t> </w:t>
      </w:r>
      <w:r w:rsidRPr="008450E1">
        <w:rPr>
          <w:lang w:val="fr-FR"/>
        </w:rPr>
        <w:t>juillet 2015, l</w:t>
      </w:r>
      <w:r>
        <w:rPr>
          <w:lang w:val="fr-FR"/>
        </w:rPr>
        <w:t>’</w:t>
      </w:r>
      <w:r w:rsidRPr="008450E1">
        <w:rPr>
          <w:lang w:val="fr-FR"/>
        </w:rPr>
        <w:t>État partie a présenté ses observations sur la recevabilité et sur le fond</w:t>
      </w:r>
      <w:r w:rsidR="000E54C5" w:rsidRPr="000E54C5">
        <w:rPr>
          <w:lang w:val="fr-FR"/>
        </w:rPr>
        <w:t>.</w:t>
      </w:r>
      <w:r w:rsidRPr="008450E1">
        <w:rPr>
          <w:lang w:val="fr-FR"/>
        </w:rPr>
        <w:t xml:space="preserve"> I</w:t>
      </w:r>
      <w:r>
        <w:rPr>
          <w:lang w:val="fr-FR"/>
        </w:rPr>
        <w:t>l</w:t>
      </w:r>
      <w:r w:rsidRPr="008450E1">
        <w:rPr>
          <w:lang w:val="fr-FR"/>
        </w:rPr>
        <w:t xml:space="preserve"> fournit une liste de décisions judiciaires </w:t>
      </w:r>
      <w:r>
        <w:rPr>
          <w:lang w:val="fr-FR"/>
        </w:rPr>
        <w:t>relatives à</w:t>
      </w:r>
      <w:r w:rsidRPr="008450E1">
        <w:rPr>
          <w:lang w:val="fr-FR"/>
        </w:rPr>
        <w:t xml:space="preserve"> l</w:t>
      </w:r>
      <w:r>
        <w:rPr>
          <w:lang w:val="fr-FR"/>
        </w:rPr>
        <w:t>’</w:t>
      </w:r>
      <w:r w:rsidRPr="008450E1">
        <w:rPr>
          <w:lang w:val="fr-FR"/>
        </w:rPr>
        <w:t>auteur (voir par</w:t>
      </w:r>
      <w:r w:rsidR="000E54C5" w:rsidRPr="000E54C5">
        <w:rPr>
          <w:lang w:val="fr-FR"/>
        </w:rPr>
        <w:t>.</w:t>
      </w:r>
      <w:r w:rsidRPr="008450E1">
        <w:rPr>
          <w:lang w:val="fr-FR"/>
        </w:rPr>
        <w:t> 2</w:t>
      </w:r>
      <w:r w:rsidR="000E54C5" w:rsidRPr="000E54C5">
        <w:rPr>
          <w:lang w:val="fr-FR"/>
        </w:rPr>
        <w:t>.</w:t>
      </w:r>
      <w:r w:rsidRPr="008450E1">
        <w:rPr>
          <w:lang w:val="fr-FR"/>
        </w:rPr>
        <w:t>1 à 2</w:t>
      </w:r>
      <w:r w:rsidR="000E54C5" w:rsidRPr="000E54C5">
        <w:rPr>
          <w:lang w:val="fr-FR"/>
        </w:rPr>
        <w:t>.</w:t>
      </w:r>
      <w:r w:rsidRPr="008450E1">
        <w:rPr>
          <w:lang w:val="fr-FR"/>
        </w:rPr>
        <w:t>6 ci-dessus) et soutient que la communication constitue un abus du droit de présenter des communications, parce qu</w:t>
      </w:r>
      <w:r>
        <w:rPr>
          <w:lang w:val="fr-FR"/>
        </w:rPr>
        <w:t>’</w:t>
      </w:r>
      <w:r w:rsidRPr="008450E1">
        <w:rPr>
          <w:lang w:val="fr-FR"/>
        </w:rPr>
        <w:t xml:space="preserve">elle a </w:t>
      </w:r>
      <w:r>
        <w:rPr>
          <w:lang w:val="fr-FR"/>
        </w:rPr>
        <w:t xml:space="preserve">pour la première fois </w:t>
      </w:r>
      <w:r w:rsidRPr="008450E1">
        <w:rPr>
          <w:lang w:val="fr-FR"/>
        </w:rPr>
        <w:t xml:space="preserve">été présentée au Comité en </w:t>
      </w:r>
      <w:r>
        <w:rPr>
          <w:lang w:val="fr-FR"/>
        </w:rPr>
        <w:t xml:space="preserve">mai </w:t>
      </w:r>
      <w:r w:rsidRPr="008450E1">
        <w:rPr>
          <w:lang w:val="fr-FR"/>
        </w:rPr>
        <w:t xml:space="preserve">2014, soit plus de </w:t>
      </w:r>
      <w:r>
        <w:rPr>
          <w:lang w:val="fr-FR"/>
        </w:rPr>
        <w:t xml:space="preserve">dix-huit </w:t>
      </w:r>
      <w:r w:rsidRPr="008450E1">
        <w:rPr>
          <w:lang w:val="fr-FR"/>
        </w:rPr>
        <w:t xml:space="preserve">ans après que la </w:t>
      </w:r>
      <w:r>
        <w:rPr>
          <w:lang w:val="fr-FR"/>
        </w:rPr>
        <w:t>condamnation</w:t>
      </w:r>
      <w:r w:rsidRPr="008450E1">
        <w:rPr>
          <w:lang w:val="fr-FR"/>
        </w:rPr>
        <w:t xml:space="preserve"> ne devienne exécutoire, en application de la décision rendue le 11 janvier 1996 par la Cour suprême</w:t>
      </w:r>
      <w:r w:rsidR="000E54C5" w:rsidRPr="000E54C5">
        <w:rPr>
          <w:lang w:val="fr-FR"/>
        </w:rPr>
        <w:t>.</w:t>
      </w:r>
      <w:r w:rsidRPr="008450E1">
        <w:rPr>
          <w:lang w:val="fr-FR"/>
        </w:rPr>
        <w:t xml:space="preserve"> L</w:t>
      </w:r>
      <w:r>
        <w:rPr>
          <w:lang w:val="fr-FR"/>
        </w:rPr>
        <w:t>’</w:t>
      </w:r>
      <w:r w:rsidRPr="008450E1">
        <w:rPr>
          <w:lang w:val="fr-FR"/>
        </w:rPr>
        <w:t>État partie déclare dès lors qu</w:t>
      </w:r>
      <w:r>
        <w:rPr>
          <w:lang w:val="fr-FR"/>
        </w:rPr>
        <w:t>’</w:t>
      </w:r>
      <w:r w:rsidRPr="008450E1">
        <w:rPr>
          <w:lang w:val="fr-FR"/>
        </w:rPr>
        <w:t>en l</w:t>
      </w:r>
      <w:r>
        <w:rPr>
          <w:lang w:val="fr-FR"/>
        </w:rPr>
        <w:t>’</w:t>
      </w:r>
      <w:r w:rsidRPr="008450E1">
        <w:rPr>
          <w:lang w:val="fr-FR"/>
        </w:rPr>
        <w:t>absence de toute circonstance justifiant une soumission aussi tardive, le grief que l</w:t>
      </w:r>
      <w:r>
        <w:rPr>
          <w:lang w:val="fr-FR"/>
        </w:rPr>
        <w:t>’</w:t>
      </w:r>
      <w:r w:rsidRPr="008450E1">
        <w:rPr>
          <w:lang w:val="fr-FR"/>
        </w:rPr>
        <w:t>auteur tire de l</w:t>
      </w:r>
      <w:r>
        <w:rPr>
          <w:lang w:val="fr-FR"/>
        </w:rPr>
        <w:t>’</w:t>
      </w:r>
      <w:r w:rsidRPr="008450E1">
        <w:rPr>
          <w:lang w:val="fr-FR"/>
        </w:rPr>
        <w:t>article 14 (par</w:t>
      </w:r>
      <w:r w:rsidR="000E54C5" w:rsidRPr="000E54C5">
        <w:rPr>
          <w:lang w:val="fr-FR"/>
        </w:rPr>
        <w:t>.</w:t>
      </w:r>
      <w:r w:rsidRPr="008450E1">
        <w:rPr>
          <w:lang w:val="fr-FR"/>
        </w:rPr>
        <w:t> 3) du Pacte devrait être déclaré irrecevable au regard de l</w:t>
      </w:r>
      <w:r>
        <w:rPr>
          <w:lang w:val="fr-FR"/>
        </w:rPr>
        <w:t>’</w:t>
      </w:r>
      <w:r w:rsidRPr="008450E1">
        <w:rPr>
          <w:lang w:val="fr-FR"/>
        </w:rPr>
        <w:t xml:space="preserve">article 3 du Protocole facultatif, </w:t>
      </w:r>
      <w:r>
        <w:rPr>
          <w:lang w:val="fr-FR"/>
        </w:rPr>
        <w:t>en ce qu’il constitue</w:t>
      </w:r>
      <w:r w:rsidRPr="008450E1">
        <w:rPr>
          <w:lang w:val="fr-FR"/>
        </w:rPr>
        <w:t xml:space="preserve"> un abus du droit de présenter des communications</w:t>
      </w:r>
      <w:r w:rsidR="000E54C5" w:rsidRPr="000E54C5">
        <w:rPr>
          <w:lang w:val="fr-FR"/>
        </w:rPr>
        <w:t>.</w:t>
      </w:r>
    </w:p>
    <w:p w14:paraId="4E43643C" w14:textId="77777777" w:rsidR="00D02AC5" w:rsidRPr="008450E1" w:rsidRDefault="00D02AC5" w:rsidP="00D02AC5">
      <w:pPr>
        <w:pStyle w:val="SingleTxtG"/>
        <w:rPr>
          <w:lang w:val="fr-FR"/>
        </w:rPr>
      </w:pPr>
      <w:r w:rsidRPr="008450E1">
        <w:rPr>
          <w:lang w:val="fr-FR"/>
        </w:rPr>
        <w:t>4</w:t>
      </w:r>
      <w:r w:rsidR="000E54C5" w:rsidRPr="000E54C5">
        <w:rPr>
          <w:lang w:val="fr-FR"/>
        </w:rPr>
        <w:t>.</w:t>
      </w:r>
      <w:r w:rsidRPr="008450E1">
        <w:rPr>
          <w:lang w:val="fr-FR"/>
        </w:rPr>
        <w:t>2</w:t>
      </w:r>
      <w:r w:rsidRPr="008450E1">
        <w:rPr>
          <w:lang w:val="fr-FR"/>
        </w:rPr>
        <w:tab/>
        <w:t>Se référant au paragraphe 9 de l</w:t>
      </w:r>
      <w:r>
        <w:rPr>
          <w:lang w:val="fr-FR"/>
        </w:rPr>
        <w:t>’o</w:t>
      </w:r>
      <w:r w:rsidRPr="008450E1">
        <w:rPr>
          <w:lang w:val="fr-FR"/>
        </w:rPr>
        <w:t>bservation générale n</w:t>
      </w:r>
      <w:r w:rsidRPr="008450E1">
        <w:rPr>
          <w:vertAlign w:val="superscript"/>
          <w:lang w:val="fr-FR"/>
        </w:rPr>
        <w:t>o</w:t>
      </w:r>
      <w:r>
        <w:rPr>
          <w:lang w:val="fr-FR"/>
        </w:rPr>
        <w:t> </w:t>
      </w:r>
      <w:r w:rsidRPr="008450E1">
        <w:rPr>
          <w:lang w:val="fr-FR"/>
        </w:rPr>
        <w:t xml:space="preserve">32 </w:t>
      </w:r>
      <w:r>
        <w:rPr>
          <w:lang w:val="fr-FR"/>
        </w:rPr>
        <w:t>(2007) sur le droit</w:t>
      </w:r>
      <w:r w:rsidRPr="008450E1">
        <w:rPr>
          <w:lang w:val="fr-FR"/>
        </w:rPr>
        <w:t xml:space="preserve"> à l</w:t>
      </w:r>
      <w:r>
        <w:rPr>
          <w:lang w:val="fr-FR"/>
        </w:rPr>
        <w:t>’</w:t>
      </w:r>
      <w:r w:rsidRPr="008450E1">
        <w:rPr>
          <w:lang w:val="fr-FR"/>
        </w:rPr>
        <w:t>égalité devant les tribunaux et les cours de justice et à un procès équitable, l</w:t>
      </w:r>
      <w:r>
        <w:rPr>
          <w:lang w:val="fr-FR"/>
        </w:rPr>
        <w:t>’</w:t>
      </w:r>
      <w:r w:rsidRPr="008450E1">
        <w:rPr>
          <w:lang w:val="fr-FR"/>
        </w:rPr>
        <w:t>État partie soutient que la révision d</w:t>
      </w:r>
      <w:r>
        <w:rPr>
          <w:lang w:val="fr-FR"/>
        </w:rPr>
        <w:t>’</w:t>
      </w:r>
      <w:r w:rsidRPr="008450E1">
        <w:rPr>
          <w:lang w:val="fr-FR"/>
        </w:rPr>
        <w:t xml:space="preserve">une </w:t>
      </w:r>
      <w:r>
        <w:rPr>
          <w:lang w:val="fr-FR"/>
        </w:rPr>
        <w:t>condamnation</w:t>
      </w:r>
      <w:r w:rsidRPr="008450E1">
        <w:rPr>
          <w:lang w:val="fr-FR"/>
        </w:rPr>
        <w:t xml:space="preserve"> à la suite de l</w:t>
      </w:r>
      <w:r>
        <w:rPr>
          <w:lang w:val="fr-FR"/>
        </w:rPr>
        <w:t>’</w:t>
      </w:r>
      <w:r w:rsidRPr="008450E1">
        <w:rPr>
          <w:lang w:val="fr-FR"/>
        </w:rPr>
        <w:t>adoption d</w:t>
      </w:r>
      <w:r>
        <w:rPr>
          <w:lang w:val="fr-FR"/>
        </w:rPr>
        <w:t>’</w:t>
      </w:r>
      <w:r w:rsidRPr="008450E1">
        <w:rPr>
          <w:lang w:val="fr-FR"/>
        </w:rPr>
        <w:t xml:space="preserve">une nouvelle loi pénale qui prévoit une peine plus légère et a un effet rétroactif ne constitue pas une décision sur les </w:t>
      </w:r>
      <w:r>
        <w:rPr>
          <w:lang w:val="fr-FR"/>
        </w:rPr>
        <w:t>accusations</w:t>
      </w:r>
      <w:r w:rsidRPr="008450E1">
        <w:rPr>
          <w:lang w:val="fr-FR"/>
        </w:rPr>
        <w:t xml:space="preserve"> pénales ou les droits et obligations de caractère civil, au sens de l</w:t>
      </w:r>
      <w:r>
        <w:rPr>
          <w:lang w:val="fr-FR"/>
        </w:rPr>
        <w:t>’</w:t>
      </w:r>
      <w:r w:rsidRPr="008450E1">
        <w:rPr>
          <w:lang w:val="fr-FR"/>
        </w:rPr>
        <w:t>article</w:t>
      </w:r>
      <w:r>
        <w:rPr>
          <w:lang w:val="fr-FR"/>
        </w:rPr>
        <w:t> </w:t>
      </w:r>
      <w:r w:rsidRPr="008450E1">
        <w:rPr>
          <w:lang w:val="fr-FR"/>
        </w:rPr>
        <w:t>14 du Pacte</w:t>
      </w:r>
      <w:r w:rsidR="000E54C5" w:rsidRPr="000E54C5">
        <w:rPr>
          <w:lang w:val="fr-FR"/>
        </w:rPr>
        <w:t>.</w:t>
      </w:r>
      <w:r w:rsidRPr="008450E1">
        <w:rPr>
          <w:lang w:val="fr-FR"/>
        </w:rPr>
        <w:t xml:space="preserve"> De même, la procédure applicable à la révision d</w:t>
      </w:r>
      <w:r>
        <w:rPr>
          <w:lang w:val="fr-FR"/>
        </w:rPr>
        <w:t>’</w:t>
      </w:r>
      <w:r w:rsidRPr="008450E1">
        <w:rPr>
          <w:lang w:val="fr-FR"/>
        </w:rPr>
        <w:t xml:space="preserve">une </w:t>
      </w:r>
      <w:r>
        <w:rPr>
          <w:lang w:val="fr-FR"/>
        </w:rPr>
        <w:t>condamnation</w:t>
      </w:r>
      <w:r w:rsidRPr="008450E1">
        <w:rPr>
          <w:lang w:val="fr-FR"/>
        </w:rPr>
        <w:t xml:space="preserve"> à la suite de l</w:t>
      </w:r>
      <w:r>
        <w:rPr>
          <w:lang w:val="fr-FR"/>
        </w:rPr>
        <w:t>’</w:t>
      </w:r>
      <w:r w:rsidRPr="008450E1">
        <w:rPr>
          <w:lang w:val="fr-FR"/>
        </w:rPr>
        <w:t>adoption d</w:t>
      </w:r>
      <w:r>
        <w:rPr>
          <w:lang w:val="fr-FR"/>
        </w:rPr>
        <w:t>’</w:t>
      </w:r>
      <w:r w:rsidRPr="008450E1">
        <w:rPr>
          <w:lang w:val="fr-FR"/>
        </w:rPr>
        <w:t>une nouvelle loi pénale qui prévoit une peine plus légère et a un effet rétroactif ne semble pas relever de l</w:t>
      </w:r>
      <w:r>
        <w:rPr>
          <w:lang w:val="fr-FR"/>
        </w:rPr>
        <w:t>’</w:t>
      </w:r>
      <w:r w:rsidRPr="008450E1">
        <w:rPr>
          <w:lang w:val="fr-FR"/>
        </w:rPr>
        <w:t>article 15 du Pacte</w:t>
      </w:r>
      <w:r w:rsidR="000E54C5" w:rsidRPr="000E54C5">
        <w:rPr>
          <w:lang w:val="fr-FR"/>
        </w:rPr>
        <w:t>.</w:t>
      </w:r>
    </w:p>
    <w:p w14:paraId="0A693CCC" w14:textId="77777777" w:rsidR="00D02AC5" w:rsidRPr="008450E1" w:rsidRDefault="00D02AC5" w:rsidP="00D02AC5">
      <w:pPr>
        <w:pStyle w:val="SingleTxtG"/>
        <w:rPr>
          <w:lang w:val="fr-FR"/>
        </w:rPr>
      </w:pPr>
      <w:r w:rsidRPr="008450E1">
        <w:rPr>
          <w:lang w:val="fr-FR"/>
        </w:rPr>
        <w:t>4</w:t>
      </w:r>
      <w:r w:rsidR="000E54C5" w:rsidRPr="000E54C5">
        <w:rPr>
          <w:lang w:val="fr-FR"/>
        </w:rPr>
        <w:t>.</w:t>
      </w:r>
      <w:r w:rsidRPr="008450E1">
        <w:rPr>
          <w:lang w:val="fr-FR"/>
        </w:rPr>
        <w:t>3</w:t>
      </w:r>
      <w:r w:rsidRPr="008450E1">
        <w:rPr>
          <w:lang w:val="fr-FR"/>
        </w:rPr>
        <w:tab/>
        <w:t>L</w:t>
      </w:r>
      <w:r>
        <w:rPr>
          <w:lang w:val="fr-FR"/>
        </w:rPr>
        <w:t>’</w:t>
      </w:r>
      <w:r w:rsidRPr="008450E1">
        <w:rPr>
          <w:lang w:val="fr-FR"/>
        </w:rPr>
        <w:t xml:space="preserve">État partie affirme également que la révision de la </w:t>
      </w:r>
      <w:r>
        <w:rPr>
          <w:lang w:val="fr-FR"/>
        </w:rPr>
        <w:t>condamnation</w:t>
      </w:r>
      <w:r w:rsidRPr="008450E1">
        <w:rPr>
          <w:lang w:val="fr-FR"/>
        </w:rPr>
        <w:t xml:space="preserve"> de l</w:t>
      </w:r>
      <w:r>
        <w:rPr>
          <w:lang w:val="fr-FR"/>
        </w:rPr>
        <w:t>’</w:t>
      </w:r>
      <w:r w:rsidRPr="008450E1">
        <w:rPr>
          <w:lang w:val="fr-FR"/>
        </w:rPr>
        <w:t>auteur à la suite de l</w:t>
      </w:r>
      <w:r>
        <w:rPr>
          <w:lang w:val="fr-FR"/>
        </w:rPr>
        <w:t>’</w:t>
      </w:r>
      <w:r w:rsidRPr="008450E1">
        <w:rPr>
          <w:lang w:val="fr-FR"/>
        </w:rPr>
        <w:t>adoption d</w:t>
      </w:r>
      <w:r>
        <w:rPr>
          <w:lang w:val="fr-FR"/>
        </w:rPr>
        <w:t>’</w:t>
      </w:r>
      <w:r w:rsidRPr="008450E1">
        <w:rPr>
          <w:lang w:val="fr-FR"/>
        </w:rPr>
        <w:t xml:space="preserve">une nouvelle loi pénale qui prévoit une peine plus légère et a un effet rétroactif a eu lieu en mai et juin 2006, </w:t>
      </w:r>
      <w:r>
        <w:rPr>
          <w:lang w:val="fr-FR"/>
        </w:rPr>
        <w:t>tandis</w:t>
      </w:r>
      <w:r w:rsidRPr="008450E1">
        <w:rPr>
          <w:lang w:val="fr-FR"/>
        </w:rPr>
        <w:t xml:space="preserve"> que l</w:t>
      </w:r>
      <w:r>
        <w:rPr>
          <w:lang w:val="fr-FR"/>
        </w:rPr>
        <w:t>’</w:t>
      </w:r>
      <w:r w:rsidRPr="008450E1">
        <w:rPr>
          <w:lang w:val="fr-FR"/>
        </w:rPr>
        <w:t xml:space="preserve">auteur a présenté sa communication au Comité en </w:t>
      </w:r>
      <w:r>
        <w:rPr>
          <w:lang w:val="fr-FR"/>
        </w:rPr>
        <w:t xml:space="preserve">mai </w:t>
      </w:r>
      <w:r w:rsidRPr="008450E1">
        <w:rPr>
          <w:lang w:val="fr-FR"/>
        </w:rPr>
        <w:t>2014 seulement, soit huit ans plus tard</w:t>
      </w:r>
      <w:r w:rsidR="000E54C5" w:rsidRPr="000E54C5">
        <w:rPr>
          <w:lang w:val="fr-FR"/>
        </w:rPr>
        <w:t>.</w:t>
      </w:r>
      <w:r w:rsidRPr="008450E1">
        <w:rPr>
          <w:lang w:val="fr-FR"/>
        </w:rPr>
        <w:t xml:space="preserve"> En l</w:t>
      </w:r>
      <w:r>
        <w:rPr>
          <w:lang w:val="fr-FR"/>
        </w:rPr>
        <w:t>’</w:t>
      </w:r>
      <w:r w:rsidRPr="008450E1">
        <w:rPr>
          <w:lang w:val="fr-FR"/>
        </w:rPr>
        <w:t>absence de toute circonstance justifiant une soumission aussi tardive, les griefs que l</w:t>
      </w:r>
      <w:r>
        <w:rPr>
          <w:lang w:val="fr-FR"/>
        </w:rPr>
        <w:t>’</w:t>
      </w:r>
      <w:r w:rsidRPr="008450E1">
        <w:rPr>
          <w:lang w:val="fr-FR"/>
        </w:rPr>
        <w:t>auteur tire des articles</w:t>
      </w:r>
      <w:r>
        <w:rPr>
          <w:lang w:val="fr-FR"/>
        </w:rPr>
        <w:t> </w:t>
      </w:r>
      <w:r w:rsidRPr="008450E1">
        <w:rPr>
          <w:lang w:val="fr-FR"/>
        </w:rPr>
        <w:t xml:space="preserve">14 et 15 du Pacte devraient être déclarés </w:t>
      </w:r>
      <w:r>
        <w:rPr>
          <w:lang w:val="fr-FR"/>
        </w:rPr>
        <w:t>irrecevable</w:t>
      </w:r>
      <w:r w:rsidRPr="008450E1">
        <w:rPr>
          <w:lang w:val="fr-FR"/>
        </w:rPr>
        <w:t>s au regard de l</w:t>
      </w:r>
      <w:r>
        <w:rPr>
          <w:lang w:val="fr-FR"/>
        </w:rPr>
        <w:t>’</w:t>
      </w:r>
      <w:r w:rsidRPr="008450E1">
        <w:rPr>
          <w:lang w:val="fr-FR"/>
        </w:rPr>
        <w:t>article</w:t>
      </w:r>
      <w:r>
        <w:rPr>
          <w:lang w:val="fr-FR"/>
        </w:rPr>
        <w:t> </w:t>
      </w:r>
      <w:r w:rsidRPr="008450E1">
        <w:rPr>
          <w:lang w:val="fr-FR"/>
        </w:rPr>
        <w:t>3 du Protocole facultatif, en ce qu</w:t>
      </w:r>
      <w:r>
        <w:rPr>
          <w:lang w:val="fr-FR"/>
        </w:rPr>
        <w:t>’</w:t>
      </w:r>
      <w:r w:rsidRPr="008450E1">
        <w:rPr>
          <w:lang w:val="fr-FR"/>
        </w:rPr>
        <w:t xml:space="preserve">ils </w:t>
      </w:r>
      <w:r w:rsidRPr="009D50B5">
        <w:rPr>
          <w:lang w:val="fr-FR"/>
        </w:rPr>
        <w:t>constituent</w:t>
      </w:r>
      <w:r w:rsidRPr="008450E1">
        <w:rPr>
          <w:lang w:val="fr-FR"/>
        </w:rPr>
        <w:t xml:space="preserve"> un abus du droit de présenter des communications</w:t>
      </w:r>
      <w:r w:rsidR="000E54C5" w:rsidRPr="000E54C5">
        <w:rPr>
          <w:lang w:val="fr-FR"/>
        </w:rPr>
        <w:t>.</w:t>
      </w:r>
    </w:p>
    <w:p w14:paraId="024E2046" w14:textId="77777777" w:rsidR="00D02AC5" w:rsidRPr="008450E1" w:rsidRDefault="00D02AC5" w:rsidP="00D02AC5">
      <w:pPr>
        <w:pStyle w:val="SingleTxtG"/>
        <w:rPr>
          <w:lang w:val="fr-FR"/>
        </w:rPr>
      </w:pPr>
      <w:r w:rsidRPr="008450E1">
        <w:rPr>
          <w:lang w:val="fr-FR"/>
        </w:rPr>
        <w:t>4</w:t>
      </w:r>
      <w:r w:rsidR="000E54C5" w:rsidRPr="000E54C5">
        <w:rPr>
          <w:lang w:val="fr-FR"/>
        </w:rPr>
        <w:t>.</w:t>
      </w:r>
      <w:r w:rsidRPr="008450E1">
        <w:rPr>
          <w:lang w:val="fr-FR"/>
        </w:rPr>
        <w:t>4</w:t>
      </w:r>
      <w:r w:rsidRPr="008450E1">
        <w:rPr>
          <w:lang w:val="fr-FR"/>
        </w:rPr>
        <w:tab/>
        <w:t>L</w:t>
      </w:r>
      <w:r>
        <w:rPr>
          <w:lang w:val="fr-FR"/>
        </w:rPr>
        <w:t>’</w:t>
      </w:r>
      <w:r w:rsidRPr="008450E1">
        <w:rPr>
          <w:lang w:val="fr-FR"/>
        </w:rPr>
        <w:t>État partie soutient que le grief que l</w:t>
      </w:r>
      <w:r>
        <w:rPr>
          <w:lang w:val="fr-FR"/>
        </w:rPr>
        <w:t>’</w:t>
      </w:r>
      <w:r w:rsidRPr="008450E1">
        <w:rPr>
          <w:lang w:val="fr-FR"/>
        </w:rPr>
        <w:t>auteur tire de l</w:t>
      </w:r>
      <w:r>
        <w:rPr>
          <w:lang w:val="fr-FR"/>
        </w:rPr>
        <w:t>’</w:t>
      </w:r>
      <w:r w:rsidRPr="008450E1">
        <w:rPr>
          <w:lang w:val="fr-FR"/>
        </w:rPr>
        <w:t>article 26 du Pacte (voir par</w:t>
      </w:r>
      <w:r w:rsidR="000E54C5" w:rsidRPr="000E54C5">
        <w:rPr>
          <w:lang w:val="fr-FR"/>
        </w:rPr>
        <w:t>.</w:t>
      </w:r>
      <w:r w:rsidRPr="008450E1">
        <w:rPr>
          <w:lang w:val="fr-FR"/>
        </w:rPr>
        <w:t> 3</w:t>
      </w:r>
      <w:r w:rsidR="000E54C5" w:rsidRPr="000E54C5">
        <w:rPr>
          <w:lang w:val="fr-FR"/>
        </w:rPr>
        <w:t>.</w:t>
      </w:r>
      <w:r w:rsidRPr="008450E1">
        <w:rPr>
          <w:lang w:val="fr-FR"/>
        </w:rPr>
        <w:t>4 ci-dessus) devrait être déclaré irrecevable au regard de l</w:t>
      </w:r>
      <w:r>
        <w:rPr>
          <w:lang w:val="fr-FR"/>
        </w:rPr>
        <w:t>’</w:t>
      </w:r>
      <w:r w:rsidRPr="008450E1">
        <w:rPr>
          <w:lang w:val="fr-FR"/>
        </w:rPr>
        <w:t>article</w:t>
      </w:r>
      <w:r>
        <w:rPr>
          <w:lang w:val="fr-FR"/>
        </w:rPr>
        <w:t> </w:t>
      </w:r>
      <w:r w:rsidRPr="008450E1">
        <w:rPr>
          <w:lang w:val="fr-FR"/>
        </w:rPr>
        <w:t>2 du Protocole facultatif, pour défaut manifeste de fondement</w:t>
      </w:r>
      <w:r w:rsidR="000E54C5" w:rsidRPr="000E54C5">
        <w:rPr>
          <w:lang w:val="fr-FR"/>
        </w:rPr>
        <w:t>.</w:t>
      </w:r>
    </w:p>
    <w:p w14:paraId="0A38DFD2" w14:textId="77777777" w:rsidR="00D02AC5" w:rsidRPr="008450E1" w:rsidRDefault="00D02AC5" w:rsidP="00D02AC5">
      <w:pPr>
        <w:pStyle w:val="SingleTxtG"/>
        <w:rPr>
          <w:lang w:val="fr-FR"/>
        </w:rPr>
      </w:pPr>
      <w:r w:rsidRPr="008450E1">
        <w:rPr>
          <w:lang w:val="fr-FR"/>
        </w:rPr>
        <w:t>4</w:t>
      </w:r>
      <w:r w:rsidR="000E54C5" w:rsidRPr="000E54C5">
        <w:rPr>
          <w:lang w:val="fr-FR"/>
        </w:rPr>
        <w:t>.</w:t>
      </w:r>
      <w:r w:rsidRPr="008450E1">
        <w:rPr>
          <w:lang w:val="fr-FR"/>
        </w:rPr>
        <w:t>5</w:t>
      </w:r>
      <w:r w:rsidRPr="008450E1">
        <w:rPr>
          <w:lang w:val="fr-FR"/>
        </w:rPr>
        <w:tab/>
        <w:t>L</w:t>
      </w:r>
      <w:r>
        <w:rPr>
          <w:lang w:val="fr-FR"/>
        </w:rPr>
        <w:t>’</w:t>
      </w:r>
      <w:r w:rsidRPr="008450E1">
        <w:rPr>
          <w:lang w:val="fr-FR"/>
        </w:rPr>
        <w:t>État partie soutient également que les griefs que l</w:t>
      </w:r>
      <w:r>
        <w:rPr>
          <w:lang w:val="fr-FR"/>
        </w:rPr>
        <w:t>’</w:t>
      </w:r>
      <w:r w:rsidRPr="008450E1">
        <w:rPr>
          <w:lang w:val="fr-FR"/>
        </w:rPr>
        <w:t>auteur tire des articles</w:t>
      </w:r>
      <w:r>
        <w:rPr>
          <w:lang w:val="fr-FR"/>
        </w:rPr>
        <w:t> </w:t>
      </w:r>
      <w:r w:rsidRPr="008450E1">
        <w:rPr>
          <w:lang w:val="fr-FR"/>
        </w:rPr>
        <w:t>14 (par</w:t>
      </w:r>
      <w:r w:rsidR="000E54C5" w:rsidRPr="000E54C5">
        <w:rPr>
          <w:lang w:val="fr-FR"/>
        </w:rPr>
        <w:t>.</w:t>
      </w:r>
      <w:r w:rsidRPr="008450E1">
        <w:rPr>
          <w:lang w:val="fr-FR"/>
        </w:rPr>
        <w:t> 1, 3</w:t>
      </w:r>
      <w:r>
        <w:rPr>
          <w:lang w:val="fr-FR"/>
        </w:rPr>
        <w:t> </w:t>
      </w:r>
      <w:r w:rsidRPr="008450E1">
        <w:rPr>
          <w:lang w:val="fr-FR"/>
        </w:rPr>
        <w:t>b) et 5), 15 (par</w:t>
      </w:r>
      <w:r w:rsidR="000E54C5" w:rsidRPr="000E54C5">
        <w:rPr>
          <w:lang w:val="fr-FR"/>
        </w:rPr>
        <w:t>.</w:t>
      </w:r>
      <w:r w:rsidRPr="008450E1">
        <w:rPr>
          <w:lang w:val="fr-FR"/>
        </w:rPr>
        <w:t> 1) et 26 du Pacte sont infondés</w:t>
      </w:r>
      <w:r w:rsidR="000E54C5" w:rsidRPr="000E54C5">
        <w:rPr>
          <w:lang w:val="fr-FR"/>
        </w:rPr>
        <w:t>.</w:t>
      </w:r>
    </w:p>
    <w:p w14:paraId="42EF2C38" w14:textId="77777777" w:rsidR="00D02AC5" w:rsidRPr="008450E1" w:rsidRDefault="00D02AC5" w:rsidP="00D02AC5">
      <w:pPr>
        <w:pStyle w:val="SingleTxtG"/>
        <w:rPr>
          <w:lang w:val="fr-FR"/>
        </w:rPr>
      </w:pPr>
      <w:r w:rsidRPr="008450E1">
        <w:rPr>
          <w:lang w:val="fr-FR"/>
        </w:rPr>
        <w:t>4</w:t>
      </w:r>
      <w:r w:rsidR="000E54C5" w:rsidRPr="000E54C5">
        <w:rPr>
          <w:lang w:val="fr-FR"/>
        </w:rPr>
        <w:t>.</w:t>
      </w:r>
      <w:r w:rsidRPr="008450E1">
        <w:rPr>
          <w:lang w:val="fr-FR"/>
        </w:rPr>
        <w:t>6</w:t>
      </w:r>
      <w:r w:rsidRPr="008450E1">
        <w:rPr>
          <w:lang w:val="fr-FR"/>
        </w:rPr>
        <w:tab/>
        <w:t>Conformément aux articles</w:t>
      </w:r>
      <w:r>
        <w:rPr>
          <w:lang w:val="fr-FR"/>
        </w:rPr>
        <w:t> </w:t>
      </w:r>
      <w:r w:rsidRPr="008450E1">
        <w:rPr>
          <w:lang w:val="fr-FR"/>
        </w:rPr>
        <w:t>335 et</w:t>
      </w:r>
      <w:r>
        <w:rPr>
          <w:lang w:val="fr-FR"/>
        </w:rPr>
        <w:t> </w:t>
      </w:r>
      <w:r w:rsidRPr="008450E1">
        <w:rPr>
          <w:lang w:val="fr-FR"/>
        </w:rPr>
        <w:t>336 du Code de procédure pénale de 1960</w:t>
      </w:r>
      <w:r>
        <w:rPr>
          <w:lang w:val="fr-FR"/>
        </w:rPr>
        <w:t>,</w:t>
      </w:r>
      <w:r w:rsidRPr="008450E1">
        <w:rPr>
          <w:lang w:val="fr-FR"/>
        </w:rPr>
        <w:t xml:space="preserve"> </w:t>
      </w:r>
      <w:r>
        <w:rPr>
          <w:lang w:val="fr-FR"/>
        </w:rPr>
        <w:t xml:space="preserve">qui était </w:t>
      </w:r>
      <w:r w:rsidRPr="008450E1">
        <w:rPr>
          <w:lang w:val="fr-FR"/>
        </w:rPr>
        <w:t>en vigueur à l</w:t>
      </w:r>
      <w:r>
        <w:rPr>
          <w:lang w:val="fr-FR"/>
        </w:rPr>
        <w:t>’</w:t>
      </w:r>
      <w:r w:rsidRPr="008450E1">
        <w:rPr>
          <w:lang w:val="fr-FR"/>
        </w:rPr>
        <w:t>époque où l</w:t>
      </w:r>
      <w:r>
        <w:rPr>
          <w:lang w:val="fr-FR"/>
        </w:rPr>
        <w:t>’</w:t>
      </w:r>
      <w:r w:rsidRPr="008450E1">
        <w:rPr>
          <w:lang w:val="fr-FR"/>
        </w:rPr>
        <w:t>affaire pénale concernant l</w:t>
      </w:r>
      <w:r>
        <w:rPr>
          <w:lang w:val="fr-FR"/>
        </w:rPr>
        <w:t>’</w:t>
      </w:r>
      <w:r w:rsidRPr="008450E1">
        <w:rPr>
          <w:lang w:val="fr-FR"/>
        </w:rPr>
        <w:t>auteur a été examinée en cassation</w:t>
      </w:r>
      <w:r w:rsidRPr="00D02AC5">
        <w:rPr>
          <w:rStyle w:val="Appelnotedebasdep"/>
        </w:rPr>
        <w:footnoteReference w:id="12"/>
      </w:r>
      <w:r w:rsidRPr="008450E1">
        <w:rPr>
          <w:lang w:val="fr-FR"/>
        </w:rPr>
        <w:t xml:space="preserve">, les parties à une procédure pénale </w:t>
      </w:r>
      <w:r>
        <w:rPr>
          <w:lang w:val="fr-FR"/>
        </w:rPr>
        <w:t>n’</w:t>
      </w:r>
      <w:r w:rsidRPr="008450E1">
        <w:rPr>
          <w:lang w:val="fr-FR"/>
        </w:rPr>
        <w:t>étaient informées de la date, de l</w:t>
      </w:r>
      <w:r>
        <w:rPr>
          <w:lang w:val="fr-FR"/>
        </w:rPr>
        <w:t>’</w:t>
      </w:r>
      <w:r w:rsidRPr="008450E1">
        <w:rPr>
          <w:lang w:val="fr-FR"/>
        </w:rPr>
        <w:t>heure et du lieu de l</w:t>
      </w:r>
      <w:r>
        <w:rPr>
          <w:lang w:val="fr-FR"/>
        </w:rPr>
        <w:t>’</w:t>
      </w:r>
      <w:r w:rsidRPr="008450E1">
        <w:rPr>
          <w:lang w:val="fr-FR"/>
        </w:rPr>
        <w:t xml:space="preserve">audience par la Chambre juridictionnelle de la Cour suprême que si elles en </w:t>
      </w:r>
      <w:r w:rsidRPr="008450E1">
        <w:rPr>
          <w:lang w:val="fr-FR"/>
        </w:rPr>
        <w:lastRenderedPageBreak/>
        <w:t xml:space="preserve">avaient fait la demande dans leur </w:t>
      </w:r>
      <w:r>
        <w:rPr>
          <w:lang w:val="fr-FR"/>
        </w:rPr>
        <w:t>pourvoi</w:t>
      </w:r>
      <w:r w:rsidRPr="008450E1">
        <w:rPr>
          <w:lang w:val="fr-FR"/>
        </w:rPr>
        <w:t xml:space="preserve"> en cassation ou dans leurs </w:t>
      </w:r>
      <w:r w:rsidRPr="009D50B5">
        <w:rPr>
          <w:lang w:val="fr-FR"/>
        </w:rPr>
        <w:t xml:space="preserve">objections </w:t>
      </w:r>
      <w:r>
        <w:rPr>
          <w:lang w:val="fr-FR"/>
        </w:rPr>
        <w:t>à un tel</w:t>
      </w:r>
      <w:r w:rsidRPr="009D50B5">
        <w:rPr>
          <w:lang w:val="fr-FR"/>
        </w:rPr>
        <w:t xml:space="preserve"> pourvoi</w:t>
      </w:r>
      <w:r w:rsidR="000E54C5" w:rsidRPr="000E54C5">
        <w:rPr>
          <w:lang w:val="fr-FR"/>
        </w:rPr>
        <w:t>.</w:t>
      </w:r>
      <w:r w:rsidRPr="008450E1">
        <w:rPr>
          <w:lang w:val="fr-FR"/>
        </w:rPr>
        <w:t xml:space="preserve"> L</w:t>
      </w:r>
      <w:r>
        <w:rPr>
          <w:lang w:val="fr-FR"/>
        </w:rPr>
        <w:t>’</w:t>
      </w:r>
      <w:r w:rsidRPr="008450E1">
        <w:rPr>
          <w:lang w:val="fr-FR"/>
        </w:rPr>
        <w:t>avocat</w:t>
      </w:r>
      <w:r>
        <w:rPr>
          <w:lang w:val="fr-FR"/>
        </w:rPr>
        <w:t> </w:t>
      </w:r>
      <w:r w:rsidRPr="008450E1">
        <w:rPr>
          <w:lang w:val="fr-FR"/>
        </w:rPr>
        <w:t>A</w:t>
      </w:r>
      <w:r w:rsidR="000E54C5" w:rsidRPr="000E54C5">
        <w:rPr>
          <w:lang w:val="fr-FR"/>
        </w:rPr>
        <w:t>.</w:t>
      </w:r>
      <w:r w:rsidRPr="008450E1">
        <w:rPr>
          <w:lang w:val="fr-FR"/>
        </w:rPr>
        <w:t>, qui représentait l</w:t>
      </w:r>
      <w:r>
        <w:rPr>
          <w:lang w:val="fr-FR"/>
        </w:rPr>
        <w:t>’</w:t>
      </w:r>
      <w:r w:rsidRPr="008450E1">
        <w:rPr>
          <w:lang w:val="fr-FR"/>
        </w:rPr>
        <w:t>auteur au procès en première instance</w:t>
      </w:r>
      <w:r>
        <w:rPr>
          <w:lang w:val="fr-FR"/>
        </w:rPr>
        <w:t>,</w:t>
      </w:r>
      <w:r w:rsidRPr="008450E1">
        <w:rPr>
          <w:lang w:val="fr-FR"/>
        </w:rPr>
        <w:t xml:space="preserve"> n</w:t>
      </w:r>
      <w:r>
        <w:rPr>
          <w:lang w:val="fr-FR"/>
        </w:rPr>
        <w:t>’</w:t>
      </w:r>
      <w:r w:rsidRPr="008450E1">
        <w:rPr>
          <w:lang w:val="fr-FR"/>
        </w:rPr>
        <w:t>a pas demandé, lorsqu</w:t>
      </w:r>
      <w:r>
        <w:rPr>
          <w:lang w:val="fr-FR"/>
        </w:rPr>
        <w:t>’</w:t>
      </w:r>
      <w:r w:rsidRPr="008450E1">
        <w:rPr>
          <w:lang w:val="fr-FR"/>
        </w:rPr>
        <w:t>il s</w:t>
      </w:r>
      <w:r>
        <w:rPr>
          <w:lang w:val="fr-FR"/>
        </w:rPr>
        <w:t>’</w:t>
      </w:r>
      <w:r w:rsidRPr="008450E1">
        <w:rPr>
          <w:lang w:val="fr-FR"/>
        </w:rPr>
        <w:t>est pourvu en cassation, à assister à l</w:t>
      </w:r>
      <w:r>
        <w:rPr>
          <w:lang w:val="fr-FR"/>
        </w:rPr>
        <w:t>’</w:t>
      </w:r>
      <w:r w:rsidRPr="008450E1">
        <w:rPr>
          <w:lang w:val="fr-FR"/>
        </w:rPr>
        <w:t>audience devant la Chambre juridictionnelle de la Cour suprême</w:t>
      </w:r>
      <w:r w:rsidR="000E54C5" w:rsidRPr="000E54C5">
        <w:rPr>
          <w:lang w:val="fr-FR"/>
        </w:rPr>
        <w:t>.</w:t>
      </w:r>
      <w:r w:rsidRPr="008450E1">
        <w:rPr>
          <w:lang w:val="fr-FR"/>
        </w:rPr>
        <w:t xml:space="preserve"> L</w:t>
      </w:r>
      <w:r>
        <w:rPr>
          <w:lang w:val="fr-FR"/>
        </w:rPr>
        <w:t>’</w:t>
      </w:r>
      <w:r w:rsidRPr="008450E1">
        <w:rPr>
          <w:lang w:val="fr-FR"/>
        </w:rPr>
        <w:t>auteur n</w:t>
      </w:r>
      <w:r>
        <w:rPr>
          <w:lang w:val="fr-FR"/>
        </w:rPr>
        <w:t>’</w:t>
      </w:r>
      <w:r w:rsidRPr="008450E1">
        <w:rPr>
          <w:lang w:val="fr-FR"/>
        </w:rPr>
        <w:t>a pas demandé à assister à l</w:t>
      </w:r>
      <w:r>
        <w:rPr>
          <w:lang w:val="fr-FR"/>
        </w:rPr>
        <w:t>’</w:t>
      </w:r>
      <w:r w:rsidRPr="008450E1">
        <w:rPr>
          <w:lang w:val="fr-FR"/>
        </w:rPr>
        <w:t>audience de cassation et n</w:t>
      </w:r>
      <w:r>
        <w:rPr>
          <w:lang w:val="fr-FR"/>
        </w:rPr>
        <w:t>’</w:t>
      </w:r>
      <w:r w:rsidRPr="008450E1">
        <w:rPr>
          <w:lang w:val="fr-FR"/>
        </w:rPr>
        <w:t>a pas non plus sollicité l</w:t>
      </w:r>
      <w:r>
        <w:rPr>
          <w:lang w:val="fr-FR"/>
        </w:rPr>
        <w:t>’</w:t>
      </w:r>
      <w:r w:rsidRPr="008450E1">
        <w:rPr>
          <w:lang w:val="fr-FR"/>
        </w:rPr>
        <w:t>aide d</w:t>
      </w:r>
      <w:r>
        <w:rPr>
          <w:lang w:val="fr-FR"/>
        </w:rPr>
        <w:t>’</w:t>
      </w:r>
      <w:r w:rsidRPr="008450E1">
        <w:rPr>
          <w:lang w:val="fr-FR"/>
        </w:rPr>
        <w:t>un avocat à ce stade de la procédure pénale</w:t>
      </w:r>
      <w:r w:rsidR="000E54C5" w:rsidRPr="000E54C5">
        <w:rPr>
          <w:lang w:val="fr-FR"/>
        </w:rPr>
        <w:t>.</w:t>
      </w:r>
      <w:r w:rsidRPr="008450E1">
        <w:rPr>
          <w:lang w:val="fr-FR"/>
        </w:rPr>
        <w:t xml:space="preserve"> La position de l</w:t>
      </w:r>
      <w:r>
        <w:rPr>
          <w:lang w:val="fr-FR"/>
        </w:rPr>
        <w:t>’</w:t>
      </w:r>
      <w:r w:rsidRPr="008450E1">
        <w:rPr>
          <w:lang w:val="fr-FR"/>
        </w:rPr>
        <w:t xml:space="preserve">auteur et de son avocat a été communiquée à la </w:t>
      </w:r>
      <w:r>
        <w:rPr>
          <w:lang w:val="fr-FR"/>
        </w:rPr>
        <w:t>Cour de cassation</w:t>
      </w:r>
      <w:r w:rsidRPr="008450E1">
        <w:rPr>
          <w:lang w:val="fr-FR"/>
        </w:rPr>
        <w:t xml:space="preserve"> dans le cadre de leurs </w:t>
      </w:r>
      <w:r w:rsidRPr="009D50B5">
        <w:rPr>
          <w:lang w:val="fr-FR"/>
        </w:rPr>
        <w:t>pourvois</w:t>
      </w:r>
      <w:r w:rsidRPr="008450E1">
        <w:rPr>
          <w:lang w:val="fr-FR"/>
        </w:rPr>
        <w:t xml:space="preserve"> en cassation respectifs</w:t>
      </w:r>
      <w:r w:rsidR="000E54C5" w:rsidRPr="000E54C5">
        <w:rPr>
          <w:lang w:val="fr-FR"/>
        </w:rPr>
        <w:t>.</w:t>
      </w:r>
    </w:p>
    <w:p w14:paraId="6C804243" w14:textId="77777777" w:rsidR="00D02AC5" w:rsidRPr="008450E1" w:rsidRDefault="00D02AC5" w:rsidP="00D02AC5">
      <w:pPr>
        <w:pStyle w:val="SingleTxtG"/>
        <w:rPr>
          <w:lang w:val="fr-FR"/>
        </w:rPr>
      </w:pPr>
      <w:r w:rsidRPr="008450E1">
        <w:rPr>
          <w:lang w:val="fr-FR"/>
        </w:rPr>
        <w:t>4</w:t>
      </w:r>
      <w:r w:rsidR="000E54C5" w:rsidRPr="000E54C5">
        <w:rPr>
          <w:lang w:val="fr-FR"/>
        </w:rPr>
        <w:t>.</w:t>
      </w:r>
      <w:r w:rsidRPr="008450E1">
        <w:rPr>
          <w:lang w:val="fr-FR"/>
        </w:rPr>
        <w:t>7</w:t>
      </w:r>
      <w:r w:rsidRPr="008450E1">
        <w:rPr>
          <w:lang w:val="fr-FR"/>
        </w:rPr>
        <w:tab/>
        <w:t>Pour ce qui est des obligations incombant au tribunal de première instance en application de l</w:t>
      </w:r>
      <w:r>
        <w:rPr>
          <w:lang w:val="fr-FR"/>
        </w:rPr>
        <w:t>’</w:t>
      </w:r>
      <w:r w:rsidRPr="008450E1">
        <w:rPr>
          <w:lang w:val="fr-FR"/>
        </w:rPr>
        <w:t>article 327</w:t>
      </w:r>
      <w:r>
        <w:rPr>
          <w:lang w:val="fr-FR"/>
        </w:rPr>
        <w:t> 1)</w:t>
      </w:r>
      <w:r w:rsidRPr="008450E1">
        <w:rPr>
          <w:lang w:val="fr-FR"/>
        </w:rPr>
        <w:t xml:space="preserve"> du Code de procédure pénale de 1960 (voir par</w:t>
      </w:r>
      <w:r w:rsidR="000E54C5" w:rsidRPr="000E54C5">
        <w:rPr>
          <w:lang w:val="fr-FR"/>
        </w:rPr>
        <w:t>.</w:t>
      </w:r>
      <w:r w:rsidRPr="008450E1">
        <w:rPr>
          <w:lang w:val="fr-FR"/>
        </w:rPr>
        <w:t> 3</w:t>
      </w:r>
      <w:r w:rsidR="000E54C5" w:rsidRPr="000E54C5">
        <w:rPr>
          <w:lang w:val="fr-FR"/>
        </w:rPr>
        <w:t>.</w:t>
      </w:r>
      <w:r w:rsidRPr="008450E1">
        <w:rPr>
          <w:lang w:val="fr-FR"/>
        </w:rPr>
        <w:t>1 et</w:t>
      </w:r>
      <w:r>
        <w:rPr>
          <w:lang w:val="fr-FR"/>
        </w:rPr>
        <w:t> </w:t>
      </w:r>
      <w:r w:rsidRPr="008450E1">
        <w:rPr>
          <w:lang w:val="fr-FR"/>
        </w:rPr>
        <w:t>3</w:t>
      </w:r>
      <w:r w:rsidR="000E54C5" w:rsidRPr="000E54C5">
        <w:rPr>
          <w:lang w:val="fr-FR"/>
        </w:rPr>
        <w:t>.</w:t>
      </w:r>
      <w:r w:rsidRPr="008450E1">
        <w:rPr>
          <w:lang w:val="fr-FR"/>
        </w:rPr>
        <w:t>2 ci</w:t>
      </w:r>
      <w:r>
        <w:rPr>
          <w:lang w:val="fr-FR"/>
        </w:rPr>
        <w:noBreakHyphen/>
      </w:r>
      <w:r w:rsidRPr="008450E1">
        <w:rPr>
          <w:lang w:val="fr-FR"/>
        </w:rPr>
        <w:t>dessus), l</w:t>
      </w:r>
      <w:r>
        <w:rPr>
          <w:lang w:val="fr-FR"/>
        </w:rPr>
        <w:t>’</w:t>
      </w:r>
      <w:r w:rsidRPr="008450E1">
        <w:rPr>
          <w:lang w:val="fr-FR"/>
        </w:rPr>
        <w:t>État partie affirme qu</w:t>
      </w:r>
      <w:r>
        <w:rPr>
          <w:lang w:val="fr-FR"/>
        </w:rPr>
        <w:t>’</w:t>
      </w:r>
      <w:r w:rsidRPr="008450E1">
        <w:rPr>
          <w:lang w:val="fr-FR"/>
        </w:rPr>
        <w:t>il n</w:t>
      </w:r>
      <w:r>
        <w:rPr>
          <w:lang w:val="fr-FR"/>
        </w:rPr>
        <w:t>’</w:t>
      </w:r>
      <w:r w:rsidRPr="008450E1">
        <w:rPr>
          <w:lang w:val="fr-FR"/>
        </w:rPr>
        <w:t xml:space="preserve">y avait </w:t>
      </w:r>
      <w:r>
        <w:rPr>
          <w:lang w:val="fr-FR"/>
        </w:rPr>
        <w:t>aucune</w:t>
      </w:r>
      <w:r w:rsidRPr="008450E1">
        <w:rPr>
          <w:lang w:val="fr-FR"/>
        </w:rPr>
        <w:t xml:space="preserve"> contradiction entre </w:t>
      </w:r>
      <w:r>
        <w:rPr>
          <w:lang w:val="fr-FR"/>
        </w:rPr>
        <w:t>l</w:t>
      </w:r>
      <w:r w:rsidRPr="008450E1">
        <w:rPr>
          <w:lang w:val="fr-FR"/>
        </w:rPr>
        <w:t xml:space="preserve">es arguments </w:t>
      </w:r>
      <w:r>
        <w:rPr>
          <w:lang w:val="fr-FR"/>
        </w:rPr>
        <w:t xml:space="preserve">de l’auteur </w:t>
      </w:r>
      <w:r w:rsidRPr="008450E1">
        <w:rPr>
          <w:lang w:val="fr-FR"/>
        </w:rPr>
        <w:t xml:space="preserve">et ceux présentés par son avocat et ses </w:t>
      </w:r>
      <w:proofErr w:type="spellStart"/>
      <w:r w:rsidR="009B39F0">
        <w:rPr>
          <w:lang w:val="fr-FR"/>
        </w:rPr>
        <w:t>coaccusé</w:t>
      </w:r>
      <w:r w:rsidRPr="008450E1">
        <w:rPr>
          <w:lang w:val="fr-FR"/>
        </w:rPr>
        <w:t>s</w:t>
      </w:r>
      <w:proofErr w:type="spellEnd"/>
      <w:r w:rsidRPr="008450E1">
        <w:rPr>
          <w:lang w:val="fr-FR"/>
        </w:rPr>
        <w:t xml:space="preserve"> dans leurs recours en cassation respectifs</w:t>
      </w:r>
      <w:r w:rsidR="000E54C5" w:rsidRPr="000E54C5">
        <w:rPr>
          <w:lang w:val="fr-FR"/>
        </w:rPr>
        <w:t>.</w:t>
      </w:r>
      <w:r w:rsidRPr="008450E1">
        <w:rPr>
          <w:lang w:val="fr-FR"/>
        </w:rPr>
        <w:t xml:space="preserve"> Par conséquent, le fait que l</w:t>
      </w:r>
      <w:r>
        <w:rPr>
          <w:lang w:val="fr-FR"/>
        </w:rPr>
        <w:t>’</w:t>
      </w:r>
      <w:r w:rsidRPr="008450E1">
        <w:rPr>
          <w:lang w:val="fr-FR"/>
        </w:rPr>
        <w:t>auteur n</w:t>
      </w:r>
      <w:r>
        <w:rPr>
          <w:lang w:val="fr-FR"/>
        </w:rPr>
        <w:t>’</w:t>
      </w:r>
      <w:r w:rsidRPr="008450E1">
        <w:rPr>
          <w:lang w:val="fr-FR"/>
        </w:rPr>
        <w:t>ait pas été informé de ce que d</w:t>
      </w:r>
      <w:r>
        <w:rPr>
          <w:lang w:val="fr-FR"/>
        </w:rPr>
        <w:t>’</w:t>
      </w:r>
      <w:r w:rsidRPr="008450E1">
        <w:rPr>
          <w:lang w:val="fr-FR"/>
        </w:rPr>
        <w:t>autres parties à la procédure pénale avaient introduit des recours en cassation n</w:t>
      </w:r>
      <w:r>
        <w:rPr>
          <w:lang w:val="fr-FR"/>
        </w:rPr>
        <w:t>’</w:t>
      </w:r>
      <w:r w:rsidRPr="008450E1">
        <w:rPr>
          <w:lang w:val="fr-FR"/>
        </w:rPr>
        <w:t>a pas conduit à une violation de son droit à la défense</w:t>
      </w:r>
      <w:r w:rsidR="000E54C5" w:rsidRPr="000E54C5">
        <w:rPr>
          <w:lang w:val="fr-FR"/>
        </w:rPr>
        <w:t>.</w:t>
      </w:r>
      <w:r w:rsidRPr="008450E1">
        <w:rPr>
          <w:lang w:val="fr-FR"/>
        </w:rPr>
        <w:t xml:space="preserve"> L</w:t>
      </w:r>
      <w:r>
        <w:rPr>
          <w:lang w:val="fr-FR"/>
        </w:rPr>
        <w:t>’</w:t>
      </w:r>
      <w:r w:rsidRPr="008450E1">
        <w:rPr>
          <w:lang w:val="fr-FR"/>
        </w:rPr>
        <w:t>État partie rappelle que la plainte de l</w:t>
      </w:r>
      <w:r>
        <w:rPr>
          <w:lang w:val="fr-FR"/>
        </w:rPr>
        <w:t>’</w:t>
      </w:r>
      <w:r w:rsidRPr="008450E1">
        <w:rPr>
          <w:lang w:val="fr-FR"/>
        </w:rPr>
        <w:t>auteur au sujet d</w:t>
      </w:r>
      <w:r>
        <w:rPr>
          <w:lang w:val="fr-FR"/>
        </w:rPr>
        <w:t>’</w:t>
      </w:r>
      <w:r w:rsidRPr="008450E1">
        <w:rPr>
          <w:lang w:val="fr-FR"/>
        </w:rPr>
        <w:t>une violation de son droit à la défense a été examinée et rejetée le 10 janvier 2013 par la Chambre juridictionnelle de la Cour suprême et le 16 avril 2013 par le Vice-Président de la Cour suprême</w:t>
      </w:r>
      <w:r w:rsidR="000E54C5" w:rsidRPr="000E54C5">
        <w:rPr>
          <w:lang w:val="fr-FR"/>
        </w:rPr>
        <w:t>.</w:t>
      </w:r>
    </w:p>
    <w:p w14:paraId="0F7B04C5" w14:textId="77777777" w:rsidR="00D02AC5" w:rsidRPr="008450E1" w:rsidRDefault="00D02AC5" w:rsidP="00D02AC5">
      <w:pPr>
        <w:pStyle w:val="SingleTxtG"/>
        <w:rPr>
          <w:lang w:val="fr-FR"/>
        </w:rPr>
      </w:pPr>
      <w:r w:rsidRPr="008450E1">
        <w:rPr>
          <w:lang w:val="fr-FR"/>
        </w:rPr>
        <w:t>4</w:t>
      </w:r>
      <w:r w:rsidR="000E54C5" w:rsidRPr="000E54C5">
        <w:rPr>
          <w:lang w:val="fr-FR"/>
        </w:rPr>
        <w:t>.</w:t>
      </w:r>
      <w:r w:rsidRPr="008450E1">
        <w:rPr>
          <w:lang w:val="fr-FR"/>
        </w:rPr>
        <w:t>8</w:t>
      </w:r>
      <w:r w:rsidRPr="008450E1">
        <w:rPr>
          <w:lang w:val="fr-FR"/>
        </w:rPr>
        <w:tab/>
        <w:t>L</w:t>
      </w:r>
      <w:r>
        <w:rPr>
          <w:lang w:val="fr-FR"/>
        </w:rPr>
        <w:t>’</w:t>
      </w:r>
      <w:r w:rsidRPr="008450E1">
        <w:rPr>
          <w:lang w:val="fr-FR"/>
        </w:rPr>
        <w:t xml:space="preserve">État partie affirme que la </w:t>
      </w:r>
      <w:r>
        <w:rPr>
          <w:lang w:val="fr-FR"/>
        </w:rPr>
        <w:t>condamnation</w:t>
      </w:r>
      <w:r w:rsidRPr="008450E1">
        <w:rPr>
          <w:lang w:val="fr-FR"/>
        </w:rPr>
        <w:t xml:space="preserve"> de l</w:t>
      </w:r>
      <w:r>
        <w:rPr>
          <w:lang w:val="fr-FR"/>
        </w:rPr>
        <w:t>’</w:t>
      </w:r>
      <w:r w:rsidRPr="008450E1">
        <w:rPr>
          <w:lang w:val="fr-FR"/>
        </w:rPr>
        <w:t xml:space="preserve">auteur a été mise en totale conformité avec la nouvelle </w:t>
      </w:r>
      <w:r>
        <w:rPr>
          <w:lang w:val="fr-FR"/>
        </w:rPr>
        <w:t>loi</w:t>
      </w:r>
      <w:r w:rsidRPr="008450E1">
        <w:rPr>
          <w:lang w:val="fr-FR"/>
        </w:rPr>
        <w:t xml:space="preserve"> pénale</w:t>
      </w:r>
      <w:r w:rsidR="000E54C5" w:rsidRPr="000E54C5">
        <w:rPr>
          <w:lang w:val="fr-FR"/>
        </w:rPr>
        <w:t>.</w:t>
      </w:r>
      <w:r w:rsidRPr="008450E1">
        <w:rPr>
          <w:lang w:val="fr-FR"/>
        </w:rPr>
        <w:t xml:space="preserve"> L</w:t>
      </w:r>
      <w:r>
        <w:rPr>
          <w:lang w:val="fr-FR"/>
        </w:rPr>
        <w:t>’</w:t>
      </w:r>
      <w:r w:rsidRPr="008450E1">
        <w:rPr>
          <w:lang w:val="fr-FR"/>
        </w:rPr>
        <w:t>article 102 du Code pénal de 1960 (assassinat avec circonstances aggravantes)</w:t>
      </w:r>
      <w:r>
        <w:rPr>
          <w:lang w:val="fr-FR"/>
        </w:rPr>
        <w:t>,</w:t>
      </w:r>
      <w:r w:rsidRPr="008450E1">
        <w:rPr>
          <w:lang w:val="fr-FR"/>
        </w:rPr>
        <w:t xml:space="preserve"> au titre duquel l</w:t>
      </w:r>
      <w:r>
        <w:rPr>
          <w:lang w:val="fr-FR"/>
        </w:rPr>
        <w:t>’</w:t>
      </w:r>
      <w:r w:rsidRPr="008450E1">
        <w:rPr>
          <w:lang w:val="fr-FR"/>
        </w:rPr>
        <w:t>auteur a initialement été condamné, prévoyait une peine d</w:t>
      </w:r>
      <w:r>
        <w:rPr>
          <w:lang w:val="fr-FR"/>
        </w:rPr>
        <w:t>’</w:t>
      </w:r>
      <w:r w:rsidRPr="008450E1">
        <w:rPr>
          <w:lang w:val="fr-FR"/>
        </w:rPr>
        <w:t xml:space="preserve">emprisonnement comprise entre </w:t>
      </w:r>
      <w:r>
        <w:rPr>
          <w:lang w:val="fr-FR"/>
        </w:rPr>
        <w:t>huit et quinze a</w:t>
      </w:r>
      <w:r w:rsidRPr="008450E1">
        <w:rPr>
          <w:lang w:val="fr-FR"/>
        </w:rPr>
        <w:t>ns ou la peine de mort</w:t>
      </w:r>
      <w:r w:rsidR="000E54C5" w:rsidRPr="000E54C5">
        <w:rPr>
          <w:lang w:val="fr-FR"/>
        </w:rPr>
        <w:t>.</w:t>
      </w:r>
      <w:r w:rsidRPr="008450E1">
        <w:rPr>
          <w:lang w:val="fr-FR"/>
        </w:rPr>
        <w:t xml:space="preserve"> L</w:t>
      </w:r>
      <w:r>
        <w:rPr>
          <w:lang w:val="fr-FR"/>
        </w:rPr>
        <w:t>’</w:t>
      </w:r>
      <w:r w:rsidRPr="008450E1">
        <w:rPr>
          <w:lang w:val="fr-FR"/>
        </w:rPr>
        <w:t>article 15 (par</w:t>
      </w:r>
      <w:r w:rsidR="000E54C5" w:rsidRPr="000E54C5">
        <w:rPr>
          <w:lang w:val="fr-FR"/>
        </w:rPr>
        <w:t>.</w:t>
      </w:r>
      <w:r w:rsidRPr="008450E1">
        <w:rPr>
          <w:lang w:val="fr-FR"/>
        </w:rPr>
        <w:t xml:space="preserve"> 2) du Code pénal de 1996 prévoit une peine plus lourde pour la même infraction, à savoir </w:t>
      </w:r>
      <w:r>
        <w:rPr>
          <w:lang w:val="fr-FR"/>
        </w:rPr>
        <w:t>l’emprisonnement</w:t>
      </w:r>
      <w:r w:rsidRPr="008450E1">
        <w:rPr>
          <w:lang w:val="fr-FR"/>
        </w:rPr>
        <w:t xml:space="preserve"> à perpétuité ou la peine de mort</w:t>
      </w:r>
      <w:r w:rsidR="000E54C5" w:rsidRPr="000E54C5">
        <w:rPr>
          <w:lang w:val="fr-FR"/>
        </w:rPr>
        <w:t>.</w:t>
      </w:r>
      <w:r w:rsidRPr="008450E1">
        <w:rPr>
          <w:lang w:val="fr-FR"/>
        </w:rPr>
        <w:t xml:space="preserve"> Le fait que les </w:t>
      </w:r>
      <w:r>
        <w:rPr>
          <w:lang w:val="fr-FR"/>
        </w:rPr>
        <w:t>mentions de</w:t>
      </w:r>
      <w:r w:rsidRPr="008450E1">
        <w:rPr>
          <w:lang w:val="fr-FR"/>
        </w:rPr>
        <w:t xml:space="preserve"> « meurtre commis par une personne qui a déjà commis un meurtre, à l</w:t>
      </w:r>
      <w:r>
        <w:rPr>
          <w:lang w:val="fr-FR"/>
        </w:rPr>
        <w:t>’</w:t>
      </w:r>
      <w:r w:rsidRPr="008450E1">
        <w:rPr>
          <w:lang w:val="fr-FR"/>
        </w:rPr>
        <w:t>exception des meurtres visés aux articles 105 et 106 du Code pénal » et « récidiviste dangereux » aient été supprimées de la qualification des infractions commises par l</w:t>
      </w:r>
      <w:r>
        <w:rPr>
          <w:lang w:val="fr-FR"/>
        </w:rPr>
        <w:t>’</w:t>
      </w:r>
      <w:r w:rsidRPr="008450E1">
        <w:rPr>
          <w:lang w:val="fr-FR"/>
        </w:rPr>
        <w:t xml:space="preserve">auteur ne sont pas des critères absolus </w:t>
      </w:r>
      <w:r>
        <w:rPr>
          <w:lang w:val="fr-FR"/>
        </w:rPr>
        <w:t>justifiant</w:t>
      </w:r>
      <w:r w:rsidRPr="008450E1">
        <w:rPr>
          <w:lang w:val="fr-FR"/>
        </w:rPr>
        <w:t xml:space="preserve"> un all</w:t>
      </w:r>
      <w:r>
        <w:rPr>
          <w:lang w:val="fr-FR"/>
        </w:rPr>
        <w:t>é</w:t>
      </w:r>
      <w:r w:rsidRPr="008450E1">
        <w:rPr>
          <w:lang w:val="fr-FR"/>
        </w:rPr>
        <w:t>gement de la peine</w:t>
      </w:r>
      <w:r w:rsidR="000E54C5" w:rsidRPr="000E54C5">
        <w:rPr>
          <w:lang w:val="fr-FR"/>
        </w:rPr>
        <w:t>.</w:t>
      </w:r>
    </w:p>
    <w:p w14:paraId="7D72B9ED" w14:textId="77777777" w:rsidR="00D02AC5" w:rsidRPr="008450E1" w:rsidRDefault="00D02AC5" w:rsidP="00D02AC5">
      <w:pPr>
        <w:pStyle w:val="SingleTxtG"/>
        <w:rPr>
          <w:lang w:val="fr-FR"/>
        </w:rPr>
      </w:pPr>
      <w:r w:rsidRPr="008450E1">
        <w:rPr>
          <w:lang w:val="fr-FR"/>
        </w:rPr>
        <w:t>4</w:t>
      </w:r>
      <w:r w:rsidR="000E54C5" w:rsidRPr="000E54C5">
        <w:rPr>
          <w:lang w:val="fr-FR"/>
        </w:rPr>
        <w:t>.</w:t>
      </w:r>
      <w:r w:rsidRPr="008450E1">
        <w:rPr>
          <w:lang w:val="fr-FR"/>
        </w:rPr>
        <w:t>9</w:t>
      </w:r>
      <w:r w:rsidRPr="008450E1">
        <w:rPr>
          <w:lang w:val="fr-FR"/>
        </w:rPr>
        <w:tab/>
        <w:t>L</w:t>
      </w:r>
      <w:r>
        <w:rPr>
          <w:lang w:val="fr-FR"/>
        </w:rPr>
        <w:t>’</w:t>
      </w:r>
      <w:r w:rsidRPr="008450E1">
        <w:rPr>
          <w:lang w:val="fr-FR"/>
        </w:rPr>
        <w:t>État partie soutient que la communication de l</w:t>
      </w:r>
      <w:r>
        <w:rPr>
          <w:lang w:val="fr-FR"/>
        </w:rPr>
        <w:t>’</w:t>
      </w:r>
      <w:r w:rsidRPr="008450E1">
        <w:rPr>
          <w:lang w:val="fr-FR"/>
        </w:rPr>
        <w:t>auteur ne contient aucune information objectivement confirmée au sujet d</w:t>
      </w:r>
      <w:r>
        <w:rPr>
          <w:lang w:val="fr-FR"/>
        </w:rPr>
        <w:t>’</w:t>
      </w:r>
      <w:r w:rsidRPr="008450E1">
        <w:rPr>
          <w:lang w:val="fr-FR"/>
        </w:rPr>
        <w:t>une violation des dispositions du Pacte</w:t>
      </w:r>
      <w:r w:rsidR="000E54C5" w:rsidRPr="000E54C5">
        <w:rPr>
          <w:lang w:val="fr-FR"/>
        </w:rPr>
        <w:t>.</w:t>
      </w:r>
      <w:r w:rsidRPr="008450E1">
        <w:rPr>
          <w:lang w:val="fr-FR"/>
        </w:rPr>
        <w:t xml:space="preserve"> Le fait que l</w:t>
      </w:r>
      <w:r>
        <w:rPr>
          <w:lang w:val="fr-FR"/>
        </w:rPr>
        <w:t>’</w:t>
      </w:r>
      <w:r w:rsidRPr="008450E1">
        <w:rPr>
          <w:lang w:val="fr-FR"/>
        </w:rPr>
        <w:t>auteur ne soit pas satisfait de l</w:t>
      </w:r>
      <w:r>
        <w:rPr>
          <w:lang w:val="fr-FR"/>
        </w:rPr>
        <w:t>’</w:t>
      </w:r>
      <w:r w:rsidRPr="008450E1">
        <w:rPr>
          <w:lang w:val="fr-FR"/>
        </w:rPr>
        <w:t>issue de l</w:t>
      </w:r>
      <w:r>
        <w:rPr>
          <w:lang w:val="fr-FR"/>
        </w:rPr>
        <w:t>’</w:t>
      </w:r>
      <w:r w:rsidRPr="008450E1">
        <w:rPr>
          <w:lang w:val="fr-FR"/>
        </w:rPr>
        <w:t>examen de son affaire pénale, mené conformément au droit interne en vigueur à l</w:t>
      </w:r>
      <w:r>
        <w:rPr>
          <w:lang w:val="fr-FR"/>
        </w:rPr>
        <w:t>’</w:t>
      </w:r>
      <w:r w:rsidRPr="008450E1">
        <w:rPr>
          <w:lang w:val="fr-FR"/>
        </w:rPr>
        <w:t>époque, ne constitue pas une violation des droits qui lui sont reconnus par le Pacte</w:t>
      </w:r>
      <w:r w:rsidR="000E54C5" w:rsidRPr="000E54C5">
        <w:rPr>
          <w:lang w:val="fr-FR"/>
        </w:rPr>
        <w:t>.</w:t>
      </w:r>
      <w:r w:rsidRPr="008450E1">
        <w:rPr>
          <w:lang w:val="fr-FR"/>
        </w:rPr>
        <w:t xml:space="preserve"> L</w:t>
      </w:r>
      <w:r>
        <w:rPr>
          <w:lang w:val="fr-FR"/>
        </w:rPr>
        <w:t>’</w:t>
      </w:r>
      <w:r w:rsidRPr="008450E1">
        <w:rPr>
          <w:lang w:val="fr-FR"/>
        </w:rPr>
        <w:t>État partie conclut que la communication de l</w:t>
      </w:r>
      <w:r>
        <w:rPr>
          <w:lang w:val="fr-FR"/>
        </w:rPr>
        <w:t>’</w:t>
      </w:r>
      <w:r w:rsidRPr="008450E1">
        <w:rPr>
          <w:lang w:val="fr-FR"/>
        </w:rPr>
        <w:t>auteur, dans son intégralité, constitue un abus du droit de présenter des communications et qu</w:t>
      </w:r>
      <w:r>
        <w:rPr>
          <w:lang w:val="fr-FR"/>
        </w:rPr>
        <w:t>’</w:t>
      </w:r>
      <w:r w:rsidRPr="008450E1">
        <w:rPr>
          <w:lang w:val="fr-FR"/>
        </w:rPr>
        <w:t>elle devrait être déclarée irrecevable au regard de l</w:t>
      </w:r>
      <w:r>
        <w:rPr>
          <w:lang w:val="fr-FR"/>
        </w:rPr>
        <w:t>’</w:t>
      </w:r>
      <w:r w:rsidRPr="008450E1">
        <w:rPr>
          <w:lang w:val="fr-FR"/>
        </w:rPr>
        <w:t>article 3 du Protocole facultatif</w:t>
      </w:r>
      <w:r w:rsidR="000E54C5" w:rsidRPr="000E54C5">
        <w:rPr>
          <w:lang w:val="fr-FR"/>
        </w:rPr>
        <w:t>.</w:t>
      </w:r>
    </w:p>
    <w:p w14:paraId="3553BA6D" w14:textId="77777777" w:rsidR="00D02AC5" w:rsidRPr="008450E1" w:rsidRDefault="00D02AC5" w:rsidP="00D02AC5">
      <w:pPr>
        <w:pStyle w:val="H23G"/>
        <w:rPr>
          <w:lang w:val="fr-FR"/>
        </w:rPr>
      </w:pPr>
      <w:r w:rsidRPr="008450E1">
        <w:rPr>
          <w:lang w:val="fr-FR"/>
        </w:rPr>
        <w:tab/>
      </w:r>
      <w:r w:rsidRPr="008450E1">
        <w:rPr>
          <w:lang w:val="fr-FR"/>
        </w:rPr>
        <w:tab/>
        <w:t>Commentaires de l</w:t>
      </w:r>
      <w:r>
        <w:rPr>
          <w:lang w:val="fr-FR"/>
        </w:rPr>
        <w:t>’</w:t>
      </w:r>
      <w:r w:rsidRPr="008450E1">
        <w:rPr>
          <w:lang w:val="fr-FR"/>
        </w:rPr>
        <w:t>auteur sur les observations de l</w:t>
      </w:r>
      <w:r>
        <w:rPr>
          <w:lang w:val="fr-FR"/>
        </w:rPr>
        <w:t>’</w:t>
      </w:r>
      <w:r w:rsidRPr="008450E1">
        <w:rPr>
          <w:lang w:val="fr-FR"/>
        </w:rPr>
        <w:t>État partie</w:t>
      </w:r>
      <w:r>
        <w:rPr>
          <w:lang w:val="fr-FR"/>
        </w:rPr>
        <w:t xml:space="preserve"> concernant </w:t>
      </w:r>
      <w:r w:rsidR="009B39F0">
        <w:rPr>
          <w:lang w:val="fr-FR"/>
        </w:rPr>
        <w:br/>
      </w:r>
      <w:r>
        <w:rPr>
          <w:lang w:val="fr-FR"/>
        </w:rPr>
        <w:t>la recevabilité et le fond</w:t>
      </w:r>
    </w:p>
    <w:p w14:paraId="6823AEDA" w14:textId="77777777" w:rsidR="00D02AC5" w:rsidRPr="008450E1" w:rsidRDefault="00D02AC5" w:rsidP="00D02AC5">
      <w:pPr>
        <w:pStyle w:val="SingleTxtG"/>
        <w:rPr>
          <w:lang w:val="fr-FR"/>
        </w:rPr>
      </w:pPr>
      <w:r w:rsidRPr="008450E1">
        <w:rPr>
          <w:lang w:val="fr-FR"/>
        </w:rPr>
        <w:t>5</w:t>
      </w:r>
      <w:r w:rsidR="000E54C5" w:rsidRPr="000E54C5">
        <w:rPr>
          <w:lang w:val="fr-FR"/>
        </w:rPr>
        <w:t>.</w:t>
      </w:r>
      <w:r w:rsidRPr="008450E1">
        <w:rPr>
          <w:lang w:val="fr-FR"/>
        </w:rPr>
        <w:tab/>
        <w:t>Le 10 août 2015, l</w:t>
      </w:r>
      <w:r>
        <w:rPr>
          <w:lang w:val="fr-FR"/>
        </w:rPr>
        <w:t>’</w:t>
      </w:r>
      <w:r w:rsidRPr="008450E1">
        <w:rPr>
          <w:lang w:val="fr-FR"/>
        </w:rPr>
        <w:t>auteur a présenté ses commentaires sur les observations de l</w:t>
      </w:r>
      <w:r>
        <w:rPr>
          <w:lang w:val="fr-FR"/>
        </w:rPr>
        <w:t>’</w:t>
      </w:r>
      <w:r w:rsidRPr="008450E1">
        <w:rPr>
          <w:lang w:val="fr-FR"/>
        </w:rPr>
        <w:t>État partie</w:t>
      </w:r>
      <w:r w:rsidR="000E54C5" w:rsidRPr="000E54C5">
        <w:rPr>
          <w:lang w:val="fr-FR"/>
        </w:rPr>
        <w:t>.</w:t>
      </w:r>
      <w:r w:rsidRPr="008450E1">
        <w:rPr>
          <w:lang w:val="fr-FR"/>
        </w:rPr>
        <w:t xml:space="preserve"> Il se dit en désaccord </w:t>
      </w:r>
      <w:r>
        <w:rPr>
          <w:lang w:val="fr-FR"/>
        </w:rPr>
        <w:t xml:space="preserve">total </w:t>
      </w:r>
      <w:r w:rsidRPr="008450E1">
        <w:rPr>
          <w:lang w:val="fr-FR"/>
        </w:rPr>
        <w:t>avec la position défendue par les autorités de l</w:t>
      </w:r>
      <w:r>
        <w:rPr>
          <w:lang w:val="fr-FR"/>
        </w:rPr>
        <w:t>’</w:t>
      </w:r>
      <w:r w:rsidRPr="008450E1">
        <w:rPr>
          <w:lang w:val="fr-FR"/>
        </w:rPr>
        <w:t>État partie et affirme qu</w:t>
      </w:r>
      <w:r>
        <w:rPr>
          <w:lang w:val="fr-FR"/>
        </w:rPr>
        <w:t>’</w:t>
      </w:r>
      <w:r w:rsidRPr="008450E1">
        <w:rPr>
          <w:lang w:val="fr-FR"/>
        </w:rPr>
        <w:t>il est inutile qu</w:t>
      </w:r>
      <w:r>
        <w:rPr>
          <w:lang w:val="fr-FR"/>
        </w:rPr>
        <w:t>’</w:t>
      </w:r>
      <w:r w:rsidRPr="008450E1">
        <w:rPr>
          <w:lang w:val="fr-FR"/>
        </w:rPr>
        <w:t>il la commente</w:t>
      </w:r>
      <w:r w:rsidR="000E54C5" w:rsidRPr="000E54C5">
        <w:rPr>
          <w:lang w:val="fr-FR"/>
        </w:rPr>
        <w:t>.</w:t>
      </w:r>
      <w:r w:rsidRPr="008450E1">
        <w:rPr>
          <w:lang w:val="fr-FR"/>
        </w:rPr>
        <w:t xml:space="preserve"> Il renvoie à la lettre initiale qu</w:t>
      </w:r>
      <w:r>
        <w:rPr>
          <w:lang w:val="fr-FR"/>
        </w:rPr>
        <w:t>’</w:t>
      </w:r>
      <w:r w:rsidRPr="008450E1">
        <w:rPr>
          <w:lang w:val="fr-FR"/>
        </w:rPr>
        <w:t xml:space="preserve">il a </w:t>
      </w:r>
      <w:r>
        <w:rPr>
          <w:lang w:val="fr-FR"/>
        </w:rPr>
        <w:t>adressée</w:t>
      </w:r>
      <w:r w:rsidRPr="008450E1">
        <w:rPr>
          <w:lang w:val="fr-FR"/>
        </w:rPr>
        <w:t xml:space="preserve"> au Comité et dans laquelle, selon lui, ses griefs et les arguments à l</w:t>
      </w:r>
      <w:r>
        <w:rPr>
          <w:lang w:val="fr-FR"/>
        </w:rPr>
        <w:t>’</w:t>
      </w:r>
      <w:r w:rsidRPr="008450E1">
        <w:rPr>
          <w:lang w:val="fr-FR"/>
        </w:rPr>
        <w:t>appui sont clairement expliqués</w:t>
      </w:r>
      <w:r w:rsidR="000E54C5" w:rsidRPr="000E54C5">
        <w:rPr>
          <w:lang w:val="fr-FR"/>
        </w:rPr>
        <w:t>.</w:t>
      </w:r>
    </w:p>
    <w:p w14:paraId="3BF7D76F" w14:textId="77777777" w:rsidR="00D02AC5" w:rsidRPr="008450E1" w:rsidRDefault="00D02AC5" w:rsidP="00D02AC5">
      <w:pPr>
        <w:pStyle w:val="H23G"/>
        <w:rPr>
          <w:lang w:val="fr-FR"/>
        </w:rPr>
      </w:pPr>
      <w:r w:rsidRPr="008450E1">
        <w:rPr>
          <w:lang w:val="fr-FR"/>
        </w:rPr>
        <w:tab/>
      </w:r>
      <w:r w:rsidRPr="008450E1">
        <w:rPr>
          <w:lang w:val="fr-FR"/>
        </w:rPr>
        <w:tab/>
        <w:t>Délibérations du Comité</w:t>
      </w:r>
    </w:p>
    <w:p w14:paraId="2E1088EE" w14:textId="77777777" w:rsidR="00D02AC5" w:rsidRPr="008450E1" w:rsidRDefault="00D02AC5" w:rsidP="00D02AC5">
      <w:pPr>
        <w:pStyle w:val="H4G"/>
        <w:rPr>
          <w:lang w:val="fr-FR"/>
        </w:rPr>
      </w:pPr>
      <w:r w:rsidRPr="008450E1">
        <w:rPr>
          <w:lang w:val="fr-FR"/>
        </w:rPr>
        <w:tab/>
      </w:r>
      <w:r w:rsidRPr="008450E1">
        <w:rPr>
          <w:lang w:val="fr-FR"/>
        </w:rPr>
        <w:tab/>
        <w:t>Examen de la recevabilité</w:t>
      </w:r>
    </w:p>
    <w:p w14:paraId="4B61D080" w14:textId="77777777" w:rsidR="00D02AC5" w:rsidRPr="008450E1" w:rsidRDefault="00D02AC5" w:rsidP="00D02AC5">
      <w:pPr>
        <w:pStyle w:val="SingleTxtG"/>
        <w:rPr>
          <w:lang w:val="fr-FR"/>
        </w:rPr>
      </w:pPr>
      <w:r w:rsidRPr="008450E1">
        <w:rPr>
          <w:lang w:val="fr-FR"/>
        </w:rPr>
        <w:t>6</w:t>
      </w:r>
      <w:r w:rsidR="000E54C5" w:rsidRPr="000E54C5">
        <w:rPr>
          <w:lang w:val="fr-FR"/>
        </w:rPr>
        <w:t>.</w:t>
      </w:r>
      <w:r w:rsidRPr="008450E1">
        <w:rPr>
          <w:lang w:val="fr-FR"/>
        </w:rPr>
        <w:t>1</w:t>
      </w:r>
      <w:r w:rsidRPr="008450E1">
        <w:rPr>
          <w:lang w:val="fr-FR"/>
        </w:rPr>
        <w:tab/>
        <w:t>Avant d</w:t>
      </w:r>
      <w:r>
        <w:rPr>
          <w:lang w:val="fr-FR"/>
        </w:rPr>
        <w:t>’</w:t>
      </w:r>
      <w:r w:rsidRPr="008450E1">
        <w:rPr>
          <w:lang w:val="fr-FR"/>
        </w:rPr>
        <w:t>examiner tout grief formulé dans une communication, le Comité des droits de l</w:t>
      </w:r>
      <w:r>
        <w:rPr>
          <w:lang w:val="fr-FR"/>
        </w:rPr>
        <w:t>’</w:t>
      </w:r>
      <w:r w:rsidRPr="008450E1">
        <w:rPr>
          <w:lang w:val="fr-FR"/>
        </w:rPr>
        <w:t>homme doit, conformément à l</w:t>
      </w:r>
      <w:r>
        <w:rPr>
          <w:lang w:val="fr-FR"/>
        </w:rPr>
        <w:t>’</w:t>
      </w:r>
      <w:r w:rsidRPr="008450E1">
        <w:rPr>
          <w:lang w:val="fr-FR"/>
        </w:rPr>
        <w:t>article</w:t>
      </w:r>
      <w:r>
        <w:rPr>
          <w:lang w:val="fr-FR"/>
        </w:rPr>
        <w:t> </w:t>
      </w:r>
      <w:r w:rsidRPr="008450E1">
        <w:rPr>
          <w:lang w:val="fr-FR"/>
        </w:rPr>
        <w:t>97 de son règlement intérieur, déterminer si la communication est recevable au regard du Protocole facultatif se rapportant au Pacte</w:t>
      </w:r>
      <w:r w:rsidR="000E54C5" w:rsidRPr="000E54C5">
        <w:rPr>
          <w:lang w:val="fr-FR"/>
        </w:rPr>
        <w:t>.</w:t>
      </w:r>
    </w:p>
    <w:p w14:paraId="0288A7A1" w14:textId="77777777" w:rsidR="00D02AC5" w:rsidRPr="008450E1" w:rsidRDefault="00D02AC5" w:rsidP="00D02AC5">
      <w:pPr>
        <w:pStyle w:val="SingleTxtG"/>
        <w:rPr>
          <w:lang w:val="fr-FR"/>
        </w:rPr>
      </w:pPr>
      <w:r w:rsidRPr="008450E1">
        <w:rPr>
          <w:lang w:val="fr-FR"/>
        </w:rPr>
        <w:t>6</w:t>
      </w:r>
      <w:r w:rsidR="000E54C5" w:rsidRPr="000E54C5">
        <w:rPr>
          <w:lang w:val="fr-FR"/>
        </w:rPr>
        <w:t>.</w:t>
      </w:r>
      <w:r w:rsidRPr="008450E1">
        <w:rPr>
          <w:lang w:val="fr-FR"/>
        </w:rPr>
        <w:t>2</w:t>
      </w:r>
      <w:r w:rsidRPr="008450E1">
        <w:rPr>
          <w:lang w:val="fr-FR"/>
        </w:rPr>
        <w:tab/>
        <w:t>Le Comité s</w:t>
      </w:r>
      <w:r>
        <w:rPr>
          <w:lang w:val="fr-FR"/>
        </w:rPr>
        <w:t>’</w:t>
      </w:r>
      <w:r w:rsidRPr="008450E1">
        <w:rPr>
          <w:lang w:val="fr-FR"/>
        </w:rPr>
        <w:t xml:space="preserve">est assuré, comme il est tenu de le faire conformément </w:t>
      </w:r>
      <w:r>
        <w:rPr>
          <w:lang w:val="fr-FR"/>
        </w:rPr>
        <w:t>à</w:t>
      </w:r>
      <w:r w:rsidRPr="008450E1">
        <w:rPr>
          <w:lang w:val="fr-FR"/>
        </w:rPr>
        <w:t xml:space="preserve"> l</w:t>
      </w:r>
      <w:r>
        <w:rPr>
          <w:lang w:val="fr-FR"/>
        </w:rPr>
        <w:t>’</w:t>
      </w:r>
      <w:r w:rsidRPr="008450E1">
        <w:rPr>
          <w:lang w:val="fr-FR"/>
        </w:rPr>
        <w:t>article</w:t>
      </w:r>
      <w:r>
        <w:rPr>
          <w:lang w:val="fr-FR"/>
        </w:rPr>
        <w:t> </w:t>
      </w:r>
      <w:r w:rsidRPr="008450E1">
        <w:rPr>
          <w:lang w:val="fr-FR"/>
        </w:rPr>
        <w:t>5</w:t>
      </w:r>
      <w:r>
        <w:rPr>
          <w:lang w:val="fr-FR"/>
        </w:rPr>
        <w:t xml:space="preserve"> (</w:t>
      </w:r>
      <w:r w:rsidRPr="008450E1">
        <w:rPr>
          <w:lang w:val="fr-FR"/>
        </w:rPr>
        <w:t>par</w:t>
      </w:r>
      <w:r w:rsidR="000E54C5" w:rsidRPr="000E54C5">
        <w:rPr>
          <w:lang w:val="fr-FR"/>
        </w:rPr>
        <w:t>.</w:t>
      </w:r>
      <w:r w:rsidRPr="008450E1">
        <w:rPr>
          <w:lang w:val="fr-FR"/>
        </w:rPr>
        <w:t> 2 a</w:t>
      </w:r>
      <w:r>
        <w:rPr>
          <w:lang w:val="fr-FR"/>
        </w:rPr>
        <w:t>)</w:t>
      </w:r>
      <w:r w:rsidRPr="008450E1">
        <w:rPr>
          <w:lang w:val="fr-FR"/>
        </w:rPr>
        <w:t>) du Protocole facultatif, que la même question n</w:t>
      </w:r>
      <w:r>
        <w:rPr>
          <w:lang w:val="fr-FR"/>
        </w:rPr>
        <w:t>’</w:t>
      </w:r>
      <w:r w:rsidRPr="008450E1">
        <w:rPr>
          <w:lang w:val="fr-FR"/>
        </w:rPr>
        <w:t>était pas déjà en cours d</w:t>
      </w:r>
      <w:r>
        <w:rPr>
          <w:lang w:val="fr-FR"/>
        </w:rPr>
        <w:t>’</w:t>
      </w:r>
      <w:r w:rsidRPr="008450E1">
        <w:rPr>
          <w:lang w:val="fr-FR"/>
        </w:rPr>
        <w:t>examen devant une autre instance internationale d</w:t>
      </w:r>
      <w:r>
        <w:rPr>
          <w:lang w:val="fr-FR"/>
        </w:rPr>
        <w:t>’</w:t>
      </w:r>
      <w:r w:rsidRPr="008450E1">
        <w:rPr>
          <w:lang w:val="fr-FR"/>
        </w:rPr>
        <w:t>enquête ou de règlement</w:t>
      </w:r>
      <w:r w:rsidR="000E54C5" w:rsidRPr="000E54C5">
        <w:rPr>
          <w:lang w:val="fr-FR"/>
        </w:rPr>
        <w:t>.</w:t>
      </w:r>
    </w:p>
    <w:p w14:paraId="4F9378E5" w14:textId="77777777" w:rsidR="00D02AC5" w:rsidRPr="008450E1" w:rsidRDefault="00D02AC5" w:rsidP="00D02AC5">
      <w:pPr>
        <w:pStyle w:val="SingleTxtG"/>
        <w:rPr>
          <w:lang w:val="fr-FR"/>
        </w:rPr>
      </w:pPr>
      <w:r w:rsidRPr="008450E1">
        <w:rPr>
          <w:lang w:val="fr-FR"/>
        </w:rPr>
        <w:t>6</w:t>
      </w:r>
      <w:r w:rsidR="000E54C5" w:rsidRPr="000E54C5">
        <w:rPr>
          <w:lang w:val="fr-FR"/>
        </w:rPr>
        <w:t>.</w:t>
      </w:r>
      <w:r w:rsidRPr="008450E1">
        <w:rPr>
          <w:lang w:val="fr-FR"/>
        </w:rPr>
        <w:t>3</w:t>
      </w:r>
      <w:r w:rsidRPr="008450E1">
        <w:rPr>
          <w:lang w:val="fr-FR"/>
        </w:rPr>
        <w:tab/>
        <w:t>Le Comité prend note de l</w:t>
      </w:r>
      <w:r>
        <w:rPr>
          <w:lang w:val="fr-FR"/>
        </w:rPr>
        <w:t>’</w:t>
      </w:r>
      <w:r w:rsidRPr="008450E1">
        <w:rPr>
          <w:lang w:val="fr-FR"/>
        </w:rPr>
        <w:t>argument de l</w:t>
      </w:r>
      <w:r>
        <w:rPr>
          <w:lang w:val="fr-FR"/>
        </w:rPr>
        <w:t>’</w:t>
      </w:r>
      <w:r w:rsidRPr="008450E1">
        <w:rPr>
          <w:lang w:val="fr-FR"/>
        </w:rPr>
        <w:t>auteur, qui affirme avoir épuisé tous les recours utiles dont il disposait</w:t>
      </w:r>
      <w:r w:rsidR="000E54C5" w:rsidRPr="000E54C5">
        <w:rPr>
          <w:lang w:val="fr-FR"/>
        </w:rPr>
        <w:t>.</w:t>
      </w:r>
      <w:r w:rsidRPr="008450E1">
        <w:rPr>
          <w:lang w:val="fr-FR"/>
        </w:rPr>
        <w:t xml:space="preserve"> L</w:t>
      </w:r>
      <w:r>
        <w:rPr>
          <w:lang w:val="fr-FR"/>
        </w:rPr>
        <w:t>’</w:t>
      </w:r>
      <w:r w:rsidRPr="008450E1">
        <w:rPr>
          <w:lang w:val="fr-FR"/>
        </w:rPr>
        <w:t>État partie n</w:t>
      </w:r>
      <w:r>
        <w:rPr>
          <w:lang w:val="fr-FR"/>
        </w:rPr>
        <w:t>’</w:t>
      </w:r>
      <w:r w:rsidRPr="008450E1">
        <w:rPr>
          <w:lang w:val="fr-FR"/>
        </w:rPr>
        <w:t>ayant pas formulé d</w:t>
      </w:r>
      <w:r>
        <w:rPr>
          <w:lang w:val="fr-FR"/>
        </w:rPr>
        <w:t>’</w:t>
      </w:r>
      <w:r w:rsidRPr="008450E1">
        <w:rPr>
          <w:lang w:val="fr-FR"/>
        </w:rPr>
        <w:t xml:space="preserve">objection à cet égard, le Comité considère que les conditions énoncées </w:t>
      </w:r>
      <w:r>
        <w:rPr>
          <w:lang w:val="fr-FR"/>
        </w:rPr>
        <w:t xml:space="preserve">à </w:t>
      </w:r>
      <w:r w:rsidRPr="008450E1">
        <w:rPr>
          <w:lang w:val="fr-FR"/>
        </w:rPr>
        <w:t>l</w:t>
      </w:r>
      <w:r>
        <w:rPr>
          <w:lang w:val="fr-FR"/>
        </w:rPr>
        <w:t>’</w:t>
      </w:r>
      <w:r w:rsidRPr="008450E1">
        <w:rPr>
          <w:lang w:val="fr-FR"/>
        </w:rPr>
        <w:t>article</w:t>
      </w:r>
      <w:r>
        <w:rPr>
          <w:lang w:val="fr-FR"/>
        </w:rPr>
        <w:t> </w:t>
      </w:r>
      <w:r w:rsidRPr="008450E1">
        <w:rPr>
          <w:lang w:val="fr-FR"/>
        </w:rPr>
        <w:t>5</w:t>
      </w:r>
      <w:r>
        <w:rPr>
          <w:lang w:val="fr-FR"/>
        </w:rPr>
        <w:t xml:space="preserve"> (</w:t>
      </w:r>
      <w:r w:rsidRPr="008450E1">
        <w:rPr>
          <w:lang w:val="fr-FR"/>
        </w:rPr>
        <w:t>par</w:t>
      </w:r>
      <w:r w:rsidR="000E54C5" w:rsidRPr="000E54C5">
        <w:rPr>
          <w:lang w:val="fr-FR"/>
        </w:rPr>
        <w:t>.</w:t>
      </w:r>
      <w:r>
        <w:rPr>
          <w:lang w:val="fr-FR"/>
        </w:rPr>
        <w:t> </w:t>
      </w:r>
      <w:r w:rsidRPr="008450E1">
        <w:rPr>
          <w:lang w:val="fr-FR"/>
        </w:rPr>
        <w:t>2</w:t>
      </w:r>
      <w:r>
        <w:rPr>
          <w:lang w:val="fr-FR"/>
        </w:rPr>
        <w:t> </w:t>
      </w:r>
      <w:r w:rsidRPr="008450E1">
        <w:rPr>
          <w:lang w:val="fr-FR"/>
        </w:rPr>
        <w:t>b</w:t>
      </w:r>
      <w:r>
        <w:rPr>
          <w:lang w:val="fr-FR"/>
        </w:rPr>
        <w:t>)</w:t>
      </w:r>
      <w:r w:rsidRPr="008450E1">
        <w:rPr>
          <w:lang w:val="fr-FR"/>
        </w:rPr>
        <w:t>) du Protocole facultatif sont remplies</w:t>
      </w:r>
      <w:r w:rsidR="000E54C5" w:rsidRPr="000E54C5">
        <w:rPr>
          <w:lang w:val="fr-FR"/>
        </w:rPr>
        <w:t>.</w:t>
      </w:r>
    </w:p>
    <w:p w14:paraId="6791C5E1" w14:textId="77777777" w:rsidR="00D02AC5" w:rsidRPr="008450E1" w:rsidRDefault="00D02AC5" w:rsidP="00D02AC5">
      <w:pPr>
        <w:pStyle w:val="SingleTxtG"/>
        <w:rPr>
          <w:lang w:val="fr-FR"/>
        </w:rPr>
      </w:pPr>
      <w:r w:rsidRPr="008450E1">
        <w:rPr>
          <w:lang w:val="fr-FR"/>
        </w:rPr>
        <w:lastRenderedPageBreak/>
        <w:t>6</w:t>
      </w:r>
      <w:r w:rsidR="000E54C5" w:rsidRPr="000E54C5">
        <w:rPr>
          <w:lang w:val="fr-FR"/>
        </w:rPr>
        <w:t>.</w:t>
      </w:r>
      <w:r w:rsidRPr="008450E1">
        <w:rPr>
          <w:lang w:val="fr-FR"/>
        </w:rPr>
        <w:t>4</w:t>
      </w:r>
      <w:r w:rsidRPr="008450E1">
        <w:rPr>
          <w:lang w:val="fr-FR"/>
        </w:rPr>
        <w:tab/>
        <w:t>Le Comité prend note également de la position de l</w:t>
      </w:r>
      <w:r>
        <w:rPr>
          <w:lang w:val="fr-FR"/>
        </w:rPr>
        <w:t>’</w:t>
      </w:r>
      <w:r w:rsidRPr="008450E1">
        <w:rPr>
          <w:lang w:val="fr-FR"/>
        </w:rPr>
        <w:t xml:space="preserve">État partie selon </w:t>
      </w:r>
      <w:r>
        <w:rPr>
          <w:lang w:val="fr-FR"/>
        </w:rPr>
        <w:t>laquelle</w:t>
      </w:r>
      <w:r w:rsidRPr="008450E1">
        <w:rPr>
          <w:lang w:val="fr-FR"/>
        </w:rPr>
        <w:t xml:space="preserve">, du fait de la soumission tardive de la communication, le Comité devrait </w:t>
      </w:r>
      <w:r>
        <w:rPr>
          <w:lang w:val="fr-FR"/>
        </w:rPr>
        <w:t>déclarer</w:t>
      </w:r>
      <w:r w:rsidRPr="008450E1">
        <w:rPr>
          <w:lang w:val="fr-FR"/>
        </w:rPr>
        <w:t xml:space="preserve"> celle-ci irrecevable au regard de l</w:t>
      </w:r>
      <w:r>
        <w:rPr>
          <w:lang w:val="fr-FR"/>
        </w:rPr>
        <w:t>’</w:t>
      </w:r>
      <w:r w:rsidRPr="008450E1">
        <w:rPr>
          <w:lang w:val="fr-FR"/>
        </w:rPr>
        <w:t>article</w:t>
      </w:r>
      <w:r>
        <w:rPr>
          <w:lang w:val="fr-FR"/>
        </w:rPr>
        <w:t> </w:t>
      </w:r>
      <w:r w:rsidRPr="008450E1">
        <w:rPr>
          <w:lang w:val="fr-FR"/>
        </w:rPr>
        <w:t>3 du Protocole facultatif, en ce qu</w:t>
      </w:r>
      <w:r>
        <w:rPr>
          <w:lang w:val="fr-FR"/>
        </w:rPr>
        <w:t>’</w:t>
      </w:r>
      <w:r w:rsidRPr="008450E1">
        <w:rPr>
          <w:lang w:val="fr-FR"/>
        </w:rPr>
        <w:t>elle constitue un abus du droit de présenter des communications</w:t>
      </w:r>
      <w:r w:rsidR="000E54C5" w:rsidRPr="000E54C5">
        <w:rPr>
          <w:lang w:val="fr-FR"/>
        </w:rPr>
        <w:t>.</w:t>
      </w:r>
    </w:p>
    <w:p w14:paraId="5E612DAA" w14:textId="77777777" w:rsidR="00D02AC5" w:rsidRPr="008450E1" w:rsidRDefault="00D02AC5" w:rsidP="00D02AC5">
      <w:pPr>
        <w:pStyle w:val="SingleTxtG"/>
        <w:rPr>
          <w:lang w:val="fr-FR"/>
        </w:rPr>
      </w:pPr>
      <w:r w:rsidRPr="008450E1">
        <w:rPr>
          <w:lang w:val="fr-FR"/>
        </w:rPr>
        <w:t>6</w:t>
      </w:r>
      <w:r w:rsidR="000E54C5" w:rsidRPr="000E54C5">
        <w:rPr>
          <w:lang w:val="fr-FR"/>
        </w:rPr>
        <w:t>.</w:t>
      </w:r>
      <w:r w:rsidRPr="008450E1">
        <w:rPr>
          <w:lang w:val="fr-FR"/>
        </w:rPr>
        <w:t>5</w:t>
      </w:r>
      <w:r w:rsidRPr="008450E1">
        <w:rPr>
          <w:lang w:val="fr-FR"/>
        </w:rPr>
        <w:tab/>
        <w:t>Le Comité fait observer sur ce point qu</w:t>
      </w:r>
      <w:r>
        <w:rPr>
          <w:lang w:val="fr-FR"/>
        </w:rPr>
        <w:t>’</w:t>
      </w:r>
      <w:r w:rsidRPr="008450E1">
        <w:rPr>
          <w:lang w:val="fr-FR"/>
        </w:rPr>
        <w:t>il n</w:t>
      </w:r>
      <w:r>
        <w:rPr>
          <w:lang w:val="fr-FR"/>
        </w:rPr>
        <w:t>’</w:t>
      </w:r>
      <w:r w:rsidRPr="008450E1">
        <w:rPr>
          <w:lang w:val="fr-FR"/>
        </w:rPr>
        <w:t>existe aucune échéance précise pour la présentation des communications au titre du Protocole facultatif et que le simple fait de présenter tardivement une communication ne constitue pas en soi un abus du droit de présenter des communications</w:t>
      </w:r>
      <w:r w:rsidRPr="00D02AC5">
        <w:rPr>
          <w:rStyle w:val="Appelnotedebasdep"/>
        </w:rPr>
        <w:footnoteReference w:id="13"/>
      </w:r>
      <w:r w:rsidR="000E54C5" w:rsidRPr="000E54C5">
        <w:rPr>
          <w:lang w:val="fr-FR"/>
        </w:rPr>
        <w:t>.</w:t>
      </w:r>
      <w:r w:rsidRPr="008450E1">
        <w:rPr>
          <w:lang w:val="fr-FR"/>
        </w:rPr>
        <w:t xml:space="preserve"> Néanmoins, dans certaines circonstances, le Comité s</w:t>
      </w:r>
      <w:r>
        <w:rPr>
          <w:lang w:val="fr-FR"/>
        </w:rPr>
        <w:t>’</w:t>
      </w:r>
      <w:r w:rsidRPr="008450E1">
        <w:rPr>
          <w:lang w:val="fr-FR"/>
        </w:rPr>
        <w:t xml:space="preserve">attend à une explication raisonnable pour justifier le </w:t>
      </w:r>
      <w:r w:rsidRPr="00AF303B">
        <w:rPr>
          <w:lang w:val="fr-FR"/>
        </w:rPr>
        <w:t>retard</w:t>
      </w:r>
      <w:r w:rsidRPr="00D02AC5">
        <w:rPr>
          <w:rStyle w:val="Appelnotedebasdep"/>
        </w:rPr>
        <w:footnoteReference w:id="14"/>
      </w:r>
      <w:r w:rsidR="000E54C5" w:rsidRPr="000E54C5">
        <w:rPr>
          <w:lang w:val="fr-FR"/>
        </w:rPr>
        <w:t>.</w:t>
      </w:r>
      <w:r w:rsidRPr="008450E1">
        <w:rPr>
          <w:lang w:val="fr-FR"/>
        </w:rPr>
        <w:t xml:space="preserve"> En outre, aux termes de l</w:t>
      </w:r>
      <w:r>
        <w:rPr>
          <w:lang w:val="fr-FR"/>
        </w:rPr>
        <w:t>’</w:t>
      </w:r>
      <w:r w:rsidRPr="008450E1">
        <w:rPr>
          <w:lang w:val="fr-FR"/>
        </w:rPr>
        <w:t>article</w:t>
      </w:r>
      <w:r>
        <w:rPr>
          <w:lang w:val="fr-FR"/>
        </w:rPr>
        <w:t> </w:t>
      </w:r>
      <w:r w:rsidRPr="008450E1">
        <w:rPr>
          <w:lang w:val="fr-FR"/>
        </w:rPr>
        <w:t>99</w:t>
      </w:r>
      <w:r>
        <w:rPr>
          <w:lang w:val="fr-FR"/>
        </w:rPr>
        <w:t> </w:t>
      </w:r>
      <w:r w:rsidRPr="008450E1">
        <w:rPr>
          <w:lang w:val="fr-FR"/>
        </w:rPr>
        <w:t>c) du règlement intérieur du Comité, il peut y avoir abus du droit de présenter des communications si la communication est soumise cinq ans après l</w:t>
      </w:r>
      <w:r>
        <w:rPr>
          <w:lang w:val="fr-FR"/>
        </w:rPr>
        <w:t>’</w:t>
      </w:r>
      <w:r w:rsidRPr="008450E1">
        <w:rPr>
          <w:lang w:val="fr-FR"/>
        </w:rPr>
        <w:t>épuisement des recours internes par son auteur ou, selon le cas, trois ans après l</w:t>
      </w:r>
      <w:r>
        <w:rPr>
          <w:lang w:val="fr-FR"/>
        </w:rPr>
        <w:t>’</w:t>
      </w:r>
      <w:r w:rsidRPr="008450E1">
        <w:rPr>
          <w:lang w:val="fr-FR"/>
        </w:rPr>
        <w:t>achèvement d</w:t>
      </w:r>
      <w:r>
        <w:rPr>
          <w:lang w:val="fr-FR"/>
        </w:rPr>
        <w:t>’</w:t>
      </w:r>
      <w:r w:rsidRPr="008450E1">
        <w:rPr>
          <w:lang w:val="fr-FR"/>
        </w:rPr>
        <w:t>une autre procédure internationale d</w:t>
      </w:r>
      <w:r>
        <w:rPr>
          <w:lang w:val="fr-FR"/>
        </w:rPr>
        <w:t>’</w:t>
      </w:r>
      <w:r w:rsidRPr="008450E1">
        <w:rPr>
          <w:lang w:val="fr-FR"/>
        </w:rPr>
        <w:t>enquête ou de règlement, sauf s</w:t>
      </w:r>
      <w:r>
        <w:rPr>
          <w:lang w:val="fr-FR"/>
        </w:rPr>
        <w:t>’</w:t>
      </w:r>
      <w:r w:rsidRPr="008450E1">
        <w:rPr>
          <w:lang w:val="fr-FR"/>
        </w:rPr>
        <w:t>il existe des raisons justifiant le retard compte tenu de toutes les circonstances de l</w:t>
      </w:r>
      <w:r>
        <w:rPr>
          <w:lang w:val="fr-FR"/>
        </w:rPr>
        <w:t>’</w:t>
      </w:r>
      <w:r w:rsidRPr="008450E1">
        <w:rPr>
          <w:lang w:val="fr-FR"/>
        </w:rPr>
        <w:t>affaire</w:t>
      </w:r>
      <w:r w:rsidRPr="00D02AC5">
        <w:rPr>
          <w:rStyle w:val="Appelnotedebasdep"/>
        </w:rPr>
        <w:footnoteReference w:id="15"/>
      </w:r>
      <w:r w:rsidR="000E54C5" w:rsidRPr="000E54C5">
        <w:rPr>
          <w:lang w:val="fr-FR"/>
        </w:rPr>
        <w:t>.</w:t>
      </w:r>
    </w:p>
    <w:p w14:paraId="5121C64C" w14:textId="77777777" w:rsidR="00D02AC5" w:rsidRPr="008450E1" w:rsidRDefault="00D02AC5" w:rsidP="00D02AC5">
      <w:pPr>
        <w:pStyle w:val="SingleTxtG"/>
        <w:rPr>
          <w:lang w:val="fr-FR"/>
        </w:rPr>
      </w:pPr>
      <w:r w:rsidRPr="008450E1">
        <w:rPr>
          <w:lang w:val="fr-FR"/>
        </w:rPr>
        <w:t>6</w:t>
      </w:r>
      <w:r w:rsidR="000E54C5" w:rsidRPr="000E54C5">
        <w:rPr>
          <w:lang w:val="fr-FR"/>
        </w:rPr>
        <w:t>.</w:t>
      </w:r>
      <w:r w:rsidRPr="008450E1">
        <w:rPr>
          <w:lang w:val="fr-FR"/>
        </w:rPr>
        <w:t>6</w:t>
      </w:r>
      <w:r w:rsidRPr="008450E1">
        <w:rPr>
          <w:lang w:val="fr-FR"/>
        </w:rPr>
        <w:tab/>
        <w:t>En l</w:t>
      </w:r>
      <w:r>
        <w:rPr>
          <w:lang w:val="fr-FR"/>
        </w:rPr>
        <w:t>’</w:t>
      </w:r>
      <w:r w:rsidRPr="008450E1">
        <w:rPr>
          <w:lang w:val="fr-FR"/>
        </w:rPr>
        <w:t xml:space="preserve">espèce, la communication a été présentée au Comité </w:t>
      </w:r>
      <w:r>
        <w:rPr>
          <w:lang w:val="fr-FR"/>
        </w:rPr>
        <w:t xml:space="preserve">dix-huit </w:t>
      </w:r>
      <w:r w:rsidRPr="008450E1">
        <w:rPr>
          <w:lang w:val="fr-FR"/>
        </w:rPr>
        <w:t xml:space="preserve">ans après que la décision rendue le 11 janvier 1996 par la Cour suprême ne rende la condamnation exécutoire et </w:t>
      </w:r>
      <w:r>
        <w:rPr>
          <w:lang w:val="fr-FR"/>
        </w:rPr>
        <w:t xml:space="preserve">huit </w:t>
      </w:r>
      <w:r w:rsidRPr="008450E1">
        <w:rPr>
          <w:lang w:val="fr-FR"/>
        </w:rPr>
        <w:t>ans après la révision de cette condamnation</w:t>
      </w:r>
      <w:r>
        <w:rPr>
          <w:lang w:val="fr-FR"/>
        </w:rPr>
        <w:t>,</w:t>
      </w:r>
      <w:r w:rsidRPr="008450E1">
        <w:rPr>
          <w:lang w:val="fr-FR"/>
        </w:rPr>
        <w:t xml:space="preserve"> décidée à la suite de l</w:t>
      </w:r>
      <w:r>
        <w:rPr>
          <w:lang w:val="fr-FR"/>
        </w:rPr>
        <w:t>’</w:t>
      </w:r>
      <w:r w:rsidRPr="008450E1">
        <w:rPr>
          <w:lang w:val="fr-FR"/>
        </w:rPr>
        <w:t>adoption d</w:t>
      </w:r>
      <w:r>
        <w:rPr>
          <w:lang w:val="fr-FR"/>
        </w:rPr>
        <w:t>’</w:t>
      </w:r>
      <w:r w:rsidRPr="008450E1">
        <w:rPr>
          <w:lang w:val="fr-FR"/>
        </w:rPr>
        <w:t>une nouvelle loi pénale qui prévoit une peine plus légère et a un effet rétroactif, respectivement le 4 mai 2006 par le tribunal municipal de Solikamsk et le 20 juin 2006 par le tribunal régional de Perm</w:t>
      </w:r>
      <w:r w:rsidR="000E54C5" w:rsidRPr="000E54C5">
        <w:rPr>
          <w:lang w:val="fr-FR"/>
        </w:rPr>
        <w:t>.</w:t>
      </w:r>
      <w:r w:rsidRPr="008450E1">
        <w:rPr>
          <w:lang w:val="fr-FR"/>
        </w:rPr>
        <w:t xml:space="preserve"> Le Comité fait remarquer que rien dans la communication ne permet de penser que les contacts de l</w:t>
      </w:r>
      <w:r>
        <w:rPr>
          <w:lang w:val="fr-FR"/>
        </w:rPr>
        <w:t>’</w:t>
      </w:r>
      <w:r w:rsidRPr="008450E1">
        <w:rPr>
          <w:lang w:val="fr-FR"/>
        </w:rPr>
        <w:t>auteur avec le monde extérieur à la prison étaient limités, compte tenu en particulier du nombre de plaintes qu</w:t>
      </w:r>
      <w:r>
        <w:rPr>
          <w:lang w:val="fr-FR"/>
        </w:rPr>
        <w:t>’</w:t>
      </w:r>
      <w:r w:rsidRPr="008450E1">
        <w:rPr>
          <w:lang w:val="fr-FR"/>
        </w:rPr>
        <w:t>il a déposées devant les autorités et juridictions nationales pendant qu</w:t>
      </w:r>
      <w:r>
        <w:rPr>
          <w:lang w:val="fr-FR"/>
        </w:rPr>
        <w:t>’</w:t>
      </w:r>
      <w:r w:rsidRPr="008450E1">
        <w:rPr>
          <w:lang w:val="fr-FR"/>
        </w:rPr>
        <w:t>il était en prison</w:t>
      </w:r>
      <w:r w:rsidR="000E54C5" w:rsidRPr="000E54C5">
        <w:rPr>
          <w:lang w:val="fr-FR"/>
        </w:rPr>
        <w:t>.</w:t>
      </w:r>
      <w:r w:rsidRPr="008450E1">
        <w:rPr>
          <w:lang w:val="fr-FR"/>
        </w:rPr>
        <w:t xml:space="preserve"> </w:t>
      </w:r>
      <w:r>
        <w:rPr>
          <w:lang w:val="fr-FR"/>
        </w:rPr>
        <w:t>Le Comité fait également remarquer</w:t>
      </w:r>
      <w:r>
        <w:t xml:space="preserve"> que les recours au titre de la procédure de contrôle introduits par l’auteur après 2006 étaient principalement fondés sur des circonstances et des faits antérieurs à 2006 ou survenus dans le courant de cette année</w:t>
      </w:r>
      <w:r w:rsidR="000E54C5" w:rsidRPr="000E54C5">
        <w:t>.</w:t>
      </w:r>
      <w:r>
        <w:t xml:space="preserve"> L’auteur, cependant, n’explique pas à quel moment il a découvert les irrégularités de procédure présumées dont il fait état dans la présente communication, ni pourquoi il n’a pas été en mesure de présenter sa communication plus tôt</w:t>
      </w:r>
      <w:r w:rsidR="000E54C5" w:rsidRPr="000E54C5">
        <w:t>.</w:t>
      </w:r>
      <w:r>
        <w:t xml:space="preserve"> En outre, il ne semble pas que les recours au titre de la procédure de contrôle les plus récents, introduits par l’auteur en 2013, contiennent d’éléments nouveaux qui soient distincts des allégations d’irrégularités de procédure déjà soulevées précédemment</w:t>
      </w:r>
      <w:r w:rsidR="000E54C5" w:rsidRPr="000E54C5">
        <w:t>.</w:t>
      </w:r>
      <w:r>
        <w:t xml:space="preserve"> </w:t>
      </w:r>
      <w:r>
        <w:rPr>
          <w:lang w:val="fr-FR"/>
        </w:rPr>
        <w:t xml:space="preserve">Le Comité </w:t>
      </w:r>
      <w:r w:rsidRPr="008450E1">
        <w:rPr>
          <w:lang w:val="fr-FR"/>
        </w:rPr>
        <w:t>considère donc que l</w:t>
      </w:r>
      <w:r>
        <w:rPr>
          <w:lang w:val="fr-FR"/>
        </w:rPr>
        <w:t>’</w:t>
      </w:r>
      <w:r w:rsidRPr="008450E1">
        <w:rPr>
          <w:lang w:val="fr-FR"/>
        </w:rPr>
        <w:t>auteur n</w:t>
      </w:r>
      <w:r>
        <w:rPr>
          <w:lang w:val="fr-FR"/>
        </w:rPr>
        <w:t>’</w:t>
      </w:r>
      <w:r w:rsidRPr="008450E1">
        <w:rPr>
          <w:lang w:val="fr-FR"/>
        </w:rPr>
        <w:t>a pas expliqué de manière convaincante le retard dans la soumission de sa communication</w:t>
      </w:r>
      <w:r w:rsidR="000E54C5" w:rsidRPr="000E54C5">
        <w:rPr>
          <w:lang w:val="fr-FR"/>
        </w:rPr>
        <w:t>.</w:t>
      </w:r>
      <w:r w:rsidRPr="008450E1">
        <w:rPr>
          <w:lang w:val="fr-FR"/>
        </w:rPr>
        <w:t xml:space="preserve"> Faute d</w:t>
      </w:r>
      <w:r>
        <w:rPr>
          <w:lang w:val="fr-FR"/>
        </w:rPr>
        <w:t>’</w:t>
      </w:r>
      <w:r w:rsidRPr="008450E1">
        <w:rPr>
          <w:lang w:val="fr-FR"/>
        </w:rPr>
        <w:t>explication, le Comité considère que la présentation de la communication après un délai aussi long constitue un abus du droit de présenter une communication</w:t>
      </w:r>
      <w:r w:rsidR="000E54C5" w:rsidRPr="000E54C5">
        <w:rPr>
          <w:lang w:val="fr-FR"/>
        </w:rPr>
        <w:t>.</w:t>
      </w:r>
      <w:r w:rsidRPr="008450E1">
        <w:rPr>
          <w:lang w:val="fr-FR"/>
        </w:rPr>
        <w:t xml:space="preserve"> Il déclare donc la communication irrecevable au regard de l</w:t>
      </w:r>
      <w:r>
        <w:rPr>
          <w:lang w:val="fr-FR"/>
        </w:rPr>
        <w:t>’</w:t>
      </w:r>
      <w:r w:rsidRPr="008450E1">
        <w:rPr>
          <w:lang w:val="fr-FR"/>
        </w:rPr>
        <w:t>article</w:t>
      </w:r>
      <w:r>
        <w:rPr>
          <w:lang w:val="fr-FR"/>
        </w:rPr>
        <w:t> </w:t>
      </w:r>
      <w:r w:rsidRPr="008450E1">
        <w:rPr>
          <w:lang w:val="fr-FR"/>
        </w:rPr>
        <w:t>3 du Protocole facultatif et de l</w:t>
      </w:r>
      <w:r>
        <w:rPr>
          <w:lang w:val="fr-FR"/>
        </w:rPr>
        <w:t>’</w:t>
      </w:r>
      <w:r w:rsidRPr="008450E1">
        <w:rPr>
          <w:lang w:val="fr-FR"/>
        </w:rPr>
        <w:t>article</w:t>
      </w:r>
      <w:r>
        <w:rPr>
          <w:lang w:val="fr-FR"/>
        </w:rPr>
        <w:t> </w:t>
      </w:r>
      <w:r w:rsidRPr="008450E1">
        <w:rPr>
          <w:lang w:val="fr-FR"/>
        </w:rPr>
        <w:t>99</w:t>
      </w:r>
      <w:r>
        <w:rPr>
          <w:lang w:val="fr-FR"/>
        </w:rPr>
        <w:t> </w:t>
      </w:r>
      <w:r w:rsidRPr="008450E1">
        <w:rPr>
          <w:lang w:val="fr-FR"/>
        </w:rPr>
        <w:t>c) de son règlement intérieur</w:t>
      </w:r>
      <w:r w:rsidR="000E54C5" w:rsidRPr="000E54C5">
        <w:rPr>
          <w:lang w:val="fr-FR"/>
        </w:rPr>
        <w:t>.</w:t>
      </w:r>
    </w:p>
    <w:p w14:paraId="17C12EE6" w14:textId="77777777" w:rsidR="00D02AC5" w:rsidRPr="008450E1" w:rsidRDefault="00D02AC5" w:rsidP="00D02AC5">
      <w:pPr>
        <w:pStyle w:val="SingleTxtG"/>
        <w:rPr>
          <w:lang w:val="fr-FR"/>
        </w:rPr>
      </w:pPr>
      <w:r w:rsidRPr="008450E1">
        <w:rPr>
          <w:lang w:val="fr-FR"/>
        </w:rPr>
        <w:t>6</w:t>
      </w:r>
      <w:r w:rsidR="005517EC">
        <w:rPr>
          <w:lang w:val="fr-FR"/>
        </w:rPr>
        <w:t>.</w:t>
      </w:r>
      <w:r w:rsidRPr="008450E1">
        <w:rPr>
          <w:lang w:val="fr-FR"/>
        </w:rPr>
        <w:t>7</w:t>
      </w:r>
      <w:r w:rsidRPr="008450E1">
        <w:rPr>
          <w:lang w:val="fr-FR"/>
        </w:rPr>
        <w:tab/>
        <w:t>Étant parvenu à cette conclusion, le Comité décide de ne pas examiner les autres arguments de l</w:t>
      </w:r>
      <w:r>
        <w:rPr>
          <w:lang w:val="fr-FR"/>
        </w:rPr>
        <w:t>’</w:t>
      </w:r>
      <w:r w:rsidRPr="008450E1">
        <w:rPr>
          <w:lang w:val="fr-FR"/>
        </w:rPr>
        <w:t>État partie concernant la recevabilité de la communication</w:t>
      </w:r>
      <w:r w:rsidR="000E54C5" w:rsidRPr="000E54C5">
        <w:rPr>
          <w:lang w:val="fr-FR"/>
        </w:rPr>
        <w:t>.</w:t>
      </w:r>
    </w:p>
    <w:p w14:paraId="6930E67F" w14:textId="77777777" w:rsidR="00D02AC5" w:rsidRPr="008450E1" w:rsidRDefault="00D02AC5" w:rsidP="00D02AC5">
      <w:pPr>
        <w:pStyle w:val="SingleTxtG"/>
        <w:keepNext/>
        <w:rPr>
          <w:lang w:val="fr-FR"/>
        </w:rPr>
      </w:pPr>
      <w:r w:rsidRPr="008450E1">
        <w:rPr>
          <w:lang w:val="fr-FR"/>
        </w:rPr>
        <w:t>7</w:t>
      </w:r>
      <w:r w:rsidR="000E54C5" w:rsidRPr="000E54C5">
        <w:rPr>
          <w:lang w:val="fr-FR"/>
        </w:rPr>
        <w:t>.</w:t>
      </w:r>
      <w:r w:rsidRPr="008450E1">
        <w:rPr>
          <w:lang w:val="fr-FR"/>
        </w:rPr>
        <w:tab/>
        <w:t>En conséquence, le Comité des droits de l</w:t>
      </w:r>
      <w:r>
        <w:rPr>
          <w:lang w:val="fr-FR"/>
        </w:rPr>
        <w:t>’</w:t>
      </w:r>
      <w:r w:rsidRPr="008450E1">
        <w:rPr>
          <w:lang w:val="fr-FR"/>
        </w:rPr>
        <w:t>homme décide</w:t>
      </w:r>
      <w:r>
        <w:rPr>
          <w:lang w:val="fr-FR"/>
        </w:rPr>
        <w:t> :</w:t>
      </w:r>
    </w:p>
    <w:p w14:paraId="14079824" w14:textId="77777777" w:rsidR="00D02AC5" w:rsidRPr="008450E1" w:rsidRDefault="00D02AC5" w:rsidP="00D02AC5">
      <w:pPr>
        <w:pStyle w:val="SingleTxtG"/>
        <w:keepNext/>
        <w:keepLines/>
        <w:ind w:firstLine="567"/>
        <w:rPr>
          <w:lang w:val="fr-FR"/>
        </w:rPr>
      </w:pPr>
      <w:r w:rsidRPr="008450E1">
        <w:rPr>
          <w:lang w:val="fr-FR"/>
        </w:rPr>
        <w:t>a)</w:t>
      </w:r>
      <w:r w:rsidRPr="008450E1">
        <w:rPr>
          <w:lang w:val="fr-FR"/>
        </w:rPr>
        <w:tab/>
        <w:t>Que la communication est irrecevable au regard de l</w:t>
      </w:r>
      <w:r>
        <w:rPr>
          <w:lang w:val="fr-FR"/>
        </w:rPr>
        <w:t>’</w:t>
      </w:r>
      <w:r w:rsidRPr="008450E1">
        <w:rPr>
          <w:lang w:val="fr-FR"/>
        </w:rPr>
        <w:t>article</w:t>
      </w:r>
      <w:r>
        <w:rPr>
          <w:lang w:val="fr-FR"/>
        </w:rPr>
        <w:t> </w:t>
      </w:r>
      <w:r w:rsidRPr="008450E1">
        <w:rPr>
          <w:lang w:val="fr-FR"/>
        </w:rPr>
        <w:t>3 du Protocole facultatif</w:t>
      </w:r>
      <w:r>
        <w:rPr>
          <w:lang w:val="fr-FR"/>
        </w:rPr>
        <w:t> ;</w:t>
      </w:r>
    </w:p>
    <w:p w14:paraId="0264562D" w14:textId="77777777" w:rsidR="00E85C42" w:rsidRDefault="00D02AC5" w:rsidP="00D02AC5">
      <w:pPr>
        <w:pStyle w:val="SingleTxtG"/>
        <w:rPr>
          <w:lang w:val="fr-FR"/>
        </w:rPr>
      </w:pPr>
      <w:r>
        <w:rPr>
          <w:lang w:val="fr-FR"/>
        </w:rPr>
        <w:tab/>
      </w:r>
      <w:r w:rsidRPr="008450E1">
        <w:rPr>
          <w:lang w:val="fr-FR"/>
        </w:rPr>
        <w:t>b)</w:t>
      </w:r>
      <w:r w:rsidRPr="008450E1">
        <w:rPr>
          <w:lang w:val="fr-FR"/>
        </w:rPr>
        <w:tab/>
        <w:t>Que la présente décision sera communiquée à l</w:t>
      </w:r>
      <w:r>
        <w:rPr>
          <w:lang w:val="fr-FR"/>
        </w:rPr>
        <w:t>’</w:t>
      </w:r>
      <w:r w:rsidRPr="008450E1">
        <w:rPr>
          <w:lang w:val="fr-FR"/>
        </w:rPr>
        <w:t>État partie et à l</w:t>
      </w:r>
      <w:r>
        <w:rPr>
          <w:lang w:val="fr-FR"/>
        </w:rPr>
        <w:t>’</w:t>
      </w:r>
      <w:r w:rsidRPr="008450E1">
        <w:rPr>
          <w:lang w:val="fr-FR"/>
        </w:rPr>
        <w:t>auteur de la</w:t>
      </w:r>
      <w:r>
        <w:rPr>
          <w:lang w:val="fr-FR"/>
        </w:rPr>
        <w:t> </w:t>
      </w:r>
      <w:r w:rsidRPr="008450E1">
        <w:rPr>
          <w:lang w:val="fr-FR"/>
        </w:rPr>
        <w:t>communication</w:t>
      </w:r>
      <w:r w:rsidR="000E54C5" w:rsidRPr="000E54C5">
        <w:rPr>
          <w:lang w:val="fr-FR"/>
        </w:rPr>
        <w:t>.</w:t>
      </w:r>
    </w:p>
    <w:p w14:paraId="5E4ABF8F" w14:textId="77777777" w:rsidR="00D02AC5" w:rsidRPr="00D02AC5" w:rsidRDefault="00D02AC5" w:rsidP="00D02AC5">
      <w:pPr>
        <w:pStyle w:val="SingleTxtG"/>
        <w:spacing w:before="240" w:after="0"/>
        <w:jc w:val="center"/>
        <w:rPr>
          <w:u w:val="single"/>
        </w:rPr>
      </w:pPr>
      <w:r>
        <w:rPr>
          <w:u w:val="single"/>
        </w:rPr>
        <w:tab/>
      </w:r>
      <w:r>
        <w:rPr>
          <w:u w:val="single"/>
        </w:rPr>
        <w:tab/>
      </w:r>
      <w:r>
        <w:rPr>
          <w:u w:val="single"/>
        </w:rPr>
        <w:tab/>
      </w:r>
    </w:p>
    <w:sectPr w:rsidR="00D02AC5" w:rsidRPr="00D02AC5" w:rsidSect="00D02A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DC8B" w14:textId="77777777" w:rsidR="008B36EC" w:rsidRDefault="008B36EC" w:rsidP="00F95C08">
      <w:pPr>
        <w:spacing w:line="240" w:lineRule="auto"/>
      </w:pPr>
    </w:p>
  </w:endnote>
  <w:endnote w:type="continuationSeparator" w:id="0">
    <w:p w14:paraId="2908CF61" w14:textId="77777777" w:rsidR="008B36EC" w:rsidRPr="00AC3823" w:rsidRDefault="008B36EC" w:rsidP="00AC3823">
      <w:pPr>
        <w:pStyle w:val="Pieddepage"/>
      </w:pPr>
    </w:p>
  </w:endnote>
  <w:endnote w:type="continuationNotice" w:id="1">
    <w:p w14:paraId="2B36742F" w14:textId="77777777" w:rsidR="008B36EC" w:rsidRDefault="008B36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1F32" w14:textId="77777777" w:rsidR="00D02AC5" w:rsidRPr="00D02AC5" w:rsidRDefault="00D02AC5" w:rsidP="00D02AC5">
    <w:pPr>
      <w:pStyle w:val="Pieddepage"/>
      <w:tabs>
        <w:tab w:val="right" w:pos="9638"/>
      </w:tabs>
    </w:pPr>
    <w:r w:rsidRPr="00D02AC5">
      <w:rPr>
        <w:b/>
        <w:sz w:val="18"/>
      </w:rPr>
      <w:fldChar w:fldCharType="begin"/>
    </w:r>
    <w:r w:rsidRPr="00D02AC5">
      <w:rPr>
        <w:b/>
        <w:sz w:val="18"/>
      </w:rPr>
      <w:instrText xml:space="preserve"> PAGE  \* MERGEFORMAT </w:instrText>
    </w:r>
    <w:r w:rsidRPr="00D02AC5">
      <w:rPr>
        <w:b/>
        <w:sz w:val="18"/>
      </w:rPr>
      <w:fldChar w:fldCharType="separate"/>
    </w:r>
    <w:r w:rsidRPr="00D02AC5">
      <w:rPr>
        <w:b/>
        <w:noProof/>
        <w:sz w:val="18"/>
      </w:rPr>
      <w:t>2</w:t>
    </w:r>
    <w:r w:rsidRPr="00D02AC5">
      <w:rPr>
        <w:b/>
        <w:sz w:val="18"/>
      </w:rPr>
      <w:fldChar w:fldCharType="end"/>
    </w:r>
    <w:r>
      <w:rPr>
        <w:b/>
        <w:sz w:val="18"/>
      </w:rPr>
      <w:tab/>
    </w:r>
    <w:r>
      <w:t>GE</w:t>
    </w:r>
    <w:r w:rsidR="000E54C5" w:rsidRPr="000E54C5">
      <w:t>.</w:t>
    </w:r>
    <w:r>
      <w:t>20-07889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7385" w14:textId="77777777" w:rsidR="00D02AC5" w:rsidRPr="00D02AC5" w:rsidRDefault="00D02AC5" w:rsidP="00D02AC5">
    <w:pPr>
      <w:pStyle w:val="Pieddepage"/>
      <w:tabs>
        <w:tab w:val="right" w:pos="9638"/>
      </w:tabs>
      <w:rPr>
        <w:b/>
        <w:sz w:val="18"/>
      </w:rPr>
    </w:pPr>
    <w:r>
      <w:t>GE</w:t>
    </w:r>
    <w:r w:rsidR="000E54C5" w:rsidRPr="000E54C5">
      <w:t>.</w:t>
    </w:r>
    <w:r>
      <w:t>20-07889</w:t>
    </w:r>
    <w:r>
      <w:tab/>
    </w:r>
    <w:r w:rsidRPr="00D02AC5">
      <w:rPr>
        <w:b/>
        <w:sz w:val="18"/>
      </w:rPr>
      <w:fldChar w:fldCharType="begin"/>
    </w:r>
    <w:r w:rsidRPr="00D02AC5">
      <w:rPr>
        <w:b/>
        <w:sz w:val="18"/>
      </w:rPr>
      <w:instrText xml:space="preserve"> PAGE  \* MERGEFORMAT </w:instrText>
    </w:r>
    <w:r w:rsidRPr="00D02AC5">
      <w:rPr>
        <w:b/>
        <w:sz w:val="18"/>
      </w:rPr>
      <w:fldChar w:fldCharType="separate"/>
    </w:r>
    <w:r w:rsidRPr="00D02AC5">
      <w:rPr>
        <w:b/>
        <w:noProof/>
        <w:sz w:val="18"/>
      </w:rPr>
      <w:t>3</w:t>
    </w:r>
    <w:r w:rsidRPr="00D02A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04AF" w14:textId="77777777" w:rsidR="001B379B" w:rsidRPr="00D02AC5" w:rsidRDefault="00D02AC5" w:rsidP="00D02AC5">
    <w:pPr>
      <w:pStyle w:val="Pieddepage"/>
      <w:spacing w:before="120"/>
      <w:rPr>
        <w:sz w:val="20"/>
      </w:rPr>
    </w:pPr>
    <w:r>
      <w:rPr>
        <w:sz w:val="20"/>
      </w:rPr>
      <w:t>GE</w:t>
    </w:r>
    <w:r w:rsidR="000E54C5" w:rsidRPr="000E54C5">
      <w:rPr>
        <w:sz w:val="20"/>
      </w:rPr>
      <w:t>.</w:t>
    </w:r>
    <w:r w:rsidR="001B379B">
      <w:rPr>
        <w:noProof/>
        <w:lang w:eastAsia="fr-CH"/>
      </w:rPr>
      <w:drawing>
        <wp:anchor distT="0" distB="0" distL="114300" distR="114300" simplePos="0" relativeHeight="251659264" behindDoc="0" locked="0" layoutInCell="1" allowOverlap="0" wp14:anchorId="00F75A90" wp14:editId="2C59ED80">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20-07889  (F)    181120    181120</w:t>
    </w:r>
    <w:r>
      <w:rPr>
        <w:sz w:val="20"/>
      </w:rPr>
      <w:br/>
    </w:r>
    <w:r w:rsidRPr="00D02AC5">
      <w:rPr>
        <w:rFonts w:ascii="C39T30Lfz" w:hAnsi="C39T30Lfz"/>
        <w:sz w:val="56"/>
      </w:rPr>
      <w:t>*2007889*</w:t>
    </w:r>
    <w:r>
      <w:rPr>
        <w:noProof/>
        <w:sz w:val="20"/>
      </w:rPr>
      <w:drawing>
        <wp:anchor distT="0" distB="0" distL="114300" distR="114300" simplePos="0" relativeHeight="251658240" behindDoc="0" locked="0" layoutInCell="1" allowOverlap="1" wp14:anchorId="4A4CE82F" wp14:editId="0374359C">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1CE4" w14:textId="77777777" w:rsidR="008B36EC" w:rsidRPr="00AC3823" w:rsidRDefault="008B36EC" w:rsidP="00AC3823">
      <w:pPr>
        <w:pStyle w:val="Pieddepage"/>
        <w:tabs>
          <w:tab w:val="right" w:pos="2155"/>
        </w:tabs>
        <w:spacing w:after="80" w:line="240" w:lineRule="atLeast"/>
        <w:ind w:left="680"/>
        <w:rPr>
          <w:u w:val="single"/>
        </w:rPr>
      </w:pPr>
      <w:r>
        <w:rPr>
          <w:u w:val="single"/>
        </w:rPr>
        <w:tab/>
      </w:r>
    </w:p>
  </w:footnote>
  <w:footnote w:type="continuationSeparator" w:id="0">
    <w:p w14:paraId="6E0FE0A5" w14:textId="77777777" w:rsidR="008B36EC" w:rsidRPr="00AC3823" w:rsidRDefault="008B36EC" w:rsidP="00AC3823">
      <w:pPr>
        <w:pStyle w:val="Pieddepage"/>
        <w:tabs>
          <w:tab w:val="right" w:pos="2155"/>
        </w:tabs>
        <w:spacing w:after="80" w:line="240" w:lineRule="atLeast"/>
        <w:ind w:left="680"/>
        <w:rPr>
          <w:u w:val="single"/>
        </w:rPr>
      </w:pPr>
      <w:r>
        <w:rPr>
          <w:u w:val="single"/>
        </w:rPr>
        <w:tab/>
      </w:r>
    </w:p>
  </w:footnote>
  <w:footnote w:type="continuationNotice" w:id="1">
    <w:p w14:paraId="4F998478" w14:textId="77777777" w:rsidR="008B36EC" w:rsidRPr="00AC3823" w:rsidRDefault="008B36EC">
      <w:pPr>
        <w:spacing w:line="240" w:lineRule="auto"/>
        <w:rPr>
          <w:sz w:val="2"/>
          <w:szCs w:val="2"/>
        </w:rPr>
      </w:pPr>
    </w:p>
  </w:footnote>
  <w:footnote w:id="2">
    <w:p w14:paraId="1C394FAE" w14:textId="77777777" w:rsidR="00D02AC5" w:rsidRPr="00BB355E" w:rsidRDefault="00D02AC5" w:rsidP="00D02AC5">
      <w:pPr>
        <w:pStyle w:val="Notedebasdepage"/>
      </w:pPr>
      <w:r w:rsidRPr="00BB355E">
        <w:rPr>
          <w:rStyle w:val="Appelnotedebasdep"/>
        </w:rPr>
        <w:tab/>
      </w:r>
      <w:r w:rsidRPr="00BB355E">
        <w:rPr>
          <w:rStyle w:val="Appelnotedebasdep"/>
          <w:sz w:val="20"/>
          <w:vertAlign w:val="baseline"/>
        </w:rPr>
        <w:t>*</w:t>
      </w:r>
      <w:r w:rsidRPr="00BB355E">
        <w:rPr>
          <w:rStyle w:val="Appelnotedebasdep"/>
          <w:sz w:val="20"/>
          <w:vertAlign w:val="baseline"/>
        </w:rPr>
        <w:tab/>
      </w:r>
      <w:r>
        <w:t xml:space="preserve">Décision adoptée par le Comité à sa </w:t>
      </w:r>
      <w:r>
        <w:t>128</w:t>
      </w:r>
      <w:r w:rsidRPr="005F385B">
        <w:rPr>
          <w:vertAlign w:val="superscript"/>
        </w:rPr>
        <w:t>e</w:t>
      </w:r>
      <w:r>
        <w:t xml:space="preserve"> session (2-27 mars 2020</w:t>
      </w:r>
      <w:r>
        <w:t>)</w:t>
      </w:r>
      <w:r w:rsidR="000E54C5" w:rsidRPr="000E54C5">
        <w:t>.</w:t>
      </w:r>
    </w:p>
  </w:footnote>
  <w:footnote w:id="3">
    <w:p w14:paraId="5DB28DEA" w14:textId="77777777" w:rsidR="00D02AC5" w:rsidRPr="00BB355E" w:rsidRDefault="00D02AC5" w:rsidP="00D02AC5">
      <w:pPr>
        <w:pStyle w:val="Notedebasdepage"/>
        <w:rPr>
          <w:sz w:val="16"/>
        </w:rPr>
      </w:pPr>
      <w:r w:rsidRPr="00BB355E">
        <w:tab/>
      </w:r>
      <w:r w:rsidRPr="00BB355E">
        <w:rPr>
          <w:sz w:val="20"/>
        </w:rPr>
        <w:t>**</w:t>
      </w:r>
      <w:r w:rsidRPr="00BB355E">
        <w:tab/>
        <w:t>L</w:t>
      </w:r>
      <w:r>
        <w:t xml:space="preserve">es membres du Comité </w:t>
      </w:r>
      <w:r w:rsidRPr="006864BE">
        <w:t>dont le nom suit</w:t>
      </w:r>
      <w:r>
        <w:t xml:space="preserve"> ont participé à l’examen de la </w:t>
      </w:r>
      <w:r w:rsidRPr="00DA449E">
        <w:t>communication</w:t>
      </w:r>
      <w:r>
        <w:t xml:space="preserve"> : </w:t>
      </w:r>
      <w:proofErr w:type="spellStart"/>
      <w:r w:rsidRPr="00EE3FBB">
        <w:t>Yadh</w:t>
      </w:r>
      <w:proofErr w:type="spellEnd"/>
      <w:r w:rsidRPr="00EE3FBB">
        <w:t xml:space="preserve"> Ben Achour, Arif </w:t>
      </w:r>
      <w:proofErr w:type="spellStart"/>
      <w:r w:rsidRPr="00EE3FBB">
        <w:t>Bulkan</w:t>
      </w:r>
      <w:proofErr w:type="spellEnd"/>
      <w:r w:rsidRPr="00EE3FBB">
        <w:t xml:space="preserve">, Ahmed Amin </w:t>
      </w:r>
      <w:proofErr w:type="spellStart"/>
      <w:r w:rsidRPr="00EE3FBB">
        <w:t>Fathalla</w:t>
      </w:r>
      <w:proofErr w:type="spellEnd"/>
      <w:r w:rsidRPr="00EE3FBB">
        <w:t xml:space="preserve">, </w:t>
      </w:r>
      <w:proofErr w:type="spellStart"/>
      <w:r w:rsidRPr="00EE3FBB">
        <w:t>Christof</w:t>
      </w:r>
      <w:proofErr w:type="spellEnd"/>
      <w:r w:rsidRPr="00EE3FBB">
        <w:t xml:space="preserve"> </w:t>
      </w:r>
      <w:proofErr w:type="spellStart"/>
      <w:r w:rsidRPr="00EE3FBB">
        <w:t>Heyns</w:t>
      </w:r>
      <w:proofErr w:type="spellEnd"/>
      <w:r w:rsidRPr="00EE3FBB">
        <w:t xml:space="preserve">, </w:t>
      </w:r>
      <w:proofErr w:type="spellStart"/>
      <w:r w:rsidRPr="00EE3FBB">
        <w:t>Bamariam</w:t>
      </w:r>
      <w:proofErr w:type="spellEnd"/>
      <w:r w:rsidRPr="00EE3FBB">
        <w:t xml:space="preserve"> </w:t>
      </w:r>
      <w:proofErr w:type="spellStart"/>
      <w:r w:rsidRPr="00EE3FBB">
        <w:t>Koita</w:t>
      </w:r>
      <w:proofErr w:type="spellEnd"/>
      <w:r w:rsidRPr="00EE3FBB">
        <w:t>, Marcia V</w:t>
      </w:r>
      <w:r w:rsidR="000E54C5" w:rsidRPr="000E54C5">
        <w:t>.</w:t>
      </w:r>
      <w:r w:rsidRPr="00EE3FBB">
        <w:t>J</w:t>
      </w:r>
      <w:r w:rsidR="000E54C5" w:rsidRPr="000E54C5">
        <w:t>.</w:t>
      </w:r>
      <w:r w:rsidRPr="00EE3FBB">
        <w:t xml:space="preserve"> </w:t>
      </w:r>
      <w:proofErr w:type="spellStart"/>
      <w:r w:rsidRPr="00EE3FBB">
        <w:t>Kran</w:t>
      </w:r>
      <w:proofErr w:type="spellEnd"/>
      <w:r w:rsidRPr="00EE3FBB">
        <w:t xml:space="preserve">, Duncan Laki </w:t>
      </w:r>
      <w:proofErr w:type="spellStart"/>
      <w:r w:rsidRPr="00EE3FBB">
        <w:t>Muhumuza</w:t>
      </w:r>
      <w:proofErr w:type="spellEnd"/>
      <w:r w:rsidRPr="00EE3FBB">
        <w:t xml:space="preserve">, </w:t>
      </w:r>
      <w:proofErr w:type="spellStart"/>
      <w:r w:rsidRPr="00EE3FBB">
        <w:t>Photini</w:t>
      </w:r>
      <w:proofErr w:type="spellEnd"/>
      <w:r w:rsidRPr="00EE3FBB">
        <w:t xml:space="preserve"> </w:t>
      </w:r>
      <w:proofErr w:type="spellStart"/>
      <w:r w:rsidRPr="00EE3FBB">
        <w:t>Pazartzis</w:t>
      </w:r>
      <w:proofErr w:type="spellEnd"/>
      <w:r w:rsidRPr="00EE3FBB">
        <w:t xml:space="preserve">, </w:t>
      </w:r>
      <w:proofErr w:type="spellStart"/>
      <w:r w:rsidRPr="00EE3FBB">
        <w:t>Vasilka</w:t>
      </w:r>
      <w:proofErr w:type="spellEnd"/>
      <w:r w:rsidRPr="00EE3FBB">
        <w:t xml:space="preserve"> </w:t>
      </w:r>
      <w:proofErr w:type="spellStart"/>
      <w:r w:rsidRPr="00EE3FBB">
        <w:t>Sancin</w:t>
      </w:r>
      <w:proofErr w:type="spellEnd"/>
      <w:r w:rsidRPr="00EE3FBB">
        <w:t xml:space="preserve">, José Manuel Santos Pais, Yuval </w:t>
      </w:r>
      <w:proofErr w:type="spellStart"/>
      <w:r w:rsidRPr="00EE3FBB">
        <w:t>Shany</w:t>
      </w:r>
      <w:proofErr w:type="spellEnd"/>
      <w:r w:rsidRPr="00EE3FBB">
        <w:t xml:space="preserve">, Hélène </w:t>
      </w:r>
      <w:proofErr w:type="spellStart"/>
      <w:r w:rsidRPr="00EE3FBB">
        <w:t>Tigroudja</w:t>
      </w:r>
      <w:proofErr w:type="spellEnd"/>
      <w:r w:rsidRPr="00EE3FBB">
        <w:t xml:space="preserve"> </w:t>
      </w:r>
      <w:r>
        <w:t>et</w:t>
      </w:r>
      <w:r w:rsidRPr="00EE3FBB">
        <w:t xml:space="preserve"> </w:t>
      </w:r>
      <w:proofErr w:type="spellStart"/>
      <w:r w:rsidRPr="00EE3FBB">
        <w:t>Gentian</w:t>
      </w:r>
      <w:proofErr w:type="spellEnd"/>
      <w:r w:rsidRPr="00EE3FBB">
        <w:t xml:space="preserve"> </w:t>
      </w:r>
      <w:proofErr w:type="spellStart"/>
      <w:r w:rsidRPr="00EE3FBB">
        <w:t>Zyberi</w:t>
      </w:r>
      <w:proofErr w:type="spellEnd"/>
      <w:r w:rsidR="000E54C5" w:rsidRPr="000E54C5">
        <w:t>.</w:t>
      </w:r>
    </w:p>
  </w:footnote>
  <w:footnote w:id="4">
    <w:p w14:paraId="25FB43B1" w14:textId="77777777" w:rsidR="00D02AC5" w:rsidRPr="00BB355E" w:rsidRDefault="00D02AC5" w:rsidP="00D02AC5">
      <w:pPr>
        <w:pStyle w:val="Notedebasdepage"/>
      </w:pPr>
      <w:r w:rsidRPr="00BB355E">
        <w:tab/>
      </w:r>
      <w:r w:rsidRPr="00D02AC5">
        <w:rPr>
          <w:rStyle w:val="Appelnotedebasdep"/>
        </w:rPr>
        <w:footnoteRef/>
      </w:r>
      <w:r w:rsidRPr="00BB355E">
        <w:tab/>
        <w:t>Art</w:t>
      </w:r>
      <w:r w:rsidR="000E54C5" w:rsidRPr="000E54C5">
        <w:t>.</w:t>
      </w:r>
      <w:r w:rsidRPr="00BB355E">
        <w:t> 146 (par</w:t>
      </w:r>
      <w:r w:rsidR="000E54C5" w:rsidRPr="000E54C5">
        <w:t>.</w:t>
      </w:r>
      <w:r w:rsidRPr="00BB355E">
        <w:t xml:space="preserve"> 2 a)) du Code pénal de 1960</w:t>
      </w:r>
      <w:r w:rsidR="000E54C5" w:rsidRPr="000E54C5">
        <w:t>.</w:t>
      </w:r>
    </w:p>
  </w:footnote>
  <w:footnote w:id="5">
    <w:p w14:paraId="3360B68B" w14:textId="77777777" w:rsidR="00D02AC5" w:rsidRPr="00BB355E" w:rsidRDefault="00D02AC5" w:rsidP="00D02AC5">
      <w:pPr>
        <w:pStyle w:val="Notedebasdepage"/>
      </w:pPr>
      <w:r w:rsidRPr="00BB355E">
        <w:tab/>
      </w:r>
      <w:r w:rsidRPr="00D02AC5">
        <w:rPr>
          <w:rStyle w:val="Appelnotedebasdep"/>
        </w:rPr>
        <w:footnoteRef/>
      </w:r>
      <w:r w:rsidRPr="00BB355E">
        <w:tab/>
        <w:t>Art</w:t>
      </w:r>
      <w:r w:rsidR="000E54C5" w:rsidRPr="000E54C5">
        <w:t>.</w:t>
      </w:r>
      <w:r w:rsidRPr="00BB355E">
        <w:t> 102 c), d), f) et i) du Code pénal de 1960</w:t>
      </w:r>
      <w:r w:rsidR="000E54C5" w:rsidRPr="000E54C5">
        <w:t>.</w:t>
      </w:r>
    </w:p>
  </w:footnote>
  <w:footnote w:id="6">
    <w:p w14:paraId="2047B2C9" w14:textId="77777777" w:rsidR="00D02AC5" w:rsidRPr="00BB355E" w:rsidRDefault="00D02AC5" w:rsidP="00D02AC5">
      <w:pPr>
        <w:pStyle w:val="Notedebasdepage"/>
      </w:pPr>
      <w:r w:rsidRPr="00BB355E">
        <w:tab/>
      </w:r>
      <w:r w:rsidRPr="00D02AC5">
        <w:rPr>
          <w:rStyle w:val="Appelnotedebasdep"/>
        </w:rPr>
        <w:footnoteRef/>
      </w:r>
      <w:r w:rsidRPr="00BB355E">
        <w:tab/>
        <w:t>Le 6 février 1985, l</w:t>
      </w:r>
      <w:r>
        <w:t>’</w:t>
      </w:r>
      <w:r w:rsidRPr="00BB355E">
        <w:t>auteur a été déclaré coupable de l</w:t>
      </w:r>
      <w:r>
        <w:t>’</w:t>
      </w:r>
      <w:r w:rsidRPr="00BB355E">
        <w:t>assassinat de son père et condamné à six années d</w:t>
      </w:r>
      <w:r>
        <w:t>’</w:t>
      </w:r>
      <w:r w:rsidRPr="00BB355E">
        <w:t>emprisonnement</w:t>
      </w:r>
      <w:r w:rsidR="000E54C5" w:rsidRPr="000E54C5">
        <w:t>.</w:t>
      </w:r>
      <w:r w:rsidRPr="00BB355E">
        <w:t xml:space="preserve"> </w:t>
      </w:r>
    </w:p>
  </w:footnote>
  <w:footnote w:id="7">
    <w:p w14:paraId="79A29D03" w14:textId="77777777" w:rsidR="00D02AC5" w:rsidRPr="00BB355E" w:rsidRDefault="00D02AC5" w:rsidP="00D02AC5">
      <w:pPr>
        <w:pStyle w:val="Notedebasdepage"/>
      </w:pPr>
      <w:r w:rsidRPr="00BB355E">
        <w:tab/>
      </w:r>
      <w:r w:rsidRPr="00D02AC5">
        <w:rPr>
          <w:rStyle w:val="Appelnotedebasdep"/>
        </w:rPr>
        <w:footnoteRef/>
      </w:r>
      <w:r w:rsidRPr="00BB355E">
        <w:tab/>
        <w:t>Sur la base d</w:t>
      </w:r>
      <w:r>
        <w:t>’</w:t>
      </w:r>
      <w:r w:rsidRPr="00BB355E">
        <w:t>une demande concernant la procédure que l</w:t>
      </w:r>
      <w:r>
        <w:t>’</w:t>
      </w:r>
      <w:r w:rsidRPr="00BB355E">
        <w:t>auteur avait déposée</w:t>
      </w:r>
      <w:r w:rsidR="000E54C5" w:rsidRPr="000E54C5">
        <w:t>.</w:t>
      </w:r>
    </w:p>
  </w:footnote>
  <w:footnote w:id="8">
    <w:p w14:paraId="6E6E6DAE" w14:textId="77777777" w:rsidR="00D02AC5" w:rsidRPr="00BB355E" w:rsidRDefault="00D02AC5" w:rsidP="00D02AC5">
      <w:pPr>
        <w:pStyle w:val="Notedebasdepage"/>
      </w:pPr>
      <w:r w:rsidRPr="00BB355E">
        <w:tab/>
      </w:r>
      <w:r w:rsidRPr="00D02AC5">
        <w:rPr>
          <w:rStyle w:val="Appelnotedebasdep"/>
        </w:rPr>
        <w:footnoteRef/>
      </w:r>
      <w:r w:rsidRPr="00BB355E">
        <w:tab/>
        <w:t>Il est fait référence à l</w:t>
      </w:r>
      <w:r>
        <w:t>’</w:t>
      </w:r>
      <w:r w:rsidRPr="00BB355E">
        <w:t>article 89 c) de la Constitution de la Fédération de Russie</w:t>
      </w:r>
      <w:r w:rsidR="000E54C5" w:rsidRPr="000E54C5">
        <w:t>.</w:t>
      </w:r>
    </w:p>
  </w:footnote>
  <w:footnote w:id="9">
    <w:p w14:paraId="1D729424" w14:textId="77777777" w:rsidR="000E54C5" w:rsidRDefault="00D02AC5" w:rsidP="00D02AC5">
      <w:pPr>
        <w:pStyle w:val="Notedebasdepage"/>
      </w:pPr>
      <w:r w:rsidRPr="00BB355E">
        <w:tab/>
      </w:r>
      <w:r w:rsidRPr="00D02AC5">
        <w:rPr>
          <w:rStyle w:val="Appelnotedebasdep"/>
        </w:rPr>
        <w:footnoteRef/>
      </w:r>
      <w:r w:rsidRPr="00BB355E">
        <w:tab/>
        <w:t>L</w:t>
      </w:r>
      <w:r>
        <w:t>’</w:t>
      </w:r>
      <w:r w:rsidRPr="00BB355E">
        <w:t xml:space="preserve">article 54 de la Constitution est ainsi libellé : </w:t>
      </w:r>
    </w:p>
    <w:p w14:paraId="4FA9DA28" w14:textId="77777777" w:rsidR="00D02AC5" w:rsidRPr="00BB355E" w:rsidRDefault="00D02AC5" w:rsidP="000E54C5">
      <w:pPr>
        <w:pStyle w:val="Notedebasdepage"/>
        <w:ind w:left="1418" w:firstLine="0"/>
      </w:pPr>
      <w:r w:rsidRPr="00BB355E">
        <w:t>1) Une loi qui introduit ou aggrave la responsabilité n</w:t>
      </w:r>
      <w:r>
        <w:t>’</w:t>
      </w:r>
      <w:r w:rsidRPr="00BB355E">
        <w:t>a pas d</w:t>
      </w:r>
      <w:r>
        <w:t>’</w:t>
      </w:r>
      <w:r w:rsidRPr="00BB355E">
        <w:t>effet rétroactif</w:t>
      </w:r>
      <w:r w:rsidR="000E54C5" w:rsidRPr="000E54C5">
        <w:t>.</w:t>
      </w:r>
      <w:r w:rsidRPr="00BB355E">
        <w:t xml:space="preserve"> 2) Nul ne peut être déclaré coupable d</w:t>
      </w:r>
      <w:r>
        <w:t>’</w:t>
      </w:r>
      <w:r w:rsidRPr="00BB355E">
        <w:t>un acte qui n</w:t>
      </w:r>
      <w:r>
        <w:t>’</w:t>
      </w:r>
      <w:r w:rsidRPr="00BB355E">
        <w:t>était pas considéré comme une infraction pénale au moment où il a été commis</w:t>
      </w:r>
      <w:r w:rsidR="000E54C5" w:rsidRPr="000E54C5">
        <w:t>.</w:t>
      </w:r>
      <w:r w:rsidRPr="00BB355E">
        <w:t xml:space="preserve"> Si, après la commission de l</w:t>
      </w:r>
      <w:r>
        <w:t>’</w:t>
      </w:r>
      <w:r w:rsidRPr="00BB355E">
        <w:t>infraction, une loi prévoit la suppression de la responsabilité pénale ou l</w:t>
      </w:r>
      <w:r>
        <w:t>’</w:t>
      </w:r>
      <w:r w:rsidRPr="00BB355E">
        <w:t>allégement de la peine, la nouvelle loi s</w:t>
      </w:r>
      <w:r>
        <w:t>’</w:t>
      </w:r>
      <w:r w:rsidRPr="00BB355E">
        <w:t>applique</w:t>
      </w:r>
      <w:r w:rsidR="000E54C5" w:rsidRPr="000E54C5">
        <w:t>.</w:t>
      </w:r>
    </w:p>
  </w:footnote>
  <w:footnote w:id="10">
    <w:p w14:paraId="42230965" w14:textId="77777777" w:rsidR="00D02AC5" w:rsidRPr="00BB355E" w:rsidRDefault="00D02AC5" w:rsidP="00D02AC5">
      <w:pPr>
        <w:pStyle w:val="Notedebasdepage"/>
      </w:pPr>
      <w:r w:rsidRPr="00BB355E">
        <w:tab/>
      </w:r>
      <w:r w:rsidRPr="00D02AC5">
        <w:rPr>
          <w:rStyle w:val="Appelnotedebasdep"/>
        </w:rPr>
        <w:footnoteRef/>
      </w:r>
      <w:r w:rsidRPr="00BB355E">
        <w:tab/>
        <w:t xml:space="preserve">Dans une lettre datée du 10 septembre 2013, le Président du tribunal régional de </w:t>
      </w:r>
      <w:proofErr w:type="spellStart"/>
      <w:r w:rsidRPr="00BB355E">
        <w:t>Chelyabinsk</w:t>
      </w:r>
      <w:proofErr w:type="spellEnd"/>
      <w:r w:rsidRPr="00BB355E">
        <w:t xml:space="preserve"> a informé l</w:t>
      </w:r>
      <w:r>
        <w:t>’</w:t>
      </w:r>
      <w:r w:rsidRPr="00BB355E">
        <w:t>auteur que rien dans son dossier pénal ne confirmait qu</w:t>
      </w:r>
      <w:r>
        <w:t>’</w:t>
      </w:r>
      <w:r w:rsidRPr="00BB355E">
        <w:t>il avait reçu une notification concernant la transmission du dossier de l</w:t>
      </w:r>
      <w:r>
        <w:t>’</w:t>
      </w:r>
      <w:r w:rsidRPr="00BB355E">
        <w:t>affaire le concernant, ainsi que les recours en cassation formés par les personnes condamnées et leurs avocats, pour une audience devant la Chambre juridictionnelle de la Cour suprême</w:t>
      </w:r>
      <w:r w:rsidR="000E54C5" w:rsidRPr="000E54C5">
        <w:t>.</w:t>
      </w:r>
    </w:p>
  </w:footnote>
  <w:footnote w:id="11">
    <w:p w14:paraId="552C51DD" w14:textId="77777777" w:rsidR="009B39F0" w:rsidRDefault="00D02AC5" w:rsidP="00D02AC5">
      <w:pPr>
        <w:pStyle w:val="Notedebasdepage"/>
      </w:pPr>
      <w:r w:rsidRPr="00BB355E">
        <w:tab/>
      </w:r>
      <w:r w:rsidRPr="00D02AC5">
        <w:rPr>
          <w:rStyle w:val="Appelnotedebasdep"/>
        </w:rPr>
        <w:footnoteRef/>
      </w:r>
      <w:r w:rsidRPr="00BB355E">
        <w:tab/>
        <w:t>L</w:t>
      </w:r>
      <w:r>
        <w:t>’</w:t>
      </w:r>
      <w:r w:rsidRPr="00BB355E">
        <w:t xml:space="preserve">article 327 du Code de procédure pénale (notification des objections soulevées et des recours déposés) dispose que : </w:t>
      </w:r>
    </w:p>
    <w:p w14:paraId="204D73E3" w14:textId="77777777" w:rsidR="009B39F0" w:rsidRDefault="009B39F0" w:rsidP="000E54C5">
      <w:pPr>
        <w:pStyle w:val="Notedebasdepage"/>
        <w:tabs>
          <w:tab w:val="clear" w:pos="1021"/>
        </w:tabs>
        <w:ind w:left="1418" w:firstLine="0"/>
      </w:pPr>
      <w:r>
        <w:tab/>
      </w:r>
      <w:r w:rsidR="00D02AC5" w:rsidRPr="00BB355E">
        <w:t>Le tribunal de première instance notifie tout condamné, toute personne acquittée et toutes parties à la procédure dont les intérêts sont concernés, de toute objection soulevée ou de tout recours déposé</w:t>
      </w:r>
      <w:r w:rsidR="000E54C5" w:rsidRPr="000E54C5">
        <w:t>.</w:t>
      </w:r>
      <w:r>
        <w:t xml:space="preserve"> </w:t>
      </w:r>
    </w:p>
    <w:p w14:paraId="566394D2" w14:textId="77777777" w:rsidR="009B39F0" w:rsidRDefault="009B39F0" w:rsidP="000E54C5">
      <w:pPr>
        <w:pStyle w:val="Notedebasdepage"/>
        <w:tabs>
          <w:tab w:val="clear" w:pos="1021"/>
        </w:tabs>
        <w:ind w:left="1418" w:firstLine="0"/>
      </w:pPr>
      <w:r>
        <w:tab/>
      </w:r>
      <w:r w:rsidR="00D02AC5" w:rsidRPr="00BB355E">
        <w:t>Tout condamné, toute personne acquittée et toutes autres parties à la procédure ont le droit de prendre connaissance de toute objection soulevée ou de tout recours déposé, et de soulever leurs propres objections les concernant</w:t>
      </w:r>
      <w:r w:rsidR="000E54C5" w:rsidRPr="000E54C5">
        <w:t>.</w:t>
      </w:r>
      <w:r>
        <w:t xml:space="preserve"> </w:t>
      </w:r>
    </w:p>
    <w:p w14:paraId="45510F76" w14:textId="77777777" w:rsidR="009B39F0" w:rsidRDefault="009B39F0" w:rsidP="000E54C5">
      <w:pPr>
        <w:pStyle w:val="Notedebasdepage"/>
        <w:tabs>
          <w:tab w:val="clear" w:pos="1021"/>
        </w:tabs>
        <w:ind w:left="1418" w:firstLine="0"/>
      </w:pPr>
      <w:r>
        <w:tab/>
      </w:r>
      <w:r w:rsidR="00D02AC5" w:rsidRPr="00BB355E">
        <w:t>La copie de toute objection soulevée ou de tout recours déposé par une partie lésée est transmise à la personne condamnée ou à la personne acquittée si elle en fait la demande</w:t>
      </w:r>
      <w:r w:rsidR="000E54C5" w:rsidRPr="000E54C5">
        <w:t>.</w:t>
      </w:r>
      <w:r>
        <w:t xml:space="preserve"> </w:t>
      </w:r>
    </w:p>
    <w:p w14:paraId="51CAED2B" w14:textId="77777777" w:rsidR="00D02AC5" w:rsidRPr="00BB355E" w:rsidRDefault="009B39F0" w:rsidP="000E54C5">
      <w:pPr>
        <w:pStyle w:val="Notedebasdepage"/>
        <w:tabs>
          <w:tab w:val="clear" w:pos="1021"/>
        </w:tabs>
        <w:ind w:left="1418" w:firstLine="0"/>
      </w:pPr>
      <w:r>
        <w:tab/>
      </w:r>
      <w:r w:rsidR="00D02AC5" w:rsidRPr="00BB355E">
        <w:t>Toute objection soulevée contre un recours déposé ou une objection précédente est versée au dossier ou transmise [à l</w:t>
      </w:r>
      <w:r w:rsidR="00D02AC5">
        <w:t>’</w:t>
      </w:r>
      <w:r w:rsidR="00D02AC5" w:rsidRPr="00BB355E">
        <w:t>instance qui connaîtra de l</w:t>
      </w:r>
      <w:r w:rsidR="00D02AC5">
        <w:t>’</w:t>
      </w:r>
      <w:r w:rsidR="00D02AC5" w:rsidRPr="00BB355E">
        <w:t xml:space="preserve">affaire] en complément du dossier dans un délai de </w:t>
      </w:r>
      <w:r w:rsidR="00D02AC5">
        <w:t>vingt</w:t>
      </w:r>
      <w:r w:rsidR="00D02AC5">
        <w:noBreakHyphen/>
        <w:t xml:space="preserve">quatre </w:t>
      </w:r>
      <w:r w:rsidR="00D02AC5" w:rsidRPr="00BB355E">
        <w:t>heures</w:t>
      </w:r>
      <w:r w:rsidR="000E54C5" w:rsidRPr="000E54C5">
        <w:t>.</w:t>
      </w:r>
    </w:p>
  </w:footnote>
  <w:footnote w:id="12">
    <w:p w14:paraId="70F97983" w14:textId="77777777" w:rsidR="00D02AC5" w:rsidRPr="00BB355E" w:rsidRDefault="00D02AC5" w:rsidP="00D02AC5">
      <w:pPr>
        <w:pStyle w:val="Notedebasdepage"/>
      </w:pPr>
      <w:r w:rsidRPr="00BB355E">
        <w:tab/>
      </w:r>
      <w:r w:rsidRPr="00D02AC5">
        <w:rPr>
          <w:rStyle w:val="Appelnotedebasdep"/>
        </w:rPr>
        <w:footnoteRef/>
      </w:r>
      <w:r w:rsidRPr="00BB355E">
        <w:tab/>
        <w:t>Conformément à l</w:t>
      </w:r>
      <w:r>
        <w:t>’</w:t>
      </w:r>
      <w:r w:rsidRPr="00BB355E">
        <w:t>article</w:t>
      </w:r>
      <w:r>
        <w:t> 1</w:t>
      </w:r>
      <w:r w:rsidRPr="00BB355E">
        <w:t xml:space="preserve"> (par</w:t>
      </w:r>
      <w:r w:rsidR="000E54C5" w:rsidRPr="000E54C5">
        <w:t>.</w:t>
      </w:r>
      <w:r w:rsidRPr="00BB355E">
        <w:t xml:space="preserve"> 2) du Code de procédure pénale de 1960 et </w:t>
      </w:r>
      <w:r>
        <w:t>à</w:t>
      </w:r>
      <w:r w:rsidRPr="00BB355E">
        <w:t xml:space="preserve"> l</w:t>
      </w:r>
      <w:r>
        <w:t>’</w:t>
      </w:r>
      <w:r w:rsidRPr="00BB355E">
        <w:t>article</w:t>
      </w:r>
      <w:r>
        <w:t> </w:t>
      </w:r>
      <w:r w:rsidRPr="00BB355E">
        <w:t>4 du Code de procédure pénale de 2002, les actes de procédure ou les décisions se fondent sur la loi de procédure pénale en vigueur</w:t>
      </w:r>
      <w:r w:rsidR="000E54C5" w:rsidRPr="000E54C5">
        <w:t>.</w:t>
      </w:r>
    </w:p>
  </w:footnote>
  <w:footnote w:id="13">
    <w:p w14:paraId="2DB79033" w14:textId="77777777" w:rsidR="00D02AC5" w:rsidRPr="00BB355E" w:rsidRDefault="00D02AC5" w:rsidP="00D02AC5">
      <w:pPr>
        <w:pStyle w:val="Notedebasdepage"/>
      </w:pPr>
      <w:r w:rsidRPr="00BB355E">
        <w:tab/>
      </w:r>
      <w:r w:rsidRPr="00D02AC5">
        <w:rPr>
          <w:rStyle w:val="Appelnotedebasdep"/>
        </w:rPr>
        <w:footnoteRef/>
      </w:r>
      <w:r w:rsidRPr="00BB355E">
        <w:tab/>
      </w:r>
      <w:proofErr w:type="spellStart"/>
      <w:r w:rsidRPr="00BB355E">
        <w:rPr>
          <w:i/>
        </w:rPr>
        <w:t>Polacková</w:t>
      </w:r>
      <w:proofErr w:type="spellEnd"/>
      <w:r w:rsidRPr="00BB355E">
        <w:rPr>
          <w:i/>
        </w:rPr>
        <w:t xml:space="preserve"> et </w:t>
      </w:r>
      <w:proofErr w:type="spellStart"/>
      <w:r w:rsidRPr="00BB355E">
        <w:rPr>
          <w:i/>
        </w:rPr>
        <w:t>Polacek</w:t>
      </w:r>
      <w:proofErr w:type="spellEnd"/>
      <w:r w:rsidRPr="00BB355E">
        <w:rPr>
          <w:i/>
        </w:rPr>
        <w:t xml:space="preserve"> c</w:t>
      </w:r>
      <w:r w:rsidR="000E54C5" w:rsidRPr="000E54C5">
        <w:rPr>
          <w:i/>
        </w:rPr>
        <w:t>.</w:t>
      </w:r>
      <w:r>
        <w:rPr>
          <w:i/>
        </w:rPr>
        <w:t> </w:t>
      </w:r>
      <w:r w:rsidRPr="00BB355E">
        <w:rPr>
          <w:i/>
        </w:rPr>
        <w:t xml:space="preserve">République tchèque </w:t>
      </w:r>
      <w:r w:rsidRPr="00BB355E">
        <w:rPr>
          <w:sz w:val="23"/>
          <w:szCs w:val="23"/>
        </w:rPr>
        <w:t>(</w:t>
      </w:r>
      <w:r w:rsidRPr="00BB355E">
        <w:t>CCPR/C/90/D/1445/2006), par</w:t>
      </w:r>
      <w:r w:rsidR="000E54C5" w:rsidRPr="000E54C5">
        <w:t>.</w:t>
      </w:r>
      <w:r>
        <w:t> </w:t>
      </w:r>
      <w:r w:rsidRPr="00BB355E">
        <w:t>6</w:t>
      </w:r>
      <w:r w:rsidR="000E54C5" w:rsidRPr="000E54C5">
        <w:t>.</w:t>
      </w:r>
      <w:r w:rsidRPr="00BB355E">
        <w:t xml:space="preserve">3 ; et </w:t>
      </w:r>
      <w:r w:rsidRPr="00BB355E">
        <w:rPr>
          <w:i/>
        </w:rPr>
        <w:t>D</w:t>
      </w:r>
      <w:r w:rsidR="000E54C5" w:rsidRPr="000E54C5">
        <w:rPr>
          <w:i/>
        </w:rPr>
        <w:t>.</w:t>
      </w:r>
      <w:r>
        <w:rPr>
          <w:i/>
        </w:rPr>
        <w:t> </w:t>
      </w:r>
      <w:r w:rsidRPr="00BB355E">
        <w:rPr>
          <w:i/>
        </w:rPr>
        <w:t>S</w:t>
      </w:r>
      <w:r w:rsidR="000E54C5" w:rsidRPr="000E54C5">
        <w:rPr>
          <w:i/>
        </w:rPr>
        <w:t>.</w:t>
      </w:r>
      <w:r>
        <w:rPr>
          <w:i/>
        </w:rPr>
        <w:t> </w:t>
      </w:r>
      <w:r w:rsidRPr="00BB355E">
        <w:rPr>
          <w:i/>
        </w:rPr>
        <w:t>c</w:t>
      </w:r>
      <w:r w:rsidR="000E54C5" w:rsidRPr="000E54C5">
        <w:rPr>
          <w:i/>
        </w:rPr>
        <w:t>.</w:t>
      </w:r>
      <w:r w:rsidRPr="00BB355E">
        <w:rPr>
          <w:i/>
        </w:rPr>
        <w:t> Fédération de Russie</w:t>
      </w:r>
      <w:r w:rsidRPr="00BB355E">
        <w:t xml:space="preserve"> (CCPR/C/120/D/2705/2015), par</w:t>
      </w:r>
      <w:r w:rsidR="000E54C5" w:rsidRPr="000E54C5">
        <w:t>.</w:t>
      </w:r>
      <w:r>
        <w:t> </w:t>
      </w:r>
      <w:r w:rsidRPr="00BB355E">
        <w:t>6</w:t>
      </w:r>
      <w:r w:rsidR="000E54C5" w:rsidRPr="000E54C5">
        <w:t>.</w:t>
      </w:r>
      <w:r w:rsidRPr="00BB355E">
        <w:t>4</w:t>
      </w:r>
      <w:r w:rsidR="000E54C5" w:rsidRPr="000E54C5">
        <w:t>.</w:t>
      </w:r>
      <w:r w:rsidRPr="00BB355E">
        <w:t xml:space="preserve"> </w:t>
      </w:r>
    </w:p>
  </w:footnote>
  <w:footnote w:id="14">
    <w:p w14:paraId="7623C6DF" w14:textId="77777777" w:rsidR="00D02AC5" w:rsidRPr="00BB355E" w:rsidRDefault="00D02AC5" w:rsidP="00D02AC5">
      <w:pPr>
        <w:pStyle w:val="Notedebasdepage"/>
      </w:pPr>
      <w:r w:rsidRPr="00BB355E">
        <w:tab/>
      </w:r>
      <w:r w:rsidRPr="00D02AC5">
        <w:rPr>
          <w:rStyle w:val="Appelnotedebasdep"/>
        </w:rPr>
        <w:footnoteRef/>
      </w:r>
      <w:r w:rsidRPr="00BB355E">
        <w:tab/>
      </w:r>
      <w:r w:rsidRPr="00BB355E">
        <w:rPr>
          <w:i/>
        </w:rPr>
        <w:t>Gobin c</w:t>
      </w:r>
      <w:r w:rsidR="000E54C5" w:rsidRPr="000E54C5">
        <w:rPr>
          <w:i/>
        </w:rPr>
        <w:t>.</w:t>
      </w:r>
      <w:r>
        <w:rPr>
          <w:i/>
        </w:rPr>
        <w:t> </w:t>
      </w:r>
      <w:r w:rsidRPr="00BB355E">
        <w:rPr>
          <w:i/>
        </w:rPr>
        <w:t>Maurice</w:t>
      </w:r>
      <w:r w:rsidRPr="00BB355E">
        <w:t xml:space="preserve"> (CCPR/C/72/D/787/1997), par</w:t>
      </w:r>
      <w:r w:rsidR="000E54C5" w:rsidRPr="000E54C5">
        <w:t>.</w:t>
      </w:r>
      <w:r>
        <w:t> </w:t>
      </w:r>
      <w:r w:rsidRPr="00BB355E">
        <w:t>6</w:t>
      </w:r>
      <w:r w:rsidR="000E54C5" w:rsidRPr="000E54C5">
        <w:t>.</w:t>
      </w:r>
      <w:r w:rsidRPr="00BB355E">
        <w:t>3</w:t>
      </w:r>
      <w:r w:rsidR="000E54C5" w:rsidRPr="000E54C5">
        <w:t>.</w:t>
      </w:r>
    </w:p>
  </w:footnote>
  <w:footnote w:id="15">
    <w:p w14:paraId="55914AC0" w14:textId="77777777" w:rsidR="00D02AC5" w:rsidRPr="00BB355E" w:rsidRDefault="00D02AC5" w:rsidP="00D02AC5">
      <w:pPr>
        <w:pStyle w:val="Notedebasdepage"/>
      </w:pPr>
      <w:r w:rsidRPr="00BB355E">
        <w:tab/>
      </w:r>
      <w:r w:rsidRPr="00D02AC5">
        <w:rPr>
          <w:rStyle w:val="Appelnotedebasdep"/>
        </w:rPr>
        <w:footnoteRef/>
      </w:r>
      <w:r w:rsidRPr="00BB355E">
        <w:tab/>
        <w:t>Cette règle s</w:t>
      </w:r>
      <w:r>
        <w:t>’</w:t>
      </w:r>
      <w:r w:rsidRPr="00BB355E">
        <w:t>applique aux communications reçues par le Comité après le 1</w:t>
      </w:r>
      <w:r w:rsidRPr="00953C67">
        <w:rPr>
          <w:vertAlign w:val="superscript"/>
        </w:rPr>
        <w:t>er</w:t>
      </w:r>
      <w:r>
        <w:rPr>
          <w:vertAlign w:val="superscript"/>
        </w:rPr>
        <w:t> </w:t>
      </w:r>
      <w:r w:rsidRPr="00BB355E">
        <w:t>janvier 2012</w:t>
      </w:r>
      <w:r w:rsidR="000E54C5" w:rsidRPr="000E54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8F99" w14:textId="120BC17F" w:rsidR="00D02AC5" w:rsidRPr="00D02AC5" w:rsidRDefault="00D02AC5">
    <w:pPr>
      <w:pStyle w:val="En-tte"/>
    </w:pPr>
    <w:fldSimple w:instr=" TITLE  \* MERGEFORMAT ">
      <w:r w:rsidR="00E451CE">
        <w:t>CCPR/C/128/D/2534/2015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5077" w14:textId="0718AEB1" w:rsidR="00D02AC5" w:rsidRPr="00D02AC5" w:rsidRDefault="00D02AC5" w:rsidP="00D02AC5">
    <w:pPr>
      <w:pStyle w:val="En-tte"/>
      <w:jc w:val="right"/>
    </w:pPr>
    <w:fldSimple w:instr=" TITLE  \* MERGEFORMAT ">
      <w:r w:rsidR="00E451CE">
        <w:t>CCPR/C/128/D/2534/2015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36EC"/>
    <w:rsid w:val="00017F94"/>
    <w:rsid w:val="00023842"/>
    <w:rsid w:val="000334F9"/>
    <w:rsid w:val="0007796D"/>
    <w:rsid w:val="000B7790"/>
    <w:rsid w:val="000C2225"/>
    <w:rsid w:val="000E54C5"/>
    <w:rsid w:val="00111F2F"/>
    <w:rsid w:val="00113676"/>
    <w:rsid w:val="0014365E"/>
    <w:rsid w:val="00176178"/>
    <w:rsid w:val="001B379B"/>
    <w:rsid w:val="001F525A"/>
    <w:rsid w:val="00223272"/>
    <w:rsid w:val="0024779E"/>
    <w:rsid w:val="002B7BC7"/>
    <w:rsid w:val="002E2D46"/>
    <w:rsid w:val="0032225A"/>
    <w:rsid w:val="003402F1"/>
    <w:rsid w:val="00351332"/>
    <w:rsid w:val="003A6E96"/>
    <w:rsid w:val="00446FE5"/>
    <w:rsid w:val="00452396"/>
    <w:rsid w:val="005505B7"/>
    <w:rsid w:val="005517EC"/>
    <w:rsid w:val="00573BE5"/>
    <w:rsid w:val="00586ED3"/>
    <w:rsid w:val="00596AA9"/>
    <w:rsid w:val="006F7144"/>
    <w:rsid w:val="006F71EA"/>
    <w:rsid w:val="0071601D"/>
    <w:rsid w:val="00793E85"/>
    <w:rsid w:val="007A611C"/>
    <w:rsid w:val="007A62E6"/>
    <w:rsid w:val="007E2032"/>
    <w:rsid w:val="0080684C"/>
    <w:rsid w:val="008560DB"/>
    <w:rsid w:val="00871C75"/>
    <w:rsid w:val="008776DC"/>
    <w:rsid w:val="008B36EC"/>
    <w:rsid w:val="009705C8"/>
    <w:rsid w:val="009B1E6C"/>
    <w:rsid w:val="009B39F0"/>
    <w:rsid w:val="009E2C6A"/>
    <w:rsid w:val="00A9151D"/>
    <w:rsid w:val="00AA6A35"/>
    <w:rsid w:val="00AC3823"/>
    <w:rsid w:val="00AE323C"/>
    <w:rsid w:val="00B00181"/>
    <w:rsid w:val="00B765F7"/>
    <w:rsid w:val="00BA0CA9"/>
    <w:rsid w:val="00C01ACF"/>
    <w:rsid w:val="00C02897"/>
    <w:rsid w:val="00CA7BC4"/>
    <w:rsid w:val="00D02AC5"/>
    <w:rsid w:val="00D05667"/>
    <w:rsid w:val="00D3439C"/>
    <w:rsid w:val="00D744E5"/>
    <w:rsid w:val="00D83177"/>
    <w:rsid w:val="00DB1831"/>
    <w:rsid w:val="00DD3BFD"/>
    <w:rsid w:val="00DF6678"/>
    <w:rsid w:val="00E451CE"/>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602E84"/>
  <w15:docId w15:val="{1249F9A7-2C6E-4CDE-B0CF-F3BA0273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02AC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7</Pages>
  <Words>3662</Words>
  <Characters>21466</Characters>
  <Application>Microsoft Office Word</Application>
  <DocSecurity>0</DocSecurity>
  <Lines>1951</Lines>
  <Paragraphs>837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CCPR/C/128/D/2534/2015</dc:title>
  <dc:subject/>
  <dc:creator>Maud DARICHE</dc:creator>
  <cp:keywords/>
  <cp:lastModifiedBy>Maud Dariche</cp:lastModifiedBy>
  <cp:revision>3</cp:revision>
  <cp:lastPrinted>2020-11-18T12:15:00Z</cp:lastPrinted>
  <dcterms:created xsi:type="dcterms:W3CDTF">2020-11-18T12:15:00Z</dcterms:created>
  <dcterms:modified xsi:type="dcterms:W3CDTF">2020-11-18T12:16:00Z</dcterms:modified>
</cp:coreProperties>
</file>