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34694" w:rsidRDefault="00A34694" w:rsidP="00B614C4">
            <w:pPr>
              <w:spacing w:line="240" w:lineRule="atLeast"/>
              <w:jc w:val="right"/>
              <w:rPr>
                <w:sz w:val="20"/>
                <w:szCs w:val="21"/>
              </w:rPr>
            </w:pPr>
            <w:r w:rsidRPr="00A34694">
              <w:rPr>
                <w:sz w:val="40"/>
                <w:szCs w:val="21"/>
              </w:rPr>
              <w:t>CCPR</w:t>
            </w:r>
            <w:r>
              <w:rPr>
                <w:sz w:val="20"/>
                <w:szCs w:val="21"/>
              </w:rPr>
              <w:t>/C/126/D/2716/2016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A34694" w:rsidRPr="00A34694" w:rsidRDefault="00CE1D1C" w:rsidP="00A34694">
            <w:pPr>
              <w:spacing w:before="240"/>
              <w:rPr>
                <w:sz w:val="20"/>
              </w:rPr>
            </w:pPr>
            <w:r w:rsidRPr="00A34694">
              <w:rPr>
                <w:sz w:val="20"/>
              </w:rPr>
              <w:t>Distr.:</w:t>
            </w:r>
            <w:r w:rsidR="00A34694" w:rsidRPr="00A34694">
              <w:rPr>
                <w:sz w:val="20"/>
              </w:rPr>
              <w:t xml:space="preserve"> General</w:t>
            </w:r>
          </w:p>
          <w:p w:rsidR="00CE1D1C" w:rsidRPr="00A34694" w:rsidRDefault="00A34694" w:rsidP="00A34694">
            <w:pPr>
              <w:spacing w:line="240" w:lineRule="atLeast"/>
              <w:rPr>
                <w:sz w:val="20"/>
              </w:rPr>
            </w:pPr>
            <w:r w:rsidRPr="00A34694">
              <w:rPr>
                <w:sz w:val="20"/>
              </w:rPr>
              <w:t>24 September 2019</w:t>
            </w:r>
          </w:p>
          <w:p w:rsidR="00CE1D1C" w:rsidRPr="00A34694" w:rsidRDefault="00CE1D1C" w:rsidP="00B614C4">
            <w:pPr>
              <w:spacing w:line="240" w:lineRule="atLeast"/>
              <w:rPr>
                <w:sz w:val="20"/>
              </w:rPr>
            </w:pPr>
            <w:r w:rsidRPr="00A34694">
              <w:rPr>
                <w:sz w:val="20"/>
              </w:rPr>
              <w:t>Chinese</w:t>
            </w:r>
          </w:p>
          <w:p w:rsidR="00CE1D1C" w:rsidRPr="00F124C6" w:rsidRDefault="00CE1D1C" w:rsidP="00B614C4">
            <w:pPr>
              <w:spacing w:line="240" w:lineRule="atLeast"/>
            </w:pPr>
            <w:r w:rsidRPr="00A34694">
              <w:rPr>
                <w:sz w:val="20"/>
              </w:rPr>
              <w:t>Original: English</w:t>
            </w:r>
          </w:p>
        </w:tc>
      </w:tr>
    </w:tbl>
    <w:p w:rsidR="00344DA6" w:rsidRPr="00B763E0" w:rsidRDefault="00344DA6" w:rsidP="00344DA6">
      <w:pPr>
        <w:spacing w:before="120"/>
        <w:rPr>
          <w:rFonts w:eastAsia="黑体"/>
          <w:bCs/>
          <w:sz w:val="24"/>
          <w:szCs w:val="24"/>
        </w:rPr>
      </w:pPr>
      <w:r w:rsidRPr="00B763E0">
        <w:rPr>
          <w:rFonts w:eastAsia="黑体" w:hint="eastAsia"/>
          <w:bCs/>
          <w:sz w:val="24"/>
          <w:szCs w:val="24"/>
        </w:rPr>
        <w:t>人权事务委员会</w:t>
      </w:r>
    </w:p>
    <w:p w:rsidR="00344DA6" w:rsidRPr="00B763E0" w:rsidRDefault="00344DA6" w:rsidP="005B4328">
      <w:pPr>
        <w:pStyle w:val="HChGC"/>
        <w:jc w:val="both"/>
        <w:rPr>
          <w:b/>
        </w:rPr>
      </w:pPr>
      <w:r w:rsidRPr="00B763E0">
        <w:rPr>
          <w:rFonts w:hint="eastAsia"/>
        </w:rPr>
        <w:tab/>
      </w:r>
      <w:r w:rsidRPr="00B763E0">
        <w:rPr>
          <w:rFonts w:hint="eastAsia"/>
        </w:rPr>
        <w:tab/>
      </w:r>
      <w:r w:rsidRPr="00B763E0">
        <w:rPr>
          <w:rFonts w:hint="eastAsia"/>
        </w:rPr>
        <w:t>委员会根据《任择议定书》第五条第四款通过的关于第</w:t>
      </w:r>
      <w:r w:rsidRPr="00B763E0">
        <w:rPr>
          <w:rFonts w:hint="eastAsia"/>
        </w:rPr>
        <w:t>2716/2016</w:t>
      </w:r>
      <w:r w:rsidRPr="00B763E0">
        <w:rPr>
          <w:rFonts w:hint="eastAsia"/>
        </w:rPr>
        <w:t>号来文的意见</w:t>
      </w:r>
      <w:r w:rsidRPr="006B42CC">
        <w:rPr>
          <w:snapToGrid w:val="0"/>
          <w:color w:val="0000CC"/>
        </w:rPr>
        <w:footnoteReference w:customMarkFollows="1" w:id="2"/>
        <w:sym w:font="Symbol" w:char="F02A"/>
      </w:r>
      <w:r w:rsidRPr="006B42CC">
        <w:rPr>
          <w:color w:val="0000CC"/>
        </w:rPr>
        <w:t xml:space="preserve"> </w:t>
      </w:r>
      <w:r w:rsidRPr="006B42CC">
        <w:rPr>
          <w:snapToGrid w:val="0"/>
          <w:color w:val="0000CC"/>
        </w:rPr>
        <w:footnoteReference w:customMarkFollows="1" w:id="3"/>
        <w:sym w:font="Symbol" w:char="F02A"/>
      </w:r>
      <w:r w:rsidRPr="006B42CC">
        <w:rPr>
          <w:snapToGrid w:val="0"/>
          <w:color w:val="0000CC"/>
        </w:rPr>
        <w:sym w:font="Symbol" w:char="F02A"/>
      </w:r>
      <w:r w:rsidRPr="006B42CC">
        <w:rPr>
          <w:color w:val="0000CC"/>
        </w:rPr>
        <w:t xml:space="preserve"> </w:t>
      </w:r>
      <w:r w:rsidRPr="006B42CC">
        <w:rPr>
          <w:snapToGrid w:val="0"/>
          <w:color w:val="0000CC"/>
        </w:rPr>
        <w:footnoteReference w:customMarkFollows="1" w:id="4"/>
        <w:sym w:font="Symbol" w:char="F02A"/>
      </w:r>
      <w:r w:rsidRPr="006B42CC">
        <w:rPr>
          <w:snapToGrid w:val="0"/>
          <w:color w:val="0000CC"/>
        </w:rPr>
        <w:sym w:font="Symbol" w:char="F02A"/>
      </w:r>
      <w:r w:rsidRPr="006B42CC">
        <w:rPr>
          <w:snapToGrid w:val="0"/>
          <w:color w:val="0000CC"/>
        </w:rPr>
        <w:sym w:font="Symbol" w:char="F02A"/>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636DF5" w:rsidRPr="005449F5" w:rsidTr="00334EEB">
        <w:tc>
          <w:tcPr>
            <w:tcW w:w="2126" w:type="dxa"/>
            <w:shd w:val="clear" w:color="auto" w:fill="auto"/>
          </w:tcPr>
          <w:p w:rsidR="00636DF5" w:rsidRPr="00B25F34" w:rsidRDefault="00636DF5" w:rsidP="00636DF5">
            <w:pPr>
              <w:pStyle w:val="SingleTxtG"/>
              <w:spacing w:line="320" w:lineRule="exact"/>
              <w:ind w:left="3" w:right="0"/>
              <w:jc w:val="left"/>
            </w:pPr>
            <w:r w:rsidRPr="00B25F34">
              <w:rPr>
                <w:rFonts w:eastAsia="楷体" w:hint="eastAsia"/>
                <w:sz w:val="21"/>
              </w:rPr>
              <w:t>来文提交人：</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Egl</w:t>
            </w:r>
            <w:r w:rsidRPr="00B25F34">
              <w:rPr>
                <w:rFonts w:ascii="Cambria" w:hAnsi="Cambria" w:cs="Cambria"/>
                <w:sz w:val="21"/>
              </w:rPr>
              <w:t>ė</w:t>
            </w:r>
            <w:r w:rsidRPr="00B25F34">
              <w:rPr>
                <w:rFonts w:hint="eastAsia"/>
                <w:sz w:val="21"/>
              </w:rPr>
              <w:t xml:space="preserve"> Kusait</w:t>
            </w:r>
            <w:r w:rsidRPr="00B25F34">
              <w:rPr>
                <w:rFonts w:ascii="Cambria" w:hAnsi="Cambria" w:cs="Cambria"/>
                <w:sz w:val="21"/>
              </w:rPr>
              <w:t>ė</w:t>
            </w:r>
            <w:r w:rsidRPr="00B25F34">
              <w:rPr>
                <w:rFonts w:hint="eastAsia"/>
                <w:sz w:val="21"/>
              </w:rPr>
              <w:t xml:space="preserve"> (</w:t>
            </w:r>
            <w:r w:rsidRPr="00B25F34">
              <w:rPr>
                <w:rFonts w:hint="eastAsia"/>
                <w:sz w:val="21"/>
              </w:rPr>
              <w:t>由人权监测研究所律师</w:t>
            </w:r>
            <w:r w:rsidRPr="00B25F34">
              <w:rPr>
                <w:rFonts w:hint="eastAsia"/>
                <w:sz w:val="21"/>
              </w:rPr>
              <w:t>Erika Leonait</w:t>
            </w:r>
            <w:r w:rsidRPr="00B25F34">
              <w:rPr>
                <w:rFonts w:ascii="Cambria" w:hAnsi="Cambria" w:cs="Cambria"/>
                <w:sz w:val="21"/>
              </w:rPr>
              <w:t>ė</w:t>
            </w:r>
            <w:r w:rsidRPr="00B25F34">
              <w:rPr>
                <w:rFonts w:ascii="宋体" w:hAnsi="宋体" w:cs="宋体" w:hint="eastAsia"/>
                <w:sz w:val="21"/>
              </w:rPr>
              <w:t>代理，此前由该研究所律师</w:t>
            </w:r>
            <w:r w:rsidRPr="00B25F34">
              <w:rPr>
                <w:rFonts w:hint="eastAsia"/>
                <w:sz w:val="21"/>
              </w:rPr>
              <w:t>Jurate Guzeviciute</w:t>
            </w:r>
            <w:r w:rsidRPr="00B25F34">
              <w:rPr>
                <w:rFonts w:hint="eastAsia"/>
                <w:sz w:val="21"/>
              </w:rPr>
              <w:t>代理</w:t>
            </w:r>
            <w:r w:rsidRPr="00B25F34">
              <w:rPr>
                <w:rFonts w:hint="eastAsia"/>
                <w:sz w:val="21"/>
              </w:rPr>
              <w:t>)</w:t>
            </w:r>
          </w:p>
        </w:tc>
      </w:tr>
      <w:tr w:rsidR="00636DF5" w:rsidTr="00334EEB">
        <w:tc>
          <w:tcPr>
            <w:tcW w:w="2126" w:type="dxa"/>
            <w:shd w:val="clear" w:color="auto" w:fill="auto"/>
          </w:tcPr>
          <w:p w:rsidR="00636DF5" w:rsidRPr="00B25F34" w:rsidRDefault="00636DF5" w:rsidP="00636DF5">
            <w:pPr>
              <w:pStyle w:val="SingleTxtG"/>
              <w:spacing w:line="320" w:lineRule="exact"/>
              <w:ind w:left="3" w:right="0"/>
              <w:jc w:val="left"/>
            </w:pPr>
            <w:r w:rsidRPr="00B25F34">
              <w:rPr>
                <w:rFonts w:eastAsia="楷体" w:hint="eastAsia"/>
                <w:sz w:val="21"/>
              </w:rPr>
              <w:t>据称受害人：</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提交人</w:t>
            </w:r>
          </w:p>
        </w:tc>
      </w:tr>
      <w:tr w:rsidR="00636DF5" w:rsidTr="00334EEB">
        <w:tc>
          <w:tcPr>
            <w:tcW w:w="2126" w:type="dxa"/>
            <w:shd w:val="clear" w:color="auto" w:fill="auto"/>
          </w:tcPr>
          <w:p w:rsidR="00636DF5" w:rsidRPr="00B25F34" w:rsidRDefault="00636DF5" w:rsidP="00636DF5">
            <w:pPr>
              <w:pStyle w:val="SingleTxtG"/>
              <w:spacing w:line="320" w:lineRule="exact"/>
              <w:ind w:left="3" w:right="0"/>
              <w:jc w:val="left"/>
            </w:pPr>
            <w:r w:rsidRPr="00B25F34">
              <w:rPr>
                <w:rFonts w:eastAsia="楷体" w:hint="eastAsia"/>
                <w:sz w:val="21"/>
              </w:rPr>
              <w:t>所涉缔约国：</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立陶宛</w:t>
            </w:r>
          </w:p>
        </w:tc>
      </w:tr>
      <w:tr w:rsidR="00636DF5" w:rsidTr="00334EEB">
        <w:tc>
          <w:tcPr>
            <w:tcW w:w="2126" w:type="dxa"/>
            <w:shd w:val="clear" w:color="auto" w:fill="auto"/>
          </w:tcPr>
          <w:p w:rsidR="00636DF5" w:rsidRPr="00B25F34" w:rsidRDefault="00636DF5" w:rsidP="00636DF5">
            <w:pPr>
              <w:pStyle w:val="SingleTxtG"/>
              <w:spacing w:line="320" w:lineRule="exact"/>
              <w:ind w:left="3" w:right="0"/>
              <w:jc w:val="left"/>
            </w:pPr>
            <w:r w:rsidRPr="00B25F34">
              <w:rPr>
                <w:rFonts w:eastAsia="楷体" w:hint="eastAsia"/>
                <w:sz w:val="21"/>
              </w:rPr>
              <w:t>来文日期：</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2015</w:t>
            </w:r>
            <w:r w:rsidRPr="00B25F34">
              <w:rPr>
                <w:rFonts w:hint="eastAsia"/>
                <w:sz w:val="21"/>
              </w:rPr>
              <w:t>年</w:t>
            </w:r>
            <w:r w:rsidRPr="00B25F34">
              <w:rPr>
                <w:rFonts w:hint="eastAsia"/>
                <w:sz w:val="21"/>
              </w:rPr>
              <w:t>10</w:t>
            </w:r>
            <w:r w:rsidRPr="00B25F34">
              <w:rPr>
                <w:rFonts w:hint="eastAsia"/>
                <w:sz w:val="21"/>
              </w:rPr>
              <w:t>月</w:t>
            </w:r>
            <w:r w:rsidRPr="00B25F34">
              <w:rPr>
                <w:rFonts w:hint="eastAsia"/>
                <w:sz w:val="21"/>
              </w:rPr>
              <w:t>30</w:t>
            </w:r>
            <w:r w:rsidRPr="00B25F34">
              <w:rPr>
                <w:rFonts w:hint="eastAsia"/>
                <w:sz w:val="21"/>
              </w:rPr>
              <w:t>日</w:t>
            </w:r>
            <w:r w:rsidRPr="00B25F34">
              <w:rPr>
                <w:rFonts w:hint="eastAsia"/>
                <w:sz w:val="21"/>
              </w:rPr>
              <w:t>(</w:t>
            </w:r>
            <w:r w:rsidRPr="00B25F34">
              <w:rPr>
                <w:rFonts w:hint="eastAsia"/>
                <w:sz w:val="21"/>
              </w:rPr>
              <w:t>初次提交</w:t>
            </w:r>
            <w:r w:rsidRPr="00B25F34">
              <w:rPr>
                <w:rFonts w:hint="eastAsia"/>
                <w:sz w:val="21"/>
              </w:rPr>
              <w:t>)</w:t>
            </w:r>
          </w:p>
        </w:tc>
      </w:tr>
      <w:tr w:rsidR="00636DF5" w:rsidTr="00334EEB">
        <w:tc>
          <w:tcPr>
            <w:tcW w:w="2126" w:type="dxa"/>
            <w:shd w:val="clear" w:color="auto" w:fill="auto"/>
          </w:tcPr>
          <w:p w:rsidR="00636DF5" w:rsidRPr="00B25F34" w:rsidRDefault="00636DF5" w:rsidP="00636DF5">
            <w:pPr>
              <w:pStyle w:val="SingleTxtG"/>
              <w:spacing w:line="320" w:lineRule="exact"/>
              <w:ind w:left="3" w:right="0"/>
              <w:jc w:val="left"/>
            </w:pPr>
            <w:r w:rsidRPr="00B25F34">
              <w:rPr>
                <w:rFonts w:eastAsia="楷体" w:hint="eastAsia"/>
                <w:sz w:val="21"/>
              </w:rPr>
              <w:t>参考文件：</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根据委员会议事规则第</w:t>
            </w:r>
            <w:r w:rsidRPr="00B25F34">
              <w:rPr>
                <w:rFonts w:hint="eastAsia"/>
                <w:sz w:val="21"/>
              </w:rPr>
              <w:t>97</w:t>
            </w:r>
            <w:r w:rsidRPr="00B25F34">
              <w:rPr>
                <w:rFonts w:hint="eastAsia"/>
                <w:sz w:val="21"/>
              </w:rPr>
              <w:t>条</w:t>
            </w:r>
            <w:r w:rsidRPr="00B25F34">
              <w:rPr>
                <w:rFonts w:hint="eastAsia"/>
                <w:sz w:val="21"/>
              </w:rPr>
              <w:t>(</w:t>
            </w:r>
            <w:r w:rsidRPr="00B25F34">
              <w:rPr>
                <w:rFonts w:hint="eastAsia"/>
                <w:sz w:val="21"/>
              </w:rPr>
              <w:t>现第</w:t>
            </w:r>
            <w:r w:rsidRPr="00B25F34">
              <w:rPr>
                <w:rFonts w:hint="eastAsia"/>
                <w:sz w:val="21"/>
              </w:rPr>
              <w:t>92</w:t>
            </w:r>
            <w:r w:rsidRPr="00B25F34">
              <w:rPr>
                <w:rFonts w:hint="eastAsia"/>
                <w:sz w:val="21"/>
              </w:rPr>
              <w:t>条</w:t>
            </w:r>
            <w:r w:rsidRPr="00B25F34">
              <w:rPr>
                <w:rFonts w:hint="eastAsia"/>
                <w:sz w:val="21"/>
              </w:rPr>
              <w:t>)</w:t>
            </w:r>
            <w:r w:rsidRPr="00B25F34">
              <w:rPr>
                <w:rFonts w:hint="eastAsia"/>
                <w:sz w:val="21"/>
              </w:rPr>
              <w:t>的决定已于</w:t>
            </w:r>
            <w:r w:rsidRPr="00B25F34">
              <w:rPr>
                <w:rFonts w:hint="eastAsia"/>
                <w:sz w:val="21"/>
              </w:rPr>
              <w:t>2016</w:t>
            </w:r>
            <w:r w:rsidRPr="00B25F34">
              <w:rPr>
                <w:rFonts w:hint="eastAsia"/>
                <w:sz w:val="21"/>
              </w:rPr>
              <w:t>年</w:t>
            </w:r>
            <w:r w:rsidRPr="00B25F34">
              <w:rPr>
                <w:rFonts w:hint="eastAsia"/>
                <w:sz w:val="21"/>
              </w:rPr>
              <w:t>1</w:t>
            </w:r>
            <w:r w:rsidRPr="00B25F34">
              <w:rPr>
                <w:rFonts w:hint="eastAsia"/>
                <w:sz w:val="21"/>
              </w:rPr>
              <w:t>月</w:t>
            </w:r>
            <w:r w:rsidRPr="00B25F34">
              <w:rPr>
                <w:rFonts w:hint="eastAsia"/>
                <w:sz w:val="21"/>
              </w:rPr>
              <w:t>8</w:t>
            </w:r>
            <w:r w:rsidRPr="00B25F34">
              <w:rPr>
                <w:rFonts w:hint="eastAsia"/>
                <w:sz w:val="21"/>
              </w:rPr>
              <w:t>日转交缔约国</w:t>
            </w:r>
            <w:r w:rsidRPr="00B25F34">
              <w:rPr>
                <w:rFonts w:hint="eastAsia"/>
                <w:sz w:val="21"/>
              </w:rPr>
              <w:t>(</w:t>
            </w:r>
            <w:r w:rsidRPr="00B25F34">
              <w:rPr>
                <w:rFonts w:hint="eastAsia"/>
                <w:sz w:val="21"/>
              </w:rPr>
              <w:t>未以文件形式印发</w:t>
            </w:r>
            <w:r w:rsidRPr="00B25F34">
              <w:rPr>
                <w:rFonts w:hint="eastAsia"/>
                <w:sz w:val="21"/>
              </w:rPr>
              <w:t>)</w:t>
            </w:r>
          </w:p>
        </w:tc>
      </w:tr>
      <w:tr w:rsidR="00636DF5" w:rsidTr="00334EEB">
        <w:tc>
          <w:tcPr>
            <w:tcW w:w="2126" w:type="dxa"/>
            <w:shd w:val="clear" w:color="auto" w:fill="auto"/>
          </w:tcPr>
          <w:p w:rsidR="00636DF5" w:rsidRPr="00B25F34" w:rsidRDefault="00636DF5" w:rsidP="00636DF5">
            <w:pPr>
              <w:pStyle w:val="SingleTxtG"/>
              <w:spacing w:line="320" w:lineRule="exact"/>
              <w:ind w:left="3" w:right="0"/>
              <w:jc w:val="left"/>
            </w:pPr>
            <w:r w:rsidRPr="00B25F34">
              <w:rPr>
                <w:rFonts w:eastAsia="楷体" w:hint="eastAsia"/>
                <w:sz w:val="21"/>
              </w:rPr>
              <w:t>意见通过日期：</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2019</w:t>
            </w:r>
            <w:r w:rsidRPr="00B25F34">
              <w:rPr>
                <w:rFonts w:hint="eastAsia"/>
                <w:sz w:val="21"/>
              </w:rPr>
              <w:t>年</w:t>
            </w:r>
            <w:r w:rsidRPr="00B25F34">
              <w:rPr>
                <w:rFonts w:hint="eastAsia"/>
                <w:sz w:val="21"/>
              </w:rPr>
              <w:t>7</w:t>
            </w:r>
            <w:r w:rsidRPr="00B25F34">
              <w:rPr>
                <w:rFonts w:hint="eastAsia"/>
                <w:sz w:val="21"/>
              </w:rPr>
              <w:t>月</w:t>
            </w:r>
            <w:r w:rsidRPr="00B25F34">
              <w:rPr>
                <w:rFonts w:hint="eastAsia"/>
                <w:sz w:val="21"/>
              </w:rPr>
              <w:t>24</w:t>
            </w:r>
            <w:r w:rsidRPr="00B25F34">
              <w:rPr>
                <w:rFonts w:hint="eastAsia"/>
                <w:sz w:val="21"/>
              </w:rPr>
              <w:t>日</w:t>
            </w:r>
          </w:p>
        </w:tc>
      </w:tr>
      <w:tr w:rsidR="00636DF5" w:rsidRPr="005449F5" w:rsidTr="00334EEB">
        <w:tc>
          <w:tcPr>
            <w:tcW w:w="2126" w:type="dxa"/>
            <w:shd w:val="clear" w:color="auto" w:fill="auto"/>
          </w:tcPr>
          <w:p w:rsidR="00636DF5" w:rsidRPr="00B25F34" w:rsidRDefault="00636DF5" w:rsidP="00636DF5">
            <w:pPr>
              <w:pStyle w:val="SingleTxtG"/>
              <w:spacing w:line="320" w:lineRule="exact"/>
              <w:ind w:left="3" w:right="0"/>
              <w:jc w:val="left"/>
            </w:pPr>
            <w:r w:rsidRPr="00B25F34">
              <w:rPr>
                <w:rFonts w:eastAsia="楷体" w:hint="eastAsia"/>
                <w:sz w:val="21"/>
              </w:rPr>
              <w:t>事由：</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限制表达自由的范围；诽谤法</w:t>
            </w:r>
          </w:p>
        </w:tc>
      </w:tr>
      <w:tr w:rsidR="00636DF5" w:rsidRPr="005449F5" w:rsidTr="00334EEB">
        <w:tc>
          <w:tcPr>
            <w:tcW w:w="2126" w:type="dxa"/>
            <w:shd w:val="clear" w:color="auto" w:fill="auto"/>
          </w:tcPr>
          <w:p w:rsidR="00636DF5" w:rsidRPr="00B25F34" w:rsidRDefault="00636DF5" w:rsidP="00636DF5">
            <w:pPr>
              <w:pStyle w:val="SingleTxtG"/>
              <w:spacing w:line="320" w:lineRule="exact"/>
              <w:ind w:left="3" w:right="0"/>
              <w:jc w:val="left"/>
            </w:pPr>
            <w:r w:rsidRPr="00B25F34">
              <w:rPr>
                <w:rFonts w:eastAsia="楷体" w:hint="eastAsia"/>
                <w:sz w:val="21"/>
              </w:rPr>
              <w:t>程序性问题：</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滥用提交权；受害者地位；同一事件</w:t>
            </w:r>
          </w:p>
        </w:tc>
      </w:tr>
      <w:tr w:rsidR="00636DF5" w:rsidTr="00334EEB">
        <w:tc>
          <w:tcPr>
            <w:tcW w:w="2126" w:type="dxa"/>
            <w:shd w:val="clear" w:color="auto" w:fill="auto"/>
          </w:tcPr>
          <w:p w:rsidR="00636DF5" w:rsidRPr="00B25F34" w:rsidRDefault="00636DF5" w:rsidP="00636DF5">
            <w:pPr>
              <w:pStyle w:val="SingleTxtG"/>
              <w:spacing w:line="320" w:lineRule="exact"/>
              <w:ind w:left="3" w:right="0"/>
              <w:jc w:val="left"/>
            </w:pPr>
            <w:r w:rsidRPr="00B25F34">
              <w:rPr>
                <w:rFonts w:eastAsia="楷体" w:hint="eastAsia"/>
                <w:sz w:val="21"/>
              </w:rPr>
              <w:t>实质性问题：</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见解和表达自由</w:t>
            </w:r>
          </w:p>
        </w:tc>
      </w:tr>
      <w:tr w:rsidR="00636DF5" w:rsidTr="00334EEB">
        <w:tc>
          <w:tcPr>
            <w:tcW w:w="2126" w:type="dxa"/>
            <w:shd w:val="clear" w:color="auto" w:fill="auto"/>
          </w:tcPr>
          <w:p w:rsidR="00636DF5" w:rsidRPr="00B25F34" w:rsidRDefault="00636DF5" w:rsidP="00636DF5">
            <w:pPr>
              <w:pStyle w:val="SingleTxtG"/>
              <w:spacing w:line="320" w:lineRule="exact"/>
              <w:ind w:left="-87" w:right="0"/>
              <w:jc w:val="left"/>
            </w:pPr>
            <w:r w:rsidRPr="00B25F34">
              <w:rPr>
                <w:rFonts w:eastAsia="楷体" w:hint="eastAsia"/>
                <w:sz w:val="21"/>
              </w:rPr>
              <w:t>《公约》条款：</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第十九条第二款</w:t>
            </w:r>
          </w:p>
        </w:tc>
      </w:tr>
      <w:tr w:rsidR="00636DF5" w:rsidTr="00334EEB">
        <w:tc>
          <w:tcPr>
            <w:tcW w:w="2126" w:type="dxa"/>
            <w:shd w:val="clear" w:color="auto" w:fill="auto"/>
          </w:tcPr>
          <w:p w:rsidR="00636DF5" w:rsidRPr="00B25F34" w:rsidRDefault="00636DF5" w:rsidP="00636DF5">
            <w:pPr>
              <w:pStyle w:val="SingleTxtG"/>
              <w:spacing w:line="320" w:lineRule="exact"/>
              <w:ind w:left="-87" w:right="0"/>
              <w:jc w:val="left"/>
            </w:pPr>
            <w:r w:rsidRPr="00B25F34">
              <w:rPr>
                <w:rFonts w:eastAsia="楷体" w:hint="eastAsia"/>
                <w:sz w:val="21"/>
              </w:rPr>
              <w:t>《任择议定书》条款：</w:t>
            </w:r>
          </w:p>
        </w:tc>
        <w:tc>
          <w:tcPr>
            <w:tcW w:w="4819" w:type="dxa"/>
            <w:shd w:val="clear" w:color="auto" w:fill="auto"/>
          </w:tcPr>
          <w:p w:rsidR="00636DF5" w:rsidRPr="00B25F34" w:rsidRDefault="00636DF5" w:rsidP="00636DF5">
            <w:pPr>
              <w:pStyle w:val="SingleTxtG"/>
              <w:spacing w:line="320" w:lineRule="exact"/>
              <w:ind w:left="3" w:right="0"/>
              <w:jc w:val="left"/>
            </w:pPr>
            <w:r w:rsidRPr="00B25F34">
              <w:rPr>
                <w:rFonts w:hint="eastAsia"/>
                <w:sz w:val="21"/>
              </w:rPr>
              <w:t>第一条、第二条、第三条和第五条第二款</w:t>
            </w:r>
            <w:r w:rsidRPr="00B25F34">
              <w:rPr>
                <w:rFonts w:hint="eastAsia"/>
                <w:sz w:val="21"/>
              </w:rPr>
              <w:t>(</w:t>
            </w:r>
            <w:r w:rsidRPr="00B25F34">
              <w:rPr>
                <w:rFonts w:hint="eastAsia"/>
                <w:sz w:val="21"/>
              </w:rPr>
              <w:t>子</w:t>
            </w:r>
            <w:r w:rsidRPr="00B25F34">
              <w:rPr>
                <w:rFonts w:hint="eastAsia"/>
                <w:sz w:val="21"/>
              </w:rPr>
              <w:t>)</w:t>
            </w:r>
            <w:r w:rsidRPr="00B25F34">
              <w:rPr>
                <w:rFonts w:hint="eastAsia"/>
                <w:sz w:val="21"/>
              </w:rPr>
              <w:t>项</w:t>
            </w:r>
          </w:p>
        </w:tc>
      </w:tr>
    </w:tbl>
    <w:p w:rsidR="00344DA6" w:rsidRPr="00B763E0" w:rsidRDefault="00344DA6" w:rsidP="00D03429">
      <w:pPr>
        <w:pStyle w:val="SingleTxtGC"/>
        <w:tabs>
          <w:tab w:val="clear" w:pos="431"/>
          <w:tab w:val="clear" w:pos="1134"/>
          <w:tab w:val="clear" w:pos="1565"/>
          <w:tab w:val="clear" w:pos="1996"/>
          <w:tab w:val="clear" w:pos="2427"/>
          <w:tab w:val="left" w:pos="1701"/>
        </w:tabs>
        <w:spacing w:before="240"/>
      </w:pPr>
      <w:r w:rsidRPr="00B763E0">
        <w:rPr>
          <w:rFonts w:hint="eastAsia"/>
        </w:rPr>
        <w:lastRenderedPageBreak/>
        <w:t>1.</w:t>
      </w:r>
      <w:r w:rsidRPr="00B763E0">
        <w:rPr>
          <w:rFonts w:hint="eastAsia"/>
        </w:rPr>
        <w:tab/>
      </w:r>
      <w:r w:rsidRPr="00B763E0">
        <w:rPr>
          <w:rFonts w:hint="eastAsia"/>
        </w:rPr>
        <w:t>提交人</w:t>
      </w:r>
      <w:r w:rsidRPr="00397F11">
        <w:rPr>
          <w:rFonts w:asciiTheme="majorBidi" w:hAnsiTheme="majorBidi" w:cstheme="majorBidi"/>
        </w:rPr>
        <w:t>Eglė Kusaitė</w:t>
      </w:r>
      <w:r w:rsidRPr="00B763E0">
        <w:rPr>
          <w:rFonts w:ascii="宋体" w:hAnsi="宋体" w:cs="宋体" w:hint="eastAsia"/>
        </w:rPr>
        <w:t>系立陶宛国民，生于</w:t>
      </w:r>
      <w:r w:rsidRPr="00B763E0">
        <w:rPr>
          <w:rFonts w:hint="eastAsia"/>
        </w:rPr>
        <w:t>1989</w:t>
      </w:r>
      <w:r w:rsidRPr="00B763E0">
        <w:rPr>
          <w:rFonts w:hint="eastAsia"/>
        </w:rPr>
        <w:t>年，诉称缔约国侵犯了她根据《公约》第十九条第二款享有的权利。《任择议定书》于</w:t>
      </w:r>
      <w:r w:rsidRPr="00B763E0">
        <w:rPr>
          <w:rFonts w:hint="eastAsia"/>
        </w:rPr>
        <w:t>1992</w:t>
      </w:r>
      <w:r w:rsidRPr="00B763E0">
        <w:rPr>
          <w:rFonts w:hint="eastAsia"/>
        </w:rPr>
        <w:t>年</w:t>
      </w:r>
      <w:r w:rsidRPr="00B763E0">
        <w:rPr>
          <w:rFonts w:hint="eastAsia"/>
        </w:rPr>
        <w:t>2</w:t>
      </w:r>
      <w:r w:rsidRPr="00B763E0">
        <w:rPr>
          <w:rFonts w:hint="eastAsia"/>
        </w:rPr>
        <w:t>月</w:t>
      </w:r>
      <w:r w:rsidRPr="00B763E0">
        <w:rPr>
          <w:rFonts w:hint="eastAsia"/>
        </w:rPr>
        <w:t>20</w:t>
      </w:r>
      <w:r w:rsidRPr="00B763E0">
        <w:rPr>
          <w:rFonts w:hint="eastAsia"/>
        </w:rPr>
        <w:t>日对立陶宛生效。提交人由律师代理。</w:t>
      </w:r>
    </w:p>
    <w:p w:rsidR="00344DA6" w:rsidRPr="00B763E0" w:rsidRDefault="00344DA6" w:rsidP="00597AA9">
      <w:pPr>
        <w:pStyle w:val="H23GC"/>
        <w:spacing w:before="200"/>
      </w:pPr>
      <w:r w:rsidRPr="00B763E0">
        <w:rPr>
          <w:rFonts w:hint="eastAsia"/>
        </w:rPr>
        <w:tab/>
      </w:r>
      <w:r w:rsidRPr="00B763E0">
        <w:rPr>
          <w:rFonts w:hint="eastAsia"/>
        </w:rPr>
        <w:tab/>
      </w:r>
      <w:r w:rsidRPr="00B763E0">
        <w:rPr>
          <w:rFonts w:hint="eastAsia"/>
        </w:rPr>
        <w:t>提交人陈述的事实</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2.1</w:t>
      </w:r>
      <w:r w:rsidRPr="00B763E0">
        <w:rPr>
          <w:rFonts w:hint="eastAsia"/>
        </w:rPr>
        <w:tab/>
      </w:r>
      <w:r w:rsidRPr="00B763E0">
        <w:rPr>
          <w:rFonts w:hint="eastAsia"/>
        </w:rPr>
        <w:t>在</w:t>
      </w:r>
      <w:r w:rsidRPr="00B763E0">
        <w:rPr>
          <w:rFonts w:hint="eastAsia"/>
        </w:rPr>
        <w:t>2009</w:t>
      </w:r>
      <w:r w:rsidRPr="00B763E0">
        <w:rPr>
          <w:rFonts w:hint="eastAsia"/>
        </w:rPr>
        <w:t>至</w:t>
      </w:r>
      <w:r w:rsidRPr="00B763E0">
        <w:rPr>
          <w:rFonts w:hint="eastAsia"/>
        </w:rPr>
        <w:t>2013</w:t>
      </w:r>
      <w:r w:rsidRPr="00B763E0">
        <w:rPr>
          <w:rFonts w:hint="eastAsia"/>
        </w:rPr>
        <w:t>年期间，立陶宛有三起指控提交人涉嫌恐怖主义的刑事案件立案。</w:t>
      </w:r>
      <w:r w:rsidRPr="00B763E0">
        <w:rPr>
          <w:rFonts w:hint="eastAsia"/>
        </w:rPr>
        <w:t>2011</w:t>
      </w:r>
      <w:r w:rsidRPr="00B763E0">
        <w:rPr>
          <w:rFonts w:hint="eastAsia"/>
        </w:rPr>
        <w:t>年</w:t>
      </w:r>
      <w:r w:rsidRPr="00B763E0">
        <w:rPr>
          <w:rFonts w:hint="eastAsia"/>
        </w:rPr>
        <w:t>3</w:t>
      </w:r>
      <w:r w:rsidRPr="00B763E0">
        <w:rPr>
          <w:rFonts w:hint="eastAsia"/>
        </w:rPr>
        <w:t>月</w:t>
      </w:r>
      <w:r w:rsidRPr="00B763E0">
        <w:rPr>
          <w:rFonts w:hint="eastAsia"/>
        </w:rPr>
        <w:t>24</w:t>
      </w:r>
      <w:r w:rsidRPr="00B763E0">
        <w:rPr>
          <w:rFonts w:hint="eastAsia"/>
        </w:rPr>
        <w:t>日，在其中一起案件庭审期间，检察官</w:t>
      </w:r>
      <w:r w:rsidRPr="00B763E0">
        <w:rPr>
          <w:rFonts w:hint="eastAsia"/>
        </w:rPr>
        <w:t>M.D.</w:t>
      </w:r>
      <w:r w:rsidRPr="00B763E0">
        <w:rPr>
          <w:rFonts w:hint="eastAsia"/>
        </w:rPr>
        <w:t>要求维尔纽斯区域法院下令对提交人进行审前羁押。在庭审休息期间，提交人接受了电视台记者采访，就负责其刑事案件的时任和现前任检察官发表了如下评论：“胡说！都是胡说！在我看来，检察官是……在犯罪，他们怎么可以如此草菅人命，让他们自己看看对我姑妈和亲戚们都做了什么……</w:t>
      </w:r>
      <w:r w:rsidRPr="00B763E0">
        <w:rPr>
          <w:rFonts w:hint="eastAsia"/>
        </w:rPr>
        <w:t>J.L.</w:t>
      </w:r>
      <w:r w:rsidRPr="00B763E0">
        <w:rPr>
          <w:rFonts w:hint="eastAsia"/>
        </w:rPr>
        <w:t>和</w:t>
      </w:r>
      <w:r w:rsidRPr="00B763E0">
        <w:rPr>
          <w:rFonts w:hint="eastAsia"/>
        </w:rPr>
        <w:t>M.D.</w:t>
      </w:r>
      <w:r w:rsidRPr="00B763E0">
        <w:rPr>
          <w:rFonts w:hint="eastAsia"/>
        </w:rPr>
        <w:t>都是罪犯”</w:t>
      </w:r>
      <w:r w:rsidR="002D7855">
        <w:rPr>
          <w:rFonts w:hint="eastAsia"/>
        </w:rPr>
        <w:t>。</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2.2</w:t>
      </w:r>
      <w:r w:rsidRPr="00B763E0">
        <w:rPr>
          <w:rFonts w:hint="eastAsia"/>
        </w:rPr>
        <w:tab/>
        <w:t>2011</w:t>
      </w:r>
      <w:r w:rsidRPr="00B763E0">
        <w:rPr>
          <w:rFonts w:hint="eastAsia"/>
        </w:rPr>
        <w:t>年</w:t>
      </w:r>
      <w:r w:rsidRPr="00B763E0">
        <w:rPr>
          <w:rFonts w:hint="eastAsia"/>
        </w:rPr>
        <w:t>3</w:t>
      </w:r>
      <w:r w:rsidRPr="00B763E0">
        <w:rPr>
          <w:rFonts w:hint="eastAsia"/>
        </w:rPr>
        <w:t>月</w:t>
      </w:r>
      <w:r w:rsidRPr="00B763E0">
        <w:rPr>
          <w:rFonts w:hint="eastAsia"/>
        </w:rPr>
        <w:t>29</w:t>
      </w:r>
      <w:r w:rsidRPr="00B763E0">
        <w:rPr>
          <w:rFonts w:hint="eastAsia"/>
        </w:rPr>
        <w:t>日，检察官</w:t>
      </w:r>
      <w:r w:rsidRPr="00B763E0">
        <w:rPr>
          <w:rFonts w:hint="eastAsia"/>
        </w:rPr>
        <w:t>J.L.</w:t>
      </w:r>
      <w:r w:rsidRPr="00B763E0">
        <w:rPr>
          <w:rFonts w:hint="eastAsia"/>
        </w:rPr>
        <w:t>要求维尔纽斯检察院根据《刑法》第</w:t>
      </w:r>
      <w:r w:rsidRPr="00B763E0">
        <w:rPr>
          <w:rFonts w:hint="eastAsia"/>
        </w:rPr>
        <w:t>290</w:t>
      </w:r>
      <w:r w:rsidRPr="00B763E0">
        <w:rPr>
          <w:rFonts w:hint="eastAsia"/>
        </w:rPr>
        <w:t>条对提交人启动审前调查。该条规定了侮辱公务员或履行公共行政职能人员的刑事责任。</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2.3</w:t>
      </w:r>
      <w:r w:rsidRPr="00B763E0">
        <w:rPr>
          <w:rFonts w:hint="eastAsia"/>
        </w:rPr>
        <w:tab/>
        <w:t>2012</w:t>
      </w:r>
      <w:r w:rsidRPr="00B763E0">
        <w:rPr>
          <w:rFonts w:hint="eastAsia"/>
        </w:rPr>
        <w:t>年</w:t>
      </w:r>
      <w:r w:rsidRPr="00B763E0">
        <w:rPr>
          <w:rFonts w:hint="eastAsia"/>
        </w:rPr>
        <w:t>4</w:t>
      </w:r>
      <w:r w:rsidRPr="00B763E0">
        <w:rPr>
          <w:rFonts w:hint="eastAsia"/>
        </w:rPr>
        <w:t>月</w:t>
      </w:r>
      <w:r w:rsidRPr="00B763E0">
        <w:rPr>
          <w:rFonts w:hint="eastAsia"/>
        </w:rPr>
        <w:t>10</w:t>
      </w:r>
      <w:r w:rsidRPr="00B763E0">
        <w:rPr>
          <w:rFonts w:hint="eastAsia"/>
        </w:rPr>
        <w:t>日，维尔纽斯地方法院裁定上述指控成立，对提交人处以</w:t>
      </w:r>
      <w:r w:rsidRPr="00B763E0">
        <w:rPr>
          <w:rFonts w:hint="eastAsia"/>
        </w:rPr>
        <w:t>1,300</w:t>
      </w:r>
      <w:r w:rsidRPr="00C04EEE">
        <w:t>立特</w:t>
      </w:r>
      <w:r w:rsidRPr="00B763E0">
        <w:rPr>
          <w:rFonts w:hint="eastAsia"/>
        </w:rPr>
        <w:t>(</w:t>
      </w:r>
      <w:r w:rsidRPr="00B763E0">
        <w:rPr>
          <w:rFonts w:hint="eastAsia"/>
        </w:rPr>
        <w:t>约</w:t>
      </w:r>
      <w:r w:rsidRPr="00B763E0">
        <w:rPr>
          <w:rFonts w:hint="eastAsia"/>
        </w:rPr>
        <w:t>380</w:t>
      </w:r>
      <w:r w:rsidRPr="00B763E0">
        <w:rPr>
          <w:rFonts w:hint="eastAsia"/>
        </w:rPr>
        <w:t>欧元</w:t>
      </w:r>
      <w:r w:rsidRPr="00B763E0">
        <w:rPr>
          <w:rFonts w:hint="eastAsia"/>
        </w:rPr>
        <w:t>)</w:t>
      </w:r>
      <w:r w:rsidRPr="00B763E0">
        <w:rPr>
          <w:rFonts w:hint="eastAsia"/>
        </w:rPr>
        <w:t>的刑事罚款。</w:t>
      </w:r>
      <w:r w:rsidRPr="00B763E0">
        <w:rPr>
          <w:rFonts w:hint="eastAsia"/>
        </w:rPr>
        <w:t>2012</w:t>
      </w:r>
      <w:r w:rsidRPr="00B763E0">
        <w:rPr>
          <w:rFonts w:hint="eastAsia"/>
        </w:rPr>
        <w:t>年</w:t>
      </w:r>
      <w:r w:rsidRPr="00B763E0">
        <w:rPr>
          <w:rFonts w:hint="eastAsia"/>
        </w:rPr>
        <w:t>6</w:t>
      </w:r>
      <w:r w:rsidRPr="00B763E0">
        <w:rPr>
          <w:rFonts w:hint="eastAsia"/>
        </w:rPr>
        <w:t>月</w:t>
      </w:r>
      <w:r w:rsidRPr="00B763E0">
        <w:rPr>
          <w:rFonts w:hint="eastAsia"/>
        </w:rPr>
        <w:t>28</w:t>
      </w:r>
      <w:r w:rsidRPr="00B763E0">
        <w:rPr>
          <w:rFonts w:hint="eastAsia"/>
        </w:rPr>
        <w:t>日，维尔纽斯区域法院维持了一审法院的判决。</w:t>
      </w:r>
      <w:r w:rsidRPr="00B763E0">
        <w:rPr>
          <w:rFonts w:hint="eastAsia"/>
        </w:rPr>
        <w:t>2013</w:t>
      </w:r>
      <w:r w:rsidRPr="00B763E0">
        <w:rPr>
          <w:rFonts w:hint="eastAsia"/>
        </w:rPr>
        <w:t>年</w:t>
      </w:r>
      <w:r w:rsidRPr="00B763E0">
        <w:rPr>
          <w:rFonts w:hint="eastAsia"/>
        </w:rPr>
        <w:t>1</w:t>
      </w:r>
      <w:r w:rsidRPr="00B763E0">
        <w:rPr>
          <w:rFonts w:hint="eastAsia"/>
        </w:rPr>
        <w:t>月</w:t>
      </w:r>
      <w:r w:rsidRPr="00B763E0">
        <w:rPr>
          <w:rFonts w:hint="eastAsia"/>
        </w:rPr>
        <w:t>22</w:t>
      </w:r>
      <w:r w:rsidRPr="00B763E0">
        <w:rPr>
          <w:rFonts w:hint="eastAsia"/>
        </w:rPr>
        <w:t>日，立陶宛最高法院在撤销原判程序中驳回了提交人的上诉。</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2.4</w:t>
      </w:r>
      <w:r w:rsidRPr="00B763E0">
        <w:rPr>
          <w:rFonts w:hint="eastAsia"/>
        </w:rPr>
        <w:tab/>
      </w:r>
      <w:r w:rsidRPr="00B763E0">
        <w:rPr>
          <w:rFonts w:hint="eastAsia"/>
        </w:rPr>
        <w:t>提交人向欧洲人权法院提交了申诉，该法院于</w:t>
      </w:r>
      <w:r w:rsidRPr="00B763E0">
        <w:rPr>
          <w:rFonts w:hint="eastAsia"/>
        </w:rPr>
        <w:t>2013</w:t>
      </w:r>
      <w:r w:rsidRPr="00B763E0">
        <w:rPr>
          <w:rFonts w:hint="eastAsia"/>
        </w:rPr>
        <w:t>年</w:t>
      </w:r>
      <w:r w:rsidRPr="00B763E0">
        <w:rPr>
          <w:rFonts w:hint="eastAsia"/>
        </w:rPr>
        <w:t>10</w:t>
      </w:r>
      <w:r w:rsidRPr="00B763E0">
        <w:rPr>
          <w:rFonts w:hint="eastAsia"/>
        </w:rPr>
        <w:t>月</w:t>
      </w:r>
      <w:r w:rsidRPr="00B763E0">
        <w:rPr>
          <w:rFonts w:hint="eastAsia"/>
        </w:rPr>
        <w:t>31</w:t>
      </w:r>
      <w:r w:rsidRPr="00B763E0">
        <w:rPr>
          <w:rFonts w:hint="eastAsia"/>
        </w:rPr>
        <w:t>日以独任法官形式宣布不予受理。</w:t>
      </w:r>
    </w:p>
    <w:p w:rsidR="00344DA6" w:rsidRPr="00B763E0" w:rsidRDefault="00344DA6" w:rsidP="004C7F95">
      <w:pPr>
        <w:pStyle w:val="H23GC"/>
      </w:pPr>
      <w:r w:rsidRPr="00B763E0">
        <w:rPr>
          <w:rFonts w:hint="eastAsia"/>
        </w:rPr>
        <w:tab/>
      </w:r>
      <w:r w:rsidRPr="00B763E0">
        <w:rPr>
          <w:rFonts w:hint="eastAsia"/>
        </w:rPr>
        <w:tab/>
      </w:r>
      <w:r w:rsidRPr="00B763E0">
        <w:rPr>
          <w:rFonts w:ascii="黑体" w:hAnsi="黑体" w:hint="eastAsia"/>
          <w:bCs/>
        </w:rPr>
        <w:t>申诉</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3.1</w:t>
      </w:r>
      <w:r w:rsidRPr="00B763E0">
        <w:rPr>
          <w:rFonts w:hint="eastAsia"/>
        </w:rPr>
        <w:tab/>
      </w:r>
      <w:r w:rsidRPr="00B763E0">
        <w:rPr>
          <w:rFonts w:hint="eastAsia"/>
        </w:rPr>
        <w:t>提交人诉称，她因对负责其刑事诉讼的检察官发表了批判性言论而被刑事定罪，这侵犯了她根据《公约》第十九条第二款享有的表达自由权。</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3.2</w:t>
      </w:r>
      <w:r w:rsidRPr="00B763E0">
        <w:rPr>
          <w:rFonts w:hint="eastAsia"/>
        </w:rPr>
        <w:tab/>
      </w:r>
      <w:r w:rsidRPr="00B763E0">
        <w:rPr>
          <w:rFonts w:hint="eastAsia"/>
        </w:rPr>
        <w:t>提交人认为，《刑法》第</w:t>
      </w:r>
      <w:r w:rsidRPr="00B763E0">
        <w:rPr>
          <w:rFonts w:hint="eastAsia"/>
        </w:rPr>
        <w:t>290</w:t>
      </w:r>
      <w:r w:rsidRPr="00B763E0">
        <w:rPr>
          <w:rFonts w:hint="eastAsia"/>
        </w:rPr>
        <w:t>条专门针对公务员或履行公共行政职能人员，而根据国家立法，检察官不应被视为公务员。</w:t>
      </w:r>
      <w:r w:rsidRPr="00B763E0">
        <w:rPr>
          <w:rStyle w:val="a8"/>
          <w:rFonts w:eastAsia="宋体"/>
        </w:rPr>
        <w:footnoteReference w:id="5"/>
      </w:r>
      <w:r w:rsidRPr="00B763E0">
        <w:rPr>
          <w:rFonts w:hint="eastAsia"/>
        </w:rPr>
        <w:t xml:space="preserve"> </w:t>
      </w:r>
      <w:r w:rsidRPr="00B763E0">
        <w:rPr>
          <w:rFonts w:hint="eastAsia"/>
        </w:rPr>
        <w:t>因此，提交人诉称，国家法院对第</w:t>
      </w:r>
      <w:r w:rsidRPr="00B763E0">
        <w:rPr>
          <w:rFonts w:hint="eastAsia"/>
        </w:rPr>
        <w:t>290</w:t>
      </w:r>
      <w:r w:rsidRPr="00B763E0">
        <w:rPr>
          <w:rFonts w:hint="eastAsia"/>
        </w:rPr>
        <w:t>条的解释过于宽泛，未达到充分精确和可预见法律的标准，因此对其权利的干预并非由法律规定。</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3.3</w:t>
      </w:r>
      <w:r w:rsidRPr="00B763E0">
        <w:rPr>
          <w:rFonts w:hint="eastAsia"/>
        </w:rPr>
        <w:tab/>
      </w:r>
      <w:r w:rsidRPr="00B763E0">
        <w:rPr>
          <w:rFonts w:hint="eastAsia"/>
        </w:rPr>
        <w:t>此外，提交人认为，第</w:t>
      </w:r>
      <w:r w:rsidRPr="00B763E0">
        <w:rPr>
          <w:rFonts w:hint="eastAsia"/>
        </w:rPr>
        <w:t>290</w:t>
      </w:r>
      <w:r w:rsidRPr="00B763E0">
        <w:rPr>
          <w:rFonts w:hint="eastAsia"/>
        </w:rPr>
        <w:t>条规定限制表达自由的目的是保护公务员或履行公共行政职能人员的活动。</w:t>
      </w:r>
      <w:r w:rsidRPr="00B763E0">
        <w:rPr>
          <w:rStyle w:val="a8"/>
          <w:rFonts w:eastAsia="宋体"/>
        </w:rPr>
        <w:footnoteReference w:id="6"/>
      </w:r>
      <w:r w:rsidRPr="00B763E0">
        <w:t xml:space="preserve"> </w:t>
      </w:r>
      <w:r w:rsidRPr="00B763E0">
        <w:rPr>
          <w:rFonts w:hint="eastAsia"/>
        </w:rPr>
        <w:t>她诉称，此目的不属于《公约》第十九条第三款所列的任何合法目的。提交人坚持认为，不应将“公共秩序”广义解释为允许限制表达自由的理由，对公职人员活动的保护不属于公共秩序的范畴。她也不同意最高法院的结论，即第</w:t>
      </w:r>
      <w:r w:rsidRPr="00B763E0">
        <w:rPr>
          <w:rFonts w:hint="eastAsia"/>
        </w:rPr>
        <w:t>290</w:t>
      </w:r>
      <w:r w:rsidRPr="00B763E0">
        <w:rPr>
          <w:rFonts w:hint="eastAsia"/>
        </w:rPr>
        <w:t>条除其他外旨在保护公务员荣誉和尊严。她指出，《刑法》第</w:t>
      </w:r>
      <w:r w:rsidRPr="00B763E0">
        <w:rPr>
          <w:rFonts w:hint="eastAsia"/>
        </w:rPr>
        <w:t>155</w:t>
      </w:r>
      <w:r w:rsidRPr="00B763E0">
        <w:rPr>
          <w:rFonts w:hint="eastAsia"/>
        </w:rPr>
        <w:t>条的确旨在保护个人尊严和荣誉，因此，基于第</w:t>
      </w:r>
      <w:r w:rsidRPr="00B763E0">
        <w:rPr>
          <w:rFonts w:hint="eastAsia"/>
        </w:rPr>
        <w:t>155</w:t>
      </w:r>
      <w:r w:rsidRPr="00B763E0">
        <w:rPr>
          <w:rFonts w:hint="eastAsia"/>
        </w:rPr>
        <w:t>条的刑事诉讼要求案件受害者提出刑事起诉</w:t>
      </w:r>
      <w:r w:rsidRPr="00B763E0">
        <w:rPr>
          <w:rFonts w:hint="eastAsia"/>
        </w:rPr>
        <w:t>(</w:t>
      </w:r>
      <w:r w:rsidRPr="00B763E0">
        <w:rPr>
          <w:rFonts w:hint="eastAsia"/>
        </w:rPr>
        <w:t>自诉</w:t>
      </w:r>
      <w:r w:rsidRPr="00B763E0">
        <w:rPr>
          <w:rFonts w:hint="eastAsia"/>
        </w:rPr>
        <w:t>)</w:t>
      </w:r>
      <w:r w:rsidRPr="00B763E0">
        <w:rPr>
          <w:rFonts w:hint="eastAsia"/>
        </w:rPr>
        <w:t>。但是，根据第</w:t>
      </w:r>
      <w:r w:rsidRPr="00B763E0">
        <w:rPr>
          <w:rFonts w:hint="eastAsia"/>
        </w:rPr>
        <w:t>290</w:t>
      </w:r>
      <w:r w:rsidRPr="00B763E0">
        <w:rPr>
          <w:rFonts w:hint="eastAsia"/>
        </w:rPr>
        <w:t>条提起刑事诉讼</w:t>
      </w:r>
      <w:r w:rsidRPr="00B763E0">
        <w:rPr>
          <w:rFonts w:hint="eastAsia"/>
        </w:rPr>
        <w:t>(</w:t>
      </w:r>
      <w:r w:rsidRPr="00B763E0">
        <w:rPr>
          <w:rFonts w:hint="eastAsia"/>
        </w:rPr>
        <w:t>适用于她的案件</w:t>
      </w:r>
      <w:r w:rsidRPr="00B763E0">
        <w:rPr>
          <w:rFonts w:hint="eastAsia"/>
        </w:rPr>
        <w:t>)</w:t>
      </w:r>
      <w:r w:rsidRPr="00B763E0">
        <w:rPr>
          <w:rFonts w:hint="eastAsia"/>
        </w:rPr>
        <w:t>并不取决于受害者是否明确愿意起诉行为人。即便如此，她指出，检察官</w:t>
      </w:r>
      <w:r w:rsidRPr="00B763E0">
        <w:rPr>
          <w:rFonts w:hint="eastAsia"/>
        </w:rPr>
        <w:t>M.D.</w:t>
      </w:r>
      <w:r w:rsidRPr="00B763E0">
        <w:rPr>
          <w:rFonts w:hint="eastAsia"/>
        </w:rPr>
        <w:t>表示，对于提交人的评论，他并未感觉受到冒犯。有鉴于此，从需要保护检察官荣誉和尊严的角度认为对她的定罪正当合理，这也让人无法接受。</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3.4</w:t>
      </w:r>
      <w:r w:rsidRPr="00B763E0">
        <w:rPr>
          <w:rFonts w:hint="eastAsia"/>
        </w:rPr>
        <w:tab/>
      </w:r>
      <w:r w:rsidRPr="00B763E0">
        <w:rPr>
          <w:rFonts w:hint="eastAsia"/>
        </w:rPr>
        <w:t>提交人就对她定罪正当合理的观点提出异议，并指出，根据委员会关于意见和表达自由的第</w:t>
      </w:r>
      <w:r w:rsidRPr="00B763E0">
        <w:rPr>
          <w:rFonts w:hint="eastAsia"/>
        </w:rPr>
        <w:t>34</w:t>
      </w:r>
      <w:r w:rsidRPr="00B763E0">
        <w:rPr>
          <w:rFonts w:hint="eastAsia"/>
        </w:rPr>
        <w:t>号一般性意见</w:t>
      </w:r>
      <w:r w:rsidRPr="00B763E0">
        <w:rPr>
          <w:rFonts w:hint="eastAsia"/>
        </w:rPr>
        <w:t>(2011</w:t>
      </w:r>
      <w:r w:rsidRPr="00B763E0">
        <w:rPr>
          <w:rFonts w:hint="eastAsia"/>
        </w:rPr>
        <w:t>年</w:t>
      </w:r>
      <w:r w:rsidRPr="00B763E0">
        <w:rPr>
          <w:rFonts w:hint="eastAsia"/>
        </w:rPr>
        <w:t>)</w:t>
      </w:r>
      <w:r w:rsidRPr="00B763E0">
        <w:rPr>
          <w:rFonts w:hint="eastAsia"/>
        </w:rPr>
        <w:t>，对表达自由的任何限制都必须符合必要性和相称性的严格判断标准。她诉称《立陶宛刑法》第</w:t>
      </w:r>
      <w:r w:rsidRPr="00B763E0">
        <w:rPr>
          <w:rFonts w:hint="eastAsia"/>
        </w:rPr>
        <w:t>290</w:t>
      </w:r>
      <w:r w:rsidRPr="00B763E0">
        <w:rPr>
          <w:rFonts w:hint="eastAsia"/>
        </w:rPr>
        <w:t>条不符合必要性要求，因为此条与委员会和欧洲人权法院现有判例相悖，保证对公务员或履行公共行政职能人员提供较之于其他个人更大的保护。</w:t>
      </w:r>
      <w:r w:rsidRPr="00B763E0">
        <w:rPr>
          <w:rStyle w:val="a8"/>
          <w:rFonts w:eastAsia="宋体"/>
        </w:rPr>
        <w:footnoteReference w:id="7"/>
      </w:r>
      <w:r w:rsidRPr="00B763E0">
        <w:rPr>
          <w:rFonts w:hint="eastAsia"/>
        </w:rPr>
        <w:t xml:space="preserve"> </w:t>
      </w:r>
      <w:r w:rsidRPr="00B763E0">
        <w:rPr>
          <w:rFonts w:hint="eastAsia"/>
        </w:rPr>
        <w:t>提交人忆及，侮辱公务员或履行公共行政职能人员的犯罪依据第</w:t>
      </w:r>
      <w:r w:rsidRPr="00B763E0">
        <w:rPr>
          <w:rFonts w:hint="eastAsia"/>
        </w:rPr>
        <w:t>290</w:t>
      </w:r>
      <w:r w:rsidRPr="00B763E0">
        <w:rPr>
          <w:rFonts w:hint="eastAsia"/>
        </w:rPr>
        <w:t>条最多可判处两年监禁，而依据第</w:t>
      </w:r>
      <w:r w:rsidRPr="00B763E0">
        <w:rPr>
          <w:rFonts w:hint="eastAsia"/>
        </w:rPr>
        <w:t>155</w:t>
      </w:r>
      <w:r w:rsidRPr="00B763E0">
        <w:rPr>
          <w:rFonts w:hint="eastAsia"/>
        </w:rPr>
        <w:t>条则最多可判处一年监禁。这就更成问题了，因为所控诽谤言论仅涉及个人公职行为、而不涉及个人私事时，允许批评的范围应该更广泛。提交人辩称，她的批评严格限于控诉方的策略，认为那一策略旨在就她的恐怖主义刑事诉讼对她施加压力。</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3.5</w:t>
      </w:r>
      <w:r w:rsidRPr="00B763E0">
        <w:rPr>
          <w:rFonts w:hint="eastAsia"/>
        </w:rPr>
        <w:tab/>
      </w:r>
      <w:r w:rsidRPr="00B763E0">
        <w:rPr>
          <w:rFonts w:hint="eastAsia"/>
        </w:rPr>
        <w:t>提交人进一步补充道，她获悉检察官提出对她进行审前羁押的动议后发表了这些备受非难的言论。她回顾道，国际组织曾几次表达立场，认为立陶宛的拘留条件构成了不人道和有辱人格的待遇。由于她以前曾被监禁过很长时间，仅仅再次还押拘留的可能性就对她产生了巨大压力，从而引发了批评言论。提交人就此指出，检察官</w:t>
      </w:r>
      <w:r w:rsidRPr="00B763E0">
        <w:rPr>
          <w:rFonts w:hint="eastAsia"/>
        </w:rPr>
        <w:t>M.D.</w:t>
      </w:r>
      <w:r w:rsidRPr="00B763E0">
        <w:rPr>
          <w:rFonts w:hint="eastAsia"/>
        </w:rPr>
        <w:t>发表了声明，宣称他并未因提交人的言论而感到受辱。虽然如此，她依然辩称，即便她的言论可被视为具有挑衅性，根据委员会第</w:t>
      </w:r>
      <w:r w:rsidRPr="00B763E0">
        <w:rPr>
          <w:rFonts w:hint="eastAsia"/>
        </w:rPr>
        <w:t>34</w:t>
      </w:r>
      <w:r w:rsidRPr="00B763E0">
        <w:rPr>
          <w:rFonts w:hint="eastAsia"/>
        </w:rPr>
        <w:t>号一般性意见，表达自由也保护某种程度上的夸张或挑衅言论。</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3.6</w:t>
      </w:r>
      <w:r w:rsidRPr="00B763E0">
        <w:rPr>
          <w:rFonts w:hint="eastAsia"/>
        </w:rPr>
        <w:tab/>
      </w:r>
      <w:r w:rsidRPr="00B763E0">
        <w:rPr>
          <w:rFonts w:hint="eastAsia"/>
        </w:rPr>
        <w:t>对于相称性问题，她补充道，对她的处罚性质和严重程度与罪行的严重性和据称对控诉方造成的伤害并不相称，因此不符合相称性。提交人主张，她被判处罚款的事实并未减轻刑事制裁的影响。有罪判决的影响在缴纳罚款后还将持续三年，有罪判决书将纳入她的犯罪记录，由此会限制她在劳动力市场享有的机会。</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3.7</w:t>
      </w:r>
      <w:r w:rsidRPr="00B763E0">
        <w:rPr>
          <w:rFonts w:hint="eastAsia"/>
        </w:rPr>
        <w:tab/>
      </w:r>
      <w:r w:rsidRPr="00B763E0">
        <w:rPr>
          <w:rFonts w:hint="eastAsia"/>
        </w:rPr>
        <w:t>提交人得出结论认为，国内法院未为限制她的表达自由权提供相关的充分理由，限制似乎并不相称，因此也不必要。因此，提交人主张，缔约国侵犯了她根据《公约》第十九条第二款享有的权利。</w:t>
      </w:r>
    </w:p>
    <w:p w:rsidR="00344DA6" w:rsidRPr="00B763E0" w:rsidRDefault="00344DA6" w:rsidP="001B09E0">
      <w:pPr>
        <w:pStyle w:val="H23GC"/>
      </w:pPr>
      <w:r w:rsidRPr="00B763E0">
        <w:rPr>
          <w:rFonts w:hint="eastAsia"/>
        </w:rPr>
        <w:tab/>
      </w:r>
      <w:r w:rsidRPr="00B763E0">
        <w:rPr>
          <w:rFonts w:hint="eastAsia"/>
        </w:rPr>
        <w:tab/>
      </w:r>
      <w:r w:rsidRPr="00B763E0">
        <w:rPr>
          <w:rFonts w:hint="eastAsia"/>
        </w:rPr>
        <w:t>缔约国关于可否受理的意见</w:t>
      </w:r>
      <w:r w:rsidRPr="00B763E0">
        <w:rPr>
          <w:rStyle w:val="a8"/>
          <w:rFonts w:eastAsia="黑体"/>
          <w:bCs/>
        </w:rPr>
        <w:footnoteReference w:id="8"/>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4.1</w:t>
      </w:r>
      <w:r w:rsidRPr="00B763E0">
        <w:rPr>
          <w:rFonts w:hint="eastAsia"/>
        </w:rPr>
        <w:tab/>
      </w:r>
      <w:r w:rsidRPr="00B763E0">
        <w:rPr>
          <w:rFonts w:hint="eastAsia"/>
        </w:rPr>
        <w:t>缔约国在</w:t>
      </w:r>
      <w:r w:rsidRPr="00B763E0">
        <w:rPr>
          <w:rFonts w:hint="eastAsia"/>
        </w:rPr>
        <w:t>2016</w:t>
      </w:r>
      <w:r w:rsidRPr="00B763E0">
        <w:rPr>
          <w:rFonts w:hint="eastAsia"/>
        </w:rPr>
        <w:t>年</w:t>
      </w:r>
      <w:r w:rsidRPr="00B763E0">
        <w:rPr>
          <w:rFonts w:hint="eastAsia"/>
        </w:rPr>
        <w:t>3</w:t>
      </w:r>
      <w:r w:rsidRPr="00B763E0">
        <w:rPr>
          <w:rFonts w:hint="eastAsia"/>
        </w:rPr>
        <w:t>月</w:t>
      </w:r>
      <w:r w:rsidRPr="00B763E0">
        <w:rPr>
          <w:rFonts w:hint="eastAsia"/>
        </w:rPr>
        <w:t>8</w:t>
      </w:r>
      <w:r w:rsidRPr="00B763E0">
        <w:rPr>
          <w:rFonts w:hint="eastAsia"/>
        </w:rPr>
        <w:t>日的一份普通照会中要求委员会宣布本来文不可受理，因为缺乏受害者地位、证据不足以及滥用提交权，依据分别为《公约任择议定书》第一条、第二条和第三条。</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4.2</w:t>
      </w:r>
      <w:r w:rsidRPr="00B763E0">
        <w:rPr>
          <w:rFonts w:hint="eastAsia"/>
        </w:rPr>
        <w:tab/>
      </w:r>
      <w:r w:rsidRPr="00B763E0">
        <w:rPr>
          <w:rFonts w:hint="eastAsia"/>
        </w:rPr>
        <w:t>对于案件事实，缔约国认为，指控提交人筹备恐怖主义行为的刑事诉讼受到公众广泛关注，提交人在此期间发表了备受非难的言论。所涉采访在当时最大的商业电视频道播出。缔约国还认为，虽然最高法院</w:t>
      </w:r>
      <w:r w:rsidRPr="00B763E0">
        <w:rPr>
          <w:rFonts w:hint="eastAsia"/>
        </w:rPr>
        <w:t>2016</w:t>
      </w:r>
      <w:r w:rsidRPr="00B763E0">
        <w:rPr>
          <w:rFonts w:hint="eastAsia"/>
        </w:rPr>
        <w:t>年</w:t>
      </w:r>
      <w:r w:rsidRPr="00B763E0">
        <w:rPr>
          <w:rFonts w:hint="eastAsia"/>
        </w:rPr>
        <w:t>1</w:t>
      </w:r>
      <w:r w:rsidRPr="00B763E0">
        <w:rPr>
          <w:rFonts w:hint="eastAsia"/>
        </w:rPr>
        <w:t>月</w:t>
      </w:r>
      <w:r w:rsidRPr="00B763E0">
        <w:rPr>
          <w:rFonts w:hint="eastAsia"/>
        </w:rPr>
        <w:t>12</w:t>
      </w:r>
      <w:r w:rsidRPr="00B763E0">
        <w:rPr>
          <w:rFonts w:hint="eastAsia"/>
        </w:rPr>
        <w:t>日的最终判决宣告对提交人的这些指控罪名不成立，但应当指出的是，</w:t>
      </w:r>
      <w:r w:rsidRPr="00B763E0">
        <w:rPr>
          <w:rFonts w:hint="eastAsia"/>
        </w:rPr>
        <w:t>2011</w:t>
      </w:r>
      <w:r w:rsidRPr="00B763E0">
        <w:rPr>
          <w:rFonts w:hint="eastAsia"/>
        </w:rPr>
        <w:t>年</w:t>
      </w:r>
      <w:r w:rsidRPr="00B763E0">
        <w:rPr>
          <w:rFonts w:hint="eastAsia"/>
        </w:rPr>
        <w:t>2</w:t>
      </w:r>
      <w:r w:rsidRPr="00B763E0">
        <w:rPr>
          <w:rFonts w:hint="eastAsia"/>
        </w:rPr>
        <w:t>月</w:t>
      </w:r>
      <w:r w:rsidRPr="00B763E0">
        <w:rPr>
          <w:rFonts w:hint="eastAsia"/>
        </w:rPr>
        <w:t>20</w:t>
      </w:r>
      <w:r w:rsidRPr="00B763E0">
        <w:rPr>
          <w:rFonts w:hint="eastAsia"/>
        </w:rPr>
        <w:t>日的判决除包括本来文所质疑的定罪之外，还宣告提交人犯有《立陶宛刑法》第</w:t>
      </w:r>
      <w:r w:rsidRPr="00B763E0">
        <w:rPr>
          <w:rFonts w:hint="eastAsia"/>
        </w:rPr>
        <w:t>145</w:t>
      </w:r>
      <w:r w:rsidRPr="00B763E0">
        <w:rPr>
          <w:rFonts w:hint="eastAsia"/>
        </w:rPr>
        <w:t>条</w:t>
      </w:r>
      <w:r w:rsidRPr="00B763E0">
        <w:rPr>
          <w:rFonts w:hint="eastAsia"/>
        </w:rPr>
        <w:t>(</w:t>
      </w:r>
      <w:r w:rsidRPr="00B763E0">
        <w:rPr>
          <w:rFonts w:hint="eastAsia"/>
        </w:rPr>
        <w:t>威胁谋杀或对他人造成严重健康损害或恐吓他人</w:t>
      </w:r>
      <w:r w:rsidRPr="00B763E0">
        <w:rPr>
          <w:rFonts w:hint="eastAsia"/>
        </w:rPr>
        <w:t>)</w:t>
      </w:r>
      <w:r w:rsidRPr="00B763E0">
        <w:rPr>
          <w:rFonts w:hint="eastAsia"/>
        </w:rPr>
        <w:t>和第</w:t>
      </w:r>
      <w:r w:rsidRPr="00B763E0">
        <w:rPr>
          <w:rFonts w:hint="eastAsia"/>
        </w:rPr>
        <w:t>290</w:t>
      </w:r>
      <w:r w:rsidRPr="00B763E0">
        <w:rPr>
          <w:rFonts w:hint="eastAsia"/>
        </w:rPr>
        <w:t>条</w:t>
      </w:r>
      <w:r w:rsidRPr="00B763E0">
        <w:rPr>
          <w:rFonts w:hint="eastAsia"/>
        </w:rPr>
        <w:t>(</w:t>
      </w:r>
      <w:r w:rsidRPr="00B763E0">
        <w:rPr>
          <w:rFonts w:hint="eastAsia"/>
        </w:rPr>
        <w:t>侮辱公务员或履行公共行政职能人员</w:t>
      </w:r>
      <w:r w:rsidRPr="00B763E0">
        <w:rPr>
          <w:rFonts w:hint="eastAsia"/>
        </w:rPr>
        <w:t>)</w:t>
      </w:r>
      <w:r w:rsidRPr="00B763E0">
        <w:rPr>
          <w:rFonts w:hint="eastAsia"/>
        </w:rPr>
        <w:t>所规定犯罪行为的罪名成立。据证实，提交人向检察官</w:t>
      </w:r>
      <w:r w:rsidRPr="00B763E0">
        <w:rPr>
          <w:rFonts w:hint="eastAsia"/>
        </w:rPr>
        <w:t>J.L.</w:t>
      </w:r>
      <w:r w:rsidRPr="00B763E0">
        <w:rPr>
          <w:rFonts w:hint="eastAsia"/>
        </w:rPr>
        <w:t>发送了几条短信，威胁他的人身完整。</w:t>
      </w:r>
      <w:r w:rsidRPr="00B763E0">
        <w:rPr>
          <w:rFonts w:hint="eastAsia"/>
        </w:rPr>
        <w:t>2013</w:t>
      </w:r>
      <w:r w:rsidRPr="00B763E0">
        <w:rPr>
          <w:rFonts w:hint="eastAsia"/>
        </w:rPr>
        <w:t>年</w:t>
      </w:r>
      <w:r w:rsidRPr="00B763E0">
        <w:rPr>
          <w:rFonts w:hint="eastAsia"/>
        </w:rPr>
        <w:t>5</w:t>
      </w:r>
      <w:r w:rsidRPr="00B763E0">
        <w:rPr>
          <w:rFonts w:hint="eastAsia"/>
        </w:rPr>
        <w:t>月</w:t>
      </w:r>
      <w:r w:rsidRPr="00B763E0">
        <w:rPr>
          <w:rFonts w:hint="eastAsia"/>
        </w:rPr>
        <w:t>8</w:t>
      </w:r>
      <w:r w:rsidRPr="00B763E0">
        <w:rPr>
          <w:rFonts w:hint="eastAsia"/>
        </w:rPr>
        <w:t>日，根据《刑法》第</w:t>
      </w:r>
      <w:r w:rsidRPr="00B763E0">
        <w:rPr>
          <w:rFonts w:hint="eastAsia"/>
        </w:rPr>
        <w:t>236</w:t>
      </w:r>
      <w:r w:rsidRPr="00B763E0">
        <w:rPr>
          <w:rFonts w:hint="eastAsia"/>
        </w:rPr>
        <w:t>条，提交人还被判提供虚假信息的罪名成立，涉及据称几位国家官员</w:t>
      </w:r>
      <w:r w:rsidRPr="00B763E0">
        <w:rPr>
          <w:rFonts w:hint="eastAsia"/>
        </w:rPr>
        <w:t>(</w:t>
      </w:r>
      <w:r w:rsidRPr="00B763E0">
        <w:rPr>
          <w:rFonts w:hint="eastAsia"/>
        </w:rPr>
        <w:t>包括检察官</w:t>
      </w:r>
      <w:r w:rsidRPr="00B763E0">
        <w:rPr>
          <w:rFonts w:hint="eastAsia"/>
        </w:rPr>
        <w:t>J.L.)</w:t>
      </w:r>
      <w:r w:rsidRPr="00B763E0">
        <w:rPr>
          <w:rFonts w:hint="eastAsia"/>
        </w:rPr>
        <w:t>对她实施的犯罪。</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4.3</w:t>
      </w:r>
      <w:r w:rsidRPr="00B763E0">
        <w:rPr>
          <w:rFonts w:hint="eastAsia"/>
        </w:rPr>
        <w:tab/>
      </w:r>
      <w:r w:rsidRPr="00B763E0">
        <w:rPr>
          <w:rFonts w:hint="eastAsia"/>
        </w:rPr>
        <w:t>对于在据称缺乏受害者地位情况下申诉可否受理的问题，缔约国认为，提交人质疑的似乎是相关刑法条款在理论上是否符合《公约》的问题，而不是其定罪不相称的问题。</w:t>
      </w:r>
      <w:r w:rsidRPr="00B763E0">
        <w:rPr>
          <w:rStyle w:val="a8"/>
          <w:rFonts w:eastAsia="宋体"/>
        </w:rPr>
        <w:footnoteReference w:id="9"/>
      </w:r>
      <w:r w:rsidRPr="00B763E0">
        <w:rPr>
          <w:rFonts w:hint="eastAsia"/>
        </w:rPr>
        <w:t xml:space="preserve"> </w:t>
      </w:r>
      <w:r w:rsidRPr="00B763E0">
        <w:rPr>
          <w:rFonts w:hint="eastAsia"/>
        </w:rPr>
        <w:t>因此，该申诉应被视为</w:t>
      </w:r>
      <w:r w:rsidRPr="00B763E0">
        <w:rPr>
          <w:rFonts w:ascii="楷体" w:eastAsia="楷体" w:hAnsi="楷体" w:hint="eastAsia"/>
        </w:rPr>
        <w:t>民众诉讼</w:t>
      </w:r>
      <w:r w:rsidRPr="00B763E0">
        <w:rPr>
          <w:rFonts w:hint="eastAsia"/>
        </w:rPr>
        <w:t>，根据《任择议定书》第一条予以驳回。缔约国就此援引了国内法院沿用已久的判例法和《立陶宛刑法评注》，辩称第</w:t>
      </w:r>
      <w:r w:rsidRPr="00B763E0">
        <w:rPr>
          <w:rFonts w:hint="eastAsia"/>
        </w:rPr>
        <w:t>290</w:t>
      </w:r>
      <w:r w:rsidRPr="00B763E0">
        <w:rPr>
          <w:rFonts w:hint="eastAsia"/>
        </w:rPr>
        <w:t>条涵盖所有履行公职人员，包括检察官，只是不包括根据《刑法》独立条款受到保护的特定人群。</w:t>
      </w:r>
      <w:r w:rsidRPr="00B763E0">
        <w:rPr>
          <w:rStyle w:val="a8"/>
          <w:rFonts w:eastAsia="宋体"/>
        </w:rPr>
        <w:footnoteReference w:id="10"/>
      </w:r>
      <w:r w:rsidRPr="00B763E0">
        <w:t xml:space="preserve"> </w:t>
      </w:r>
      <w:r w:rsidRPr="00B763E0">
        <w:rPr>
          <w:rFonts w:hint="eastAsia"/>
        </w:rPr>
        <w:t>缔约国指出，最高法院审查了提交人在这方面的论点，认为不得孤立地解释所述条款，而应考虑到立法机关的意图、整个法律制度以及除此之外的欧洲人权法院判例。</w:t>
      </w:r>
      <w:r w:rsidRPr="00B763E0">
        <w:rPr>
          <w:rStyle w:val="a8"/>
          <w:rFonts w:eastAsia="宋体"/>
        </w:rPr>
        <w:footnoteReference w:id="11"/>
      </w:r>
      <w:r w:rsidRPr="00B763E0">
        <w:rPr>
          <w:rFonts w:hint="eastAsia"/>
        </w:rPr>
        <w:t xml:space="preserve"> </w:t>
      </w:r>
      <w:r w:rsidRPr="00B763E0">
        <w:rPr>
          <w:rFonts w:hint="eastAsia"/>
        </w:rPr>
        <w:t>此外，如果将检察官排除在此条范围之外，那么履行公职人员群体将无法得到抵御诽谤言论的保护。因此，此干预系由法律规定，这一点既明确，又可预见。</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4.4</w:t>
      </w:r>
      <w:r w:rsidRPr="00B763E0">
        <w:rPr>
          <w:rFonts w:hint="eastAsia"/>
        </w:rPr>
        <w:tab/>
      </w:r>
      <w:r w:rsidRPr="00B763E0">
        <w:rPr>
          <w:rFonts w:hint="eastAsia"/>
        </w:rPr>
        <w:t>有关干预是否具有合法目的的问题，特别是提交人关于第</w:t>
      </w:r>
      <w:r w:rsidRPr="00B763E0">
        <w:rPr>
          <w:rFonts w:hint="eastAsia"/>
        </w:rPr>
        <w:t>155</w:t>
      </w:r>
      <w:r w:rsidRPr="00B763E0">
        <w:rPr>
          <w:rFonts w:hint="eastAsia"/>
        </w:rPr>
        <w:t>条下犯罪行为“侮辱”与第</w:t>
      </w:r>
      <w:r w:rsidRPr="00B763E0">
        <w:rPr>
          <w:rFonts w:hint="eastAsia"/>
        </w:rPr>
        <w:t>290</w:t>
      </w:r>
      <w:r w:rsidRPr="00B763E0">
        <w:rPr>
          <w:rFonts w:hint="eastAsia"/>
        </w:rPr>
        <w:t>条下“侮辱公务员”之间所谓二分法的论点，缔约国指出，后者是《刑法》规定的一项独立犯罪行为。上述犯罪之间的区别之一是，对于“侮辱”情形，法律旨在保护个人荣誉和尊严；而对于“侮辱公务员或履行公共行政职能人员”，法律旨在为特定人群执行特定活动提供保护。法律确立这种独立犯罪行为的主要目的是维护公共秩序，而不是防止人身伤害，后者只是所述规定的附带目的。最高法院的判决明确指出，本条旨在让公务员或履行公共行政职能人员能够履行其职责并确保其正常活动。缔约国认为，基于这种理由对表达自由的限制属于《公约》第十九条第三款所允许的限制范畴，特别是为了保护公共秩序。</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4.5</w:t>
      </w:r>
      <w:r w:rsidRPr="00B763E0">
        <w:rPr>
          <w:rFonts w:hint="eastAsia"/>
        </w:rPr>
        <w:tab/>
      </w:r>
      <w:r w:rsidRPr="00B763E0">
        <w:rPr>
          <w:rFonts w:hint="eastAsia"/>
        </w:rPr>
        <w:t>对于相称性问题，缔约国认为，提交人未能充分证实其指控，因此，根据《任择议定书》第二条，应宣布她的来文不可受理。缔约国指出，国内法院彻底分析了案件情形，评估时甚至排除了提交人的部分言论，因为那些言论要么含糊不清，要么并无恶意，因而不可能构成《刑法》第</w:t>
      </w:r>
      <w:r w:rsidRPr="00B763E0">
        <w:rPr>
          <w:rFonts w:hint="eastAsia"/>
        </w:rPr>
        <w:t>290</w:t>
      </w:r>
      <w:r w:rsidRPr="00B763E0">
        <w:rPr>
          <w:rFonts w:hint="eastAsia"/>
        </w:rPr>
        <w:t>条下的犯罪要件。此外，国内法院承认促进在公共领域和公共机构就公众人物进行公开辩论的各种表达形式的重要性，同时认为一方面，提交人的言论无助于公开辩论，另一方面，也不能将受辱检察官视为公众人物或政治人物。最高法院就此指出，表达公开批评既不可以、也不应该采用极端、侮辱性字眼，因为这些字眼既无助于发展公开讨论，又会对官员顺利履行职责及其荣誉和尊严构成威胁。在这方面，最高法院强调，对提交人定罪不是因为她批评检察官，而是因为她以侮辱性方式表达批评。</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4.6</w:t>
      </w:r>
      <w:r w:rsidRPr="00B763E0">
        <w:rPr>
          <w:rFonts w:hint="eastAsia"/>
        </w:rPr>
        <w:tab/>
      </w:r>
      <w:r w:rsidRPr="00B763E0">
        <w:rPr>
          <w:rFonts w:hint="eastAsia"/>
        </w:rPr>
        <w:t>此外，缔约国坚持认为，法院全面考虑了案件，并适当权衡了其加重和减轻情节。因此，法院注意到，提交人发表言论的采访已在电视上广泛播出，因此受众无数。法院还认为，提交人的指控并不属实。最高法院的判决还指出，推定的违反程序情形、指控和处罚的严重性以及案件的复杂性都不能成为被告侮辱负责其刑事案件的公职人员的借口。尽管如此，国内法院适当考虑了提交人发表备受非难的言论时所承受的巨大压力。</w:t>
      </w:r>
      <w:r w:rsidRPr="00B763E0">
        <w:rPr>
          <w:rStyle w:val="a8"/>
          <w:rFonts w:eastAsia="宋体"/>
        </w:rPr>
        <w:footnoteReference w:id="12"/>
      </w:r>
      <w:r w:rsidRPr="00B763E0">
        <w:rPr>
          <w:rFonts w:hint="eastAsia"/>
        </w:rPr>
        <w:t xml:space="preserve"> </w:t>
      </w:r>
      <w:r w:rsidRPr="00B763E0">
        <w:rPr>
          <w:rFonts w:hint="eastAsia"/>
        </w:rPr>
        <w:t>此外，缔约国回顾，罚款是对这类犯罪行为最宽大的制裁，其数额</w:t>
      </w:r>
      <w:r w:rsidRPr="00B763E0">
        <w:rPr>
          <w:rFonts w:hint="eastAsia"/>
        </w:rPr>
        <w:t>(</w:t>
      </w:r>
      <w:r w:rsidRPr="00B763E0">
        <w:rPr>
          <w:rFonts w:hint="eastAsia"/>
        </w:rPr>
        <w:t>约</w:t>
      </w:r>
      <w:r w:rsidRPr="00B763E0">
        <w:rPr>
          <w:rFonts w:hint="eastAsia"/>
        </w:rPr>
        <w:t>377</w:t>
      </w:r>
      <w:r w:rsidRPr="00B763E0">
        <w:rPr>
          <w:rFonts w:hint="eastAsia"/>
        </w:rPr>
        <w:t>欧元</w:t>
      </w:r>
      <w:r w:rsidRPr="00B763E0">
        <w:rPr>
          <w:rFonts w:hint="eastAsia"/>
        </w:rPr>
        <w:t>)</w:t>
      </w:r>
      <w:r w:rsidRPr="00B763E0">
        <w:rPr>
          <w:rFonts w:hint="eastAsia"/>
        </w:rPr>
        <w:t>也接近法律相关规定所允许的最低限额。缔约国还注意到，提交人就其定罪的长期影响提出的主张含糊不清，因为她未具体说明她无法从事的职业，以及对她的定罪是否是妨碍她从事这些活动的唯一因素。此外，与提交人所宣称的相反，她的犯罪记录将在其定罪三年后消除。</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4.7</w:t>
      </w:r>
      <w:r w:rsidRPr="00B763E0">
        <w:rPr>
          <w:rFonts w:hint="eastAsia"/>
        </w:rPr>
        <w:tab/>
      </w:r>
      <w:r w:rsidRPr="00B763E0">
        <w:rPr>
          <w:rFonts w:hint="eastAsia"/>
        </w:rPr>
        <w:t>因此，缔约国认为国内法院彻底分析了案件相关因素，并补充道，委员会不应充当“四审法院”，而应审查国内法院的评估。鉴于上述考虑，缔约国得出结论认为，对提交人的制裁系民主社会所必需，且与所追求的目的相称。因此，缔约国认为申诉证据不足，应不予受理。</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4.8</w:t>
      </w:r>
      <w:r w:rsidRPr="00B763E0">
        <w:rPr>
          <w:rFonts w:hint="eastAsia"/>
        </w:rPr>
        <w:tab/>
      </w:r>
      <w:r w:rsidRPr="00B763E0">
        <w:rPr>
          <w:rFonts w:hint="eastAsia"/>
        </w:rPr>
        <w:t>最后，缔约国指出，提交人从以下几个方面误导了委员会：</w:t>
      </w:r>
      <w:r w:rsidRPr="00B763E0">
        <w:rPr>
          <w:rFonts w:hint="eastAsia"/>
        </w:rPr>
        <w:t>(a)</w:t>
      </w:r>
      <w:r w:rsidRPr="00B763E0">
        <w:t xml:space="preserve"> </w:t>
      </w:r>
      <w:r w:rsidRPr="00B763E0">
        <w:rPr>
          <w:rFonts w:hint="eastAsia"/>
        </w:rPr>
        <w:t>谎称国家法院扩大了作为其刑事责任依据的法律解释；</w:t>
      </w:r>
      <w:r w:rsidRPr="00B763E0">
        <w:rPr>
          <w:rFonts w:hint="eastAsia"/>
        </w:rPr>
        <w:t>(b)</w:t>
      </w:r>
      <w:r w:rsidRPr="00B763E0">
        <w:t xml:space="preserve"> </w:t>
      </w:r>
      <w:r w:rsidRPr="00B763E0">
        <w:rPr>
          <w:rFonts w:hint="eastAsia"/>
        </w:rPr>
        <w:t>称该法律旨在保护检察官荣誉和尊严，而这并非允许限制表达自由的理由；</w:t>
      </w:r>
      <w:r w:rsidRPr="00B763E0">
        <w:rPr>
          <w:rFonts w:hint="eastAsia"/>
        </w:rPr>
        <w:t>(c)</w:t>
      </w:r>
      <w:r w:rsidRPr="00B763E0">
        <w:t xml:space="preserve"> </w:t>
      </w:r>
      <w:r w:rsidRPr="00B763E0">
        <w:rPr>
          <w:rFonts w:hint="eastAsia"/>
        </w:rPr>
        <w:t>援引的欧洲人权法院案例与她的案件无关，因为事实情况和法定情节都大相径庭。因此，缔约国认为，根据《任择议定书》第三条，应以滥用提交权为由，宣布申诉不可受理。</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4.9</w:t>
      </w:r>
      <w:r w:rsidRPr="00B763E0">
        <w:rPr>
          <w:rFonts w:hint="eastAsia"/>
        </w:rPr>
        <w:tab/>
      </w:r>
      <w:r w:rsidRPr="00B763E0">
        <w:rPr>
          <w:rFonts w:hint="eastAsia"/>
        </w:rPr>
        <w:t>在随后</w:t>
      </w:r>
      <w:r w:rsidRPr="00B763E0">
        <w:rPr>
          <w:rFonts w:hint="eastAsia"/>
        </w:rPr>
        <w:t>2016</w:t>
      </w:r>
      <w:r w:rsidRPr="00B763E0">
        <w:rPr>
          <w:rFonts w:hint="eastAsia"/>
        </w:rPr>
        <w:t>年</w:t>
      </w:r>
      <w:r w:rsidRPr="00B763E0">
        <w:rPr>
          <w:rFonts w:hint="eastAsia"/>
        </w:rPr>
        <w:t>7</w:t>
      </w:r>
      <w:r w:rsidRPr="00B763E0">
        <w:rPr>
          <w:rFonts w:hint="eastAsia"/>
        </w:rPr>
        <w:t>月</w:t>
      </w:r>
      <w:r w:rsidRPr="00B763E0">
        <w:rPr>
          <w:rFonts w:hint="eastAsia"/>
        </w:rPr>
        <w:t>7</w:t>
      </w:r>
      <w:r w:rsidRPr="00B763E0">
        <w:rPr>
          <w:rFonts w:hint="eastAsia"/>
        </w:rPr>
        <w:t>日的普通照会中，缔约国重申了立场，即委员会应根据《任择议定书》第一条、第二条和第三条认定来文不可受理。缔约国还认为，如果委员会审查申诉案情，便应考虑缔约国</w:t>
      </w:r>
      <w:r w:rsidRPr="00B763E0">
        <w:rPr>
          <w:rFonts w:hint="eastAsia"/>
        </w:rPr>
        <w:t>2016</w:t>
      </w:r>
      <w:r w:rsidRPr="00B763E0">
        <w:rPr>
          <w:rFonts w:hint="eastAsia"/>
        </w:rPr>
        <w:t>年</w:t>
      </w:r>
      <w:r w:rsidRPr="00B763E0">
        <w:rPr>
          <w:rFonts w:hint="eastAsia"/>
        </w:rPr>
        <w:t>3</w:t>
      </w:r>
      <w:r w:rsidRPr="00B763E0">
        <w:rPr>
          <w:rFonts w:hint="eastAsia"/>
        </w:rPr>
        <w:t>月</w:t>
      </w:r>
      <w:r w:rsidRPr="00B763E0">
        <w:rPr>
          <w:rFonts w:hint="eastAsia"/>
        </w:rPr>
        <w:t>8</w:t>
      </w:r>
      <w:r w:rsidRPr="00B763E0">
        <w:rPr>
          <w:rFonts w:hint="eastAsia"/>
        </w:rPr>
        <w:t>日关于提交人申诉可否受理和案情的意见，根据其中所述原因，认定并不存在违反《公约》第十九条第二款的情形。</w:t>
      </w:r>
    </w:p>
    <w:p w:rsidR="00344DA6" w:rsidRPr="00B763E0" w:rsidRDefault="00344DA6" w:rsidP="00D75964">
      <w:pPr>
        <w:pStyle w:val="H23GC"/>
      </w:pPr>
      <w:r w:rsidRPr="00B763E0">
        <w:rPr>
          <w:rFonts w:hint="eastAsia"/>
        </w:rPr>
        <w:tab/>
      </w:r>
      <w:r w:rsidRPr="00B763E0">
        <w:rPr>
          <w:rFonts w:hint="eastAsia"/>
        </w:rPr>
        <w:tab/>
      </w:r>
      <w:r w:rsidRPr="00B763E0">
        <w:rPr>
          <w:rFonts w:hint="eastAsia"/>
        </w:rPr>
        <w:t>提交人对缔约国关于可否受理的意见的评论</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5.1</w:t>
      </w:r>
      <w:r w:rsidRPr="00B763E0">
        <w:rPr>
          <w:rFonts w:hint="eastAsia"/>
        </w:rPr>
        <w:tab/>
      </w:r>
      <w:r w:rsidRPr="00B763E0">
        <w:rPr>
          <w:rFonts w:hint="eastAsia"/>
        </w:rPr>
        <w:t>提交人在</w:t>
      </w:r>
      <w:r w:rsidRPr="00B763E0">
        <w:rPr>
          <w:rFonts w:hint="eastAsia"/>
        </w:rPr>
        <w:t>2016</w:t>
      </w:r>
      <w:r w:rsidRPr="00B763E0">
        <w:rPr>
          <w:rFonts w:hint="eastAsia"/>
        </w:rPr>
        <w:t>年</w:t>
      </w:r>
      <w:r w:rsidRPr="00B763E0">
        <w:rPr>
          <w:rFonts w:hint="eastAsia"/>
        </w:rPr>
        <w:t>8</w:t>
      </w:r>
      <w:r w:rsidRPr="00B763E0">
        <w:rPr>
          <w:rFonts w:hint="eastAsia"/>
        </w:rPr>
        <w:t>月</w:t>
      </w:r>
      <w:r w:rsidRPr="00B763E0">
        <w:rPr>
          <w:rFonts w:hint="eastAsia"/>
        </w:rPr>
        <w:t>10</w:t>
      </w:r>
      <w:r w:rsidRPr="00B763E0">
        <w:rPr>
          <w:rFonts w:hint="eastAsia"/>
        </w:rPr>
        <w:t>日的信函中回应了缔约国的意见。关于缔约国根据《任择议定书》第一条提出的论点，提交人指出，她因批评检察官的言论而被刑事定罪，这无疑影响到她根据《公约》第十九条享有的权利。她坚持认为，她无意</w:t>
      </w:r>
      <w:r w:rsidRPr="00160FFC">
        <w:rPr>
          <w:rFonts w:hint="eastAsia"/>
        </w:rPr>
        <w:t>在理论上</w:t>
      </w:r>
      <w:r w:rsidRPr="00B763E0">
        <w:rPr>
          <w:rFonts w:hint="eastAsia"/>
        </w:rPr>
        <w:t>质疑法律，而是要质疑该法律在本案中对她不利的适用方式。因此，对于提交委员会的诉讼，她主张具有受害者地位。</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5.2</w:t>
      </w:r>
      <w:r w:rsidRPr="00B763E0">
        <w:rPr>
          <w:rFonts w:hint="eastAsia"/>
        </w:rPr>
        <w:tab/>
      </w:r>
      <w:r w:rsidRPr="00B763E0">
        <w:rPr>
          <w:rFonts w:hint="eastAsia"/>
        </w:rPr>
        <w:t>关于缔约国以国内法院彻底审查过提交人案件为由称其来文证据不足的论点，提交人认为，她的案件已由三家法院三次审查，仅仅这一事实就足以证明她已用尽国内补救办法。缔约国不能以国内法院审查过其申诉为由而认为申诉不可受理。至于缔约国有关干预相称性的论点，她指出，这些论点忽视了她向委员会提出的主要申诉，其内容并非其制裁的严重程度，而是她因公开批评言论而遭到刑事诉讼的这一事实本身。</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5.3</w:t>
      </w:r>
      <w:r w:rsidRPr="00B763E0">
        <w:rPr>
          <w:rFonts w:hint="eastAsia"/>
        </w:rPr>
        <w:tab/>
      </w:r>
      <w:r w:rsidRPr="00B763E0">
        <w:rPr>
          <w:rFonts w:hint="eastAsia"/>
        </w:rPr>
        <w:t>最后，提交人指出，缔约国不应该仅仅因为她的观点和对法律的解释与国家观点和解释不同，就将其视为企图误导委员会，而不将其作为公正法庭解决争议必不可少的一部分。这不能被视为滥用提交权。</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5.4</w:t>
      </w:r>
      <w:r w:rsidRPr="00B763E0">
        <w:rPr>
          <w:rFonts w:hint="eastAsia"/>
        </w:rPr>
        <w:tab/>
        <w:t>2017</w:t>
      </w:r>
      <w:r w:rsidRPr="00B763E0">
        <w:rPr>
          <w:rFonts w:hint="eastAsia"/>
        </w:rPr>
        <w:t>年</w:t>
      </w:r>
      <w:r w:rsidRPr="00B763E0">
        <w:rPr>
          <w:rFonts w:hint="eastAsia"/>
        </w:rPr>
        <w:t>4</w:t>
      </w:r>
      <w:r w:rsidRPr="00B763E0">
        <w:rPr>
          <w:rFonts w:hint="eastAsia"/>
        </w:rPr>
        <w:t>月</w:t>
      </w:r>
      <w:r w:rsidRPr="00B763E0">
        <w:rPr>
          <w:rFonts w:hint="eastAsia"/>
        </w:rPr>
        <w:t>18</w:t>
      </w:r>
      <w:r w:rsidRPr="00B763E0">
        <w:rPr>
          <w:rFonts w:hint="eastAsia"/>
        </w:rPr>
        <w:t>日，提交人重申了她的立场，即她因口头侮辱控诉方而受到刑事定罪，这干预了她根据《公约》第十九条第二款享有的表达自由权，不符合第十九条第三款的要求，因此不合理。她进一步告知委员会，立陶宛现已将第</w:t>
      </w:r>
      <w:r w:rsidRPr="00B763E0">
        <w:rPr>
          <w:rFonts w:hint="eastAsia"/>
        </w:rPr>
        <w:t>155</w:t>
      </w:r>
      <w:r w:rsidRPr="00B763E0">
        <w:rPr>
          <w:rFonts w:hint="eastAsia"/>
        </w:rPr>
        <w:t>条下的犯罪行为“侮辱”和第</w:t>
      </w:r>
      <w:r w:rsidRPr="00B763E0">
        <w:rPr>
          <w:rFonts w:hint="eastAsia"/>
        </w:rPr>
        <w:t>290</w:t>
      </w:r>
      <w:r w:rsidRPr="00B763E0">
        <w:rPr>
          <w:rFonts w:hint="eastAsia"/>
        </w:rPr>
        <w:t>条下的“侮辱公务员或履行公共行政职能人员”都合法化了，这也表明当时对她定罪的刑事诉讼不具备必要性和相称性。</w:t>
      </w:r>
    </w:p>
    <w:p w:rsidR="00344DA6" w:rsidRPr="00B763E0" w:rsidRDefault="00344DA6" w:rsidP="007B6445">
      <w:pPr>
        <w:pStyle w:val="H23GC"/>
      </w:pPr>
      <w:r w:rsidRPr="00B763E0">
        <w:rPr>
          <w:rFonts w:hint="eastAsia"/>
        </w:rPr>
        <w:tab/>
      </w:r>
      <w:r w:rsidRPr="00B763E0">
        <w:rPr>
          <w:rFonts w:hint="eastAsia"/>
        </w:rPr>
        <w:tab/>
      </w:r>
      <w:r w:rsidRPr="00B763E0">
        <w:rPr>
          <w:rFonts w:hint="eastAsia"/>
        </w:rPr>
        <w:t>缔约国的补充意见</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6.1</w:t>
      </w:r>
      <w:r w:rsidRPr="00B763E0">
        <w:rPr>
          <w:rFonts w:hint="eastAsia"/>
        </w:rPr>
        <w:tab/>
      </w:r>
      <w:r w:rsidRPr="00B763E0">
        <w:rPr>
          <w:rFonts w:hint="eastAsia"/>
        </w:rPr>
        <w:t>在</w:t>
      </w:r>
      <w:r w:rsidRPr="00B763E0">
        <w:rPr>
          <w:rFonts w:hint="eastAsia"/>
        </w:rPr>
        <w:t>2017</w:t>
      </w:r>
      <w:r w:rsidRPr="00B763E0">
        <w:rPr>
          <w:rFonts w:hint="eastAsia"/>
        </w:rPr>
        <w:t>年</w:t>
      </w:r>
      <w:r w:rsidRPr="00B763E0">
        <w:rPr>
          <w:rFonts w:hint="eastAsia"/>
        </w:rPr>
        <w:t>5</w:t>
      </w:r>
      <w:r w:rsidRPr="00B763E0">
        <w:rPr>
          <w:rFonts w:hint="eastAsia"/>
        </w:rPr>
        <w:t>月</w:t>
      </w:r>
      <w:r w:rsidRPr="00B763E0">
        <w:rPr>
          <w:rFonts w:hint="eastAsia"/>
        </w:rPr>
        <w:t>19</w:t>
      </w:r>
      <w:r w:rsidRPr="00B763E0">
        <w:rPr>
          <w:rFonts w:hint="eastAsia"/>
        </w:rPr>
        <w:t>日的一份普通照会中，缔约国重申了其立场，即委员会应认定本来文不可受理，因为缺乏受害者地位、证据不足和滥用提交权。关于提交人当时的犯罪行为和其他行为现已合法化的问题，缔约国认为，《刑法》和《行政犯罪法》都载有关于侮辱履行公职人员行为的条款。为了统一这些条款，也</w:t>
      </w:r>
      <w:r w:rsidRPr="007B6445">
        <w:rPr>
          <w:rFonts w:hint="eastAsia"/>
        </w:rPr>
        <w:t>为了遵守“一罪不二审”原则要求</w:t>
      </w:r>
      <w:r w:rsidRPr="00B763E0">
        <w:rPr>
          <w:rFonts w:hint="eastAsia"/>
        </w:rPr>
        <w:t>，立法机关决定废除这两个条款，在《行政犯罪法》第</w:t>
      </w:r>
      <w:r w:rsidRPr="00B763E0">
        <w:rPr>
          <w:rFonts w:hint="eastAsia"/>
        </w:rPr>
        <w:t>507</w:t>
      </w:r>
      <w:r w:rsidRPr="00B763E0">
        <w:rPr>
          <w:rFonts w:hint="eastAsia"/>
        </w:rPr>
        <w:t>条下出台单项统一规定。</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6.2</w:t>
      </w:r>
      <w:r w:rsidRPr="00B763E0">
        <w:rPr>
          <w:rFonts w:hint="eastAsia"/>
        </w:rPr>
        <w:tab/>
      </w:r>
      <w:r w:rsidRPr="00B763E0">
        <w:rPr>
          <w:rFonts w:hint="eastAsia"/>
        </w:rPr>
        <w:t>最后，缔约国忆及提交人的案件并不涉及自由言论与媒体之间的关系，并重申提交人的言论不应被视为有关公共或政治问题的信息或观点，而且案件所涉检察官并非著名公众人物或政治人物。因此，提交人为了证明其言论应得到表达自由权下的更大保护而援引的欧洲人权法院处理类似问题的判决与本申诉的裁决无关。</w:t>
      </w:r>
    </w:p>
    <w:p w:rsidR="00344DA6" w:rsidRPr="00B763E0" w:rsidRDefault="00344DA6" w:rsidP="002E579C">
      <w:pPr>
        <w:pStyle w:val="H23GC"/>
        <w:spacing w:before="200"/>
      </w:pPr>
      <w:r w:rsidRPr="00B763E0">
        <w:rPr>
          <w:rFonts w:hint="eastAsia"/>
        </w:rPr>
        <w:tab/>
      </w:r>
      <w:r w:rsidRPr="00B763E0">
        <w:rPr>
          <w:rFonts w:hint="eastAsia"/>
        </w:rPr>
        <w:tab/>
      </w:r>
      <w:r w:rsidRPr="00B763E0">
        <w:rPr>
          <w:rFonts w:hint="eastAsia"/>
        </w:rPr>
        <w:t>委员会需审理的问题和议事情况</w:t>
      </w:r>
    </w:p>
    <w:p w:rsidR="00344DA6" w:rsidRPr="00B763E0" w:rsidRDefault="00344DA6" w:rsidP="002E579C">
      <w:pPr>
        <w:pStyle w:val="H4GC"/>
        <w:spacing w:before="200"/>
        <w:rPr>
          <w:i/>
        </w:rPr>
      </w:pPr>
      <w:r w:rsidRPr="00B763E0">
        <w:rPr>
          <w:rFonts w:hint="eastAsia"/>
        </w:rPr>
        <w:tab/>
      </w:r>
      <w:r w:rsidRPr="00B763E0">
        <w:rPr>
          <w:rFonts w:hint="eastAsia"/>
        </w:rPr>
        <w:tab/>
      </w:r>
      <w:r w:rsidRPr="00B763E0">
        <w:rPr>
          <w:rFonts w:hint="eastAsia"/>
        </w:rPr>
        <w:t>审议可否受理</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7.1</w:t>
      </w:r>
      <w:r w:rsidRPr="00B763E0">
        <w:rPr>
          <w:rFonts w:hint="eastAsia"/>
        </w:rPr>
        <w:tab/>
      </w:r>
      <w:r w:rsidRPr="00B763E0">
        <w:rPr>
          <w:rFonts w:hint="eastAsia"/>
        </w:rPr>
        <w:t>在审议来文所载的任何权利主张之前，委员会须根据其议事规则第</w:t>
      </w:r>
      <w:r w:rsidRPr="00B763E0">
        <w:rPr>
          <w:rFonts w:hint="eastAsia"/>
        </w:rPr>
        <w:t>97</w:t>
      </w:r>
      <w:r w:rsidRPr="00B763E0">
        <w:rPr>
          <w:rFonts w:hint="eastAsia"/>
        </w:rPr>
        <w:t>条，决定来文是否符合《任择议定书》规定的受理条件。</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7.2</w:t>
      </w:r>
      <w:r w:rsidRPr="00B763E0">
        <w:rPr>
          <w:rFonts w:hint="eastAsia"/>
        </w:rPr>
        <w:tab/>
      </w:r>
      <w:r w:rsidRPr="00B763E0">
        <w:rPr>
          <w:rFonts w:hint="eastAsia"/>
        </w:rPr>
        <w:t>委员会注意到，提交人向欧洲人权法院提出了类似的权利主张，但该法院于</w:t>
      </w:r>
      <w:r w:rsidRPr="00B763E0">
        <w:rPr>
          <w:rFonts w:hint="eastAsia"/>
        </w:rPr>
        <w:t>2012</w:t>
      </w:r>
      <w:r w:rsidRPr="00B763E0">
        <w:rPr>
          <w:rFonts w:hint="eastAsia"/>
        </w:rPr>
        <w:t>年</w:t>
      </w:r>
      <w:r w:rsidRPr="00B763E0">
        <w:rPr>
          <w:rFonts w:hint="eastAsia"/>
        </w:rPr>
        <w:t>10</w:t>
      </w:r>
      <w:r w:rsidRPr="00B763E0">
        <w:rPr>
          <w:rFonts w:hint="eastAsia"/>
        </w:rPr>
        <w:t>月</w:t>
      </w:r>
      <w:r w:rsidRPr="00B763E0">
        <w:rPr>
          <w:rFonts w:hint="eastAsia"/>
        </w:rPr>
        <w:t>31</w:t>
      </w:r>
      <w:r w:rsidRPr="00B763E0">
        <w:rPr>
          <w:rFonts w:hint="eastAsia"/>
        </w:rPr>
        <w:t>日宣布不予受理。委员会忆及，《任择议定书》第五条第二款</w:t>
      </w:r>
      <w:r w:rsidRPr="00B763E0">
        <w:rPr>
          <w:rFonts w:hint="eastAsia"/>
        </w:rPr>
        <w:t>(</w:t>
      </w:r>
      <w:r w:rsidRPr="00B763E0">
        <w:rPr>
          <w:rFonts w:hint="eastAsia"/>
        </w:rPr>
        <w:t>子</w:t>
      </w:r>
      <w:r w:rsidRPr="00B763E0">
        <w:rPr>
          <w:rFonts w:hint="eastAsia"/>
        </w:rPr>
        <w:t>)</w:t>
      </w:r>
      <w:r w:rsidRPr="00B763E0">
        <w:rPr>
          <w:rFonts w:hint="eastAsia"/>
        </w:rPr>
        <w:t>项意义上的“同一事件”概念须理解为包括同一个人向另一国际机构提起的同一权利主张，同时，此项禁止涉及同一事件同时处于另一审查之中。尽管同一个人向欧洲人权法院也提交了本来文，但该法院已作出了决定。此外，委员会注意到，缔约国对第五条第二款</w:t>
      </w:r>
      <w:r w:rsidRPr="00B763E0">
        <w:rPr>
          <w:rFonts w:hint="eastAsia"/>
        </w:rPr>
        <w:t>(</w:t>
      </w:r>
      <w:r w:rsidRPr="00B763E0">
        <w:rPr>
          <w:rFonts w:hint="eastAsia"/>
        </w:rPr>
        <w:t>子</w:t>
      </w:r>
      <w:r w:rsidRPr="00B763E0">
        <w:rPr>
          <w:rFonts w:hint="eastAsia"/>
        </w:rPr>
        <w:t>)</w:t>
      </w:r>
      <w:r w:rsidRPr="00B763E0">
        <w:rPr>
          <w:rFonts w:hint="eastAsia"/>
        </w:rPr>
        <w:t>项并未提出保留，以阻止委员会审查以前由另一个机构审议过的来文。因此，委员会确定，为了《任择议定书》第五条第二款</w:t>
      </w:r>
      <w:r w:rsidRPr="00B763E0">
        <w:rPr>
          <w:rFonts w:hint="eastAsia"/>
        </w:rPr>
        <w:t>(</w:t>
      </w:r>
      <w:r w:rsidRPr="00B763E0">
        <w:rPr>
          <w:rFonts w:hint="eastAsia"/>
        </w:rPr>
        <w:t>子</w:t>
      </w:r>
      <w:r w:rsidRPr="00B763E0">
        <w:rPr>
          <w:rFonts w:hint="eastAsia"/>
        </w:rPr>
        <w:t>)</w:t>
      </w:r>
      <w:r w:rsidRPr="00B763E0">
        <w:rPr>
          <w:rFonts w:hint="eastAsia"/>
        </w:rPr>
        <w:t>项之目的，同一事件不在另一国际调查或解决程序审查之中。</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7.3</w:t>
      </w:r>
      <w:r w:rsidRPr="00B763E0">
        <w:rPr>
          <w:rFonts w:hint="eastAsia"/>
        </w:rPr>
        <w:tab/>
      </w:r>
      <w:r w:rsidRPr="00B763E0">
        <w:rPr>
          <w:rFonts w:hint="eastAsia"/>
        </w:rPr>
        <w:t>委员会还注意到，按照《任择议定书》第五条第二款</w:t>
      </w:r>
      <w:r w:rsidRPr="00B763E0">
        <w:rPr>
          <w:rFonts w:hint="eastAsia"/>
        </w:rPr>
        <w:t>(</w:t>
      </w:r>
      <w:r w:rsidRPr="00B763E0">
        <w:rPr>
          <w:rFonts w:hint="eastAsia"/>
        </w:rPr>
        <w:t>丑</w:t>
      </w:r>
      <w:r w:rsidRPr="00B763E0">
        <w:rPr>
          <w:rFonts w:hint="eastAsia"/>
        </w:rPr>
        <w:t>)</w:t>
      </w:r>
      <w:r w:rsidRPr="00B763E0">
        <w:rPr>
          <w:rFonts w:hint="eastAsia"/>
        </w:rPr>
        <w:t>项规定，国内补救办法已经用尽。</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7.4</w:t>
      </w:r>
      <w:r w:rsidRPr="00B763E0">
        <w:rPr>
          <w:rFonts w:hint="eastAsia"/>
        </w:rPr>
        <w:tab/>
      </w:r>
      <w:r w:rsidRPr="00B763E0">
        <w:rPr>
          <w:rFonts w:hint="eastAsia"/>
        </w:rPr>
        <w:t>委员会注意到缔约国以滥用提交权为由认为来文不可受理的论点，指出提交人就国内法院拓展法律的解释以及该法律的非法目的故意提交了误导性信息。此外，缔约国表示，提交人选择性地援引了欧洲人权法院的判例法。提交人坚决主张，不应该将她的观点和对法律的解释视为企图误导委员会，而应将其视为公正法庭解决争议必不可少的一部分。委员会认为，提交人提供的资料反映了对该法律范围的解释差异，不能被视为滥用提交权。</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7.5</w:t>
      </w:r>
      <w:r w:rsidRPr="00B763E0">
        <w:rPr>
          <w:rFonts w:hint="eastAsia"/>
        </w:rPr>
        <w:tab/>
      </w:r>
      <w:r w:rsidRPr="00B763E0">
        <w:rPr>
          <w:rFonts w:hint="eastAsia"/>
        </w:rPr>
        <w:t>有关缔约国认为提交人不能将自己确立为《任择议定书》第一条意义上的“受害者”的论点，委员会忆及，一个人除非自身权利实际上受到侵犯，否则不会声称自己是《任择议定书》第一条意义上的受害者，而且没有人会以</w:t>
      </w:r>
      <w:r w:rsidRPr="00B763E0">
        <w:rPr>
          <w:rFonts w:ascii="楷体" w:eastAsia="楷体" w:hAnsi="楷体" w:hint="eastAsia"/>
        </w:rPr>
        <w:t>民众诉讼</w:t>
      </w:r>
      <w:r w:rsidRPr="00B763E0">
        <w:rPr>
          <w:rFonts w:hint="eastAsia"/>
        </w:rPr>
        <w:t>对自己认为</w:t>
      </w:r>
      <w:r w:rsidRPr="007E6C0F">
        <w:rPr>
          <w:rFonts w:hint="eastAsia"/>
        </w:rPr>
        <w:t>在理论上</w:t>
      </w:r>
      <w:r w:rsidRPr="00B763E0">
        <w:rPr>
          <w:rFonts w:hint="eastAsia"/>
        </w:rPr>
        <w:t>不符合《公约》的法律或实践提出异议。然而，委员会认为，提交人有关法律精确性和可预见性的论点不应被视为</w:t>
      </w:r>
      <w:r w:rsidRPr="00B763E0">
        <w:rPr>
          <w:rFonts w:asciiTheme="minorEastAsia" w:eastAsiaTheme="minorEastAsia" w:hAnsiTheme="minorEastAsia" w:hint="eastAsia"/>
        </w:rPr>
        <w:t>在理论上</w:t>
      </w:r>
      <w:r w:rsidRPr="00B763E0">
        <w:rPr>
          <w:rFonts w:hint="eastAsia"/>
        </w:rPr>
        <w:t>质疑法律，而是质疑本案对提交人适用法律的方式，特别是所控干预是否由法律规定。因此，委员会认定，提交人已充分表明立场，因为她已就可否受理问题充分证实其根据《公约》第十九条提出的权利主张。</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7.6</w:t>
      </w:r>
      <w:r w:rsidRPr="00B763E0">
        <w:rPr>
          <w:rFonts w:hint="eastAsia"/>
        </w:rPr>
        <w:tab/>
      </w:r>
      <w:r w:rsidRPr="00B763E0">
        <w:rPr>
          <w:rFonts w:hint="eastAsia"/>
        </w:rPr>
        <w:t>关于缔约国认为申诉证据不足的主张，委员会认为，这些主张与案情密切相关，因此应在审议案情的范围内加以分析。因此，委员会宣布本来文可予受理，并着手审议案情。</w:t>
      </w:r>
    </w:p>
    <w:p w:rsidR="00344DA6" w:rsidRPr="00B763E0" w:rsidRDefault="00344DA6" w:rsidP="00E9340A">
      <w:pPr>
        <w:pStyle w:val="H4GC"/>
        <w:rPr>
          <w:i/>
        </w:rPr>
      </w:pPr>
      <w:r w:rsidRPr="00B763E0">
        <w:rPr>
          <w:rFonts w:hint="eastAsia"/>
        </w:rPr>
        <w:tab/>
      </w:r>
      <w:r w:rsidRPr="00B763E0">
        <w:rPr>
          <w:rFonts w:hint="eastAsia"/>
        </w:rPr>
        <w:tab/>
      </w:r>
      <w:r w:rsidRPr="00B763E0">
        <w:rPr>
          <w:rFonts w:hint="eastAsia"/>
        </w:rPr>
        <w:t>审议案情</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8.1</w:t>
      </w:r>
      <w:r w:rsidRPr="00B763E0">
        <w:rPr>
          <w:rFonts w:hint="eastAsia"/>
        </w:rPr>
        <w:tab/>
      </w:r>
      <w:r w:rsidRPr="00B763E0">
        <w:rPr>
          <w:rFonts w:hint="eastAsia"/>
        </w:rPr>
        <w:t>人权事务委员会按照《任择议定书》第五条第一款的规定，参照各当事方提供的所有资料审议了本来文。</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8.2</w:t>
      </w:r>
      <w:r w:rsidRPr="00B763E0">
        <w:rPr>
          <w:rFonts w:hint="eastAsia"/>
        </w:rPr>
        <w:tab/>
      </w:r>
      <w:r w:rsidRPr="00B763E0">
        <w:rPr>
          <w:rFonts w:hint="eastAsia"/>
        </w:rPr>
        <w:t>委员会注意到，提交人诉称，她因公开批评负责其刑事诉讼的检察官的行动而被刑事定罪，这不合理地限制了她受《公约》第十九条第二款保护的表达自由权。委员会认为，对提交人的定罪实际上构成了对其表达自由权的干预，因此必须按照《公约》第十九条第三款规定的所有标准审查本案中对提交人权利的限制是否合理。</w:t>
      </w:r>
    </w:p>
    <w:p w:rsidR="00344DA6" w:rsidRPr="00B763E0" w:rsidRDefault="00344DA6" w:rsidP="00344DA6">
      <w:pPr>
        <w:pStyle w:val="SingleTxtGC"/>
        <w:tabs>
          <w:tab w:val="clear" w:pos="431"/>
          <w:tab w:val="clear" w:pos="1134"/>
          <w:tab w:val="clear" w:pos="1565"/>
          <w:tab w:val="clear" w:pos="1996"/>
          <w:tab w:val="clear" w:pos="2427"/>
          <w:tab w:val="left" w:pos="1701"/>
        </w:tabs>
        <w:rPr>
          <w:sz w:val="18"/>
          <w:vertAlign w:val="superscript"/>
        </w:rPr>
      </w:pPr>
      <w:r w:rsidRPr="00B763E0">
        <w:rPr>
          <w:rFonts w:hint="eastAsia"/>
        </w:rPr>
        <w:t>8.3</w:t>
      </w:r>
      <w:r w:rsidRPr="00B763E0">
        <w:rPr>
          <w:rFonts w:hint="eastAsia"/>
        </w:rPr>
        <w:tab/>
      </w:r>
      <w:r w:rsidRPr="00B763E0">
        <w:rPr>
          <w:rFonts w:hint="eastAsia"/>
        </w:rPr>
        <w:t>委员会忆及，《公约》第十九条第三款允许某种限制，但这种限制仅限于经法律规定且为尊重他人权利和名誉、或为保障国家安全或公共秩序或公共卫生或道德所必需。委员会援引其第</w:t>
      </w:r>
      <w:r w:rsidRPr="00B763E0">
        <w:rPr>
          <w:rFonts w:hint="eastAsia"/>
        </w:rPr>
        <w:t>34</w:t>
      </w:r>
      <w:r w:rsidRPr="00B763E0">
        <w:rPr>
          <w:rFonts w:hint="eastAsia"/>
        </w:rPr>
        <w:t>号一般性意见，其中指出，这些自由是个人全面发展不可或缺的条件，对任何社会都是必要的。它们是每一个自由、民主社会的奠基石。对行使这些自由的任何限制必须符合关于必要性和相称性的严格判断标准。施加限制之目的仅限于明文规定，且须与所指特定需要直接相关。委员会忆及，缔约国须证明，限制提交人根据《公约》第十九条享有的权利实属必要且相称。</w:t>
      </w:r>
      <w:r w:rsidRPr="00B763E0">
        <w:rPr>
          <w:rStyle w:val="a8"/>
          <w:rFonts w:eastAsia="宋体"/>
        </w:rPr>
        <w:footnoteReference w:id="13"/>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8.4</w:t>
      </w:r>
      <w:r w:rsidRPr="00B763E0">
        <w:rPr>
          <w:rFonts w:hint="eastAsia"/>
        </w:rPr>
        <w:tab/>
      </w:r>
      <w:r w:rsidRPr="00B763E0">
        <w:rPr>
          <w:rFonts w:hint="eastAsia"/>
        </w:rPr>
        <w:t>关于干预是否由法律规定的问题，委员会指出，双方对国内法律的解释存在分歧，特别是在《刑法》第</w:t>
      </w:r>
      <w:r w:rsidRPr="00B763E0">
        <w:rPr>
          <w:rFonts w:hint="eastAsia"/>
        </w:rPr>
        <w:t>290</w:t>
      </w:r>
      <w:r w:rsidRPr="00B763E0">
        <w:rPr>
          <w:rFonts w:hint="eastAsia"/>
        </w:rPr>
        <w:t>条范围内，检察官是否属于受到免遭侮辱保护的公务员范畴。在这方面，委员会注意到缔约国提出的论点，即干预系依据当时有效的《刑法》第</w:t>
      </w:r>
      <w:r w:rsidRPr="00B763E0">
        <w:rPr>
          <w:rFonts w:hint="eastAsia"/>
        </w:rPr>
        <w:t>290</w:t>
      </w:r>
      <w:r w:rsidRPr="00B763E0">
        <w:rPr>
          <w:rFonts w:hint="eastAsia"/>
        </w:rPr>
        <w:t>条执行，而该条的解释则依据《立陶宛刑法评注》。</w:t>
      </w:r>
      <w:r w:rsidRPr="00B763E0">
        <w:rPr>
          <w:rStyle w:val="a8"/>
          <w:rFonts w:eastAsia="宋体"/>
        </w:rPr>
        <w:footnoteReference w:id="14"/>
      </w:r>
      <w:r w:rsidRPr="00B763E0">
        <w:rPr>
          <w:rFonts w:hint="eastAsia"/>
        </w:rPr>
        <w:t xml:space="preserve"> </w:t>
      </w:r>
      <w:r w:rsidRPr="00B763E0">
        <w:rPr>
          <w:rFonts w:hint="eastAsia"/>
        </w:rPr>
        <w:t>委员会还注意到缔约国的另一论点，即立陶宛最高法院彻底审查了这个问题，证实按照提交人对法律的解释，检察官将得不到保护，这不符合国内法院以及欧洲人权法院的判例，</w:t>
      </w:r>
      <w:r w:rsidRPr="00B763E0">
        <w:rPr>
          <w:rStyle w:val="a8"/>
          <w:rFonts w:eastAsia="宋体"/>
        </w:rPr>
        <w:footnoteReference w:id="15"/>
      </w:r>
      <w:r w:rsidRPr="00B763E0">
        <w:rPr>
          <w:rFonts w:hint="eastAsia"/>
        </w:rPr>
        <w:t xml:space="preserve"> </w:t>
      </w:r>
      <w:r w:rsidRPr="00B763E0">
        <w:rPr>
          <w:rFonts w:hint="eastAsia"/>
        </w:rPr>
        <w:t>且与立法机关的意图相悖。</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8.5</w:t>
      </w:r>
      <w:r w:rsidRPr="00B763E0">
        <w:rPr>
          <w:rFonts w:hint="eastAsia"/>
        </w:rPr>
        <w:tab/>
      </w:r>
      <w:r w:rsidRPr="00B763E0">
        <w:rPr>
          <w:rFonts w:hint="eastAsia"/>
        </w:rPr>
        <w:t>委员会回顾其判例，其中指出：应对缔约国进行的评估给予相当大的权重，且除非认定评估明显具有任意性或构成明显错误或司法不公，否则，通常应由《公约》缔约国机关审查和评估事实和证据，以确定是否存在此种风险。</w:t>
      </w:r>
      <w:r w:rsidRPr="00B763E0">
        <w:rPr>
          <w:rStyle w:val="a8"/>
          <w:rFonts w:eastAsia="宋体"/>
        </w:rPr>
        <w:footnoteReference w:id="16"/>
      </w:r>
      <w:r w:rsidRPr="00B763E0">
        <w:rPr>
          <w:rFonts w:hint="eastAsia"/>
        </w:rPr>
        <w:t xml:space="preserve"> </w:t>
      </w:r>
      <w:r w:rsidRPr="00B763E0">
        <w:rPr>
          <w:rFonts w:hint="eastAsia"/>
        </w:rPr>
        <w:t>在本案中，不能称最高法院的评估具有任意性或构成了司法不公，因为所涉干预具有法律依据，而且所述法律条款对申请人案件的适用并未超出在相关情形下的合理预期。因此，委员会认为，所涉干预系在《公约》第十九条第三款范畴内由法律规定。至于提交人关于诽谤法刑事性质的论点以及关于为公职人员提供较之于其他人更大的免遭诽谤保护应视为具有歧视性的论点，其本质上涉及在本案适用相关法律引发的干预是否必要且相称。</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8.6</w:t>
      </w:r>
      <w:r w:rsidRPr="00B763E0">
        <w:rPr>
          <w:rFonts w:hint="eastAsia"/>
        </w:rPr>
        <w:tab/>
      </w:r>
      <w:r w:rsidRPr="00B763E0">
        <w:rPr>
          <w:rFonts w:hint="eastAsia"/>
        </w:rPr>
        <w:t>至于所涉干预是否具有合理目的的问题，提交人坚称，缔约国未就《公约》第十九条第三款规定的任何合法目的解释提交人的言论会危及检察官活动的具体理由。委员会也注意到提交人的论点，即第</w:t>
      </w:r>
      <w:r w:rsidRPr="00B763E0">
        <w:rPr>
          <w:rFonts w:hint="eastAsia"/>
        </w:rPr>
        <w:t>290</w:t>
      </w:r>
      <w:r w:rsidRPr="00B763E0">
        <w:rPr>
          <w:rFonts w:hint="eastAsia"/>
        </w:rPr>
        <w:t>条不可能旨在保护他人荣誉和尊严，因为这是《刑法》第</w:t>
      </w:r>
      <w:r w:rsidRPr="00B763E0">
        <w:rPr>
          <w:rFonts w:hint="eastAsia"/>
        </w:rPr>
        <w:t>155</w:t>
      </w:r>
      <w:r w:rsidRPr="00B763E0">
        <w:rPr>
          <w:rFonts w:hint="eastAsia"/>
        </w:rPr>
        <w:t>条为此规定的独立“侮辱”行为。缔约国对这些主张提出异议。缔约国认为，这一条款旨在让公务员能够履行其职责，而保护其荣誉和尊严也可能是允许限制的附带目的。</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8.7</w:t>
      </w:r>
      <w:r w:rsidRPr="00B763E0">
        <w:rPr>
          <w:rFonts w:hint="eastAsia"/>
        </w:rPr>
        <w:tab/>
      </w:r>
      <w:r w:rsidRPr="00B763E0">
        <w:rPr>
          <w:rFonts w:hint="eastAsia"/>
        </w:rPr>
        <w:t>委员会注意到，为了适当司法，以前在对藐视法庭的刑事定罪表示质疑的若干案件中承认对表达自由权的限制是为了合法目的。</w:t>
      </w:r>
      <w:r w:rsidRPr="00B763E0">
        <w:rPr>
          <w:rStyle w:val="a8"/>
          <w:rFonts w:eastAsia="宋体"/>
        </w:rPr>
        <w:footnoteReference w:id="17"/>
      </w:r>
      <w:r w:rsidRPr="00B763E0">
        <w:rPr>
          <w:rFonts w:hint="eastAsia"/>
        </w:rPr>
        <w:t xml:space="preserve"> </w:t>
      </w:r>
      <w:r w:rsidRPr="00B763E0">
        <w:rPr>
          <w:rFonts w:hint="eastAsia"/>
        </w:rPr>
        <w:t>委员会回顾其第</w:t>
      </w:r>
      <w:r w:rsidRPr="00B763E0">
        <w:rPr>
          <w:rFonts w:hint="eastAsia"/>
        </w:rPr>
        <w:t>34</w:t>
      </w:r>
      <w:r w:rsidRPr="00B763E0">
        <w:rPr>
          <w:rFonts w:hint="eastAsia"/>
        </w:rPr>
        <w:t>号一般性意见，其中第</w:t>
      </w:r>
      <w:r w:rsidRPr="00B763E0">
        <w:rPr>
          <w:rFonts w:hint="eastAsia"/>
        </w:rPr>
        <w:t>47</w:t>
      </w:r>
      <w:r w:rsidRPr="00B763E0">
        <w:rPr>
          <w:rFonts w:hint="eastAsia"/>
        </w:rPr>
        <w:t>段规定：</w:t>
      </w:r>
    </w:p>
    <w:p w:rsidR="00344DA6" w:rsidRPr="00B763E0" w:rsidRDefault="00344DA6" w:rsidP="002D0176">
      <w:pPr>
        <w:pStyle w:val="SingleTxtGC"/>
        <w:tabs>
          <w:tab w:val="clear" w:pos="431"/>
          <w:tab w:val="clear" w:pos="1134"/>
          <w:tab w:val="clear" w:pos="1565"/>
          <w:tab w:val="clear" w:pos="1996"/>
          <w:tab w:val="clear" w:pos="2427"/>
          <w:tab w:val="left" w:pos="2127"/>
        </w:tabs>
        <w:ind w:left="1701"/>
      </w:pPr>
      <w:r w:rsidRPr="00B763E0">
        <w:rPr>
          <w:rFonts w:hint="eastAsia"/>
        </w:rPr>
        <w:tab/>
      </w:r>
      <w:r w:rsidRPr="00B763E0">
        <w:rPr>
          <w:rFonts w:hint="eastAsia"/>
        </w:rPr>
        <w:t>应谨慎拟定诽谤法，以确保这些法律符合</w:t>
      </w:r>
      <w:r w:rsidRPr="00B763E0">
        <w:rPr>
          <w:rFonts w:hint="eastAsia"/>
        </w:rPr>
        <w:t>[</w:t>
      </w:r>
      <w:r w:rsidRPr="00B763E0">
        <w:rPr>
          <w:rFonts w:hint="eastAsia"/>
        </w:rPr>
        <w:t>第十九条</w:t>
      </w:r>
      <w:r w:rsidRPr="00B763E0">
        <w:rPr>
          <w:rFonts w:hint="eastAsia"/>
        </w:rPr>
        <w:t>]</w:t>
      </w:r>
      <w:r w:rsidRPr="00B763E0">
        <w:rPr>
          <w:rFonts w:hint="eastAsia"/>
        </w:rPr>
        <w:t>第三款，并且在实行中不会妨碍言论自由。所有此类法律，特别是诽谤相关刑法，应包括捍卫真理等抗辩措施，并且不得对性质未经核查的言论表达方式适用此类法律。至少在关于公众人物的评论方面，应考虑避免处罚或者以其他方式对错误但却无恶意情况下发表的非法虚假言论做出有罪裁决。在任何情况下，均应将公众对受批评事项的关注视作一种捍卫。缔约国应注意避免采取过度惩罚性的措施和处罚。</w:t>
      </w:r>
    </w:p>
    <w:p w:rsidR="00344DA6" w:rsidRPr="00B763E0" w:rsidRDefault="00344DA6" w:rsidP="00CD2815">
      <w:pPr>
        <w:pStyle w:val="SingleTxtGC"/>
      </w:pPr>
      <w:r w:rsidRPr="00B763E0">
        <w:rPr>
          <w:rFonts w:hint="eastAsia"/>
        </w:rPr>
        <w:t>与此同时，委员会认识到，检察官与公众人物的地位不同，而是与司法人员一样，</w:t>
      </w:r>
      <w:r w:rsidRPr="008246E9">
        <w:rPr>
          <w:rFonts w:hint="eastAsia"/>
          <w:spacing w:val="6"/>
        </w:rPr>
        <w:t>需要一定程度的公众信任，才能有效地履行职能。委员会注意到缔约国的论点，</w:t>
      </w:r>
      <w:r w:rsidRPr="00B763E0">
        <w:rPr>
          <w:rFonts w:hint="eastAsia"/>
        </w:rPr>
        <w:t>即《立陶宛刑法》第</w:t>
      </w:r>
      <w:r w:rsidRPr="00B763E0">
        <w:rPr>
          <w:rFonts w:hint="eastAsia"/>
        </w:rPr>
        <w:t>290</w:t>
      </w:r>
      <w:r w:rsidRPr="00B763E0">
        <w:rPr>
          <w:rFonts w:hint="eastAsia"/>
        </w:rPr>
        <w:t>条旨在为检察官履行特定职能提供保护，从而促进维护公众对司法工作的普遍信任。鉴于这些考虑，委员会认定，第</w:t>
      </w:r>
      <w:r w:rsidRPr="00B763E0">
        <w:rPr>
          <w:rFonts w:hint="eastAsia"/>
        </w:rPr>
        <w:t>290</w:t>
      </w:r>
      <w:r w:rsidRPr="00B763E0">
        <w:rPr>
          <w:rFonts w:hint="eastAsia"/>
        </w:rPr>
        <w:t>条有促进保护公共秩序的合法目的，因而正当合理。</w:t>
      </w:r>
    </w:p>
    <w:p w:rsidR="00344DA6" w:rsidRPr="00B763E0" w:rsidRDefault="00344DA6" w:rsidP="00344DA6">
      <w:pPr>
        <w:pStyle w:val="SingleTxtGC"/>
        <w:tabs>
          <w:tab w:val="clear" w:pos="431"/>
          <w:tab w:val="clear" w:pos="1134"/>
          <w:tab w:val="clear" w:pos="1565"/>
          <w:tab w:val="clear" w:pos="1996"/>
          <w:tab w:val="clear" w:pos="2427"/>
          <w:tab w:val="left" w:pos="1701"/>
        </w:tabs>
      </w:pPr>
      <w:r w:rsidRPr="00B763E0">
        <w:rPr>
          <w:rFonts w:hint="eastAsia"/>
        </w:rPr>
        <w:t>8.8</w:t>
      </w:r>
      <w:r w:rsidRPr="00B763E0">
        <w:rPr>
          <w:rFonts w:hint="eastAsia"/>
        </w:rPr>
        <w:tab/>
      </w:r>
      <w:r w:rsidRPr="00B763E0">
        <w:rPr>
          <w:rFonts w:hint="eastAsia"/>
        </w:rPr>
        <w:t>关于这项措施的相称性，委员会注意到一个事实，那就是提交人质疑诽谤法的刑事性质的理由是，此条为公职人员提供较之于其他个人更大的免遭诽谤保护，因而具有</w:t>
      </w:r>
      <w:r w:rsidRPr="008246E9">
        <w:rPr>
          <w:rFonts w:hint="eastAsia"/>
          <w:spacing w:val="4"/>
        </w:rPr>
        <w:t>歧视性。委员会还注意到，她辩称，某种言论仅涉及个人公职行为时，允许批评的范围应该更广泛，而表达自由权也保护某种程度的夸张甚或挑衅言论。此外，委员会</w:t>
      </w:r>
      <w:r w:rsidRPr="00B763E0">
        <w:rPr>
          <w:rFonts w:hint="eastAsia"/>
        </w:rPr>
        <w:t>还注意到提交人的说法，即她在发表批评言论时承受了巨大压力。此外，委员会注意到据称提交人对其刑事制裁的不利影响感到委屈。</w:t>
      </w:r>
    </w:p>
    <w:p w:rsidR="00344DA6" w:rsidRPr="00B763E0" w:rsidRDefault="00344DA6" w:rsidP="00091262">
      <w:pPr>
        <w:pStyle w:val="SingleTxtGC"/>
        <w:tabs>
          <w:tab w:val="clear" w:pos="431"/>
          <w:tab w:val="clear" w:pos="1134"/>
          <w:tab w:val="clear" w:pos="1565"/>
          <w:tab w:val="clear" w:pos="1996"/>
          <w:tab w:val="clear" w:pos="2427"/>
          <w:tab w:val="left" w:pos="1701"/>
        </w:tabs>
        <w:spacing w:after="160"/>
      </w:pPr>
      <w:r w:rsidRPr="00B763E0">
        <w:rPr>
          <w:rFonts w:hint="eastAsia"/>
        </w:rPr>
        <w:t>8.9</w:t>
      </w:r>
      <w:r w:rsidRPr="00B763E0">
        <w:rPr>
          <w:rFonts w:hint="eastAsia"/>
        </w:rPr>
        <w:tab/>
      </w:r>
      <w:r w:rsidRPr="00B763E0">
        <w:rPr>
          <w:rFonts w:hint="eastAsia"/>
        </w:rPr>
        <w:t>另一方面，委员会注意到缔约国的辩护，即国内法院彻底分析了案件情形，得出结论认为，既需要保护公共秩序，换言之，保护检察官促进适当司法的活动，又</w:t>
      </w:r>
      <w:r w:rsidRPr="001F4351">
        <w:rPr>
          <w:rFonts w:hint="eastAsia"/>
          <w:spacing w:val="4"/>
        </w:rPr>
        <w:t>需要保护其权利和名誉，这些比本案提交人的利益更为重要。委员会进一步注意到缔约国的论点，即国内当局在评估过程中考虑到提交人的言论已在电视上播出而且受众无数，从而加重了</w:t>
      </w:r>
      <w:r w:rsidRPr="00B763E0">
        <w:rPr>
          <w:rFonts w:hint="eastAsia"/>
        </w:rPr>
        <w:t>对所质疑立法旨在保护的权利和价值观的危害。当局还充分考虑到，提交人无法证明其言论的真实性。委员会进一步注意到缔约国的另一论点，即从最高法院的判决看来，对提交人定罪不是因为她批评检察官本身，而是因为她以侮辱性方式表达批评。最后，委员会注意到缔约国的辩护，即尽管根据立陶宛当时有效的相关法律提交人须对其言论承担刑事责任，但惩罚并非刑事性质，所处罚款接近最低数额，而犯罪记录会在三年后消除。</w:t>
      </w:r>
    </w:p>
    <w:p w:rsidR="00344DA6" w:rsidRPr="00B763E0" w:rsidRDefault="00344DA6" w:rsidP="00091262">
      <w:pPr>
        <w:pStyle w:val="SingleTxtGC"/>
        <w:tabs>
          <w:tab w:val="clear" w:pos="431"/>
          <w:tab w:val="clear" w:pos="1134"/>
          <w:tab w:val="clear" w:pos="1565"/>
          <w:tab w:val="clear" w:pos="1996"/>
          <w:tab w:val="clear" w:pos="2427"/>
          <w:tab w:val="left" w:pos="1701"/>
        </w:tabs>
        <w:spacing w:after="160"/>
      </w:pPr>
      <w:r w:rsidRPr="00B763E0">
        <w:rPr>
          <w:rFonts w:hint="eastAsia"/>
        </w:rPr>
        <w:t>8.10</w:t>
      </w:r>
      <w:r w:rsidRPr="00B763E0">
        <w:rPr>
          <w:rFonts w:hint="eastAsia"/>
        </w:rPr>
        <w:tab/>
      </w:r>
      <w:r w:rsidRPr="00B763E0">
        <w:rPr>
          <w:rFonts w:hint="eastAsia"/>
        </w:rPr>
        <w:t>在评估本案中干预的必要性和相称性时，委员会仔细考虑了双方提出的论点。委员会注意到最高法院的推理，即对提交人定罪不是因为她批评检察官本身，而是因为她</w:t>
      </w:r>
      <w:r w:rsidRPr="001F4351">
        <w:rPr>
          <w:rFonts w:hint="eastAsia"/>
          <w:spacing w:val="4"/>
        </w:rPr>
        <w:t>以侮辱性的方式表达批评。委员会还注意到，评估时甚至排除了提交人的部分言论，因为那些言论要么含糊不清，要么并无恶意，而且提供的只是提交人言论的删</w:t>
      </w:r>
      <w:r w:rsidRPr="00B763E0">
        <w:rPr>
          <w:rFonts w:hint="eastAsia"/>
        </w:rPr>
        <w:t>节版，并未提供上下文，使得所有言论都模棱两可。此外，委员会认为，提交人发表言论的背景是在就其严重刑事指控宣判的刑事诉讼程序中，而那些言论是她得知自己将被审前羁押时的自发反应，但这一情形未得到适当考虑。这个案件引起了广泛公众关注，可能有政治因素，因此可以合理提高促进公开辩论的批评标准。</w:t>
      </w:r>
      <w:r w:rsidRPr="001F4351">
        <w:rPr>
          <w:rFonts w:hint="eastAsia"/>
          <w:spacing w:val="4"/>
        </w:rPr>
        <w:t>委员会还注意到，即使仅对提交人处以罚款并将消除其犯罪记录，但提交人还是因</w:t>
      </w:r>
      <w:r w:rsidRPr="00B763E0">
        <w:rPr>
          <w:rFonts w:hint="eastAsia"/>
        </w:rPr>
        <w:t>对自己的刑事案件发表意见而遭到刑事诉讼。此外，考虑到提交人当时年纪尚小，又没有工作，处以罚款可能会对她造成过重负担。委员会进行评估时进一步忆及其第</w:t>
      </w:r>
      <w:r w:rsidRPr="00B763E0">
        <w:rPr>
          <w:rFonts w:hint="eastAsia"/>
        </w:rPr>
        <w:t>34</w:t>
      </w:r>
      <w:r w:rsidRPr="00B763E0">
        <w:rPr>
          <w:rFonts w:hint="eastAsia"/>
        </w:rPr>
        <w:t>号一般性意见，其中第</w:t>
      </w:r>
      <w:r w:rsidRPr="00B763E0">
        <w:rPr>
          <w:rFonts w:hint="eastAsia"/>
        </w:rPr>
        <w:t>47</w:t>
      </w:r>
      <w:r w:rsidRPr="00B763E0">
        <w:rPr>
          <w:rFonts w:hint="eastAsia"/>
        </w:rPr>
        <w:t>段规定：“缔约国应考虑对诽谤行为免除刑事处罚，并且在任何情况下，只应支持在最严重案件中适用刑法，</w:t>
      </w:r>
      <w:r w:rsidRPr="001F4351">
        <w:rPr>
          <w:rFonts w:hint="eastAsia"/>
          <w:spacing w:val="4"/>
        </w:rPr>
        <w:t>监禁绝不是适当的处罚。”委员会就此注意到，《立陶宛刑法》第</w:t>
      </w:r>
      <w:r w:rsidRPr="001F4351">
        <w:rPr>
          <w:rFonts w:hint="eastAsia"/>
          <w:spacing w:val="4"/>
        </w:rPr>
        <w:t>290</w:t>
      </w:r>
      <w:r w:rsidRPr="001F4351">
        <w:rPr>
          <w:rFonts w:hint="eastAsia"/>
          <w:spacing w:val="4"/>
        </w:rPr>
        <w:t>条于</w:t>
      </w:r>
      <w:r w:rsidRPr="001F4351">
        <w:rPr>
          <w:rFonts w:hint="eastAsia"/>
          <w:spacing w:val="4"/>
        </w:rPr>
        <w:t>201</w:t>
      </w:r>
      <w:r w:rsidRPr="00B763E0">
        <w:rPr>
          <w:rFonts w:hint="eastAsia"/>
        </w:rPr>
        <w:t>7</w:t>
      </w:r>
      <w:r w:rsidRPr="00B763E0">
        <w:rPr>
          <w:rFonts w:hint="eastAsia"/>
        </w:rPr>
        <w:t>年</w:t>
      </w:r>
      <w:r w:rsidRPr="00B763E0">
        <w:rPr>
          <w:rFonts w:hint="eastAsia"/>
        </w:rPr>
        <w:t>1</w:t>
      </w:r>
      <w:r w:rsidRPr="00B763E0">
        <w:rPr>
          <w:rFonts w:hint="eastAsia"/>
        </w:rPr>
        <w:t>月</w:t>
      </w:r>
      <w:r w:rsidRPr="00B763E0">
        <w:rPr>
          <w:rFonts w:hint="eastAsia"/>
        </w:rPr>
        <w:t>1</w:t>
      </w:r>
      <w:r w:rsidRPr="00B763E0">
        <w:rPr>
          <w:rFonts w:hint="eastAsia"/>
        </w:rPr>
        <w:t>日被废除，适用于提交人类似案件的是新的《行政犯罪法》第</w:t>
      </w:r>
      <w:r w:rsidRPr="00B763E0">
        <w:rPr>
          <w:rFonts w:hint="eastAsia"/>
        </w:rPr>
        <w:t>507</w:t>
      </w:r>
      <w:r w:rsidRPr="00B763E0">
        <w:rPr>
          <w:rFonts w:hint="eastAsia"/>
        </w:rPr>
        <w:t>条，其中只规定了行政处罚，而不是刑事责任。鉴于这些考虑，委员会认为本案不能被视为“最严重案件”，并得出结论认为对提交人权利的限制并不相称，因此根据《公约》第十九条第三款规定条件证明其并不正当合理。</w:t>
      </w:r>
    </w:p>
    <w:p w:rsidR="00344DA6" w:rsidRPr="00B763E0" w:rsidRDefault="00344DA6" w:rsidP="00091262">
      <w:pPr>
        <w:pStyle w:val="SingleTxtGC"/>
        <w:tabs>
          <w:tab w:val="clear" w:pos="431"/>
          <w:tab w:val="clear" w:pos="1134"/>
          <w:tab w:val="clear" w:pos="1565"/>
          <w:tab w:val="clear" w:pos="1996"/>
          <w:tab w:val="clear" w:pos="2427"/>
          <w:tab w:val="left" w:pos="1701"/>
        </w:tabs>
        <w:spacing w:after="160"/>
      </w:pPr>
      <w:r w:rsidRPr="00B763E0">
        <w:rPr>
          <w:rFonts w:hint="eastAsia"/>
        </w:rPr>
        <w:t>9.</w:t>
      </w:r>
      <w:r w:rsidRPr="00B763E0">
        <w:rPr>
          <w:rFonts w:hint="eastAsia"/>
        </w:rPr>
        <w:tab/>
      </w:r>
      <w:r w:rsidRPr="00B763E0">
        <w:rPr>
          <w:rFonts w:hint="eastAsia"/>
        </w:rPr>
        <w:t>鉴于上述考虑，委员会认为缔约国未能证明对提交人施加的限制正当合理，并得出结论认为，提交人依据《公约》第十九条第二款享有的权利遭到了侵犯。</w:t>
      </w:r>
    </w:p>
    <w:p w:rsidR="00344DA6" w:rsidRPr="00B763E0" w:rsidRDefault="00344DA6" w:rsidP="00091262">
      <w:pPr>
        <w:pStyle w:val="SingleTxtGC"/>
        <w:tabs>
          <w:tab w:val="clear" w:pos="431"/>
          <w:tab w:val="clear" w:pos="1134"/>
          <w:tab w:val="clear" w:pos="1565"/>
          <w:tab w:val="clear" w:pos="1996"/>
          <w:tab w:val="clear" w:pos="2427"/>
          <w:tab w:val="left" w:pos="1701"/>
        </w:tabs>
        <w:spacing w:after="160"/>
      </w:pPr>
      <w:r w:rsidRPr="00B763E0">
        <w:rPr>
          <w:rFonts w:hint="eastAsia"/>
        </w:rPr>
        <w:t>10.</w:t>
      </w:r>
      <w:r w:rsidRPr="00B763E0">
        <w:rPr>
          <w:rFonts w:hint="eastAsia"/>
        </w:rPr>
        <w:tab/>
      </w:r>
      <w:r w:rsidRPr="00B763E0">
        <w:rPr>
          <w:rFonts w:hint="eastAsia"/>
        </w:rPr>
        <w:t>委员会根据《任择议定书》第五条第四款行事，认定其所了解的事实表明缔约国违反了《公约》第十九条第二款。</w:t>
      </w:r>
    </w:p>
    <w:p w:rsidR="00344DA6" w:rsidRPr="00B763E0" w:rsidRDefault="00344DA6" w:rsidP="00091262">
      <w:pPr>
        <w:pStyle w:val="SingleTxtGC"/>
        <w:tabs>
          <w:tab w:val="clear" w:pos="431"/>
          <w:tab w:val="clear" w:pos="1134"/>
          <w:tab w:val="clear" w:pos="1565"/>
          <w:tab w:val="clear" w:pos="1996"/>
          <w:tab w:val="clear" w:pos="2427"/>
          <w:tab w:val="left" w:pos="1701"/>
        </w:tabs>
        <w:spacing w:after="160"/>
      </w:pPr>
      <w:r w:rsidRPr="00B763E0">
        <w:rPr>
          <w:rFonts w:hint="eastAsia"/>
        </w:rPr>
        <w:t>11.</w:t>
      </w:r>
      <w:r w:rsidRPr="00B763E0">
        <w:rPr>
          <w:rFonts w:hint="eastAsia"/>
        </w:rPr>
        <w:tab/>
      </w:r>
      <w:r w:rsidRPr="00B763E0">
        <w:rPr>
          <w:rFonts w:hint="eastAsia"/>
        </w:rPr>
        <w:t>按照《公约》第二条第三款</w:t>
      </w:r>
      <w:r w:rsidRPr="00B763E0">
        <w:rPr>
          <w:rFonts w:hint="eastAsia"/>
        </w:rPr>
        <w:t>(</w:t>
      </w:r>
      <w:r w:rsidRPr="00B763E0">
        <w:rPr>
          <w:rFonts w:hint="eastAsia"/>
        </w:rPr>
        <w:t>子</w:t>
      </w:r>
      <w:r w:rsidRPr="00B763E0">
        <w:rPr>
          <w:rFonts w:hint="eastAsia"/>
        </w:rPr>
        <w:t>)</w:t>
      </w:r>
      <w:r w:rsidRPr="00B763E0">
        <w:rPr>
          <w:rFonts w:hint="eastAsia"/>
        </w:rPr>
        <w:t>项，缔约国有义务向提交人提供有效补救。这要求其向《公约》所承认权利遭到侵犯的个人作出充分赔偿。因此，除其他外，缔约国有义务采取适当步骤，向提交人提供适当补偿，并偿付她所支付的全部法律费用。缔约国还有义务采取一切必要措施，防止今后发生类似的侵权行为。</w:t>
      </w:r>
    </w:p>
    <w:p w:rsidR="003045B7" w:rsidRDefault="00344DA6" w:rsidP="00B655CC">
      <w:pPr>
        <w:pStyle w:val="SingleTxtGC"/>
        <w:keepNext/>
        <w:keepLines/>
        <w:tabs>
          <w:tab w:val="clear" w:pos="431"/>
          <w:tab w:val="clear" w:pos="1134"/>
          <w:tab w:val="clear" w:pos="1565"/>
          <w:tab w:val="clear" w:pos="1996"/>
          <w:tab w:val="clear" w:pos="2427"/>
          <w:tab w:val="left" w:pos="1701"/>
        </w:tabs>
        <w:sectPr w:rsidR="003045B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sidRPr="00B763E0">
        <w:rPr>
          <w:rFonts w:hint="eastAsia"/>
        </w:rPr>
        <w:t>12.</w:t>
      </w:r>
      <w:r w:rsidRPr="00B763E0">
        <w:rPr>
          <w:rFonts w:hint="eastAsia"/>
        </w:rPr>
        <w:tab/>
      </w:r>
      <w:r w:rsidRPr="00B763E0">
        <w:rPr>
          <w:rFonts w:hint="eastAsia"/>
        </w:rPr>
        <w:t>缔约国应牢记，加入《任择议定书》即已承认委员会有权确定是否存在违反《公约》的情况，而且缔约国也已根据《公约》第二条规定承诺确保在其领土内和受其管辖的一切个人享有《公约》承认的权利，并承诺如违约行为经确定成立，即予以有效补救。有鉴于此，委员会希望缔约国在</w:t>
      </w:r>
      <w:r w:rsidRPr="00B763E0">
        <w:rPr>
          <w:rFonts w:hint="eastAsia"/>
        </w:rPr>
        <w:t>180</w:t>
      </w:r>
      <w:r w:rsidRPr="00B763E0">
        <w:rPr>
          <w:rFonts w:hint="eastAsia"/>
        </w:rPr>
        <w:t>天内提供资料，说明采取措施落实委员会《意见》的情况。此外，还请缔约国公布本《意见》，并以缔约国官方语文广为传播。</w:t>
      </w:r>
    </w:p>
    <w:p w:rsidR="00992F94" w:rsidRPr="00B763E0" w:rsidRDefault="00992F94" w:rsidP="008A1AE4">
      <w:pPr>
        <w:pStyle w:val="HMGC"/>
        <w:rPr>
          <w:b/>
        </w:rPr>
      </w:pPr>
      <w:r w:rsidRPr="00B763E0">
        <w:rPr>
          <w:rFonts w:hint="eastAsia"/>
        </w:rPr>
        <w:tab/>
      </w:r>
      <w:r w:rsidRPr="00B763E0">
        <w:rPr>
          <w:rFonts w:hint="eastAsia"/>
        </w:rPr>
        <w:t>附件</w:t>
      </w:r>
    </w:p>
    <w:p w:rsidR="00992F94" w:rsidRPr="00B763E0" w:rsidRDefault="00992F94" w:rsidP="008A1AE4">
      <w:pPr>
        <w:pStyle w:val="HChGC"/>
        <w:rPr>
          <w:b/>
        </w:rPr>
      </w:pPr>
      <w:r w:rsidRPr="00B763E0">
        <w:rPr>
          <w:rFonts w:hint="eastAsia"/>
        </w:rPr>
        <w:tab/>
      </w:r>
      <w:r w:rsidRPr="00B763E0">
        <w:rPr>
          <w:rFonts w:hint="eastAsia"/>
        </w:rPr>
        <w:tab/>
      </w:r>
      <w:r w:rsidRPr="00B763E0">
        <w:rPr>
          <w:rFonts w:hint="eastAsia"/>
        </w:rPr>
        <w:t>委员会委员何塞</w:t>
      </w:r>
      <w:r w:rsidRPr="008A1AE4">
        <w:rPr>
          <w:rFonts w:eastAsiaTheme="minorEastAsia" w:hint="eastAsia"/>
        </w:rPr>
        <w:t>·</w:t>
      </w:r>
      <w:r w:rsidRPr="00B763E0">
        <w:rPr>
          <w:rFonts w:hint="eastAsia"/>
        </w:rPr>
        <w:t>曼努埃尔</w:t>
      </w:r>
      <w:r w:rsidRPr="008A1AE4">
        <w:rPr>
          <w:rFonts w:eastAsiaTheme="minorEastAsia" w:hint="eastAsia"/>
        </w:rPr>
        <w:t>·</w:t>
      </w:r>
      <w:r w:rsidRPr="00B763E0">
        <w:rPr>
          <w:rFonts w:hint="eastAsia"/>
        </w:rPr>
        <w:t>桑托斯</w:t>
      </w:r>
      <w:r w:rsidRPr="008A1AE4">
        <w:rPr>
          <w:rFonts w:eastAsiaTheme="minorEastAsia" w:hint="eastAsia"/>
        </w:rPr>
        <w:t>·</w:t>
      </w:r>
      <w:r w:rsidRPr="00B763E0">
        <w:rPr>
          <w:rFonts w:hint="eastAsia"/>
        </w:rPr>
        <w:t>派斯和亚兹</w:t>
      </w:r>
      <w:r w:rsidRPr="008A1AE4">
        <w:rPr>
          <w:rFonts w:eastAsiaTheme="minorEastAsia" w:hint="eastAsia"/>
        </w:rPr>
        <w:t>·</w:t>
      </w:r>
      <w:r w:rsidRPr="00B763E0">
        <w:rPr>
          <w:rFonts w:hint="eastAsia"/>
        </w:rPr>
        <w:t>本</w:t>
      </w:r>
      <w:r w:rsidRPr="008A1AE4">
        <w:rPr>
          <w:rFonts w:eastAsiaTheme="minorEastAsia" w:hint="eastAsia"/>
        </w:rPr>
        <w:t>·</w:t>
      </w:r>
      <w:r w:rsidRPr="00B763E0">
        <w:rPr>
          <w:rFonts w:hint="eastAsia"/>
        </w:rPr>
        <w:t>阿舒尔的个人意见</w:t>
      </w:r>
      <w:r w:rsidRPr="00B763E0">
        <w:rPr>
          <w:rFonts w:hint="eastAsia"/>
        </w:rPr>
        <w:t>(</w:t>
      </w:r>
      <w:r w:rsidRPr="00B763E0">
        <w:rPr>
          <w:rFonts w:hint="eastAsia"/>
        </w:rPr>
        <w:t>反对意见</w:t>
      </w:r>
      <w:r w:rsidRPr="00B763E0">
        <w:rPr>
          <w:rFonts w:hint="eastAsia"/>
        </w:rPr>
        <w:t>)</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1.</w:t>
      </w:r>
      <w:r w:rsidRPr="00B763E0">
        <w:rPr>
          <w:rFonts w:hint="eastAsia"/>
        </w:rPr>
        <w:tab/>
      </w:r>
      <w:r w:rsidRPr="00B763E0">
        <w:rPr>
          <w:rFonts w:hint="eastAsia"/>
        </w:rPr>
        <w:t>我们很遗憾无法与委员会其他委员一样认定，提交人根据《公约》第十九条第二款享有的权利遭到侵犯。</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2.</w:t>
      </w:r>
      <w:r w:rsidRPr="00B763E0">
        <w:rPr>
          <w:rFonts w:hint="eastAsia"/>
        </w:rPr>
        <w:tab/>
      </w:r>
      <w:r w:rsidRPr="00B763E0">
        <w:rPr>
          <w:rFonts w:hint="eastAsia"/>
        </w:rPr>
        <w:t>在本案中，我们处理的是对一名司法人员，特别是对一名检察官的侮辱。我们涉及的不是公众人物或政治人物，而是介入审判程序的司法人员。在许多国家，本案都会被视为藐视法庭或不尊重履行职能的司法人员。因此，如果在本案得出结论认为违反了《公约》第十九条第二款，可能会不幸导致侮辱性解释，特别是在许多国家的司法机关受到严厉批评或遭到不当干预的时候。委员会既未能帮助维护法院的自主权和独立性，即确保对法官和检察官的适当尊重，亦未能维护法治，提出本《意见》似乎是为与此背道而驰铺平道路。</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3.</w:t>
      </w:r>
      <w:r w:rsidRPr="00B763E0">
        <w:rPr>
          <w:rFonts w:hint="eastAsia"/>
        </w:rPr>
        <w:tab/>
      </w:r>
      <w:r w:rsidRPr="00B763E0">
        <w:rPr>
          <w:rFonts w:hint="eastAsia"/>
        </w:rPr>
        <w:t>在许多司法制度中，检察官与法官一起被视为司法权的成员，代表社会和公众利益行事。</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4.</w:t>
      </w:r>
      <w:r w:rsidRPr="00B763E0">
        <w:rPr>
          <w:rFonts w:hint="eastAsia"/>
        </w:rPr>
        <w:tab/>
      </w:r>
      <w:r w:rsidRPr="00B763E0">
        <w:rPr>
          <w:rFonts w:hint="eastAsia"/>
        </w:rPr>
        <w:t>根据欧洲法官咨询委员会第</w:t>
      </w:r>
      <w:r w:rsidRPr="00B763E0">
        <w:rPr>
          <w:rFonts w:hint="eastAsia"/>
        </w:rPr>
        <w:t>12</w:t>
      </w:r>
      <w:r w:rsidRPr="00B763E0">
        <w:rPr>
          <w:rFonts w:hint="eastAsia"/>
        </w:rPr>
        <w:t>号</w:t>
      </w:r>
      <w:r w:rsidRPr="00B763E0">
        <w:rPr>
          <w:rFonts w:hint="eastAsia"/>
        </w:rPr>
        <w:t>(2009</w:t>
      </w:r>
      <w:r w:rsidRPr="00B763E0">
        <w:rPr>
          <w:rFonts w:hint="eastAsia"/>
        </w:rPr>
        <w:t>年</w:t>
      </w:r>
      <w:r w:rsidRPr="00B763E0">
        <w:rPr>
          <w:rFonts w:hint="eastAsia"/>
        </w:rPr>
        <w:t>)</w:t>
      </w:r>
      <w:r w:rsidRPr="00B763E0">
        <w:rPr>
          <w:rFonts w:hint="eastAsia"/>
        </w:rPr>
        <w:t>和欧洲检察官协商理事会第</w:t>
      </w:r>
      <w:r w:rsidRPr="00B763E0">
        <w:rPr>
          <w:rFonts w:hint="eastAsia"/>
        </w:rPr>
        <w:t>4</w:t>
      </w:r>
      <w:r w:rsidRPr="00B763E0">
        <w:rPr>
          <w:rFonts w:hint="eastAsia"/>
        </w:rPr>
        <w:t>号</w:t>
      </w:r>
      <w:r w:rsidRPr="00B763E0">
        <w:rPr>
          <w:rFonts w:hint="eastAsia"/>
        </w:rPr>
        <w:t>(2009</w:t>
      </w:r>
      <w:r w:rsidRPr="00B763E0">
        <w:rPr>
          <w:rFonts w:hint="eastAsia"/>
        </w:rPr>
        <w:t>年</w:t>
      </w:r>
      <w:r w:rsidRPr="00B763E0">
        <w:rPr>
          <w:rFonts w:hint="eastAsia"/>
        </w:rPr>
        <w:t>)</w:t>
      </w:r>
      <w:r w:rsidRPr="00B763E0">
        <w:rPr>
          <w:rFonts w:hint="eastAsia"/>
        </w:rPr>
        <w:t>联合意见</w:t>
      </w:r>
      <w:r w:rsidRPr="00B763E0">
        <w:rPr>
          <w:rFonts w:hint="eastAsia"/>
        </w:rPr>
        <w:t>(</w:t>
      </w:r>
      <w:r w:rsidRPr="00B763E0">
        <w:rPr>
          <w:rFonts w:hint="eastAsia"/>
        </w:rPr>
        <w:t>《波尔多宣言》</w:t>
      </w:r>
      <w:r w:rsidRPr="00B763E0">
        <w:rPr>
          <w:rFonts w:hint="eastAsia"/>
        </w:rPr>
        <w:t>)</w:t>
      </w:r>
      <w:r w:rsidRPr="00B763E0">
        <w:rPr>
          <w:rFonts w:hint="eastAsia"/>
        </w:rPr>
        <w:t>：</w:t>
      </w:r>
    </w:p>
    <w:p w:rsidR="00992F94" w:rsidRPr="00B763E0" w:rsidRDefault="00992F94" w:rsidP="00F13878">
      <w:pPr>
        <w:pStyle w:val="SingleTxtGC"/>
        <w:tabs>
          <w:tab w:val="clear" w:pos="431"/>
          <w:tab w:val="clear" w:pos="1134"/>
          <w:tab w:val="clear" w:pos="1565"/>
          <w:tab w:val="clear" w:pos="1996"/>
          <w:tab w:val="clear" w:pos="2427"/>
          <w:tab w:val="left" w:pos="2324"/>
        </w:tabs>
        <w:ind w:left="1701"/>
      </w:pPr>
      <w:r w:rsidRPr="00B763E0">
        <w:rPr>
          <w:rFonts w:hint="eastAsia"/>
        </w:rPr>
        <w:t>“</w:t>
      </w:r>
      <w:r w:rsidRPr="00B763E0">
        <w:rPr>
          <w:rFonts w:hint="eastAsia"/>
        </w:rPr>
        <w:t>3.</w:t>
      </w:r>
      <w:r w:rsidRPr="00B763E0">
        <w:rPr>
          <w:rFonts w:hint="eastAsia"/>
        </w:rPr>
        <w:tab/>
      </w:r>
      <w:r w:rsidRPr="00B763E0">
        <w:rPr>
          <w:rFonts w:hint="eastAsia"/>
        </w:rPr>
        <w:t>法官和检察官恰当地履行不同但相辅相成的职责是公平、公正和有效司法的必要保证。法官和检察官履行职能均须享有独立性，而且还须相互独立，具有独立形象。</w:t>
      </w:r>
    </w:p>
    <w:p w:rsidR="00992F94" w:rsidRPr="00B763E0" w:rsidRDefault="00992F94" w:rsidP="00EC538F">
      <w:pPr>
        <w:pStyle w:val="SingleTxtGC"/>
        <w:tabs>
          <w:tab w:val="clear" w:pos="431"/>
          <w:tab w:val="clear" w:pos="1134"/>
          <w:tab w:val="clear" w:pos="1565"/>
          <w:tab w:val="clear" w:pos="1996"/>
          <w:tab w:val="clear" w:pos="2427"/>
        </w:tabs>
        <w:ind w:left="1701"/>
      </w:pPr>
      <w:r w:rsidRPr="00B763E0">
        <w:rPr>
          <w:rFonts w:hint="eastAsia"/>
        </w:rPr>
        <w:t>……</w:t>
      </w:r>
    </w:p>
    <w:p w:rsidR="00992F94" w:rsidRPr="00B763E0" w:rsidRDefault="00992F94" w:rsidP="00F13878">
      <w:pPr>
        <w:pStyle w:val="SingleTxtGC"/>
        <w:tabs>
          <w:tab w:val="clear" w:pos="431"/>
          <w:tab w:val="clear" w:pos="1134"/>
          <w:tab w:val="clear" w:pos="1565"/>
          <w:tab w:val="clear" w:pos="1996"/>
          <w:tab w:val="clear" w:pos="2427"/>
          <w:tab w:val="left" w:pos="2324"/>
        </w:tabs>
        <w:ind w:left="1701"/>
      </w:pPr>
      <w:r w:rsidRPr="00B763E0">
        <w:rPr>
          <w:rFonts w:hint="eastAsia"/>
        </w:rPr>
        <w:t>6.</w:t>
      </w:r>
      <w:r w:rsidRPr="00B763E0">
        <w:rPr>
          <w:rFonts w:hint="eastAsia"/>
        </w:rPr>
        <w:tab/>
      </w:r>
      <w:r w:rsidRPr="00B763E0">
        <w:rPr>
          <w:rFonts w:hint="eastAsia"/>
        </w:rPr>
        <w:t>检察机关在审前阶段执法并在适当时享有酌处权，这就要求检察官的地位必须得到尽可能高级别的法律保障，保障方式与法官类似。他们应当独立自主地作出决定，公平、客观、公正地履行职责。”</w:t>
      </w:r>
    </w:p>
    <w:p w:rsidR="00992F94" w:rsidRPr="00B763E0" w:rsidRDefault="00992F94" w:rsidP="00EC538F">
      <w:pPr>
        <w:pStyle w:val="SingleTxtGC"/>
        <w:tabs>
          <w:tab w:val="clear" w:pos="431"/>
          <w:tab w:val="clear" w:pos="1134"/>
          <w:tab w:val="clear" w:pos="1565"/>
          <w:tab w:val="clear" w:pos="1996"/>
          <w:tab w:val="clear" w:pos="2427"/>
          <w:tab w:val="left" w:pos="1701"/>
        </w:tabs>
      </w:pPr>
      <w:r w:rsidRPr="00B763E0">
        <w:rPr>
          <w:rFonts w:hint="eastAsia"/>
        </w:rPr>
        <w:t>5.</w:t>
      </w:r>
      <w:r w:rsidRPr="00B763E0">
        <w:rPr>
          <w:rFonts w:hint="eastAsia"/>
        </w:rPr>
        <w:tab/>
      </w:r>
      <w:r w:rsidRPr="00B763E0">
        <w:rPr>
          <w:rFonts w:hint="eastAsia"/>
        </w:rPr>
        <w:t>《波尔多宣言》的解释性说明进一步指出：</w:t>
      </w:r>
    </w:p>
    <w:p w:rsidR="00992F94" w:rsidRPr="00B763E0" w:rsidRDefault="00992F94" w:rsidP="00F13878">
      <w:pPr>
        <w:pStyle w:val="SingleTxtGC"/>
        <w:tabs>
          <w:tab w:val="clear" w:pos="431"/>
          <w:tab w:val="clear" w:pos="1134"/>
          <w:tab w:val="clear" w:pos="1565"/>
          <w:tab w:val="clear" w:pos="1996"/>
          <w:tab w:val="clear" w:pos="2427"/>
          <w:tab w:val="left" w:pos="2324"/>
        </w:tabs>
        <w:ind w:left="1701"/>
      </w:pPr>
      <w:r w:rsidRPr="00B763E0">
        <w:rPr>
          <w:rFonts w:hint="eastAsia"/>
        </w:rPr>
        <w:t>“</w:t>
      </w:r>
      <w:r w:rsidRPr="00B763E0">
        <w:rPr>
          <w:rFonts w:hint="eastAsia"/>
        </w:rPr>
        <w:t>10.</w:t>
      </w:r>
      <w:r w:rsidRPr="00B763E0">
        <w:rPr>
          <w:rFonts w:hint="eastAsia"/>
        </w:rPr>
        <w:tab/>
      </w:r>
      <w:r w:rsidRPr="00B763E0">
        <w:rPr>
          <w:rFonts w:hint="eastAsia"/>
        </w:rPr>
        <w:t>公诉机关的独立性是司法机关独立性不可或缺的必然结果。在检察官独立于行政和立法机关做出决定并适当遵守法官和检察官的不同职责的情况下，检察官才能最好地履行主张和维护嫌疑犯、被告和受害者人权的职责。在以法治为基础的民主制度中，法律是起诉政策的依据</w:t>
      </w:r>
      <w:r w:rsidRPr="00B763E0">
        <w:rPr>
          <w:rFonts w:hint="eastAsia"/>
        </w:rPr>
        <w:t>(</w:t>
      </w:r>
      <w:r w:rsidRPr="00B763E0">
        <w:rPr>
          <w:rFonts w:hint="eastAsia"/>
        </w:rPr>
        <w:t>《宣言》，第</w:t>
      </w:r>
      <w:r w:rsidRPr="00B763E0">
        <w:rPr>
          <w:rFonts w:hint="eastAsia"/>
        </w:rPr>
        <w:t>3</w:t>
      </w:r>
      <w:r w:rsidRPr="00B763E0">
        <w:rPr>
          <w:rFonts w:hint="eastAsia"/>
        </w:rPr>
        <w:t>段</w:t>
      </w:r>
      <w:r w:rsidRPr="00B763E0">
        <w:rPr>
          <w:rFonts w:hint="eastAsia"/>
        </w:rPr>
        <w:t>)</w:t>
      </w:r>
      <w:r w:rsidRPr="00B763E0">
        <w:rPr>
          <w:rFonts w:hint="eastAsia"/>
        </w:rPr>
        <w:t>。</w:t>
      </w:r>
    </w:p>
    <w:p w:rsidR="00992F94" w:rsidRPr="00B763E0" w:rsidRDefault="00992F94" w:rsidP="00307B4B">
      <w:pPr>
        <w:pStyle w:val="SingleTxtGC"/>
        <w:tabs>
          <w:tab w:val="clear" w:pos="431"/>
          <w:tab w:val="clear" w:pos="1134"/>
          <w:tab w:val="clear" w:pos="1565"/>
          <w:tab w:val="clear" w:pos="1996"/>
          <w:tab w:val="clear" w:pos="2427"/>
        </w:tabs>
        <w:ind w:left="1701"/>
      </w:pPr>
      <w:r w:rsidRPr="00B763E0">
        <w:rPr>
          <w:rFonts w:hint="eastAsia"/>
        </w:rPr>
        <w:t>……</w:t>
      </w:r>
    </w:p>
    <w:p w:rsidR="00992F94" w:rsidRPr="00B763E0" w:rsidRDefault="00992F94" w:rsidP="00F13878">
      <w:pPr>
        <w:pStyle w:val="SingleTxtGC"/>
        <w:tabs>
          <w:tab w:val="clear" w:pos="431"/>
          <w:tab w:val="clear" w:pos="1134"/>
          <w:tab w:val="clear" w:pos="1565"/>
          <w:tab w:val="clear" w:pos="1996"/>
          <w:tab w:val="clear" w:pos="2427"/>
          <w:tab w:val="left" w:pos="2324"/>
        </w:tabs>
        <w:ind w:left="1701"/>
      </w:pPr>
      <w:r w:rsidRPr="00B763E0">
        <w:rPr>
          <w:rFonts w:hint="eastAsia"/>
        </w:rPr>
        <w:t>27.</w:t>
      </w:r>
      <w:r w:rsidRPr="00B763E0">
        <w:rPr>
          <w:rFonts w:hint="eastAsia"/>
        </w:rPr>
        <w:tab/>
      </w:r>
      <w:r w:rsidRPr="00B763E0">
        <w:rPr>
          <w:rFonts w:hint="eastAsia"/>
        </w:rPr>
        <w:t>为了让检察官们能够执行任务，独立性不可或缺。独立性可强化检察官在法治国家和社会的作用，也是司法制度公正、有效运作的保证，并将实现司法独立性的全部益处</w:t>
      </w:r>
      <w:r w:rsidRPr="00B763E0">
        <w:rPr>
          <w:rFonts w:hint="eastAsia"/>
        </w:rPr>
        <w:t>(</w:t>
      </w:r>
      <w:r w:rsidRPr="00B763E0">
        <w:rPr>
          <w:rFonts w:hint="eastAsia"/>
        </w:rPr>
        <w:t>《宣言》，第</w:t>
      </w:r>
      <w:r w:rsidRPr="00B763E0">
        <w:rPr>
          <w:rFonts w:hint="eastAsia"/>
        </w:rPr>
        <w:t>3</w:t>
      </w:r>
      <w:r w:rsidRPr="00B763E0">
        <w:rPr>
          <w:rFonts w:hint="eastAsia"/>
        </w:rPr>
        <w:t>段和第</w:t>
      </w:r>
      <w:r w:rsidRPr="00B763E0">
        <w:rPr>
          <w:rFonts w:hint="eastAsia"/>
        </w:rPr>
        <w:t>8</w:t>
      </w:r>
      <w:r w:rsidRPr="00B763E0">
        <w:rPr>
          <w:rFonts w:hint="eastAsia"/>
        </w:rPr>
        <w:t>段</w:t>
      </w:r>
      <w:r w:rsidRPr="00B763E0">
        <w:rPr>
          <w:rFonts w:hint="eastAsia"/>
        </w:rPr>
        <w:t>)</w:t>
      </w:r>
      <w:r w:rsidRPr="00B763E0">
        <w:rPr>
          <w:rFonts w:hint="eastAsia"/>
        </w:rPr>
        <w:t>。因此，与法官的独立性类似，检察官的独立性并不是为了检察官的利益而授予的特权或权限，而是对公平、公正和有效司法的保证，而司法既保护公共利益，也保护当事人的私人利益。</w:t>
      </w:r>
    </w:p>
    <w:p w:rsidR="00992F94" w:rsidRPr="00B763E0" w:rsidRDefault="00992F94" w:rsidP="00D04315">
      <w:pPr>
        <w:pStyle w:val="SingleTxtGC"/>
        <w:tabs>
          <w:tab w:val="clear" w:pos="431"/>
          <w:tab w:val="clear" w:pos="1134"/>
          <w:tab w:val="clear" w:pos="1565"/>
          <w:tab w:val="clear" w:pos="1996"/>
          <w:tab w:val="clear" w:pos="2427"/>
        </w:tabs>
        <w:ind w:left="1701"/>
      </w:pPr>
      <w:r w:rsidRPr="00B763E0">
        <w:rPr>
          <w:rFonts w:hint="eastAsia"/>
        </w:rPr>
        <w:t>……</w:t>
      </w:r>
    </w:p>
    <w:p w:rsidR="00992F94" w:rsidRPr="00B763E0" w:rsidRDefault="00992F94" w:rsidP="00F13878">
      <w:pPr>
        <w:pStyle w:val="SingleTxtGC"/>
        <w:tabs>
          <w:tab w:val="clear" w:pos="431"/>
          <w:tab w:val="clear" w:pos="1134"/>
          <w:tab w:val="clear" w:pos="1565"/>
          <w:tab w:val="clear" w:pos="1996"/>
          <w:tab w:val="clear" w:pos="2427"/>
          <w:tab w:val="left" w:pos="2324"/>
        </w:tabs>
        <w:ind w:left="1701"/>
      </w:pPr>
      <w:r w:rsidRPr="00B763E0">
        <w:rPr>
          <w:rFonts w:hint="eastAsia"/>
        </w:rPr>
        <w:t>34.</w:t>
      </w:r>
      <w:r w:rsidRPr="00B763E0">
        <w:rPr>
          <w:rFonts w:hint="eastAsia"/>
        </w:rPr>
        <w:tab/>
      </w:r>
      <w:r w:rsidRPr="00B763E0">
        <w:rPr>
          <w:rFonts w:hint="eastAsia"/>
        </w:rPr>
        <w:t>法官和检察官的独立性与法治不可分割。法官和检察官都是为了共同利益行事，既以社会名义，又以渴望自身权利和自由得到全方位保障的公民名义。他们实施干预的是最敏感人权</w:t>
      </w:r>
      <w:r w:rsidRPr="00B763E0">
        <w:rPr>
          <w:rFonts w:hint="eastAsia"/>
        </w:rPr>
        <w:t>(</w:t>
      </w:r>
      <w:r w:rsidRPr="00B763E0">
        <w:rPr>
          <w:rFonts w:hint="eastAsia"/>
        </w:rPr>
        <w:t>个人自由、隐私、财产保护等</w:t>
      </w:r>
      <w:r w:rsidRPr="00B763E0">
        <w:rPr>
          <w:rFonts w:hint="eastAsia"/>
        </w:rPr>
        <w:t>)</w:t>
      </w:r>
      <w:r w:rsidRPr="00B763E0">
        <w:rPr>
          <w:rFonts w:hint="eastAsia"/>
        </w:rPr>
        <w:t>应得到最大限度保护的领域。”</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6.</w:t>
      </w:r>
      <w:r w:rsidRPr="00B763E0">
        <w:rPr>
          <w:rFonts w:hint="eastAsia"/>
        </w:rPr>
        <w:tab/>
      </w:r>
      <w:r w:rsidRPr="00B763E0">
        <w:rPr>
          <w:rFonts w:hint="eastAsia"/>
        </w:rPr>
        <w:t>根据欧洲检察官协商理事会关于《欧洲检察官规范和原则》的第</w:t>
      </w:r>
      <w:r w:rsidRPr="00B763E0">
        <w:rPr>
          <w:rFonts w:hint="eastAsia"/>
        </w:rPr>
        <w:t>9</w:t>
      </w:r>
      <w:r w:rsidRPr="00B763E0">
        <w:rPr>
          <w:rFonts w:hint="eastAsia"/>
        </w:rPr>
        <w:t>号意见</w:t>
      </w:r>
      <w:r w:rsidRPr="00B763E0">
        <w:rPr>
          <w:rFonts w:hint="eastAsia"/>
        </w:rPr>
        <w:t>(2014</w:t>
      </w:r>
      <w:r w:rsidRPr="00B763E0">
        <w:rPr>
          <w:rFonts w:hint="eastAsia"/>
        </w:rPr>
        <w:t>年</w:t>
      </w:r>
      <w:r w:rsidRPr="00B763E0">
        <w:rPr>
          <w:rFonts w:hint="eastAsia"/>
        </w:rPr>
        <w:t>)(</w:t>
      </w:r>
      <w:r w:rsidRPr="00B763E0">
        <w:rPr>
          <w:rFonts w:hint="eastAsia"/>
        </w:rPr>
        <w:t>《罗马宪章》</w:t>
      </w:r>
      <w:r w:rsidRPr="00B763E0">
        <w:rPr>
          <w:rFonts w:hint="eastAsia"/>
        </w:rPr>
        <w:t>)</w:t>
      </w:r>
      <w:r w:rsidRPr="00B763E0">
        <w:rPr>
          <w:rFonts w:hint="eastAsia"/>
        </w:rPr>
        <w:t>：</w:t>
      </w:r>
    </w:p>
    <w:p w:rsidR="00992F94" w:rsidRPr="00B763E0" w:rsidRDefault="00992F94" w:rsidP="00F13878">
      <w:pPr>
        <w:pStyle w:val="SingleTxtGC"/>
        <w:tabs>
          <w:tab w:val="clear" w:pos="431"/>
          <w:tab w:val="clear" w:pos="1134"/>
          <w:tab w:val="clear" w:pos="1565"/>
          <w:tab w:val="clear" w:pos="1996"/>
          <w:tab w:val="clear" w:pos="2427"/>
          <w:tab w:val="left" w:pos="2324"/>
        </w:tabs>
        <w:ind w:left="1701"/>
      </w:pPr>
      <w:r w:rsidRPr="00B763E0">
        <w:rPr>
          <w:rFonts w:hint="eastAsia"/>
        </w:rPr>
        <w:t>“五</w:t>
      </w:r>
      <w:r w:rsidRPr="00B763E0">
        <w:rPr>
          <w:rFonts w:hint="eastAsia"/>
        </w:rPr>
        <w:t>.</w:t>
      </w:r>
      <w:r w:rsidRPr="00B763E0">
        <w:rPr>
          <w:rFonts w:hint="eastAsia"/>
        </w:rPr>
        <w:tab/>
      </w:r>
      <w:r w:rsidRPr="00B763E0">
        <w:rPr>
          <w:rFonts w:hint="eastAsia"/>
        </w:rPr>
        <w:t>检察官应自主做出决定，履行职责时不受外界压力或干预，尊重三权分立原则和责任制原则。”</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《罗马宪章》的解释性说明指出：</w:t>
      </w:r>
    </w:p>
    <w:p w:rsidR="00992F94" w:rsidRPr="00B763E0" w:rsidRDefault="00992F94" w:rsidP="00F13878">
      <w:pPr>
        <w:pStyle w:val="SingleTxtGC"/>
        <w:tabs>
          <w:tab w:val="clear" w:pos="431"/>
          <w:tab w:val="clear" w:pos="1134"/>
          <w:tab w:val="clear" w:pos="1565"/>
          <w:tab w:val="clear" w:pos="1996"/>
          <w:tab w:val="clear" w:pos="2427"/>
          <w:tab w:val="left" w:pos="2324"/>
        </w:tabs>
        <w:ind w:left="1701"/>
      </w:pPr>
      <w:r w:rsidRPr="00B763E0">
        <w:rPr>
          <w:rFonts w:hint="eastAsia"/>
        </w:rPr>
        <w:t>“</w:t>
      </w:r>
      <w:r w:rsidRPr="00B763E0">
        <w:rPr>
          <w:rFonts w:hint="eastAsia"/>
        </w:rPr>
        <w:t>36.</w:t>
      </w:r>
      <w:r w:rsidRPr="00B763E0">
        <w:rPr>
          <w:rFonts w:hint="eastAsia"/>
        </w:rPr>
        <w:tab/>
      </w:r>
      <w:r w:rsidRPr="00B763E0">
        <w:rPr>
          <w:rFonts w:hint="eastAsia"/>
        </w:rPr>
        <w:t>各国必须确保检察官能够在不受恐吓、阻碍、骚扰或不当干预或免于不合理民事、刑事或其他责任的情况下履行职责。”</w:t>
      </w:r>
      <w:r w:rsidRPr="00B763E0">
        <w:rPr>
          <w:rStyle w:val="a8"/>
          <w:rFonts w:eastAsia="宋体"/>
        </w:rPr>
        <w:footnoteReference w:id="18"/>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7.</w:t>
      </w:r>
      <w:r w:rsidRPr="00B763E0">
        <w:rPr>
          <w:rFonts w:hint="eastAsia"/>
        </w:rPr>
        <w:tab/>
      </w:r>
      <w:r w:rsidRPr="00B763E0">
        <w:rPr>
          <w:rFonts w:hint="eastAsia"/>
        </w:rPr>
        <w:t>欧洲检察官协商理事会关于检察官独立性、问责制和道德规范的第</w:t>
      </w:r>
      <w:r w:rsidRPr="00B763E0">
        <w:rPr>
          <w:rFonts w:hint="eastAsia"/>
        </w:rPr>
        <w:t>13</w:t>
      </w:r>
      <w:r w:rsidRPr="00B763E0">
        <w:rPr>
          <w:rFonts w:hint="eastAsia"/>
        </w:rPr>
        <w:t>号意见</w:t>
      </w:r>
      <w:r w:rsidRPr="00B763E0">
        <w:rPr>
          <w:rFonts w:hint="eastAsia"/>
        </w:rPr>
        <w:t>(2018</w:t>
      </w:r>
      <w:r w:rsidRPr="00B763E0">
        <w:rPr>
          <w:rFonts w:hint="eastAsia"/>
        </w:rPr>
        <w:t>年</w:t>
      </w:r>
      <w:r w:rsidRPr="00B763E0">
        <w:rPr>
          <w:rFonts w:hint="eastAsia"/>
        </w:rPr>
        <w:t>)</w:t>
      </w:r>
      <w:r w:rsidRPr="00B763E0">
        <w:rPr>
          <w:rFonts w:hint="eastAsia"/>
        </w:rPr>
        <w:t>进一步就检察官独立性概念指出：</w:t>
      </w:r>
    </w:p>
    <w:p w:rsidR="00992F94" w:rsidRPr="00B763E0" w:rsidRDefault="00992F94" w:rsidP="00F13878">
      <w:pPr>
        <w:pStyle w:val="SingleTxtGC"/>
        <w:tabs>
          <w:tab w:val="clear" w:pos="431"/>
          <w:tab w:val="clear" w:pos="1134"/>
          <w:tab w:val="clear" w:pos="1565"/>
          <w:tab w:val="clear" w:pos="1996"/>
          <w:tab w:val="clear" w:pos="2427"/>
          <w:tab w:val="left" w:pos="2324"/>
        </w:tabs>
        <w:ind w:left="1701"/>
      </w:pPr>
      <w:r w:rsidRPr="00B763E0">
        <w:rPr>
          <w:rFonts w:hint="eastAsia"/>
        </w:rPr>
        <w:t>“</w:t>
      </w:r>
      <w:r w:rsidRPr="00B763E0">
        <w:rPr>
          <w:rFonts w:hint="eastAsia"/>
        </w:rPr>
        <w:t>15.</w:t>
      </w:r>
      <w:r w:rsidRPr="00B763E0">
        <w:rPr>
          <w:rFonts w:hint="eastAsia"/>
        </w:rPr>
        <w:tab/>
      </w:r>
      <w:r w:rsidRPr="00B763E0">
        <w:rPr>
          <w:rFonts w:hint="eastAsia"/>
        </w:rPr>
        <w:t>‘独立性’意味着检察官在履行职责时不受非法干预，以确保充分尊重和适用法律和法治原则，也意味着他们不受任何政治压力影响或任何性质的非法影响。”</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8.</w:t>
      </w:r>
      <w:r w:rsidRPr="00B763E0">
        <w:rPr>
          <w:rFonts w:hint="eastAsia"/>
        </w:rPr>
        <w:tab/>
      </w:r>
      <w:r w:rsidRPr="00B763E0">
        <w:rPr>
          <w:rFonts w:hint="eastAsia"/>
        </w:rPr>
        <w:t>在本案中，委员会认为，对提交人的定罪构成了对其表达自由权的干预</w:t>
      </w:r>
      <w:r w:rsidRPr="00B763E0">
        <w:rPr>
          <w:rFonts w:hint="eastAsia"/>
        </w:rPr>
        <w:t>(</w:t>
      </w:r>
      <w:r w:rsidRPr="00B763E0">
        <w:rPr>
          <w:rFonts w:hint="eastAsia"/>
        </w:rPr>
        <w:t>第</w:t>
      </w:r>
      <w:r w:rsidRPr="00B763E0">
        <w:rPr>
          <w:rFonts w:hint="eastAsia"/>
        </w:rPr>
        <w:t>8.2</w:t>
      </w:r>
      <w:r w:rsidRPr="00B763E0">
        <w:rPr>
          <w:rFonts w:hint="eastAsia"/>
        </w:rPr>
        <w:t>段</w:t>
      </w:r>
      <w:r w:rsidRPr="00B763E0">
        <w:rPr>
          <w:rFonts w:hint="eastAsia"/>
        </w:rPr>
        <w:t>)</w:t>
      </w:r>
      <w:r w:rsidRPr="00B763E0">
        <w:rPr>
          <w:rFonts w:hint="eastAsia"/>
        </w:rPr>
        <w:t>，但认为这种干预系在《公约》第十九条第三款范畴内由法律规定</w:t>
      </w:r>
      <w:r w:rsidRPr="00B763E0">
        <w:rPr>
          <w:rFonts w:hint="eastAsia"/>
        </w:rPr>
        <w:t>(</w:t>
      </w:r>
      <w:r w:rsidRPr="00B763E0">
        <w:rPr>
          <w:rFonts w:hint="eastAsia"/>
        </w:rPr>
        <w:t>第</w:t>
      </w:r>
      <w:r w:rsidRPr="00B763E0">
        <w:rPr>
          <w:rFonts w:hint="eastAsia"/>
        </w:rPr>
        <w:t>8.4</w:t>
      </w:r>
      <w:r w:rsidRPr="00B763E0">
        <w:rPr>
          <w:rFonts w:hint="eastAsia"/>
        </w:rPr>
        <w:t>段和第</w:t>
      </w:r>
      <w:r w:rsidRPr="00B763E0">
        <w:rPr>
          <w:rFonts w:hint="eastAsia"/>
        </w:rPr>
        <w:t>8.5</w:t>
      </w:r>
      <w:r w:rsidRPr="00B763E0">
        <w:rPr>
          <w:rFonts w:hint="eastAsia"/>
        </w:rPr>
        <w:t>段</w:t>
      </w:r>
      <w:r w:rsidRPr="00B763E0">
        <w:rPr>
          <w:rFonts w:hint="eastAsia"/>
        </w:rPr>
        <w:t>)</w:t>
      </w:r>
      <w:r w:rsidRPr="00B763E0">
        <w:rPr>
          <w:rFonts w:hint="eastAsia"/>
        </w:rPr>
        <w:t>。委员会还认为，《立陶宛刑法》第</w:t>
      </w:r>
      <w:r w:rsidRPr="00B763E0">
        <w:rPr>
          <w:rFonts w:hint="eastAsia"/>
        </w:rPr>
        <w:t>290</w:t>
      </w:r>
      <w:r w:rsidRPr="00B763E0">
        <w:rPr>
          <w:rFonts w:hint="eastAsia"/>
        </w:rPr>
        <w:t>条旨在为检察官履行特定职能提供保护，从而促进维护公众对司法工作的普遍信任。因此，该条款有促进保护公共秩序的合法目的，因而正当合理</w:t>
      </w:r>
      <w:r w:rsidRPr="00B763E0">
        <w:rPr>
          <w:rFonts w:hint="eastAsia"/>
        </w:rPr>
        <w:t>(</w:t>
      </w:r>
      <w:r w:rsidRPr="00B763E0">
        <w:rPr>
          <w:rFonts w:hint="eastAsia"/>
        </w:rPr>
        <w:t>第</w:t>
      </w:r>
      <w:r w:rsidRPr="00B763E0">
        <w:rPr>
          <w:rFonts w:hint="eastAsia"/>
        </w:rPr>
        <w:t>8.7</w:t>
      </w:r>
      <w:r w:rsidRPr="00B763E0">
        <w:rPr>
          <w:rFonts w:hint="eastAsia"/>
        </w:rPr>
        <w:t>段</w:t>
      </w:r>
      <w:r w:rsidRPr="00B763E0">
        <w:rPr>
          <w:rFonts w:hint="eastAsia"/>
        </w:rPr>
        <w:t>)</w:t>
      </w:r>
      <w:r w:rsidRPr="00B763E0">
        <w:rPr>
          <w:rFonts w:hint="eastAsia"/>
        </w:rPr>
        <w:t>，其中包括尊重法官和检察官。</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9.</w:t>
      </w:r>
      <w:r w:rsidRPr="00B763E0">
        <w:rPr>
          <w:rFonts w:hint="eastAsia"/>
        </w:rPr>
        <w:tab/>
      </w:r>
      <w:r w:rsidRPr="00B763E0">
        <w:rPr>
          <w:rFonts w:hint="eastAsia"/>
        </w:rPr>
        <w:t>但是，委员会得出结论认为，对提交人权利的限制并不相称，因此根据《公约》第十九条第三款证明其并不正当合理。我们认为这个结论既令人费解，亦未准确反映本案事实。</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10.</w:t>
      </w:r>
      <w:r w:rsidRPr="00B763E0">
        <w:rPr>
          <w:rFonts w:hint="eastAsia"/>
        </w:rPr>
        <w:tab/>
      </w:r>
      <w:r w:rsidRPr="00B763E0">
        <w:rPr>
          <w:rFonts w:hint="eastAsia"/>
        </w:rPr>
        <w:t>委员会承认</w:t>
      </w:r>
      <w:r w:rsidRPr="00B763E0">
        <w:rPr>
          <w:rFonts w:hint="eastAsia"/>
        </w:rPr>
        <w:t>(</w:t>
      </w:r>
      <w:r w:rsidRPr="00B763E0">
        <w:rPr>
          <w:rFonts w:hint="eastAsia"/>
        </w:rPr>
        <w:t>第</w:t>
      </w:r>
      <w:r w:rsidRPr="00B763E0">
        <w:rPr>
          <w:rFonts w:hint="eastAsia"/>
        </w:rPr>
        <w:t>8.10</w:t>
      </w:r>
      <w:r w:rsidRPr="00B763E0">
        <w:rPr>
          <w:rFonts w:hint="eastAsia"/>
        </w:rPr>
        <w:t>段</w:t>
      </w:r>
      <w:r w:rsidRPr="00B763E0">
        <w:rPr>
          <w:rFonts w:hint="eastAsia"/>
        </w:rPr>
        <w:t>)</w:t>
      </w:r>
      <w:r w:rsidRPr="00B763E0">
        <w:rPr>
          <w:rFonts w:hint="eastAsia"/>
        </w:rPr>
        <w:t>，立陶宛最高法院认为对提交人定罪不是因为她批评检察官本身，而是因为她以侮辱性的方式表达批评。然而，委员会提出这一推理方式并不完全正确。实际上，缔约国指出，国内法院彻底分析了案件情形，评估时甚至排除了提交人的部分言论，因为那些言论要么含糊不清，要么并无恶意，因而不可能构成《刑法》第</w:t>
      </w:r>
      <w:r w:rsidRPr="00B763E0">
        <w:rPr>
          <w:rFonts w:hint="eastAsia"/>
        </w:rPr>
        <w:t>290</w:t>
      </w:r>
      <w:r w:rsidRPr="00B763E0">
        <w:rPr>
          <w:rFonts w:hint="eastAsia"/>
        </w:rPr>
        <w:t>条下的犯罪要件</w:t>
      </w:r>
      <w:r w:rsidRPr="00B763E0">
        <w:rPr>
          <w:rFonts w:hint="eastAsia"/>
        </w:rPr>
        <w:t>(</w:t>
      </w:r>
      <w:r w:rsidRPr="00B763E0">
        <w:rPr>
          <w:rFonts w:hint="eastAsia"/>
        </w:rPr>
        <w:t>第</w:t>
      </w:r>
      <w:r w:rsidRPr="00B763E0">
        <w:rPr>
          <w:rFonts w:hint="eastAsia"/>
        </w:rPr>
        <w:t>4.5</w:t>
      </w:r>
      <w:r w:rsidRPr="00B763E0">
        <w:rPr>
          <w:rFonts w:hint="eastAsia"/>
        </w:rPr>
        <w:t>段</w:t>
      </w:r>
      <w:r w:rsidRPr="00B763E0">
        <w:rPr>
          <w:rFonts w:hint="eastAsia"/>
        </w:rPr>
        <w:t>)</w:t>
      </w:r>
      <w:r w:rsidRPr="00B763E0">
        <w:rPr>
          <w:rFonts w:hint="eastAsia"/>
        </w:rPr>
        <w:t>。此外，国内法院承认促进在公共领域和公共机构就公众人物进行公开辩论的各种表达形式的重要性，同时认为一方面，提交人的言论无助于公开辩论，另一方面，也不能将受辱检察官视为公众人物或政治人物</w:t>
      </w:r>
      <w:r w:rsidRPr="00B763E0">
        <w:rPr>
          <w:rFonts w:hint="eastAsia"/>
        </w:rPr>
        <w:t>(</w:t>
      </w:r>
      <w:r w:rsidRPr="00B763E0">
        <w:rPr>
          <w:rFonts w:hint="eastAsia"/>
        </w:rPr>
        <w:t>另见第</w:t>
      </w:r>
      <w:r w:rsidRPr="00B763E0">
        <w:rPr>
          <w:rFonts w:hint="eastAsia"/>
        </w:rPr>
        <w:t>6.2</w:t>
      </w:r>
      <w:r w:rsidRPr="00B763E0">
        <w:rPr>
          <w:rFonts w:hint="eastAsia"/>
        </w:rPr>
        <w:t>段</w:t>
      </w:r>
      <w:r w:rsidRPr="00B763E0">
        <w:rPr>
          <w:rFonts w:hint="eastAsia"/>
        </w:rPr>
        <w:t>)</w:t>
      </w:r>
      <w:r w:rsidRPr="00B763E0">
        <w:rPr>
          <w:rFonts w:hint="eastAsia"/>
        </w:rPr>
        <w:t>。最高法院就此指出，表达公开批评既不可以、也不应该采用极端、侮辱性字眼，因为这些字眼既无助于发展公开讨论，又会对官员顺利履行职责及其荣誉和尊严构成威胁。在这方面，最高法院强调，对提交人定罪不是因为她批评检察官，而是因为她以侮辱性方式表达批评。我们同意立陶宛国内法院的这一结论。</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11.</w:t>
      </w:r>
      <w:r w:rsidRPr="00B763E0">
        <w:rPr>
          <w:rFonts w:hint="eastAsia"/>
        </w:rPr>
        <w:tab/>
      </w:r>
      <w:r w:rsidRPr="00B763E0">
        <w:rPr>
          <w:rFonts w:hint="eastAsia"/>
        </w:rPr>
        <w:t>委员会还认为，提供的只是提交人言论的删节版，并未提供上下文，使得所有言论都模棱两可</w:t>
      </w:r>
      <w:r w:rsidRPr="00B763E0">
        <w:rPr>
          <w:rFonts w:hint="eastAsia"/>
        </w:rPr>
        <w:t>(</w:t>
      </w:r>
      <w:r w:rsidRPr="00B763E0">
        <w:rPr>
          <w:rFonts w:hint="eastAsia"/>
        </w:rPr>
        <w:t>第</w:t>
      </w:r>
      <w:r w:rsidRPr="00B763E0">
        <w:rPr>
          <w:rFonts w:hint="eastAsia"/>
        </w:rPr>
        <w:t>8.10</w:t>
      </w:r>
      <w:r w:rsidRPr="00B763E0">
        <w:rPr>
          <w:rFonts w:hint="eastAsia"/>
        </w:rPr>
        <w:t>段</w:t>
      </w:r>
      <w:r w:rsidRPr="00B763E0">
        <w:rPr>
          <w:rFonts w:hint="eastAsia"/>
        </w:rPr>
        <w:t>)</w:t>
      </w:r>
      <w:r w:rsidRPr="00B763E0">
        <w:rPr>
          <w:rFonts w:hint="eastAsia"/>
        </w:rPr>
        <w:t>。我们对这一结论提出质疑。</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12.</w:t>
      </w:r>
      <w:r w:rsidRPr="00B763E0">
        <w:rPr>
          <w:rFonts w:hint="eastAsia"/>
        </w:rPr>
        <w:tab/>
      </w:r>
      <w:r w:rsidRPr="00B763E0">
        <w:rPr>
          <w:rFonts w:hint="eastAsia"/>
        </w:rPr>
        <w:t>“删节版”系由提交人自己提供，她甚至提供了其发表言论的背景</w:t>
      </w:r>
      <w:r w:rsidRPr="00B763E0">
        <w:rPr>
          <w:rFonts w:hint="eastAsia"/>
        </w:rPr>
        <w:t>(</w:t>
      </w:r>
      <w:r w:rsidRPr="00B763E0">
        <w:rPr>
          <w:rFonts w:hint="eastAsia"/>
        </w:rPr>
        <w:t>第</w:t>
      </w:r>
      <w:r w:rsidRPr="00B763E0">
        <w:rPr>
          <w:rFonts w:hint="eastAsia"/>
        </w:rPr>
        <w:t>2.1</w:t>
      </w:r>
      <w:r w:rsidRPr="00B763E0">
        <w:rPr>
          <w:rFonts w:hint="eastAsia"/>
        </w:rPr>
        <w:t>段</w:t>
      </w:r>
      <w:r w:rsidRPr="00B763E0">
        <w:rPr>
          <w:rFonts w:hint="eastAsia"/>
        </w:rPr>
        <w:t>)</w:t>
      </w:r>
      <w:r w:rsidRPr="00B763E0">
        <w:rPr>
          <w:rFonts w:hint="eastAsia"/>
        </w:rPr>
        <w:t>：立陶宛有三起指控她涉嫌严重犯罪</w:t>
      </w:r>
      <w:r w:rsidR="007B6969">
        <w:rPr>
          <w:rFonts w:hint="eastAsia"/>
          <w:spacing w:val="-50"/>
        </w:rPr>
        <w:t>―</w:t>
      </w:r>
      <w:r w:rsidR="007B6969">
        <w:rPr>
          <w:rFonts w:hint="eastAsia"/>
        </w:rPr>
        <w:t>―</w:t>
      </w:r>
      <w:r w:rsidRPr="00B763E0">
        <w:rPr>
          <w:rFonts w:hint="eastAsia"/>
        </w:rPr>
        <w:t>恐怖主义的刑事案件立案。</w:t>
      </w:r>
      <w:r w:rsidRPr="00B763E0">
        <w:rPr>
          <w:rStyle w:val="a8"/>
          <w:rFonts w:eastAsia="宋体"/>
        </w:rPr>
        <w:footnoteReference w:id="19"/>
      </w:r>
      <w:r w:rsidRPr="00B763E0">
        <w:rPr>
          <w:rFonts w:hint="eastAsia"/>
        </w:rPr>
        <w:t xml:space="preserve"> 2011</w:t>
      </w:r>
      <w:r w:rsidRPr="00B763E0">
        <w:rPr>
          <w:rFonts w:hint="eastAsia"/>
        </w:rPr>
        <w:t>年</w:t>
      </w:r>
      <w:r w:rsidRPr="00B763E0">
        <w:rPr>
          <w:rFonts w:hint="eastAsia"/>
        </w:rPr>
        <w:t>3</w:t>
      </w:r>
      <w:r w:rsidRPr="00B763E0">
        <w:rPr>
          <w:rFonts w:hint="eastAsia"/>
        </w:rPr>
        <w:t>月</w:t>
      </w:r>
      <w:r w:rsidRPr="00B763E0">
        <w:rPr>
          <w:rFonts w:hint="eastAsia"/>
        </w:rPr>
        <w:t>24</w:t>
      </w:r>
      <w:r w:rsidRPr="00B763E0">
        <w:rPr>
          <w:rFonts w:hint="eastAsia"/>
        </w:rPr>
        <w:t>日，在其中一起案件庭审期间，一名检察官要求法院下令对提交人进行审前羁押。</w:t>
      </w:r>
      <w:r w:rsidRPr="00B763E0">
        <w:rPr>
          <w:rStyle w:val="a8"/>
          <w:rFonts w:eastAsia="宋体"/>
        </w:rPr>
        <w:footnoteReference w:id="20"/>
      </w:r>
      <w:r w:rsidRPr="00B763E0">
        <w:rPr>
          <w:rFonts w:hint="eastAsia"/>
        </w:rPr>
        <w:t xml:space="preserve"> </w:t>
      </w:r>
      <w:r w:rsidRPr="00B763E0">
        <w:rPr>
          <w:rFonts w:hint="eastAsia"/>
        </w:rPr>
        <w:t>在庭审休息期间，提交人接受了电视台记者的采访，发表了一番言论，暗示检察官实施了犯罪，可能杀了人，是犯罪分子。</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13.</w:t>
      </w:r>
      <w:r w:rsidRPr="00B763E0">
        <w:rPr>
          <w:rFonts w:hint="eastAsia"/>
        </w:rPr>
        <w:tab/>
      </w:r>
      <w:r w:rsidRPr="00B763E0">
        <w:rPr>
          <w:rFonts w:hint="eastAsia"/>
        </w:rPr>
        <w:t>与委员会结论相反，提交人的言论很难被视为仅仅是一种自发反应。她已成为三起被控恐怖主义刑事案件的目标，如缔约国所指出</w:t>
      </w:r>
      <w:r w:rsidRPr="00B763E0">
        <w:rPr>
          <w:rFonts w:hint="eastAsia"/>
        </w:rPr>
        <w:t>(</w:t>
      </w:r>
      <w:r w:rsidRPr="00B763E0">
        <w:rPr>
          <w:rFonts w:hint="eastAsia"/>
        </w:rPr>
        <w:t>第</w:t>
      </w:r>
      <w:r w:rsidRPr="00B763E0">
        <w:rPr>
          <w:rFonts w:hint="eastAsia"/>
        </w:rPr>
        <w:t>4.2</w:t>
      </w:r>
      <w:r w:rsidRPr="00B763E0">
        <w:rPr>
          <w:rFonts w:hint="eastAsia"/>
        </w:rPr>
        <w:t>段和第</w:t>
      </w:r>
      <w:r w:rsidRPr="00B763E0">
        <w:rPr>
          <w:rFonts w:hint="eastAsia"/>
        </w:rPr>
        <w:t>4.6</w:t>
      </w:r>
      <w:r w:rsidRPr="00B763E0">
        <w:rPr>
          <w:rFonts w:hint="eastAsia"/>
        </w:rPr>
        <w:t>段</w:t>
      </w:r>
      <w:r w:rsidRPr="00B763E0">
        <w:rPr>
          <w:rFonts w:hint="eastAsia"/>
        </w:rPr>
        <w:t>)</w:t>
      </w:r>
      <w:r w:rsidRPr="00B763E0">
        <w:rPr>
          <w:rFonts w:hint="eastAsia"/>
        </w:rPr>
        <w:t>，提交人发表言论的采访已在当时最大的商业电视频道播出，因此受众无数，而提交人的指控并不属实。推定的违反程序情形、指控和处罚的严重性以及案件的复杂性都不能成为被告侮辱负责其刑事案件的公职人员的借口。尽管如此，国内法院适当考虑了提交人发表备受非难的言论时可能承受的巨大压力。</w:t>
      </w:r>
    </w:p>
    <w:p w:rsidR="00992F94" w:rsidRPr="00B763E0" w:rsidRDefault="00992F94" w:rsidP="008A1AE4">
      <w:pPr>
        <w:pStyle w:val="SingleTxtGC"/>
        <w:tabs>
          <w:tab w:val="clear" w:pos="431"/>
          <w:tab w:val="clear" w:pos="1134"/>
          <w:tab w:val="clear" w:pos="1565"/>
          <w:tab w:val="clear" w:pos="1996"/>
          <w:tab w:val="clear" w:pos="2427"/>
          <w:tab w:val="left" w:pos="1701"/>
        </w:tabs>
        <w:rPr>
          <w:rStyle w:val="a8"/>
          <w:rFonts w:eastAsia="宋体"/>
        </w:rPr>
      </w:pPr>
      <w:r w:rsidRPr="00B763E0">
        <w:rPr>
          <w:rFonts w:hint="eastAsia"/>
        </w:rPr>
        <w:t>14.</w:t>
      </w:r>
      <w:r w:rsidRPr="00B763E0">
        <w:rPr>
          <w:rFonts w:hint="eastAsia"/>
        </w:rPr>
        <w:tab/>
      </w:r>
      <w:r w:rsidRPr="00B763E0">
        <w:rPr>
          <w:rFonts w:hint="eastAsia"/>
        </w:rPr>
        <w:t>另一方面，提交人并非初犯，</w:t>
      </w:r>
      <w:r w:rsidRPr="00B763E0">
        <w:rPr>
          <w:rStyle w:val="a8"/>
          <w:rFonts w:eastAsia="宋体"/>
        </w:rPr>
        <w:footnoteReference w:id="21"/>
      </w:r>
      <w:r w:rsidRPr="00B763E0">
        <w:rPr>
          <w:rFonts w:hint="eastAsia"/>
        </w:rPr>
        <w:t xml:space="preserve"> </w:t>
      </w:r>
      <w:r w:rsidRPr="00B763E0">
        <w:rPr>
          <w:rFonts w:hint="eastAsia"/>
        </w:rPr>
        <w:t>因为她被宣告犯有《立陶宛刑法》第</w:t>
      </w:r>
      <w:r w:rsidRPr="00B763E0">
        <w:rPr>
          <w:rFonts w:hint="eastAsia"/>
        </w:rPr>
        <w:t>145</w:t>
      </w:r>
      <w:r w:rsidRPr="00B763E0">
        <w:rPr>
          <w:rFonts w:hint="eastAsia"/>
        </w:rPr>
        <w:t>条</w:t>
      </w:r>
      <w:r w:rsidRPr="00B763E0">
        <w:rPr>
          <w:rFonts w:hint="eastAsia"/>
        </w:rPr>
        <w:t>(</w:t>
      </w:r>
      <w:r w:rsidRPr="00B763E0">
        <w:rPr>
          <w:rFonts w:hint="eastAsia"/>
        </w:rPr>
        <w:t>威胁谋杀或对他人造成严重健康损害或恐吓他人</w:t>
      </w:r>
      <w:r w:rsidRPr="00B763E0">
        <w:rPr>
          <w:rFonts w:hint="eastAsia"/>
        </w:rPr>
        <w:t>)</w:t>
      </w:r>
      <w:r w:rsidRPr="00B763E0">
        <w:rPr>
          <w:rFonts w:hint="eastAsia"/>
        </w:rPr>
        <w:t>和第</w:t>
      </w:r>
      <w:r w:rsidRPr="00B763E0">
        <w:rPr>
          <w:rFonts w:hint="eastAsia"/>
        </w:rPr>
        <w:t>290</w:t>
      </w:r>
      <w:r w:rsidRPr="00B763E0">
        <w:rPr>
          <w:rFonts w:hint="eastAsia"/>
        </w:rPr>
        <w:t>条</w:t>
      </w:r>
      <w:r w:rsidRPr="00B763E0">
        <w:rPr>
          <w:rFonts w:hint="eastAsia"/>
        </w:rPr>
        <w:t>(</w:t>
      </w:r>
      <w:r w:rsidRPr="00B763E0">
        <w:rPr>
          <w:rFonts w:hint="eastAsia"/>
        </w:rPr>
        <w:t>侮辱公务员或履行公共行政职能人员</w:t>
      </w:r>
      <w:r w:rsidRPr="00B763E0">
        <w:rPr>
          <w:rFonts w:hint="eastAsia"/>
        </w:rPr>
        <w:t>)</w:t>
      </w:r>
      <w:r w:rsidRPr="00B763E0">
        <w:rPr>
          <w:rFonts w:hint="eastAsia"/>
        </w:rPr>
        <w:t>所规定犯罪行为的罪名成立。据证实，提交人向一名检察官发送了几条短信，威胁他的人身完整。</w:t>
      </w:r>
      <w:r w:rsidRPr="00B763E0">
        <w:rPr>
          <w:rFonts w:hint="eastAsia"/>
        </w:rPr>
        <w:t>2013</w:t>
      </w:r>
      <w:r w:rsidRPr="00B763E0">
        <w:rPr>
          <w:rFonts w:hint="eastAsia"/>
        </w:rPr>
        <w:t>年</w:t>
      </w:r>
      <w:r w:rsidRPr="00B763E0">
        <w:rPr>
          <w:rFonts w:hint="eastAsia"/>
        </w:rPr>
        <w:t>5</w:t>
      </w:r>
      <w:r w:rsidRPr="00B763E0">
        <w:rPr>
          <w:rFonts w:hint="eastAsia"/>
        </w:rPr>
        <w:t>月</w:t>
      </w:r>
      <w:r w:rsidRPr="00B763E0">
        <w:rPr>
          <w:rFonts w:hint="eastAsia"/>
        </w:rPr>
        <w:t>8</w:t>
      </w:r>
      <w:r w:rsidRPr="00B763E0">
        <w:rPr>
          <w:rFonts w:hint="eastAsia"/>
        </w:rPr>
        <w:t>日，提交人还被判提供虚假信息的罪名成立，涉及据称几位国家官员对她实施的犯罪</w:t>
      </w:r>
      <w:r w:rsidRPr="00B763E0">
        <w:rPr>
          <w:rFonts w:hint="eastAsia"/>
        </w:rPr>
        <w:t>(</w:t>
      </w:r>
      <w:r w:rsidRPr="00B763E0">
        <w:rPr>
          <w:rFonts w:hint="eastAsia"/>
        </w:rPr>
        <w:t>第</w:t>
      </w:r>
      <w:r w:rsidRPr="00B763E0">
        <w:rPr>
          <w:rFonts w:hint="eastAsia"/>
        </w:rPr>
        <w:t>4.2</w:t>
      </w:r>
      <w:r w:rsidRPr="00B763E0">
        <w:rPr>
          <w:rFonts w:hint="eastAsia"/>
        </w:rPr>
        <w:t>段</w:t>
      </w:r>
      <w:r w:rsidRPr="00B763E0">
        <w:rPr>
          <w:rFonts w:hint="eastAsia"/>
        </w:rPr>
        <w:t>)</w:t>
      </w:r>
      <w:r w:rsidRPr="00B763E0">
        <w:rPr>
          <w:rFonts w:hint="eastAsia"/>
        </w:rPr>
        <w:t>。因此，提交人在本案中的言论须被视为妨碍检察官履职的完整性和公正性，而且是在一个具有广泛公众影响的特别敏感和严重的刑事案件中履行职能。</w:t>
      </w:r>
      <w:r w:rsidRPr="00B763E0">
        <w:rPr>
          <w:rStyle w:val="a8"/>
          <w:rFonts w:eastAsia="宋体"/>
        </w:rPr>
        <w:footnoteReference w:id="22"/>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15.</w:t>
      </w:r>
      <w:r w:rsidRPr="00B763E0">
        <w:rPr>
          <w:rFonts w:hint="eastAsia"/>
        </w:rPr>
        <w:tab/>
      </w:r>
      <w:r w:rsidRPr="00B763E0">
        <w:rPr>
          <w:rFonts w:hint="eastAsia"/>
        </w:rPr>
        <w:t>委员会还高度强调了一个事实，那就是对提交人施加了刑事制裁</w:t>
      </w:r>
      <w:r w:rsidR="00891952">
        <w:rPr>
          <w:rFonts w:hint="eastAsia"/>
          <w:spacing w:val="-50"/>
        </w:rPr>
        <w:t>―</w:t>
      </w:r>
      <w:r w:rsidR="00891952">
        <w:rPr>
          <w:rFonts w:hint="eastAsia"/>
        </w:rPr>
        <w:t>―</w:t>
      </w:r>
      <w:r w:rsidRPr="00B763E0">
        <w:rPr>
          <w:rFonts w:hint="eastAsia"/>
        </w:rPr>
        <w:t>罚款，但“考虑到提交人当时年纪尚小，又没有工作，处以罚款可能会对她造成过重负担”</w:t>
      </w:r>
      <w:r w:rsidRPr="00B763E0">
        <w:rPr>
          <w:rFonts w:hint="eastAsia"/>
        </w:rPr>
        <w:t>(</w:t>
      </w:r>
      <w:r w:rsidRPr="00B763E0">
        <w:rPr>
          <w:rFonts w:hint="eastAsia"/>
        </w:rPr>
        <w:t>第</w:t>
      </w:r>
      <w:r w:rsidRPr="00B763E0">
        <w:rPr>
          <w:rFonts w:hint="eastAsia"/>
        </w:rPr>
        <w:t>8.10</w:t>
      </w:r>
      <w:r w:rsidRPr="00B763E0">
        <w:rPr>
          <w:rFonts w:hint="eastAsia"/>
        </w:rPr>
        <w:t>段</w:t>
      </w:r>
      <w:r w:rsidRPr="00B763E0">
        <w:rPr>
          <w:rFonts w:hint="eastAsia"/>
        </w:rPr>
        <w:t>)</w:t>
      </w:r>
      <w:r w:rsidRPr="00B763E0">
        <w:rPr>
          <w:rFonts w:hint="eastAsia"/>
        </w:rPr>
        <w:t>。然而，本《意见》并未提及提交人的失业情况。此外，由于我们处理的是《立陶宛刑法》第</w:t>
      </w:r>
      <w:r w:rsidRPr="00B763E0">
        <w:rPr>
          <w:rFonts w:hint="eastAsia"/>
        </w:rPr>
        <w:t>290</w:t>
      </w:r>
      <w:r w:rsidRPr="00B763E0">
        <w:rPr>
          <w:rFonts w:hint="eastAsia"/>
        </w:rPr>
        <w:t>条适用问题，因此，所施加的制裁自然为刑事性质。但是，根据缔约国的说法，所处罚款</w:t>
      </w:r>
      <w:r w:rsidRPr="00B763E0">
        <w:rPr>
          <w:rFonts w:hint="eastAsia"/>
        </w:rPr>
        <w:t>(1,300</w:t>
      </w:r>
      <w:r w:rsidRPr="00B763E0">
        <w:rPr>
          <w:rFonts w:hint="eastAsia"/>
        </w:rPr>
        <w:t>立特，约</w:t>
      </w:r>
      <w:r w:rsidRPr="00B763E0">
        <w:rPr>
          <w:rFonts w:hint="eastAsia"/>
        </w:rPr>
        <w:t>380</w:t>
      </w:r>
      <w:r w:rsidRPr="00B763E0">
        <w:rPr>
          <w:rFonts w:hint="eastAsia"/>
        </w:rPr>
        <w:t>欧元</w:t>
      </w:r>
      <w:r w:rsidRPr="00B763E0">
        <w:rPr>
          <w:rFonts w:hint="eastAsia"/>
        </w:rPr>
        <w:t>)</w:t>
      </w:r>
      <w:r w:rsidRPr="00B763E0">
        <w:rPr>
          <w:rFonts w:hint="eastAsia"/>
        </w:rPr>
        <w:t>是对这类犯罪行为最宽大的制裁，也接近法律相关规定所允许的最低限额</w:t>
      </w:r>
      <w:r w:rsidRPr="00B763E0">
        <w:rPr>
          <w:rFonts w:hint="eastAsia"/>
        </w:rPr>
        <w:t>(</w:t>
      </w:r>
      <w:r w:rsidRPr="00B763E0">
        <w:rPr>
          <w:rFonts w:hint="eastAsia"/>
        </w:rPr>
        <w:t>第</w:t>
      </w:r>
      <w:r w:rsidRPr="00B763E0">
        <w:rPr>
          <w:rFonts w:hint="eastAsia"/>
        </w:rPr>
        <w:t>4.6</w:t>
      </w:r>
      <w:r w:rsidRPr="00B763E0">
        <w:rPr>
          <w:rFonts w:hint="eastAsia"/>
        </w:rPr>
        <w:t>段</w:t>
      </w:r>
      <w:r w:rsidRPr="00B763E0">
        <w:rPr>
          <w:rFonts w:hint="eastAsia"/>
        </w:rPr>
        <w:t>)</w:t>
      </w:r>
      <w:r w:rsidRPr="00B763E0">
        <w:rPr>
          <w:rFonts w:hint="eastAsia"/>
        </w:rPr>
        <w:t>。在其他国家，同样的制裁会被视为纯粹的行政违法。这是一个令人不安的论点，即罚款等刑事制裁应被视为“过重负担”，而不应在当事人无力支付时予以判处。刑事制裁的威慑作用何在？这一论点特别不合时宜，因为《立陶宛刑法》第</w:t>
      </w:r>
      <w:r w:rsidRPr="00B763E0">
        <w:rPr>
          <w:rFonts w:hint="eastAsia"/>
        </w:rPr>
        <w:t>47</w:t>
      </w:r>
      <w:r w:rsidRPr="00B763E0">
        <w:rPr>
          <w:rFonts w:hint="eastAsia"/>
        </w:rPr>
        <w:t>条第</w:t>
      </w:r>
      <w:r w:rsidRPr="00B763E0">
        <w:rPr>
          <w:rFonts w:hint="eastAsia"/>
        </w:rPr>
        <w:t>6</w:t>
      </w:r>
      <w:r w:rsidRPr="00B763E0">
        <w:rPr>
          <w:rFonts w:hint="eastAsia"/>
        </w:rPr>
        <w:t>款规定，如果当事人无力支付罚款，可以用社区服务代替罚款。此外，如果不执行《刑法》相关规定，当局还能做什么呢？所涉检察官本人是否应对提交人提起民事诉讼？我们不这么认为。</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16.</w:t>
      </w:r>
      <w:r w:rsidRPr="00B763E0">
        <w:rPr>
          <w:rFonts w:hint="eastAsia"/>
        </w:rPr>
        <w:tab/>
      </w:r>
      <w:r w:rsidRPr="00B763E0">
        <w:rPr>
          <w:rFonts w:hint="eastAsia"/>
        </w:rPr>
        <w:t>我们感到困惑的还有关于后来废除《刑法》第</w:t>
      </w:r>
      <w:r w:rsidRPr="00B763E0">
        <w:rPr>
          <w:rFonts w:hint="eastAsia"/>
        </w:rPr>
        <w:t>290</w:t>
      </w:r>
      <w:r w:rsidRPr="00B763E0">
        <w:rPr>
          <w:rFonts w:hint="eastAsia"/>
        </w:rPr>
        <w:t>条的论点。缔约国解释了修订立法的原因</w:t>
      </w:r>
      <w:r w:rsidRPr="00B763E0">
        <w:rPr>
          <w:rFonts w:hint="eastAsia"/>
        </w:rPr>
        <w:t>(</w:t>
      </w:r>
      <w:r w:rsidRPr="00B763E0">
        <w:rPr>
          <w:rFonts w:hint="eastAsia"/>
        </w:rPr>
        <w:t>第</w:t>
      </w:r>
      <w:r w:rsidRPr="00B763E0">
        <w:rPr>
          <w:rFonts w:hint="eastAsia"/>
        </w:rPr>
        <w:t>6.1</w:t>
      </w:r>
      <w:r w:rsidRPr="00B763E0">
        <w:rPr>
          <w:rFonts w:hint="eastAsia"/>
        </w:rPr>
        <w:t>段</w:t>
      </w:r>
      <w:r w:rsidRPr="00B763E0">
        <w:rPr>
          <w:rFonts w:hint="eastAsia"/>
        </w:rPr>
        <w:t>)</w:t>
      </w:r>
      <w:r w:rsidRPr="00B763E0">
        <w:rPr>
          <w:rFonts w:hint="eastAsia"/>
        </w:rPr>
        <w:t>。《刑法》和《行政犯罪法》都载有关于侮辱履行公职人员行为的条款。为了统一这些条款，也</w:t>
      </w:r>
      <w:r w:rsidRPr="00E34C25">
        <w:rPr>
          <w:rFonts w:hint="eastAsia"/>
        </w:rPr>
        <w:t>为了遵守“一罪不二审”</w:t>
      </w:r>
      <w:r w:rsidRPr="00B763E0">
        <w:rPr>
          <w:rFonts w:hint="eastAsia"/>
        </w:rPr>
        <w:t>原则要求，立法机关决定废除这两个条款，在《行政犯罪法》第</w:t>
      </w:r>
      <w:r w:rsidRPr="00B763E0">
        <w:rPr>
          <w:rFonts w:hint="eastAsia"/>
        </w:rPr>
        <w:t>507</w:t>
      </w:r>
      <w:r w:rsidRPr="00B763E0">
        <w:rPr>
          <w:rFonts w:hint="eastAsia"/>
        </w:rPr>
        <w:t>条下出台单项统一规定。然而，事实仍然是，《刑法》第</w:t>
      </w:r>
      <w:r w:rsidRPr="00B763E0">
        <w:rPr>
          <w:rFonts w:hint="eastAsia"/>
        </w:rPr>
        <w:t>290</w:t>
      </w:r>
      <w:r w:rsidRPr="00B763E0">
        <w:rPr>
          <w:rFonts w:hint="eastAsia"/>
        </w:rPr>
        <w:t>条当时有效，因此控诉方不得不加以执行，因为立陶宛的制度遵循罪刑法定原则，所有举报犯罪均须经过调查。</w:t>
      </w:r>
    </w:p>
    <w:p w:rsidR="00992F94" w:rsidRPr="00B763E0"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17.</w:t>
      </w:r>
      <w:r w:rsidRPr="00B763E0">
        <w:rPr>
          <w:rFonts w:hint="eastAsia"/>
        </w:rPr>
        <w:tab/>
      </w:r>
      <w:r w:rsidRPr="00B763E0">
        <w:rPr>
          <w:rFonts w:hint="eastAsia"/>
        </w:rPr>
        <w:t>因此，我们在本案中本会得出结论认为，提交人的申诉证据不足，或者，如果认为可以受理，则得出结论认为，不存在违反《公约》第十九条第二款的情形。</w:t>
      </w:r>
    </w:p>
    <w:p w:rsidR="003045B7" w:rsidRPr="00992F94" w:rsidRDefault="00992F94" w:rsidP="008A1AE4">
      <w:pPr>
        <w:pStyle w:val="SingleTxtGC"/>
        <w:tabs>
          <w:tab w:val="clear" w:pos="431"/>
          <w:tab w:val="clear" w:pos="1134"/>
          <w:tab w:val="clear" w:pos="1565"/>
          <w:tab w:val="clear" w:pos="1996"/>
          <w:tab w:val="clear" w:pos="2427"/>
          <w:tab w:val="left" w:pos="1701"/>
        </w:tabs>
      </w:pPr>
      <w:r w:rsidRPr="00B763E0">
        <w:rPr>
          <w:rFonts w:hint="eastAsia"/>
        </w:rPr>
        <w:t>18.</w:t>
      </w:r>
      <w:r w:rsidRPr="00B763E0">
        <w:rPr>
          <w:rFonts w:hint="eastAsia"/>
        </w:rPr>
        <w:tab/>
      </w:r>
      <w:r w:rsidRPr="00B763E0">
        <w:rPr>
          <w:rFonts w:hint="eastAsia"/>
        </w:rPr>
        <w:t>在这方面，委员会在同一届会议上作出的不予受理</w:t>
      </w:r>
      <w:r w:rsidRPr="00752A3C">
        <w:rPr>
          <w:rFonts w:hint="eastAsia"/>
        </w:rPr>
        <w:t>决定</w:t>
      </w:r>
      <w:r w:rsidRPr="00752A3C">
        <w:rPr>
          <w:rFonts w:hint="eastAsia"/>
        </w:rPr>
        <w:t>(X.</w:t>
      </w:r>
      <w:r w:rsidRPr="00752A3C">
        <w:rPr>
          <w:rFonts w:hint="eastAsia"/>
        </w:rPr>
        <w:t>诉澳大利亚，</w:t>
      </w:r>
      <w:r w:rsidRPr="00B763E0">
        <w:rPr>
          <w:rFonts w:hint="eastAsia"/>
        </w:rPr>
        <w:t>第</w:t>
      </w:r>
      <w:r w:rsidRPr="00B763E0">
        <w:rPr>
          <w:rFonts w:hint="eastAsia"/>
        </w:rPr>
        <w:t>3580/2019</w:t>
      </w:r>
      <w:r w:rsidRPr="00B763E0">
        <w:rPr>
          <w:rFonts w:hint="eastAsia"/>
        </w:rPr>
        <w:t>号来文</w:t>
      </w:r>
      <w:r w:rsidRPr="00B763E0">
        <w:rPr>
          <w:rFonts w:hint="eastAsia"/>
        </w:rPr>
        <w:t>)</w:t>
      </w:r>
      <w:r w:rsidRPr="00B763E0">
        <w:rPr>
          <w:rFonts w:hint="eastAsia"/>
        </w:rPr>
        <w:t>非常具有启发性。在那个案件中，委员会面对比本案言论攻击性更弱的语言得出结论认为，所得到资料表明，缔约国采取的措施基于法律，旨在保护司法机关作为公共秩序要素的完整性，而对提交人的制裁</w:t>
      </w:r>
      <w:r w:rsidRPr="00B763E0">
        <w:rPr>
          <w:rStyle w:val="a8"/>
          <w:rFonts w:eastAsia="宋体"/>
        </w:rPr>
        <w:footnoteReference w:id="23"/>
      </w:r>
      <w:r w:rsidRPr="00B763E0">
        <w:rPr>
          <w:rFonts w:hint="eastAsia"/>
        </w:rPr>
        <w:t xml:space="preserve"> </w:t>
      </w:r>
      <w:r w:rsidRPr="00B763E0">
        <w:rPr>
          <w:rFonts w:hint="eastAsia"/>
        </w:rPr>
        <w:t>与其被判犯有的失职行为相称。</w:t>
      </w:r>
    </w:p>
    <w:p w:rsidR="000E1F51" w:rsidRPr="000E1F51" w:rsidRDefault="000E1F51" w:rsidP="000E1F5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E1F51" w:rsidRPr="000E1F51" w:rsidSect="004D0A00">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C3F" w:rsidRPr="000D319F" w:rsidRDefault="00283C3F" w:rsidP="000D319F">
      <w:pPr>
        <w:pStyle w:val="af0"/>
        <w:spacing w:after="240"/>
        <w:ind w:left="907"/>
        <w:rPr>
          <w:rFonts w:asciiTheme="majorBidi" w:eastAsia="宋体" w:hAnsiTheme="majorBidi" w:cstheme="majorBidi"/>
          <w:sz w:val="21"/>
          <w:szCs w:val="21"/>
          <w:lang w:val="en-US"/>
        </w:rPr>
      </w:pPr>
    </w:p>
    <w:p w:rsidR="00283C3F" w:rsidRPr="000D319F" w:rsidRDefault="00283C3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83C3F" w:rsidRPr="000D319F" w:rsidRDefault="00283C3F" w:rsidP="000D319F">
      <w:pPr>
        <w:pStyle w:val="af0"/>
      </w:pPr>
    </w:p>
  </w:endnote>
  <w:endnote w:type="continuationNotice" w:id="1">
    <w:p w:rsidR="00283C3F" w:rsidRDefault="00283C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FE" w:rsidRPr="00344DA6" w:rsidRDefault="00A34694" w:rsidP="00344DA6">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34694">
      <w:rPr>
        <w:rStyle w:val="af2"/>
        <w:b w:val="0"/>
        <w:snapToGrid w:val="0"/>
        <w:sz w:val="16"/>
      </w:rPr>
      <w:t>GE.19-16434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FE" w:rsidRPr="00344DA6" w:rsidRDefault="00A34694" w:rsidP="00344DA6">
    <w:pPr>
      <w:pStyle w:val="af0"/>
      <w:tabs>
        <w:tab w:val="clear" w:pos="431"/>
        <w:tab w:val="right" w:pos="9638"/>
      </w:tabs>
      <w:rPr>
        <w:b/>
        <w:snapToGrid/>
        <w:sz w:val="18"/>
      </w:rPr>
    </w:pPr>
    <w:r>
      <w:t>GE.19-16434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A34694" w:rsidP="00487939">
    <w:pPr>
      <w:pStyle w:val="af0"/>
      <w:tabs>
        <w:tab w:val="left" w:pos="1701"/>
        <w:tab w:val="left" w:pos="2552"/>
        <w:tab w:val="left" w:pos="8448"/>
      </w:tabs>
      <w:spacing w:before="360"/>
      <w:rPr>
        <w:rFonts w:eastAsiaTheme="minorEastAsia"/>
        <w:b/>
        <w:sz w:val="21"/>
        <w:lang w:eastAsia="zh-CN"/>
      </w:rPr>
    </w:pPr>
    <w:r>
      <w:rPr>
        <w:sz w:val="20"/>
        <w:lang w:eastAsia="zh-CN"/>
      </w:rPr>
      <w:t>GE.19-16434</w:t>
    </w:r>
    <w:r w:rsidR="00731A42" w:rsidRPr="00EE277A">
      <w:rPr>
        <w:sz w:val="20"/>
        <w:lang w:eastAsia="zh-CN"/>
      </w:rPr>
      <w:t xml:space="preserve"> (C)</w:t>
    </w:r>
    <w:r w:rsidR="00EA7E67">
      <w:rPr>
        <w:sz w:val="20"/>
        <w:lang w:eastAsia="zh-CN"/>
      </w:rPr>
      <w:tab/>
    </w:r>
    <w:r w:rsidR="006B42CC">
      <w:rPr>
        <w:sz w:val="20"/>
        <w:lang w:eastAsia="zh-CN"/>
      </w:rPr>
      <w:t>1312</w:t>
    </w:r>
    <w:r w:rsidR="00EA7E67">
      <w:rPr>
        <w:sz w:val="20"/>
        <w:lang w:eastAsia="zh-CN"/>
      </w:rPr>
      <w:t>1</w:t>
    </w:r>
    <w:r w:rsidR="004E473D">
      <w:rPr>
        <w:rFonts w:eastAsiaTheme="minorEastAsia"/>
        <w:sz w:val="20"/>
        <w:lang w:eastAsia="zh-CN"/>
      </w:rPr>
      <w:t>9</w:t>
    </w:r>
    <w:r w:rsidR="00731A42">
      <w:rPr>
        <w:sz w:val="20"/>
        <w:lang w:eastAsia="zh-CN"/>
      </w:rPr>
      <w:tab/>
    </w:r>
    <w:r w:rsidR="00FB4873">
      <w:rPr>
        <w:sz w:val="20"/>
        <w:lang w:eastAsia="zh-CN"/>
      </w:rPr>
      <w:t>1</w:t>
    </w:r>
    <w:r w:rsidR="00A54F05">
      <w:rPr>
        <w:sz w:val="20"/>
        <w:lang w:eastAsia="zh-CN"/>
      </w:rPr>
      <w:t>9</w:t>
    </w:r>
    <w:r w:rsidR="00FB4873">
      <w:rPr>
        <w:sz w:val="20"/>
        <w:lang w:eastAsia="zh-CN"/>
      </w:rPr>
      <w:t>12</w:t>
    </w:r>
    <w:r w:rsidR="00731A42">
      <w:rPr>
        <w:sz w:val="20"/>
        <w:lang w:eastAsia="zh-CN"/>
      </w:rPr>
      <w:t>1</w:t>
    </w:r>
    <w:r w:rsidR="004E473D">
      <w:rPr>
        <w:rFonts w:eastAsiaTheme="minorEastAsia"/>
        <w:sz w:val="20"/>
        <w:lang w:eastAsia="zh-CN"/>
      </w:rPr>
      <w:t>9</w:t>
    </w:r>
  </w:p>
  <w:p w:rsidR="00056632" w:rsidRPr="00487939" w:rsidRDefault="00A3469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6192"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4" name="图片 1" descr="https://undocs.org/m2/QRCode.ashx?DS=CCPR/C/126/D/2716/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16/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35" name="图片 3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B7" w:rsidRPr="00344DA6" w:rsidRDefault="003045B7" w:rsidP="00344DA6">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34694">
      <w:rPr>
        <w:rStyle w:val="af2"/>
        <w:b w:val="0"/>
        <w:snapToGrid w:val="0"/>
        <w:sz w:val="16"/>
      </w:rPr>
      <w:t>GE.19-16434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B7" w:rsidRPr="00344DA6" w:rsidRDefault="003045B7" w:rsidP="00344DA6">
    <w:pPr>
      <w:pStyle w:val="af0"/>
      <w:tabs>
        <w:tab w:val="clear" w:pos="431"/>
        <w:tab w:val="right" w:pos="9638"/>
      </w:tabs>
      <w:rPr>
        <w:b/>
        <w:snapToGrid/>
        <w:sz w:val="18"/>
      </w:rPr>
    </w:pPr>
    <w:r>
      <w:t>GE.19-16434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B7" w:rsidRPr="00C26682" w:rsidRDefault="00C26682" w:rsidP="00C26682">
    <w:pPr>
      <w:pStyle w:val="af0"/>
      <w:tabs>
        <w:tab w:val="clear" w:pos="431"/>
        <w:tab w:val="right" w:pos="9638"/>
      </w:tabs>
      <w:rPr>
        <w:b/>
        <w:snapToGrid/>
        <w:sz w:val="18"/>
      </w:rPr>
    </w:pPr>
    <w:r>
      <w:t>GE.19-16434</w:t>
    </w:r>
    <w:r>
      <w:tab/>
    </w:r>
    <w:r>
      <w:rPr>
        <w:rStyle w:val="af2"/>
      </w:rPr>
      <w:fldChar w:fldCharType="begin"/>
    </w:r>
    <w:r>
      <w:rPr>
        <w:rStyle w:val="af2"/>
      </w:rPr>
      <w:instrText xml:space="preserve"> PAGE  \* MERGEFORMAT </w:instrText>
    </w:r>
    <w:r>
      <w:rPr>
        <w:rStyle w:val="af2"/>
      </w:rPr>
      <w:fldChar w:fldCharType="separate"/>
    </w:r>
    <w:r>
      <w:rPr>
        <w:rStyle w:val="af2"/>
      </w:rPr>
      <w:t>9</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C3F" w:rsidRPr="000157B1" w:rsidRDefault="00283C3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83C3F" w:rsidRPr="000157B1" w:rsidRDefault="00283C3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83C3F" w:rsidRDefault="00283C3F"/>
  </w:footnote>
  <w:footnote w:id="2">
    <w:p w:rsidR="00344DA6" w:rsidRPr="00B763E0" w:rsidRDefault="00344DA6" w:rsidP="00F84171">
      <w:pPr>
        <w:pStyle w:val="a6"/>
      </w:pPr>
      <w:r w:rsidRPr="00B763E0">
        <w:tab/>
      </w:r>
      <w:r w:rsidRPr="00FB4873">
        <w:rPr>
          <w:rStyle w:val="a8"/>
          <w:rFonts w:eastAsia="宋体"/>
          <w:vertAlign w:val="baseline"/>
        </w:rPr>
        <w:sym w:font="Symbol" w:char="F02A"/>
      </w:r>
      <w:r w:rsidR="00FB4873" w:rsidRPr="00FB4873">
        <w:tab/>
      </w:r>
      <w:r w:rsidRPr="00B763E0">
        <w:rPr>
          <w:rFonts w:hint="eastAsia"/>
        </w:rPr>
        <w:t>委员会第一</w:t>
      </w:r>
      <w:r w:rsidR="00D754C6">
        <w:rPr>
          <w:rFonts w:hint="eastAsia"/>
        </w:rPr>
        <w:t>百</w:t>
      </w:r>
      <w:r w:rsidRPr="00B763E0">
        <w:rPr>
          <w:rFonts w:hint="eastAsia"/>
        </w:rPr>
        <w:t>二</w:t>
      </w:r>
      <w:r w:rsidR="00D754C6">
        <w:rPr>
          <w:rFonts w:hint="eastAsia"/>
        </w:rPr>
        <w:t>十</w:t>
      </w:r>
      <w:r w:rsidRPr="00B763E0">
        <w:rPr>
          <w:rFonts w:hint="eastAsia"/>
        </w:rPr>
        <w:t>六届会议</w:t>
      </w:r>
      <w:r w:rsidRPr="00B763E0">
        <w:rPr>
          <w:rFonts w:hint="eastAsia"/>
        </w:rPr>
        <w:t>(2019</w:t>
      </w:r>
      <w:r w:rsidRPr="00B763E0">
        <w:rPr>
          <w:rFonts w:hint="eastAsia"/>
        </w:rPr>
        <w:t>年</w:t>
      </w:r>
      <w:r w:rsidRPr="00B763E0">
        <w:rPr>
          <w:rFonts w:hint="eastAsia"/>
        </w:rPr>
        <w:t>7</w:t>
      </w:r>
      <w:r w:rsidRPr="00B763E0">
        <w:rPr>
          <w:rFonts w:hint="eastAsia"/>
        </w:rPr>
        <w:t>月</w:t>
      </w:r>
      <w:r w:rsidRPr="00B763E0">
        <w:rPr>
          <w:rFonts w:hint="eastAsia"/>
        </w:rPr>
        <w:t>1</w:t>
      </w:r>
      <w:r w:rsidRPr="00B763E0">
        <w:rPr>
          <w:rFonts w:hint="eastAsia"/>
        </w:rPr>
        <w:t>日至</w:t>
      </w:r>
      <w:r w:rsidRPr="00B763E0">
        <w:rPr>
          <w:rFonts w:hint="eastAsia"/>
        </w:rPr>
        <w:t>26</w:t>
      </w:r>
      <w:r w:rsidRPr="00B763E0">
        <w:rPr>
          <w:rFonts w:hint="eastAsia"/>
        </w:rPr>
        <w:t>日</w:t>
      </w:r>
      <w:r w:rsidRPr="00B763E0">
        <w:rPr>
          <w:rFonts w:hint="eastAsia"/>
        </w:rPr>
        <w:t>)</w:t>
      </w:r>
      <w:r w:rsidRPr="00B763E0">
        <w:rPr>
          <w:rFonts w:hint="eastAsia"/>
        </w:rPr>
        <w:t>通过。</w:t>
      </w:r>
    </w:p>
  </w:footnote>
  <w:footnote w:id="3">
    <w:p w:rsidR="00344DA6" w:rsidRPr="00B763E0" w:rsidRDefault="00F84171" w:rsidP="00F84171">
      <w:pPr>
        <w:pStyle w:val="a6"/>
      </w:pPr>
      <w:r>
        <w:rPr>
          <w:rStyle w:val="a8"/>
          <w:rFonts w:eastAsia="宋体"/>
          <w:vertAlign w:val="baseline"/>
        </w:rPr>
        <w:tab/>
      </w:r>
      <w:r w:rsidR="00344DA6" w:rsidRPr="00FB4873">
        <w:rPr>
          <w:rStyle w:val="a8"/>
          <w:rFonts w:eastAsia="宋体"/>
          <w:vertAlign w:val="baseline"/>
        </w:rPr>
        <w:sym w:font="Symbol" w:char="F02A"/>
      </w:r>
      <w:r w:rsidR="00344DA6" w:rsidRPr="00FB4873">
        <w:rPr>
          <w:rStyle w:val="a8"/>
          <w:rFonts w:eastAsia="宋体"/>
          <w:vertAlign w:val="baseline"/>
        </w:rPr>
        <w:sym w:font="Symbol" w:char="F02A"/>
      </w:r>
      <w:r>
        <w:rPr>
          <w:rStyle w:val="a8"/>
          <w:rFonts w:eastAsia="宋体"/>
          <w:vertAlign w:val="baseline"/>
        </w:rPr>
        <w:tab/>
      </w:r>
      <w:r w:rsidR="00344DA6" w:rsidRPr="00B763E0">
        <w:rPr>
          <w:rFonts w:hint="eastAsia"/>
        </w:rPr>
        <w:t>参加审议本来文的委员会委员有：塔尼亚·玛丽亚·阿布多·罗乔利、亚兹·本·阿舒尔、伊尔泽·布兰兹·克里斯、阿里夫·布尔坎、艾哈迈德·阿明·法萨拉、古谷修一、赫里斯托夫·海恩斯、巴马里阿姆·科伊塔、邓肯·莱基·穆胡穆扎、普蒂尼·帕扎尔奇兹、埃尔南·克萨达·卡夫雷拉、瓦</w:t>
      </w:r>
      <w:bookmarkStart w:id="0" w:name="_GoBack"/>
      <w:bookmarkEnd w:id="0"/>
      <w:r w:rsidR="00344DA6" w:rsidRPr="00B763E0">
        <w:rPr>
          <w:rFonts w:hint="eastAsia"/>
        </w:rPr>
        <w:t>西尔卡·桑钦、何塞·曼努埃尔·桑托斯·派斯、尤瓦尔·沙尼、埃莱娜·提格乎德加、安德烈亚斯·齐默尔曼和根提安·齐伯利。按照委员会议事规则第</w:t>
      </w:r>
      <w:r w:rsidR="00344DA6" w:rsidRPr="00B763E0">
        <w:rPr>
          <w:rFonts w:hint="eastAsia"/>
        </w:rPr>
        <w:t>108</w:t>
      </w:r>
      <w:r w:rsidR="00344DA6" w:rsidRPr="00B763E0">
        <w:rPr>
          <w:rFonts w:hint="eastAsia"/>
        </w:rPr>
        <w:t>条，马西娅·</w:t>
      </w:r>
      <w:r w:rsidR="00344DA6" w:rsidRPr="00B763E0">
        <w:rPr>
          <w:rFonts w:hint="eastAsia"/>
        </w:rPr>
        <w:t>V.J.</w:t>
      </w:r>
      <w:r w:rsidR="00344DA6" w:rsidRPr="00B763E0">
        <w:rPr>
          <w:rFonts w:hint="eastAsia"/>
        </w:rPr>
        <w:t>·克兰未参加本来文的审议。</w:t>
      </w:r>
    </w:p>
  </w:footnote>
  <w:footnote w:id="4">
    <w:p w:rsidR="00344DA6" w:rsidRPr="00B763E0" w:rsidRDefault="00F84171" w:rsidP="00F84171">
      <w:pPr>
        <w:pStyle w:val="a6"/>
      </w:pPr>
      <w:r>
        <w:rPr>
          <w:rStyle w:val="a8"/>
          <w:rFonts w:eastAsia="宋体"/>
          <w:vertAlign w:val="baseline"/>
        </w:rPr>
        <w:tab/>
      </w:r>
      <w:r w:rsidR="00344DA6" w:rsidRPr="00FB4873">
        <w:rPr>
          <w:rStyle w:val="a8"/>
          <w:rFonts w:eastAsia="宋体"/>
          <w:vertAlign w:val="baseline"/>
        </w:rPr>
        <w:sym w:font="Symbol" w:char="F02A"/>
      </w:r>
      <w:r w:rsidR="00344DA6" w:rsidRPr="00FB4873">
        <w:rPr>
          <w:rStyle w:val="a8"/>
          <w:rFonts w:eastAsia="宋体"/>
          <w:vertAlign w:val="baseline"/>
        </w:rPr>
        <w:sym w:font="Symbol" w:char="F02A"/>
      </w:r>
      <w:r w:rsidR="00344DA6" w:rsidRPr="00FB4873">
        <w:rPr>
          <w:rStyle w:val="a8"/>
          <w:rFonts w:eastAsia="宋体"/>
          <w:vertAlign w:val="baseline"/>
        </w:rPr>
        <w:sym w:font="Symbol" w:char="F02A"/>
      </w:r>
      <w:r>
        <w:rPr>
          <w:rStyle w:val="a8"/>
          <w:rFonts w:eastAsia="宋体"/>
          <w:vertAlign w:val="baseline"/>
        </w:rPr>
        <w:tab/>
      </w:r>
      <w:r w:rsidR="00344DA6" w:rsidRPr="00B763E0">
        <w:rPr>
          <w:rFonts w:hint="eastAsia"/>
        </w:rPr>
        <w:t>委员会委员何塞·曼努埃尔·桑托斯·派斯和亚兹·本·阿舒尔的个人意见</w:t>
      </w:r>
      <w:r w:rsidR="00344DA6" w:rsidRPr="00B763E0">
        <w:rPr>
          <w:rFonts w:hint="eastAsia"/>
        </w:rPr>
        <w:t>(</w:t>
      </w:r>
      <w:r w:rsidR="00344DA6" w:rsidRPr="00B763E0">
        <w:rPr>
          <w:rFonts w:hint="eastAsia"/>
        </w:rPr>
        <w:t>反对意见</w:t>
      </w:r>
      <w:r w:rsidR="00344DA6" w:rsidRPr="00B763E0">
        <w:rPr>
          <w:rFonts w:hint="eastAsia"/>
        </w:rPr>
        <w:t>)</w:t>
      </w:r>
      <w:r w:rsidR="00344DA6" w:rsidRPr="00B763E0">
        <w:rPr>
          <w:rFonts w:hint="eastAsia"/>
        </w:rPr>
        <w:t>载于本《意见》附件。</w:t>
      </w:r>
    </w:p>
  </w:footnote>
  <w:footnote w:id="5">
    <w:p w:rsidR="00344DA6" w:rsidRPr="00B763E0" w:rsidRDefault="00344DA6" w:rsidP="00344DA6">
      <w:pPr>
        <w:pStyle w:val="a6"/>
      </w:pPr>
      <w:r w:rsidRPr="00B763E0">
        <w:rPr>
          <w:rFonts w:hint="eastAsia"/>
        </w:rPr>
        <w:tab/>
      </w:r>
      <w:r w:rsidRPr="00B763E0">
        <w:rPr>
          <w:rStyle w:val="a8"/>
          <w:rFonts w:eastAsia="宋体"/>
        </w:rPr>
        <w:footnoteRef/>
      </w:r>
      <w:r w:rsidRPr="009A7349">
        <w:rPr>
          <w:rStyle w:val="a8"/>
          <w:rFonts w:eastAsia="宋体" w:hint="eastAsia"/>
          <w:vertAlign w:val="baseline"/>
        </w:rPr>
        <w:tab/>
      </w:r>
      <w:r w:rsidRPr="00B763E0">
        <w:rPr>
          <w:rFonts w:hint="eastAsia"/>
        </w:rPr>
        <w:t>立陶宛《公务员法》第</w:t>
      </w:r>
      <w:r w:rsidRPr="00B763E0">
        <w:rPr>
          <w:rFonts w:hint="eastAsia"/>
        </w:rPr>
        <w:t>4</w:t>
      </w:r>
      <w:r w:rsidRPr="00B763E0">
        <w:rPr>
          <w:rFonts w:hint="eastAsia"/>
        </w:rPr>
        <w:t>条第</w:t>
      </w:r>
      <w:r w:rsidRPr="00B763E0">
        <w:rPr>
          <w:rFonts w:hint="eastAsia"/>
        </w:rPr>
        <w:t>5</w:t>
      </w:r>
      <w:r w:rsidRPr="00B763E0">
        <w:rPr>
          <w:rFonts w:hint="eastAsia"/>
        </w:rPr>
        <w:t>款第</w:t>
      </w:r>
      <w:r w:rsidRPr="00B763E0">
        <w:rPr>
          <w:rFonts w:hint="eastAsia"/>
        </w:rPr>
        <w:t>(2)</w:t>
      </w:r>
      <w:r w:rsidRPr="00B763E0">
        <w:rPr>
          <w:rFonts w:hint="eastAsia"/>
        </w:rPr>
        <w:t>项规定，该法不适用于检察官。检察官的活动受独立法律《刑事诉讼法》管辖。</w:t>
      </w:r>
    </w:p>
  </w:footnote>
  <w:footnote w:id="6">
    <w:p w:rsidR="00344DA6" w:rsidRPr="00B763E0" w:rsidRDefault="00344DA6" w:rsidP="00B601AE">
      <w:pPr>
        <w:pStyle w:val="a6"/>
        <w:spacing w:after="0"/>
      </w:pPr>
      <w:r w:rsidRPr="00B763E0">
        <w:rPr>
          <w:rFonts w:hint="eastAsia"/>
        </w:rPr>
        <w:tab/>
      </w:r>
      <w:r w:rsidRPr="00B763E0">
        <w:rPr>
          <w:rStyle w:val="a8"/>
          <w:rFonts w:eastAsia="宋体"/>
        </w:rPr>
        <w:footnoteRef/>
      </w:r>
      <w:r w:rsidRPr="009A7349">
        <w:rPr>
          <w:rStyle w:val="a8"/>
          <w:rFonts w:eastAsia="宋体" w:hint="eastAsia"/>
          <w:vertAlign w:val="baseline"/>
        </w:rPr>
        <w:tab/>
      </w:r>
      <w:r w:rsidRPr="00B763E0">
        <w:rPr>
          <w:rFonts w:hint="eastAsia"/>
        </w:rPr>
        <w:t>《立陶宛刑法》第四十一章的标题表明了那一规定的目的。</w:t>
      </w:r>
    </w:p>
  </w:footnote>
  <w:footnote w:id="7">
    <w:p w:rsidR="00344DA6" w:rsidRPr="00FA1D79" w:rsidRDefault="00344DA6" w:rsidP="00344DA6">
      <w:pPr>
        <w:pStyle w:val="a6"/>
        <w:rPr>
          <w:rFonts w:asciiTheme="majorBidi" w:eastAsiaTheme="minorEastAsia" w:hAnsiTheme="majorBidi" w:cstheme="majorBidi"/>
        </w:rPr>
      </w:pPr>
      <w:r w:rsidRPr="00B763E0">
        <w:rPr>
          <w:rFonts w:hint="eastAsia"/>
        </w:rPr>
        <w:tab/>
      </w:r>
      <w:r w:rsidRPr="00B763E0">
        <w:rPr>
          <w:rStyle w:val="a8"/>
          <w:rFonts w:eastAsia="宋体"/>
        </w:rPr>
        <w:footnoteRef/>
      </w:r>
      <w:r w:rsidRPr="009A7349">
        <w:rPr>
          <w:rStyle w:val="a8"/>
          <w:rFonts w:eastAsia="宋体" w:hint="eastAsia"/>
          <w:vertAlign w:val="baseline"/>
        </w:rPr>
        <w:tab/>
      </w:r>
      <w:r w:rsidRPr="00FA1D79">
        <w:rPr>
          <w:rFonts w:asciiTheme="majorBidi" w:eastAsiaTheme="minorEastAsia" w:hAnsiTheme="majorBidi" w:cstheme="majorBidi"/>
        </w:rPr>
        <w:t>提交人除其他外，特别援引了</w:t>
      </w:r>
      <w:r w:rsidRPr="00FA1D79">
        <w:rPr>
          <w:rFonts w:asciiTheme="majorBidi" w:eastAsiaTheme="minorEastAsia" w:hAnsiTheme="majorBidi" w:cstheme="majorBidi"/>
        </w:rPr>
        <w:t>Bodrožic</w:t>
      </w:r>
      <w:r w:rsidRPr="004C7F95">
        <w:rPr>
          <w:rFonts w:ascii="Time New Roman" w:eastAsia="楷体" w:hAnsi="Time New Roman" w:cstheme="majorBidi"/>
        </w:rPr>
        <w:t>诉塞尔维亚和黑山</w:t>
      </w:r>
      <w:r w:rsidRPr="00FA1D79">
        <w:rPr>
          <w:rFonts w:asciiTheme="majorBidi" w:eastAsiaTheme="minorEastAsia" w:hAnsiTheme="majorBidi" w:cstheme="majorBidi"/>
        </w:rPr>
        <w:t>(CCPR/C/85/D/1180/2003)</w:t>
      </w:r>
      <w:r w:rsidRPr="00FA1D79">
        <w:rPr>
          <w:rFonts w:asciiTheme="majorBidi" w:eastAsiaTheme="minorEastAsia" w:hAnsiTheme="majorBidi" w:cstheme="majorBidi"/>
        </w:rPr>
        <w:t>，第</w:t>
      </w:r>
      <w:r w:rsidRPr="00FA1D79">
        <w:rPr>
          <w:rFonts w:asciiTheme="majorBidi" w:eastAsiaTheme="minorEastAsia" w:hAnsiTheme="majorBidi" w:cstheme="majorBidi"/>
        </w:rPr>
        <w:t>7.2</w:t>
      </w:r>
      <w:r w:rsidRPr="00FA1D79">
        <w:rPr>
          <w:rFonts w:asciiTheme="majorBidi" w:eastAsiaTheme="minorEastAsia" w:hAnsiTheme="majorBidi" w:cstheme="majorBidi"/>
        </w:rPr>
        <w:t>段；欧洲人权法院，</w:t>
      </w:r>
      <w:r w:rsidRPr="00FA1D79">
        <w:rPr>
          <w:rFonts w:asciiTheme="majorBidi" w:eastAsiaTheme="minorEastAsia" w:hAnsiTheme="majorBidi" w:cstheme="majorBidi"/>
        </w:rPr>
        <w:t>Lingens</w:t>
      </w:r>
      <w:r w:rsidRPr="004C7F95">
        <w:rPr>
          <w:rFonts w:ascii="Time New Roman" w:eastAsia="楷体" w:hAnsi="Time New Roman" w:cstheme="majorBidi"/>
        </w:rPr>
        <w:t>诉奥地利</w:t>
      </w:r>
      <w:r w:rsidRPr="00FA1D79">
        <w:rPr>
          <w:rFonts w:asciiTheme="majorBidi" w:eastAsiaTheme="minorEastAsia" w:hAnsiTheme="majorBidi" w:cstheme="majorBidi"/>
        </w:rPr>
        <w:t>(</w:t>
      </w:r>
      <w:r w:rsidRPr="00FA1D79">
        <w:rPr>
          <w:rFonts w:asciiTheme="majorBidi" w:eastAsiaTheme="minorEastAsia" w:hAnsiTheme="majorBidi" w:cstheme="majorBidi"/>
        </w:rPr>
        <w:t>第</w:t>
      </w:r>
      <w:r w:rsidRPr="00FA1D79">
        <w:rPr>
          <w:rFonts w:asciiTheme="majorBidi" w:eastAsiaTheme="minorEastAsia" w:hAnsiTheme="majorBidi" w:cstheme="majorBidi"/>
        </w:rPr>
        <w:t>9815/82</w:t>
      </w:r>
      <w:r w:rsidRPr="00FA1D79">
        <w:rPr>
          <w:rFonts w:asciiTheme="majorBidi" w:eastAsiaTheme="minorEastAsia" w:hAnsiTheme="majorBidi" w:cstheme="majorBidi"/>
        </w:rPr>
        <w:t>号申请书</w:t>
      </w:r>
      <w:r w:rsidRPr="00FA1D79">
        <w:rPr>
          <w:rFonts w:asciiTheme="majorBidi" w:eastAsiaTheme="minorEastAsia" w:hAnsiTheme="majorBidi" w:cstheme="majorBidi"/>
        </w:rPr>
        <w:t>)</w:t>
      </w:r>
      <w:r w:rsidRPr="00FA1D79">
        <w:rPr>
          <w:rFonts w:asciiTheme="majorBidi" w:eastAsiaTheme="minorEastAsia" w:hAnsiTheme="majorBidi" w:cstheme="majorBidi"/>
        </w:rPr>
        <w:t>，</w:t>
      </w:r>
      <w:r w:rsidRPr="00FA1D79">
        <w:rPr>
          <w:rFonts w:asciiTheme="majorBidi" w:eastAsiaTheme="minorEastAsia" w:hAnsiTheme="majorBidi" w:cstheme="majorBidi"/>
        </w:rPr>
        <w:t>1986</w:t>
      </w:r>
      <w:r w:rsidRPr="00FA1D79">
        <w:rPr>
          <w:rFonts w:asciiTheme="majorBidi" w:eastAsiaTheme="minorEastAsia" w:hAnsiTheme="majorBidi" w:cstheme="majorBidi"/>
        </w:rPr>
        <w:t>年</w:t>
      </w:r>
      <w:r w:rsidRPr="00FA1D79">
        <w:rPr>
          <w:rFonts w:asciiTheme="majorBidi" w:eastAsiaTheme="minorEastAsia" w:hAnsiTheme="majorBidi" w:cstheme="majorBidi"/>
        </w:rPr>
        <w:t>7</w:t>
      </w:r>
      <w:r w:rsidRPr="00FA1D79">
        <w:rPr>
          <w:rFonts w:asciiTheme="majorBidi" w:eastAsiaTheme="minorEastAsia" w:hAnsiTheme="majorBidi" w:cstheme="majorBidi"/>
        </w:rPr>
        <w:t>月</w:t>
      </w:r>
      <w:r w:rsidRPr="00FA1D79">
        <w:rPr>
          <w:rFonts w:asciiTheme="majorBidi" w:eastAsiaTheme="minorEastAsia" w:hAnsiTheme="majorBidi" w:cstheme="majorBidi"/>
        </w:rPr>
        <w:t>8</w:t>
      </w:r>
      <w:r w:rsidRPr="00FA1D79">
        <w:rPr>
          <w:rFonts w:asciiTheme="majorBidi" w:eastAsiaTheme="minorEastAsia" w:hAnsiTheme="majorBidi" w:cstheme="majorBidi"/>
        </w:rPr>
        <w:t>日，第</w:t>
      </w:r>
      <w:r w:rsidRPr="00FA1D79">
        <w:rPr>
          <w:rFonts w:asciiTheme="majorBidi" w:eastAsiaTheme="minorEastAsia" w:hAnsiTheme="majorBidi" w:cstheme="majorBidi"/>
        </w:rPr>
        <w:t>42</w:t>
      </w:r>
      <w:r w:rsidRPr="00FA1D79">
        <w:rPr>
          <w:rFonts w:asciiTheme="majorBidi" w:eastAsiaTheme="minorEastAsia" w:hAnsiTheme="majorBidi" w:cstheme="majorBidi"/>
        </w:rPr>
        <w:t>段；</w:t>
      </w:r>
      <w:r w:rsidRPr="00FA1D79">
        <w:rPr>
          <w:rFonts w:asciiTheme="majorBidi" w:eastAsiaTheme="minorEastAsia" w:hAnsiTheme="majorBidi" w:cstheme="majorBidi"/>
        </w:rPr>
        <w:t>Dyundin</w:t>
      </w:r>
      <w:r w:rsidRPr="004C7F95">
        <w:rPr>
          <w:rFonts w:ascii="Time New Roman" w:eastAsia="楷体" w:hAnsi="Time New Roman" w:cstheme="majorBidi"/>
        </w:rPr>
        <w:t>诉俄罗斯</w:t>
      </w:r>
      <w:r w:rsidRPr="00FA1D79">
        <w:rPr>
          <w:rFonts w:asciiTheme="majorBidi" w:eastAsiaTheme="minorEastAsia" w:hAnsiTheme="majorBidi" w:cstheme="majorBidi"/>
        </w:rPr>
        <w:t>(</w:t>
      </w:r>
      <w:r w:rsidRPr="00FA1D79">
        <w:rPr>
          <w:rFonts w:asciiTheme="majorBidi" w:eastAsiaTheme="minorEastAsia" w:hAnsiTheme="majorBidi" w:cstheme="majorBidi"/>
        </w:rPr>
        <w:t>第</w:t>
      </w:r>
      <w:r w:rsidRPr="00FA1D79">
        <w:rPr>
          <w:rFonts w:asciiTheme="majorBidi" w:eastAsiaTheme="minorEastAsia" w:hAnsiTheme="majorBidi" w:cstheme="majorBidi"/>
        </w:rPr>
        <w:t>37406/03</w:t>
      </w:r>
      <w:r w:rsidRPr="00FA1D79">
        <w:rPr>
          <w:rFonts w:asciiTheme="majorBidi" w:eastAsiaTheme="minorEastAsia" w:hAnsiTheme="majorBidi" w:cstheme="majorBidi"/>
        </w:rPr>
        <w:t>号申请书</w:t>
      </w:r>
      <w:r w:rsidRPr="00FA1D79">
        <w:rPr>
          <w:rFonts w:asciiTheme="majorBidi" w:eastAsiaTheme="minorEastAsia" w:hAnsiTheme="majorBidi" w:cstheme="majorBidi"/>
        </w:rPr>
        <w:t>)</w:t>
      </w:r>
      <w:r w:rsidRPr="00FA1D79">
        <w:rPr>
          <w:rFonts w:asciiTheme="majorBidi" w:eastAsiaTheme="minorEastAsia" w:hAnsiTheme="majorBidi" w:cstheme="majorBidi"/>
        </w:rPr>
        <w:t>，</w:t>
      </w:r>
      <w:r w:rsidRPr="00FA1D79">
        <w:rPr>
          <w:rFonts w:asciiTheme="majorBidi" w:eastAsiaTheme="minorEastAsia" w:hAnsiTheme="majorBidi" w:cstheme="majorBidi"/>
        </w:rPr>
        <w:t>2008</w:t>
      </w:r>
      <w:r w:rsidRPr="00FA1D79">
        <w:rPr>
          <w:rFonts w:asciiTheme="majorBidi" w:eastAsiaTheme="minorEastAsia" w:hAnsiTheme="majorBidi" w:cstheme="majorBidi"/>
        </w:rPr>
        <w:t>年</w:t>
      </w:r>
      <w:r w:rsidRPr="00FA1D79">
        <w:rPr>
          <w:rFonts w:asciiTheme="majorBidi" w:eastAsiaTheme="minorEastAsia" w:hAnsiTheme="majorBidi" w:cstheme="majorBidi"/>
        </w:rPr>
        <w:t>10</w:t>
      </w:r>
      <w:r w:rsidRPr="00FA1D79">
        <w:rPr>
          <w:rFonts w:asciiTheme="majorBidi" w:eastAsiaTheme="minorEastAsia" w:hAnsiTheme="majorBidi" w:cstheme="majorBidi"/>
        </w:rPr>
        <w:t>月</w:t>
      </w:r>
      <w:r w:rsidRPr="00FA1D79">
        <w:rPr>
          <w:rFonts w:asciiTheme="majorBidi" w:eastAsiaTheme="minorEastAsia" w:hAnsiTheme="majorBidi" w:cstheme="majorBidi"/>
        </w:rPr>
        <w:t>14</w:t>
      </w:r>
      <w:r w:rsidRPr="00FA1D79">
        <w:rPr>
          <w:rFonts w:asciiTheme="majorBidi" w:eastAsiaTheme="minorEastAsia" w:hAnsiTheme="majorBidi" w:cstheme="majorBidi"/>
        </w:rPr>
        <w:t>日，第</w:t>
      </w:r>
      <w:r w:rsidRPr="00FA1D79">
        <w:rPr>
          <w:rFonts w:asciiTheme="majorBidi" w:eastAsiaTheme="minorEastAsia" w:hAnsiTheme="majorBidi" w:cstheme="majorBidi"/>
        </w:rPr>
        <w:t>26</w:t>
      </w:r>
      <w:r w:rsidRPr="00FA1D79">
        <w:rPr>
          <w:rFonts w:asciiTheme="majorBidi" w:eastAsiaTheme="minorEastAsia" w:hAnsiTheme="majorBidi" w:cstheme="majorBidi"/>
        </w:rPr>
        <w:t>段；</w:t>
      </w:r>
      <w:r w:rsidRPr="00FA1D79">
        <w:rPr>
          <w:rFonts w:asciiTheme="majorBidi" w:eastAsiaTheme="minorEastAsia" w:hAnsiTheme="majorBidi" w:cstheme="majorBidi"/>
        </w:rPr>
        <w:t>Thoma</w:t>
      </w:r>
      <w:r w:rsidRPr="004C7F95">
        <w:rPr>
          <w:rFonts w:ascii="Time New Roman" w:eastAsia="楷体" w:hAnsi="Time New Roman" w:cstheme="majorBidi"/>
        </w:rPr>
        <w:t>诉卢森堡</w:t>
      </w:r>
      <w:r w:rsidRPr="00FA1D79">
        <w:rPr>
          <w:rFonts w:asciiTheme="majorBidi" w:eastAsiaTheme="minorEastAsia" w:hAnsiTheme="majorBidi" w:cstheme="majorBidi"/>
        </w:rPr>
        <w:t>(</w:t>
      </w:r>
      <w:r w:rsidRPr="00FA1D79">
        <w:rPr>
          <w:rFonts w:asciiTheme="majorBidi" w:eastAsiaTheme="minorEastAsia" w:hAnsiTheme="majorBidi" w:cstheme="majorBidi"/>
        </w:rPr>
        <w:t>第</w:t>
      </w:r>
      <w:r w:rsidRPr="00FA1D79">
        <w:rPr>
          <w:rFonts w:asciiTheme="majorBidi" w:eastAsiaTheme="minorEastAsia" w:hAnsiTheme="majorBidi" w:cstheme="majorBidi"/>
        </w:rPr>
        <w:t>38432/97</w:t>
      </w:r>
      <w:r w:rsidRPr="00FA1D79">
        <w:rPr>
          <w:rFonts w:asciiTheme="majorBidi" w:eastAsiaTheme="minorEastAsia" w:hAnsiTheme="majorBidi" w:cstheme="majorBidi"/>
        </w:rPr>
        <w:t>号申请书</w:t>
      </w:r>
      <w:r w:rsidRPr="00FA1D79">
        <w:rPr>
          <w:rFonts w:asciiTheme="majorBidi" w:eastAsiaTheme="minorEastAsia" w:hAnsiTheme="majorBidi" w:cstheme="majorBidi"/>
        </w:rPr>
        <w:t>)</w:t>
      </w:r>
      <w:r w:rsidRPr="00FA1D79">
        <w:rPr>
          <w:rFonts w:asciiTheme="majorBidi" w:eastAsiaTheme="minorEastAsia" w:hAnsiTheme="majorBidi" w:cstheme="majorBidi"/>
        </w:rPr>
        <w:t>，</w:t>
      </w:r>
      <w:r w:rsidRPr="00FA1D79">
        <w:rPr>
          <w:rFonts w:asciiTheme="majorBidi" w:eastAsiaTheme="minorEastAsia" w:hAnsiTheme="majorBidi" w:cstheme="majorBidi"/>
        </w:rPr>
        <w:t>2001</w:t>
      </w:r>
      <w:r w:rsidRPr="00FA1D79">
        <w:rPr>
          <w:rFonts w:asciiTheme="majorBidi" w:eastAsiaTheme="minorEastAsia" w:hAnsiTheme="majorBidi" w:cstheme="majorBidi"/>
        </w:rPr>
        <w:t>年</w:t>
      </w:r>
      <w:r w:rsidRPr="00FA1D79">
        <w:rPr>
          <w:rFonts w:asciiTheme="majorBidi" w:eastAsiaTheme="minorEastAsia" w:hAnsiTheme="majorBidi" w:cstheme="majorBidi"/>
        </w:rPr>
        <w:t>3</w:t>
      </w:r>
      <w:r w:rsidRPr="00FA1D79">
        <w:rPr>
          <w:rFonts w:asciiTheme="majorBidi" w:eastAsiaTheme="minorEastAsia" w:hAnsiTheme="majorBidi" w:cstheme="majorBidi"/>
        </w:rPr>
        <w:t>月</w:t>
      </w:r>
      <w:r w:rsidRPr="00FA1D79">
        <w:rPr>
          <w:rFonts w:asciiTheme="majorBidi" w:eastAsiaTheme="minorEastAsia" w:hAnsiTheme="majorBidi" w:cstheme="majorBidi"/>
        </w:rPr>
        <w:t>29</w:t>
      </w:r>
      <w:r w:rsidRPr="00FA1D79">
        <w:rPr>
          <w:rFonts w:asciiTheme="majorBidi" w:eastAsiaTheme="minorEastAsia" w:hAnsiTheme="majorBidi" w:cstheme="majorBidi"/>
        </w:rPr>
        <w:t>日，第</w:t>
      </w:r>
      <w:r w:rsidRPr="00FA1D79">
        <w:rPr>
          <w:rFonts w:asciiTheme="majorBidi" w:eastAsiaTheme="minorEastAsia" w:hAnsiTheme="majorBidi" w:cstheme="majorBidi"/>
        </w:rPr>
        <w:t>47</w:t>
      </w:r>
      <w:r w:rsidRPr="00FA1D79">
        <w:rPr>
          <w:rFonts w:asciiTheme="majorBidi" w:eastAsiaTheme="minorEastAsia" w:hAnsiTheme="majorBidi" w:cstheme="majorBidi"/>
        </w:rPr>
        <w:t>段；</w:t>
      </w:r>
      <w:r w:rsidRPr="004C7F95">
        <w:rPr>
          <w:rFonts w:ascii="Time New Roman" w:eastAsia="楷体" w:hAnsi="Time New Roman" w:cstheme="majorBidi"/>
        </w:rPr>
        <w:t>Nikula</w:t>
      </w:r>
      <w:r w:rsidRPr="004C7F95">
        <w:rPr>
          <w:rFonts w:ascii="Time New Roman" w:eastAsia="楷体" w:hAnsi="Time New Roman" w:cstheme="majorBidi"/>
        </w:rPr>
        <w:t>诉芬兰</w:t>
      </w:r>
      <w:r w:rsidRPr="00FA1D79">
        <w:rPr>
          <w:rFonts w:asciiTheme="majorBidi" w:eastAsiaTheme="minorEastAsia" w:hAnsiTheme="majorBidi" w:cstheme="majorBidi"/>
        </w:rPr>
        <w:t>(</w:t>
      </w:r>
      <w:r w:rsidRPr="00FA1D79">
        <w:rPr>
          <w:rFonts w:asciiTheme="majorBidi" w:eastAsiaTheme="minorEastAsia" w:hAnsiTheme="majorBidi" w:cstheme="majorBidi"/>
        </w:rPr>
        <w:t>第</w:t>
      </w:r>
      <w:r w:rsidRPr="00FA1D79">
        <w:rPr>
          <w:rFonts w:asciiTheme="majorBidi" w:eastAsiaTheme="minorEastAsia" w:hAnsiTheme="majorBidi" w:cstheme="majorBidi"/>
        </w:rPr>
        <w:t>31611/96</w:t>
      </w:r>
      <w:r w:rsidRPr="00FA1D79">
        <w:rPr>
          <w:rFonts w:asciiTheme="majorBidi" w:eastAsiaTheme="minorEastAsia" w:hAnsiTheme="majorBidi" w:cstheme="majorBidi"/>
        </w:rPr>
        <w:t>号申请书</w:t>
      </w:r>
      <w:r w:rsidRPr="00FA1D79">
        <w:rPr>
          <w:rFonts w:asciiTheme="majorBidi" w:eastAsiaTheme="minorEastAsia" w:hAnsiTheme="majorBidi" w:cstheme="majorBidi"/>
        </w:rPr>
        <w:t>)</w:t>
      </w:r>
      <w:r w:rsidRPr="00FA1D79">
        <w:rPr>
          <w:rFonts w:asciiTheme="majorBidi" w:eastAsiaTheme="minorEastAsia" w:hAnsiTheme="majorBidi" w:cstheme="majorBidi"/>
        </w:rPr>
        <w:t>，</w:t>
      </w:r>
      <w:r w:rsidRPr="00FA1D79">
        <w:rPr>
          <w:rFonts w:asciiTheme="majorBidi" w:eastAsiaTheme="minorEastAsia" w:hAnsiTheme="majorBidi" w:cstheme="majorBidi"/>
        </w:rPr>
        <w:t>2002</w:t>
      </w:r>
      <w:r w:rsidRPr="00FA1D79">
        <w:rPr>
          <w:rFonts w:asciiTheme="majorBidi" w:eastAsiaTheme="minorEastAsia" w:hAnsiTheme="majorBidi" w:cstheme="majorBidi"/>
        </w:rPr>
        <w:t>年</w:t>
      </w:r>
      <w:r w:rsidRPr="00FA1D79">
        <w:rPr>
          <w:rFonts w:asciiTheme="majorBidi" w:eastAsiaTheme="minorEastAsia" w:hAnsiTheme="majorBidi" w:cstheme="majorBidi"/>
        </w:rPr>
        <w:t>3</w:t>
      </w:r>
      <w:r w:rsidRPr="00FA1D79">
        <w:rPr>
          <w:rFonts w:asciiTheme="majorBidi" w:eastAsiaTheme="minorEastAsia" w:hAnsiTheme="majorBidi" w:cstheme="majorBidi"/>
        </w:rPr>
        <w:t>月</w:t>
      </w:r>
      <w:r w:rsidRPr="00FA1D79">
        <w:rPr>
          <w:rFonts w:asciiTheme="majorBidi" w:eastAsiaTheme="minorEastAsia" w:hAnsiTheme="majorBidi" w:cstheme="majorBidi"/>
        </w:rPr>
        <w:t>21</w:t>
      </w:r>
      <w:r w:rsidRPr="00FA1D79">
        <w:rPr>
          <w:rFonts w:asciiTheme="majorBidi" w:eastAsiaTheme="minorEastAsia" w:hAnsiTheme="majorBidi" w:cstheme="majorBidi"/>
        </w:rPr>
        <w:t>日，第</w:t>
      </w:r>
      <w:r w:rsidRPr="00FA1D79">
        <w:rPr>
          <w:rFonts w:asciiTheme="majorBidi" w:eastAsiaTheme="minorEastAsia" w:hAnsiTheme="majorBidi" w:cstheme="majorBidi"/>
        </w:rPr>
        <w:t>48</w:t>
      </w:r>
      <w:r w:rsidRPr="00FA1D79">
        <w:rPr>
          <w:rFonts w:asciiTheme="majorBidi" w:eastAsiaTheme="minorEastAsia" w:hAnsiTheme="majorBidi" w:cstheme="majorBidi"/>
        </w:rPr>
        <w:t>段。</w:t>
      </w:r>
    </w:p>
  </w:footnote>
  <w:footnote w:id="8">
    <w:p w:rsidR="00344DA6" w:rsidRPr="00B763E0" w:rsidRDefault="00344DA6" w:rsidP="00344DA6">
      <w:pPr>
        <w:pStyle w:val="a6"/>
      </w:pPr>
      <w:r w:rsidRPr="00B763E0">
        <w:rPr>
          <w:rFonts w:hint="eastAsia"/>
        </w:rPr>
        <w:tab/>
      </w:r>
      <w:r w:rsidRPr="00B763E0">
        <w:rPr>
          <w:rStyle w:val="a8"/>
          <w:rFonts w:eastAsia="宋体"/>
        </w:rPr>
        <w:footnoteRef/>
      </w:r>
      <w:r w:rsidRPr="009A7349">
        <w:rPr>
          <w:rStyle w:val="a8"/>
          <w:rFonts w:eastAsia="宋体" w:hint="eastAsia"/>
          <w:vertAlign w:val="baseline"/>
        </w:rPr>
        <w:tab/>
      </w:r>
      <w:r w:rsidRPr="00B763E0">
        <w:rPr>
          <w:rFonts w:hint="eastAsia"/>
        </w:rPr>
        <w:t>缔约国就来文可否受理提交了意见；其中一些论点与本案案情紧密相关。</w:t>
      </w:r>
    </w:p>
  </w:footnote>
  <w:footnote w:id="9">
    <w:p w:rsidR="00344DA6" w:rsidRPr="00B763E0" w:rsidRDefault="00344DA6" w:rsidP="00344DA6">
      <w:pPr>
        <w:pStyle w:val="a6"/>
      </w:pPr>
      <w:r w:rsidRPr="00B763E0">
        <w:rPr>
          <w:rFonts w:hint="eastAsia"/>
        </w:rPr>
        <w:tab/>
      </w:r>
      <w:r w:rsidRPr="00B763E0">
        <w:rPr>
          <w:rStyle w:val="a8"/>
          <w:rFonts w:eastAsia="宋体"/>
        </w:rPr>
        <w:footnoteRef/>
      </w:r>
      <w:r w:rsidRPr="0070707C">
        <w:rPr>
          <w:rStyle w:val="a8"/>
          <w:rFonts w:eastAsia="宋体" w:hint="eastAsia"/>
          <w:vertAlign w:val="baseline"/>
        </w:rPr>
        <w:tab/>
      </w:r>
      <w:r w:rsidRPr="00B763E0">
        <w:rPr>
          <w:rFonts w:hint="eastAsia"/>
        </w:rPr>
        <w:t>缔约国通过这一论点，特别反驳了提交人的一项主张，即该法律在个人范畴缺乏精确性和可预见性，而国内法院的解释则过于宽泛。</w:t>
      </w:r>
    </w:p>
  </w:footnote>
  <w:footnote w:id="10">
    <w:p w:rsidR="00344DA6" w:rsidRPr="00B763E0" w:rsidRDefault="00344DA6" w:rsidP="00344DA6">
      <w:pPr>
        <w:pStyle w:val="a6"/>
      </w:pPr>
      <w:r w:rsidRPr="00B763E0">
        <w:rPr>
          <w:rFonts w:hint="eastAsia"/>
        </w:rPr>
        <w:tab/>
      </w:r>
      <w:r w:rsidRPr="00B763E0">
        <w:rPr>
          <w:rStyle w:val="a8"/>
          <w:rFonts w:eastAsia="宋体"/>
        </w:rPr>
        <w:footnoteRef/>
      </w:r>
      <w:r w:rsidRPr="0070707C">
        <w:rPr>
          <w:rStyle w:val="a8"/>
          <w:rFonts w:eastAsia="宋体" w:hint="eastAsia"/>
          <w:vertAlign w:val="baseline"/>
        </w:rPr>
        <w:tab/>
      </w:r>
      <w:r w:rsidRPr="00B763E0">
        <w:rPr>
          <w:rFonts w:hint="eastAsia"/>
        </w:rPr>
        <w:t>例见《立陶宛刑法》关于侮辱法庭或法官的第</w:t>
      </w:r>
      <w:r w:rsidRPr="00B763E0">
        <w:rPr>
          <w:rFonts w:hint="eastAsia"/>
        </w:rPr>
        <w:t>232</w:t>
      </w:r>
      <w:r w:rsidRPr="00B763E0">
        <w:rPr>
          <w:rFonts w:hint="eastAsia"/>
        </w:rPr>
        <w:t>条。</w:t>
      </w:r>
    </w:p>
  </w:footnote>
  <w:footnote w:id="11">
    <w:p w:rsidR="00344DA6" w:rsidRPr="00B763E0" w:rsidRDefault="00344DA6" w:rsidP="00344DA6">
      <w:pPr>
        <w:pStyle w:val="a6"/>
      </w:pPr>
      <w:r w:rsidRPr="00B763E0">
        <w:rPr>
          <w:rFonts w:hint="eastAsia"/>
        </w:rPr>
        <w:tab/>
      </w:r>
      <w:r w:rsidRPr="00B763E0">
        <w:rPr>
          <w:rStyle w:val="a8"/>
          <w:rFonts w:eastAsia="宋体"/>
        </w:rPr>
        <w:footnoteRef/>
      </w:r>
      <w:r w:rsidRPr="0070707C">
        <w:rPr>
          <w:rStyle w:val="a8"/>
          <w:rFonts w:eastAsia="宋体" w:hint="eastAsia"/>
          <w:vertAlign w:val="baseline"/>
        </w:rPr>
        <w:tab/>
      </w:r>
      <w:r w:rsidRPr="00154320">
        <w:rPr>
          <w:rFonts w:asciiTheme="majorBidi" w:eastAsiaTheme="minorEastAsia" w:hAnsiTheme="majorBidi" w:cstheme="majorBidi"/>
        </w:rPr>
        <w:t>在</w:t>
      </w:r>
      <w:r w:rsidRPr="004C7F95">
        <w:rPr>
          <w:rFonts w:ascii="Time New Roman" w:eastAsia="楷体" w:hAnsi="Time New Roman" w:cstheme="majorBidi"/>
        </w:rPr>
        <w:t>Lesnik</w:t>
      </w:r>
      <w:r w:rsidRPr="004C7F95">
        <w:rPr>
          <w:rFonts w:ascii="Time New Roman" w:eastAsia="楷体" w:hAnsi="Time New Roman" w:cstheme="majorBidi"/>
        </w:rPr>
        <w:t>诉斯洛伐克</w:t>
      </w:r>
      <w:r w:rsidRPr="00154320">
        <w:rPr>
          <w:rFonts w:asciiTheme="majorBidi" w:eastAsiaTheme="minorEastAsia" w:hAnsiTheme="majorBidi" w:cstheme="majorBidi"/>
        </w:rPr>
        <w:t>(</w:t>
      </w:r>
      <w:r w:rsidRPr="00154320">
        <w:rPr>
          <w:rFonts w:asciiTheme="majorBidi" w:eastAsiaTheme="minorEastAsia" w:hAnsiTheme="majorBidi" w:cstheme="majorBidi"/>
        </w:rPr>
        <w:t>第</w:t>
      </w:r>
      <w:r w:rsidRPr="00154320">
        <w:rPr>
          <w:rFonts w:asciiTheme="majorBidi" w:eastAsiaTheme="minorEastAsia" w:hAnsiTheme="majorBidi" w:cstheme="majorBidi"/>
        </w:rPr>
        <w:t>35640/97</w:t>
      </w:r>
      <w:r w:rsidRPr="00154320">
        <w:rPr>
          <w:rFonts w:asciiTheme="majorBidi" w:eastAsiaTheme="minorEastAsia" w:hAnsiTheme="majorBidi" w:cstheme="majorBidi"/>
        </w:rPr>
        <w:t>号申请书</w:t>
      </w:r>
      <w:r w:rsidRPr="00154320">
        <w:rPr>
          <w:rFonts w:asciiTheme="majorBidi" w:eastAsiaTheme="minorEastAsia" w:hAnsiTheme="majorBidi" w:cstheme="majorBidi"/>
        </w:rPr>
        <w:t>)</w:t>
      </w:r>
      <w:r w:rsidRPr="00154320">
        <w:rPr>
          <w:rFonts w:asciiTheme="majorBidi" w:eastAsiaTheme="minorEastAsia" w:hAnsiTheme="majorBidi" w:cstheme="majorBidi"/>
        </w:rPr>
        <w:t>案</w:t>
      </w:r>
      <w:r w:rsidRPr="00154320">
        <w:rPr>
          <w:rFonts w:asciiTheme="majorBidi" w:eastAsiaTheme="minorEastAsia" w:hAnsiTheme="majorBidi" w:cstheme="majorBidi"/>
        </w:rPr>
        <w:t>2003</w:t>
      </w:r>
      <w:r w:rsidRPr="00154320">
        <w:rPr>
          <w:rFonts w:asciiTheme="majorBidi" w:eastAsiaTheme="minorEastAsia" w:hAnsiTheme="majorBidi" w:cstheme="majorBidi"/>
        </w:rPr>
        <w:t>年</w:t>
      </w:r>
      <w:r w:rsidRPr="00154320">
        <w:rPr>
          <w:rFonts w:asciiTheme="majorBidi" w:eastAsiaTheme="minorEastAsia" w:hAnsiTheme="majorBidi" w:cstheme="majorBidi"/>
        </w:rPr>
        <w:t>3</w:t>
      </w:r>
      <w:r w:rsidRPr="00154320">
        <w:rPr>
          <w:rFonts w:asciiTheme="majorBidi" w:eastAsiaTheme="minorEastAsia" w:hAnsiTheme="majorBidi" w:cstheme="majorBidi"/>
        </w:rPr>
        <w:t>月</w:t>
      </w:r>
      <w:r w:rsidRPr="00154320">
        <w:rPr>
          <w:rFonts w:asciiTheme="majorBidi" w:eastAsiaTheme="minorEastAsia" w:hAnsiTheme="majorBidi" w:cstheme="majorBidi"/>
        </w:rPr>
        <w:t>11</w:t>
      </w:r>
      <w:r w:rsidRPr="00154320">
        <w:rPr>
          <w:rFonts w:asciiTheme="majorBidi" w:eastAsiaTheme="minorEastAsia" w:hAnsiTheme="majorBidi" w:cstheme="majorBidi"/>
        </w:rPr>
        <w:t>日判决书第</w:t>
      </w:r>
      <w:r w:rsidRPr="00154320">
        <w:rPr>
          <w:rFonts w:asciiTheme="majorBidi" w:eastAsiaTheme="minorEastAsia" w:hAnsiTheme="majorBidi" w:cstheme="majorBidi"/>
        </w:rPr>
        <w:t>54</w:t>
      </w:r>
      <w:r w:rsidRPr="00154320">
        <w:rPr>
          <w:rFonts w:asciiTheme="majorBidi" w:eastAsiaTheme="minorEastAsia" w:hAnsiTheme="majorBidi" w:cstheme="majorBidi"/>
        </w:rPr>
        <w:t>段中，欧洲人权法院认定：</w:t>
      </w:r>
      <w:r w:rsidRPr="00154320">
        <w:rPr>
          <w:rFonts w:asciiTheme="majorBidi" w:eastAsiaTheme="minorEastAsia" w:hAnsiTheme="majorBidi" w:cstheme="majorBidi"/>
        </w:rPr>
        <w:t>“</w:t>
      </w:r>
      <w:r w:rsidRPr="00154320">
        <w:rPr>
          <w:rFonts w:asciiTheme="majorBidi" w:eastAsiaTheme="minorEastAsia" w:hAnsiTheme="majorBidi" w:cstheme="majorBidi"/>
        </w:rPr>
        <w:t>检察官为公务员，其任务是促进恰当司法。就此而言，检察官是广义司法机制的一部分。为了大众利益，他们应像司法官员一样享有公众信任，因此，国家有必要保护他们免遭毫无根据的指控</w:t>
      </w:r>
      <w:r w:rsidRPr="00154320">
        <w:rPr>
          <w:rFonts w:asciiTheme="majorBidi" w:eastAsiaTheme="minorEastAsia" w:hAnsiTheme="majorBidi" w:cstheme="majorBidi"/>
        </w:rPr>
        <w:t>”</w:t>
      </w:r>
      <w:r w:rsidR="00154320">
        <w:rPr>
          <w:rFonts w:asciiTheme="majorBidi" w:eastAsiaTheme="minorEastAsia" w:hAnsiTheme="majorBidi" w:cstheme="majorBidi" w:hint="eastAsia"/>
        </w:rPr>
        <w:t>。</w:t>
      </w:r>
    </w:p>
  </w:footnote>
  <w:footnote w:id="12">
    <w:p w:rsidR="00344DA6" w:rsidRPr="00B763E0" w:rsidRDefault="00344DA6" w:rsidP="001548A2">
      <w:pPr>
        <w:pStyle w:val="a6"/>
      </w:pPr>
      <w:r w:rsidRPr="00B763E0">
        <w:rPr>
          <w:rFonts w:hint="eastAsia"/>
        </w:rPr>
        <w:tab/>
      </w:r>
      <w:r w:rsidRPr="00B763E0">
        <w:rPr>
          <w:rStyle w:val="a8"/>
          <w:rFonts w:eastAsia="宋体"/>
        </w:rPr>
        <w:footnoteRef/>
      </w:r>
      <w:r w:rsidRPr="00FC099C">
        <w:rPr>
          <w:rStyle w:val="a8"/>
          <w:rFonts w:eastAsia="宋体" w:hint="eastAsia"/>
          <w:vertAlign w:val="baseline"/>
        </w:rPr>
        <w:tab/>
      </w:r>
      <w:r w:rsidRPr="00B763E0">
        <w:rPr>
          <w:rFonts w:hint="eastAsia"/>
        </w:rPr>
        <w:t>缔约国还谈及，立陶宛上诉法院最终驳回了检察官要求拘留提交人的请求，这也表明决定拘留必要性的不是控诉方，而是法院，但国家法院并未顾及这一事实，仍然考虑了提交人的压力状况。因此，提交人辩护时提到的恐惧并无充分根据。</w:t>
      </w:r>
    </w:p>
  </w:footnote>
  <w:footnote w:id="13">
    <w:p w:rsidR="00344DA6" w:rsidRPr="004A02A1" w:rsidRDefault="00344DA6" w:rsidP="00344DA6">
      <w:pPr>
        <w:pStyle w:val="a6"/>
        <w:rPr>
          <w:rFonts w:eastAsiaTheme="minorEastAsia"/>
        </w:rPr>
      </w:pPr>
      <w:r w:rsidRPr="00B763E0">
        <w:rPr>
          <w:rFonts w:hint="eastAsia"/>
        </w:rPr>
        <w:tab/>
      </w:r>
      <w:r w:rsidRPr="00B763E0">
        <w:rPr>
          <w:rStyle w:val="a8"/>
          <w:rFonts w:eastAsia="宋体"/>
        </w:rPr>
        <w:footnoteRef/>
      </w:r>
      <w:r w:rsidRPr="0070707C">
        <w:rPr>
          <w:rStyle w:val="a8"/>
          <w:rFonts w:eastAsia="宋体" w:hint="eastAsia"/>
          <w:vertAlign w:val="baseline"/>
        </w:rPr>
        <w:tab/>
      </w:r>
      <w:r w:rsidRPr="004A02A1">
        <w:rPr>
          <w:rFonts w:asciiTheme="majorBidi" w:hAnsiTheme="majorBidi" w:cstheme="majorBidi"/>
        </w:rPr>
        <w:t>例</w:t>
      </w:r>
      <w:r w:rsidRPr="004A02A1">
        <w:rPr>
          <w:rFonts w:asciiTheme="majorBidi" w:eastAsiaTheme="minorEastAsia" w:hAnsiTheme="majorBidi" w:cstheme="majorBidi"/>
        </w:rPr>
        <w:t>见</w:t>
      </w:r>
      <w:r w:rsidRPr="004A02A1">
        <w:rPr>
          <w:rFonts w:eastAsiaTheme="minorEastAsia" w:hint="eastAsia"/>
        </w:rPr>
        <w:t>Sudalenko</w:t>
      </w:r>
      <w:r w:rsidRPr="00DD7816">
        <w:rPr>
          <w:rFonts w:ascii="Time New Roman" w:eastAsia="楷体" w:hAnsi="Time New Roman" w:hint="eastAsia"/>
        </w:rPr>
        <w:t>和</w:t>
      </w:r>
      <w:r w:rsidRPr="004A02A1">
        <w:rPr>
          <w:rFonts w:eastAsiaTheme="minorEastAsia" w:hint="eastAsia"/>
        </w:rPr>
        <w:t>Poplavny</w:t>
      </w:r>
      <w:r w:rsidRPr="00DD7816">
        <w:rPr>
          <w:rFonts w:ascii="Time New Roman" w:eastAsia="楷体" w:hAnsi="Time New Roman" w:hint="eastAsia"/>
        </w:rPr>
        <w:t>诉白俄罗斯</w:t>
      </w:r>
      <w:r w:rsidRPr="004A02A1">
        <w:rPr>
          <w:rFonts w:eastAsiaTheme="minorEastAsia" w:hint="eastAsia"/>
        </w:rPr>
        <w:t>(CCPR/C/122/D/2190/2012)</w:t>
      </w:r>
      <w:r w:rsidRPr="004A02A1">
        <w:rPr>
          <w:rFonts w:eastAsiaTheme="minorEastAsia" w:hint="eastAsia"/>
        </w:rPr>
        <w:t>，第</w:t>
      </w:r>
      <w:r w:rsidRPr="004A02A1">
        <w:rPr>
          <w:rFonts w:eastAsiaTheme="minorEastAsia" w:hint="eastAsia"/>
        </w:rPr>
        <w:t>8.3</w:t>
      </w:r>
      <w:r w:rsidRPr="004A02A1">
        <w:rPr>
          <w:rFonts w:eastAsiaTheme="minorEastAsia" w:hint="eastAsia"/>
        </w:rPr>
        <w:t>段。</w:t>
      </w:r>
    </w:p>
  </w:footnote>
  <w:footnote w:id="14">
    <w:p w:rsidR="00344DA6" w:rsidRPr="004A02A1" w:rsidRDefault="00344DA6" w:rsidP="00344DA6">
      <w:pPr>
        <w:pStyle w:val="a6"/>
        <w:rPr>
          <w:rFonts w:asciiTheme="majorBidi" w:eastAsiaTheme="minorEastAsia" w:hAnsiTheme="majorBidi" w:cstheme="majorBidi"/>
        </w:rPr>
      </w:pPr>
      <w:r w:rsidRPr="00B763E0">
        <w:rPr>
          <w:rFonts w:hint="eastAsia"/>
        </w:rPr>
        <w:tab/>
      </w:r>
      <w:r w:rsidRPr="00B763E0">
        <w:rPr>
          <w:rStyle w:val="a8"/>
          <w:rFonts w:eastAsia="宋体"/>
        </w:rPr>
        <w:footnoteRef/>
      </w:r>
      <w:r w:rsidRPr="0070707C">
        <w:rPr>
          <w:rStyle w:val="a8"/>
          <w:rFonts w:eastAsia="宋体" w:hint="eastAsia"/>
          <w:vertAlign w:val="baseline"/>
        </w:rPr>
        <w:tab/>
      </w:r>
      <w:r w:rsidRPr="004A02A1">
        <w:rPr>
          <w:rFonts w:asciiTheme="majorBidi" w:eastAsiaTheme="minorEastAsia" w:hAnsiTheme="majorBidi" w:cstheme="majorBidi" w:hint="eastAsia"/>
        </w:rPr>
        <w:t>根据《评注》，该条款涵盖所有履行公职人员，只是不包括根据《刑法》独立条款受到保护的特定人群。</w:t>
      </w:r>
    </w:p>
  </w:footnote>
  <w:footnote w:id="15">
    <w:p w:rsidR="00344DA6" w:rsidRPr="004A02A1" w:rsidRDefault="00344DA6" w:rsidP="00344DA6">
      <w:pPr>
        <w:pStyle w:val="a6"/>
        <w:rPr>
          <w:rFonts w:asciiTheme="majorBidi" w:eastAsiaTheme="minorEastAsia" w:hAnsiTheme="majorBidi" w:cstheme="majorBidi"/>
        </w:rPr>
      </w:pPr>
      <w:r w:rsidRPr="00B763E0">
        <w:rPr>
          <w:rFonts w:hint="eastAsia"/>
        </w:rPr>
        <w:tab/>
      </w:r>
      <w:r w:rsidRPr="00B763E0">
        <w:rPr>
          <w:rStyle w:val="a8"/>
          <w:rFonts w:eastAsia="宋体"/>
        </w:rPr>
        <w:footnoteRef/>
      </w:r>
      <w:r w:rsidRPr="0070707C">
        <w:rPr>
          <w:rStyle w:val="a8"/>
          <w:rFonts w:eastAsia="宋体" w:hint="eastAsia"/>
          <w:vertAlign w:val="baseline"/>
        </w:rPr>
        <w:tab/>
      </w:r>
      <w:r w:rsidRPr="004A02A1">
        <w:rPr>
          <w:rFonts w:asciiTheme="majorBidi" w:eastAsiaTheme="minorEastAsia" w:hAnsiTheme="majorBidi" w:cstheme="majorBidi" w:hint="eastAsia"/>
        </w:rPr>
        <w:t>见欧洲人权法院，</w:t>
      </w:r>
      <w:r w:rsidRPr="004A02A1">
        <w:rPr>
          <w:rFonts w:asciiTheme="majorBidi" w:eastAsiaTheme="minorEastAsia" w:hAnsiTheme="majorBidi" w:cstheme="majorBidi" w:hint="eastAsia"/>
        </w:rPr>
        <w:t>Lesnik</w:t>
      </w:r>
      <w:r w:rsidRPr="00DD7816">
        <w:rPr>
          <w:rFonts w:ascii="Time New Roman" w:eastAsia="楷体" w:hAnsi="Time New Roman" w:cstheme="majorBidi" w:hint="eastAsia"/>
        </w:rPr>
        <w:t>诉斯洛伐克</w:t>
      </w:r>
      <w:r w:rsidRPr="004A02A1">
        <w:rPr>
          <w:rFonts w:asciiTheme="majorBidi" w:eastAsiaTheme="minorEastAsia" w:hAnsiTheme="majorBidi" w:cstheme="majorBidi" w:hint="eastAsia"/>
        </w:rPr>
        <w:t>。</w:t>
      </w:r>
    </w:p>
  </w:footnote>
  <w:footnote w:id="16">
    <w:p w:rsidR="00344DA6" w:rsidRPr="00484B65" w:rsidRDefault="00344DA6" w:rsidP="00344DA6">
      <w:pPr>
        <w:pStyle w:val="a6"/>
        <w:rPr>
          <w:rFonts w:asciiTheme="majorBidi" w:eastAsiaTheme="minorEastAsia" w:hAnsiTheme="majorBidi" w:cstheme="majorBidi"/>
        </w:rPr>
      </w:pPr>
      <w:r w:rsidRPr="00B763E0">
        <w:rPr>
          <w:rFonts w:hint="eastAsia"/>
        </w:rPr>
        <w:tab/>
      </w:r>
      <w:r w:rsidRPr="00B763E0">
        <w:rPr>
          <w:rStyle w:val="a8"/>
          <w:rFonts w:eastAsia="宋体"/>
        </w:rPr>
        <w:footnoteRef/>
      </w:r>
      <w:r w:rsidRPr="0070707C">
        <w:rPr>
          <w:rStyle w:val="a8"/>
          <w:rFonts w:eastAsia="宋体" w:hint="eastAsia"/>
          <w:vertAlign w:val="baseline"/>
        </w:rPr>
        <w:tab/>
      </w:r>
      <w:r w:rsidRPr="004A02A1">
        <w:rPr>
          <w:rFonts w:asciiTheme="majorBidi" w:eastAsiaTheme="minorEastAsia" w:hAnsiTheme="majorBidi" w:cstheme="majorBidi" w:hint="eastAsia"/>
        </w:rPr>
        <w:t>见</w:t>
      </w:r>
      <w:r w:rsidRPr="004A02A1">
        <w:rPr>
          <w:rFonts w:asciiTheme="majorBidi" w:eastAsiaTheme="minorEastAsia" w:hAnsiTheme="majorBidi" w:cstheme="majorBidi" w:hint="eastAsia"/>
        </w:rPr>
        <w:t>Z.H.</w:t>
      </w:r>
      <w:r w:rsidRPr="00DD7816">
        <w:rPr>
          <w:rFonts w:ascii="Time New Roman" w:eastAsia="楷体" w:hAnsi="Time New Roman" w:cstheme="majorBidi" w:hint="eastAsia"/>
        </w:rPr>
        <w:t>诉澳大利亚</w:t>
      </w:r>
      <w:r w:rsidRPr="004A02A1">
        <w:rPr>
          <w:rFonts w:asciiTheme="majorBidi" w:eastAsiaTheme="minorEastAsia" w:hAnsiTheme="majorBidi" w:cstheme="majorBidi" w:hint="eastAsia"/>
        </w:rPr>
        <w:t>(CCPR/C/107/D/1957/2010)</w:t>
      </w:r>
      <w:r w:rsidRPr="004A02A1">
        <w:rPr>
          <w:rFonts w:asciiTheme="majorBidi" w:eastAsiaTheme="minorEastAsia" w:hAnsiTheme="majorBidi" w:cstheme="majorBidi" w:hint="eastAsia"/>
        </w:rPr>
        <w:t>，第</w:t>
      </w:r>
      <w:r w:rsidRPr="004A02A1">
        <w:rPr>
          <w:rFonts w:asciiTheme="majorBidi" w:eastAsiaTheme="minorEastAsia" w:hAnsiTheme="majorBidi" w:cstheme="majorBidi" w:hint="eastAsia"/>
        </w:rPr>
        <w:t>9.3</w:t>
      </w:r>
      <w:r w:rsidRPr="004A02A1">
        <w:rPr>
          <w:rFonts w:asciiTheme="majorBidi" w:eastAsiaTheme="minorEastAsia" w:hAnsiTheme="majorBidi" w:cstheme="majorBidi" w:hint="eastAsia"/>
        </w:rPr>
        <w:t>段。</w:t>
      </w:r>
    </w:p>
  </w:footnote>
  <w:footnote w:id="17">
    <w:p w:rsidR="00344DA6" w:rsidRPr="00B763E0" w:rsidRDefault="00344DA6" w:rsidP="00344DA6">
      <w:pPr>
        <w:pStyle w:val="a6"/>
        <w:rPr>
          <w:color w:val="333333"/>
          <w:sz w:val="34"/>
          <w:szCs w:val="34"/>
        </w:rPr>
      </w:pPr>
      <w:r w:rsidRPr="00B763E0">
        <w:rPr>
          <w:rFonts w:hint="eastAsia"/>
        </w:rPr>
        <w:tab/>
      </w:r>
      <w:r w:rsidRPr="00B763E0">
        <w:rPr>
          <w:rStyle w:val="a8"/>
          <w:rFonts w:eastAsia="宋体"/>
        </w:rPr>
        <w:footnoteRef/>
      </w:r>
      <w:r w:rsidRPr="0070707C">
        <w:rPr>
          <w:rStyle w:val="a8"/>
          <w:rFonts w:eastAsia="宋体" w:hint="eastAsia"/>
          <w:snapToGrid w:val="0"/>
          <w:vertAlign w:val="baseline"/>
        </w:rPr>
        <w:tab/>
      </w:r>
      <w:r w:rsidRPr="00484B65">
        <w:rPr>
          <w:rFonts w:asciiTheme="majorBidi" w:eastAsiaTheme="minorEastAsia" w:hAnsiTheme="majorBidi" w:cstheme="majorBidi" w:hint="eastAsia"/>
        </w:rPr>
        <w:t>例见</w:t>
      </w:r>
      <w:r w:rsidRPr="00DD7816">
        <w:rPr>
          <w:rFonts w:ascii="Time New Roman" w:eastAsia="楷体" w:hAnsi="Time New Roman" w:cstheme="majorBidi" w:hint="eastAsia"/>
        </w:rPr>
        <w:t>Fernando</w:t>
      </w:r>
      <w:r w:rsidRPr="00DD7816">
        <w:rPr>
          <w:rFonts w:ascii="Time New Roman" w:eastAsia="楷体" w:hAnsi="Time New Roman" w:cstheme="majorBidi" w:hint="eastAsia"/>
        </w:rPr>
        <w:t>诉斯里兰卡</w:t>
      </w:r>
      <w:r w:rsidRPr="00484B65">
        <w:rPr>
          <w:rFonts w:asciiTheme="majorBidi" w:eastAsiaTheme="minorEastAsia" w:hAnsiTheme="majorBidi" w:cstheme="majorBidi" w:hint="eastAsia"/>
        </w:rPr>
        <w:t>(CCPR/C/83/D/1189/2003)</w:t>
      </w:r>
      <w:r w:rsidRPr="00484B65">
        <w:rPr>
          <w:rFonts w:asciiTheme="majorBidi" w:eastAsiaTheme="minorEastAsia" w:hAnsiTheme="majorBidi" w:cstheme="majorBidi" w:hint="eastAsia"/>
        </w:rPr>
        <w:t>。</w:t>
      </w:r>
    </w:p>
  </w:footnote>
  <w:footnote w:id="18">
    <w:p w:rsidR="00992F94" w:rsidRPr="00B763E0" w:rsidRDefault="00992F94" w:rsidP="00992F94">
      <w:pPr>
        <w:pStyle w:val="a6"/>
      </w:pPr>
      <w:r w:rsidRPr="00B763E0">
        <w:rPr>
          <w:rFonts w:hint="eastAsia"/>
        </w:rPr>
        <w:tab/>
      </w:r>
      <w:r w:rsidRPr="00B763E0">
        <w:rPr>
          <w:rStyle w:val="a8"/>
          <w:rFonts w:eastAsia="宋体"/>
        </w:rPr>
        <w:footnoteRef/>
      </w:r>
      <w:r w:rsidRPr="00B763E0">
        <w:rPr>
          <w:rFonts w:hint="eastAsia"/>
        </w:rPr>
        <w:tab/>
      </w:r>
      <w:r w:rsidRPr="00B763E0">
        <w:rPr>
          <w:rFonts w:hint="eastAsia"/>
        </w:rPr>
        <w:t>另见</w:t>
      </w:r>
      <w:r w:rsidRPr="000C6994">
        <w:rPr>
          <w:rFonts w:hint="eastAsia"/>
          <w:spacing w:val="-4"/>
        </w:rPr>
        <w:t>刑事司法体系中公诉之原则专家委员会，《刑事司法体系中公诉之原则》</w:t>
      </w:r>
      <w:r w:rsidRPr="00B763E0">
        <w:rPr>
          <w:rFonts w:hint="eastAsia"/>
        </w:rPr>
        <w:t>，欧洲委员会部长委员会</w:t>
      </w:r>
      <w:r w:rsidRPr="00B763E0">
        <w:rPr>
          <w:rFonts w:hint="eastAsia"/>
        </w:rPr>
        <w:t>Rec</w:t>
      </w:r>
      <w:r w:rsidRPr="00B763E0">
        <w:t xml:space="preserve"> </w:t>
      </w:r>
      <w:r w:rsidRPr="00B763E0">
        <w:rPr>
          <w:rFonts w:hint="eastAsia"/>
        </w:rPr>
        <w:t>19</w:t>
      </w:r>
      <w:r w:rsidRPr="00B763E0">
        <w:rPr>
          <w:rFonts w:hint="eastAsia"/>
        </w:rPr>
        <w:t>号建议</w:t>
      </w:r>
      <w:r w:rsidRPr="00B763E0">
        <w:rPr>
          <w:rFonts w:hint="eastAsia"/>
        </w:rPr>
        <w:t>(2000</w:t>
      </w:r>
      <w:r w:rsidRPr="00B763E0">
        <w:rPr>
          <w:rFonts w:hint="eastAsia"/>
        </w:rPr>
        <w:t>年</w:t>
      </w:r>
      <w:r w:rsidRPr="00B763E0">
        <w:rPr>
          <w:rFonts w:hint="eastAsia"/>
        </w:rPr>
        <w:t>)</w:t>
      </w:r>
      <w:r w:rsidRPr="00B763E0">
        <w:rPr>
          <w:rFonts w:hint="eastAsia"/>
        </w:rPr>
        <w:t>，第</w:t>
      </w:r>
      <w:r w:rsidRPr="00B763E0">
        <w:rPr>
          <w:rFonts w:hint="eastAsia"/>
        </w:rPr>
        <w:t>11</w:t>
      </w:r>
      <w:r w:rsidRPr="00B763E0">
        <w:rPr>
          <w:rFonts w:hint="eastAsia"/>
        </w:rPr>
        <w:t>段；欧洲检察长会议，《欧洲检察官道德和行为准则：布达佩斯准则》</w:t>
      </w:r>
      <w:r w:rsidRPr="00B763E0">
        <w:rPr>
          <w:rFonts w:hint="eastAsia"/>
        </w:rPr>
        <w:t>(2005</w:t>
      </w:r>
      <w:r w:rsidRPr="00B763E0">
        <w:rPr>
          <w:rFonts w:hint="eastAsia"/>
        </w:rPr>
        <w:t>年</w:t>
      </w:r>
      <w:r w:rsidRPr="00B763E0">
        <w:rPr>
          <w:rFonts w:hint="eastAsia"/>
        </w:rPr>
        <w:t>)</w:t>
      </w:r>
      <w:r w:rsidRPr="00B763E0">
        <w:rPr>
          <w:rFonts w:hint="eastAsia"/>
        </w:rPr>
        <w:t>，准则一和准则二；联合国，《关于检察官作用的准则》</w:t>
      </w:r>
      <w:r w:rsidRPr="00B763E0">
        <w:rPr>
          <w:rFonts w:hint="eastAsia"/>
        </w:rPr>
        <w:t>(1990</w:t>
      </w:r>
      <w:r w:rsidRPr="00B763E0">
        <w:rPr>
          <w:rFonts w:hint="eastAsia"/>
        </w:rPr>
        <w:t>年</w:t>
      </w:r>
      <w:r w:rsidRPr="00B763E0">
        <w:rPr>
          <w:rFonts w:hint="eastAsia"/>
        </w:rPr>
        <w:t>)</w:t>
      </w:r>
      <w:r w:rsidRPr="00B763E0">
        <w:rPr>
          <w:rFonts w:hint="eastAsia"/>
        </w:rPr>
        <w:t>，第</w:t>
      </w:r>
      <w:r w:rsidRPr="00B763E0">
        <w:rPr>
          <w:rFonts w:hint="eastAsia"/>
        </w:rPr>
        <w:t>4</w:t>
      </w:r>
      <w:r w:rsidRPr="00B763E0">
        <w:rPr>
          <w:rFonts w:hint="eastAsia"/>
        </w:rPr>
        <w:t>段；国际检察官协会，《检察官职业责任标准和基本义务与权利声明》</w:t>
      </w:r>
      <w:r w:rsidRPr="00B763E0">
        <w:rPr>
          <w:rFonts w:hint="eastAsia"/>
        </w:rPr>
        <w:t>(1999</w:t>
      </w:r>
      <w:r w:rsidRPr="00B763E0">
        <w:rPr>
          <w:rFonts w:hint="eastAsia"/>
        </w:rPr>
        <w:t>年</w:t>
      </w:r>
      <w:r w:rsidRPr="00B763E0">
        <w:rPr>
          <w:rFonts w:hint="eastAsia"/>
        </w:rPr>
        <w:t>)</w:t>
      </w:r>
      <w:r w:rsidRPr="00B763E0">
        <w:rPr>
          <w:rFonts w:hint="eastAsia"/>
        </w:rPr>
        <w:t>，第</w:t>
      </w:r>
      <w:r w:rsidRPr="00B763E0">
        <w:rPr>
          <w:rFonts w:hint="eastAsia"/>
        </w:rPr>
        <w:t>6</w:t>
      </w:r>
      <w:r w:rsidRPr="00B763E0">
        <w:rPr>
          <w:rFonts w:hint="eastAsia"/>
        </w:rPr>
        <w:t>段；联合国毒品和犯罪问题办公室，《检察官的地位和作用：联合国毒品和犯罪问题办公室和国际检察官协会指南》，《刑事司法系列手册》</w:t>
      </w:r>
      <w:r w:rsidRPr="00B763E0">
        <w:rPr>
          <w:rFonts w:hint="eastAsia"/>
        </w:rPr>
        <w:t>(2014</w:t>
      </w:r>
      <w:r w:rsidRPr="00B763E0">
        <w:rPr>
          <w:rFonts w:hint="eastAsia"/>
        </w:rPr>
        <w:t>年，纽约</w:t>
      </w:r>
      <w:r w:rsidRPr="00B763E0">
        <w:rPr>
          <w:rFonts w:hint="eastAsia"/>
        </w:rPr>
        <w:t>)</w:t>
      </w:r>
      <w:r w:rsidRPr="00B763E0">
        <w:rPr>
          <w:rFonts w:hint="eastAsia"/>
        </w:rPr>
        <w:t>。</w:t>
      </w:r>
    </w:p>
  </w:footnote>
  <w:footnote w:id="19">
    <w:p w:rsidR="00992F94" w:rsidRPr="00B763E0" w:rsidRDefault="00992F94" w:rsidP="00992F94">
      <w:pPr>
        <w:pStyle w:val="a6"/>
      </w:pPr>
      <w:r w:rsidRPr="00B763E0">
        <w:rPr>
          <w:rFonts w:hint="eastAsia"/>
        </w:rPr>
        <w:tab/>
      </w:r>
      <w:r w:rsidRPr="00B763E0">
        <w:rPr>
          <w:rStyle w:val="a8"/>
          <w:rFonts w:eastAsia="宋体"/>
        </w:rPr>
        <w:footnoteRef/>
      </w:r>
      <w:r w:rsidRPr="00ED5BE4">
        <w:rPr>
          <w:rStyle w:val="a8"/>
          <w:rFonts w:eastAsia="宋体" w:hint="eastAsia"/>
          <w:vertAlign w:val="baseline"/>
        </w:rPr>
        <w:tab/>
      </w:r>
      <w:r w:rsidRPr="00B763E0">
        <w:rPr>
          <w:rFonts w:hint="eastAsia"/>
        </w:rPr>
        <w:t>据称，她受聘于俄罗斯公民，在莫斯科的一个军事基地实施恐怖行动。</w:t>
      </w:r>
    </w:p>
  </w:footnote>
  <w:footnote w:id="20">
    <w:p w:rsidR="00992F94" w:rsidRPr="00B763E0" w:rsidRDefault="00992F94" w:rsidP="00992F94">
      <w:pPr>
        <w:pStyle w:val="a6"/>
      </w:pPr>
      <w:r w:rsidRPr="00B763E0">
        <w:rPr>
          <w:rFonts w:hint="eastAsia"/>
        </w:rPr>
        <w:tab/>
      </w:r>
      <w:r w:rsidRPr="00B763E0">
        <w:rPr>
          <w:rStyle w:val="a8"/>
          <w:rFonts w:eastAsia="宋体"/>
        </w:rPr>
        <w:footnoteRef/>
      </w:r>
      <w:r w:rsidRPr="00ED5BE4">
        <w:rPr>
          <w:rStyle w:val="a8"/>
          <w:rFonts w:eastAsia="宋体" w:hint="eastAsia"/>
          <w:vertAlign w:val="baseline"/>
        </w:rPr>
        <w:tab/>
      </w:r>
      <w:r w:rsidRPr="00B763E0">
        <w:rPr>
          <w:rFonts w:hint="eastAsia"/>
        </w:rPr>
        <w:t>检察官要求拘留提交人的请求后来被立陶宛上诉法院驳回。因此，提交人的恐惧并无充分根据</w:t>
      </w:r>
      <w:r w:rsidRPr="00B763E0">
        <w:rPr>
          <w:rFonts w:hint="eastAsia"/>
        </w:rPr>
        <w:t>(</w:t>
      </w:r>
      <w:r w:rsidRPr="00B763E0">
        <w:rPr>
          <w:rFonts w:hint="eastAsia"/>
        </w:rPr>
        <w:t>见脚注</w:t>
      </w:r>
      <w:r w:rsidRPr="00B763E0">
        <w:rPr>
          <w:rFonts w:hint="eastAsia"/>
        </w:rPr>
        <w:t>9)</w:t>
      </w:r>
      <w:r w:rsidRPr="00B763E0">
        <w:rPr>
          <w:rFonts w:hint="eastAsia"/>
        </w:rPr>
        <w:t>。</w:t>
      </w:r>
    </w:p>
  </w:footnote>
  <w:footnote w:id="21">
    <w:p w:rsidR="00992F94" w:rsidRPr="00B763E0" w:rsidRDefault="00992F94" w:rsidP="00992F94">
      <w:pPr>
        <w:pStyle w:val="a6"/>
      </w:pPr>
      <w:r w:rsidRPr="00B763E0">
        <w:rPr>
          <w:rFonts w:hint="eastAsia"/>
        </w:rPr>
        <w:tab/>
      </w:r>
      <w:r w:rsidRPr="00B763E0">
        <w:rPr>
          <w:rStyle w:val="a8"/>
          <w:rFonts w:eastAsia="宋体"/>
        </w:rPr>
        <w:footnoteRef/>
      </w:r>
      <w:r w:rsidRPr="00ED5BE4">
        <w:rPr>
          <w:rStyle w:val="a8"/>
          <w:rFonts w:eastAsia="宋体" w:hint="eastAsia"/>
          <w:vertAlign w:val="baseline"/>
        </w:rPr>
        <w:tab/>
      </w:r>
      <w:r w:rsidRPr="00B763E0">
        <w:rPr>
          <w:rFonts w:hint="eastAsia"/>
        </w:rPr>
        <w:t>提交人自己承认她以前曾被拘留</w:t>
      </w:r>
      <w:r w:rsidRPr="00B763E0">
        <w:rPr>
          <w:rFonts w:hint="eastAsia"/>
        </w:rPr>
        <w:t>(</w:t>
      </w:r>
      <w:r w:rsidRPr="00B763E0">
        <w:rPr>
          <w:rFonts w:hint="eastAsia"/>
        </w:rPr>
        <w:t>第</w:t>
      </w:r>
      <w:r w:rsidRPr="00B763E0">
        <w:rPr>
          <w:rFonts w:hint="eastAsia"/>
        </w:rPr>
        <w:t>3.5</w:t>
      </w:r>
      <w:r w:rsidRPr="00B763E0">
        <w:rPr>
          <w:rFonts w:hint="eastAsia"/>
        </w:rPr>
        <w:t>段</w:t>
      </w:r>
      <w:r w:rsidRPr="00B763E0">
        <w:rPr>
          <w:rFonts w:hint="eastAsia"/>
        </w:rPr>
        <w:t>)</w:t>
      </w:r>
      <w:r w:rsidRPr="00B763E0">
        <w:rPr>
          <w:rFonts w:hint="eastAsia"/>
        </w:rPr>
        <w:t>。</w:t>
      </w:r>
    </w:p>
  </w:footnote>
  <w:footnote w:id="22">
    <w:p w:rsidR="00992F94" w:rsidRPr="00B763E0" w:rsidRDefault="00992F94" w:rsidP="004D2A79">
      <w:pPr>
        <w:pStyle w:val="a6"/>
        <w:spacing w:after="0"/>
      </w:pPr>
      <w:r w:rsidRPr="00B763E0">
        <w:rPr>
          <w:rFonts w:hint="eastAsia"/>
        </w:rPr>
        <w:tab/>
      </w:r>
      <w:r w:rsidRPr="00B763E0">
        <w:rPr>
          <w:rStyle w:val="a8"/>
          <w:rFonts w:eastAsia="宋体"/>
        </w:rPr>
        <w:footnoteRef/>
      </w:r>
      <w:r w:rsidRPr="00ED5BE4">
        <w:rPr>
          <w:rStyle w:val="a8"/>
          <w:rFonts w:eastAsia="宋体" w:hint="eastAsia"/>
          <w:vertAlign w:val="baseline"/>
        </w:rPr>
        <w:tab/>
      </w:r>
      <w:r w:rsidRPr="00B763E0">
        <w:rPr>
          <w:rFonts w:hint="eastAsia"/>
        </w:rPr>
        <w:t>在立陶宛，检察机关根据罪刑法定原则行事：任何举报刑事犯罪均须经过调查，因此，控诉方不得不根据《立陶宛刑法》第</w:t>
      </w:r>
      <w:r w:rsidRPr="00B763E0">
        <w:rPr>
          <w:rFonts w:hint="eastAsia"/>
        </w:rPr>
        <w:t>290</w:t>
      </w:r>
      <w:r w:rsidRPr="00B763E0">
        <w:rPr>
          <w:rFonts w:hint="eastAsia"/>
        </w:rPr>
        <w:t>条起诉提交人。</w:t>
      </w:r>
    </w:p>
  </w:footnote>
  <w:footnote w:id="23">
    <w:p w:rsidR="00992F94" w:rsidRPr="00B763E0" w:rsidRDefault="00992F94" w:rsidP="00992F94">
      <w:pPr>
        <w:pStyle w:val="a6"/>
      </w:pPr>
      <w:r w:rsidRPr="00B763E0">
        <w:rPr>
          <w:rFonts w:hint="eastAsia"/>
        </w:rPr>
        <w:tab/>
      </w:r>
      <w:r w:rsidRPr="00B763E0">
        <w:rPr>
          <w:rStyle w:val="a8"/>
          <w:rFonts w:eastAsia="宋体"/>
        </w:rPr>
        <w:footnoteRef/>
      </w:r>
      <w:r w:rsidRPr="00ED726B">
        <w:rPr>
          <w:rStyle w:val="a8"/>
          <w:rFonts w:eastAsia="宋体" w:hint="eastAsia"/>
          <w:vertAlign w:val="baseline"/>
        </w:rPr>
        <w:tab/>
      </w:r>
      <w:r w:rsidRPr="00B763E0">
        <w:rPr>
          <w:rFonts w:hint="eastAsia"/>
        </w:rPr>
        <w:t>由于提交人是律师，他曾因失职行为受到谴责，被责令自费参加一门关于律师职业道德的课程并通过考核，此外还要缴纳罚款。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A34694" w:rsidP="00A34694">
    <w:pPr>
      <w:pStyle w:val="af3"/>
    </w:pPr>
    <w:r>
      <w:t>CCPR/C/126/D/2716/2016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FE" w:rsidRDefault="00A34694" w:rsidP="00344DA6">
    <w:pPr>
      <w:pStyle w:val="af3"/>
      <w:jc w:val="right"/>
    </w:pPr>
    <w:r>
      <w:t>CCPR/C/126/D/2716/2016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B7" w:rsidRDefault="003045B7" w:rsidP="00A34694">
    <w:pPr>
      <w:pStyle w:val="af3"/>
    </w:pPr>
    <w:r>
      <w:t>CCPR/C/126/D/2716/2016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B7" w:rsidRDefault="003045B7" w:rsidP="00344DA6">
    <w:pPr>
      <w:pStyle w:val="af3"/>
      <w:jc w:val="right"/>
    </w:pPr>
    <w:r>
      <w:t>CCPR/C/126/D/2716/2016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B7" w:rsidRDefault="00BD30F2" w:rsidP="00BD30F2">
    <w:pPr>
      <w:pStyle w:val="af3"/>
      <w:jc w:val="right"/>
    </w:pPr>
    <w:r>
      <w:t>CCPR/C/126/D/2716/2016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3C3F"/>
    <w:rsid w:val="00011483"/>
    <w:rsid w:val="00030B1B"/>
    <w:rsid w:val="0004554F"/>
    <w:rsid w:val="000673E2"/>
    <w:rsid w:val="00091262"/>
    <w:rsid w:val="000A1A0D"/>
    <w:rsid w:val="000B574B"/>
    <w:rsid w:val="000C6994"/>
    <w:rsid w:val="000D319F"/>
    <w:rsid w:val="000E1F51"/>
    <w:rsid w:val="000E4D0E"/>
    <w:rsid w:val="000F5EB8"/>
    <w:rsid w:val="00144B69"/>
    <w:rsid w:val="00153E86"/>
    <w:rsid w:val="00154320"/>
    <w:rsid w:val="001548A2"/>
    <w:rsid w:val="00160FFC"/>
    <w:rsid w:val="001707CB"/>
    <w:rsid w:val="00172E04"/>
    <w:rsid w:val="00186468"/>
    <w:rsid w:val="00192720"/>
    <w:rsid w:val="001B09E0"/>
    <w:rsid w:val="001B1BD1"/>
    <w:rsid w:val="001C3EF2"/>
    <w:rsid w:val="001C7187"/>
    <w:rsid w:val="001C726A"/>
    <w:rsid w:val="001D17F6"/>
    <w:rsid w:val="001F4351"/>
    <w:rsid w:val="00204493"/>
    <w:rsid w:val="00204B42"/>
    <w:rsid w:val="0021265F"/>
    <w:rsid w:val="002231C3"/>
    <w:rsid w:val="0024417F"/>
    <w:rsid w:val="00250F8D"/>
    <w:rsid w:val="00267C1B"/>
    <w:rsid w:val="00283C3F"/>
    <w:rsid w:val="002A19EF"/>
    <w:rsid w:val="002D0176"/>
    <w:rsid w:val="002D7855"/>
    <w:rsid w:val="002E1C97"/>
    <w:rsid w:val="002E579C"/>
    <w:rsid w:val="002F5834"/>
    <w:rsid w:val="003006AB"/>
    <w:rsid w:val="003045B7"/>
    <w:rsid w:val="00307B4B"/>
    <w:rsid w:val="00326EBF"/>
    <w:rsid w:val="00327FE4"/>
    <w:rsid w:val="003333CC"/>
    <w:rsid w:val="00334EEB"/>
    <w:rsid w:val="00344DA6"/>
    <w:rsid w:val="003639E7"/>
    <w:rsid w:val="00397F11"/>
    <w:rsid w:val="003D699C"/>
    <w:rsid w:val="003F0C6B"/>
    <w:rsid w:val="00411C96"/>
    <w:rsid w:val="00413AFE"/>
    <w:rsid w:val="00427F63"/>
    <w:rsid w:val="00431DE0"/>
    <w:rsid w:val="00434D38"/>
    <w:rsid w:val="004357C4"/>
    <w:rsid w:val="004517FB"/>
    <w:rsid w:val="00484B65"/>
    <w:rsid w:val="004862A2"/>
    <w:rsid w:val="00494EB8"/>
    <w:rsid w:val="004A02A1"/>
    <w:rsid w:val="004C4A0A"/>
    <w:rsid w:val="004C7F95"/>
    <w:rsid w:val="004D0A00"/>
    <w:rsid w:val="004D2A79"/>
    <w:rsid w:val="004E473D"/>
    <w:rsid w:val="004F348E"/>
    <w:rsid w:val="004F59D9"/>
    <w:rsid w:val="00501220"/>
    <w:rsid w:val="005100BB"/>
    <w:rsid w:val="005316E6"/>
    <w:rsid w:val="00597AA9"/>
    <w:rsid w:val="005A004E"/>
    <w:rsid w:val="005B0D81"/>
    <w:rsid w:val="005B4328"/>
    <w:rsid w:val="005E403A"/>
    <w:rsid w:val="005E4086"/>
    <w:rsid w:val="00604D91"/>
    <w:rsid w:val="00606AF2"/>
    <w:rsid w:val="006257FE"/>
    <w:rsid w:val="006270F0"/>
    <w:rsid w:val="00636DF5"/>
    <w:rsid w:val="00640FD8"/>
    <w:rsid w:val="006505A3"/>
    <w:rsid w:val="00670DEE"/>
    <w:rsid w:val="00680656"/>
    <w:rsid w:val="006B1119"/>
    <w:rsid w:val="006B12E6"/>
    <w:rsid w:val="006B42CC"/>
    <w:rsid w:val="006D3757"/>
    <w:rsid w:val="006D37EB"/>
    <w:rsid w:val="006E3E46"/>
    <w:rsid w:val="006E71B1"/>
    <w:rsid w:val="006F0FA3"/>
    <w:rsid w:val="006F1404"/>
    <w:rsid w:val="0070593B"/>
    <w:rsid w:val="00705D89"/>
    <w:rsid w:val="0070707C"/>
    <w:rsid w:val="00713199"/>
    <w:rsid w:val="00725DE1"/>
    <w:rsid w:val="00731A42"/>
    <w:rsid w:val="00732A84"/>
    <w:rsid w:val="00752A3C"/>
    <w:rsid w:val="00753F48"/>
    <w:rsid w:val="00755487"/>
    <w:rsid w:val="00767E69"/>
    <w:rsid w:val="0077079A"/>
    <w:rsid w:val="00771504"/>
    <w:rsid w:val="007A5599"/>
    <w:rsid w:val="007B6445"/>
    <w:rsid w:val="007B6969"/>
    <w:rsid w:val="007E6C0F"/>
    <w:rsid w:val="00812C59"/>
    <w:rsid w:val="008246E9"/>
    <w:rsid w:val="008343A4"/>
    <w:rsid w:val="00856233"/>
    <w:rsid w:val="00860F27"/>
    <w:rsid w:val="00862A08"/>
    <w:rsid w:val="00891952"/>
    <w:rsid w:val="008A1AE4"/>
    <w:rsid w:val="008B0560"/>
    <w:rsid w:val="008B2BFA"/>
    <w:rsid w:val="008D31F4"/>
    <w:rsid w:val="008D5ABC"/>
    <w:rsid w:val="008E6A3F"/>
    <w:rsid w:val="00900A8E"/>
    <w:rsid w:val="00923557"/>
    <w:rsid w:val="00936F03"/>
    <w:rsid w:val="00943B69"/>
    <w:rsid w:val="00944CB3"/>
    <w:rsid w:val="0096722F"/>
    <w:rsid w:val="00971961"/>
    <w:rsid w:val="00982B32"/>
    <w:rsid w:val="00986624"/>
    <w:rsid w:val="00992F94"/>
    <w:rsid w:val="009A7349"/>
    <w:rsid w:val="009B09D7"/>
    <w:rsid w:val="009D35ED"/>
    <w:rsid w:val="009E31AE"/>
    <w:rsid w:val="009E5E38"/>
    <w:rsid w:val="00A03CB6"/>
    <w:rsid w:val="00A069B5"/>
    <w:rsid w:val="00A1364C"/>
    <w:rsid w:val="00A21076"/>
    <w:rsid w:val="00A31BA8"/>
    <w:rsid w:val="00A34694"/>
    <w:rsid w:val="00A36BFE"/>
    <w:rsid w:val="00A3739A"/>
    <w:rsid w:val="00A52DAF"/>
    <w:rsid w:val="00A54F05"/>
    <w:rsid w:val="00A635D1"/>
    <w:rsid w:val="00A84072"/>
    <w:rsid w:val="00AB009D"/>
    <w:rsid w:val="00AD1734"/>
    <w:rsid w:val="00B077EE"/>
    <w:rsid w:val="00B12013"/>
    <w:rsid w:val="00B16570"/>
    <w:rsid w:val="00B23B03"/>
    <w:rsid w:val="00B43EB7"/>
    <w:rsid w:val="00B53320"/>
    <w:rsid w:val="00B601AE"/>
    <w:rsid w:val="00B614C4"/>
    <w:rsid w:val="00B655CC"/>
    <w:rsid w:val="00BC6522"/>
    <w:rsid w:val="00BD30F2"/>
    <w:rsid w:val="00C015E5"/>
    <w:rsid w:val="00C04EEE"/>
    <w:rsid w:val="00C121D5"/>
    <w:rsid w:val="00C17349"/>
    <w:rsid w:val="00C22EBD"/>
    <w:rsid w:val="00C26682"/>
    <w:rsid w:val="00C351AA"/>
    <w:rsid w:val="00C70852"/>
    <w:rsid w:val="00C7253F"/>
    <w:rsid w:val="00C90707"/>
    <w:rsid w:val="00CD2815"/>
    <w:rsid w:val="00CE1D1C"/>
    <w:rsid w:val="00D03429"/>
    <w:rsid w:val="00D04315"/>
    <w:rsid w:val="00D26A05"/>
    <w:rsid w:val="00D54637"/>
    <w:rsid w:val="00D64B64"/>
    <w:rsid w:val="00D73B0D"/>
    <w:rsid w:val="00D754C6"/>
    <w:rsid w:val="00D75964"/>
    <w:rsid w:val="00D84DB4"/>
    <w:rsid w:val="00D9309B"/>
    <w:rsid w:val="00D97B98"/>
    <w:rsid w:val="00DA3F5E"/>
    <w:rsid w:val="00DC671F"/>
    <w:rsid w:val="00DC7640"/>
    <w:rsid w:val="00DD7816"/>
    <w:rsid w:val="00DE4DA7"/>
    <w:rsid w:val="00DF1220"/>
    <w:rsid w:val="00E02C13"/>
    <w:rsid w:val="00E33B38"/>
    <w:rsid w:val="00E34C25"/>
    <w:rsid w:val="00E442A1"/>
    <w:rsid w:val="00E47FE5"/>
    <w:rsid w:val="00E574AF"/>
    <w:rsid w:val="00E736E7"/>
    <w:rsid w:val="00E9340A"/>
    <w:rsid w:val="00EA5A65"/>
    <w:rsid w:val="00EA7E67"/>
    <w:rsid w:val="00EC538F"/>
    <w:rsid w:val="00ED5BE4"/>
    <w:rsid w:val="00ED726B"/>
    <w:rsid w:val="00F0521D"/>
    <w:rsid w:val="00F13878"/>
    <w:rsid w:val="00F24E6D"/>
    <w:rsid w:val="00F714DA"/>
    <w:rsid w:val="00F734EE"/>
    <w:rsid w:val="00F84171"/>
    <w:rsid w:val="00F8563F"/>
    <w:rsid w:val="00F910CF"/>
    <w:rsid w:val="00FA1D79"/>
    <w:rsid w:val="00FB456B"/>
    <w:rsid w:val="00FB4873"/>
    <w:rsid w:val="00FC099C"/>
    <w:rsid w:val="00FC78A5"/>
    <w:rsid w:val="00FD0CD2"/>
    <w:rsid w:val="00FD46F3"/>
    <w:rsid w:val="00FE43E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41D32"/>
  <w15:docId w15:val="{9E7CC57D-211D-4486-862A-F900CF9F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344DA6"/>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qFormat/>
    <w:rsid w:val="00344DA6"/>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344DA6"/>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qFormat/>
    <w:rsid w:val="00344DA6"/>
    <w:pPr>
      <w:tabs>
        <w:tab w:val="clear" w:pos="431"/>
      </w:tab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FBD0-1169-42CE-BDDB-599B586F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12741</Words>
  <Characters>13308</Characters>
  <Application>Microsoft Office Word</Application>
  <DocSecurity>0</DocSecurity>
  <Lines>458</Lines>
  <Paragraphs>120</Paragraphs>
  <ScaleCrop>false</ScaleCrop>
  <Company>DCM</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CCPR/C/126/D/2716/2016</dc:title>
  <dc:subject>1916434</dc:subject>
  <dc:creator>WUJS</dc:creator>
  <cp:keywords/>
  <dc:description/>
  <cp:lastModifiedBy>Xiaoqing Yang</cp:lastModifiedBy>
  <cp:revision>2</cp:revision>
  <cp:lastPrinted>2014-05-09T11:28:00Z</cp:lastPrinted>
  <dcterms:created xsi:type="dcterms:W3CDTF">2019-12-19T15:29:00Z</dcterms:created>
  <dcterms:modified xsi:type="dcterms:W3CDTF">2019-12-19T15:29:00Z</dcterms:modified>
</cp:coreProperties>
</file>