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E7CD1A0" w14:textId="77777777" w:rsidTr="002B7BC7">
        <w:trPr>
          <w:trHeight w:hRule="exact" w:val="851"/>
        </w:trPr>
        <w:tc>
          <w:tcPr>
            <w:tcW w:w="1276" w:type="dxa"/>
            <w:tcBorders>
              <w:bottom w:val="single" w:sz="4" w:space="0" w:color="auto"/>
            </w:tcBorders>
          </w:tcPr>
          <w:p w14:paraId="02E45019" w14:textId="77777777" w:rsidR="006F71EA" w:rsidRPr="00DB58B5" w:rsidRDefault="006F71EA" w:rsidP="00356208">
            <w:bookmarkStart w:id="0" w:name="_GoBack"/>
            <w:bookmarkEnd w:id="0"/>
          </w:p>
        </w:tc>
        <w:tc>
          <w:tcPr>
            <w:tcW w:w="2268" w:type="dxa"/>
            <w:tcBorders>
              <w:bottom w:val="single" w:sz="4" w:space="0" w:color="auto"/>
            </w:tcBorders>
            <w:vAlign w:val="bottom"/>
          </w:tcPr>
          <w:p w14:paraId="0BE175E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74AF7A" w14:textId="77777777" w:rsidR="006F71EA" w:rsidRPr="00DB58B5" w:rsidRDefault="00356208" w:rsidP="00356208">
            <w:pPr>
              <w:jc w:val="right"/>
            </w:pPr>
            <w:r w:rsidRPr="00356208">
              <w:rPr>
                <w:sz w:val="40"/>
              </w:rPr>
              <w:t>CCPR</w:t>
            </w:r>
            <w:r>
              <w:t>/C/126/D/2434/2014</w:t>
            </w:r>
          </w:p>
        </w:tc>
      </w:tr>
      <w:tr w:rsidR="006F71EA" w:rsidRPr="00DB58B5" w14:paraId="2F4DA1E0" w14:textId="77777777" w:rsidTr="002B7BC7">
        <w:trPr>
          <w:trHeight w:hRule="exact" w:val="2835"/>
        </w:trPr>
        <w:tc>
          <w:tcPr>
            <w:tcW w:w="1276" w:type="dxa"/>
            <w:tcBorders>
              <w:top w:val="single" w:sz="4" w:space="0" w:color="auto"/>
              <w:bottom w:val="single" w:sz="12" w:space="0" w:color="auto"/>
            </w:tcBorders>
          </w:tcPr>
          <w:p w14:paraId="6582AA69" w14:textId="77777777" w:rsidR="006F71EA" w:rsidRPr="00DB58B5" w:rsidRDefault="006F71EA" w:rsidP="002B7BC7">
            <w:pPr>
              <w:spacing w:before="120"/>
              <w:jc w:val="center"/>
            </w:pPr>
            <w:r>
              <w:rPr>
                <w:noProof/>
                <w:lang w:eastAsia="fr-CH"/>
              </w:rPr>
              <w:drawing>
                <wp:inline distT="0" distB="0" distL="0" distR="0" wp14:anchorId="0104BD96" wp14:editId="2DE9D92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D05C54"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472E8B8" w14:textId="77777777" w:rsidR="006F71EA" w:rsidRDefault="00356208" w:rsidP="002B7BC7">
            <w:pPr>
              <w:spacing w:before="240"/>
            </w:pPr>
            <w:r>
              <w:t>Distr</w:t>
            </w:r>
            <w:r w:rsidR="00F224D8" w:rsidRPr="00F224D8">
              <w:t>.</w:t>
            </w:r>
            <w:r>
              <w:t xml:space="preserve"> générale</w:t>
            </w:r>
          </w:p>
          <w:p w14:paraId="3756AB64" w14:textId="77777777" w:rsidR="00356208" w:rsidRDefault="00356208" w:rsidP="00356208">
            <w:pPr>
              <w:spacing w:line="240" w:lineRule="exact"/>
            </w:pPr>
            <w:r>
              <w:t>4 octobre 2019</w:t>
            </w:r>
          </w:p>
          <w:p w14:paraId="12F9FF49" w14:textId="77777777" w:rsidR="00356208" w:rsidRDefault="00356208" w:rsidP="00356208">
            <w:pPr>
              <w:spacing w:line="240" w:lineRule="exact"/>
            </w:pPr>
            <w:r>
              <w:t>Français</w:t>
            </w:r>
          </w:p>
          <w:p w14:paraId="1BC352D6" w14:textId="77777777" w:rsidR="00356208" w:rsidRPr="00DB58B5" w:rsidRDefault="00356208" w:rsidP="00356208">
            <w:pPr>
              <w:spacing w:line="240" w:lineRule="exact"/>
            </w:pPr>
            <w:r>
              <w:t>Original : anglais</w:t>
            </w:r>
          </w:p>
        </w:tc>
      </w:tr>
    </w:tbl>
    <w:p w14:paraId="5047E8D0" w14:textId="77777777" w:rsidR="006F71EA" w:rsidRDefault="006F71EA" w:rsidP="006F71EA">
      <w:pPr>
        <w:spacing w:before="120"/>
        <w:rPr>
          <w:b/>
          <w:sz w:val="24"/>
          <w:szCs w:val="24"/>
        </w:rPr>
      </w:pPr>
      <w:r w:rsidRPr="00DF3BF1">
        <w:rPr>
          <w:b/>
          <w:sz w:val="24"/>
          <w:szCs w:val="24"/>
        </w:rPr>
        <w:t>Comité des droits de l’homme</w:t>
      </w:r>
    </w:p>
    <w:p w14:paraId="71BB569D" w14:textId="77777777" w:rsidR="00E44C92" w:rsidRPr="008A09E4" w:rsidRDefault="00E44C92" w:rsidP="00E44C92">
      <w:pPr>
        <w:pStyle w:val="HChG"/>
        <w:rPr>
          <w:lang w:val="fr-FR"/>
        </w:rPr>
      </w:pPr>
      <w:r w:rsidRPr="008A09E4">
        <w:rPr>
          <w:lang w:val="fr-FR"/>
        </w:rPr>
        <w:tab/>
      </w:r>
      <w:r w:rsidRPr="008A09E4">
        <w:rPr>
          <w:lang w:val="fr-FR"/>
        </w:rPr>
        <w:tab/>
        <w:t>C</w:t>
      </w:r>
      <w:r>
        <w:rPr>
          <w:lang w:val="fr-FR"/>
        </w:rPr>
        <w:t>onstatations adoptées par le Comité au titre de l’article 5 (par</w:t>
      </w:r>
      <w:r w:rsidR="00F224D8" w:rsidRPr="00F224D8">
        <w:rPr>
          <w:lang w:val="fr-FR"/>
        </w:rPr>
        <w:t>.</w:t>
      </w:r>
      <w:r>
        <w:rPr>
          <w:lang w:val="fr-FR"/>
        </w:rPr>
        <w:t xml:space="preserve"> 4) du Protocole facultatif, concernant </w:t>
      </w:r>
      <w:r>
        <w:rPr>
          <w:lang w:val="fr-FR"/>
        </w:rPr>
        <w:br/>
        <w:t>la c</w:t>
      </w:r>
      <w:r w:rsidRPr="008A09E4">
        <w:rPr>
          <w:lang w:val="fr-FR"/>
        </w:rPr>
        <w:t>ommunication n</w:t>
      </w:r>
      <w:r w:rsidRPr="008A09E4">
        <w:rPr>
          <w:vertAlign w:val="superscript"/>
          <w:lang w:val="fr-FR"/>
        </w:rPr>
        <w:t>o</w:t>
      </w:r>
      <w:r w:rsidRPr="008A09E4">
        <w:rPr>
          <w:lang w:val="fr-FR"/>
        </w:rPr>
        <w:t> 2434/2014</w:t>
      </w:r>
      <w:r w:rsidRPr="00481ED2">
        <w:rPr>
          <w:rStyle w:val="Appelnotedebasdep"/>
          <w:b w:val="0"/>
          <w:sz w:val="20"/>
          <w:vertAlign w:val="baseline"/>
        </w:rPr>
        <w:footnoteReference w:customMarkFollows="1" w:id="2"/>
        <w:t>*</w:t>
      </w:r>
      <w:r w:rsidRPr="00481ED2">
        <w:rPr>
          <w:b w:val="0"/>
          <w:bCs/>
          <w:position w:val="6"/>
          <w:sz w:val="20"/>
        </w:rPr>
        <w:t>,</w:t>
      </w:r>
      <w:r w:rsidRPr="00481ED2">
        <w:rPr>
          <w:b w:val="0"/>
          <w:bCs/>
          <w:sz w:val="20"/>
        </w:rPr>
        <w:t xml:space="preserve"> </w:t>
      </w:r>
      <w:r w:rsidRPr="00481ED2">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E44C92" w14:paraId="18E09F6D" w14:textId="77777777" w:rsidTr="00247721">
        <w:tc>
          <w:tcPr>
            <w:tcW w:w="2835" w:type="dxa"/>
          </w:tcPr>
          <w:p w14:paraId="3AF6CA2F" w14:textId="77777777" w:rsidR="00E44C92" w:rsidRDefault="00E44C92" w:rsidP="00247721">
            <w:pPr>
              <w:pStyle w:val="SingleTxtG"/>
              <w:ind w:left="0" w:right="0"/>
              <w:jc w:val="left"/>
              <w:rPr>
                <w:i/>
              </w:rPr>
            </w:pPr>
            <w:r>
              <w:rPr>
                <w:i/>
              </w:rPr>
              <w:t>Communication présentée par</w:t>
            </w:r>
            <w:r>
              <w:t> :</w:t>
            </w:r>
          </w:p>
        </w:tc>
        <w:tc>
          <w:tcPr>
            <w:tcW w:w="3970" w:type="dxa"/>
          </w:tcPr>
          <w:p w14:paraId="28B73E60" w14:textId="77777777" w:rsidR="00E44C92" w:rsidRDefault="00E44C92" w:rsidP="00247721">
            <w:pPr>
              <w:pStyle w:val="SingleTxtG"/>
              <w:ind w:left="0" w:right="0"/>
              <w:jc w:val="left"/>
            </w:pPr>
            <w:r w:rsidRPr="008A09E4">
              <w:rPr>
                <w:lang w:val="fr-FR"/>
              </w:rPr>
              <w:t xml:space="preserve">Fedor Mirzayanov </w:t>
            </w:r>
            <w:r>
              <w:rPr>
                <w:lang w:val="fr-FR"/>
              </w:rPr>
              <w:t>(</w:t>
            </w:r>
            <w:r w:rsidRPr="008A09E4">
              <w:rPr>
                <w:lang w:val="fr-FR"/>
              </w:rPr>
              <w:t>non représenté par un conseil</w:t>
            </w:r>
            <w:r>
              <w:rPr>
                <w:lang w:val="fr-FR"/>
              </w:rPr>
              <w:t>)</w:t>
            </w:r>
          </w:p>
        </w:tc>
      </w:tr>
      <w:tr w:rsidR="00E44C92" w14:paraId="6A1D71D2" w14:textId="77777777" w:rsidTr="00247721">
        <w:tc>
          <w:tcPr>
            <w:tcW w:w="2835" w:type="dxa"/>
          </w:tcPr>
          <w:p w14:paraId="7C50D510" w14:textId="77777777" w:rsidR="00E44C92" w:rsidRDefault="00E44C92" w:rsidP="00247721">
            <w:pPr>
              <w:pStyle w:val="SingleTxtG"/>
              <w:ind w:left="0" w:right="0"/>
              <w:jc w:val="left"/>
              <w:rPr>
                <w:i/>
              </w:rPr>
            </w:pPr>
            <w:r>
              <w:rPr>
                <w:i/>
              </w:rPr>
              <w:t>Victime(s) présumée(s)</w:t>
            </w:r>
            <w:r>
              <w:t>:</w:t>
            </w:r>
          </w:p>
        </w:tc>
        <w:tc>
          <w:tcPr>
            <w:tcW w:w="3970" w:type="dxa"/>
          </w:tcPr>
          <w:p w14:paraId="440AB70E" w14:textId="77777777" w:rsidR="00E44C92" w:rsidRDefault="00E44C92" w:rsidP="00247721">
            <w:pPr>
              <w:pStyle w:val="SingleTxtG"/>
              <w:ind w:left="0" w:right="0"/>
              <w:jc w:val="left"/>
            </w:pPr>
            <w:r w:rsidRPr="008A09E4">
              <w:rPr>
                <w:lang w:val="fr-FR"/>
              </w:rPr>
              <w:t>L</w:t>
            </w:r>
            <w:r>
              <w:rPr>
                <w:lang w:val="fr-FR"/>
              </w:rPr>
              <w:t>’</w:t>
            </w:r>
            <w:r w:rsidRPr="008A09E4">
              <w:rPr>
                <w:lang w:val="fr-FR"/>
              </w:rPr>
              <w:t>auteur</w:t>
            </w:r>
          </w:p>
        </w:tc>
      </w:tr>
      <w:tr w:rsidR="00E44C92" w14:paraId="4878D3C6" w14:textId="77777777" w:rsidTr="00247721">
        <w:tc>
          <w:tcPr>
            <w:tcW w:w="2835" w:type="dxa"/>
          </w:tcPr>
          <w:p w14:paraId="06A4680C" w14:textId="77777777" w:rsidR="00E44C92" w:rsidRDefault="00E44C92" w:rsidP="00247721">
            <w:pPr>
              <w:pStyle w:val="SingleTxtG"/>
              <w:ind w:left="0" w:right="0"/>
              <w:jc w:val="left"/>
              <w:rPr>
                <w:i/>
              </w:rPr>
            </w:pPr>
            <w:r>
              <w:rPr>
                <w:i/>
              </w:rPr>
              <w:t>État partie</w:t>
            </w:r>
            <w:r>
              <w:t> :</w:t>
            </w:r>
          </w:p>
        </w:tc>
        <w:tc>
          <w:tcPr>
            <w:tcW w:w="3970" w:type="dxa"/>
          </w:tcPr>
          <w:p w14:paraId="6C385745" w14:textId="77777777" w:rsidR="00E44C92" w:rsidRDefault="00E44C92" w:rsidP="00247721">
            <w:pPr>
              <w:pStyle w:val="SingleTxtG"/>
              <w:ind w:left="0" w:right="0"/>
              <w:jc w:val="left"/>
            </w:pPr>
            <w:r w:rsidRPr="008A09E4">
              <w:rPr>
                <w:lang w:val="fr-FR"/>
              </w:rPr>
              <w:t>Bélarus</w:t>
            </w:r>
          </w:p>
        </w:tc>
      </w:tr>
      <w:tr w:rsidR="00E44C92" w14:paraId="6A5B5C6B" w14:textId="77777777" w:rsidTr="00247721">
        <w:tc>
          <w:tcPr>
            <w:tcW w:w="2835" w:type="dxa"/>
          </w:tcPr>
          <w:p w14:paraId="5E61275F" w14:textId="77777777" w:rsidR="00E44C92" w:rsidRDefault="00E44C92" w:rsidP="00247721">
            <w:pPr>
              <w:pStyle w:val="SingleTxtG"/>
              <w:ind w:left="0" w:right="0"/>
              <w:jc w:val="left"/>
              <w:rPr>
                <w:i/>
              </w:rPr>
            </w:pPr>
            <w:r w:rsidRPr="008A09E4">
              <w:rPr>
                <w:i/>
                <w:lang w:val="fr-FR"/>
              </w:rPr>
              <w:t>Date de la communication</w:t>
            </w:r>
            <w:r>
              <w:rPr>
                <w:i/>
                <w:lang w:val="fr-FR"/>
              </w:rPr>
              <w:t> </w:t>
            </w:r>
            <w:r w:rsidRPr="00644E12">
              <w:rPr>
                <w:lang w:val="fr-FR"/>
              </w:rPr>
              <w:t>:</w:t>
            </w:r>
          </w:p>
        </w:tc>
        <w:tc>
          <w:tcPr>
            <w:tcW w:w="3970" w:type="dxa"/>
          </w:tcPr>
          <w:p w14:paraId="50305C8D" w14:textId="77777777" w:rsidR="00E44C92" w:rsidRPr="008A09E4" w:rsidRDefault="00E44C92" w:rsidP="00247721">
            <w:pPr>
              <w:pStyle w:val="SingleTxtG"/>
              <w:ind w:left="0" w:right="0"/>
              <w:jc w:val="left"/>
              <w:rPr>
                <w:lang w:val="fr-FR"/>
              </w:rPr>
            </w:pPr>
            <w:r w:rsidRPr="008A09E4">
              <w:rPr>
                <w:lang w:val="fr-FR"/>
              </w:rPr>
              <w:t>27 septembre 2013 (date de la lettre initiale)</w:t>
            </w:r>
          </w:p>
        </w:tc>
      </w:tr>
      <w:tr w:rsidR="00E44C92" w14:paraId="3056421F" w14:textId="77777777" w:rsidTr="00247721">
        <w:tc>
          <w:tcPr>
            <w:tcW w:w="2835" w:type="dxa"/>
          </w:tcPr>
          <w:p w14:paraId="4DF574D9" w14:textId="77777777" w:rsidR="00E44C92" w:rsidRPr="008A09E4" w:rsidRDefault="00E44C92" w:rsidP="00247721">
            <w:pPr>
              <w:pStyle w:val="SingleTxtG"/>
              <w:ind w:left="0" w:right="0"/>
              <w:jc w:val="left"/>
              <w:rPr>
                <w:i/>
                <w:lang w:val="fr-FR"/>
              </w:rPr>
            </w:pPr>
            <w:r w:rsidRPr="008A09E4">
              <w:rPr>
                <w:i/>
                <w:lang w:val="fr-FR"/>
              </w:rPr>
              <w:t>Références</w:t>
            </w:r>
            <w:r>
              <w:rPr>
                <w:i/>
                <w:lang w:val="fr-FR"/>
              </w:rPr>
              <w:t> </w:t>
            </w:r>
            <w:r w:rsidRPr="00644E12">
              <w:rPr>
                <w:lang w:val="fr-FR"/>
              </w:rPr>
              <w:t>:</w:t>
            </w:r>
          </w:p>
        </w:tc>
        <w:tc>
          <w:tcPr>
            <w:tcW w:w="3970" w:type="dxa"/>
          </w:tcPr>
          <w:p w14:paraId="5C908BF6" w14:textId="77777777" w:rsidR="00E44C92" w:rsidRPr="008A09E4" w:rsidRDefault="00E44C92" w:rsidP="00247721">
            <w:pPr>
              <w:pStyle w:val="SingleTxtG"/>
              <w:ind w:left="0" w:right="0"/>
              <w:jc w:val="left"/>
              <w:rPr>
                <w:lang w:val="fr-FR"/>
              </w:rPr>
            </w:pPr>
            <w:r w:rsidRPr="008A09E4">
              <w:rPr>
                <w:lang w:val="fr-FR"/>
              </w:rPr>
              <w:t>Décision prise en application de l</w:t>
            </w:r>
            <w:r>
              <w:rPr>
                <w:lang w:val="fr-FR"/>
              </w:rPr>
              <w:t>’</w:t>
            </w:r>
            <w:r w:rsidRPr="008A09E4">
              <w:rPr>
                <w:lang w:val="fr-FR"/>
              </w:rPr>
              <w:t>article 9</w:t>
            </w:r>
            <w:r>
              <w:rPr>
                <w:lang w:val="fr-FR"/>
              </w:rPr>
              <w:t>7</w:t>
            </w:r>
            <w:r w:rsidRPr="008A09E4">
              <w:rPr>
                <w:lang w:val="fr-FR"/>
              </w:rPr>
              <w:t xml:space="preserve"> du règlement intérieur du Comité</w:t>
            </w:r>
            <w:r>
              <w:rPr>
                <w:lang w:val="fr-FR"/>
              </w:rPr>
              <w:t xml:space="preserve"> (devenu l’article 92)</w:t>
            </w:r>
            <w:r w:rsidRPr="008A09E4">
              <w:rPr>
                <w:lang w:val="fr-FR"/>
              </w:rPr>
              <w:t>, communiquée à l</w:t>
            </w:r>
            <w:r>
              <w:rPr>
                <w:lang w:val="fr-FR"/>
              </w:rPr>
              <w:t>’</w:t>
            </w:r>
            <w:r w:rsidRPr="008A09E4">
              <w:rPr>
                <w:lang w:val="fr-FR"/>
              </w:rPr>
              <w:t>État partie le 21</w:t>
            </w:r>
            <w:r>
              <w:rPr>
                <w:lang w:val="fr-FR"/>
              </w:rPr>
              <w:t> </w:t>
            </w:r>
            <w:r w:rsidRPr="008A09E4">
              <w:rPr>
                <w:lang w:val="fr-FR"/>
              </w:rPr>
              <w:t>juin 2014 (non publiée sous forme de document</w:t>
            </w:r>
            <w:r>
              <w:rPr>
                <w:lang w:val="fr-FR"/>
              </w:rPr>
              <w:t>)</w:t>
            </w:r>
          </w:p>
        </w:tc>
      </w:tr>
      <w:tr w:rsidR="00E44C92" w14:paraId="584A82E0" w14:textId="77777777" w:rsidTr="00247721">
        <w:tc>
          <w:tcPr>
            <w:tcW w:w="2835" w:type="dxa"/>
          </w:tcPr>
          <w:p w14:paraId="78336C5C" w14:textId="77777777" w:rsidR="00E44C92" w:rsidRPr="008A09E4" w:rsidRDefault="00E44C92" w:rsidP="00247721">
            <w:pPr>
              <w:pStyle w:val="SingleTxtG"/>
              <w:ind w:left="0" w:right="0"/>
              <w:jc w:val="left"/>
              <w:rPr>
                <w:i/>
                <w:lang w:val="fr-FR"/>
              </w:rPr>
            </w:pPr>
            <w:r w:rsidRPr="008A09E4">
              <w:rPr>
                <w:i/>
                <w:lang w:val="fr-FR"/>
              </w:rPr>
              <w:t>Date des constatations</w:t>
            </w:r>
            <w:r>
              <w:rPr>
                <w:i/>
                <w:lang w:val="fr-FR"/>
              </w:rPr>
              <w:t> </w:t>
            </w:r>
            <w:r w:rsidRPr="00644E12">
              <w:rPr>
                <w:lang w:val="fr-FR"/>
              </w:rPr>
              <w:t>:</w:t>
            </w:r>
          </w:p>
        </w:tc>
        <w:tc>
          <w:tcPr>
            <w:tcW w:w="3970" w:type="dxa"/>
          </w:tcPr>
          <w:p w14:paraId="67D1021A" w14:textId="77777777" w:rsidR="00E44C92" w:rsidRPr="008A09E4" w:rsidRDefault="00E44C92" w:rsidP="00247721">
            <w:pPr>
              <w:pStyle w:val="SingleTxtG"/>
              <w:ind w:left="0" w:right="0"/>
              <w:jc w:val="left"/>
              <w:rPr>
                <w:lang w:val="fr-FR"/>
              </w:rPr>
            </w:pPr>
            <w:r>
              <w:rPr>
                <w:lang w:val="fr-FR"/>
              </w:rPr>
              <w:t>25 juillet</w:t>
            </w:r>
            <w:r w:rsidRPr="008A09E4">
              <w:rPr>
                <w:lang w:val="fr-FR"/>
              </w:rPr>
              <w:t xml:space="preserve"> 2019</w:t>
            </w:r>
          </w:p>
        </w:tc>
      </w:tr>
      <w:tr w:rsidR="00E44C92" w14:paraId="47B5BBFB" w14:textId="77777777" w:rsidTr="00247721">
        <w:tc>
          <w:tcPr>
            <w:tcW w:w="2835" w:type="dxa"/>
          </w:tcPr>
          <w:p w14:paraId="3D8BA6A3" w14:textId="77777777" w:rsidR="00E44C92" w:rsidRPr="008A09E4" w:rsidRDefault="00E44C92" w:rsidP="00247721">
            <w:pPr>
              <w:pStyle w:val="SingleTxtG"/>
              <w:ind w:left="0" w:right="0"/>
              <w:jc w:val="left"/>
              <w:rPr>
                <w:i/>
                <w:lang w:val="fr-FR"/>
              </w:rPr>
            </w:pPr>
            <w:r w:rsidRPr="008A09E4">
              <w:rPr>
                <w:i/>
                <w:iCs/>
                <w:lang w:val="fr-FR"/>
              </w:rPr>
              <w:t>Objet</w:t>
            </w:r>
            <w:r>
              <w:rPr>
                <w:i/>
                <w:iCs/>
                <w:lang w:val="fr-FR"/>
              </w:rPr>
              <w:t> </w:t>
            </w:r>
            <w:r w:rsidRPr="00644E12">
              <w:rPr>
                <w:iCs/>
                <w:lang w:val="fr-FR"/>
              </w:rPr>
              <w:t>:</w:t>
            </w:r>
            <w:r w:rsidRPr="00644E12">
              <w:rPr>
                <w:lang w:val="fr-FR"/>
              </w:rPr>
              <w:tab/>
            </w:r>
          </w:p>
        </w:tc>
        <w:tc>
          <w:tcPr>
            <w:tcW w:w="3970" w:type="dxa"/>
          </w:tcPr>
          <w:p w14:paraId="31849E32" w14:textId="77777777" w:rsidR="00E44C92" w:rsidRPr="008A09E4" w:rsidRDefault="00E44C92" w:rsidP="00247721">
            <w:pPr>
              <w:pStyle w:val="SingleTxtG"/>
              <w:ind w:left="0" w:right="0"/>
              <w:jc w:val="left"/>
              <w:rPr>
                <w:lang w:val="fr-FR"/>
              </w:rPr>
            </w:pPr>
            <w:r w:rsidRPr="008A09E4">
              <w:rPr>
                <w:lang w:val="fr-FR"/>
              </w:rPr>
              <w:t>Sanction pour participation à une réunion pacifique</w:t>
            </w:r>
          </w:p>
        </w:tc>
      </w:tr>
      <w:tr w:rsidR="00E44C92" w14:paraId="06F14426" w14:textId="77777777" w:rsidTr="00247721">
        <w:tc>
          <w:tcPr>
            <w:tcW w:w="2835" w:type="dxa"/>
          </w:tcPr>
          <w:p w14:paraId="21F96187" w14:textId="77777777" w:rsidR="00E44C92" w:rsidRPr="008A09E4" w:rsidRDefault="00E44C92" w:rsidP="00247721">
            <w:pPr>
              <w:pStyle w:val="SingleTxtG"/>
              <w:ind w:left="0" w:right="0"/>
              <w:jc w:val="left"/>
              <w:rPr>
                <w:i/>
                <w:lang w:val="fr-FR"/>
              </w:rPr>
            </w:pPr>
            <w:r w:rsidRPr="008A09E4">
              <w:rPr>
                <w:i/>
                <w:iCs/>
                <w:lang w:val="fr-FR"/>
              </w:rPr>
              <w:t>Question</w:t>
            </w:r>
            <w:r>
              <w:rPr>
                <w:i/>
                <w:iCs/>
                <w:lang w:val="fr-FR"/>
              </w:rPr>
              <w:t>(s)</w:t>
            </w:r>
            <w:r w:rsidRPr="008A09E4">
              <w:rPr>
                <w:i/>
                <w:iCs/>
                <w:lang w:val="fr-FR"/>
              </w:rPr>
              <w:t xml:space="preserve"> de procédure</w:t>
            </w:r>
            <w:r>
              <w:rPr>
                <w:i/>
                <w:iCs/>
                <w:lang w:val="fr-FR"/>
              </w:rPr>
              <w:t> </w:t>
            </w:r>
            <w:r w:rsidRPr="00644E12">
              <w:rPr>
                <w:iCs/>
                <w:lang w:val="fr-FR"/>
              </w:rPr>
              <w:t>:</w:t>
            </w:r>
          </w:p>
        </w:tc>
        <w:tc>
          <w:tcPr>
            <w:tcW w:w="3970" w:type="dxa"/>
          </w:tcPr>
          <w:p w14:paraId="771F4D9C" w14:textId="77777777" w:rsidR="00E44C92" w:rsidRPr="008A09E4" w:rsidRDefault="00E44C92" w:rsidP="00247721">
            <w:pPr>
              <w:pStyle w:val="SingleTxtG"/>
              <w:ind w:left="0" w:right="0"/>
              <w:jc w:val="left"/>
              <w:rPr>
                <w:lang w:val="fr-FR"/>
              </w:rPr>
            </w:pPr>
            <w:r w:rsidRPr="008A09E4">
              <w:rPr>
                <w:lang w:val="fr-FR"/>
              </w:rPr>
              <w:t>Épuisement des recours internes</w:t>
            </w:r>
          </w:p>
        </w:tc>
      </w:tr>
      <w:tr w:rsidR="00E44C92" w14:paraId="4C8E8C10" w14:textId="77777777" w:rsidTr="00247721">
        <w:tc>
          <w:tcPr>
            <w:tcW w:w="2835" w:type="dxa"/>
          </w:tcPr>
          <w:p w14:paraId="70D01DA0" w14:textId="77777777" w:rsidR="00E44C92" w:rsidRPr="008A09E4" w:rsidRDefault="00E44C92" w:rsidP="00247721">
            <w:pPr>
              <w:pStyle w:val="SingleTxtG"/>
              <w:ind w:left="0" w:right="0"/>
              <w:jc w:val="left"/>
              <w:rPr>
                <w:i/>
                <w:lang w:val="fr-FR"/>
              </w:rPr>
            </w:pPr>
            <w:r w:rsidRPr="008A09E4">
              <w:rPr>
                <w:i/>
                <w:iCs/>
                <w:lang w:val="fr-FR"/>
              </w:rPr>
              <w:t>Question</w:t>
            </w:r>
            <w:r>
              <w:rPr>
                <w:i/>
                <w:iCs/>
                <w:lang w:val="fr-FR"/>
              </w:rPr>
              <w:t>(</w:t>
            </w:r>
            <w:r w:rsidRPr="008A09E4">
              <w:rPr>
                <w:i/>
                <w:iCs/>
                <w:lang w:val="fr-FR"/>
              </w:rPr>
              <w:t>s</w:t>
            </w:r>
            <w:r>
              <w:rPr>
                <w:i/>
                <w:iCs/>
                <w:lang w:val="fr-FR"/>
              </w:rPr>
              <w:t>)</w:t>
            </w:r>
            <w:r w:rsidRPr="008A09E4">
              <w:rPr>
                <w:i/>
                <w:iCs/>
                <w:lang w:val="fr-FR"/>
              </w:rPr>
              <w:t xml:space="preserve"> de fond</w:t>
            </w:r>
            <w:r>
              <w:rPr>
                <w:i/>
                <w:iCs/>
                <w:lang w:val="fr-FR"/>
              </w:rPr>
              <w:t> </w:t>
            </w:r>
            <w:r w:rsidRPr="00644E12">
              <w:rPr>
                <w:iCs/>
                <w:lang w:val="fr-FR"/>
              </w:rPr>
              <w:t>:</w:t>
            </w:r>
          </w:p>
        </w:tc>
        <w:tc>
          <w:tcPr>
            <w:tcW w:w="3970" w:type="dxa"/>
          </w:tcPr>
          <w:p w14:paraId="7B0D6953" w14:textId="77777777" w:rsidR="00E44C92" w:rsidRPr="008A09E4" w:rsidRDefault="00E44C92" w:rsidP="00247721">
            <w:pPr>
              <w:pStyle w:val="SingleTxtG"/>
              <w:ind w:left="0" w:right="0"/>
              <w:jc w:val="left"/>
              <w:rPr>
                <w:lang w:val="fr-FR"/>
              </w:rPr>
            </w:pPr>
            <w:r w:rsidRPr="008A09E4">
              <w:rPr>
                <w:iCs/>
                <w:lang w:val="fr-FR"/>
              </w:rPr>
              <w:t>Liberté d</w:t>
            </w:r>
            <w:r>
              <w:rPr>
                <w:iCs/>
                <w:lang w:val="fr-FR"/>
              </w:rPr>
              <w:t>’</w:t>
            </w:r>
            <w:r w:rsidRPr="008A09E4">
              <w:rPr>
                <w:iCs/>
                <w:lang w:val="fr-FR"/>
              </w:rPr>
              <w:t>expression</w:t>
            </w:r>
            <w:r>
              <w:rPr>
                <w:iCs/>
                <w:lang w:val="fr-FR"/>
              </w:rPr>
              <w:t> </w:t>
            </w:r>
            <w:r w:rsidRPr="008A09E4">
              <w:rPr>
                <w:iCs/>
                <w:lang w:val="fr-FR"/>
              </w:rPr>
              <w:t>; liberté de réunion</w:t>
            </w:r>
            <w:r>
              <w:rPr>
                <w:iCs/>
                <w:lang w:val="fr-FR"/>
              </w:rPr>
              <w:t> </w:t>
            </w:r>
            <w:r w:rsidRPr="008A09E4">
              <w:rPr>
                <w:lang w:val="fr-FR"/>
              </w:rPr>
              <w:t>; détention arbitraire</w:t>
            </w:r>
            <w:r>
              <w:rPr>
                <w:lang w:val="fr-FR"/>
              </w:rPr>
              <w:t> </w:t>
            </w:r>
            <w:r w:rsidRPr="008A09E4">
              <w:rPr>
                <w:lang w:val="fr-FR"/>
              </w:rPr>
              <w:t xml:space="preserve">; </w:t>
            </w:r>
            <w:r w:rsidRPr="008A09E4">
              <w:rPr>
                <w:iCs/>
                <w:lang w:val="fr-FR"/>
              </w:rPr>
              <w:t>traitements cruels et inhumains</w:t>
            </w:r>
          </w:p>
        </w:tc>
      </w:tr>
      <w:tr w:rsidR="00E44C92" w14:paraId="6CF5CF1F" w14:textId="77777777" w:rsidTr="00247721">
        <w:tc>
          <w:tcPr>
            <w:tcW w:w="2835" w:type="dxa"/>
          </w:tcPr>
          <w:p w14:paraId="13A025D8" w14:textId="77777777" w:rsidR="00E44C92" w:rsidRPr="008A09E4" w:rsidRDefault="00E44C92" w:rsidP="00247721">
            <w:pPr>
              <w:pStyle w:val="SingleTxtG"/>
              <w:ind w:left="0" w:right="0"/>
              <w:jc w:val="left"/>
              <w:rPr>
                <w:i/>
                <w:lang w:val="fr-FR"/>
              </w:rPr>
            </w:pPr>
            <w:r w:rsidRPr="008A09E4">
              <w:rPr>
                <w:i/>
                <w:iCs/>
                <w:lang w:val="fr-FR"/>
              </w:rPr>
              <w:t>Article</w:t>
            </w:r>
            <w:r>
              <w:rPr>
                <w:i/>
                <w:iCs/>
                <w:lang w:val="fr-FR"/>
              </w:rPr>
              <w:t>(</w:t>
            </w:r>
            <w:r w:rsidRPr="008A09E4">
              <w:rPr>
                <w:i/>
                <w:iCs/>
                <w:lang w:val="fr-FR"/>
              </w:rPr>
              <w:t>s</w:t>
            </w:r>
            <w:r>
              <w:rPr>
                <w:i/>
                <w:iCs/>
                <w:lang w:val="fr-FR"/>
              </w:rPr>
              <w:t>)</w:t>
            </w:r>
            <w:r w:rsidRPr="008A09E4">
              <w:rPr>
                <w:i/>
                <w:iCs/>
                <w:lang w:val="fr-FR"/>
              </w:rPr>
              <w:t xml:space="preserve"> du Pacte</w:t>
            </w:r>
            <w:r>
              <w:rPr>
                <w:i/>
                <w:iCs/>
                <w:lang w:val="fr-FR"/>
              </w:rPr>
              <w:t> </w:t>
            </w:r>
            <w:r w:rsidRPr="00644E12">
              <w:rPr>
                <w:iCs/>
                <w:lang w:val="fr-FR"/>
              </w:rPr>
              <w:t>:</w:t>
            </w:r>
          </w:p>
        </w:tc>
        <w:tc>
          <w:tcPr>
            <w:tcW w:w="3970" w:type="dxa"/>
          </w:tcPr>
          <w:p w14:paraId="01D895C1" w14:textId="77777777" w:rsidR="00E44C92" w:rsidRPr="008A09E4" w:rsidRDefault="00E44C92" w:rsidP="00247721">
            <w:pPr>
              <w:pStyle w:val="SingleTxtG"/>
              <w:ind w:left="0" w:right="0"/>
              <w:jc w:val="left"/>
              <w:rPr>
                <w:lang w:val="fr-FR"/>
              </w:rPr>
            </w:pPr>
            <w:bookmarkStart w:id="1" w:name="_Hlk10538691"/>
            <w:r w:rsidRPr="008A09E4">
              <w:rPr>
                <w:lang w:val="fr-FR"/>
              </w:rPr>
              <w:t>7, 9 (par</w:t>
            </w:r>
            <w:r w:rsidR="00F224D8" w:rsidRPr="00F224D8">
              <w:rPr>
                <w:lang w:val="fr-FR"/>
              </w:rPr>
              <w:t>.</w:t>
            </w:r>
            <w:r w:rsidRPr="008A09E4">
              <w:rPr>
                <w:lang w:val="fr-FR"/>
              </w:rPr>
              <w:t xml:space="preserve"> 1, 3 et 4), 10, 14 (par</w:t>
            </w:r>
            <w:r w:rsidR="00F224D8" w:rsidRPr="00F224D8">
              <w:rPr>
                <w:lang w:val="fr-FR"/>
              </w:rPr>
              <w:t>.</w:t>
            </w:r>
            <w:r w:rsidRPr="008A09E4">
              <w:rPr>
                <w:lang w:val="fr-FR"/>
              </w:rPr>
              <w:t xml:space="preserve"> 1, 2, 3 d) et e), 5 et 7), 19 et 21, lus conjointement avec l</w:t>
            </w:r>
            <w:r>
              <w:rPr>
                <w:lang w:val="fr-FR"/>
              </w:rPr>
              <w:t>’</w:t>
            </w:r>
            <w:r w:rsidRPr="008A09E4">
              <w:rPr>
                <w:lang w:val="fr-FR"/>
              </w:rPr>
              <w:t>article 2</w:t>
            </w:r>
            <w:bookmarkEnd w:id="1"/>
          </w:p>
        </w:tc>
      </w:tr>
      <w:tr w:rsidR="00E44C92" w14:paraId="492F160E" w14:textId="77777777" w:rsidTr="00247721">
        <w:tc>
          <w:tcPr>
            <w:tcW w:w="2835" w:type="dxa"/>
          </w:tcPr>
          <w:p w14:paraId="2D17D971" w14:textId="77777777" w:rsidR="00E44C92" w:rsidRPr="008A09E4" w:rsidRDefault="00E44C92" w:rsidP="00247721">
            <w:pPr>
              <w:pStyle w:val="SingleTxtG"/>
              <w:ind w:left="0" w:right="0"/>
              <w:jc w:val="left"/>
              <w:rPr>
                <w:i/>
                <w:lang w:val="fr-FR"/>
              </w:rPr>
            </w:pPr>
            <w:r w:rsidRPr="008A09E4">
              <w:rPr>
                <w:i/>
                <w:iCs/>
                <w:lang w:val="fr-FR"/>
              </w:rPr>
              <w:t>Article</w:t>
            </w:r>
            <w:r>
              <w:rPr>
                <w:i/>
                <w:iCs/>
                <w:lang w:val="fr-FR"/>
              </w:rPr>
              <w:t>(</w:t>
            </w:r>
            <w:r w:rsidRPr="008A09E4">
              <w:rPr>
                <w:i/>
                <w:iCs/>
                <w:lang w:val="fr-FR"/>
              </w:rPr>
              <w:t>s</w:t>
            </w:r>
            <w:r>
              <w:rPr>
                <w:i/>
                <w:iCs/>
                <w:lang w:val="fr-FR"/>
              </w:rPr>
              <w:t>)</w:t>
            </w:r>
            <w:r w:rsidRPr="008A09E4">
              <w:rPr>
                <w:i/>
                <w:iCs/>
                <w:lang w:val="fr-FR"/>
              </w:rPr>
              <w:t xml:space="preserve"> du Protocole facultatif</w:t>
            </w:r>
            <w:r>
              <w:rPr>
                <w:i/>
                <w:iCs/>
                <w:lang w:val="fr-FR"/>
              </w:rPr>
              <w:t> </w:t>
            </w:r>
            <w:r w:rsidRPr="00644E12">
              <w:rPr>
                <w:iCs/>
                <w:lang w:val="fr-FR"/>
              </w:rPr>
              <w:t>:</w:t>
            </w:r>
          </w:p>
        </w:tc>
        <w:tc>
          <w:tcPr>
            <w:tcW w:w="3970" w:type="dxa"/>
          </w:tcPr>
          <w:p w14:paraId="06FD944E" w14:textId="77777777" w:rsidR="00E44C92" w:rsidRPr="008A09E4" w:rsidRDefault="00E44C92" w:rsidP="00247721">
            <w:pPr>
              <w:pStyle w:val="SingleTxtG"/>
              <w:ind w:left="0" w:right="0"/>
              <w:jc w:val="left"/>
              <w:rPr>
                <w:lang w:val="fr-FR"/>
              </w:rPr>
            </w:pPr>
            <w:r w:rsidRPr="008A09E4">
              <w:rPr>
                <w:iCs/>
                <w:lang w:val="fr-FR"/>
              </w:rPr>
              <w:t>2 et 5 (par</w:t>
            </w:r>
            <w:r w:rsidR="00F224D8" w:rsidRPr="00F224D8">
              <w:rPr>
                <w:iCs/>
                <w:lang w:val="fr-FR"/>
              </w:rPr>
              <w:t>.</w:t>
            </w:r>
            <w:r w:rsidRPr="008A09E4">
              <w:rPr>
                <w:iCs/>
                <w:lang w:val="fr-FR"/>
              </w:rPr>
              <w:t xml:space="preserve"> 2 b))</w:t>
            </w:r>
          </w:p>
        </w:tc>
      </w:tr>
    </w:tbl>
    <w:p w14:paraId="2E6DE6E3" w14:textId="77777777" w:rsidR="00E44C92" w:rsidRPr="008A09E4" w:rsidRDefault="00E44C92" w:rsidP="00247721">
      <w:pPr>
        <w:pStyle w:val="SingleTxtG"/>
        <w:spacing w:before="120"/>
        <w:rPr>
          <w:lang w:val="fr-FR"/>
        </w:rPr>
      </w:pPr>
      <w:r w:rsidRPr="008A09E4">
        <w:rPr>
          <w:lang w:val="fr-FR"/>
        </w:rPr>
        <w:t>1</w:t>
      </w:r>
      <w:r w:rsidR="00F224D8" w:rsidRPr="00F224D8">
        <w:rPr>
          <w:lang w:val="fr-FR"/>
        </w:rPr>
        <w:t>.</w:t>
      </w:r>
      <w:r w:rsidRPr="008A09E4">
        <w:rPr>
          <w:lang w:val="fr-FR"/>
        </w:rPr>
        <w:tab/>
        <w:t>L</w:t>
      </w:r>
      <w:r>
        <w:rPr>
          <w:lang w:val="fr-FR"/>
        </w:rPr>
        <w:t>’</w:t>
      </w:r>
      <w:r w:rsidRPr="008A09E4">
        <w:rPr>
          <w:lang w:val="fr-FR"/>
        </w:rPr>
        <w:t>auteur de la communication est Fedor Mirzayanov, de nationalité bélarussienne, né en 1990</w:t>
      </w:r>
      <w:r w:rsidR="00F224D8" w:rsidRPr="00F224D8">
        <w:rPr>
          <w:lang w:val="fr-FR"/>
        </w:rPr>
        <w:t>.</w:t>
      </w:r>
      <w:r w:rsidRPr="008A09E4">
        <w:rPr>
          <w:lang w:val="fr-FR"/>
        </w:rPr>
        <w:t xml:space="preserve"> Il affirme que </w:t>
      </w:r>
      <w:r>
        <w:rPr>
          <w:lang w:val="fr-FR"/>
        </w:rPr>
        <w:t>l’État partie</w:t>
      </w:r>
      <w:r w:rsidRPr="008A09E4">
        <w:rPr>
          <w:lang w:val="fr-FR"/>
        </w:rPr>
        <w:t xml:space="preserve"> a violé les droits qu</w:t>
      </w:r>
      <w:r>
        <w:rPr>
          <w:lang w:val="fr-FR"/>
        </w:rPr>
        <w:t>’</w:t>
      </w:r>
      <w:r w:rsidRPr="008A09E4">
        <w:rPr>
          <w:lang w:val="fr-FR"/>
        </w:rPr>
        <w:t>il tient des articles 7, 9 (par</w:t>
      </w:r>
      <w:r w:rsidR="00F224D8" w:rsidRPr="00F224D8">
        <w:rPr>
          <w:lang w:val="fr-FR"/>
        </w:rPr>
        <w:t>.</w:t>
      </w:r>
      <w:r w:rsidRPr="008A09E4">
        <w:rPr>
          <w:lang w:val="fr-FR"/>
        </w:rPr>
        <w:t xml:space="preserve"> 1, 3 et</w:t>
      </w:r>
      <w:r>
        <w:rPr>
          <w:lang w:val="fr-FR"/>
        </w:rPr>
        <w:t> </w:t>
      </w:r>
      <w:r w:rsidRPr="008A09E4">
        <w:rPr>
          <w:lang w:val="fr-FR"/>
        </w:rPr>
        <w:t>4), 10, 14 (par</w:t>
      </w:r>
      <w:r w:rsidR="00F224D8" w:rsidRPr="00F224D8">
        <w:rPr>
          <w:lang w:val="fr-FR"/>
        </w:rPr>
        <w:t>.</w:t>
      </w:r>
      <w:r w:rsidRPr="008A09E4">
        <w:rPr>
          <w:lang w:val="fr-FR"/>
        </w:rPr>
        <w:t xml:space="preserve"> 1, 2, 3 d) et e), 5 et 7), 19 et 21, lus conjointement avec l</w:t>
      </w:r>
      <w:r>
        <w:rPr>
          <w:lang w:val="fr-FR"/>
        </w:rPr>
        <w:t>’</w:t>
      </w:r>
      <w:r w:rsidRPr="008A09E4">
        <w:rPr>
          <w:lang w:val="fr-FR"/>
        </w:rPr>
        <w:t>article 2 du Pacte</w:t>
      </w:r>
      <w:r w:rsidR="00F224D8" w:rsidRPr="00F224D8">
        <w:rPr>
          <w:lang w:val="fr-FR"/>
        </w:rPr>
        <w:t>.</w:t>
      </w:r>
      <w:r w:rsidRPr="008A09E4">
        <w:rPr>
          <w:lang w:val="fr-FR"/>
        </w:rPr>
        <w:t xml:space="preserve"> Le Protocole facultatif est entré en vigueur pour l</w:t>
      </w:r>
      <w:r>
        <w:rPr>
          <w:lang w:val="fr-FR"/>
        </w:rPr>
        <w:t>’</w:t>
      </w:r>
      <w:r w:rsidRPr="008A09E4">
        <w:rPr>
          <w:lang w:val="fr-FR"/>
        </w:rPr>
        <w:t>État partie le 30 décembre 1992</w:t>
      </w:r>
      <w:r w:rsidR="00F224D8" w:rsidRPr="00F224D8">
        <w:rPr>
          <w:lang w:val="fr-FR"/>
        </w:rPr>
        <w:t>.</w:t>
      </w:r>
      <w:r w:rsidRPr="008A09E4">
        <w:rPr>
          <w:lang w:val="fr-FR"/>
        </w:rPr>
        <w:t xml:space="preserve"> L</w:t>
      </w:r>
      <w:r>
        <w:rPr>
          <w:lang w:val="fr-FR"/>
        </w:rPr>
        <w:t>’</w:t>
      </w:r>
      <w:r w:rsidRPr="008A09E4">
        <w:rPr>
          <w:lang w:val="fr-FR"/>
        </w:rPr>
        <w:t>auteur n</w:t>
      </w:r>
      <w:r>
        <w:rPr>
          <w:lang w:val="fr-FR"/>
        </w:rPr>
        <w:t>’</w:t>
      </w:r>
      <w:r w:rsidRPr="008A09E4">
        <w:rPr>
          <w:lang w:val="fr-FR"/>
        </w:rPr>
        <w:t>est pas représenté par un conseil</w:t>
      </w:r>
      <w:r w:rsidR="00F224D8" w:rsidRPr="00F224D8">
        <w:rPr>
          <w:lang w:val="fr-FR"/>
        </w:rPr>
        <w:t>.</w:t>
      </w:r>
    </w:p>
    <w:p w14:paraId="493F5719" w14:textId="77777777" w:rsidR="00E44C92" w:rsidRPr="008A09E4" w:rsidRDefault="00E44C92" w:rsidP="00E44C92">
      <w:pPr>
        <w:pStyle w:val="H23G"/>
        <w:rPr>
          <w:lang w:val="fr-FR"/>
        </w:rPr>
      </w:pPr>
      <w:r w:rsidRPr="008A09E4">
        <w:rPr>
          <w:lang w:val="fr-FR"/>
        </w:rPr>
        <w:lastRenderedPageBreak/>
        <w:tab/>
      </w:r>
      <w:r w:rsidRPr="008A09E4">
        <w:rPr>
          <w:lang w:val="fr-FR"/>
        </w:rPr>
        <w:tab/>
        <w:t>Rappel des faits présentés par l</w:t>
      </w:r>
      <w:r>
        <w:rPr>
          <w:lang w:val="fr-FR"/>
        </w:rPr>
        <w:t>’</w:t>
      </w:r>
      <w:r w:rsidRPr="008A09E4">
        <w:rPr>
          <w:lang w:val="fr-FR"/>
        </w:rPr>
        <w:t>auteur</w:t>
      </w:r>
    </w:p>
    <w:p w14:paraId="1DFD429C" w14:textId="77777777" w:rsidR="00E44C92" w:rsidRPr="008A09E4" w:rsidRDefault="00E44C92" w:rsidP="00E44C92">
      <w:pPr>
        <w:pStyle w:val="SingleTxtG"/>
        <w:rPr>
          <w:lang w:val="fr-FR"/>
        </w:rPr>
      </w:pPr>
      <w:r w:rsidRPr="008A09E4">
        <w:rPr>
          <w:lang w:val="fr-FR"/>
        </w:rPr>
        <w:t>2</w:t>
      </w:r>
      <w:r w:rsidR="00F224D8" w:rsidRPr="00F224D8">
        <w:rPr>
          <w:lang w:val="fr-FR"/>
        </w:rPr>
        <w:t>.</w:t>
      </w:r>
      <w:r w:rsidRPr="008A09E4">
        <w:rPr>
          <w:lang w:val="fr-FR"/>
        </w:rPr>
        <w:t>1</w:t>
      </w:r>
      <w:r w:rsidRPr="008A09E4">
        <w:rPr>
          <w:lang w:val="fr-FR"/>
        </w:rPr>
        <w:tab/>
        <w:t>L</w:t>
      </w:r>
      <w:r>
        <w:rPr>
          <w:lang w:val="fr-FR"/>
        </w:rPr>
        <w:t>’</w:t>
      </w:r>
      <w:r w:rsidRPr="008A09E4">
        <w:rPr>
          <w:lang w:val="fr-FR"/>
        </w:rPr>
        <w:t>auteur était étudiant à l</w:t>
      </w:r>
      <w:r>
        <w:rPr>
          <w:lang w:val="fr-FR"/>
        </w:rPr>
        <w:t>’</w:t>
      </w:r>
      <w:r w:rsidRPr="008A09E4">
        <w:rPr>
          <w:lang w:val="fr-FR"/>
        </w:rPr>
        <w:t>Université d</w:t>
      </w:r>
      <w:r>
        <w:rPr>
          <w:lang w:val="fr-FR"/>
        </w:rPr>
        <w:t>’</w:t>
      </w:r>
      <w:r w:rsidRPr="008A09E4">
        <w:rPr>
          <w:lang w:val="fr-FR"/>
        </w:rPr>
        <w:t>État du Bélarus au moment des faits</w:t>
      </w:r>
      <w:r>
        <w:rPr>
          <w:lang w:val="fr-FR"/>
        </w:rPr>
        <w:t xml:space="preserve"> en question</w:t>
      </w:r>
      <w:r w:rsidR="00F224D8" w:rsidRPr="00F224D8">
        <w:rPr>
          <w:lang w:val="fr-FR"/>
        </w:rPr>
        <w:t>.</w:t>
      </w:r>
      <w:r w:rsidRPr="008A09E4">
        <w:rPr>
          <w:lang w:val="fr-FR"/>
        </w:rPr>
        <w:t xml:space="preserve"> Le 19 décembre 2010, il a pris part à un rassemblement public sur la place Okryabrskaya à Minsk</w:t>
      </w:r>
      <w:r w:rsidR="00F224D8" w:rsidRPr="00F224D8">
        <w:rPr>
          <w:lang w:val="fr-FR"/>
        </w:rPr>
        <w:t>.</w:t>
      </w:r>
      <w:r w:rsidRPr="008A09E4">
        <w:rPr>
          <w:lang w:val="fr-FR"/>
        </w:rPr>
        <w:t xml:space="preserve"> L</w:t>
      </w:r>
      <w:r>
        <w:rPr>
          <w:lang w:val="fr-FR"/>
        </w:rPr>
        <w:t>’</w:t>
      </w:r>
      <w:r w:rsidRPr="008A09E4">
        <w:rPr>
          <w:lang w:val="fr-FR"/>
        </w:rPr>
        <w:t>objectif de ce rassemblement était</w:t>
      </w:r>
      <w:r>
        <w:rPr>
          <w:lang w:val="fr-FR"/>
        </w:rPr>
        <w:t xml:space="preserve">, pour les participants, d’exprimer leur mécontentement au sujet du </w:t>
      </w:r>
      <w:r w:rsidRPr="008A09E4">
        <w:rPr>
          <w:lang w:val="fr-FR"/>
        </w:rPr>
        <w:t>caractère non démocratique des élections présidentielles qui se tenaient le même jour</w:t>
      </w:r>
      <w:r w:rsidR="00F224D8" w:rsidRPr="00F224D8">
        <w:rPr>
          <w:lang w:val="fr-FR"/>
        </w:rPr>
        <w:t>.</w:t>
      </w:r>
      <w:r w:rsidRPr="008A09E4">
        <w:rPr>
          <w:lang w:val="fr-FR"/>
        </w:rPr>
        <w:t xml:space="preserve"> L</w:t>
      </w:r>
      <w:r>
        <w:rPr>
          <w:lang w:val="fr-FR"/>
        </w:rPr>
        <w:t>’</w:t>
      </w:r>
      <w:r w:rsidRPr="008A09E4">
        <w:rPr>
          <w:lang w:val="fr-FR"/>
        </w:rPr>
        <w:t xml:space="preserve">auteur a participé au rassemblement afin de soutenir </w:t>
      </w:r>
      <w:r>
        <w:rPr>
          <w:lang w:val="fr-FR"/>
        </w:rPr>
        <w:t>Yaroslav</w:t>
      </w:r>
      <w:r w:rsidRPr="008A09E4">
        <w:rPr>
          <w:lang w:val="fr-FR"/>
        </w:rPr>
        <w:t xml:space="preserve"> Romanchuk, un candidat de l</w:t>
      </w:r>
      <w:r>
        <w:rPr>
          <w:lang w:val="fr-FR"/>
        </w:rPr>
        <w:t>’</w:t>
      </w:r>
      <w:r w:rsidRPr="008A09E4">
        <w:rPr>
          <w:lang w:val="fr-FR"/>
        </w:rPr>
        <w:t>opposition, et ignorait qu</w:t>
      </w:r>
      <w:r>
        <w:rPr>
          <w:lang w:val="fr-FR"/>
        </w:rPr>
        <w:t>’</w:t>
      </w:r>
      <w:r w:rsidRPr="008A09E4">
        <w:rPr>
          <w:lang w:val="fr-FR"/>
        </w:rPr>
        <w:t>aucune autorisation de rassemblement préalable n</w:t>
      </w:r>
      <w:r>
        <w:rPr>
          <w:lang w:val="fr-FR"/>
        </w:rPr>
        <w:t>’</w:t>
      </w:r>
      <w:r w:rsidRPr="008A09E4">
        <w:rPr>
          <w:lang w:val="fr-FR"/>
        </w:rPr>
        <w:t>avait été délivrée par les autorités</w:t>
      </w:r>
      <w:r w:rsidR="00F224D8" w:rsidRPr="00F224D8">
        <w:rPr>
          <w:lang w:val="fr-FR"/>
        </w:rPr>
        <w:t>.</w:t>
      </w:r>
    </w:p>
    <w:p w14:paraId="17F11D10" w14:textId="77777777" w:rsidR="00E44C92" w:rsidRPr="008A09E4" w:rsidRDefault="00E44C92" w:rsidP="00E44C92">
      <w:pPr>
        <w:pStyle w:val="SingleTxtG"/>
        <w:rPr>
          <w:lang w:val="fr-FR"/>
        </w:rPr>
      </w:pPr>
      <w:r w:rsidRPr="008A09E4">
        <w:rPr>
          <w:lang w:val="fr-FR"/>
        </w:rPr>
        <w:t>2</w:t>
      </w:r>
      <w:r w:rsidR="00F224D8" w:rsidRPr="00F224D8">
        <w:rPr>
          <w:lang w:val="fr-FR"/>
        </w:rPr>
        <w:t>.</w:t>
      </w:r>
      <w:r w:rsidRPr="008A09E4">
        <w:rPr>
          <w:lang w:val="fr-FR"/>
        </w:rPr>
        <w:t>2</w:t>
      </w:r>
      <w:r w:rsidRPr="008A09E4">
        <w:rPr>
          <w:lang w:val="fr-FR"/>
        </w:rPr>
        <w:tab/>
        <w:t>Plus de 10 000 personnes ont pris part au rassemblement</w:t>
      </w:r>
      <w:r w:rsidR="00F224D8" w:rsidRPr="00F224D8">
        <w:rPr>
          <w:lang w:val="fr-FR"/>
        </w:rPr>
        <w:t>.</w:t>
      </w:r>
      <w:r w:rsidRPr="008A09E4">
        <w:rPr>
          <w:lang w:val="fr-FR"/>
        </w:rPr>
        <w:t xml:space="preserve"> En dépit de la nature pacifique de la manifestation, la police a fait usage d</w:t>
      </w:r>
      <w:r>
        <w:rPr>
          <w:lang w:val="fr-FR"/>
        </w:rPr>
        <w:t>’</w:t>
      </w:r>
      <w:r w:rsidRPr="008A09E4">
        <w:rPr>
          <w:lang w:val="fr-FR"/>
        </w:rPr>
        <w:t>une force disproportionnée pour disperser la foule</w:t>
      </w:r>
      <w:r w:rsidR="00F224D8" w:rsidRPr="00F224D8">
        <w:rPr>
          <w:lang w:val="fr-FR"/>
        </w:rPr>
        <w:t>.</w:t>
      </w:r>
      <w:r w:rsidRPr="008A09E4">
        <w:rPr>
          <w:lang w:val="fr-FR"/>
        </w:rPr>
        <w:t xml:space="preserve"> Plus de 700 personnes ont été arrêtées, parmi lesquelles plus de 600 ont été placées en détention et inculpées en application de l</w:t>
      </w:r>
      <w:r>
        <w:rPr>
          <w:lang w:val="fr-FR"/>
        </w:rPr>
        <w:t>’</w:t>
      </w:r>
      <w:r w:rsidRPr="008A09E4">
        <w:rPr>
          <w:lang w:val="fr-FR"/>
        </w:rPr>
        <w:t>article 23</w:t>
      </w:r>
      <w:r w:rsidR="00F224D8" w:rsidRPr="00F224D8">
        <w:rPr>
          <w:lang w:val="fr-FR"/>
        </w:rPr>
        <w:t>.</w:t>
      </w:r>
      <w:r w:rsidRPr="008A09E4">
        <w:rPr>
          <w:lang w:val="fr-FR"/>
        </w:rPr>
        <w:t>34 du Code</w:t>
      </w:r>
      <w:r>
        <w:rPr>
          <w:lang w:val="fr-FR"/>
        </w:rPr>
        <w:t xml:space="preserve"> des infractions</w:t>
      </w:r>
      <w:r w:rsidRPr="008A09E4">
        <w:rPr>
          <w:lang w:val="fr-FR"/>
        </w:rPr>
        <w:t xml:space="preserve"> administrati</w:t>
      </w:r>
      <w:r>
        <w:rPr>
          <w:lang w:val="fr-FR"/>
        </w:rPr>
        <w:t>ves</w:t>
      </w:r>
      <w:r w:rsidRPr="008A09E4">
        <w:rPr>
          <w:lang w:val="fr-FR"/>
        </w:rPr>
        <w:t xml:space="preserve"> (non-respect de la procédure régissant la tenue de manifestations de masse)</w:t>
      </w:r>
      <w:r w:rsidR="00F224D8" w:rsidRPr="00F224D8">
        <w:rPr>
          <w:lang w:val="fr-FR"/>
        </w:rPr>
        <w:t>.</w:t>
      </w:r>
      <w:r w:rsidRPr="008A09E4">
        <w:rPr>
          <w:lang w:val="fr-FR"/>
        </w:rPr>
        <w:t xml:space="preserve"> En outre, des poursuites pénales ont été engagées contre des dizaines de participants au titre des articles 293 (participation à des émeutes) et 342 (organisation et préparation d</w:t>
      </w:r>
      <w:r>
        <w:rPr>
          <w:lang w:val="fr-FR"/>
        </w:rPr>
        <w:t>’</w:t>
      </w:r>
      <w:r w:rsidRPr="008A09E4">
        <w:rPr>
          <w:lang w:val="fr-FR"/>
        </w:rPr>
        <w:t>activités portant gravement atteinte à l</w:t>
      </w:r>
      <w:r>
        <w:rPr>
          <w:lang w:val="fr-FR"/>
        </w:rPr>
        <w:t>’</w:t>
      </w:r>
      <w:r w:rsidRPr="008A09E4">
        <w:rPr>
          <w:lang w:val="fr-FR"/>
        </w:rPr>
        <w:t>ordre public) du Code pénal</w:t>
      </w:r>
      <w:r w:rsidR="00F224D8" w:rsidRPr="00F224D8">
        <w:rPr>
          <w:lang w:val="fr-FR"/>
        </w:rPr>
        <w:t>.</w:t>
      </w:r>
      <w:r w:rsidRPr="008A09E4">
        <w:rPr>
          <w:lang w:val="fr-FR"/>
        </w:rPr>
        <w:t xml:space="preserve"> En 2011, bon nombre de ces participants, </w:t>
      </w:r>
      <w:r>
        <w:rPr>
          <w:lang w:val="fr-FR"/>
        </w:rPr>
        <w:t xml:space="preserve">dont </w:t>
      </w:r>
      <w:r w:rsidRPr="008A09E4">
        <w:rPr>
          <w:lang w:val="fr-FR"/>
        </w:rPr>
        <w:t>l</w:t>
      </w:r>
      <w:r>
        <w:rPr>
          <w:lang w:val="fr-FR"/>
        </w:rPr>
        <w:t>’</w:t>
      </w:r>
      <w:r w:rsidRPr="008A09E4">
        <w:rPr>
          <w:lang w:val="fr-FR"/>
        </w:rPr>
        <w:t>auteur, ont été reconnus coupables et condamnés à des peines de trois à six ans d</w:t>
      </w:r>
      <w:r>
        <w:rPr>
          <w:lang w:val="fr-FR"/>
        </w:rPr>
        <w:t>’</w:t>
      </w:r>
      <w:r w:rsidRPr="008A09E4">
        <w:rPr>
          <w:lang w:val="fr-FR"/>
        </w:rPr>
        <w:t>emprisonnement</w:t>
      </w:r>
      <w:r w:rsidR="00F224D8" w:rsidRPr="00F224D8">
        <w:rPr>
          <w:lang w:val="fr-FR"/>
        </w:rPr>
        <w:t>.</w:t>
      </w:r>
    </w:p>
    <w:p w14:paraId="17F49FBE" w14:textId="77777777" w:rsidR="00E44C92" w:rsidRPr="008A09E4" w:rsidRDefault="00E44C92" w:rsidP="00E44C92">
      <w:pPr>
        <w:pStyle w:val="SingleTxtG"/>
        <w:rPr>
          <w:lang w:val="fr-FR"/>
        </w:rPr>
      </w:pPr>
      <w:r w:rsidRPr="008A09E4">
        <w:rPr>
          <w:lang w:val="fr-FR"/>
        </w:rPr>
        <w:t>2</w:t>
      </w:r>
      <w:r w:rsidR="00F224D8" w:rsidRPr="00F224D8">
        <w:rPr>
          <w:lang w:val="fr-FR"/>
        </w:rPr>
        <w:t>.</w:t>
      </w:r>
      <w:r w:rsidRPr="008A09E4">
        <w:rPr>
          <w:lang w:val="fr-FR"/>
        </w:rPr>
        <w:t>3</w:t>
      </w:r>
      <w:r w:rsidRPr="008A09E4">
        <w:rPr>
          <w:lang w:val="fr-FR"/>
        </w:rPr>
        <w:tab/>
        <w:t>Le 19 décembre 2010, vers 22 h 30, l</w:t>
      </w:r>
      <w:r>
        <w:rPr>
          <w:lang w:val="fr-FR"/>
        </w:rPr>
        <w:t>’</w:t>
      </w:r>
      <w:r w:rsidRPr="008A09E4">
        <w:rPr>
          <w:lang w:val="fr-FR"/>
        </w:rPr>
        <w:t>auteur a été arrêté par la police sur la place Okryabrskaya</w:t>
      </w:r>
      <w:r w:rsidR="00F224D8" w:rsidRPr="00F224D8">
        <w:rPr>
          <w:lang w:val="fr-FR"/>
        </w:rPr>
        <w:t>.</w:t>
      </w:r>
      <w:r w:rsidRPr="008A09E4">
        <w:rPr>
          <w:lang w:val="fr-FR"/>
        </w:rPr>
        <w:t xml:space="preserve"> Le 20 décembre 2010, le tribunal du district Zavodskoï l</w:t>
      </w:r>
      <w:r>
        <w:rPr>
          <w:lang w:val="fr-FR"/>
        </w:rPr>
        <w:t>’</w:t>
      </w:r>
      <w:r w:rsidRPr="008A09E4">
        <w:rPr>
          <w:lang w:val="fr-FR"/>
        </w:rPr>
        <w:t>a déclaré coupable de l</w:t>
      </w:r>
      <w:r>
        <w:rPr>
          <w:lang w:val="fr-FR"/>
        </w:rPr>
        <w:t>’</w:t>
      </w:r>
      <w:r w:rsidRPr="008A09E4">
        <w:rPr>
          <w:lang w:val="fr-FR"/>
        </w:rPr>
        <w:t>infraction prévue à l</w:t>
      </w:r>
      <w:r>
        <w:rPr>
          <w:lang w:val="fr-FR"/>
        </w:rPr>
        <w:t>’</w:t>
      </w:r>
      <w:r w:rsidRPr="008A09E4">
        <w:rPr>
          <w:lang w:val="fr-FR"/>
        </w:rPr>
        <w:t>article 23</w:t>
      </w:r>
      <w:r w:rsidR="00F224D8" w:rsidRPr="00F224D8">
        <w:rPr>
          <w:lang w:val="fr-FR"/>
        </w:rPr>
        <w:t>.</w:t>
      </w:r>
      <w:r w:rsidRPr="008A09E4">
        <w:rPr>
          <w:lang w:val="fr-FR"/>
        </w:rPr>
        <w:t xml:space="preserve">34 du Code </w:t>
      </w:r>
      <w:r>
        <w:rPr>
          <w:lang w:val="fr-FR"/>
        </w:rPr>
        <w:t xml:space="preserve">des infractions </w:t>
      </w:r>
      <w:r w:rsidRPr="008A09E4">
        <w:rPr>
          <w:lang w:val="fr-FR"/>
        </w:rPr>
        <w:t>administrati</w:t>
      </w:r>
      <w:r>
        <w:rPr>
          <w:lang w:val="fr-FR"/>
        </w:rPr>
        <w:t>ves</w:t>
      </w:r>
      <w:r w:rsidRPr="008A09E4">
        <w:rPr>
          <w:lang w:val="fr-FR"/>
        </w:rPr>
        <w:t xml:space="preserve"> et l</w:t>
      </w:r>
      <w:r>
        <w:rPr>
          <w:lang w:val="fr-FR"/>
        </w:rPr>
        <w:t>’</w:t>
      </w:r>
      <w:r w:rsidRPr="008A09E4">
        <w:rPr>
          <w:lang w:val="fr-FR"/>
        </w:rPr>
        <w:t xml:space="preserve">a condamné à </w:t>
      </w:r>
      <w:r w:rsidR="00247721">
        <w:rPr>
          <w:lang w:val="fr-FR"/>
        </w:rPr>
        <w:t>quinze</w:t>
      </w:r>
      <w:r>
        <w:rPr>
          <w:lang w:val="fr-FR"/>
        </w:rPr>
        <w:t> </w:t>
      </w:r>
      <w:r w:rsidRPr="008A09E4">
        <w:rPr>
          <w:lang w:val="fr-FR"/>
        </w:rPr>
        <w:t>jours de détention administrative</w:t>
      </w:r>
      <w:r w:rsidR="00F224D8" w:rsidRPr="00F224D8">
        <w:rPr>
          <w:lang w:val="fr-FR"/>
        </w:rPr>
        <w:t>.</w:t>
      </w:r>
      <w:r w:rsidRPr="008A09E4">
        <w:rPr>
          <w:lang w:val="fr-FR"/>
        </w:rPr>
        <w:t xml:space="preserve"> Selon la décision du tribunal, l</w:t>
      </w:r>
      <w:r>
        <w:rPr>
          <w:lang w:val="fr-FR"/>
        </w:rPr>
        <w:t>’</w:t>
      </w:r>
      <w:r w:rsidRPr="008A09E4">
        <w:rPr>
          <w:lang w:val="fr-FR"/>
        </w:rPr>
        <w:t xml:space="preserve">auteur a pris part à un rassemblement non autorisé, </w:t>
      </w:r>
      <w:r>
        <w:rPr>
          <w:lang w:val="fr-FR"/>
        </w:rPr>
        <w:t>criant</w:t>
      </w:r>
      <w:r w:rsidRPr="008A09E4">
        <w:rPr>
          <w:lang w:val="fr-FR"/>
        </w:rPr>
        <w:t xml:space="preserve"> « Vive le Bélarus » et « Dehors ! »</w:t>
      </w:r>
      <w:r>
        <w:rPr>
          <w:lang w:val="fr-FR"/>
        </w:rPr>
        <w:t>,</w:t>
      </w:r>
      <w:r w:rsidRPr="008A09E4">
        <w:rPr>
          <w:lang w:val="fr-FR"/>
        </w:rPr>
        <w:t xml:space="preserve"> et n</w:t>
      </w:r>
      <w:r>
        <w:rPr>
          <w:lang w:val="fr-FR"/>
        </w:rPr>
        <w:t>’</w:t>
      </w:r>
      <w:r w:rsidRPr="008A09E4">
        <w:rPr>
          <w:lang w:val="fr-FR"/>
        </w:rPr>
        <w:t>a pas obéi aux policiers qui lui avaient ordonné de cesser ses « activités illicites »</w:t>
      </w:r>
      <w:r w:rsidR="00F224D8" w:rsidRPr="00F224D8">
        <w:rPr>
          <w:lang w:val="fr-FR"/>
        </w:rPr>
        <w:t>.</w:t>
      </w:r>
      <w:r w:rsidRPr="008A09E4">
        <w:rPr>
          <w:lang w:val="fr-FR"/>
        </w:rPr>
        <w:t xml:space="preserve"> Le 23</w:t>
      </w:r>
      <w:r w:rsidR="00247721">
        <w:rPr>
          <w:lang w:val="fr-FR"/>
        </w:rPr>
        <w:t> </w:t>
      </w:r>
      <w:r w:rsidRPr="008A09E4">
        <w:rPr>
          <w:lang w:val="fr-FR"/>
        </w:rPr>
        <w:t>décembre 2010, l</w:t>
      </w:r>
      <w:r>
        <w:rPr>
          <w:lang w:val="fr-FR"/>
        </w:rPr>
        <w:t>’</w:t>
      </w:r>
      <w:r w:rsidRPr="008A09E4">
        <w:rPr>
          <w:lang w:val="fr-FR"/>
        </w:rPr>
        <w:t>auteur a fait appel de la décision du tribunal du district Zavodskoï mais son recours a été rejeté</w:t>
      </w:r>
      <w:r w:rsidR="00F224D8" w:rsidRPr="00F224D8">
        <w:rPr>
          <w:lang w:val="fr-FR"/>
        </w:rPr>
        <w:t>.</w:t>
      </w:r>
    </w:p>
    <w:p w14:paraId="1EA106F4" w14:textId="77777777" w:rsidR="00E44C92" w:rsidRPr="008A09E4" w:rsidRDefault="00E44C92" w:rsidP="00E44C92">
      <w:pPr>
        <w:pStyle w:val="SingleTxtG"/>
        <w:rPr>
          <w:lang w:val="fr-FR"/>
        </w:rPr>
      </w:pPr>
      <w:r w:rsidRPr="008A09E4">
        <w:rPr>
          <w:lang w:val="fr-FR"/>
        </w:rPr>
        <w:t>2</w:t>
      </w:r>
      <w:r w:rsidR="00F224D8" w:rsidRPr="00F224D8">
        <w:rPr>
          <w:lang w:val="fr-FR"/>
        </w:rPr>
        <w:t>.</w:t>
      </w:r>
      <w:r w:rsidRPr="008A09E4">
        <w:rPr>
          <w:lang w:val="fr-FR"/>
        </w:rPr>
        <w:t>4</w:t>
      </w:r>
      <w:r w:rsidRPr="008A09E4">
        <w:rPr>
          <w:lang w:val="fr-FR"/>
        </w:rPr>
        <w:tab/>
        <w:t>Le 19 janvier 2011, l</w:t>
      </w:r>
      <w:r>
        <w:rPr>
          <w:lang w:val="fr-FR"/>
        </w:rPr>
        <w:t>’</w:t>
      </w:r>
      <w:r w:rsidRPr="008A09E4">
        <w:rPr>
          <w:lang w:val="fr-FR"/>
        </w:rPr>
        <w:t>auteur a été cité à comparaître le 26 janvier 2011 devant un enquêteur de la Commission de la sûreté de l</w:t>
      </w:r>
      <w:r>
        <w:rPr>
          <w:lang w:val="fr-FR"/>
        </w:rPr>
        <w:t>’</w:t>
      </w:r>
      <w:r w:rsidRPr="008A09E4">
        <w:rPr>
          <w:lang w:val="fr-FR"/>
        </w:rPr>
        <w:t>État</w:t>
      </w:r>
      <w:r w:rsidR="00F224D8" w:rsidRPr="00F224D8">
        <w:rPr>
          <w:lang w:val="fr-FR"/>
        </w:rPr>
        <w:t>.</w:t>
      </w:r>
      <w:r w:rsidRPr="008A09E4">
        <w:rPr>
          <w:lang w:val="fr-FR"/>
        </w:rPr>
        <w:t xml:space="preserve"> Toutefois, le 25 janvier 2011, il a été arrêté à son domicile par la police parce qu</w:t>
      </w:r>
      <w:r>
        <w:rPr>
          <w:lang w:val="fr-FR"/>
        </w:rPr>
        <w:t>’</w:t>
      </w:r>
      <w:r w:rsidRPr="008A09E4">
        <w:rPr>
          <w:lang w:val="fr-FR"/>
        </w:rPr>
        <w:t>il était soupçonné d</w:t>
      </w:r>
      <w:r>
        <w:rPr>
          <w:lang w:val="fr-FR"/>
        </w:rPr>
        <w:t>’</w:t>
      </w:r>
      <w:r w:rsidRPr="008A09E4">
        <w:rPr>
          <w:lang w:val="fr-FR"/>
        </w:rPr>
        <w:t>avoir commis l</w:t>
      </w:r>
      <w:r>
        <w:rPr>
          <w:lang w:val="fr-FR"/>
        </w:rPr>
        <w:t>’</w:t>
      </w:r>
      <w:r w:rsidRPr="008A09E4">
        <w:rPr>
          <w:lang w:val="fr-FR"/>
        </w:rPr>
        <w:t>infraction visée aux paragraphes 1 et 2 de l</w:t>
      </w:r>
      <w:r>
        <w:rPr>
          <w:lang w:val="fr-FR"/>
        </w:rPr>
        <w:t>’</w:t>
      </w:r>
      <w:r w:rsidRPr="008A09E4">
        <w:rPr>
          <w:lang w:val="fr-FR"/>
        </w:rPr>
        <w:t>article 293 du Code pénal (participation à des émeutes)</w:t>
      </w:r>
      <w:r w:rsidR="00F224D8" w:rsidRPr="00F224D8">
        <w:rPr>
          <w:lang w:val="fr-FR"/>
        </w:rPr>
        <w:t>.</w:t>
      </w:r>
      <w:r w:rsidRPr="008A09E4">
        <w:rPr>
          <w:lang w:val="fr-FR"/>
        </w:rPr>
        <w:t xml:space="preserve"> Le 27 janvier 2011, le procureur adjoint de la ville de Minsk a validé son arrestation et son transfert dans un centre de détention provisoire</w:t>
      </w:r>
      <w:r w:rsidR="00F224D8" w:rsidRPr="00F224D8">
        <w:rPr>
          <w:lang w:val="fr-FR"/>
        </w:rPr>
        <w:t>.</w:t>
      </w:r>
      <w:r w:rsidRPr="008A09E4">
        <w:rPr>
          <w:lang w:val="fr-FR"/>
        </w:rPr>
        <w:t xml:space="preserve"> Le 31 janvier 2011, l</w:t>
      </w:r>
      <w:r>
        <w:rPr>
          <w:lang w:val="fr-FR"/>
        </w:rPr>
        <w:t>’</w:t>
      </w:r>
      <w:r w:rsidRPr="008A09E4">
        <w:rPr>
          <w:lang w:val="fr-FR"/>
        </w:rPr>
        <w:t>auteur et quatre autres personnes, dont Andrei Sannikov, candidat aux élections présidentielles issu de l</w:t>
      </w:r>
      <w:r>
        <w:rPr>
          <w:lang w:val="fr-FR"/>
        </w:rPr>
        <w:t>’</w:t>
      </w:r>
      <w:r w:rsidRPr="008A09E4">
        <w:rPr>
          <w:lang w:val="fr-FR"/>
        </w:rPr>
        <w:t>opposition, ont été inculpés pour cette infraction</w:t>
      </w:r>
      <w:r w:rsidR="00F224D8" w:rsidRPr="00F224D8">
        <w:rPr>
          <w:lang w:val="fr-FR"/>
        </w:rPr>
        <w:t>.</w:t>
      </w:r>
    </w:p>
    <w:p w14:paraId="22948AB2" w14:textId="77777777" w:rsidR="00E44C92" w:rsidRPr="008A09E4" w:rsidRDefault="00E44C92" w:rsidP="00E44C92">
      <w:pPr>
        <w:pStyle w:val="SingleTxtG"/>
        <w:rPr>
          <w:lang w:val="fr-FR"/>
        </w:rPr>
      </w:pPr>
      <w:r w:rsidRPr="008A09E4">
        <w:rPr>
          <w:lang w:val="fr-FR"/>
        </w:rPr>
        <w:t>2</w:t>
      </w:r>
      <w:r w:rsidR="00F224D8" w:rsidRPr="00F224D8">
        <w:rPr>
          <w:lang w:val="fr-FR"/>
        </w:rPr>
        <w:t>.</w:t>
      </w:r>
      <w:r w:rsidRPr="008A09E4">
        <w:rPr>
          <w:lang w:val="fr-FR"/>
        </w:rPr>
        <w:t>5</w:t>
      </w:r>
      <w:r w:rsidRPr="008A09E4">
        <w:rPr>
          <w:lang w:val="fr-FR"/>
        </w:rPr>
        <w:tab/>
        <w:t>Pendant la détention, la police a fait subir à l</w:t>
      </w:r>
      <w:r>
        <w:rPr>
          <w:lang w:val="fr-FR"/>
        </w:rPr>
        <w:t>’</w:t>
      </w:r>
      <w:r w:rsidRPr="008A09E4">
        <w:rPr>
          <w:lang w:val="fr-FR"/>
        </w:rPr>
        <w:t>auteur des pressions psychologiques afin qu</w:t>
      </w:r>
      <w:r>
        <w:rPr>
          <w:lang w:val="fr-FR"/>
        </w:rPr>
        <w:t>’</w:t>
      </w:r>
      <w:r w:rsidRPr="008A09E4">
        <w:rPr>
          <w:lang w:val="fr-FR"/>
        </w:rPr>
        <w:t>il témoigne contre des candidats de l</w:t>
      </w:r>
      <w:r>
        <w:rPr>
          <w:lang w:val="fr-FR"/>
        </w:rPr>
        <w:t>’</w:t>
      </w:r>
      <w:r w:rsidRPr="008A09E4">
        <w:rPr>
          <w:lang w:val="fr-FR"/>
        </w:rPr>
        <w:t>opposition</w:t>
      </w:r>
      <w:r w:rsidR="00F224D8" w:rsidRPr="00F224D8">
        <w:rPr>
          <w:lang w:val="fr-FR"/>
        </w:rPr>
        <w:t>.</w:t>
      </w:r>
      <w:r w:rsidRPr="008A09E4">
        <w:rPr>
          <w:lang w:val="fr-FR"/>
        </w:rPr>
        <w:t xml:space="preserve"> L</w:t>
      </w:r>
      <w:r>
        <w:rPr>
          <w:lang w:val="fr-FR"/>
        </w:rPr>
        <w:t>’</w:t>
      </w:r>
      <w:r w:rsidRPr="008A09E4">
        <w:rPr>
          <w:lang w:val="fr-FR"/>
        </w:rPr>
        <w:t>auteur a été placé dans une « cellule de torture », comme l</w:t>
      </w:r>
      <w:r>
        <w:rPr>
          <w:lang w:val="fr-FR"/>
        </w:rPr>
        <w:t>’</w:t>
      </w:r>
      <w:r w:rsidRPr="008A09E4">
        <w:rPr>
          <w:lang w:val="fr-FR"/>
        </w:rPr>
        <w:t>appellent les détenus, d</w:t>
      </w:r>
      <w:r>
        <w:rPr>
          <w:lang w:val="fr-FR"/>
        </w:rPr>
        <w:t>’</w:t>
      </w:r>
      <w:r w:rsidRPr="008A09E4">
        <w:rPr>
          <w:lang w:val="fr-FR"/>
        </w:rPr>
        <w:t>une superficie de 12 mètres carrés et prévue pour accueillir 13 personnes</w:t>
      </w:r>
      <w:r w:rsidR="00F224D8" w:rsidRPr="00F224D8">
        <w:rPr>
          <w:lang w:val="fr-FR"/>
        </w:rPr>
        <w:t>.</w:t>
      </w:r>
      <w:r w:rsidRPr="008A09E4">
        <w:rPr>
          <w:lang w:val="fr-FR"/>
        </w:rPr>
        <w:t xml:space="preserve"> Il y a été détenu avec 21 autres personnes dans des conditions insalubres, sans lumière naturelle ni ventilation</w:t>
      </w:r>
      <w:r w:rsidR="00F224D8" w:rsidRPr="00F224D8">
        <w:rPr>
          <w:lang w:val="fr-FR"/>
        </w:rPr>
        <w:t>.</w:t>
      </w:r>
      <w:r w:rsidRPr="008A09E4">
        <w:rPr>
          <w:lang w:val="fr-FR"/>
        </w:rPr>
        <w:t xml:space="preserve"> En juin, la température a atteint 32</w:t>
      </w:r>
      <w:r>
        <w:rPr>
          <w:lang w:val="fr-FR"/>
        </w:rPr>
        <w:t> °</w:t>
      </w:r>
      <w:r w:rsidRPr="008A09E4">
        <w:rPr>
          <w:lang w:val="fr-FR"/>
        </w:rPr>
        <w:t>C</w:t>
      </w:r>
      <w:r>
        <w:rPr>
          <w:lang w:val="fr-FR"/>
        </w:rPr>
        <w:t xml:space="preserve"> </w:t>
      </w:r>
      <w:r w:rsidRPr="008A09E4">
        <w:rPr>
          <w:lang w:val="fr-FR"/>
        </w:rPr>
        <w:t>à Minsk, mais il faisait encore bien plus chaud dans la cellule</w:t>
      </w:r>
      <w:r w:rsidR="00F224D8" w:rsidRPr="00F224D8">
        <w:rPr>
          <w:lang w:val="fr-FR"/>
        </w:rPr>
        <w:t>.</w:t>
      </w:r>
      <w:r w:rsidRPr="008A09E4">
        <w:rPr>
          <w:lang w:val="fr-FR"/>
        </w:rPr>
        <w:t xml:space="preserve"> L</w:t>
      </w:r>
      <w:r>
        <w:rPr>
          <w:lang w:val="fr-FR"/>
        </w:rPr>
        <w:t>’</w:t>
      </w:r>
      <w:r w:rsidRPr="008A09E4">
        <w:rPr>
          <w:lang w:val="fr-FR"/>
        </w:rPr>
        <w:t>auteur n</w:t>
      </w:r>
      <w:r>
        <w:rPr>
          <w:lang w:val="fr-FR"/>
        </w:rPr>
        <w:t>’</w:t>
      </w:r>
      <w:r w:rsidRPr="008A09E4">
        <w:rPr>
          <w:lang w:val="fr-FR"/>
        </w:rPr>
        <w:t>était autorisé à en sortir pour une promenade qu</w:t>
      </w:r>
      <w:r>
        <w:rPr>
          <w:lang w:val="fr-FR"/>
        </w:rPr>
        <w:t>’</w:t>
      </w:r>
      <w:r w:rsidRPr="008A09E4">
        <w:rPr>
          <w:lang w:val="fr-FR"/>
        </w:rPr>
        <w:t xml:space="preserve">une fois par jour, ne </w:t>
      </w:r>
      <w:r>
        <w:rPr>
          <w:lang w:val="fr-FR"/>
        </w:rPr>
        <w:t>pouvait prendre</w:t>
      </w:r>
      <w:r w:rsidRPr="008A09E4">
        <w:rPr>
          <w:lang w:val="fr-FR"/>
        </w:rPr>
        <w:t xml:space="preserve"> une douche qu</w:t>
      </w:r>
      <w:r>
        <w:rPr>
          <w:lang w:val="fr-FR"/>
        </w:rPr>
        <w:t>’</w:t>
      </w:r>
      <w:r w:rsidRPr="008A09E4">
        <w:rPr>
          <w:lang w:val="fr-FR"/>
        </w:rPr>
        <w:t xml:space="preserve">une fois tous les dix jours et ne parvenait pas à dormir plus de trois ou quatre heures par </w:t>
      </w:r>
      <w:r>
        <w:rPr>
          <w:lang w:val="fr-FR"/>
        </w:rPr>
        <w:t>nuit</w:t>
      </w:r>
      <w:r w:rsidR="00F224D8" w:rsidRPr="00F224D8">
        <w:rPr>
          <w:lang w:val="fr-FR"/>
        </w:rPr>
        <w:t>.</w:t>
      </w:r>
      <w:r w:rsidRPr="008A09E4">
        <w:rPr>
          <w:lang w:val="fr-FR"/>
        </w:rPr>
        <w:t xml:space="preserve"> Ses codétenus avaient la grippe, la gale ou la pédiculose</w:t>
      </w:r>
      <w:r w:rsidR="00F224D8" w:rsidRPr="00F224D8">
        <w:rPr>
          <w:lang w:val="fr-FR"/>
        </w:rPr>
        <w:t>.</w:t>
      </w:r>
      <w:r w:rsidRPr="008A09E4">
        <w:rPr>
          <w:lang w:val="fr-FR"/>
        </w:rPr>
        <w:t xml:space="preserve"> À partir du moment où ses codétenus ont su qu</w:t>
      </w:r>
      <w:r>
        <w:rPr>
          <w:lang w:val="fr-FR"/>
        </w:rPr>
        <w:t>’</w:t>
      </w:r>
      <w:r w:rsidRPr="008A09E4">
        <w:rPr>
          <w:lang w:val="fr-FR"/>
        </w:rPr>
        <w:t>un article sur la « cellule de torture » avait été publié sur l</w:t>
      </w:r>
      <w:r>
        <w:rPr>
          <w:lang w:val="fr-FR"/>
        </w:rPr>
        <w:t>’</w:t>
      </w:r>
      <w:r w:rsidRPr="008A09E4">
        <w:rPr>
          <w:lang w:val="fr-FR"/>
        </w:rPr>
        <w:t>un des sites Web de l</w:t>
      </w:r>
      <w:r>
        <w:rPr>
          <w:lang w:val="fr-FR"/>
        </w:rPr>
        <w:t>’</w:t>
      </w:r>
      <w:r w:rsidRPr="008A09E4">
        <w:rPr>
          <w:lang w:val="fr-FR"/>
        </w:rPr>
        <w:t>opposition, l</w:t>
      </w:r>
      <w:r>
        <w:rPr>
          <w:lang w:val="fr-FR"/>
        </w:rPr>
        <w:t>’</w:t>
      </w:r>
      <w:r w:rsidRPr="008A09E4">
        <w:rPr>
          <w:lang w:val="fr-FR"/>
        </w:rPr>
        <w:t>auteur a commencé à recevoir des menaces de mort et de viol de leur part, menaces que l</w:t>
      </w:r>
      <w:r>
        <w:rPr>
          <w:lang w:val="fr-FR"/>
        </w:rPr>
        <w:t>’</w:t>
      </w:r>
      <w:r w:rsidRPr="008A09E4">
        <w:rPr>
          <w:lang w:val="fr-FR"/>
        </w:rPr>
        <w:t>administration du centre pénitentiaire a ignorées</w:t>
      </w:r>
      <w:r w:rsidR="00F224D8" w:rsidRPr="00F224D8">
        <w:rPr>
          <w:lang w:val="fr-FR"/>
        </w:rPr>
        <w:t>.</w:t>
      </w:r>
      <w:r w:rsidRPr="008A09E4">
        <w:rPr>
          <w:lang w:val="fr-FR"/>
        </w:rPr>
        <w:t xml:space="preserve"> L</w:t>
      </w:r>
      <w:r>
        <w:rPr>
          <w:lang w:val="fr-FR"/>
        </w:rPr>
        <w:t>’</w:t>
      </w:r>
      <w:r w:rsidRPr="008A09E4">
        <w:rPr>
          <w:lang w:val="fr-FR"/>
        </w:rPr>
        <w:t>auteur s</w:t>
      </w:r>
      <w:r>
        <w:rPr>
          <w:lang w:val="fr-FR"/>
        </w:rPr>
        <w:t>’</w:t>
      </w:r>
      <w:r w:rsidRPr="008A09E4">
        <w:rPr>
          <w:lang w:val="fr-FR"/>
        </w:rPr>
        <w:t>est plaint de mauvais traitements et de ses conditions de détention auprès du tribunal de première instance et auprès du procureur de la ville de Minsk dans son recours au titre de la procédure de contrôle, mais aucune enquête n</w:t>
      </w:r>
      <w:r>
        <w:rPr>
          <w:lang w:val="fr-FR"/>
        </w:rPr>
        <w:t>’</w:t>
      </w:r>
      <w:r w:rsidRPr="008A09E4">
        <w:rPr>
          <w:lang w:val="fr-FR"/>
        </w:rPr>
        <w:t>a été lancée</w:t>
      </w:r>
      <w:r w:rsidR="00F224D8" w:rsidRPr="00F224D8">
        <w:rPr>
          <w:lang w:val="fr-FR"/>
        </w:rPr>
        <w:t>.</w:t>
      </w:r>
    </w:p>
    <w:p w14:paraId="37999027" w14:textId="77777777" w:rsidR="00E44C92" w:rsidRPr="008A09E4" w:rsidRDefault="00E44C92" w:rsidP="00E44C92">
      <w:pPr>
        <w:pStyle w:val="SingleTxtG"/>
        <w:rPr>
          <w:lang w:val="fr-FR"/>
        </w:rPr>
      </w:pPr>
      <w:r w:rsidRPr="008A09E4">
        <w:rPr>
          <w:lang w:val="fr-FR"/>
        </w:rPr>
        <w:t>2</w:t>
      </w:r>
      <w:r w:rsidR="00F224D8" w:rsidRPr="00F224D8">
        <w:rPr>
          <w:lang w:val="fr-FR"/>
        </w:rPr>
        <w:t>.</w:t>
      </w:r>
      <w:r w:rsidRPr="008A09E4">
        <w:rPr>
          <w:lang w:val="fr-FR"/>
        </w:rPr>
        <w:t>6</w:t>
      </w:r>
      <w:r w:rsidRPr="008A09E4">
        <w:rPr>
          <w:lang w:val="fr-FR"/>
        </w:rPr>
        <w:tab/>
        <w:t>À une date inconnue, l</w:t>
      </w:r>
      <w:r>
        <w:rPr>
          <w:lang w:val="fr-FR"/>
        </w:rPr>
        <w:t>’</w:t>
      </w:r>
      <w:r w:rsidRPr="008A09E4">
        <w:rPr>
          <w:lang w:val="fr-FR"/>
        </w:rPr>
        <w:t xml:space="preserve">auteur a fait appel de la décision validant </w:t>
      </w:r>
      <w:r>
        <w:rPr>
          <w:lang w:val="fr-FR"/>
        </w:rPr>
        <w:t xml:space="preserve">son </w:t>
      </w:r>
      <w:r w:rsidRPr="008A09E4">
        <w:rPr>
          <w:lang w:val="fr-FR"/>
        </w:rPr>
        <w:t>arrestation devant le tribunal du district Tsentralny de Minsk</w:t>
      </w:r>
      <w:r w:rsidR="00F224D8" w:rsidRPr="00F224D8">
        <w:rPr>
          <w:lang w:val="fr-FR"/>
        </w:rPr>
        <w:t>.</w:t>
      </w:r>
      <w:r w:rsidRPr="008A09E4">
        <w:rPr>
          <w:lang w:val="fr-FR"/>
        </w:rPr>
        <w:t xml:space="preserve"> Le 14 mars 2011, le tribunal a rejeté son appel</w:t>
      </w:r>
      <w:r w:rsidR="00F224D8" w:rsidRPr="00F224D8">
        <w:rPr>
          <w:lang w:val="fr-FR"/>
        </w:rPr>
        <w:t>.</w:t>
      </w:r>
      <w:r w:rsidRPr="008A09E4">
        <w:rPr>
          <w:lang w:val="fr-FR"/>
        </w:rPr>
        <w:t xml:space="preserve"> L</w:t>
      </w:r>
      <w:r>
        <w:rPr>
          <w:lang w:val="fr-FR"/>
        </w:rPr>
        <w:t>’</w:t>
      </w:r>
      <w:r w:rsidRPr="008A09E4">
        <w:rPr>
          <w:lang w:val="fr-FR"/>
        </w:rPr>
        <w:t>audience s</w:t>
      </w:r>
      <w:r>
        <w:rPr>
          <w:lang w:val="fr-FR"/>
        </w:rPr>
        <w:t>’</w:t>
      </w:r>
      <w:r w:rsidRPr="008A09E4">
        <w:rPr>
          <w:lang w:val="fr-FR"/>
        </w:rPr>
        <w:t xml:space="preserve">est déroulée à huis clos et </w:t>
      </w:r>
      <w:r>
        <w:rPr>
          <w:lang w:val="fr-FR"/>
        </w:rPr>
        <w:t>sans que</w:t>
      </w:r>
      <w:r w:rsidRPr="008A09E4">
        <w:rPr>
          <w:lang w:val="fr-FR"/>
        </w:rPr>
        <w:t xml:space="preserve"> l</w:t>
      </w:r>
      <w:r>
        <w:rPr>
          <w:lang w:val="fr-FR"/>
        </w:rPr>
        <w:t>’</w:t>
      </w:r>
      <w:r w:rsidRPr="008A09E4">
        <w:rPr>
          <w:lang w:val="fr-FR"/>
        </w:rPr>
        <w:t>auteur</w:t>
      </w:r>
      <w:r>
        <w:rPr>
          <w:lang w:val="fr-FR"/>
        </w:rPr>
        <w:t xml:space="preserve"> soit présent</w:t>
      </w:r>
      <w:r w:rsidR="00F224D8" w:rsidRPr="00F224D8">
        <w:rPr>
          <w:lang w:val="fr-FR"/>
        </w:rPr>
        <w:t>.</w:t>
      </w:r>
      <w:r w:rsidRPr="008A09E4">
        <w:rPr>
          <w:lang w:val="fr-FR"/>
        </w:rPr>
        <w:t xml:space="preserve"> La détention de l</w:t>
      </w:r>
      <w:r>
        <w:rPr>
          <w:lang w:val="fr-FR"/>
        </w:rPr>
        <w:t>’</w:t>
      </w:r>
      <w:r w:rsidRPr="008A09E4">
        <w:rPr>
          <w:lang w:val="fr-FR"/>
        </w:rPr>
        <w:t xml:space="preserve">auteur a été prolongée à deux reprises, la première fois le 2 mars 2011 par le procureur adjoint de la ville de Minsk et la seconde le 18 avril 2011 par le tribunal du </w:t>
      </w:r>
      <w:bookmarkStart w:id="2" w:name="_Hlk10710708"/>
      <w:r w:rsidRPr="008A09E4">
        <w:rPr>
          <w:lang w:val="fr-FR"/>
        </w:rPr>
        <w:t>district Partizansky de Minsk</w:t>
      </w:r>
      <w:bookmarkEnd w:id="2"/>
      <w:r w:rsidR="00F224D8" w:rsidRPr="00F224D8">
        <w:rPr>
          <w:lang w:val="fr-FR"/>
        </w:rPr>
        <w:t>.</w:t>
      </w:r>
    </w:p>
    <w:p w14:paraId="193BF892" w14:textId="77777777" w:rsidR="00E44C92" w:rsidRPr="008A09E4" w:rsidRDefault="00E44C92" w:rsidP="00E44C92">
      <w:pPr>
        <w:pStyle w:val="SingleTxtG"/>
        <w:rPr>
          <w:lang w:val="fr-FR"/>
        </w:rPr>
      </w:pPr>
      <w:r w:rsidRPr="008A09E4">
        <w:rPr>
          <w:lang w:val="fr-FR"/>
        </w:rPr>
        <w:lastRenderedPageBreak/>
        <w:t>2</w:t>
      </w:r>
      <w:r w:rsidR="00F224D8" w:rsidRPr="00F224D8">
        <w:rPr>
          <w:lang w:val="fr-FR"/>
        </w:rPr>
        <w:t>.</w:t>
      </w:r>
      <w:r w:rsidRPr="008A09E4">
        <w:rPr>
          <w:lang w:val="fr-FR"/>
        </w:rPr>
        <w:t>7</w:t>
      </w:r>
      <w:r w:rsidRPr="008A09E4">
        <w:rPr>
          <w:lang w:val="fr-FR"/>
        </w:rPr>
        <w:tab/>
        <w:t>En janvier 2011, l</w:t>
      </w:r>
      <w:r>
        <w:rPr>
          <w:lang w:val="fr-FR"/>
        </w:rPr>
        <w:t>’</w:t>
      </w:r>
      <w:r w:rsidRPr="008A09E4">
        <w:rPr>
          <w:lang w:val="fr-FR"/>
        </w:rPr>
        <w:t>auteur a été renvoyé de l</w:t>
      </w:r>
      <w:r>
        <w:rPr>
          <w:lang w:val="fr-FR"/>
        </w:rPr>
        <w:t>’</w:t>
      </w:r>
      <w:r w:rsidRPr="008A09E4">
        <w:rPr>
          <w:lang w:val="fr-FR"/>
        </w:rPr>
        <w:t>Université pour avoir pris part au rassemblement non autorisé du 19 décembre 2010</w:t>
      </w:r>
      <w:r w:rsidR="00F224D8" w:rsidRPr="00F224D8">
        <w:rPr>
          <w:lang w:val="fr-FR"/>
        </w:rPr>
        <w:t>.</w:t>
      </w:r>
    </w:p>
    <w:p w14:paraId="2CBBA8B2" w14:textId="77777777" w:rsidR="00E44C92" w:rsidRPr="008A09E4" w:rsidRDefault="00E44C92" w:rsidP="00E44C92">
      <w:pPr>
        <w:pStyle w:val="SingleTxtG"/>
        <w:rPr>
          <w:lang w:val="fr-FR"/>
        </w:rPr>
      </w:pPr>
      <w:r w:rsidRPr="008A09E4">
        <w:rPr>
          <w:lang w:val="fr-FR"/>
        </w:rPr>
        <w:t>2</w:t>
      </w:r>
      <w:r w:rsidR="00F224D8" w:rsidRPr="00F224D8">
        <w:rPr>
          <w:lang w:val="fr-FR"/>
        </w:rPr>
        <w:t>.</w:t>
      </w:r>
      <w:r w:rsidRPr="008A09E4">
        <w:rPr>
          <w:lang w:val="fr-FR"/>
        </w:rPr>
        <w:t>8</w:t>
      </w:r>
      <w:r w:rsidRPr="008A09E4">
        <w:rPr>
          <w:lang w:val="fr-FR"/>
        </w:rPr>
        <w:tab/>
        <w:t xml:space="preserve">Le 14 mai 2011, le tribunal du </w:t>
      </w:r>
      <w:bookmarkStart w:id="3" w:name="_Hlk10710720"/>
      <w:r w:rsidRPr="008A09E4">
        <w:rPr>
          <w:lang w:val="fr-FR"/>
        </w:rPr>
        <w:t xml:space="preserve">district Partizansky de Minsk </w:t>
      </w:r>
      <w:bookmarkEnd w:id="3"/>
      <w:r w:rsidRPr="008A09E4">
        <w:rPr>
          <w:lang w:val="fr-FR"/>
        </w:rPr>
        <w:t>a déclaré l</w:t>
      </w:r>
      <w:r>
        <w:rPr>
          <w:lang w:val="fr-FR"/>
        </w:rPr>
        <w:t>’</w:t>
      </w:r>
      <w:r w:rsidRPr="008A09E4">
        <w:rPr>
          <w:lang w:val="fr-FR"/>
        </w:rPr>
        <w:t xml:space="preserve">auteur, </w:t>
      </w:r>
      <w:r>
        <w:rPr>
          <w:lang w:val="fr-FR"/>
        </w:rPr>
        <w:t>ainsi que</w:t>
      </w:r>
      <w:r w:rsidRPr="008A09E4">
        <w:rPr>
          <w:lang w:val="fr-FR"/>
        </w:rPr>
        <w:t xml:space="preserve"> trois coaccusés, coupable d</w:t>
      </w:r>
      <w:r>
        <w:rPr>
          <w:lang w:val="fr-FR"/>
        </w:rPr>
        <w:t>’</w:t>
      </w:r>
      <w:r w:rsidRPr="008A09E4">
        <w:rPr>
          <w:lang w:val="fr-FR"/>
        </w:rPr>
        <w:t>avoir participé à des émeutes, notamment d</w:t>
      </w:r>
      <w:r>
        <w:rPr>
          <w:lang w:val="fr-FR"/>
        </w:rPr>
        <w:t>’</w:t>
      </w:r>
      <w:r w:rsidRPr="008A09E4">
        <w:rPr>
          <w:lang w:val="fr-FR"/>
        </w:rPr>
        <w:t>avoir commis des actes de violence en lançant des morceaux de verre sur des policiers, d</w:t>
      </w:r>
      <w:r>
        <w:rPr>
          <w:lang w:val="fr-FR"/>
        </w:rPr>
        <w:t>’</w:t>
      </w:r>
      <w:r w:rsidRPr="008A09E4">
        <w:rPr>
          <w:lang w:val="fr-FR"/>
        </w:rPr>
        <w:t>avoir commis des actes de vandalisme et d</w:t>
      </w:r>
      <w:r>
        <w:rPr>
          <w:lang w:val="fr-FR"/>
        </w:rPr>
        <w:t>’</w:t>
      </w:r>
      <w:r w:rsidRPr="008A09E4">
        <w:rPr>
          <w:lang w:val="fr-FR"/>
        </w:rPr>
        <w:t>avoir détruit des biens</w:t>
      </w:r>
      <w:r w:rsidR="00F224D8" w:rsidRPr="00F224D8">
        <w:rPr>
          <w:lang w:val="fr-FR"/>
        </w:rPr>
        <w:t>.</w:t>
      </w:r>
      <w:r w:rsidRPr="008A09E4">
        <w:rPr>
          <w:lang w:val="fr-FR"/>
        </w:rPr>
        <w:t xml:space="preserve"> Il a été condamné à trois ans d</w:t>
      </w:r>
      <w:r>
        <w:rPr>
          <w:lang w:val="fr-FR"/>
        </w:rPr>
        <w:t>’</w:t>
      </w:r>
      <w:r w:rsidRPr="008A09E4">
        <w:rPr>
          <w:lang w:val="fr-FR"/>
        </w:rPr>
        <w:t>emprisonnement en application du paragraphe 2 de l</w:t>
      </w:r>
      <w:r>
        <w:rPr>
          <w:lang w:val="fr-FR"/>
        </w:rPr>
        <w:t>’</w:t>
      </w:r>
      <w:r w:rsidRPr="008A09E4">
        <w:rPr>
          <w:lang w:val="fr-FR"/>
        </w:rPr>
        <w:t>article 293 du Code pénal</w:t>
      </w:r>
      <w:r w:rsidR="00F224D8" w:rsidRPr="00F224D8">
        <w:rPr>
          <w:lang w:val="fr-FR"/>
        </w:rPr>
        <w:t>.</w:t>
      </w:r>
    </w:p>
    <w:p w14:paraId="36437C39" w14:textId="77777777" w:rsidR="00E44C92" w:rsidRPr="008A09E4" w:rsidRDefault="00E44C92" w:rsidP="00E44C92">
      <w:pPr>
        <w:pStyle w:val="SingleTxtG"/>
        <w:rPr>
          <w:lang w:val="fr-FR"/>
        </w:rPr>
      </w:pPr>
      <w:r w:rsidRPr="008A09E4">
        <w:rPr>
          <w:lang w:val="fr-FR"/>
        </w:rPr>
        <w:t>2</w:t>
      </w:r>
      <w:r w:rsidR="00F224D8" w:rsidRPr="00F224D8">
        <w:rPr>
          <w:lang w:val="fr-FR"/>
        </w:rPr>
        <w:t>.</w:t>
      </w:r>
      <w:r w:rsidRPr="008A09E4">
        <w:rPr>
          <w:lang w:val="fr-FR"/>
        </w:rPr>
        <w:t>9</w:t>
      </w:r>
      <w:r w:rsidRPr="008A09E4">
        <w:rPr>
          <w:lang w:val="fr-FR"/>
        </w:rPr>
        <w:tab/>
        <w:t>Le 15 juillet 2011, le tribunal de la ville de Minsk a confirmé la condamnation de l</w:t>
      </w:r>
      <w:r>
        <w:rPr>
          <w:lang w:val="fr-FR"/>
        </w:rPr>
        <w:t>’</w:t>
      </w:r>
      <w:r w:rsidRPr="008A09E4">
        <w:rPr>
          <w:lang w:val="fr-FR"/>
        </w:rPr>
        <w:t>auteur en cassation</w:t>
      </w:r>
      <w:r w:rsidR="00F224D8" w:rsidRPr="00F224D8">
        <w:rPr>
          <w:lang w:val="fr-FR"/>
        </w:rPr>
        <w:t>.</w:t>
      </w:r>
      <w:r w:rsidRPr="008A09E4">
        <w:rPr>
          <w:lang w:val="fr-FR"/>
        </w:rPr>
        <w:t xml:space="preserve"> Le 13 septembre 2011, l</w:t>
      </w:r>
      <w:r>
        <w:rPr>
          <w:lang w:val="fr-FR"/>
        </w:rPr>
        <w:t>’</w:t>
      </w:r>
      <w:r w:rsidRPr="008A09E4">
        <w:rPr>
          <w:lang w:val="fr-FR"/>
        </w:rPr>
        <w:t>auteur a obtenu la grâce présidentielle</w:t>
      </w:r>
      <w:r w:rsidR="00F224D8" w:rsidRPr="00F224D8">
        <w:rPr>
          <w:lang w:val="fr-FR"/>
        </w:rPr>
        <w:t>.</w:t>
      </w:r>
    </w:p>
    <w:p w14:paraId="56015C17" w14:textId="77777777" w:rsidR="00E44C92" w:rsidRPr="008A09E4" w:rsidRDefault="00E44C92" w:rsidP="00E44C92">
      <w:pPr>
        <w:pStyle w:val="SingleTxtG"/>
        <w:rPr>
          <w:lang w:val="fr-FR"/>
        </w:rPr>
      </w:pPr>
      <w:r w:rsidRPr="008A09E4">
        <w:rPr>
          <w:lang w:val="fr-FR"/>
        </w:rPr>
        <w:t>2</w:t>
      </w:r>
      <w:r w:rsidR="00F224D8" w:rsidRPr="00F224D8">
        <w:rPr>
          <w:lang w:val="fr-FR"/>
        </w:rPr>
        <w:t>.</w:t>
      </w:r>
      <w:r w:rsidRPr="008A09E4">
        <w:rPr>
          <w:lang w:val="fr-FR"/>
        </w:rPr>
        <w:t>10</w:t>
      </w:r>
      <w:r w:rsidRPr="008A09E4">
        <w:rPr>
          <w:lang w:val="fr-FR"/>
        </w:rPr>
        <w:tab/>
        <w:t>À une date inconnue, l</w:t>
      </w:r>
      <w:r>
        <w:rPr>
          <w:lang w:val="fr-FR"/>
        </w:rPr>
        <w:t>’</w:t>
      </w:r>
      <w:r w:rsidRPr="008A09E4">
        <w:rPr>
          <w:lang w:val="fr-FR"/>
        </w:rPr>
        <w:t xml:space="preserve">auteur a déposé un recours au titre </w:t>
      </w:r>
      <w:bookmarkStart w:id="4" w:name="_Hlk10622441"/>
      <w:r w:rsidRPr="008A09E4">
        <w:rPr>
          <w:lang w:val="fr-FR"/>
        </w:rPr>
        <w:t xml:space="preserve">de la procédure de contrôle auprès </w:t>
      </w:r>
      <w:bookmarkEnd w:id="4"/>
      <w:r w:rsidRPr="008A09E4">
        <w:rPr>
          <w:lang w:val="fr-FR"/>
        </w:rPr>
        <w:t>du Vice-Président de la Cour suprême, recours qui a été rejeté le 20 janvier 2012</w:t>
      </w:r>
      <w:r w:rsidR="00F224D8" w:rsidRPr="00F224D8">
        <w:rPr>
          <w:lang w:val="fr-FR"/>
        </w:rPr>
        <w:t>.</w:t>
      </w:r>
    </w:p>
    <w:p w14:paraId="0D36BFD7" w14:textId="77777777" w:rsidR="00E44C92" w:rsidRPr="008A09E4" w:rsidRDefault="00E44C92" w:rsidP="00E44C92">
      <w:pPr>
        <w:pStyle w:val="SingleTxtG"/>
        <w:rPr>
          <w:lang w:val="fr-FR"/>
        </w:rPr>
      </w:pPr>
      <w:r w:rsidRPr="008A09E4">
        <w:rPr>
          <w:lang w:val="fr-FR"/>
        </w:rPr>
        <w:t>2</w:t>
      </w:r>
      <w:r w:rsidR="00F224D8" w:rsidRPr="00F224D8">
        <w:rPr>
          <w:lang w:val="fr-FR"/>
        </w:rPr>
        <w:t>.</w:t>
      </w:r>
      <w:r w:rsidRPr="008A09E4">
        <w:rPr>
          <w:lang w:val="fr-FR"/>
        </w:rPr>
        <w:t>11</w:t>
      </w:r>
      <w:r w:rsidRPr="008A09E4">
        <w:rPr>
          <w:lang w:val="fr-FR"/>
        </w:rPr>
        <w:tab/>
        <w:t>Le 28 décembre 2012, l</w:t>
      </w:r>
      <w:r>
        <w:rPr>
          <w:lang w:val="fr-FR"/>
        </w:rPr>
        <w:t>’</w:t>
      </w:r>
      <w:r w:rsidRPr="008A09E4">
        <w:rPr>
          <w:lang w:val="fr-FR"/>
        </w:rPr>
        <w:t>auteur a déposé un recours au titre de la procédure de contrôle auprès du procureur de la ville de Minsk, recours qui a été rejeté le 18 février 2013</w:t>
      </w:r>
      <w:r w:rsidR="00F224D8" w:rsidRPr="00F224D8">
        <w:rPr>
          <w:lang w:val="fr-FR"/>
        </w:rPr>
        <w:t>.</w:t>
      </w:r>
    </w:p>
    <w:p w14:paraId="086A5AA6" w14:textId="77777777" w:rsidR="00E44C92" w:rsidRPr="008A09E4" w:rsidRDefault="00E44C92" w:rsidP="00E44C92">
      <w:pPr>
        <w:pStyle w:val="SingleTxtG"/>
        <w:rPr>
          <w:lang w:val="fr-FR"/>
        </w:rPr>
      </w:pPr>
      <w:r w:rsidRPr="008A09E4">
        <w:rPr>
          <w:lang w:val="fr-FR"/>
        </w:rPr>
        <w:t>2</w:t>
      </w:r>
      <w:r w:rsidR="00F224D8" w:rsidRPr="00F224D8">
        <w:rPr>
          <w:lang w:val="fr-FR"/>
        </w:rPr>
        <w:t>.</w:t>
      </w:r>
      <w:r w:rsidRPr="008A09E4">
        <w:rPr>
          <w:lang w:val="fr-FR"/>
        </w:rPr>
        <w:t>12</w:t>
      </w:r>
      <w:r w:rsidRPr="008A09E4">
        <w:rPr>
          <w:lang w:val="fr-FR"/>
        </w:rPr>
        <w:tab/>
        <w:t>L</w:t>
      </w:r>
      <w:r>
        <w:rPr>
          <w:lang w:val="fr-FR"/>
        </w:rPr>
        <w:t>’</w:t>
      </w:r>
      <w:r w:rsidRPr="008A09E4">
        <w:rPr>
          <w:lang w:val="fr-FR"/>
        </w:rPr>
        <w:t>auteur affirme avoir épuisé tous les recours internes disponibles</w:t>
      </w:r>
      <w:r w:rsidR="00F224D8" w:rsidRPr="00F224D8">
        <w:rPr>
          <w:lang w:val="fr-FR"/>
        </w:rPr>
        <w:t>.</w:t>
      </w:r>
    </w:p>
    <w:p w14:paraId="732446FA" w14:textId="77777777" w:rsidR="00E44C92" w:rsidRPr="008A09E4" w:rsidRDefault="00E44C92" w:rsidP="00E44C92">
      <w:pPr>
        <w:pStyle w:val="H23G"/>
        <w:rPr>
          <w:lang w:val="fr-FR"/>
        </w:rPr>
      </w:pPr>
      <w:r w:rsidRPr="008A09E4">
        <w:rPr>
          <w:lang w:val="fr-FR"/>
        </w:rPr>
        <w:tab/>
      </w:r>
      <w:r w:rsidRPr="008A09E4">
        <w:rPr>
          <w:lang w:val="fr-FR"/>
        </w:rPr>
        <w:tab/>
        <w:t>Teneur de la plainte</w:t>
      </w:r>
    </w:p>
    <w:p w14:paraId="51C3D942" w14:textId="77777777" w:rsidR="00E44C92" w:rsidRPr="008A09E4" w:rsidRDefault="00E44C92" w:rsidP="00E44C92">
      <w:pPr>
        <w:pStyle w:val="SingleTxtG"/>
        <w:rPr>
          <w:lang w:val="fr-FR"/>
        </w:rPr>
      </w:pPr>
      <w:r w:rsidRPr="008A09E4">
        <w:rPr>
          <w:lang w:val="fr-FR"/>
        </w:rPr>
        <w:t>3</w:t>
      </w:r>
      <w:r w:rsidR="00F224D8" w:rsidRPr="00F224D8">
        <w:rPr>
          <w:lang w:val="fr-FR"/>
        </w:rPr>
        <w:t>.</w:t>
      </w:r>
      <w:r w:rsidRPr="008A09E4">
        <w:rPr>
          <w:lang w:val="fr-FR"/>
        </w:rPr>
        <w:t>1</w:t>
      </w:r>
      <w:r w:rsidRPr="008A09E4">
        <w:rPr>
          <w:lang w:val="fr-FR"/>
        </w:rPr>
        <w:tab/>
        <w:t>L</w:t>
      </w:r>
      <w:r>
        <w:rPr>
          <w:lang w:val="fr-FR"/>
        </w:rPr>
        <w:t>’</w:t>
      </w:r>
      <w:r w:rsidRPr="008A09E4">
        <w:rPr>
          <w:lang w:val="fr-FR"/>
        </w:rPr>
        <w:t>auteur affirme que son arrestation et les poursuites administratives et pénales engagées par la suite contre lui parce qu</w:t>
      </w:r>
      <w:r>
        <w:rPr>
          <w:lang w:val="fr-FR"/>
        </w:rPr>
        <w:t>’</w:t>
      </w:r>
      <w:r w:rsidRPr="008A09E4">
        <w:rPr>
          <w:lang w:val="fr-FR"/>
        </w:rPr>
        <w:t>il avait participé au rassemblement pacifique du 19</w:t>
      </w:r>
      <w:r>
        <w:rPr>
          <w:lang w:val="fr-FR"/>
        </w:rPr>
        <w:t> </w:t>
      </w:r>
      <w:r w:rsidRPr="008A09E4">
        <w:rPr>
          <w:lang w:val="fr-FR"/>
        </w:rPr>
        <w:t>décembre 2010 constituent une violation des articles</w:t>
      </w:r>
      <w:r w:rsidR="001934BE">
        <w:rPr>
          <w:lang w:val="fr-FR"/>
        </w:rPr>
        <w:t> </w:t>
      </w:r>
      <w:r w:rsidRPr="008A09E4">
        <w:rPr>
          <w:lang w:val="fr-FR"/>
        </w:rPr>
        <w:t>19 et 21 du Pacte, lus conjointement avec l</w:t>
      </w:r>
      <w:r>
        <w:rPr>
          <w:lang w:val="fr-FR"/>
        </w:rPr>
        <w:t>’</w:t>
      </w:r>
      <w:r w:rsidRPr="008A09E4">
        <w:rPr>
          <w:lang w:val="fr-FR"/>
        </w:rPr>
        <w:t>article 2</w:t>
      </w:r>
      <w:r w:rsidR="00F224D8" w:rsidRPr="00F224D8">
        <w:rPr>
          <w:lang w:val="fr-FR"/>
        </w:rPr>
        <w:t>.</w:t>
      </w:r>
    </w:p>
    <w:p w14:paraId="61729D4E" w14:textId="77777777" w:rsidR="00E44C92" w:rsidRPr="008A09E4" w:rsidRDefault="00E44C92" w:rsidP="00E44C92">
      <w:pPr>
        <w:pStyle w:val="SingleTxtG"/>
        <w:rPr>
          <w:lang w:val="fr-FR"/>
        </w:rPr>
      </w:pPr>
      <w:r w:rsidRPr="008A09E4">
        <w:rPr>
          <w:lang w:val="fr-FR"/>
        </w:rPr>
        <w:t>3</w:t>
      </w:r>
      <w:r w:rsidR="00F224D8" w:rsidRPr="00F224D8">
        <w:rPr>
          <w:lang w:val="fr-FR"/>
        </w:rPr>
        <w:t>.</w:t>
      </w:r>
      <w:r w:rsidRPr="008A09E4">
        <w:rPr>
          <w:lang w:val="fr-FR"/>
        </w:rPr>
        <w:t>2</w:t>
      </w:r>
      <w:r w:rsidRPr="008A09E4">
        <w:rPr>
          <w:lang w:val="fr-FR"/>
        </w:rPr>
        <w:tab/>
        <w:t>L</w:t>
      </w:r>
      <w:r>
        <w:rPr>
          <w:lang w:val="fr-FR"/>
        </w:rPr>
        <w:t>’</w:t>
      </w:r>
      <w:r w:rsidRPr="008A09E4">
        <w:rPr>
          <w:lang w:val="fr-FR"/>
        </w:rPr>
        <w:t xml:space="preserve">auteur </w:t>
      </w:r>
      <w:r>
        <w:rPr>
          <w:lang w:val="fr-FR"/>
        </w:rPr>
        <w:t>affirme que l’État partie a violé les</w:t>
      </w:r>
      <w:r w:rsidRPr="008A09E4">
        <w:rPr>
          <w:lang w:val="fr-FR"/>
        </w:rPr>
        <w:t xml:space="preserve"> droits qu</w:t>
      </w:r>
      <w:r>
        <w:rPr>
          <w:lang w:val="fr-FR"/>
        </w:rPr>
        <w:t>’</w:t>
      </w:r>
      <w:r w:rsidRPr="008A09E4">
        <w:rPr>
          <w:lang w:val="fr-FR"/>
        </w:rPr>
        <w:t>il tient des paragraphes 1, 3 et</w:t>
      </w:r>
      <w:r w:rsidR="001934BE">
        <w:rPr>
          <w:lang w:val="fr-FR"/>
        </w:rPr>
        <w:t> </w:t>
      </w:r>
      <w:r w:rsidRPr="008A09E4">
        <w:rPr>
          <w:lang w:val="fr-FR"/>
        </w:rPr>
        <w:t>4 de l</w:t>
      </w:r>
      <w:r>
        <w:rPr>
          <w:lang w:val="fr-FR"/>
        </w:rPr>
        <w:t>’</w:t>
      </w:r>
      <w:r w:rsidRPr="008A09E4">
        <w:rPr>
          <w:lang w:val="fr-FR"/>
        </w:rPr>
        <w:t>article 9 du Pacte pour les raisons suivantes : il n</w:t>
      </w:r>
      <w:r>
        <w:rPr>
          <w:lang w:val="fr-FR"/>
        </w:rPr>
        <w:t>’</w:t>
      </w:r>
      <w:r w:rsidRPr="008A09E4">
        <w:rPr>
          <w:lang w:val="fr-FR"/>
        </w:rPr>
        <w:t xml:space="preserve">a pas été informé du motif de son arrestation le 25 janvier 2011, </w:t>
      </w:r>
      <w:bookmarkStart w:id="5" w:name="_Hlk10636434"/>
      <w:r w:rsidRPr="008A09E4">
        <w:rPr>
          <w:lang w:val="fr-FR"/>
        </w:rPr>
        <w:t>son placement en détention ne reposait sur aucun fondement puisqu</w:t>
      </w:r>
      <w:r>
        <w:rPr>
          <w:lang w:val="fr-FR"/>
        </w:rPr>
        <w:t>’</w:t>
      </w:r>
      <w:r w:rsidRPr="008A09E4">
        <w:rPr>
          <w:lang w:val="fr-FR"/>
        </w:rPr>
        <w:t>il n</w:t>
      </w:r>
      <w:r>
        <w:rPr>
          <w:lang w:val="fr-FR"/>
        </w:rPr>
        <w:t>’</w:t>
      </w:r>
      <w:r w:rsidRPr="008A09E4">
        <w:rPr>
          <w:lang w:val="fr-FR"/>
        </w:rPr>
        <w:t>existait aucun élément prouvant qu</w:t>
      </w:r>
      <w:r>
        <w:rPr>
          <w:lang w:val="fr-FR"/>
        </w:rPr>
        <w:t>’</w:t>
      </w:r>
      <w:r w:rsidRPr="008A09E4">
        <w:rPr>
          <w:lang w:val="fr-FR"/>
        </w:rPr>
        <w:t>il pouvait s</w:t>
      </w:r>
      <w:r>
        <w:rPr>
          <w:lang w:val="fr-FR"/>
        </w:rPr>
        <w:t>’</w:t>
      </w:r>
      <w:r w:rsidRPr="008A09E4">
        <w:rPr>
          <w:lang w:val="fr-FR"/>
        </w:rPr>
        <w:t>enfuir ou entraver le cours de la justice, les décisions relatives au prolongement de sa détention n</w:t>
      </w:r>
      <w:r>
        <w:rPr>
          <w:lang w:val="fr-FR"/>
        </w:rPr>
        <w:t>’</w:t>
      </w:r>
      <w:r w:rsidRPr="008A09E4">
        <w:rPr>
          <w:lang w:val="fr-FR"/>
        </w:rPr>
        <w:t>étaient pas suffisamment motivées</w:t>
      </w:r>
      <w:bookmarkEnd w:id="5"/>
      <w:r w:rsidRPr="008A09E4">
        <w:rPr>
          <w:lang w:val="fr-FR"/>
        </w:rPr>
        <w:t>, et ses plaintes et demandes de libération ont toutes étés rejetées de façon sommaire</w:t>
      </w:r>
      <w:r w:rsidR="00F224D8" w:rsidRPr="00F224D8">
        <w:rPr>
          <w:lang w:val="fr-FR"/>
        </w:rPr>
        <w:t>.</w:t>
      </w:r>
      <w:r w:rsidRPr="008A09E4">
        <w:rPr>
          <w:lang w:val="fr-FR"/>
        </w:rPr>
        <w:t xml:space="preserve"> L</w:t>
      </w:r>
      <w:r>
        <w:rPr>
          <w:lang w:val="fr-FR"/>
        </w:rPr>
        <w:t>’</w:t>
      </w:r>
      <w:r w:rsidRPr="008A09E4">
        <w:rPr>
          <w:lang w:val="fr-FR"/>
        </w:rPr>
        <w:t>auteur ajoute que son arrestation n</w:t>
      </w:r>
      <w:r>
        <w:rPr>
          <w:lang w:val="fr-FR"/>
        </w:rPr>
        <w:t>’</w:t>
      </w:r>
      <w:r w:rsidRPr="008A09E4">
        <w:rPr>
          <w:lang w:val="fr-FR"/>
        </w:rPr>
        <w:t xml:space="preserve">a pas été validée par un juge </w:t>
      </w:r>
      <w:r>
        <w:rPr>
          <w:lang w:val="fr-FR"/>
        </w:rPr>
        <w:t>et que lors</w:t>
      </w:r>
      <w:r w:rsidRPr="008A09E4">
        <w:rPr>
          <w:lang w:val="fr-FR"/>
        </w:rPr>
        <w:t>qu</w:t>
      </w:r>
      <w:r>
        <w:rPr>
          <w:lang w:val="fr-FR"/>
        </w:rPr>
        <w:t xml:space="preserve">’il </w:t>
      </w:r>
      <w:r w:rsidRPr="008A09E4">
        <w:rPr>
          <w:lang w:val="fr-FR"/>
        </w:rPr>
        <w:t>a fait appel de son arrestation au tribunal, l</w:t>
      </w:r>
      <w:r>
        <w:rPr>
          <w:lang w:val="fr-FR"/>
        </w:rPr>
        <w:t>’</w:t>
      </w:r>
      <w:r w:rsidRPr="008A09E4">
        <w:rPr>
          <w:lang w:val="fr-FR"/>
        </w:rPr>
        <w:t>audience s</w:t>
      </w:r>
      <w:r>
        <w:rPr>
          <w:lang w:val="fr-FR"/>
        </w:rPr>
        <w:t>’</w:t>
      </w:r>
      <w:r w:rsidRPr="008A09E4">
        <w:rPr>
          <w:lang w:val="fr-FR"/>
        </w:rPr>
        <w:t xml:space="preserve">est tenue à huis clos et </w:t>
      </w:r>
      <w:r>
        <w:rPr>
          <w:lang w:val="fr-FR"/>
        </w:rPr>
        <w:t>il n’y était pas présent</w:t>
      </w:r>
      <w:r w:rsidR="00F224D8" w:rsidRPr="00F224D8">
        <w:rPr>
          <w:lang w:val="fr-FR"/>
        </w:rPr>
        <w:t>.</w:t>
      </w:r>
    </w:p>
    <w:p w14:paraId="05099B7F" w14:textId="77777777" w:rsidR="00E44C92" w:rsidRPr="008A09E4" w:rsidRDefault="00E44C92" w:rsidP="00E44C92">
      <w:pPr>
        <w:pStyle w:val="SingleTxtG"/>
        <w:rPr>
          <w:lang w:val="fr-FR"/>
        </w:rPr>
      </w:pPr>
      <w:r w:rsidRPr="008A09E4">
        <w:rPr>
          <w:lang w:val="fr-FR"/>
        </w:rPr>
        <w:t>3</w:t>
      </w:r>
      <w:r w:rsidR="00F224D8" w:rsidRPr="00F224D8">
        <w:rPr>
          <w:lang w:val="fr-FR"/>
        </w:rPr>
        <w:t>.</w:t>
      </w:r>
      <w:r w:rsidRPr="008A09E4">
        <w:rPr>
          <w:lang w:val="fr-FR"/>
        </w:rPr>
        <w:t>3</w:t>
      </w:r>
      <w:r w:rsidRPr="008A09E4">
        <w:rPr>
          <w:lang w:val="fr-FR"/>
        </w:rPr>
        <w:tab/>
        <w:t>L</w:t>
      </w:r>
      <w:r>
        <w:rPr>
          <w:lang w:val="fr-FR"/>
        </w:rPr>
        <w:t>’</w:t>
      </w:r>
      <w:r w:rsidRPr="008A09E4">
        <w:rPr>
          <w:lang w:val="fr-FR"/>
        </w:rPr>
        <w:t>auteur soutient qu</w:t>
      </w:r>
      <w:r>
        <w:rPr>
          <w:lang w:val="fr-FR"/>
        </w:rPr>
        <w:t>’</w:t>
      </w:r>
      <w:r w:rsidRPr="008A09E4">
        <w:rPr>
          <w:lang w:val="fr-FR"/>
        </w:rPr>
        <w:t>il a subi des pressions psychologiques qui visaient à le contraindre de témoigner contre des candidats aux élections présidentielles issus de l</w:t>
      </w:r>
      <w:r>
        <w:rPr>
          <w:lang w:val="fr-FR"/>
        </w:rPr>
        <w:t>’</w:t>
      </w:r>
      <w:r w:rsidRPr="008A09E4">
        <w:rPr>
          <w:lang w:val="fr-FR"/>
        </w:rPr>
        <w:t>opposition, en violation de l</w:t>
      </w:r>
      <w:r>
        <w:rPr>
          <w:lang w:val="fr-FR"/>
        </w:rPr>
        <w:t>’</w:t>
      </w:r>
      <w:r w:rsidRPr="008A09E4">
        <w:rPr>
          <w:lang w:val="fr-FR"/>
        </w:rPr>
        <w:t>article 7 du Pacte, et que les conditions de sa détention portaient atteinte aux droits consacrés par l</w:t>
      </w:r>
      <w:r>
        <w:rPr>
          <w:lang w:val="fr-FR"/>
        </w:rPr>
        <w:t>’</w:t>
      </w:r>
      <w:r w:rsidRPr="008A09E4">
        <w:rPr>
          <w:lang w:val="fr-FR"/>
        </w:rPr>
        <w:t>article 10</w:t>
      </w:r>
      <w:r w:rsidR="00F224D8" w:rsidRPr="00F224D8">
        <w:rPr>
          <w:lang w:val="fr-FR"/>
        </w:rPr>
        <w:t>.</w:t>
      </w:r>
    </w:p>
    <w:p w14:paraId="5C9F08AA" w14:textId="77777777" w:rsidR="00E44C92" w:rsidRPr="008A09E4" w:rsidRDefault="00E44C92" w:rsidP="00E44C92">
      <w:pPr>
        <w:pStyle w:val="SingleTxtG"/>
        <w:rPr>
          <w:lang w:val="fr-FR"/>
        </w:rPr>
      </w:pPr>
      <w:r w:rsidRPr="008A09E4">
        <w:rPr>
          <w:lang w:val="fr-FR"/>
        </w:rPr>
        <w:t>3</w:t>
      </w:r>
      <w:r w:rsidR="00F224D8" w:rsidRPr="00F224D8">
        <w:rPr>
          <w:lang w:val="fr-FR"/>
        </w:rPr>
        <w:t>.</w:t>
      </w:r>
      <w:r w:rsidRPr="008A09E4">
        <w:rPr>
          <w:lang w:val="fr-FR"/>
        </w:rPr>
        <w:t>4</w:t>
      </w:r>
      <w:r w:rsidRPr="008A09E4">
        <w:rPr>
          <w:lang w:val="fr-FR"/>
        </w:rPr>
        <w:tab/>
        <w:t>En ce qui concerne la violation du paragraphe 1 de l</w:t>
      </w:r>
      <w:r>
        <w:rPr>
          <w:lang w:val="fr-FR"/>
        </w:rPr>
        <w:t>’</w:t>
      </w:r>
      <w:r w:rsidRPr="008A09E4">
        <w:rPr>
          <w:lang w:val="fr-FR"/>
        </w:rPr>
        <w:t>article 14, l</w:t>
      </w:r>
      <w:r>
        <w:rPr>
          <w:lang w:val="fr-FR"/>
        </w:rPr>
        <w:t>’</w:t>
      </w:r>
      <w:r w:rsidRPr="008A09E4">
        <w:rPr>
          <w:lang w:val="fr-FR"/>
        </w:rPr>
        <w:t>auteur affirme qu</w:t>
      </w:r>
      <w:r>
        <w:rPr>
          <w:lang w:val="fr-FR"/>
        </w:rPr>
        <w:t>’</w:t>
      </w:r>
      <w:r w:rsidRPr="008A09E4">
        <w:rPr>
          <w:lang w:val="fr-FR"/>
        </w:rPr>
        <w:t>il a été privé de son droit à un procès public et équitable devant un tribunal indépendant et impartial</w:t>
      </w:r>
      <w:r w:rsidR="00F224D8" w:rsidRPr="00F224D8">
        <w:rPr>
          <w:lang w:val="fr-FR"/>
        </w:rPr>
        <w:t>.</w:t>
      </w:r>
      <w:r w:rsidRPr="008A09E4">
        <w:rPr>
          <w:lang w:val="fr-FR"/>
        </w:rPr>
        <w:t xml:space="preserve"> Il soutient qu</w:t>
      </w:r>
      <w:r>
        <w:rPr>
          <w:lang w:val="fr-FR"/>
        </w:rPr>
        <w:t>’</w:t>
      </w:r>
      <w:r w:rsidRPr="008A09E4">
        <w:rPr>
          <w:lang w:val="fr-FR"/>
        </w:rPr>
        <w:t>au Bélarus, les juges ne sont ni impartiaux</w:t>
      </w:r>
      <w:r>
        <w:rPr>
          <w:lang w:val="fr-FR"/>
        </w:rPr>
        <w:t xml:space="preserve"> ni indépendants vis-à-vis du pouvoir exécutif</w:t>
      </w:r>
      <w:r w:rsidRPr="008A09E4">
        <w:rPr>
          <w:lang w:val="fr-FR"/>
        </w:rPr>
        <w:t>, ce qui a été confirmé par le Rapporteur spécial sur l</w:t>
      </w:r>
      <w:r>
        <w:rPr>
          <w:lang w:val="fr-FR"/>
        </w:rPr>
        <w:t>’</w:t>
      </w:r>
      <w:r w:rsidRPr="008A09E4">
        <w:rPr>
          <w:lang w:val="fr-FR"/>
        </w:rPr>
        <w:t>indépendance des juges et des avocats</w:t>
      </w:r>
      <w:r>
        <w:rPr>
          <w:lang w:val="fr-FR"/>
        </w:rPr>
        <w:t xml:space="preserve"> (voir E/CN</w:t>
      </w:r>
      <w:r w:rsidR="00F224D8" w:rsidRPr="00F224D8">
        <w:rPr>
          <w:lang w:val="fr-FR"/>
        </w:rPr>
        <w:t>.</w:t>
      </w:r>
      <w:r>
        <w:rPr>
          <w:lang w:val="fr-FR"/>
        </w:rPr>
        <w:t>4/2001/65/Add</w:t>
      </w:r>
      <w:r w:rsidR="00F224D8" w:rsidRPr="00F224D8">
        <w:rPr>
          <w:lang w:val="fr-FR"/>
        </w:rPr>
        <w:t>.</w:t>
      </w:r>
      <w:r>
        <w:rPr>
          <w:lang w:val="fr-FR"/>
        </w:rPr>
        <w:t>1)</w:t>
      </w:r>
      <w:r w:rsidRPr="008A09E4">
        <w:rPr>
          <w:lang w:val="fr-FR"/>
        </w:rPr>
        <w:t xml:space="preserve"> et par le Bureau des institutions démocratiques et des droits de l</w:t>
      </w:r>
      <w:r>
        <w:rPr>
          <w:lang w:val="fr-FR"/>
        </w:rPr>
        <w:t>’</w:t>
      </w:r>
      <w:r w:rsidRPr="008A09E4">
        <w:rPr>
          <w:lang w:val="fr-FR"/>
        </w:rPr>
        <w:t>homme</w:t>
      </w:r>
      <w:r w:rsidRPr="00E44C92">
        <w:rPr>
          <w:rStyle w:val="Appelnotedebasdep"/>
        </w:rPr>
        <w:footnoteReference w:id="4"/>
      </w:r>
      <w:r w:rsidR="00F224D8" w:rsidRPr="00F224D8">
        <w:rPr>
          <w:lang w:val="fr-FR"/>
        </w:rPr>
        <w:t>.</w:t>
      </w:r>
      <w:r w:rsidRPr="008A09E4">
        <w:rPr>
          <w:lang w:val="fr-FR"/>
        </w:rPr>
        <w:t xml:space="preserve"> L</w:t>
      </w:r>
      <w:r>
        <w:rPr>
          <w:lang w:val="fr-FR"/>
        </w:rPr>
        <w:t>’</w:t>
      </w:r>
      <w:r w:rsidRPr="008A09E4">
        <w:rPr>
          <w:lang w:val="fr-FR"/>
        </w:rPr>
        <w:t xml:space="preserve">auteur </w:t>
      </w:r>
      <w:r>
        <w:rPr>
          <w:lang w:val="fr-FR"/>
        </w:rPr>
        <w:t>affirme qu’en l’espèce les tribunaux ont totalement manqué d’impartialité et d’indépendance à cause des déclarations faites, bien avant le procès, par les plus hauts responsables, selon lesquelles les événements du 19</w:t>
      </w:r>
      <w:r w:rsidR="00AC1A7A">
        <w:rPr>
          <w:lang w:val="fr-FR"/>
        </w:rPr>
        <w:t> </w:t>
      </w:r>
      <w:r>
        <w:rPr>
          <w:lang w:val="fr-FR"/>
        </w:rPr>
        <w:t>décembre 2010 devaient être qualifiés d’émeutes</w:t>
      </w:r>
      <w:r w:rsidR="00F224D8" w:rsidRPr="00F224D8">
        <w:rPr>
          <w:lang w:val="fr-FR"/>
        </w:rPr>
        <w:t>.</w:t>
      </w:r>
      <w:r>
        <w:rPr>
          <w:lang w:val="fr-FR"/>
        </w:rPr>
        <w:t xml:space="preserve"> L’auteur </w:t>
      </w:r>
      <w:r w:rsidRPr="008A09E4">
        <w:rPr>
          <w:lang w:val="fr-FR"/>
        </w:rPr>
        <w:t>soutient également que son procès n</w:t>
      </w:r>
      <w:r>
        <w:rPr>
          <w:lang w:val="fr-FR"/>
        </w:rPr>
        <w:t>’</w:t>
      </w:r>
      <w:r w:rsidRPr="008A09E4">
        <w:rPr>
          <w:lang w:val="fr-FR"/>
        </w:rPr>
        <w:t>était pas public puisque sa mère, son oncle, les journalistes et les défenseurs des droits de l</w:t>
      </w:r>
      <w:r>
        <w:rPr>
          <w:lang w:val="fr-FR"/>
        </w:rPr>
        <w:t>’</w:t>
      </w:r>
      <w:r w:rsidRPr="008A09E4">
        <w:rPr>
          <w:lang w:val="fr-FR"/>
        </w:rPr>
        <w:t>homme n</w:t>
      </w:r>
      <w:r>
        <w:rPr>
          <w:lang w:val="fr-FR"/>
        </w:rPr>
        <w:t>’</w:t>
      </w:r>
      <w:r w:rsidRPr="008A09E4">
        <w:rPr>
          <w:lang w:val="fr-FR"/>
        </w:rPr>
        <w:t>ont pas été autorisés à assister à plusieurs audiences</w:t>
      </w:r>
      <w:r>
        <w:rPr>
          <w:lang w:val="fr-FR"/>
        </w:rPr>
        <w:t>,</w:t>
      </w:r>
      <w:r w:rsidRPr="008A09E4">
        <w:rPr>
          <w:lang w:val="fr-FR"/>
        </w:rPr>
        <w:t xml:space="preserve"> prétendu</w:t>
      </w:r>
      <w:r>
        <w:rPr>
          <w:lang w:val="fr-FR"/>
        </w:rPr>
        <w:t>ment par</w:t>
      </w:r>
      <w:r w:rsidRPr="008A09E4">
        <w:rPr>
          <w:lang w:val="fr-FR"/>
        </w:rPr>
        <w:t xml:space="preserve"> manque de place</w:t>
      </w:r>
      <w:r w:rsidR="00F224D8" w:rsidRPr="00F224D8">
        <w:rPr>
          <w:lang w:val="fr-FR"/>
        </w:rPr>
        <w:t>.</w:t>
      </w:r>
      <w:r>
        <w:rPr>
          <w:lang w:val="fr-FR"/>
        </w:rPr>
        <w:t xml:space="preserve"> En réalité</w:t>
      </w:r>
      <w:r w:rsidRPr="008A09E4">
        <w:rPr>
          <w:lang w:val="fr-FR"/>
        </w:rPr>
        <w:t>, plus de 30 policiers en civil étaient présents dans la salle</w:t>
      </w:r>
      <w:r>
        <w:rPr>
          <w:lang w:val="fr-FR"/>
        </w:rPr>
        <w:t xml:space="preserve">, occupant l’espace dans lequel les </w:t>
      </w:r>
      <w:r w:rsidRPr="008A09E4">
        <w:rPr>
          <w:lang w:val="fr-FR"/>
        </w:rPr>
        <w:t>proches des victimes</w:t>
      </w:r>
      <w:r>
        <w:rPr>
          <w:lang w:val="fr-FR"/>
        </w:rPr>
        <w:t xml:space="preserve"> auraient pu être placés</w:t>
      </w:r>
      <w:r w:rsidR="00F224D8" w:rsidRPr="00F224D8">
        <w:rPr>
          <w:lang w:val="fr-FR"/>
        </w:rPr>
        <w:t>.</w:t>
      </w:r>
      <w:r w:rsidRPr="008A09E4">
        <w:rPr>
          <w:lang w:val="fr-FR"/>
        </w:rPr>
        <w:t xml:space="preserve"> L</w:t>
      </w:r>
      <w:r>
        <w:rPr>
          <w:lang w:val="fr-FR"/>
        </w:rPr>
        <w:t>’</w:t>
      </w:r>
      <w:r w:rsidRPr="008A09E4">
        <w:rPr>
          <w:lang w:val="fr-FR"/>
        </w:rPr>
        <w:t xml:space="preserve">entrée du tribunal </w:t>
      </w:r>
      <w:bookmarkStart w:id="6" w:name="_Hlk10701430"/>
      <w:r w:rsidRPr="008A09E4">
        <w:rPr>
          <w:lang w:val="fr-FR"/>
        </w:rPr>
        <w:t>était surveillée par des dizaines d</w:t>
      </w:r>
      <w:r>
        <w:rPr>
          <w:lang w:val="fr-FR"/>
        </w:rPr>
        <w:t>’</w:t>
      </w:r>
      <w:r w:rsidRPr="008A09E4">
        <w:rPr>
          <w:lang w:val="fr-FR"/>
        </w:rPr>
        <w:t>agents du service de la sûreté de l</w:t>
      </w:r>
      <w:r>
        <w:rPr>
          <w:lang w:val="fr-FR"/>
        </w:rPr>
        <w:t>’</w:t>
      </w:r>
      <w:r w:rsidRPr="008A09E4">
        <w:rPr>
          <w:lang w:val="fr-FR"/>
        </w:rPr>
        <w:t xml:space="preserve">État qui contrôlaient toutes les personnes entrant dans le bâtiment et enregistraient leur nom à des fins </w:t>
      </w:r>
      <w:bookmarkEnd w:id="6"/>
      <w:r>
        <w:rPr>
          <w:lang w:val="fr-FR"/>
        </w:rPr>
        <w:t>non précisées</w:t>
      </w:r>
      <w:r w:rsidR="00F224D8" w:rsidRPr="00F224D8">
        <w:rPr>
          <w:lang w:val="fr-FR"/>
        </w:rPr>
        <w:t>.</w:t>
      </w:r>
    </w:p>
    <w:p w14:paraId="5C1C3E11" w14:textId="77777777" w:rsidR="00E44C92" w:rsidRPr="008A09E4" w:rsidRDefault="00E44C92" w:rsidP="00E44C92">
      <w:pPr>
        <w:pStyle w:val="SingleTxtG"/>
        <w:rPr>
          <w:lang w:val="fr-FR"/>
        </w:rPr>
      </w:pPr>
      <w:r w:rsidRPr="008A09E4">
        <w:rPr>
          <w:lang w:val="fr-FR"/>
        </w:rPr>
        <w:lastRenderedPageBreak/>
        <w:t>3</w:t>
      </w:r>
      <w:r w:rsidR="00F224D8" w:rsidRPr="00F224D8">
        <w:rPr>
          <w:lang w:val="fr-FR"/>
        </w:rPr>
        <w:t>.</w:t>
      </w:r>
      <w:r w:rsidRPr="008A09E4">
        <w:rPr>
          <w:lang w:val="fr-FR"/>
        </w:rPr>
        <w:t>5</w:t>
      </w:r>
      <w:r w:rsidRPr="008A09E4">
        <w:rPr>
          <w:lang w:val="fr-FR"/>
        </w:rPr>
        <w:tab/>
        <w:t>En ce qui concerne le paragraphe 2 de l</w:t>
      </w:r>
      <w:r>
        <w:rPr>
          <w:lang w:val="fr-FR"/>
        </w:rPr>
        <w:t>’</w:t>
      </w:r>
      <w:r w:rsidRPr="008A09E4">
        <w:rPr>
          <w:lang w:val="fr-FR"/>
        </w:rPr>
        <w:t>article 14 du Pacte, l</w:t>
      </w:r>
      <w:r>
        <w:rPr>
          <w:lang w:val="fr-FR"/>
        </w:rPr>
        <w:t>’</w:t>
      </w:r>
      <w:r w:rsidRPr="008A09E4">
        <w:rPr>
          <w:lang w:val="fr-FR"/>
        </w:rPr>
        <w:t>auteur affirme qu</w:t>
      </w:r>
      <w:r>
        <w:rPr>
          <w:lang w:val="fr-FR"/>
        </w:rPr>
        <w:t>’</w:t>
      </w:r>
      <w:r w:rsidRPr="008A09E4">
        <w:rPr>
          <w:lang w:val="fr-FR"/>
        </w:rPr>
        <w:t>avant même le début du procès, le Président du Bélarus, le Ministre de l</w:t>
      </w:r>
      <w:r>
        <w:rPr>
          <w:lang w:val="fr-FR"/>
        </w:rPr>
        <w:t>’</w:t>
      </w:r>
      <w:r w:rsidRPr="008A09E4">
        <w:rPr>
          <w:lang w:val="fr-FR"/>
        </w:rPr>
        <w:t>intérieur, le Ministre de la justice et un juge de la Cour suprême ont tous déclaré à plusieurs reprises que les événements du 19 décembre 2010 devaient être qualifiés d</w:t>
      </w:r>
      <w:r>
        <w:rPr>
          <w:lang w:val="fr-FR"/>
        </w:rPr>
        <w:t>’</w:t>
      </w:r>
      <w:r w:rsidRPr="008A09E4">
        <w:rPr>
          <w:lang w:val="fr-FR"/>
        </w:rPr>
        <w:t>émeutes et que toutes les personnes arrêtées, y compris l</w:t>
      </w:r>
      <w:r>
        <w:rPr>
          <w:lang w:val="fr-FR"/>
        </w:rPr>
        <w:t>’</w:t>
      </w:r>
      <w:r w:rsidRPr="008A09E4">
        <w:rPr>
          <w:lang w:val="fr-FR"/>
        </w:rPr>
        <w:t>auteur, étaient coupables</w:t>
      </w:r>
      <w:r w:rsidR="00F224D8" w:rsidRPr="00F224D8">
        <w:rPr>
          <w:lang w:val="fr-FR"/>
        </w:rPr>
        <w:t>.</w:t>
      </w:r>
      <w:r w:rsidRPr="008A09E4">
        <w:rPr>
          <w:lang w:val="fr-FR"/>
        </w:rPr>
        <w:t xml:space="preserve"> Il affirme également qu</w:t>
      </w:r>
      <w:r>
        <w:rPr>
          <w:lang w:val="fr-FR"/>
        </w:rPr>
        <w:t>’</w:t>
      </w:r>
      <w:r w:rsidRPr="008A09E4">
        <w:rPr>
          <w:lang w:val="fr-FR"/>
        </w:rPr>
        <w:t>au cours du procès, tous les accusés étaient menottés et enfermés dans des cages métalliques, ce qui</w:t>
      </w:r>
      <w:r w:rsidRPr="008A09E4">
        <w:t xml:space="preserve"> </w:t>
      </w:r>
      <w:r w:rsidRPr="008A09E4">
        <w:rPr>
          <w:lang w:val="fr-FR"/>
        </w:rPr>
        <w:t>donnait l</w:t>
      </w:r>
      <w:r>
        <w:rPr>
          <w:lang w:val="fr-FR"/>
        </w:rPr>
        <w:t>’</w:t>
      </w:r>
      <w:r w:rsidRPr="008A09E4">
        <w:rPr>
          <w:lang w:val="fr-FR"/>
        </w:rPr>
        <w:t>impression au tribunal et au public qu</w:t>
      </w:r>
      <w:r>
        <w:rPr>
          <w:lang w:val="fr-FR"/>
        </w:rPr>
        <w:t>’</w:t>
      </w:r>
      <w:r w:rsidRPr="008A09E4">
        <w:rPr>
          <w:lang w:val="fr-FR"/>
        </w:rPr>
        <w:t>ils étaient de dangereux criminels</w:t>
      </w:r>
      <w:r w:rsidR="00F224D8" w:rsidRPr="00F224D8">
        <w:rPr>
          <w:lang w:val="fr-FR"/>
        </w:rPr>
        <w:t>.</w:t>
      </w:r>
    </w:p>
    <w:p w14:paraId="428609FC" w14:textId="77777777" w:rsidR="00E44C92" w:rsidRPr="008A09E4" w:rsidRDefault="00E44C92" w:rsidP="00E44C92">
      <w:pPr>
        <w:pStyle w:val="SingleTxtG"/>
        <w:rPr>
          <w:lang w:val="fr-FR"/>
        </w:rPr>
      </w:pPr>
      <w:r w:rsidRPr="008A09E4">
        <w:rPr>
          <w:lang w:val="fr-FR"/>
        </w:rPr>
        <w:t>3</w:t>
      </w:r>
      <w:r w:rsidR="00F224D8" w:rsidRPr="00F224D8">
        <w:rPr>
          <w:lang w:val="fr-FR"/>
        </w:rPr>
        <w:t>.</w:t>
      </w:r>
      <w:r w:rsidRPr="008A09E4">
        <w:rPr>
          <w:lang w:val="fr-FR"/>
        </w:rPr>
        <w:t>6</w:t>
      </w:r>
      <w:r w:rsidRPr="008A09E4">
        <w:rPr>
          <w:lang w:val="fr-FR"/>
        </w:rPr>
        <w:tab/>
        <w:t>L</w:t>
      </w:r>
      <w:r>
        <w:rPr>
          <w:lang w:val="fr-FR"/>
        </w:rPr>
        <w:t>’</w:t>
      </w:r>
      <w:r w:rsidRPr="008A09E4">
        <w:rPr>
          <w:lang w:val="fr-FR"/>
        </w:rPr>
        <w:t>auteur soutient que l</w:t>
      </w:r>
      <w:r>
        <w:rPr>
          <w:lang w:val="fr-FR"/>
        </w:rPr>
        <w:t>’</w:t>
      </w:r>
      <w:r w:rsidRPr="008A09E4">
        <w:rPr>
          <w:lang w:val="fr-FR"/>
        </w:rPr>
        <w:t>État partie a violé les droits qu</w:t>
      </w:r>
      <w:r>
        <w:rPr>
          <w:lang w:val="fr-FR"/>
        </w:rPr>
        <w:t>’</w:t>
      </w:r>
      <w:r w:rsidRPr="008A09E4">
        <w:rPr>
          <w:lang w:val="fr-FR"/>
        </w:rPr>
        <w:t>il tient du paragraphe</w:t>
      </w:r>
      <w:r w:rsidR="00AC1A7A">
        <w:rPr>
          <w:lang w:val="fr-FR"/>
        </w:rPr>
        <w:t> </w:t>
      </w:r>
      <w:r w:rsidRPr="008A09E4">
        <w:rPr>
          <w:lang w:val="fr-FR"/>
        </w:rPr>
        <w:t>3</w:t>
      </w:r>
      <w:r w:rsidR="00AC1A7A">
        <w:rPr>
          <w:lang w:val="fr-FR"/>
        </w:rPr>
        <w:t> </w:t>
      </w:r>
      <w:r w:rsidRPr="008A09E4">
        <w:rPr>
          <w:lang w:val="fr-FR"/>
        </w:rPr>
        <w:t>d) et</w:t>
      </w:r>
      <w:r w:rsidR="00AC1A7A">
        <w:rPr>
          <w:lang w:val="fr-FR"/>
        </w:rPr>
        <w:t> </w:t>
      </w:r>
      <w:r w:rsidRPr="008A09E4">
        <w:rPr>
          <w:lang w:val="fr-FR"/>
        </w:rPr>
        <w:t>e) de l</w:t>
      </w:r>
      <w:r>
        <w:rPr>
          <w:lang w:val="fr-FR"/>
        </w:rPr>
        <w:t>’</w:t>
      </w:r>
      <w:r w:rsidRPr="008A09E4">
        <w:rPr>
          <w:lang w:val="fr-FR"/>
        </w:rPr>
        <w:t xml:space="preserve">article 14 du Pacte, étant donné que la juridiction de cassation a statué sur son appel </w:t>
      </w:r>
      <w:r>
        <w:rPr>
          <w:lang w:val="fr-FR"/>
        </w:rPr>
        <w:t>alors qu’il n’était pas présent</w:t>
      </w:r>
      <w:r w:rsidRPr="00E44C92">
        <w:rPr>
          <w:rStyle w:val="Appelnotedebasdep"/>
        </w:rPr>
        <w:footnoteReference w:id="5"/>
      </w:r>
      <w:r w:rsidRPr="008A09E4">
        <w:rPr>
          <w:lang w:val="fr-FR"/>
        </w:rPr>
        <w:t xml:space="preserve"> et qu</w:t>
      </w:r>
      <w:r>
        <w:rPr>
          <w:lang w:val="fr-FR"/>
        </w:rPr>
        <w:t>’</w:t>
      </w:r>
      <w:r w:rsidRPr="008A09E4">
        <w:rPr>
          <w:lang w:val="fr-FR"/>
        </w:rPr>
        <w:t>au cours du procès, plusieurs témoins n</w:t>
      </w:r>
      <w:r>
        <w:rPr>
          <w:lang w:val="fr-FR"/>
        </w:rPr>
        <w:t>’</w:t>
      </w:r>
      <w:r w:rsidRPr="008A09E4">
        <w:rPr>
          <w:lang w:val="fr-FR"/>
        </w:rPr>
        <w:t xml:space="preserve">ont pas été appelés à la barre </w:t>
      </w:r>
      <w:r>
        <w:rPr>
          <w:lang w:val="fr-FR"/>
        </w:rPr>
        <w:t>en personne</w:t>
      </w:r>
      <w:r w:rsidR="00F224D8" w:rsidRPr="00F224D8">
        <w:rPr>
          <w:lang w:val="fr-FR"/>
        </w:rPr>
        <w:t>.</w:t>
      </w:r>
      <w:r>
        <w:rPr>
          <w:lang w:val="fr-FR"/>
        </w:rPr>
        <w:t xml:space="preserve"> L</w:t>
      </w:r>
      <w:r w:rsidRPr="008A09E4">
        <w:rPr>
          <w:lang w:val="fr-FR"/>
        </w:rPr>
        <w:t>e parquet a simplement lu leurs dépositions, qui avaient été recueillies au stade de l</w:t>
      </w:r>
      <w:r>
        <w:rPr>
          <w:lang w:val="fr-FR"/>
        </w:rPr>
        <w:t>’</w:t>
      </w:r>
      <w:r w:rsidRPr="008A09E4">
        <w:rPr>
          <w:lang w:val="fr-FR"/>
        </w:rPr>
        <w:t>enquête, ce qui a empêché la défense d</w:t>
      </w:r>
      <w:r>
        <w:rPr>
          <w:lang w:val="fr-FR"/>
        </w:rPr>
        <w:t>’</w:t>
      </w:r>
      <w:r w:rsidRPr="008A09E4">
        <w:rPr>
          <w:lang w:val="fr-FR"/>
        </w:rPr>
        <w:t>interroger ces témoins</w:t>
      </w:r>
      <w:r w:rsidR="00F224D8" w:rsidRPr="00F224D8">
        <w:rPr>
          <w:lang w:val="fr-FR"/>
        </w:rPr>
        <w:t>.</w:t>
      </w:r>
      <w:r w:rsidRPr="008A09E4">
        <w:rPr>
          <w:lang w:val="fr-FR"/>
        </w:rPr>
        <w:t xml:space="preserve"> Les dépositions ont ensuite été utilisées par le tribunal pour étayer le verdict</w:t>
      </w:r>
      <w:r w:rsidR="00F224D8" w:rsidRPr="00F224D8">
        <w:rPr>
          <w:lang w:val="fr-FR"/>
        </w:rPr>
        <w:t>.</w:t>
      </w:r>
    </w:p>
    <w:p w14:paraId="2B39F365" w14:textId="77777777" w:rsidR="00E44C92" w:rsidRPr="008A09E4" w:rsidRDefault="00E44C92" w:rsidP="00E44C92">
      <w:pPr>
        <w:pStyle w:val="SingleTxtG"/>
        <w:rPr>
          <w:lang w:val="fr-FR"/>
        </w:rPr>
      </w:pPr>
      <w:r w:rsidRPr="008A09E4">
        <w:rPr>
          <w:lang w:val="fr-FR"/>
        </w:rPr>
        <w:t>3</w:t>
      </w:r>
      <w:r w:rsidR="00F224D8" w:rsidRPr="00F224D8">
        <w:rPr>
          <w:lang w:val="fr-FR"/>
        </w:rPr>
        <w:t>.</w:t>
      </w:r>
      <w:r w:rsidRPr="008A09E4">
        <w:rPr>
          <w:lang w:val="fr-FR"/>
        </w:rPr>
        <w:t>7</w:t>
      </w:r>
      <w:r w:rsidRPr="008A09E4">
        <w:rPr>
          <w:lang w:val="fr-FR"/>
        </w:rPr>
        <w:tab/>
        <w:t>L</w:t>
      </w:r>
      <w:r>
        <w:rPr>
          <w:lang w:val="fr-FR"/>
        </w:rPr>
        <w:t>’</w:t>
      </w:r>
      <w:r w:rsidRPr="008A09E4">
        <w:rPr>
          <w:lang w:val="fr-FR"/>
        </w:rPr>
        <w:t>auteur soutient également que le tribunal de la ville de Minsk a violé les droits qu</w:t>
      </w:r>
      <w:r>
        <w:rPr>
          <w:lang w:val="fr-FR"/>
        </w:rPr>
        <w:t>’</w:t>
      </w:r>
      <w:r w:rsidRPr="008A09E4">
        <w:rPr>
          <w:lang w:val="fr-FR"/>
        </w:rPr>
        <w:t>il tient du paragraphe 5 de l</w:t>
      </w:r>
      <w:r>
        <w:rPr>
          <w:lang w:val="fr-FR"/>
        </w:rPr>
        <w:t>’</w:t>
      </w:r>
      <w:r w:rsidRPr="008A09E4">
        <w:rPr>
          <w:lang w:val="fr-FR"/>
        </w:rPr>
        <w:t>article 14 du Pacte, car l</w:t>
      </w:r>
      <w:r>
        <w:rPr>
          <w:lang w:val="fr-FR"/>
        </w:rPr>
        <w:t>’</w:t>
      </w:r>
      <w:r w:rsidRPr="008A09E4">
        <w:rPr>
          <w:lang w:val="fr-FR"/>
        </w:rPr>
        <w:t>examen de sa condamnation en cassation a été très formel et n</w:t>
      </w:r>
      <w:r>
        <w:rPr>
          <w:lang w:val="fr-FR"/>
        </w:rPr>
        <w:t>’</w:t>
      </w:r>
      <w:r w:rsidRPr="008A09E4">
        <w:rPr>
          <w:lang w:val="fr-FR"/>
        </w:rPr>
        <w:t>a porté ni sur les faits ni sur</w:t>
      </w:r>
      <w:r w:rsidRPr="008A09E4">
        <w:t xml:space="preserve"> </w:t>
      </w:r>
      <w:r w:rsidRPr="008A09E4">
        <w:rPr>
          <w:lang w:val="fr-FR"/>
        </w:rPr>
        <w:t>la question de savoir si les preuves étaient suffisantes</w:t>
      </w:r>
      <w:r w:rsidR="00F224D8" w:rsidRPr="00F224D8">
        <w:rPr>
          <w:lang w:val="fr-FR"/>
        </w:rPr>
        <w:t>.</w:t>
      </w:r>
      <w:r w:rsidRPr="008A09E4">
        <w:rPr>
          <w:lang w:val="fr-FR"/>
        </w:rPr>
        <w:t xml:space="preserve"> En outre, dans sa décision, la juridiction de cassation n</w:t>
      </w:r>
      <w:r>
        <w:rPr>
          <w:lang w:val="fr-FR"/>
        </w:rPr>
        <w:t>’</w:t>
      </w:r>
      <w:r w:rsidRPr="008A09E4">
        <w:rPr>
          <w:lang w:val="fr-FR"/>
        </w:rPr>
        <w:t>a pas tenu compte des griefs formulés dans le recours et l</w:t>
      </w:r>
      <w:r>
        <w:rPr>
          <w:lang w:val="fr-FR"/>
        </w:rPr>
        <w:t>’</w:t>
      </w:r>
      <w:r w:rsidRPr="008A09E4">
        <w:rPr>
          <w:lang w:val="fr-FR"/>
        </w:rPr>
        <w:t>audience s</w:t>
      </w:r>
      <w:r>
        <w:rPr>
          <w:lang w:val="fr-FR"/>
        </w:rPr>
        <w:t>’</w:t>
      </w:r>
      <w:r w:rsidRPr="008A09E4">
        <w:rPr>
          <w:lang w:val="fr-FR"/>
        </w:rPr>
        <w:t xml:space="preserve">est tenue </w:t>
      </w:r>
      <w:r>
        <w:rPr>
          <w:lang w:val="fr-FR"/>
        </w:rPr>
        <w:t>sans que</w:t>
      </w:r>
      <w:r w:rsidRPr="008A09E4">
        <w:rPr>
          <w:lang w:val="fr-FR"/>
        </w:rPr>
        <w:t xml:space="preserve"> l</w:t>
      </w:r>
      <w:r>
        <w:rPr>
          <w:lang w:val="fr-FR"/>
        </w:rPr>
        <w:t>’</w:t>
      </w:r>
      <w:r w:rsidRPr="008A09E4">
        <w:rPr>
          <w:lang w:val="fr-FR"/>
        </w:rPr>
        <w:t>auteur</w:t>
      </w:r>
      <w:r>
        <w:rPr>
          <w:lang w:val="fr-FR"/>
        </w:rPr>
        <w:t xml:space="preserve"> soit présent</w:t>
      </w:r>
      <w:r w:rsidR="00F224D8" w:rsidRPr="00F224D8">
        <w:rPr>
          <w:lang w:val="fr-FR"/>
        </w:rPr>
        <w:t>.</w:t>
      </w:r>
    </w:p>
    <w:p w14:paraId="693B4447" w14:textId="77777777" w:rsidR="00E44C92" w:rsidRPr="008A09E4" w:rsidRDefault="00E44C92" w:rsidP="00E44C92">
      <w:pPr>
        <w:pStyle w:val="SingleTxtG"/>
        <w:rPr>
          <w:lang w:val="fr-FR"/>
        </w:rPr>
      </w:pPr>
      <w:r w:rsidRPr="008A09E4">
        <w:rPr>
          <w:lang w:val="fr-FR"/>
        </w:rPr>
        <w:t>3</w:t>
      </w:r>
      <w:r w:rsidR="00F224D8" w:rsidRPr="00F224D8">
        <w:rPr>
          <w:lang w:val="fr-FR"/>
        </w:rPr>
        <w:t>.</w:t>
      </w:r>
      <w:r w:rsidRPr="008A09E4">
        <w:rPr>
          <w:lang w:val="fr-FR"/>
        </w:rPr>
        <w:t>8</w:t>
      </w:r>
      <w:r w:rsidRPr="008A09E4">
        <w:rPr>
          <w:lang w:val="fr-FR"/>
        </w:rPr>
        <w:tab/>
        <w:t>Enfin, l</w:t>
      </w:r>
      <w:r>
        <w:rPr>
          <w:lang w:val="fr-FR"/>
        </w:rPr>
        <w:t>’</w:t>
      </w:r>
      <w:r w:rsidRPr="008A09E4">
        <w:rPr>
          <w:lang w:val="fr-FR"/>
        </w:rPr>
        <w:t>auteur affirme qu</w:t>
      </w:r>
      <w:r>
        <w:rPr>
          <w:lang w:val="fr-FR"/>
        </w:rPr>
        <w:t>’</w:t>
      </w:r>
      <w:r w:rsidRPr="008A09E4">
        <w:rPr>
          <w:lang w:val="fr-FR"/>
        </w:rPr>
        <w:t>en violation du paragraphe 7 de l</w:t>
      </w:r>
      <w:r>
        <w:rPr>
          <w:lang w:val="fr-FR"/>
        </w:rPr>
        <w:t>’</w:t>
      </w:r>
      <w:r w:rsidRPr="008A09E4">
        <w:rPr>
          <w:lang w:val="fr-FR"/>
        </w:rPr>
        <w:t>article 14 du Pacte, il a été puni deux fois pour sa participation au rassemblement du 19 décembre 2010, dans le cadre de la procédure administrative puis dans celui de la procédure pénale</w:t>
      </w:r>
      <w:r w:rsidR="00F224D8" w:rsidRPr="00F224D8">
        <w:rPr>
          <w:lang w:val="fr-FR"/>
        </w:rPr>
        <w:t>.</w:t>
      </w:r>
    </w:p>
    <w:p w14:paraId="21B748C9" w14:textId="77777777" w:rsidR="00E44C92" w:rsidRPr="008A09E4" w:rsidRDefault="00E44C92" w:rsidP="00E44C92">
      <w:pPr>
        <w:pStyle w:val="H23G"/>
        <w:rPr>
          <w:lang w:val="fr-FR"/>
        </w:rPr>
      </w:pPr>
      <w:r w:rsidRPr="008A09E4">
        <w:rPr>
          <w:lang w:val="fr-FR"/>
        </w:rPr>
        <w:tab/>
      </w:r>
      <w:r w:rsidRPr="008A09E4">
        <w:rPr>
          <w:lang w:val="fr-FR"/>
        </w:rPr>
        <w:tab/>
        <w:t>Observations de l</w:t>
      </w:r>
      <w:r>
        <w:rPr>
          <w:lang w:val="fr-FR"/>
        </w:rPr>
        <w:t>’</w:t>
      </w:r>
      <w:r w:rsidRPr="008A09E4">
        <w:rPr>
          <w:lang w:val="fr-FR"/>
        </w:rPr>
        <w:t>État partie sur la recevabilité</w:t>
      </w:r>
    </w:p>
    <w:p w14:paraId="0F701D91" w14:textId="77777777" w:rsidR="00E44C92" w:rsidRPr="008A09E4" w:rsidRDefault="00E44C92" w:rsidP="00E44C92">
      <w:pPr>
        <w:pStyle w:val="SingleTxtG"/>
        <w:rPr>
          <w:lang w:val="fr-FR"/>
        </w:rPr>
      </w:pPr>
      <w:r w:rsidRPr="008A09E4">
        <w:rPr>
          <w:lang w:val="fr-FR"/>
        </w:rPr>
        <w:t>4</w:t>
      </w:r>
      <w:r w:rsidR="00F224D8" w:rsidRPr="00F224D8">
        <w:rPr>
          <w:lang w:val="fr-FR"/>
        </w:rPr>
        <w:t>.</w:t>
      </w:r>
      <w:r w:rsidRPr="008A09E4">
        <w:rPr>
          <w:lang w:val="fr-FR"/>
        </w:rPr>
        <w:t>1</w:t>
      </w:r>
      <w:r w:rsidRPr="008A09E4">
        <w:rPr>
          <w:lang w:val="fr-FR"/>
        </w:rPr>
        <w:tab/>
        <w:t>Dans une note verbale datée du 18 août 2014, l</w:t>
      </w:r>
      <w:r>
        <w:rPr>
          <w:lang w:val="fr-FR"/>
        </w:rPr>
        <w:t>’</w:t>
      </w:r>
      <w:r w:rsidRPr="008A09E4">
        <w:rPr>
          <w:lang w:val="fr-FR"/>
        </w:rPr>
        <w:t>État partie a fait part de ses observations sur la recevabilité de la communication</w:t>
      </w:r>
      <w:r w:rsidR="00F224D8" w:rsidRPr="00F224D8">
        <w:rPr>
          <w:lang w:val="fr-FR"/>
        </w:rPr>
        <w:t>.</w:t>
      </w:r>
      <w:r w:rsidRPr="008A09E4">
        <w:rPr>
          <w:lang w:val="fr-FR"/>
        </w:rPr>
        <w:t xml:space="preserve"> Il dit reconnaître</w:t>
      </w:r>
      <w:r w:rsidRPr="008A09E4">
        <w:t xml:space="preserve"> la compétence du Comité pour recevoir et examiner des communications émanant de Bélarussiens qui se disent victimes de violations des droits garantis par le Pacte, mais appelle l</w:t>
      </w:r>
      <w:r>
        <w:t>’</w:t>
      </w:r>
      <w:r w:rsidRPr="008A09E4">
        <w:t>attention du Comité sur le fait qu</w:t>
      </w:r>
      <w:r>
        <w:t>’</w:t>
      </w:r>
      <w:r w:rsidRPr="008A09E4">
        <w:t>il était inacceptable que le Protocole facultatif ne soit pas pris en considération et/ou soit interprété de manière arbitraire lors de l</w:t>
      </w:r>
      <w:r>
        <w:t>’</w:t>
      </w:r>
      <w:r w:rsidRPr="008A09E4">
        <w:t>enregistrement ou de l</w:t>
      </w:r>
      <w:r>
        <w:t>’</w:t>
      </w:r>
      <w:r w:rsidRPr="008A09E4">
        <w:t>examen de communications émanant de particuliers</w:t>
      </w:r>
      <w:r w:rsidR="00F224D8" w:rsidRPr="00F224D8">
        <w:t>.</w:t>
      </w:r>
    </w:p>
    <w:p w14:paraId="5B2AEF48" w14:textId="77777777" w:rsidR="00E44C92" w:rsidRPr="008A09E4" w:rsidRDefault="00E44C92" w:rsidP="00E44C92">
      <w:pPr>
        <w:pStyle w:val="SingleTxtG"/>
        <w:rPr>
          <w:lang w:val="fr-FR"/>
        </w:rPr>
      </w:pPr>
      <w:r w:rsidRPr="008A09E4">
        <w:rPr>
          <w:lang w:val="fr-FR"/>
        </w:rPr>
        <w:t>4</w:t>
      </w:r>
      <w:r w:rsidR="00F224D8" w:rsidRPr="00F224D8">
        <w:rPr>
          <w:lang w:val="fr-FR"/>
        </w:rPr>
        <w:t>.</w:t>
      </w:r>
      <w:r w:rsidRPr="008A09E4">
        <w:rPr>
          <w:lang w:val="fr-FR"/>
        </w:rPr>
        <w:t>2</w:t>
      </w:r>
      <w:r w:rsidRPr="008A09E4">
        <w:rPr>
          <w:lang w:val="fr-FR"/>
        </w:rPr>
        <w:tab/>
      </w:r>
      <w:r w:rsidRPr="008A09E4">
        <w:t>L</w:t>
      </w:r>
      <w:r>
        <w:t>’</w:t>
      </w:r>
      <w:r w:rsidRPr="008A09E4">
        <w:t>État partie se déclare préoccupé par le fait que le Comité se dérobe systématiquement aux responsabilités qui lui incombent au titre du Protocole facultatif lorsqu</w:t>
      </w:r>
      <w:r>
        <w:t>’</w:t>
      </w:r>
      <w:r w:rsidRPr="008A09E4">
        <w:t>il enregistre et examine des communications émanant de particuliers qui n</w:t>
      </w:r>
      <w:r>
        <w:t>’</w:t>
      </w:r>
      <w:r w:rsidRPr="008A09E4">
        <w:t>ont pas épuisé</w:t>
      </w:r>
      <w:r>
        <w:t xml:space="preserve"> tous</w:t>
      </w:r>
      <w:r w:rsidRPr="008A09E4">
        <w:t xml:space="preserve"> les recours internes (art</w:t>
      </w:r>
      <w:r w:rsidR="00F224D8" w:rsidRPr="00F224D8">
        <w:t>.</w:t>
      </w:r>
      <w:r w:rsidRPr="008A09E4">
        <w:t> 2 et 5, par</w:t>
      </w:r>
      <w:r w:rsidR="00F224D8" w:rsidRPr="00F224D8">
        <w:t>.</w:t>
      </w:r>
      <w:r w:rsidRPr="008A09E4">
        <w:t> 2 b)</w:t>
      </w:r>
      <w:r>
        <w:t xml:space="preserve"> du Protocole facultatif</w:t>
      </w:r>
      <w:r w:rsidRPr="008A09E4">
        <w:t>) ou qui sont soumises par des tiers, y compris des personnes qui ne relèvent pas de la juridiction du Bélarus (art</w:t>
      </w:r>
      <w:r w:rsidR="00F224D8" w:rsidRPr="00F224D8">
        <w:t>.</w:t>
      </w:r>
      <w:r w:rsidRPr="008A09E4">
        <w:t> 1</w:t>
      </w:r>
      <w:r w:rsidRPr="008A09E4">
        <w:rPr>
          <w:vertAlign w:val="superscript"/>
        </w:rPr>
        <w:t>er</w:t>
      </w:r>
      <w:r w:rsidRPr="008A09E4">
        <w:t xml:space="preserve"> et 2</w:t>
      </w:r>
      <w:r>
        <w:t xml:space="preserve"> du Protocole facultatif</w:t>
      </w:r>
      <w:r w:rsidRPr="008A09E4">
        <w:t>)</w:t>
      </w:r>
      <w:r w:rsidR="00F224D8" w:rsidRPr="00F224D8">
        <w:t>.</w:t>
      </w:r>
    </w:p>
    <w:p w14:paraId="192A926C" w14:textId="77777777" w:rsidR="00E44C92" w:rsidRPr="008A09E4" w:rsidRDefault="00E44C92" w:rsidP="00E44C92">
      <w:pPr>
        <w:pStyle w:val="SingleTxtG"/>
        <w:rPr>
          <w:lang w:val="fr-FR"/>
        </w:rPr>
      </w:pPr>
      <w:r w:rsidRPr="008A09E4">
        <w:rPr>
          <w:lang w:val="fr-FR"/>
        </w:rPr>
        <w:t>4</w:t>
      </w:r>
      <w:r w:rsidR="00F224D8" w:rsidRPr="00F224D8">
        <w:rPr>
          <w:lang w:val="fr-FR"/>
        </w:rPr>
        <w:t>.</w:t>
      </w:r>
      <w:r w:rsidRPr="008A09E4">
        <w:rPr>
          <w:lang w:val="fr-FR"/>
        </w:rPr>
        <w:t>3</w:t>
      </w:r>
      <w:r w:rsidRPr="008A09E4">
        <w:rPr>
          <w:lang w:val="fr-FR"/>
        </w:rPr>
        <w:tab/>
      </w:r>
      <w:r w:rsidRPr="008A09E4">
        <w:t>L</w:t>
      </w:r>
      <w:r>
        <w:t>’</w:t>
      </w:r>
      <w:r w:rsidRPr="008A09E4">
        <w:t>État partie considère qu</w:t>
      </w:r>
      <w:r>
        <w:t>’</w:t>
      </w:r>
      <w:r w:rsidRPr="008A09E4">
        <w:t>il est inacceptable que le Comité adopte des constatations concernant des communications émanant de particuliers qui ont été enregistrées conformément à « une pratique établie et à son règlement intérieur » mais en violation du Protocole facultatif</w:t>
      </w:r>
      <w:r w:rsidR="00F224D8" w:rsidRPr="00F224D8">
        <w:t>.</w:t>
      </w:r>
      <w:r w:rsidRPr="008A09E4">
        <w:t xml:space="preserve"> Il fait observer que le règlement intérieur établi par le Comité conformément au paragraphe 2 de l</w:t>
      </w:r>
      <w:r>
        <w:t>’</w:t>
      </w:r>
      <w:r w:rsidRPr="008A09E4">
        <w:t>article 39 du Pacte tient lieu de règlement interne, n</w:t>
      </w:r>
      <w:r>
        <w:t>’</w:t>
      </w:r>
      <w:r w:rsidRPr="008A09E4">
        <w:t>est pas juridiquement contraignant pour les États parties et ne peut être invoqué par le Comité pour justifier des violations des dispositions du Protocole facultatif</w:t>
      </w:r>
      <w:r w:rsidR="00F224D8" w:rsidRPr="00F224D8">
        <w:t>.</w:t>
      </w:r>
      <w:r w:rsidRPr="008A09E4">
        <w:t xml:space="preserve"> Toutes les mesures prises par le Comité dans le cadre des compétences qui lui sont déléguées, notamment l</w:t>
      </w:r>
      <w:r>
        <w:t>’</w:t>
      </w:r>
      <w:r w:rsidRPr="008A09E4">
        <w:t>enregistrement des communications, doivent être pleinement conformes aux dispositions du Protocole facultatif, et celles qui ne s</w:t>
      </w:r>
      <w:r>
        <w:t>’</w:t>
      </w:r>
      <w:r w:rsidRPr="008A09E4">
        <w:t>inscrivent pas dans le cadre de ces compétences (</w:t>
      </w:r>
      <w:r w:rsidRPr="00AC1A7A">
        <w:rPr>
          <w:i/>
          <w:iCs/>
        </w:rPr>
        <w:t>ultra vires</w:t>
      </w:r>
      <w:r w:rsidRPr="008A09E4">
        <w:t>) n</w:t>
      </w:r>
      <w:r>
        <w:t>’</w:t>
      </w:r>
      <w:r w:rsidRPr="008A09E4">
        <w:t>ont aucune conséquence juridique pour les États parties</w:t>
      </w:r>
      <w:r w:rsidR="00F224D8" w:rsidRPr="00F224D8">
        <w:t>.</w:t>
      </w:r>
    </w:p>
    <w:p w14:paraId="113FF6FA" w14:textId="77777777" w:rsidR="00E44C92" w:rsidRPr="008A09E4" w:rsidRDefault="00E44C92" w:rsidP="00E44C92">
      <w:pPr>
        <w:pStyle w:val="SingleTxtG"/>
        <w:rPr>
          <w:lang w:val="fr-FR"/>
        </w:rPr>
      </w:pPr>
      <w:r w:rsidRPr="008A09E4">
        <w:rPr>
          <w:lang w:val="fr-FR"/>
        </w:rPr>
        <w:t>4</w:t>
      </w:r>
      <w:r w:rsidR="00F224D8" w:rsidRPr="00F224D8">
        <w:rPr>
          <w:lang w:val="fr-FR"/>
        </w:rPr>
        <w:t>.</w:t>
      </w:r>
      <w:r w:rsidRPr="008A09E4">
        <w:rPr>
          <w:lang w:val="fr-FR"/>
        </w:rPr>
        <w:t>4</w:t>
      </w:r>
      <w:r w:rsidRPr="008A09E4">
        <w:rPr>
          <w:lang w:val="fr-FR"/>
        </w:rPr>
        <w:tab/>
      </w:r>
      <w:r w:rsidRPr="008A09E4">
        <w:t>L</w:t>
      </w:r>
      <w:r>
        <w:t>’</w:t>
      </w:r>
      <w:r w:rsidRPr="008A09E4">
        <w:t xml:space="preserve">État partie affirme que, dans le souci de se conformer de bonne foi au Protocole facultatif, il </w:t>
      </w:r>
      <w:r>
        <w:t>exerce</w:t>
      </w:r>
      <w:r w:rsidRPr="008A09E4">
        <w:t xml:space="preserve"> son droit de ne pas reconnaître les constatations adoptées par le</w:t>
      </w:r>
      <w:r w:rsidR="001934BE">
        <w:t xml:space="preserve"> </w:t>
      </w:r>
      <w:r w:rsidRPr="008A09E4">
        <w:t>Comité à la suite de ses actions illégales</w:t>
      </w:r>
      <w:r w:rsidR="00F224D8" w:rsidRPr="00F224D8">
        <w:t>.</w:t>
      </w:r>
      <w:r w:rsidRPr="008A09E4">
        <w:t xml:space="preserve"> En outrepassant les pouvoirs que lui confèrent le Pacte et </w:t>
      </w:r>
      <w:r>
        <w:t>le P</w:t>
      </w:r>
      <w:r w:rsidRPr="008A09E4">
        <w:t>rotocole facultatif, en faisant une interprétation large de son mandat, et en s</w:t>
      </w:r>
      <w:r>
        <w:t>’</w:t>
      </w:r>
      <w:r w:rsidRPr="008A09E4">
        <w:t xml:space="preserve">arrogeant </w:t>
      </w:r>
      <w:r w:rsidRPr="008A09E4">
        <w:lastRenderedPageBreak/>
        <w:t>sans aucun fondement les attributions et compétences d</w:t>
      </w:r>
      <w:r>
        <w:t>’</w:t>
      </w:r>
      <w:r w:rsidRPr="008A09E4">
        <w:t>un organe judiciaire international, le Comité mine sa propre crédibilité et nuit aux objectifs du Pacte et du Protocole facultatif</w:t>
      </w:r>
      <w:r w:rsidR="00F224D8" w:rsidRPr="00F224D8">
        <w:t>.</w:t>
      </w:r>
    </w:p>
    <w:p w14:paraId="5DF2A212" w14:textId="77777777" w:rsidR="00E44C92" w:rsidRPr="008A09E4" w:rsidRDefault="00E44C92" w:rsidP="00E44C92">
      <w:pPr>
        <w:pStyle w:val="SingleTxtG"/>
        <w:rPr>
          <w:lang w:val="fr-FR"/>
        </w:rPr>
      </w:pPr>
      <w:r w:rsidRPr="008A09E4">
        <w:rPr>
          <w:lang w:val="fr-FR"/>
        </w:rPr>
        <w:t>4</w:t>
      </w:r>
      <w:r w:rsidR="00F224D8" w:rsidRPr="00F224D8">
        <w:rPr>
          <w:lang w:val="fr-FR"/>
        </w:rPr>
        <w:t>.</w:t>
      </w:r>
      <w:r w:rsidRPr="008A09E4">
        <w:rPr>
          <w:lang w:val="fr-FR"/>
        </w:rPr>
        <w:t>5</w:t>
      </w:r>
      <w:r w:rsidRPr="008A09E4">
        <w:rPr>
          <w:lang w:val="fr-FR"/>
        </w:rPr>
        <w:tab/>
      </w:r>
      <w:r w:rsidRPr="008A09E4">
        <w:t>L</w:t>
      </w:r>
      <w:r>
        <w:t>’</w:t>
      </w:r>
      <w:r w:rsidRPr="008A09E4">
        <w:t>État partie fait observer que les dispositions du Pacte ne confèrent pas au Comité des pouvoirs d</w:t>
      </w:r>
      <w:r>
        <w:t>’</w:t>
      </w:r>
      <w:r w:rsidRPr="008A09E4">
        <w:t>interprétation illimités</w:t>
      </w:r>
      <w:r w:rsidR="00F224D8" w:rsidRPr="00F224D8">
        <w:t>.</w:t>
      </w:r>
      <w:r w:rsidRPr="008A09E4">
        <w:t xml:space="preserve"> Le Comité ne peut interpréter le Pacte qu</w:t>
      </w:r>
      <w:r>
        <w:t>’</w:t>
      </w:r>
      <w:r w:rsidRPr="008A09E4">
        <w:t>en relation avec des situations particulières qui lui sont soumises pour examen</w:t>
      </w:r>
      <w:r w:rsidR="00F224D8" w:rsidRPr="00F224D8">
        <w:t>.</w:t>
      </w:r>
      <w:r w:rsidRPr="008A09E4">
        <w:t xml:space="preserve"> Dans le même temps, les interprétations qui ont le plus de valeur sont celles qui sont faites par les États parties (« interprétation authentique »)</w:t>
      </w:r>
      <w:r w:rsidR="00F224D8" w:rsidRPr="00F224D8">
        <w:t>.</w:t>
      </w:r>
    </w:p>
    <w:p w14:paraId="404070CB" w14:textId="77777777" w:rsidR="00E44C92" w:rsidRPr="008A09E4" w:rsidRDefault="00E44C92" w:rsidP="00E44C92">
      <w:pPr>
        <w:pStyle w:val="SingleTxtG"/>
        <w:rPr>
          <w:lang w:val="fr-FR"/>
        </w:rPr>
      </w:pPr>
      <w:r w:rsidRPr="008A09E4">
        <w:rPr>
          <w:lang w:val="fr-FR"/>
        </w:rPr>
        <w:t>4</w:t>
      </w:r>
      <w:r w:rsidR="00F224D8" w:rsidRPr="00F224D8">
        <w:rPr>
          <w:lang w:val="fr-FR"/>
        </w:rPr>
        <w:t>.</w:t>
      </w:r>
      <w:r w:rsidRPr="008A09E4">
        <w:rPr>
          <w:lang w:val="fr-FR"/>
        </w:rPr>
        <w:t>6</w:t>
      </w:r>
      <w:r w:rsidRPr="008A09E4">
        <w:rPr>
          <w:lang w:val="fr-FR"/>
        </w:rPr>
        <w:tab/>
      </w:r>
      <w:r w:rsidRPr="008A09E4">
        <w:t>L</w:t>
      </w:r>
      <w:r>
        <w:t>’</w:t>
      </w:r>
      <w:r w:rsidRPr="008A09E4">
        <w:t>État partie soutient que les arguments exposés plaident en faveur d</w:t>
      </w:r>
      <w:r>
        <w:t>’</w:t>
      </w:r>
      <w:r w:rsidRPr="008A09E4">
        <w:t>une réforme du Comité et d</w:t>
      </w:r>
      <w:r>
        <w:t>’</w:t>
      </w:r>
      <w:r w:rsidRPr="008A09E4">
        <w:t>une plus grande transparence de ses travaux</w:t>
      </w:r>
      <w:r w:rsidR="00F224D8" w:rsidRPr="00F224D8">
        <w:t>.</w:t>
      </w:r>
      <w:r w:rsidRPr="008A09E4">
        <w:t xml:space="preserve"> En conséquence, l</w:t>
      </w:r>
      <w:r>
        <w:t>’</w:t>
      </w:r>
      <w:r w:rsidRPr="008A09E4">
        <w:t xml:space="preserve">État partie engage vivement le Comité à </w:t>
      </w:r>
      <w:r>
        <w:t>cesser</w:t>
      </w:r>
      <w:r w:rsidRPr="008A09E4">
        <w:t xml:space="preserve"> d</w:t>
      </w:r>
      <w:r>
        <w:t>’</w:t>
      </w:r>
      <w:r w:rsidRPr="008A09E4">
        <w:t>enregistrer des communications émanant de particuliers en violation du Protocole facultatif et d</w:t>
      </w:r>
      <w:r>
        <w:t>’</w:t>
      </w:r>
      <w:r w:rsidRPr="008A09E4">
        <w:t>adopter des constatations à leur sujet</w:t>
      </w:r>
      <w:r w:rsidR="00F224D8" w:rsidRPr="00F224D8">
        <w:t>.</w:t>
      </w:r>
      <w:r w:rsidRPr="008A09E4">
        <w:t xml:space="preserve"> Il demande également au Comité de cesser de donner à la communauté internationale des informations erronées quant à son prétendu défaut de coopération</w:t>
      </w:r>
      <w:r w:rsidR="00F224D8" w:rsidRPr="00F224D8">
        <w:t>.</w:t>
      </w:r>
    </w:p>
    <w:p w14:paraId="0333F6F0" w14:textId="77777777" w:rsidR="00E44C92" w:rsidRPr="008A09E4" w:rsidRDefault="00E44C92" w:rsidP="00E44C92">
      <w:pPr>
        <w:pStyle w:val="H23G"/>
        <w:rPr>
          <w:lang w:val="fr-FR"/>
        </w:rPr>
      </w:pPr>
      <w:r w:rsidRPr="008A09E4">
        <w:rPr>
          <w:lang w:val="fr-FR"/>
        </w:rPr>
        <w:tab/>
      </w:r>
      <w:r w:rsidRPr="008A09E4">
        <w:rPr>
          <w:lang w:val="fr-FR"/>
        </w:rPr>
        <w:tab/>
        <w:t>Commentaires de l</w:t>
      </w:r>
      <w:r>
        <w:rPr>
          <w:lang w:val="fr-FR"/>
        </w:rPr>
        <w:t>’</w:t>
      </w:r>
      <w:r w:rsidRPr="008A09E4">
        <w:rPr>
          <w:lang w:val="fr-FR"/>
        </w:rPr>
        <w:t>auteur sur les observations de l</w:t>
      </w:r>
      <w:r>
        <w:rPr>
          <w:lang w:val="fr-FR"/>
        </w:rPr>
        <w:t>’</w:t>
      </w:r>
      <w:r w:rsidRPr="008A09E4">
        <w:rPr>
          <w:lang w:val="fr-FR"/>
        </w:rPr>
        <w:t xml:space="preserve">État partie </w:t>
      </w:r>
      <w:r>
        <w:rPr>
          <w:lang w:val="fr-FR"/>
        </w:rPr>
        <w:br/>
      </w:r>
      <w:r w:rsidRPr="008A09E4">
        <w:rPr>
          <w:lang w:val="fr-FR"/>
        </w:rPr>
        <w:t>concernant la recevabilité</w:t>
      </w:r>
    </w:p>
    <w:p w14:paraId="7B950AD5" w14:textId="77777777" w:rsidR="00E44C92" w:rsidRPr="008A09E4" w:rsidRDefault="00E44C92" w:rsidP="00E44C92">
      <w:pPr>
        <w:pStyle w:val="SingleTxtG"/>
        <w:rPr>
          <w:lang w:val="fr-FR"/>
        </w:rPr>
      </w:pPr>
      <w:r w:rsidRPr="008A09E4">
        <w:rPr>
          <w:lang w:val="fr-FR"/>
        </w:rPr>
        <w:t>5</w:t>
      </w:r>
      <w:r w:rsidR="00F224D8" w:rsidRPr="00F224D8">
        <w:rPr>
          <w:lang w:val="fr-FR"/>
        </w:rPr>
        <w:t>.</w:t>
      </w:r>
      <w:r w:rsidRPr="008A09E4">
        <w:rPr>
          <w:lang w:val="fr-FR"/>
        </w:rPr>
        <w:t>1</w:t>
      </w:r>
      <w:r w:rsidRPr="008A09E4">
        <w:rPr>
          <w:lang w:val="fr-FR"/>
        </w:rPr>
        <w:tab/>
        <w:t>Dans une lettre datée du 19 février 2015, l</w:t>
      </w:r>
      <w:r>
        <w:rPr>
          <w:lang w:val="fr-FR"/>
        </w:rPr>
        <w:t>’</w:t>
      </w:r>
      <w:r w:rsidRPr="008A09E4">
        <w:rPr>
          <w:lang w:val="fr-FR"/>
        </w:rPr>
        <w:t>auteur a fait part de ses commentaires sur les observations de l</w:t>
      </w:r>
      <w:r>
        <w:rPr>
          <w:lang w:val="fr-FR"/>
        </w:rPr>
        <w:t>’</w:t>
      </w:r>
      <w:r w:rsidRPr="008A09E4">
        <w:rPr>
          <w:lang w:val="fr-FR"/>
        </w:rPr>
        <w:t>État partie concernant la recevabilité</w:t>
      </w:r>
      <w:r w:rsidR="00F224D8" w:rsidRPr="00F224D8">
        <w:rPr>
          <w:lang w:val="fr-FR"/>
        </w:rPr>
        <w:t>.</w:t>
      </w:r>
      <w:r w:rsidRPr="008A09E4">
        <w:rPr>
          <w:lang w:val="fr-FR"/>
        </w:rPr>
        <w:t xml:space="preserve"> Il rejette l</w:t>
      </w:r>
      <w:r>
        <w:rPr>
          <w:lang w:val="fr-FR"/>
        </w:rPr>
        <w:t>’</w:t>
      </w:r>
      <w:r w:rsidRPr="008A09E4">
        <w:rPr>
          <w:lang w:val="fr-FR"/>
        </w:rPr>
        <w:t>argument de l</w:t>
      </w:r>
      <w:r>
        <w:rPr>
          <w:lang w:val="fr-FR"/>
        </w:rPr>
        <w:t>’</w:t>
      </w:r>
      <w:r w:rsidRPr="008A09E4">
        <w:rPr>
          <w:lang w:val="fr-FR"/>
        </w:rPr>
        <w:t xml:space="preserve">État partie selon lequel </w:t>
      </w:r>
      <w:r>
        <w:rPr>
          <w:lang w:val="fr-FR"/>
        </w:rPr>
        <w:t>il</w:t>
      </w:r>
      <w:r w:rsidRPr="008A09E4">
        <w:rPr>
          <w:lang w:val="fr-FR"/>
        </w:rPr>
        <w:t xml:space="preserve"> n</w:t>
      </w:r>
      <w:r>
        <w:rPr>
          <w:lang w:val="fr-FR"/>
        </w:rPr>
        <w:t>’</w:t>
      </w:r>
      <w:r w:rsidRPr="008A09E4">
        <w:rPr>
          <w:lang w:val="fr-FR"/>
        </w:rPr>
        <w:t>a pas épuisé</w:t>
      </w:r>
      <w:r>
        <w:rPr>
          <w:lang w:val="fr-FR"/>
        </w:rPr>
        <w:t xml:space="preserve"> tous</w:t>
      </w:r>
      <w:r w:rsidRPr="008A09E4">
        <w:rPr>
          <w:lang w:val="fr-FR"/>
        </w:rPr>
        <w:t xml:space="preserve"> les recours internes disponibles</w:t>
      </w:r>
      <w:r w:rsidR="00F224D8" w:rsidRPr="00F224D8">
        <w:rPr>
          <w:lang w:val="fr-FR"/>
        </w:rPr>
        <w:t>.</w:t>
      </w:r>
      <w:r w:rsidRPr="008A09E4">
        <w:rPr>
          <w:lang w:val="fr-FR"/>
        </w:rPr>
        <w:t xml:space="preserve"> </w:t>
      </w:r>
      <w:r>
        <w:rPr>
          <w:lang w:val="fr-FR"/>
        </w:rPr>
        <w:t>Bien qu’il ait</w:t>
      </w:r>
      <w:r w:rsidRPr="008A09E4">
        <w:rPr>
          <w:lang w:val="fr-FR"/>
        </w:rPr>
        <w:t xml:space="preserve"> fait appel de sa détention administrative, son recours a été rejeté</w:t>
      </w:r>
      <w:r w:rsidR="00F224D8" w:rsidRPr="00F224D8">
        <w:rPr>
          <w:lang w:val="fr-FR"/>
        </w:rPr>
        <w:t>.</w:t>
      </w:r>
      <w:r w:rsidRPr="008A09E4">
        <w:rPr>
          <w:lang w:val="fr-FR"/>
        </w:rPr>
        <w:t xml:space="preserve"> Il a également fait appel de son arrestation dans le cadre de l</w:t>
      </w:r>
      <w:r>
        <w:rPr>
          <w:lang w:val="fr-FR"/>
        </w:rPr>
        <w:t>’</w:t>
      </w:r>
      <w:r w:rsidRPr="008A09E4">
        <w:rPr>
          <w:lang w:val="fr-FR"/>
        </w:rPr>
        <w:t>affaire pénale et de la décision du tribunal de première instance</w:t>
      </w:r>
      <w:r w:rsidR="00F224D8" w:rsidRPr="00F224D8">
        <w:rPr>
          <w:lang w:val="fr-FR"/>
        </w:rPr>
        <w:t>.</w:t>
      </w:r>
      <w:r w:rsidRPr="008A09E4">
        <w:rPr>
          <w:lang w:val="fr-FR"/>
        </w:rPr>
        <w:t xml:space="preserve"> Il a en outre </w:t>
      </w:r>
      <w:bookmarkStart w:id="7" w:name="_Hlk10626906"/>
      <w:r w:rsidRPr="008A09E4">
        <w:rPr>
          <w:lang w:val="fr-FR"/>
        </w:rPr>
        <w:t>déposé des recours au titre de la procédure de contrôle auprès du Vice-Président de la Cour suprême et du procureur de la ville de Minsk</w:t>
      </w:r>
      <w:bookmarkEnd w:id="7"/>
      <w:r w:rsidRPr="008A09E4">
        <w:rPr>
          <w:lang w:val="fr-FR"/>
        </w:rPr>
        <w:t xml:space="preserve"> concernant sa condamnation, mais ses recours ont été rejetés</w:t>
      </w:r>
      <w:r w:rsidR="00F224D8" w:rsidRPr="00F224D8">
        <w:rPr>
          <w:lang w:val="fr-FR"/>
        </w:rPr>
        <w:t>.</w:t>
      </w:r>
      <w:r w:rsidRPr="008A09E4">
        <w:rPr>
          <w:lang w:val="fr-FR"/>
        </w:rPr>
        <w:t xml:space="preserve"> </w:t>
      </w:r>
      <w:r>
        <w:rPr>
          <w:lang w:val="fr-FR"/>
        </w:rPr>
        <w:t>Il</w:t>
      </w:r>
      <w:r w:rsidRPr="008A09E4">
        <w:rPr>
          <w:lang w:val="fr-FR"/>
        </w:rPr>
        <w:t xml:space="preserve"> soutient </w:t>
      </w:r>
      <w:r>
        <w:rPr>
          <w:lang w:val="fr-FR"/>
        </w:rPr>
        <w:t>qu’il</w:t>
      </w:r>
      <w:r w:rsidRPr="008A09E4">
        <w:rPr>
          <w:lang w:val="fr-FR"/>
        </w:rPr>
        <w:t xml:space="preserve"> a épuisé tous les recours juridiques internes qui étaient disponibles</w:t>
      </w:r>
      <w:r w:rsidR="00F224D8" w:rsidRPr="00F224D8">
        <w:rPr>
          <w:lang w:val="fr-FR"/>
        </w:rPr>
        <w:t>.</w:t>
      </w:r>
      <w:r w:rsidRPr="008A09E4">
        <w:rPr>
          <w:lang w:val="fr-FR"/>
        </w:rPr>
        <w:t xml:space="preserve"> Il fait observer qu</w:t>
      </w:r>
      <w:r>
        <w:rPr>
          <w:lang w:val="fr-FR"/>
        </w:rPr>
        <w:t>’</w:t>
      </w:r>
      <w:r w:rsidRPr="008A09E4">
        <w:rPr>
          <w:lang w:val="fr-FR"/>
        </w:rPr>
        <w:t>en application de la législation nationale, un verdict prend effet après un recours en cassation</w:t>
      </w:r>
      <w:r w:rsidR="00F224D8" w:rsidRPr="00F224D8">
        <w:rPr>
          <w:lang w:val="fr-FR"/>
        </w:rPr>
        <w:t>.</w:t>
      </w:r>
      <w:r w:rsidRPr="008A09E4">
        <w:rPr>
          <w:lang w:val="fr-FR"/>
        </w:rPr>
        <w:t xml:space="preserve"> Il ajoute que tout appel formé par la suite aurait un caractère discrétionnaire</w:t>
      </w:r>
      <w:r w:rsidR="00F224D8" w:rsidRPr="00F224D8">
        <w:rPr>
          <w:lang w:val="fr-FR"/>
        </w:rPr>
        <w:t>.</w:t>
      </w:r>
      <w:r>
        <w:rPr>
          <w:lang w:val="fr-FR"/>
        </w:rPr>
        <w:t xml:space="preserve"> En tout état de cause,</w:t>
      </w:r>
      <w:r w:rsidRPr="008A09E4">
        <w:rPr>
          <w:lang w:val="fr-FR"/>
        </w:rPr>
        <w:t xml:space="preserve"> le Comité a reconnu que les recours au titre de la procédure de contrôle n</w:t>
      </w:r>
      <w:r>
        <w:rPr>
          <w:lang w:val="fr-FR"/>
        </w:rPr>
        <w:t>’</w:t>
      </w:r>
      <w:r w:rsidRPr="008A09E4">
        <w:rPr>
          <w:lang w:val="fr-FR"/>
        </w:rPr>
        <w:t>étaient pas des recours utiles</w:t>
      </w:r>
      <w:r w:rsidRPr="00E44C92">
        <w:rPr>
          <w:rStyle w:val="Appelnotedebasdep"/>
        </w:rPr>
        <w:footnoteReference w:id="6"/>
      </w:r>
      <w:r w:rsidR="00F224D8" w:rsidRPr="00F224D8">
        <w:rPr>
          <w:lang w:val="fr-FR"/>
        </w:rPr>
        <w:t>.</w:t>
      </w:r>
    </w:p>
    <w:p w14:paraId="1FCD8FAF" w14:textId="77777777" w:rsidR="00E44C92" w:rsidRPr="008A09E4" w:rsidRDefault="00E44C92" w:rsidP="00E44C92">
      <w:pPr>
        <w:pStyle w:val="SingleTxtG"/>
        <w:rPr>
          <w:bCs/>
          <w:lang w:val="fr-FR"/>
        </w:rPr>
      </w:pPr>
      <w:r w:rsidRPr="008A09E4">
        <w:rPr>
          <w:bCs/>
          <w:lang w:val="fr-FR"/>
        </w:rPr>
        <w:t>5</w:t>
      </w:r>
      <w:r w:rsidR="00F224D8" w:rsidRPr="00F224D8">
        <w:rPr>
          <w:bCs/>
          <w:lang w:val="fr-FR"/>
        </w:rPr>
        <w:t>.</w:t>
      </w:r>
      <w:r w:rsidRPr="008A09E4">
        <w:rPr>
          <w:bCs/>
          <w:lang w:val="fr-FR"/>
        </w:rPr>
        <w:t>2</w:t>
      </w:r>
      <w:r w:rsidRPr="008A09E4">
        <w:rPr>
          <w:bCs/>
          <w:lang w:val="fr-FR"/>
        </w:rPr>
        <w:tab/>
        <w:t>En ce qui concerne l</w:t>
      </w:r>
      <w:r>
        <w:rPr>
          <w:bCs/>
          <w:lang w:val="fr-FR"/>
        </w:rPr>
        <w:t>’</w:t>
      </w:r>
      <w:r w:rsidRPr="008A09E4">
        <w:rPr>
          <w:bCs/>
          <w:lang w:val="fr-FR"/>
        </w:rPr>
        <w:t>argument de l</w:t>
      </w:r>
      <w:r>
        <w:rPr>
          <w:bCs/>
          <w:lang w:val="fr-FR"/>
        </w:rPr>
        <w:t>’</w:t>
      </w:r>
      <w:r w:rsidRPr="008A09E4">
        <w:rPr>
          <w:bCs/>
          <w:lang w:val="fr-FR"/>
        </w:rPr>
        <w:t>État partie selon lequel la communication a été présentée par un tiers, l</w:t>
      </w:r>
      <w:r>
        <w:rPr>
          <w:bCs/>
          <w:lang w:val="fr-FR"/>
        </w:rPr>
        <w:t>’</w:t>
      </w:r>
      <w:r w:rsidRPr="008A09E4">
        <w:rPr>
          <w:bCs/>
          <w:lang w:val="fr-FR"/>
        </w:rPr>
        <w:t xml:space="preserve">auteur affirme </w:t>
      </w:r>
      <w:r>
        <w:rPr>
          <w:bCs/>
          <w:lang w:val="fr-FR"/>
        </w:rPr>
        <w:t xml:space="preserve">que la communication </w:t>
      </w:r>
      <w:r w:rsidRPr="008A09E4">
        <w:rPr>
          <w:bCs/>
          <w:lang w:val="fr-FR"/>
        </w:rPr>
        <w:t>a</w:t>
      </w:r>
      <w:r>
        <w:rPr>
          <w:bCs/>
          <w:lang w:val="fr-FR"/>
        </w:rPr>
        <w:t xml:space="preserve"> été</w:t>
      </w:r>
      <w:r w:rsidRPr="008A09E4">
        <w:rPr>
          <w:bCs/>
          <w:lang w:val="fr-FR"/>
        </w:rPr>
        <w:t xml:space="preserve"> envoyée </w:t>
      </w:r>
      <w:r>
        <w:rPr>
          <w:bCs/>
          <w:lang w:val="fr-FR"/>
        </w:rPr>
        <w:t xml:space="preserve">par son père, dont le </w:t>
      </w:r>
      <w:r w:rsidRPr="008A09E4">
        <w:rPr>
          <w:bCs/>
          <w:lang w:val="fr-FR"/>
        </w:rPr>
        <w:t xml:space="preserve">nom et </w:t>
      </w:r>
      <w:r>
        <w:rPr>
          <w:bCs/>
          <w:lang w:val="fr-FR"/>
        </w:rPr>
        <w:t>l</w:t>
      </w:r>
      <w:r w:rsidRPr="008A09E4">
        <w:rPr>
          <w:bCs/>
          <w:lang w:val="fr-FR"/>
        </w:rPr>
        <w:t xml:space="preserve">es coordonnées figurent au </w:t>
      </w:r>
      <w:r>
        <w:rPr>
          <w:bCs/>
          <w:lang w:val="fr-FR"/>
        </w:rPr>
        <w:t xml:space="preserve">premier </w:t>
      </w:r>
      <w:r w:rsidRPr="008A09E4">
        <w:rPr>
          <w:bCs/>
          <w:lang w:val="fr-FR"/>
        </w:rPr>
        <w:t>paragraphe</w:t>
      </w:r>
      <w:r w:rsidRPr="00E44C92">
        <w:rPr>
          <w:rStyle w:val="Appelnotedebasdep"/>
        </w:rPr>
        <w:footnoteReference w:id="7"/>
      </w:r>
      <w:r w:rsidR="00F224D8" w:rsidRPr="00F224D8">
        <w:rPr>
          <w:bCs/>
          <w:lang w:val="fr-FR"/>
        </w:rPr>
        <w:t>.</w:t>
      </w:r>
    </w:p>
    <w:p w14:paraId="2C0DF22F" w14:textId="77777777" w:rsidR="00E44C92" w:rsidRPr="008A09E4" w:rsidRDefault="00E44C92" w:rsidP="00AF18B4">
      <w:pPr>
        <w:pStyle w:val="H23G"/>
        <w:rPr>
          <w:lang w:val="fr-FR"/>
        </w:rPr>
      </w:pPr>
      <w:r w:rsidRPr="008A09E4">
        <w:rPr>
          <w:lang w:val="fr-FR"/>
        </w:rPr>
        <w:tab/>
      </w:r>
      <w:r w:rsidRPr="008A09E4">
        <w:rPr>
          <w:lang w:val="fr-FR"/>
        </w:rPr>
        <w:tab/>
        <w:t>Délibérations du Comité</w:t>
      </w:r>
    </w:p>
    <w:p w14:paraId="2E10C519" w14:textId="77777777" w:rsidR="00E44C92" w:rsidRPr="008A09E4" w:rsidRDefault="00E44C92" w:rsidP="00AF18B4">
      <w:pPr>
        <w:pStyle w:val="H4G"/>
        <w:rPr>
          <w:lang w:val="fr-FR"/>
        </w:rPr>
      </w:pPr>
      <w:r w:rsidRPr="008A09E4">
        <w:rPr>
          <w:lang w:val="fr-FR"/>
        </w:rPr>
        <w:tab/>
      </w:r>
      <w:r w:rsidRPr="008A09E4">
        <w:rPr>
          <w:lang w:val="fr-FR"/>
        </w:rPr>
        <w:tab/>
        <w:t>Défaut de coopération de l</w:t>
      </w:r>
      <w:r>
        <w:rPr>
          <w:lang w:val="fr-FR"/>
        </w:rPr>
        <w:t>’</w:t>
      </w:r>
      <w:r w:rsidRPr="008A09E4">
        <w:rPr>
          <w:lang w:val="fr-FR"/>
        </w:rPr>
        <w:t>État partie</w:t>
      </w:r>
    </w:p>
    <w:p w14:paraId="5466299F" w14:textId="77777777" w:rsidR="00E44C92" w:rsidRPr="008A09E4" w:rsidRDefault="00E44C92" w:rsidP="00E44C92">
      <w:pPr>
        <w:pStyle w:val="SingleTxtG"/>
        <w:rPr>
          <w:lang w:val="fr-FR"/>
        </w:rPr>
      </w:pPr>
      <w:r w:rsidRPr="008A09E4">
        <w:rPr>
          <w:lang w:val="fr-FR"/>
        </w:rPr>
        <w:t>6</w:t>
      </w:r>
      <w:r w:rsidR="00F224D8" w:rsidRPr="00F224D8">
        <w:rPr>
          <w:lang w:val="fr-FR"/>
        </w:rPr>
        <w:t>.</w:t>
      </w:r>
      <w:r w:rsidRPr="008A09E4">
        <w:rPr>
          <w:lang w:val="fr-FR"/>
        </w:rPr>
        <w:t>1</w:t>
      </w:r>
      <w:r w:rsidRPr="008A09E4">
        <w:rPr>
          <w:lang w:val="fr-FR"/>
        </w:rPr>
        <w:tab/>
      </w:r>
      <w:r w:rsidRPr="008A09E4">
        <w:t>Le Comité note que l</w:t>
      </w:r>
      <w:r>
        <w:t>’</w:t>
      </w:r>
      <w:r w:rsidRPr="008A09E4">
        <w:t>État partie lui reproche d</w:t>
      </w:r>
      <w:r>
        <w:t>’</w:t>
      </w:r>
      <w:r w:rsidRPr="008A09E4">
        <w:t>adopter des constatations concernant des communications</w:t>
      </w:r>
      <w:r>
        <w:t xml:space="preserve"> </w:t>
      </w:r>
      <w:r w:rsidRPr="008A09E4">
        <w:t>émanant de particuliers qui ont été enregistrées conformément à « une pratique établie et à son règlement intérieur » mais en</w:t>
      </w:r>
      <w:r>
        <w:t xml:space="preserve"> </w:t>
      </w:r>
      <w:r w:rsidRPr="008A09E4">
        <w:t>violation</w:t>
      </w:r>
      <w:r>
        <w:t xml:space="preserve"> </w:t>
      </w:r>
      <w:r w:rsidRPr="008A09E4">
        <w:t>du Protocole facultatif, et qu</w:t>
      </w:r>
      <w:r>
        <w:t>’</w:t>
      </w:r>
      <w:r w:rsidRPr="008A09E4">
        <w:t xml:space="preserve">il </w:t>
      </w:r>
      <w:r>
        <w:t>exercera</w:t>
      </w:r>
      <w:r w:rsidRPr="008A09E4">
        <w:t xml:space="preserve"> son droit de ne pas reconnaître les constatations adoptées</w:t>
      </w:r>
      <w:r w:rsidR="00F224D8" w:rsidRPr="00F224D8">
        <w:t>.</w:t>
      </w:r>
    </w:p>
    <w:p w14:paraId="6E5794EC" w14:textId="77777777" w:rsidR="00E44C92" w:rsidRPr="008A09E4" w:rsidRDefault="00E44C92" w:rsidP="00E44C92">
      <w:pPr>
        <w:pStyle w:val="SingleTxtG"/>
        <w:rPr>
          <w:lang w:val="fr-FR"/>
        </w:rPr>
      </w:pPr>
      <w:r w:rsidRPr="008A09E4">
        <w:rPr>
          <w:lang w:val="fr-FR"/>
        </w:rPr>
        <w:t>6</w:t>
      </w:r>
      <w:r w:rsidR="00F224D8" w:rsidRPr="00F224D8">
        <w:rPr>
          <w:lang w:val="fr-FR"/>
        </w:rPr>
        <w:t>.</w:t>
      </w:r>
      <w:r w:rsidRPr="008A09E4">
        <w:rPr>
          <w:lang w:val="fr-FR"/>
        </w:rPr>
        <w:t>2</w:t>
      </w:r>
      <w:r w:rsidRPr="008A09E4">
        <w:rPr>
          <w:lang w:val="fr-FR"/>
        </w:rPr>
        <w:tab/>
      </w:r>
      <w:r w:rsidRPr="008A09E4">
        <w:t>Le Comité fait observer qu</w:t>
      </w:r>
      <w:r>
        <w:t>’</w:t>
      </w:r>
      <w:r w:rsidRPr="008A09E4">
        <w:t>en adhérant au Protocole facultatif, tout État partie au Pacte reconnaît que le Comité a compétence pour recevoir et examiner des communications émanant de particuliers qui prétendent être victimes de violations de l</w:t>
      </w:r>
      <w:r>
        <w:t>’</w:t>
      </w:r>
      <w:r w:rsidRPr="008A09E4">
        <w:t>un des droits énoncés dans le Pacte (préambule et art</w:t>
      </w:r>
      <w:r w:rsidR="00F224D8" w:rsidRPr="00F224D8">
        <w:t>.</w:t>
      </w:r>
      <w:r w:rsidRPr="008A09E4">
        <w:t xml:space="preserve"> 1</w:t>
      </w:r>
      <w:r w:rsidRPr="008A09E4">
        <w:rPr>
          <w:vertAlign w:val="superscript"/>
        </w:rPr>
        <w:t>er</w:t>
      </w:r>
      <w:r w:rsidRPr="008A09E4">
        <w:t xml:space="preserve"> du Protocole facultatif)</w:t>
      </w:r>
      <w:r w:rsidR="00F224D8" w:rsidRPr="00F224D8">
        <w:t>.</w:t>
      </w:r>
      <w:r w:rsidRPr="008A09E4">
        <w:t xml:space="preserve"> En</w:t>
      </w:r>
      <w:r>
        <w:t xml:space="preserve"> </w:t>
      </w:r>
      <w:r w:rsidRPr="008A09E4">
        <w:t>adhérant au Protocole facultatif, l</w:t>
      </w:r>
      <w:r>
        <w:t>’</w:t>
      </w:r>
      <w:r w:rsidRPr="008A09E4">
        <w:t>État partie s</w:t>
      </w:r>
      <w:r>
        <w:t>’</w:t>
      </w:r>
      <w:r w:rsidRPr="008A09E4">
        <w:t>engage implicitement à coopérer de bonne foi avec le Comité pour lui permettre et lui donner les moyens d</w:t>
      </w:r>
      <w:r>
        <w:t>’</w:t>
      </w:r>
      <w:r w:rsidRPr="008A09E4">
        <w:t>examiner les communications qui lui sont soumises et, après l</w:t>
      </w:r>
      <w:r>
        <w:t>’</w:t>
      </w:r>
      <w:r w:rsidRPr="008A09E4">
        <w:t>examen, de faire part de ses constatations à l</w:t>
      </w:r>
      <w:r>
        <w:t>’</w:t>
      </w:r>
      <w:r w:rsidRPr="008A09E4">
        <w:t>État partie et aux intéressés (art</w:t>
      </w:r>
      <w:r w:rsidR="00F224D8" w:rsidRPr="00F224D8">
        <w:t>.</w:t>
      </w:r>
      <w:r w:rsidRPr="008A09E4">
        <w:t> 5, par</w:t>
      </w:r>
      <w:r w:rsidR="00F224D8" w:rsidRPr="00F224D8">
        <w:t>.</w:t>
      </w:r>
      <w:r w:rsidRPr="008A09E4">
        <w:t> 1 et 4)</w:t>
      </w:r>
      <w:r w:rsidR="00F224D8" w:rsidRPr="00F224D8">
        <w:t>.</w:t>
      </w:r>
      <w:r w:rsidRPr="008A09E4">
        <w:t xml:space="preserve"> Pour un État partie, l</w:t>
      </w:r>
      <w:r>
        <w:t>’</w:t>
      </w:r>
      <w:r w:rsidRPr="008A09E4">
        <w:t>adoption de toute mesure qui empêcherait le Comité de prendre connaissance d</w:t>
      </w:r>
      <w:r>
        <w:t>’</w:t>
      </w:r>
      <w:r w:rsidRPr="008A09E4">
        <w:t>une communication, d</w:t>
      </w:r>
      <w:r>
        <w:t>’</w:t>
      </w:r>
      <w:r w:rsidRPr="008A09E4">
        <w:t>en mener l</w:t>
      </w:r>
      <w:r>
        <w:t>’</w:t>
      </w:r>
      <w:r w:rsidRPr="008A09E4">
        <w:t>examen à bonne fin et de faire part de ses constatations est incompatible avec ces obligations</w:t>
      </w:r>
      <w:r w:rsidR="00F224D8" w:rsidRPr="00F224D8">
        <w:t>.</w:t>
      </w:r>
      <w:r w:rsidRPr="008A09E4">
        <w:t xml:space="preserve"> C</w:t>
      </w:r>
      <w:r>
        <w:t>’</w:t>
      </w:r>
      <w:r w:rsidRPr="008A09E4">
        <w:t>est au Comité qu</w:t>
      </w:r>
      <w:r>
        <w:t>’</w:t>
      </w:r>
      <w:r w:rsidRPr="008A09E4">
        <w:t>il appartient de déterminer si une affaire doit être enregistrée</w:t>
      </w:r>
      <w:r w:rsidR="00F224D8" w:rsidRPr="00F224D8">
        <w:t>.</w:t>
      </w:r>
      <w:r w:rsidRPr="008A09E4">
        <w:t xml:space="preserve"> En ne reconnaissant pas la compétence du Comité pour ce qui est de décider de </w:t>
      </w:r>
      <w:r w:rsidRPr="008A09E4">
        <w:lastRenderedPageBreak/>
        <w:t>l</w:t>
      </w:r>
      <w:r>
        <w:t>’</w:t>
      </w:r>
      <w:r w:rsidRPr="008A09E4">
        <w:t>opportunité d</w:t>
      </w:r>
      <w:r>
        <w:t>’</w:t>
      </w:r>
      <w:r w:rsidRPr="008A09E4">
        <w:t>enregistrer une communication et en déclarant à l</w:t>
      </w:r>
      <w:r>
        <w:t>’</w:t>
      </w:r>
      <w:r w:rsidRPr="008A09E4">
        <w:t>avance qu</w:t>
      </w:r>
      <w:r>
        <w:t>’</w:t>
      </w:r>
      <w:r w:rsidRPr="008A09E4">
        <w:t>il n</w:t>
      </w:r>
      <w:r>
        <w:t>’</w:t>
      </w:r>
      <w:r w:rsidRPr="008A09E4">
        <w:t xml:space="preserve">acceptera pas la décision du Comité concernant la recevabilité </w:t>
      </w:r>
      <w:r>
        <w:t>ou</w:t>
      </w:r>
      <w:r w:rsidRPr="008A09E4">
        <w:t xml:space="preserve"> le fond de la communication, l</w:t>
      </w:r>
      <w:r>
        <w:t>’</w:t>
      </w:r>
      <w:r w:rsidRPr="008A09E4">
        <w:t xml:space="preserve">État partie </w:t>
      </w:r>
      <w:r>
        <w:t>manque</w:t>
      </w:r>
      <w:r w:rsidRPr="008A09E4">
        <w:t xml:space="preserve"> aux obligations qui lui incombent au titre de l</w:t>
      </w:r>
      <w:r>
        <w:t>’</w:t>
      </w:r>
      <w:r w:rsidRPr="008A09E4">
        <w:t>article</w:t>
      </w:r>
      <w:r w:rsidR="00AF18B4">
        <w:t> </w:t>
      </w:r>
      <w:r w:rsidRPr="008A09E4">
        <w:t>1</w:t>
      </w:r>
      <w:r w:rsidRPr="008A09E4">
        <w:rPr>
          <w:vertAlign w:val="superscript"/>
        </w:rPr>
        <w:t>er</w:t>
      </w:r>
      <w:r w:rsidRPr="008A09E4">
        <w:t xml:space="preserve"> du Protocole facultatif</w:t>
      </w:r>
      <w:r w:rsidRPr="00E44C92">
        <w:rPr>
          <w:rStyle w:val="Appelnotedebasdep"/>
        </w:rPr>
        <w:footnoteReference w:id="8"/>
      </w:r>
      <w:r w:rsidR="00F224D8" w:rsidRPr="00F224D8">
        <w:t>.</w:t>
      </w:r>
    </w:p>
    <w:p w14:paraId="30F90B9C" w14:textId="77777777" w:rsidR="00E44C92" w:rsidRPr="008A09E4" w:rsidRDefault="00E44C92" w:rsidP="00E44C92">
      <w:pPr>
        <w:pStyle w:val="H4G"/>
        <w:rPr>
          <w:lang w:val="fr-FR"/>
        </w:rPr>
      </w:pPr>
      <w:r w:rsidRPr="008A09E4">
        <w:rPr>
          <w:lang w:val="fr-FR"/>
        </w:rPr>
        <w:tab/>
      </w:r>
      <w:r w:rsidRPr="008A09E4">
        <w:rPr>
          <w:lang w:val="fr-FR"/>
        </w:rPr>
        <w:tab/>
        <w:t>Examen de la recevabilité</w:t>
      </w:r>
    </w:p>
    <w:p w14:paraId="5D3F2C79" w14:textId="77777777" w:rsidR="00E44C92" w:rsidRPr="008A09E4" w:rsidRDefault="00E44C92" w:rsidP="00E44C92">
      <w:pPr>
        <w:pStyle w:val="SingleTxtG"/>
        <w:rPr>
          <w:lang w:val="fr-FR"/>
        </w:rPr>
      </w:pPr>
      <w:r w:rsidRPr="008A09E4">
        <w:rPr>
          <w:lang w:val="fr-FR"/>
        </w:rPr>
        <w:t>7</w:t>
      </w:r>
      <w:r w:rsidR="00F224D8" w:rsidRPr="00F224D8">
        <w:rPr>
          <w:lang w:val="fr-FR"/>
        </w:rPr>
        <w:t>.</w:t>
      </w:r>
      <w:r w:rsidRPr="008A09E4">
        <w:rPr>
          <w:lang w:val="fr-FR"/>
        </w:rPr>
        <w:t>1</w:t>
      </w:r>
      <w:r w:rsidRPr="008A09E4">
        <w:rPr>
          <w:lang w:val="fr-FR"/>
        </w:rPr>
        <w:tab/>
      </w:r>
      <w:r w:rsidRPr="008A09E4">
        <w:t>Avant d</w:t>
      </w:r>
      <w:r>
        <w:t>’</w:t>
      </w:r>
      <w:r w:rsidRPr="008A09E4">
        <w:t>examiner tout grief formulé dans une communication, le Comité doit, conformément à l</w:t>
      </w:r>
      <w:r>
        <w:t>’</w:t>
      </w:r>
      <w:r w:rsidRPr="008A09E4">
        <w:t>article 97 de son règlement intérieur, déterminer si la communication est recevable au regard du Protocole facultatif</w:t>
      </w:r>
      <w:r w:rsidR="00F224D8" w:rsidRPr="00F224D8">
        <w:t>.</w:t>
      </w:r>
    </w:p>
    <w:p w14:paraId="5B99FEC3" w14:textId="77777777" w:rsidR="00E44C92" w:rsidRPr="008A09E4" w:rsidRDefault="00E44C92" w:rsidP="00E44C92">
      <w:pPr>
        <w:pStyle w:val="SingleTxtG"/>
        <w:rPr>
          <w:lang w:val="fr-FR"/>
        </w:rPr>
      </w:pPr>
      <w:r w:rsidRPr="008A09E4">
        <w:rPr>
          <w:lang w:val="fr-FR"/>
        </w:rPr>
        <w:t>7</w:t>
      </w:r>
      <w:r w:rsidR="00F224D8" w:rsidRPr="00F224D8">
        <w:rPr>
          <w:lang w:val="fr-FR"/>
        </w:rPr>
        <w:t>.</w:t>
      </w:r>
      <w:r w:rsidRPr="008A09E4">
        <w:rPr>
          <w:lang w:val="fr-FR"/>
        </w:rPr>
        <w:t>2</w:t>
      </w:r>
      <w:r w:rsidRPr="008A09E4">
        <w:rPr>
          <w:lang w:val="fr-FR"/>
        </w:rPr>
        <w:tab/>
      </w:r>
      <w:r w:rsidRPr="008A09E4">
        <w:t>Le Comité s</w:t>
      </w:r>
      <w:r>
        <w:t>’</w:t>
      </w:r>
      <w:r w:rsidRPr="008A09E4">
        <w:t>est assuré, comme il est tenu de le faire conformément au paragraphe</w:t>
      </w:r>
      <w:r>
        <w:t> </w:t>
      </w:r>
      <w:r w:rsidRPr="008A09E4">
        <w:t>2</w:t>
      </w:r>
      <w:r>
        <w:t> </w:t>
      </w:r>
      <w:r w:rsidRPr="008A09E4">
        <w:t>a) de l</w:t>
      </w:r>
      <w:r>
        <w:t>’</w:t>
      </w:r>
      <w:r w:rsidRPr="008A09E4">
        <w:t>article 5 du Protocole facultatif, que la même question n</w:t>
      </w:r>
      <w:r>
        <w:t>’</w:t>
      </w:r>
      <w:r w:rsidRPr="008A09E4">
        <w:t>était pas déjà en cours d</w:t>
      </w:r>
      <w:r>
        <w:t>’</w:t>
      </w:r>
      <w:r w:rsidRPr="008A09E4">
        <w:t>examen devant une autre instance internationale d</w:t>
      </w:r>
      <w:r>
        <w:t>’</w:t>
      </w:r>
      <w:r w:rsidRPr="008A09E4">
        <w:t>enquête ou de règlement</w:t>
      </w:r>
      <w:r w:rsidR="00F224D8" w:rsidRPr="00F224D8">
        <w:t>.</w:t>
      </w:r>
    </w:p>
    <w:p w14:paraId="3DCF72C1" w14:textId="77777777" w:rsidR="00E44C92" w:rsidRPr="003E4C04" w:rsidRDefault="00E44C92" w:rsidP="00E44C92">
      <w:pPr>
        <w:pStyle w:val="SingleTxtG"/>
        <w:spacing w:line="240" w:lineRule="auto"/>
      </w:pPr>
      <w:r w:rsidRPr="008A09E4">
        <w:rPr>
          <w:lang w:val="fr-FR"/>
        </w:rPr>
        <w:t>7</w:t>
      </w:r>
      <w:r w:rsidR="00F224D8" w:rsidRPr="00F224D8">
        <w:rPr>
          <w:lang w:val="fr-FR"/>
        </w:rPr>
        <w:t>.</w:t>
      </w:r>
      <w:r w:rsidRPr="008A09E4">
        <w:rPr>
          <w:lang w:val="fr-FR"/>
        </w:rPr>
        <w:t>3</w:t>
      </w:r>
      <w:r w:rsidRPr="008A09E4">
        <w:rPr>
          <w:lang w:val="fr-FR"/>
        </w:rPr>
        <w:tab/>
        <w:t>Le Comité note que l</w:t>
      </w:r>
      <w:r>
        <w:rPr>
          <w:lang w:val="fr-FR"/>
        </w:rPr>
        <w:t>’</w:t>
      </w:r>
      <w:r w:rsidRPr="008A09E4">
        <w:rPr>
          <w:lang w:val="fr-FR"/>
        </w:rPr>
        <w:t>État partie affirme que l</w:t>
      </w:r>
      <w:r>
        <w:rPr>
          <w:lang w:val="fr-FR"/>
        </w:rPr>
        <w:t>’</w:t>
      </w:r>
      <w:r w:rsidRPr="008A09E4">
        <w:rPr>
          <w:lang w:val="fr-FR"/>
        </w:rPr>
        <w:t>auteur n</w:t>
      </w:r>
      <w:r>
        <w:rPr>
          <w:lang w:val="fr-FR"/>
        </w:rPr>
        <w:t>’</w:t>
      </w:r>
      <w:r w:rsidRPr="008A09E4">
        <w:rPr>
          <w:lang w:val="fr-FR"/>
        </w:rPr>
        <w:t xml:space="preserve">a pas épuisé </w:t>
      </w:r>
      <w:r>
        <w:rPr>
          <w:lang w:val="fr-FR"/>
        </w:rPr>
        <w:t xml:space="preserve">tous </w:t>
      </w:r>
      <w:r w:rsidRPr="008A09E4">
        <w:rPr>
          <w:lang w:val="fr-FR"/>
        </w:rPr>
        <w:t>les recours internes</w:t>
      </w:r>
      <w:r w:rsidR="00F224D8" w:rsidRPr="00F224D8">
        <w:rPr>
          <w:lang w:val="fr-FR"/>
        </w:rPr>
        <w:t>.</w:t>
      </w:r>
      <w:r w:rsidRPr="008A09E4">
        <w:rPr>
          <w:lang w:val="fr-FR"/>
        </w:rPr>
        <w:t xml:space="preserve"> Il note également que l</w:t>
      </w:r>
      <w:r>
        <w:rPr>
          <w:lang w:val="fr-FR"/>
        </w:rPr>
        <w:t>’</w:t>
      </w:r>
      <w:r w:rsidRPr="008A09E4">
        <w:rPr>
          <w:lang w:val="fr-FR"/>
        </w:rPr>
        <w:t>auteur dit qu</w:t>
      </w:r>
      <w:r>
        <w:rPr>
          <w:lang w:val="fr-FR"/>
        </w:rPr>
        <w:t>’</w:t>
      </w:r>
      <w:r w:rsidRPr="008A09E4">
        <w:rPr>
          <w:lang w:val="fr-FR"/>
        </w:rPr>
        <w:t>il a fait appel de sa détention administrative mais que son appel a été rejeté</w:t>
      </w:r>
      <w:r w:rsidR="00F224D8" w:rsidRPr="00F224D8">
        <w:rPr>
          <w:lang w:val="fr-FR"/>
        </w:rPr>
        <w:t>.</w:t>
      </w:r>
      <w:r w:rsidRPr="008A09E4">
        <w:rPr>
          <w:lang w:val="fr-FR"/>
        </w:rPr>
        <w:t xml:space="preserve"> Il ressort des documents présentés que l</w:t>
      </w:r>
      <w:r>
        <w:rPr>
          <w:lang w:val="fr-FR"/>
        </w:rPr>
        <w:t>’</w:t>
      </w:r>
      <w:r w:rsidRPr="008A09E4">
        <w:rPr>
          <w:lang w:val="fr-FR"/>
        </w:rPr>
        <w:t>appel de l</w:t>
      </w:r>
      <w:r>
        <w:rPr>
          <w:lang w:val="fr-FR"/>
        </w:rPr>
        <w:t>’</w:t>
      </w:r>
      <w:r w:rsidRPr="008A09E4">
        <w:rPr>
          <w:lang w:val="fr-FR"/>
        </w:rPr>
        <w:t>auteur a été rejeté en raison du non-paiement des frais de justice</w:t>
      </w:r>
      <w:r w:rsidR="00F224D8" w:rsidRPr="00F224D8">
        <w:rPr>
          <w:lang w:val="fr-FR"/>
        </w:rPr>
        <w:t>.</w:t>
      </w:r>
      <w:r w:rsidRPr="008A09E4">
        <w:rPr>
          <w:lang w:val="fr-FR"/>
        </w:rPr>
        <w:t xml:space="preserve"> </w:t>
      </w:r>
      <w:r>
        <w:rPr>
          <w:lang w:val="fr-FR"/>
        </w:rPr>
        <w:t>Le Comité rappelle que le paragraphe 5 de l’</w:t>
      </w:r>
      <w:r w:rsidRPr="003E4C04">
        <w:t>article 14</w:t>
      </w:r>
      <w:r w:rsidR="00AF18B4">
        <w:t xml:space="preserve"> </w:t>
      </w:r>
      <w:r>
        <w:t>du Pacte dispose que toute personne déclarée coupable d’une infraction a le droit de faire examiner par une juridiction supérieure la déclaration de culpabilité et la condamnation, conformément à la loi</w:t>
      </w:r>
      <w:r w:rsidRPr="00E44C92">
        <w:rPr>
          <w:rStyle w:val="Appelnotedebasdep"/>
        </w:rPr>
        <w:footnoteReference w:id="9"/>
      </w:r>
      <w:r w:rsidR="00F224D8" w:rsidRPr="00F224D8">
        <w:t>.</w:t>
      </w:r>
      <w:r w:rsidRPr="003E4C04">
        <w:t xml:space="preserve"> </w:t>
      </w:r>
      <w:r>
        <w:t xml:space="preserve">Étant donné que l’auteur a été inculpé d’une infraction </w:t>
      </w:r>
      <w:r w:rsidRPr="003E4C04">
        <w:t xml:space="preserve">administrative, </w:t>
      </w:r>
      <w:r>
        <w:t>le Comité doit d’abord déterminer si le paragraphe</w:t>
      </w:r>
      <w:r w:rsidR="00AC1A7A">
        <w:t> </w:t>
      </w:r>
      <w:r>
        <w:t>5 de l’</w:t>
      </w:r>
      <w:r w:rsidRPr="003E4C04">
        <w:t>article 14</w:t>
      </w:r>
      <w:r w:rsidR="00AF18B4">
        <w:t xml:space="preserve"> </w:t>
      </w:r>
      <w:r>
        <w:t>s’applique en l’espèce</w:t>
      </w:r>
      <w:r w:rsidR="00F224D8" w:rsidRPr="00F224D8">
        <w:t>.</w:t>
      </w:r>
      <w:r w:rsidRPr="003E4C04">
        <w:t xml:space="preserve"> </w:t>
      </w:r>
      <w:r>
        <w:t xml:space="preserve">Le Comité note que l’auteur a été condamné à </w:t>
      </w:r>
      <w:r w:rsidR="00AC1A7A">
        <w:t>quinze</w:t>
      </w:r>
      <w:r w:rsidRPr="003E4C04">
        <w:t xml:space="preserve"> </w:t>
      </w:r>
      <w:r>
        <w:t xml:space="preserve">jours de détention </w:t>
      </w:r>
      <w:r w:rsidRPr="003E4C04">
        <w:t xml:space="preserve">administrative </w:t>
      </w:r>
      <w:r>
        <w:t xml:space="preserve">pour non-respect de </w:t>
      </w:r>
      <w:r w:rsidRPr="008A09E4">
        <w:rPr>
          <w:lang w:val="fr-FR"/>
        </w:rPr>
        <w:t xml:space="preserve">la procédure régissant la tenue de manifestations de </w:t>
      </w:r>
      <w:r>
        <w:rPr>
          <w:lang w:val="fr-FR"/>
        </w:rPr>
        <w:t xml:space="preserve">masse, infraction </w:t>
      </w:r>
      <w:r>
        <w:t>prévue au paragraphe 1 de l’article</w:t>
      </w:r>
      <w:r w:rsidR="00AC1A7A">
        <w:t> </w:t>
      </w:r>
      <w:r>
        <w:t>23</w:t>
      </w:r>
      <w:r w:rsidR="00F224D8" w:rsidRPr="00F224D8">
        <w:t>.</w:t>
      </w:r>
      <w:r>
        <w:t>34 du Code des infractions administratives</w:t>
      </w:r>
      <w:r w:rsidR="00F224D8" w:rsidRPr="00F224D8">
        <w:t>.</w:t>
      </w:r>
      <w:r w:rsidRPr="003E4C04">
        <w:t xml:space="preserve"> I</w:t>
      </w:r>
      <w:r>
        <w:t>l note également que les dispositions légales qui ont été enfreintes par l’auteur visent non pas un groupe précis jouissant d’un statut particulier − ce qui serait le cas par exemple d’un règlement disciplinaire − mais toute personne qui, en sa qualité de particulier</w:t>
      </w:r>
      <w:r w:rsidRPr="003E4C04">
        <w:t xml:space="preserve">, </w:t>
      </w:r>
      <w:r>
        <w:t>participe à une manifestation de masse non autorisée</w:t>
      </w:r>
      <w:r w:rsidR="00F224D8" w:rsidRPr="00F224D8">
        <w:t>.</w:t>
      </w:r>
      <w:r w:rsidRPr="003E4C04">
        <w:t xml:space="preserve"> </w:t>
      </w:r>
      <w:r>
        <w:t>Ces dispositions interdisent un certain type de comportement, et le non-respect de cette interdiction entraîne une déclaration de culpabilité et est passible de sanctions à caractère punitif</w:t>
      </w:r>
      <w:r w:rsidR="00F224D8" w:rsidRPr="00F224D8">
        <w:t>.</w:t>
      </w:r>
      <w:r w:rsidRPr="003E4C04">
        <w:t xml:space="preserve"> </w:t>
      </w:r>
      <w:r>
        <w:t xml:space="preserve">Dans </w:t>
      </w:r>
      <w:r w:rsidR="001E68CB">
        <w:t xml:space="preserve">sa </w:t>
      </w:r>
      <w:r w:rsidRPr="003E4C04">
        <w:t>jurisprudence</w:t>
      </w:r>
      <w:r w:rsidRPr="00E44C92">
        <w:rPr>
          <w:rStyle w:val="Appelnotedebasdep"/>
        </w:rPr>
        <w:footnoteReference w:id="10"/>
      </w:r>
      <w:r>
        <w:t>,</w:t>
      </w:r>
      <w:r w:rsidRPr="003E4C04">
        <w:t xml:space="preserve"> </w:t>
      </w:r>
      <w:r>
        <w:t xml:space="preserve">le Comité a renvoyé au </w:t>
      </w:r>
      <w:r w:rsidRPr="003E4C04">
        <w:t>paragraph</w:t>
      </w:r>
      <w:r>
        <w:t>e</w:t>
      </w:r>
      <w:r w:rsidRPr="003E4C04">
        <w:t xml:space="preserve"> 15 </w:t>
      </w:r>
      <w:r>
        <w:t xml:space="preserve">de son observation générale </w:t>
      </w:r>
      <w:r>
        <w:rPr>
          <w:rFonts w:eastAsia="MS Mincho"/>
        </w:rPr>
        <w:t>n</w:t>
      </w:r>
      <w:r>
        <w:rPr>
          <w:rFonts w:eastAsia="MS Mincho"/>
          <w:vertAlign w:val="superscript"/>
        </w:rPr>
        <w:t>o</w:t>
      </w:r>
      <w:r>
        <w:t> </w:t>
      </w:r>
      <w:r w:rsidRPr="003E4C04">
        <w:t xml:space="preserve">32 (2007) </w:t>
      </w:r>
      <w:r>
        <w:t xml:space="preserve">sur le droit </w:t>
      </w:r>
      <w:r w:rsidR="001E68CB">
        <w:t xml:space="preserve">à </w:t>
      </w:r>
      <w:r>
        <w:t>l’égalité devant les tribunaux et les cours de justice et à un procès équitable</w:t>
      </w:r>
      <w:r w:rsidRPr="003E4C04">
        <w:t xml:space="preserve">, </w:t>
      </w:r>
      <w:r>
        <w:t>dans lequel il a indiqué que la notion d’accusation en matière pénale pouvait être étendue à des mesures de nature pénale s’agissant de sanctions qui, indépendamment de leur qualification en droit interne</w:t>
      </w:r>
      <w:r w:rsidRPr="003E4C04">
        <w:t xml:space="preserve">, </w:t>
      </w:r>
      <w:r>
        <w:t>doivent être considérées comme pénales en raison de leur finalité</w:t>
      </w:r>
      <w:r w:rsidRPr="003E4C04">
        <w:t xml:space="preserve">, </w:t>
      </w:r>
      <w:r>
        <w:t>de leur caractère ou de leur sévérité</w:t>
      </w:r>
      <w:r w:rsidR="00F224D8" w:rsidRPr="00F224D8">
        <w:t>.</w:t>
      </w:r>
      <w:r w:rsidRPr="003E4C04">
        <w:t xml:space="preserve"> </w:t>
      </w:r>
      <w:r>
        <w:t>Par conséquent, le caractère général des dispositions et la finalité de la sanction, qui est à la fois dissuasive et punitive, montrent que les accusations en question avaient, au sens de l’</w:t>
      </w:r>
      <w:r w:rsidRPr="003E4C04">
        <w:t xml:space="preserve">article 14 </w:t>
      </w:r>
      <w:r>
        <w:t>du Pacte</w:t>
      </w:r>
      <w:r w:rsidRPr="003E4C04">
        <w:t xml:space="preserve">, </w:t>
      </w:r>
      <w:r>
        <w:t>un caractère pénal</w:t>
      </w:r>
      <w:r w:rsidR="00F224D8" w:rsidRPr="00F224D8">
        <w:t>.</w:t>
      </w:r>
    </w:p>
    <w:p w14:paraId="5A722FE0" w14:textId="77777777" w:rsidR="00E44C92" w:rsidRPr="00481ED2" w:rsidRDefault="00E44C92" w:rsidP="00E44C92">
      <w:pPr>
        <w:pStyle w:val="SingleTxtG"/>
        <w:spacing w:line="240" w:lineRule="auto"/>
        <w:rPr>
          <w:bCs/>
        </w:rPr>
      </w:pPr>
      <w:r w:rsidRPr="003E4C04">
        <w:rPr>
          <w:bCs/>
        </w:rPr>
        <w:t>7</w:t>
      </w:r>
      <w:r w:rsidR="00F224D8" w:rsidRPr="00F224D8">
        <w:rPr>
          <w:bCs/>
        </w:rPr>
        <w:t>.</w:t>
      </w:r>
      <w:r w:rsidRPr="003E4C04">
        <w:rPr>
          <w:bCs/>
        </w:rPr>
        <w:t>4</w:t>
      </w:r>
      <w:r w:rsidRPr="003E4C04">
        <w:rPr>
          <w:bCs/>
        </w:rPr>
        <w:tab/>
      </w:r>
      <w:r>
        <w:rPr>
          <w:bCs/>
        </w:rPr>
        <w:t xml:space="preserve">Le Comité observe que, le </w:t>
      </w:r>
      <w:r w:rsidRPr="003E4C04">
        <w:rPr>
          <w:bCs/>
        </w:rPr>
        <w:t xml:space="preserve">23 </w:t>
      </w:r>
      <w:r>
        <w:rPr>
          <w:bCs/>
        </w:rPr>
        <w:t xml:space="preserve">décembre </w:t>
      </w:r>
      <w:r w:rsidRPr="003E4C04">
        <w:rPr>
          <w:bCs/>
        </w:rPr>
        <w:t xml:space="preserve">2010, </w:t>
      </w:r>
      <w:r>
        <w:rPr>
          <w:bCs/>
        </w:rPr>
        <w:t xml:space="preserve">l’auteur </w:t>
      </w:r>
      <w:r w:rsidRPr="008A09E4">
        <w:rPr>
          <w:lang w:val="fr-FR"/>
        </w:rPr>
        <w:t xml:space="preserve">a fait appel de la décision </w:t>
      </w:r>
      <w:r>
        <w:rPr>
          <w:bCs/>
        </w:rPr>
        <w:t>du</w:t>
      </w:r>
      <w:r w:rsidRPr="003E4C04">
        <w:t xml:space="preserve"> 20 </w:t>
      </w:r>
      <w:r>
        <w:t xml:space="preserve">décembre </w:t>
      </w:r>
      <w:r w:rsidRPr="003E4C04">
        <w:t>2010</w:t>
      </w:r>
      <w:r>
        <w:t xml:space="preserve"> </w:t>
      </w:r>
      <w:r w:rsidRPr="008A09E4">
        <w:rPr>
          <w:lang w:val="fr-FR"/>
        </w:rPr>
        <w:t>du tribunal du district Zavodskoï</w:t>
      </w:r>
      <w:r w:rsidR="00F224D8" w:rsidRPr="00F224D8">
        <w:t>.</w:t>
      </w:r>
      <w:r w:rsidRPr="003E4C04">
        <w:t xml:space="preserve"> </w:t>
      </w:r>
      <w:r>
        <w:t xml:space="preserve">Cependant, ce recours a été rejeté en raison du non-paiement des frais de justice le </w:t>
      </w:r>
      <w:r w:rsidRPr="003E4C04">
        <w:t xml:space="preserve">5 </w:t>
      </w:r>
      <w:r>
        <w:t xml:space="preserve">janvier </w:t>
      </w:r>
      <w:r w:rsidRPr="003E4C04">
        <w:t xml:space="preserve">2011, </w:t>
      </w:r>
      <w:r>
        <w:t xml:space="preserve">c’est-à-dire le jour même où l’auteur achevait d’exécuter sa peine de détention de </w:t>
      </w:r>
      <w:r w:rsidR="00002B3F">
        <w:t>quinze</w:t>
      </w:r>
      <w:r>
        <w:t xml:space="preserve"> jours</w:t>
      </w:r>
      <w:r w:rsidR="00F224D8" w:rsidRPr="00F224D8">
        <w:t>.</w:t>
      </w:r>
      <w:r w:rsidRPr="003E4C04">
        <w:t xml:space="preserve"> </w:t>
      </w:r>
      <w:r>
        <w:t>Dans ces conditions, compte tenu du fait que l’auteur faisait l’objet d’une accusation en manière pénale, bien que dans le cadre d’une procédure administrative, et que la décision contestée n’a pas été examinée par une juridiction supérieure, le Comité considère que les dispositions du paragraphe 2 b) de l’article 5 du Protocole facultatif ne font pas obstacle à l’examen de la présente communication</w:t>
      </w:r>
      <w:r w:rsidR="00F224D8" w:rsidRPr="00F224D8">
        <w:t>.</w:t>
      </w:r>
    </w:p>
    <w:p w14:paraId="69A39571" w14:textId="77777777" w:rsidR="00E44C92" w:rsidRPr="008A09E4" w:rsidRDefault="00E44C92" w:rsidP="00E44C92">
      <w:pPr>
        <w:pStyle w:val="SingleTxtG"/>
        <w:rPr>
          <w:lang w:val="fr-FR"/>
        </w:rPr>
      </w:pPr>
      <w:r w:rsidRPr="008A09E4">
        <w:rPr>
          <w:lang w:val="fr-FR"/>
        </w:rPr>
        <w:t>7</w:t>
      </w:r>
      <w:r w:rsidR="00F224D8" w:rsidRPr="00F224D8">
        <w:rPr>
          <w:lang w:val="fr-FR"/>
        </w:rPr>
        <w:t>.</w:t>
      </w:r>
      <w:r>
        <w:rPr>
          <w:lang w:val="fr-FR"/>
        </w:rPr>
        <w:t>5</w:t>
      </w:r>
      <w:r w:rsidRPr="008A09E4">
        <w:rPr>
          <w:lang w:val="fr-FR"/>
        </w:rPr>
        <w:tab/>
        <w:t>En ce qui concerne la condamnation pénale de l</w:t>
      </w:r>
      <w:r>
        <w:rPr>
          <w:lang w:val="fr-FR"/>
        </w:rPr>
        <w:t>’</w:t>
      </w:r>
      <w:r w:rsidRPr="008A09E4">
        <w:rPr>
          <w:lang w:val="fr-FR"/>
        </w:rPr>
        <w:t>auteur, le Comité prend note de l</w:t>
      </w:r>
      <w:r>
        <w:rPr>
          <w:lang w:val="fr-FR"/>
        </w:rPr>
        <w:t>’</w:t>
      </w:r>
      <w:r w:rsidRPr="008A09E4">
        <w:rPr>
          <w:lang w:val="fr-FR"/>
        </w:rPr>
        <w:t>argument selon lequel l</w:t>
      </w:r>
      <w:r>
        <w:rPr>
          <w:lang w:val="fr-FR"/>
        </w:rPr>
        <w:t>’</w:t>
      </w:r>
      <w:r w:rsidRPr="008A09E4">
        <w:rPr>
          <w:lang w:val="fr-FR"/>
        </w:rPr>
        <w:t>auteur a fait appel de son arrestation dans le cadre de l</w:t>
      </w:r>
      <w:r>
        <w:rPr>
          <w:lang w:val="fr-FR"/>
        </w:rPr>
        <w:t>’</w:t>
      </w:r>
      <w:r w:rsidRPr="008A09E4">
        <w:rPr>
          <w:lang w:val="fr-FR"/>
        </w:rPr>
        <w:t xml:space="preserve">affaire pénale et de la décision du tribunal de première instance, et a déposé des recours au titre de la procédure de contrôle auprès du Vice-Président de la Cour suprême et du procureur de la </w:t>
      </w:r>
      <w:r w:rsidRPr="008A09E4">
        <w:rPr>
          <w:lang w:val="fr-FR"/>
        </w:rPr>
        <w:lastRenderedPageBreak/>
        <w:t>ville de Minsk</w:t>
      </w:r>
      <w:r w:rsidR="00F224D8" w:rsidRPr="00F224D8">
        <w:rPr>
          <w:lang w:val="fr-FR"/>
        </w:rPr>
        <w:t>.</w:t>
      </w:r>
      <w:r w:rsidRPr="008A09E4">
        <w:rPr>
          <w:lang w:val="fr-FR"/>
        </w:rPr>
        <w:t xml:space="preserve"> </w:t>
      </w:r>
      <w:r w:rsidRPr="008A09E4">
        <w:t>Il renvoie à sa jurisprudence et rappelle que l</w:t>
      </w:r>
      <w:r>
        <w:t>’</w:t>
      </w:r>
      <w:r w:rsidRPr="008A09E4">
        <w:t>introduction auprès du ministère public d</w:t>
      </w:r>
      <w:r>
        <w:t>’</w:t>
      </w:r>
      <w:r w:rsidRPr="008A09E4">
        <w:t>une demande de contrôle visant des décisions judiciaires devenues exécutoires ne fait pas partie des recours qui doivent être épuisés aux fins du paragraphe</w:t>
      </w:r>
      <w:r w:rsidR="00002B3F">
        <w:t> </w:t>
      </w:r>
      <w:r w:rsidRPr="008A09E4">
        <w:t>2 b) de l</w:t>
      </w:r>
      <w:r>
        <w:t>’</w:t>
      </w:r>
      <w:r w:rsidRPr="008A09E4">
        <w:t>article 5 du Protocole facultatif</w:t>
      </w:r>
      <w:r w:rsidRPr="00E44C92">
        <w:rPr>
          <w:rStyle w:val="Appelnotedebasdep"/>
        </w:rPr>
        <w:footnoteReference w:id="11"/>
      </w:r>
      <w:r w:rsidR="00F224D8" w:rsidRPr="00F224D8">
        <w:t>.</w:t>
      </w:r>
      <w:r w:rsidRPr="008A09E4">
        <w:t xml:space="preserve"> Il considère également que le</w:t>
      </w:r>
      <w:r w:rsidR="00002B3F">
        <w:t xml:space="preserve"> </w:t>
      </w:r>
      <w:r w:rsidRPr="008A09E4">
        <w:t>recours au titre de la procédure de contrôle dont l</w:t>
      </w:r>
      <w:r>
        <w:t>’</w:t>
      </w:r>
      <w:r w:rsidRPr="008A09E4">
        <w:t>issue dépend du pouvoir discrétionnaire d</w:t>
      </w:r>
      <w:r>
        <w:t>’</w:t>
      </w:r>
      <w:r w:rsidRPr="008A09E4">
        <w:t>un juge constitue un recours extraordinaire et que l</w:t>
      </w:r>
      <w:r>
        <w:t>’</w:t>
      </w:r>
      <w:r w:rsidRPr="008A09E4">
        <w:t>État partie doit montrer qu</w:t>
      </w:r>
      <w:r>
        <w:t>’</w:t>
      </w:r>
      <w:r w:rsidRPr="008A09E4">
        <w:t>il existe une possibilité raisonnable qu</w:t>
      </w:r>
      <w:r>
        <w:t>’</w:t>
      </w:r>
      <w:r w:rsidRPr="008A09E4">
        <w:t>une telle demande constitue un recours utile dans les circonstances de l</w:t>
      </w:r>
      <w:r>
        <w:t>’</w:t>
      </w:r>
      <w:r w:rsidRPr="008A09E4">
        <w:t>espèce</w:t>
      </w:r>
      <w:r w:rsidRPr="00E44C92">
        <w:rPr>
          <w:rStyle w:val="Appelnotedebasdep"/>
        </w:rPr>
        <w:footnoteReference w:id="12"/>
      </w:r>
      <w:r w:rsidR="00F224D8" w:rsidRPr="00F224D8">
        <w:t>.</w:t>
      </w:r>
      <w:r w:rsidRPr="008A09E4">
        <w:t xml:space="preserve"> Dans le cas présent, le Comité constate que l</w:t>
      </w:r>
      <w:r>
        <w:t>’</w:t>
      </w:r>
      <w:r w:rsidRPr="008A09E4">
        <w:t>État partie n</w:t>
      </w:r>
      <w:r>
        <w:t>’</w:t>
      </w:r>
      <w:r w:rsidRPr="008A09E4">
        <w:t>a fourni aucune autre information concernant le caractère utile de la procédure de contrôle</w:t>
      </w:r>
      <w:r w:rsidR="00F224D8" w:rsidRPr="00F224D8">
        <w:t>.</w:t>
      </w:r>
      <w:r w:rsidRPr="008A09E4">
        <w:t xml:space="preserve"> En conséquence, il considère que les dispositions du paragraphe 2 b) de l</w:t>
      </w:r>
      <w:r>
        <w:t>’</w:t>
      </w:r>
      <w:r w:rsidRPr="008A09E4">
        <w:t>article 5 du Protocole facultatif ne font pas obstacle à l</w:t>
      </w:r>
      <w:r>
        <w:t>’</w:t>
      </w:r>
      <w:r w:rsidRPr="008A09E4">
        <w:t>examen de la présente communication</w:t>
      </w:r>
      <w:r w:rsidR="00F224D8" w:rsidRPr="00F224D8">
        <w:t>.</w:t>
      </w:r>
    </w:p>
    <w:p w14:paraId="43A8ED90" w14:textId="77777777" w:rsidR="00E44C92" w:rsidRPr="008A09E4" w:rsidRDefault="00E44C92" w:rsidP="00E44C92">
      <w:pPr>
        <w:pStyle w:val="SingleTxtG"/>
        <w:rPr>
          <w:lang w:val="fr-FR"/>
        </w:rPr>
      </w:pPr>
      <w:r w:rsidRPr="008A09E4">
        <w:rPr>
          <w:lang w:val="fr-FR"/>
        </w:rPr>
        <w:t>7</w:t>
      </w:r>
      <w:r w:rsidR="00F224D8" w:rsidRPr="00F224D8">
        <w:rPr>
          <w:lang w:val="fr-FR"/>
        </w:rPr>
        <w:t>.</w:t>
      </w:r>
      <w:r>
        <w:rPr>
          <w:lang w:val="fr-FR"/>
        </w:rPr>
        <w:t>6</w:t>
      </w:r>
      <w:r w:rsidRPr="008A09E4">
        <w:rPr>
          <w:lang w:val="fr-FR"/>
        </w:rPr>
        <w:tab/>
        <w:t>Concernant l</w:t>
      </w:r>
      <w:r>
        <w:rPr>
          <w:lang w:val="fr-FR"/>
        </w:rPr>
        <w:t>’</w:t>
      </w:r>
      <w:r w:rsidRPr="008A09E4">
        <w:rPr>
          <w:lang w:val="fr-FR"/>
        </w:rPr>
        <w:t>argument de l</w:t>
      </w:r>
      <w:r>
        <w:rPr>
          <w:lang w:val="fr-FR"/>
        </w:rPr>
        <w:t>’</w:t>
      </w:r>
      <w:r w:rsidRPr="008A09E4">
        <w:rPr>
          <w:lang w:val="fr-FR"/>
        </w:rPr>
        <w:t>État partie relatif à la soumission de la communication par un tiers, le Comité rappelle que, normalement, la communication doit être présentée par le particulier lui-même ou par son représentant</w:t>
      </w:r>
      <w:r w:rsidRPr="00E44C92">
        <w:rPr>
          <w:rStyle w:val="Appelnotedebasdep"/>
        </w:rPr>
        <w:footnoteReference w:id="13"/>
      </w:r>
      <w:r w:rsidR="00F224D8" w:rsidRPr="00F224D8">
        <w:rPr>
          <w:lang w:val="fr-FR"/>
        </w:rPr>
        <w:t>.</w:t>
      </w:r>
      <w:r w:rsidRPr="008A09E4">
        <w:rPr>
          <w:lang w:val="fr-FR"/>
        </w:rPr>
        <w:t xml:space="preserve"> En l</w:t>
      </w:r>
      <w:r>
        <w:rPr>
          <w:lang w:val="fr-FR"/>
        </w:rPr>
        <w:t>’</w:t>
      </w:r>
      <w:r w:rsidRPr="008A09E4">
        <w:rPr>
          <w:lang w:val="fr-FR"/>
        </w:rPr>
        <w:t>espèce, l</w:t>
      </w:r>
      <w:r>
        <w:rPr>
          <w:lang w:val="fr-FR"/>
        </w:rPr>
        <w:t>’</w:t>
      </w:r>
      <w:r w:rsidRPr="008A09E4">
        <w:rPr>
          <w:lang w:val="fr-FR"/>
        </w:rPr>
        <w:t xml:space="preserve">auteur a transmis à son père, Rim Mirzayanov, une procuration dûment signée par laquelle il lui donnait clairement mandat pour le représenter devant le Comité dans </w:t>
      </w:r>
      <w:r>
        <w:rPr>
          <w:lang w:val="fr-FR"/>
        </w:rPr>
        <w:t>la présente</w:t>
      </w:r>
      <w:r w:rsidRPr="008A09E4">
        <w:rPr>
          <w:lang w:val="fr-FR"/>
        </w:rPr>
        <w:t xml:space="preserve"> affaire</w:t>
      </w:r>
      <w:r w:rsidR="00F224D8" w:rsidRPr="00F224D8">
        <w:rPr>
          <w:lang w:val="fr-FR"/>
        </w:rPr>
        <w:t>.</w:t>
      </w:r>
      <w:r w:rsidRPr="008A09E4">
        <w:rPr>
          <w:lang w:val="fr-FR"/>
        </w:rPr>
        <w:t xml:space="preserve"> Le Comité conclut donc que la communication a été soumise dans le respect de son règlement</w:t>
      </w:r>
      <w:r w:rsidR="00F224D8" w:rsidRPr="00F224D8">
        <w:rPr>
          <w:lang w:val="fr-FR"/>
        </w:rPr>
        <w:t>.</w:t>
      </w:r>
    </w:p>
    <w:p w14:paraId="42AE7B2A" w14:textId="77777777" w:rsidR="00E44C92" w:rsidRPr="008A09E4" w:rsidRDefault="00E44C92" w:rsidP="00E44C92">
      <w:pPr>
        <w:pStyle w:val="SingleTxtG"/>
        <w:rPr>
          <w:lang w:val="fr-FR"/>
        </w:rPr>
      </w:pPr>
      <w:r w:rsidRPr="008A09E4">
        <w:rPr>
          <w:lang w:val="fr-FR"/>
        </w:rPr>
        <w:t>7</w:t>
      </w:r>
      <w:r w:rsidR="00F224D8" w:rsidRPr="00F224D8">
        <w:rPr>
          <w:lang w:val="fr-FR"/>
        </w:rPr>
        <w:t>.</w:t>
      </w:r>
      <w:r>
        <w:rPr>
          <w:lang w:val="fr-FR"/>
        </w:rPr>
        <w:t>7</w:t>
      </w:r>
      <w:r w:rsidRPr="008A09E4">
        <w:rPr>
          <w:lang w:val="fr-FR"/>
        </w:rPr>
        <w:tab/>
        <w:t>Le Comité prend note du grief que l</w:t>
      </w:r>
      <w:r>
        <w:rPr>
          <w:lang w:val="fr-FR"/>
        </w:rPr>
        <w:t>’</w:t>
      </w:r>
      <w:r w:rsidRPr="008A09E4">
        <w:rPr>
          <w:lang w:val="fr-FR"/>
        </w:rPr>
        <w:t>auteur tire de l</w:t>
      </w:r>
      <w:r>
        <w:rPr>
          <w:lang w:val="fr-FR"/>
        </w:rPr>
        <w:t>’</w:t>
      </w:r>
      <w:r w:rsidRPr="008A09E4">
        <w:rPr>
          <w:lang w:val="fr-FR"/>
        </w:rPr>
        <w:t>article 7 du Pacte, à savoir que la police aurait exercé sur lui des pressions psychologiques pour qu</w:t>
      </w:r>
      <w:r>
        <w:rPr>
          <w:lang w:val="fr-FR"/>
        </w:rPr>
        <w:t>’</w:t>
      </w:r>
      <w:r w:rsidRPr="008A09E4">
        <w:rPr>
          <w:lang w:val="fr-FR"/>
        </w:rPr>
        <w:t>il témoigne contre des candidats aux élections présidentielles issus de l</w:t>
      </w:r>
      <w:r>
        <w:rPr>
          <w:lang w:val="fr-FR"/>
        </w:rPr>
        <w:t>’</w:t>
      </w:r>
      <w:r w:rsidRPr="008A09E4">
        <w:rPr>
          <w:lang w:val="fr-FR"/>
        </w:rPr>
        <w:t>opposition et qu</w:t>
      </w:r>
      <w:r>
        <w:rPr>
          <w:lang w:val="fr-FR"/>
        </w:rPr>
        <w:t>’</w:t>
      </w:r>
      <w:r w:rsidRPr="008A09E4">
        <w:rPr>
          <w:lang w:val="fr-FR"/>
        </w:rPr>
        <w:t>il aurait reçu des menaces de mort et de viol de la part de ses codétenus après que ceux-ci ont appris qu</w:t>
      </w:r>
      <w:r>
        <w:rPr>
          <w:lang w:val="fr-FR"/>
        </w:rPr>
        <w:t>’</w:t>
      </w:r>
      <w:r w:rsidRPr="008A09E4">
        <w:rPr>
          <w:lang w:val="fr-FR"/>
        </w:rPr>
        <w:t>un article sur la « cellule de torture » avait été publié avec son aide sur l</w:t>
      </w:r>
      <w:r>
        <w:rPr>
          <w:lang w:val="fr-FR"/>
        </w:rPr>
        <w:t>’</w:t>
      </w:r>
      <w:r w:rsidRPr="008A09E4">
        <w:rPr>
          <w:lang w:val="fr-FR"/>
        </w:rPr>
        <w:t>un des sites Web de l</w:t>
      </w:r>
      <w:r>
        <w:rPr>
          <w:lang w:val="fr-FR"/>
        </w:rPr>
        <w:t>’</w:t>
      </w:r>
      <w:r w:rsidRPr="008A09E4">
        <w:rPr>
          <w:lang w:val="fr-FR"/>
        </w:rPr>
        <w:t>opposition</w:t>
      </w:r>
      <w:r w:rsidR="00F224D8" w:rsidRPr="00F224D8">
        <w:rPr>
          <w:lang w:val="fr-FR"/>
        </w:rPr>
        <w:t>.</w:t>
      </w:r>
      <w:r w:rsidRPr="008A09E4">
        <w:rPr>
          <w:lang w:val="fr-FR"/>
        </w:rPr>
        <w:t xml:space="preserve"> En l</w:t>
      </w:r>
      <w:r>
        <w:rPr>
          <w:lang w:val="fr-FR"/>
        </w:rPr>
        <w:t>’</w:t>
      </w:r>
      <w:r w:rsidRPr="008A09E4">
        <w:rPr>
          <w:lang w:val="fr-FR"/>
        </w:rPr>
        <w:t>absence de toute autre information à l</w:t>
      </w:r>
      <w:r>
        <w:rPr>
          <w:lang w:val="fr-FR"/>
        </w:rPr>
        <w:t>’</w:t>
      </w:r>
      <w:r w:rsidRPr="008A09E4">
        <w:rPr>
          <w:lang w:val="fr-FR"/>
        </w:rPr>
        <w:t>appui des allégations de l</w:t>
      </w:r>
      <w:r>
        <w:rPr>
          <w:lang w:val="fr-FR"/>
        </w:rPr>
        <w:t>’</w:t>
      </w:r>
      <w:r w:rsidRPr="008A09E4">
        <w:rPr>
          <w:lang w:val="fr-FR"/>
        </w:rPr>
        <w:t>auteur, le Comité considère que ce grief n</w:t>
      </w:r>
      <w:r>
        <w:rPr>
          <w:lang w:val="fr-FR"/>
        </w:rPr>
        <w:t>’</w:t>
      </w:r>
      <w:r w:rsidRPr="008A09E4">
        <w:rPr>
          <w:lang w:val="fr-FR"/>
        </w:rPr>
        <w:t>est pas suffisamment étayé aux fins de la recevabilité et le déclare donc irrecevable au regard de l</w:t>
      </w:r>
      <w:r>
        <w:rPr>
          <w:lang w:val="fr-FR"/>
        </w:rPr>
        <w:t>’</w:t>
      </w:r>
      <w:r w:rsidRPr="008A09E4">
        <w:rPr>
          <w:lang w:val="fr-FR"/>
        </w:rPr>
        <w:t>article 2 du Protocole facultatif</w:t>
      </w:r>
      <w:r w:rsidR="00F224D8" w:rsidRPr="00F224D8">
        <w:rPr>
          <w:lang w:val="fr-FR"/>
        </w:rPr>
        <w:t>.</w:t>
      </w:r>
    </w:p>
    <w:p w14:paraId="3AB7C988" w14:textId="77777777" w:rsidR="00E44C92" w:rsidRPr="008A09E4" w:rsidRDefault="00E44C92" w:rsidP="00E44C92">
      <w:pPr>
        <w:pStyle w:val="SingleTxtG"/>
        <w:rPr>
          <w:lang w:val="fr-FR"/>
        </w:rPr>
      </w:pPr>
      <w:r w:rsidRPr="008A09E4">
        <w:rPr>
          <w:lang w:val="fr-FR"/>
        </w:rPr>
        <w:t>7</w:t>
      </w:r>
      <w:r w:rsidR="00F224D8" w:rsidRPr="00F224D8">
        <w:rPr>
          <w:lang w:val="fr-FR"/>
        </w:rPr>
        <w:t>.</w:t>
      </w:r>
      <w:r>
        <w:rPr>
          <w:lang w:val="fr-FR"/>
        </w:rPr>
        <w:t>8</w:t>
      </w:r>
      <w:r w:rsidRPr="008A09E4">
        <w:rPr>
          <w:lang w:val="fr-FR"/>
        </w:rPr>
        <w:tab/>
        <w:t>Le Comité prend aussi note des allégations de l</w:t>
      </w:r>
      <w:r>
        <w:rPr>
          <w:lang w:val="fr-FR"/>
        </w:rPr>
        <w:t>’</w:t>
      </w:r>
      <w:r w:rsidRPr="008A09E4">
        <w:rPr>
          <w:lang w:val="fr-FR"/>
        </w:rPr>
        <w:t>auteur selon lesquelles ses conditions de détention portaient atteinte aux droits garantis par l</w:t>
      </w:r>
      <w:r>
        <w:rPr>
          <w:lang w:val="fr-FR"/>
        </w:rPr>
        <w:t>’</w:t>
      </w:r>
      <w:r w:rsidRPr="008A09E4">
        <w:rPr>
          <w:lang w:val="fr-FR"/>
        </w:rPr>
        <w:t>article 10 du Pacte</w:t>
      </w:r>
      <w:r w:rsidR="00F224D8" w:rsidRPr="00F224D8">
        <w:rPr>
          <w:lang w:val="fr-FR"/>
        </w:rPr>
        <w:t>.</w:t>
      </w:r>
      <w:r w:rsidRPr="008A09E4">
        <w:rPr>
          <w:lang w:val="fr-FR"/>
        </w:rPr>
        <w:t xml:space="preserve"> Toutefois, à la lumière des informations dont il dispose, le Comité constate que l</w:t>
      </w:r>
      <w:r>
        <w:rPr>
          <w:lang w:val="fr-FR"/>
        </w:rPr>
        <w:t>’</w:t>
      </w:r>
      <w:r w:rsidRPr="008A09E4">
        <w:rPr>
          <w:lang w:val="fr-FR"/>
        </w:rPr>
        <w:t>auteur n</w:t>
      </w:r>
      <w:r>
        <w:rPr>
          <w:lang w:val="fr-FR"/>
        </w:rPr>
        <w:t>’</w:t>
      </w:r>
      <w:r w:rsidRPr="008A09E4">
        <w:rPr>
          <w:lang w:val="fr-FR"/>
        </w:rPr>
        <w:t>a pas soulevé ce grief devant les autorités nationales</w:t>
      </w:r>
      <w:r w:rsidR="00F224D8" w:rsidRPr="00F224D8">
        <w:rPr>
          <w:lang w:val="fr-FR"/>
        </w:rPr>
        <w:t>.</w:t>
      </w:r>
      <w:r w:rsidRPr="008A09E4">
        <w:rPr>
          <w:lang w:val="fr-FR"/>
        </w:rPr>
        <w:t xml:space="preserve"> Dans ces circonstances, il considère que l</w:t>
      </w:r>
      <w:r>
        <w:rPr>
          <w:lang w:val="fr-FR"/>
        </w:rPr>
        <w:t>’</w:t>
      </w:r>
      <w:r w:rsidRPr="008A09E4">
        <w:rPr>
          <w:lang w:val="fr-FR"/>
        </w:rPr>
        <w:t>auteur n</w:t>
      </w:r>
      <w:r>
        <w:rPr>
          <w:lang w:val="fr-FR"/>
        </w:rPr>
        <w:t>’</w:t>
      </w:r>
      <w:r w:rsidRPr="008A09E4">
        <w:rPr>
          <w:lang w:val="fr-FR"/>
        </w:rPr>
        <w:t>a pas épuisé tous les recours internes disponibles en ce qui concerne le grief tiré de l</w:t>
      </w:r>
      <w:r>
        <w:rPr>
          <w:lang w:val="fr-FR"/>
        </w:rPr>
        <w:t>’</w:t>
      </w:r>
      <w:r w:rsidRPr="008A09E4">
        <w:rPr>
          <w:lang w:val="fr-FR"/>
        </w:rPr>
        <w:t>article 10 du Pacte et estime que celui-ci est irrecevable au regard du paragraphe 2 b) de l</w:t>
      </w:r>
      <w:r>
        <w:rPr>
          <w:lang w:val="fr-FR"/>
        </w:rPr>
        <w:t>’</w:t>
      </w:r>
      <w:r w:rsidRPr="008A09E4">
        <w:rPr>
          <w:lang w:val="fr-FR"/>
        </w:rPr>
        <w:t>article 5 du Protocole facultatif</w:t>
      </w:r>
      <w:r w:rsidR="00F224D8" w:rsidRPr="00F224D8">
        <w:rPr>
          <w:lang w:val="fr-FR"/>
        </w:rPr>
        <w:t>.</w:t>
      </w:r>
    </w:p>
    <w:p w14:paraId="37BB46FD" w14:textId="77777777" w:rsidR="00E44C92" w:rsidRPr="008A09E4" w:rsidRDefault="00E44C92" w:rsidP="00E44C92">
      <w:pPr>
        <w:pStyle w:val="SingleTxtG"/>
        <w:rPr>
          <w:lang w:val="fr-FR"/>
        </w:rPr>
      </w:pPr>
      <w:r w:rsidRPr="008A09E4">
        <w:rPr>
          <w:lang w:val="fr-FR"/>
        </w:rPr>
        <w:t>7</w:t>
      </w:r>
      <w:r w:rsidR="00F224D8" w:rsidRPr="00F224D8">
        <w:rPr>
          <w:lang w:val="fr-FR"/>
        </w:rPr>
        <w:t>.</w:t>
      </w:r>
      <w:r>
        <w:rPr>
          <w:lang w:val="fr-FR"/>
        </w:rPr>
        <w:t>9</w:t>
      </w:r>
      <w:r w:rsidRPr="008A09E4">
        <w:rPr>
          <w:lang w:val="fr-FR"/>
        </w:rPr>
        <w:tab/>
        <w:t>Le Comité prend également note des allégations de l</w:t>
      </w:r>
      <w:r>
        <w:rPr>
          <w:lang w:val="fr-FR"/>
        </w:rPr>
        <w:t>’</w:t>
      </w:r>
      <w:r w:rsidRPr="008A09E4">
        <w:rPr>
          <w:lang w:val="fr-FR"/>
        </w:rPr>
        <w:t>auteur selon lesquelles, en violation du paragraphe 7 de l</w:t>
      </w:r>
      <w:r>
        <w:rPr>
          <w:lang w:val="fr-FR"/>
        </w:rPr>
        <w:t>’</w:t>
      </w:r>
      <w:r w:rsidRPr="008A09E4">
        <w:rPr>
          <w:lang w:val="fr-FR"/>
        </w:rPr>
        <w:t>article 14 du Pacte, il a été puni deux fois pour sa participation au rassemblement du 19 décembre 2010, dans le cadre de la procédure administrative puis dans celui de la procédure pénale</w:t>
      </w:r>
      <w:r w:rsidR="00F224D8" w:rsidRPr="00F224D8">
        <w:rPr>
          <w:lang w:val="fr-FR"/>
        </w:rPr>
        <w:t>.</w:t>
      </w:r>
      <w:r w:rsidRPr="008A09E4">
        <w:rPr>
          <w:lang w:val="fr-FR"/>
        </w:rPr>
        <w:t xml:space="preserve"> Le Comité observe que si la responsabilité administrative de l</w:t>
      </w:r>
      <w:r>
        <w:rPr>
          <w:lang w:val="fr-FR"/>
        </w:rPr>
        <w:t>’</w:t>
      </w:r>
      <w:r w:rsidRPr="008A09E4">
        <w:rPr>
          <w:lang w:val="fr-FR"/>
        </w:rPr>
        <w:t>auteur a été engagée du fait de sa participation à un rassemblement non autorisé, ce sont les actes qu</w:t>
      </w:r>
      <w:r>
        <w:rPr>
          <w:lang w:val="fr-FR"/>
        </w:rPr>
        <w:t>’</w:t>
      </w:r>
      <w:r w:rsidRPr="008A09E4">
        <w:rPr>
          <w:lang w:val="fr-FR"/>
        </w:rPr>
        <w:t>il aurait commis pendant ce rassemblement, à savoir le jet de morceaux de verre sur des policiers et la destruction de biens, qualifiés de participation à des émeutes par les enquêteurs et le tribunal, qui ont entraîné les poursuites pénales</w:t>
      </w:r>
      <w:r w:rsidR="00F224D8" w:rsidRPr="00F224D8">
        <w:rPr>
          <w:lang w:val="fr-FR"/>
        </w:rPr>
        <w:t>.</w:t>
      </w:r>
      <w:r w:rsidRPr="008A09E4">
        <w:rPr>
          <w:lang w:val="fr-FR"/>
        </w:rPr>
        <w:t xml:space="preserve"> Le Comité estime que l</w:t>
      </w:r>
      <w:r>
        <w:rPr>
          <w:lang w:val="fr-FR"/>
        </w:rPr>
        <w:t>’</w:t>
      </w:r>
      <w:r w:rsidRPr="008A09E4">
        <w:rPr>
          <w:lang w:val="fr-FR"/>
        </w:rPr>
        <w:t>auteur n</w:t>
      </w:r>
      <w:r>
        <w:rPr>
          <w:lang w:val="fr-FR"/>
        </w:rPr>
        <w:t>’</w:t>
      </w:r>
      <w:r w:rsidRPr="008A09E4">
        <w:rPr>
          <w:lang w:val="fr-FR"/>
        </w:rPr>
        <w:t>a pas suffisamment étayé ce grief de violation du paragraphe 7 de l</w:t>
      </w:r>
      <w:r>
        <w:rPr>
          <w:lang w:val="fr-FR"/>
        </w:rPr>
        <w:t>’</w:t>
      </w:r>
      <w:r w:rsidRPr="008A09E4">
        <w:rPr>
          <w:lang w:val="fr-FR"/>
        </w:rPr>
        <w:t>article 14 du Pacte aux fins de la recevabilité et le déclare donc irrecevable au regard de l</w:t>
      </w:r>
      <w:r>
        <w:rPr>
          <w:lang w:val="fr-FR"/>
        </w:rPr>
        <w:t>’</w:t>
      </w:r>
      <w:r w:rsidRPr="008A09E4">
        <w:rPr>
          <w:lang w:val="fr-FR"/>
        </w:rPr>
        <w:t>article 2 du Protocole facultatif</w:t>
      </w:r>
      <w:r w:rsidR="00F224D8" w:rsidRPr="00F224D8">
        <w:rPr>
          <w:lang w:val="fr-FR"/>
        </w:rPr>
        <w:t>.</w:t>
      </w:r>
    </w:p>
    <w:p w14:paraId="269F36EC" w14:textId="77777777" w:rsidR="00E44C92" w:rsidRPr="008A09E4" w:rsidRDefault="00E44C92" w:rsidP="00DA09BB">
      <w:pPr>
        <w:pStyle w:val="SingleTxtG"/>
        <w:keepNext/>
        <w:keepLines/>
        <w:rPr>
          <w:lang w:val="fr-FR"/>
        </w:rPr>
      </w:pPr>
      <w:r w:rsidRPr="008A09E4">
        <w:rPr>
          <w:lang w:val="fr-FR"/>
        </w:rPr>
        <w:lastRenderedPageBreak/>
        <w:t>7</w:t>
      </w:r>
      <w:r w:rsidR="00F224D8" w:rsidRPr="00F224D8">
        <w:rPr>
          <w:lang w:val="fr-FR"/>
        </w:rPr>
        <w:t>.</w:t>
      </w:r>
      <w:r>
        <w:rPr>
          <w:lang w:val="fr-FR"/>
        </w:rPr>
        <w:t>10</w:t>
      </w:r>
      <w:r w:rsidRPr="008A09E4">
        <w:rPr>
          <w:lang w:val="fr-FR"/>
        </w:rPr>
        <w:tab/>
        <w:t>Le Comité considère que l</w:t>
      </w:r>
      <w:r>
        <w:rPr>
          <w:lang w:val="fr-FR"/>
        </w:rPr>
        <w:t>’</w:t>
      </w:r>
      <w:r w:rsidRPr="008A09E4">
        <w:rPr>
          <w:lang w:val="fr-FR"/>
        </w:rPr>
        <w:t>auteur a suffisamment étayé, aux fins de la recevabilité, les griefs qu</w:t>
      </w:r>
      <w:r>
        <w:rPr>
          <w:lang w:val="fr-FR"/>
        </w:rPr>
        <w:t>’</w:t>
      </w:r>
      <w:r w:rsidRPr="008A09E4">
        <w:rPr>
          <w:lang w:val="fr-FR"/>
        </w:rPr>
        <w:t>il tire des articles 9 (par</w:t>
      </w:r>
      <w:r w:rsidR="00F224D8" w:rsidRPr="00F224D8">
        <w:rPr>
          <w:lang w:val="fr-FR"/>
        </w:rPr>
        <w:t>.</w:t>
      </w:r>
      <w:r w:rsidRPr="008A09E4">
        <w:rPr>
          <w:lang w:val="fr-FR"/>
        </w:rPr>
        <w:t xml:space="preserve"> 1, 3 et 4), 14 (par</w:t>
      </w:r>
      <w:r w:rsidR="00F224D8" w:rsidRPr="00F224D8">
        <w:rPr>
          <w:lang w:val="fr-FR"/>
        </w:rPr>
        <w:t>.</w:t>
      </w:r>
      <w:r w:rsidRPr="008A09E4">
        <w:rPr>
          <w:lang w:val="fr-FR"/>
        </w:rPr>
        <w:t xml:space="preserve"> 1, 2, 3 d) et e), et 5), 19 et 21 du Pacte</w:t>
      </w:r>
      <w:r w:rsidR="00F224D8" w:rsidRPr="00F224D8">
        <w:rPr>
          <w:lang w:val="fr-FR"/>
        </w:rPr>
        <w:t>.</w:t>
      </w:r>
      <w:r>
        <w:rPr>
          <w:lang w:val="fr-FR"/>
        </w:rPr>
        <w:t xml:space="preserve"> Il </w:t>
      </w:r>
      <w:r w:rsidRPr="008A09E4">
        <w:rPr>
          <w:lang w:val="fr-FR"/>
        </w:rPr>
        <w:t xml:space="preserve">déclare </w:t>
      </w:r>
      <w:r>
        <w:rPr>
          <w:lang w:val="fr-FR"/>
        </w:rPr>
        <w:t xml:space="preserve">donc la communication </w:t>
      </w:r>
      <w:r w:rsidRPr="008A09E4">
        <w:rPr>
          <w:lang w:val="fr-FR"/>
        </w:rPr>
        <w:t xml:space="preserve">recevable et procède à </w:t>
      </w:r>
      <w:r>
        <w:rPr>
          <w:lang w:val="fr-FR"/>
        </w:rPr>
        <w:t>son</w:t>
      </w:r>
      <w:r w:rsidRPr="008A09E4">
        <w:rPr>
          <w:lang w:val="fr-FR"/>
        </w:rPr>
        <w:t xml:space="preserve"> examen quant au fond</w:t>
      </w:r>
      <w:r w:rsidR="00F224D8" w:rsidRPr="00F224D8">
        <w:rPr>
          <w:lang w:val="fr-FR"/>
        </w:rPr>
        <w:t>.</w:t>
      </w:r>
    </w:p>
    <w:p w14:paraId="450ABB80" w14:textId="77777777" w:rsidR="00E44C92" w:rsidRPr="008A09E4" w:rsidRDefault="00E44C92" w:rsidP="00E44C92">
      <w:pPr>
        <w:pStyle w:val="H4G"/>
        <w:rPr>
          <w:lang w:val="fr-FR"/>
        </w:rPr>
      </w:pPr>
      <w:r w:rsidRPr="008A09E4">
        <w:rPr>
          <w:lang w:val="fr-FR"/>
        </w:rPr>
        <w:tab/>
      </w:r>
      <w:r w:rsidRPr="008A09E4">
        <w:rPr>
          <w:lang w:val="fr-FR"/>
        </w:rPr>
        <w:tab/>
        <w:t>Examen au fond</w:t>
      </w:r>
    </w:p>
    <w:p w14:paraId="47C7E714" w14:textId="77777777" w:rsidR="00E44C92" w:rsidRPr="008A09E4" w:rsidRDefault="00E44C92" w:rsidP="00E44C92">
      <w:pPr>
        <w:pStyle w:val="SingleTxtG"/>
        <w:rPr>
          <w:lang w:val="fr-FR"/>
        </w:rPr>
      </w:pPr>
      <w:r w:rsidRPr="008A09E4">
        <w:rPr>
          <w:lang w:val="fr-FR"/>
        </w:rPr>
        <w:t>8</w:t>
      </w:r>
      <w:r w:rsidR="00F224D8" w:rsidRPr="00F224D8">
        <w:rPr>
          <w:lang w:val="fr-FR"/>
        </w:rPr>
        <w:t>.</w:t>
      </w:r>
      <w:r w:rsidRPr="008A09E4">
        <w:rPr>
          <w:lang w:val="fr-FR"/>
        </w:rPr>
        <w:t>1</w:t>
      </w:r>
      <w:r w:rsidRPr="008A09E4">
        <w:rPr>
          <w:lang w:val="fr-FR"/>
        </w:rPr>
        <w:tab/>
      </w:r>
      <w:r w:rsidRPr="008A09E4">
        <w:t>Conformément au paragraphe 1 de l</w:t>
      </w:r>
      <w:r>
        <w:t>’</w:t>
      </w:r>
      <w:r w:rsidRPr="008A09E4">
        <w:t>article 5 du Protocole facultatif, le Comité a examiné la présente communication en tenant compte de toutes les informations que lui ont communiquées les parties</w:t>
      </w:r>
      <w:r w:rsidR="00F224D8" w:rsidRPr="00F224D8">
        <w:t>.</w:t>
      </w:r>
    </w:p>
    <w:p w14:paraId="5AF8D257" w14:textId="77777777" w:rsidR="00E44C92" w:rsidRPr="003E4C04" w:rsidRDefault="00E44C92" w:rsidP="00E44C92">
      <w:pPr>
        <w:pStyle w:val="SingleTxtG"/>
        <w:spacing w:line="240" w:lineRule="auto"/>
      </w:pPr>
      <w:r w:rsidRPr="008A09E4">
        <w:rPr>
          <w:lang w:val="fr-FR"/>
        </w:rPr>
        <w:t>8</w:t>
      </w:r>
      <w:r w:rsidR="00F224D8" w:rsidRPr="00F224D8">
        <w:rPr>
          <w:lang w:val="fr-FR"/>
        </w:rPr>
        <w:t>.</w:t>
      </w:r>
      <w:r w:rsidRPr="008A09E4">
        <w:rPr>
          <w:lang w:val="fr-FR"/>
        </w:rPr>
        <w:t>2</w:t>
      </w:r>
      <w:r w:rsidRPr="008A09E4">
        <w:rPr>
          <w:lang w:val="fr-FR"/>
        </w:rPr>
        <w:tab/>
      </w:r>
      <w:r>
        <w:rPr>
          <w:lang w:val="fr-FR"/>
        </w:rPr>
        <w:t xml:space="preserve">Le Comité note que l’auteur affirme que l’État partie a violé les droits qu’il tient des </w:t>
      </w:r>
      <w:r w:rsidRPr="003E4C04">
        <w:t xml:space="preserve">articles 19 </w:t>
      </w:r>
      <w:r>
        <w:t xml:space="preserve">et </w:t>
      </w:r>
      <w:r w:rsidRPr="003E4C04">
        <w:t xml:space="preserve">21 </w:t>
      </w:r>
      <w:r>
        <w:t>du Pacte en en restreignant l’exercice de manière injustifiée</w:t>
      </w:r>
      <w:r w:rsidR="00F224D8" w:rsidRPr="00F224D8">
        <w:t>.</w:t>
      </w:r>
      <w:r w:rsidRPr="003E4C04">
        <w:t xml:space="preserve"> </w:t>
      </w:r>
      <w:r>
        <w:t xml:space="preserve">La question dont est saisi le Comité est celle de savoir si les droits reconnus à l’auteur par les </w:t>
      </w:r>
      <w:r w:rsidRPr="003E4C04">
        <w:t xml:space="preserve">articles 19 </w:t>
      </w:r>
      <w:r>
        <w:t xml:space="preserve">et </w:t>
      </w:r>
      <w:r w:rsidRPr="003E4C04">
        <w:t xml:space="preserve">21 </w:t>
      </w:r>
      <w:r>
        <w:t xml:space="preserve">ont été violés lorsque celui-ci a été arrêté par la </w:t>
      </w:r>
      <w:r w:rsidRPr="003E4C04">
        <w:t xml:space="preserve">police </w:t>
      </w:r>
      <w:r>
        <w:t xml:space="preserve">dans un lieu </w:t>
      </w:r>
      <w:r w:rsidRPr="003E4C04">
        <w:t xml:space="preserve">public </w:t>
      </w:r>
      <w:r>
        <w:t xml:space="preserve">alors qu’il participait à un rassemblement public, déclaré coupable d’une infraction </w:t>
      </w:r>
      <w:r w:rsidRPr="003E4C04">
        <w:t xml:space="preserve">administrative </w:t>
      </w:r>
      <w:r>
        <w:t xml:space="preserve">pour non-respect de la procédure </w:t>
      </w:r>
      <w:r w:rsidRPr="008A09E4">
        <w:rPr>
          <w:lang w:val="fr-FR"/>
        </w:rPr>
        <w:t>régissant la tenue de manifestations de masse</w:t>
      </w:r>
      <w:r>
        <w:rPr>
          <w:lang w:val="fr-FR"/>
        </w:rPr>
        <w:t xml:space="preserve"> et condamné à </w:t>
      </w:r>
      <w:r>
        <w:t>quinze</w:t>
      </w:r>
      <w:r w:rsidRPr="003E4C04">
        <w:t xml:space="preserve"> </w:t>
      </w:r>
      <w:r>
        <w:t xml:space="preserve">jours de détention </w:t>
      </w:r>
      <w:r w:rsidRPr="003E4C04">
        <w:t>administrative</w:t>
      </w:r>
      <w:r w:rsidR="00F224D8" w:rsidRPr="00F224D8">
        <w:t>.</w:t>
      </w:r>
      <w:r w:rsidRPr="003E4C04">
        <w:t xml:space="preserve"> </w:t>
      </w:r>
      <w:r>
        <w:t xml:space="preserve">Le Comité observe que l’État partie n’a présenté aucune observation sur le fond de la </w:t>
      </w:r>
      <w:r w:rsidRPr="003E4C04">
        <w:t xml:space="preserve">communication </w:t>
      </w:r>
      <w:r>
        <w:t>et que, dans ces circonstances, il convient d’accorder le crédit voulu aux allégations de l’auteur</w:t>
      </w:r>
      <w:r w:rsidRPr="00E44C92">
        <w:rPr>
          <w:rStyle w:val="Appelnotedebasdep"/>
        </w:rPr>
        <w:footnoteReference w:id="14"/>
      </w:r>
      <w:r w:rsidR="00F224D8" w:rsidRPr="00F224D8">
        <w:t>.</w:t>
      </w:r>
      <w:r w:rsidRPr="003E4C04">
        <w:t xml:space="preserve"> </w:t>
      </w:r>
      <w:r>
        <w:t>Compte tenu des informations dont il dispose, le Comité</w:t>
      </w:r>
      <w:r w:rsidRPr="003E4C04">
        <w:t xml:space="preserve"> </w:t>
      </w:r>
      <w:r>
        <w:t>considère que l’État partie</w:t>
      </w:r>
      <w:r w:rsidRPr="003E4C04">
        <w:t xml:space="preserve"> </w:t>
      </w:r>
      <w:r>
        <w:t>a imposé des restrictions aux droits de l’auteur, en particulier à son droit de répandre des informations et des idées de toutes sortes, consacré au paragraphe 2 de l’</w:t>
      </w:r>
      <w:r w:rsidRPr="003E4C04">
        <w:t>article 19</w:t>
      </w:r>
      <w:r w:rsidR="001E68CB">
        <w:t xml:space="preserve"> </w:t>
      </w:r>
      <w:r>
        <w:t>du Pacte, et à son droit de réunion pacifique, consacré à l’</w:t>
      </w:r>
      <w:r w:rsidRPr="003E4C04">
        <w:t>article 21</w:t>
      </w:r>
      <w:r w:rsidR="00F224D8" w:rsidRPr="00F224D8">
        <w:t>.</w:t>
      </w:r>
      <w:r w:rsidRPr="003E4C04">
        <w:t xml:space="preserve"> </w:t>
      </w:r>
      <w:r>
        <w:t>Le Comité</w:t>
      </w:r>
      <w:r w:rsidRPr="003E4C04">
        <w:t xml:space="preserve"> </w:t>
      </w:r>
      <w:r>
        <w:t xml:space="preserve">doit donc déterminer si les </w:t>
      </w:r>
      <w:r w:rsidRPr="003E4C04">
        <w:t xml:space="preserve">restrictions </w:t>
      </w:r>
      <w:r>
        <w:t>imposées à l’exercice de ces droits peuvent être justifiées au regard du paragraphe 3 de l’</w:t>
      </w:r>
      <w:r w:rsidRPr="003E4C04">
        <w:t>article 19</w:t>
      </w:r>
      <w:r w:rsidR="001E68CB">
        <w:t xml:space="preserve"> </w:t>
      </w:r>
      <w:r>
        <w:t>et de la deuxième phrase de l’</w:t>
      </w:r>
      <w:r w:rsidRPr="003E4C04">
        <w:t>article 21</w:t>
      </w:r>
      <w:r w:rsidR="00F224D8" w:rsidRPr="00F224D8">
        <w:t>.</w:t>
      </w:r>
    </w:p>
    <w:p w14:paraId="16AA38E9" w14:textId="77777777" w:rsidR="00E44C92" w:rsidRPr="003E4C04" w:rsidRDefault="00E44C92" w:rsidP="00E44C92">
      <w:pPr>
        <w:pStyle w:val="SingleTxtG"/>
        <w:spacing w:line="240" w:lineRule="auto"/>
      </w:pPr>
      <w:r w:rsidRPr="003E4C04">
        <w:t>8</w:t>
      </w:r>
      <w:r w:rsidR="00F224D8" w:rsidRPr="00F224D8">
        <w:t>.</w:t>
      </w:r>
      <w:r w:rsidRPr="003E4C04">
        <w:t>3</w:t>
      </w:r>
      <w:r w:rsidRPr="003E4C04">
        <w:tab/>
      </w:r>
      <w:r>
        <w:t>Le Comité</w:t>
      </w:r>
      <w:r w:rsidRPr="003E4C04">
        <w:t xml:space="preserve"> </w:t>
      </w:r>
      <w:r>
        <w:t>renvoie à son observation générale</w:t>
      </w:r>
      <w:r w:rsidRPr="003E4C04">
        <w:t xml:space="preserve"> </w:t>
      </w:r>
      <w:r w:rsidR="00DA09BB">
        <w:rPr>
          <w:rFonts w:eastAsia="MS Mincho"/>
        </w:rPr>
        <w:t>n</w:t>
      </w:r>
      <w:r w:rsidR="00DA09BB">
        <w:rPr>
          <w:rFonts w:eastAsia="MS Mincho"/>
          <w:vertAlign w:val="superscript"/>
        </w:rPr>
        <w:t>o</w:t>
      </w:r>
      <w:r w:rsidR="00DA09BB">
        <w:t> </w:t>
      </w:r>
      <w:r w:rsidRPr="003E4C04">
        <w:t xml:space="preserve">34 (2011) </w:t>
      </w:r>
      <w:r>
        <w:t>sur la liberté d’opinion et la liberté d’</w:t>
      </w:r>
      <w:r w:rsidRPr="003E4C04">
        <w:t xml:space="preserve">expression, </w:t>
      </w:r>
      <w:r>
        <w:t>dans laquelle il dit que ces libertés</w:t>
      </w:r>
      <w:r w:rsidRPr="003E4C04">
        <w:t xml:space="preserve"> </w:t>
      </w:r>
      <w:r>
        <w:t xml:space="preserve">sont des conditions </w:t>
      </w:r>
      <w:r w:rsidRPr="003E4C04">
        <w:t>indispensable</w:t>
      </w:r>
      <w:r>
        <w:t xml:space="preserve">s au développement complet de l’individu et qu’elles sont essentielles pour toute société </w:t>
      </w:r>
      <w:r w:rsidRPr="003E4C04">
        <w:t>(par</w:t>
      </w:r>
      <w:r w:rsidR="00F224D8" w:rsidRPr="00F224D8">
        <w:t>.</w:t>
      </w:r>
      <w:r>
        <w:t> </w:t>
      </w:r>
      <w:r w:rsidRPr="003E4C04">
        <w:t>2)</w:t>
      </w:r>
      <w:r>
        <w:t xml:space="preserve"> et constituent le fondement de toute société libre et démocratique</w:t>
      </w:r>
      <w:r w:rsidRPr="003E4C04">
        <w:t xml:space="preserve"> (ibid</w:t>
      </w:r>
      <w:r w:rsidR="00F224D8" w:rsidRPr="00F224D8">
        <w:t>.</w:t>
      </w:r>
      <w:r w:rsidRPr="003E4C04">
        <w:t>)</w:t>
      </w:r>
      <w:r w:rsidR="00F224D8" w:rsidRPr="00F224D8">
        <w:t>.</w:t>
      </w:r>
      <w:r w:rsidRPr="003E4C04">
        <w:t xml:space="preserve"> </w:t>
      </w:r>
      <w:r>
        <w:t>Le Comité rappelle que le paragraphe 3 de l’</w:t>
      </w:r>
      <w:r w:rsidRPr="003E4C04">
        <w:t>article 19</w:t>
      </w:r>
      <w:r w:rsidR="00427A24">
        <w:t xml:space="preserve"> </w:t>
      </w:r>
      <w:r>
        <w:t xml:space="preserve">du Pacte n’autorise certaines </w:t>
      </w:r>
      <w:r w:rsidRPr="003E4C04">
        <w:t xml:space="preserve">restrictions </w:t>
      </w:r>
      <w:r>
        <w:t xml:space="preserve">que si elles sont expressément fixées par la loi et nécessaires </w:t>
      </w:r>
      <w:r w:rsidRPr="003E4C04">
        <w:t xml:space="preserve">a) </w:t>
      </w:r>
      <w:r>
        <w:t xml:space="preserve">au respect des droits ou de la réputation d’autrui et </w:t>
      </w:r>
      <w:r w:rsidRPr="003E4C04">
        <w:t xml:space="preserve">b) </w:t>
      </w:r>
      <w:r>
        <w:t>à la sauvegarde de la sécurité nationale, de l’ordre public, de la santé ou de la moralité publiques</w:t>
      </w:r>
      <w:r w:rsidR="00F224D8" w:rsidRPr="00F224D8">
        <w:t>.</w:t>
      </w:r>
      <w:r w:rsidRPr="003E4C04">
        <w:t xml:space="preserve"> </w:t>
      </w:r>
      <w:r>
        <w:t xml:space="preserve">Toute restriction à l’exercice de ces libertés doit répondre aux critères stricts de nécessité et de proportionnalité, être appliquée exclusivement aux fins pour lesquelles elle a été prescrite et être en rapport </w:t>
      </w:r>
      <w:r w:rsidRPr="003E4C04">
        <w:t>direct</w:t>
      </w:r>
      <w:r>
        <w:t xml:space="preserve"> avec l’objectif spécifique qui l’inspire</w:t>
      </w:r>
      <w:r w:rsidRPr="00E44C92">
        <w:rPr>
          <w:rStyle w:val="Appelnotedebasdep"/>
        </w:rPr>
        <w:footnoteReference w:id="15"/>
      </w:r>
      <w:r w:rsidR="00F224D8" w:rsidRPr="00F224D8">
        <w:t>.</w:t>
      </w:r>
      <w:r w:rsidRPr="003E4C04">
        <w:t xml:space="preserve"> </w:t>
      </w:r>
      <w:r>
        <w:t>Le Comité</w:t>
      </w:r>
      <w:r w:rsidRPr="003E4C04">
        <w:t xml:space="preserve"> </w:t>
      </w:r>
      <w:r>
        <w:t>rappelle également qu’il incombe à l’État partie</w:t>
      </w:r>
      <w:r w:rsidRPr="003E4C04">
        <w:t xml:space="preserve"> </w:t>
      </w:r>
      <w:r>
        <w:t xml:space="preserve">de démontrer que les </w:t>
      </w:r>
      <w:r w:rsidRPr="003E4C04">
        <w:t xml:space="preserve">restrictions </w:t>
      </w:r>
      <w:r>
        <w:t>imposées aux droits reconnus à l’auteur par l’</w:t>
      </w:r>
      <w:r w:rsidRPr="003E4C04">
        <w:t>article</w:t>
      </w:r>
      <w:r w:rsidR="00427A24">
        <w:t> </w:t>
      </w:r>
      <w:r w:rsidRPr="003E4C04">
        <w:t xml:space="preserve">19 </w:t>
      </w:r>
      <w:r>
        <w:t>du Pacte étaient nécessaires et proportionnées</w:t>
      </w:r>
      <w:r w:rsidRPr="00E44C92">
        <w:rPr>
          <w:rStyle w:val="Appelnotedebasdep"/>
        </w:rPr>
        <w:footnoteReference w:id="16"/>
      </w:r>
      <w:r w:rsidR="00F224D8" w:rsidRPr="00F224D8">
        <w:t>.</w:t>
      </w:r>
    </w:p>
    <w:p w14:paraId="1B560C4D" w14:textId="77777777" w:rsidR="00E44C92" w:rsidRPr="003E4C04" w:rsidRDefault="00E44C92" w:rsidP="00E44C92">
      <w:pPr>
        <w:pStyle w:val="SingleTxtG"/>
        <w:spacing w:line="240" w:lineRule="auto"/>
      </w:pPr>
      <w:r w:rsidRPr="003E4C04">
        <w:t>8</w:t>
      </w:r>
      <w:r w:rsidR="00F224D8" w:rsidRPr="00F224D8">
        <w:t>.</w:t>
      </w:r>
      <w:r w:rsidRPr="003E4C04">
        <w:t>4</w:t>
      </w:r>
      <w:r w:rsidRPr="003E4C04">
        <w:tab/>
      </w:r>
      <w:r>
        <w:t>Le Comité</w:t>
      </w:r>
      <w:r w:rsidRPr="003E4C04">
        <w:t xml:space="preserve"> note</w:t>
      </w:r>
      <w:r>
        <w:t xml:space="preserve"> que</w:t>
      </w:r>
      <w:r w:rsidRPr="003E4C04">
        <w:t xml:space="preserve"> </w:t>
      </w:r>
      <w:r>
        <w:t>l’auteur</w:t>
      </w:r>
      <w:r w:rsidRPr="003E4C04">
        <w:t xml:space="preserve"> </w:t>
      </w:r>
      <w:r>
        <w:t xml:space="preserve">a été sanctionné pour avoir participé à un rassemblement public parce que la </w:t>
      </w:r>
      <w:r w:rsidRPr="003E4C04">
        <w:t xml:space="preserve">police </w:t>
      </w:r>
      <w:r>
        <w:t xml:space="preserve">et le tribunal de </w:t>
      </w:r>
      <w:r w:rsidRPr="003E4C04">
        <w:t xml:space="preserve">district </w:t>
      </w:r>
      <w:r>
        <w:t>ont conclu qu’il avait enfreint la procédure régissant l’organisation et la tenue d’une manifestation de masse prévue par la législation nationale</w:t>
      </w:r>
      <w:r w:rsidR="00F224D8" w:rsidRPr="00F224D8">
        <w:t>.</w:t>
      </w:r>
      <w:r w:rsidRPr="003E4C04">
        <w:t xml:space="preserve"> </w:t>
      </w:r>
      <w:r>
        <w:t>Le Comité</w:t>
      </w:r>
      <w:r w:rsidRPr="003E4C04">
        <w:t xml:space="preserve"> note</w:t>
      </w:r>
      <w:r>
        <w:t xml:space="preserve"> que l’auteur explique qu’il assistait au rassemblement afin de soutenir un candidat à l’élection présidentielle issu de l’</w:t>
      </w:r>
      <w:r w:rsidRPr="003E4C04">
        <w:t>opposition</w:t>
      </w:r>
      <w:r w:rsidR="00F224D8" w:rsidRPr="00F224D8">
        <w:t>.</w:t>
      </w:r>
      <w:r w:rsidRPr="003E4C04">
        <w:t xml:space="preserve"> </w:t>
      </w:r>
      <w:r>
        <w:t>Le Comité</w:t>
      </w:r>
      <w:r w:rsidRPr="003E4C04">
        <w:t xml:space="preserve"> note</w:t>
      </w:r>
      <w:r>
        <w:t xml:space="preserve"> que ni l’État partie,</w:t>
      </w:r>
      <w:r w:rsidRPr="003E4C04">
        <w:t xml:space="preserve"> </w:t>
      </w:r>
      <w:r>
        <w:t>ni les juridictions nationales n’ont expliqué en quoi ces restrictions étaient justifiées au regard des conditions de nécessité et de proportionnalité énoncées au paragraphe 3 de l’</w:t>
      </w:r>
      <w:r w:rsidRPr="003E4C04">
        <w:t>article 19</w:t>
      </w:r>
      <w:r w:rsidR="00427A24">
        <w:t xml:space="preserve"> </w:t>
      </w:r>
      <w:r>
        <w:t>du Pacte</w:t>
      </w:r>
      <w:r w:rsidRPr="003E4C04">
        <w:t xml:space="preserve">, </w:t>
      </w:r>
      <w:r>
        <w:t>ou si la peine imposée, à savoir quinze</w:t>
      </w:r>
      <w:r w:rsidRPr="003E4C04">
        <w:t xml:space="preserve"> </w:t>
      </w:r>
      <w:r>
        <w:t xml:space="preserve">jours de détention </w:t>
      </w:r>
      <w:r w:rsidRPr="003E4C04">
        <w:t>administrative</w:t>
      </w:r>
      <w:r>
        <w:t>, même fondée en droit, était nécessaire et proportionnée et répondait à l’un des buts légitimes énumérés dans cette disposition</w:t>
      </w:r>
      <w:r w:rsidR="00F224D8" w:rsidRPr="00F224D8">
        <w:t>.</w:t>
      </w:r>
    </w:p>
    <w:p w14:paraId="4F22AEA7" w14:textId="77777777" w:rsidR="00E44C92" w:rsidRPr="003E4C04" w:rsidRDefault="00E44C92" w:rsidP="00E44C92">
      <w:pPr>
        <w:pStyle w:val="SingleTxtG"/>
        <w:spacing w:line="240" w:lineRule="auto"/>
      </w:pPr>
      <w:r w:rsidRPr="003E4C04">
        <w:lastRenderedPageBreak/>
        <w:t>8</w:t>
      </w:r>
      <w:r w:rsidR="00F224D8" w:rsidRPr="00F224D8">
        <w:t>.</w:t>
      </w:r>
      <w:r w:rsidRPr="003E4C04">
        <w:t>5</w:t>
      </w:r>
      <w:r w:rsidRPr="003E4C04">
        <w:tab/>
      </w:r>
      <w:r>
        <w:t>Le Comité</w:t>
      </w:r>
      <w:r w:rsidRPr="003E4C04">
        <w:t xml:space="preserve"> note</w:t>
      </w:r>
      <w:r>
        <w:t xml:space="preserve"> qu’il a déjà examiné plusieurs communications concernant les lois et </w:t>
      </w:r>
      <w:r w:rsidRPr="003E4C04">
        <w:t>prati</w:t>
      </w:r>
      <w:r>
        <w:t>qu</w:t>
      </w:r>
      <w:r w:rsidRPr="003E4C04">
        <w:t xml:space="preserve">es </w:t>
      </w:r>
      <w:r>
        <w:t>de l’État partie</w:t>
      </w:r>
      <w:r w:rsidRPr="003E4C04">
        <w:t xml:space="preserve"> </w:t>
      </w:r>
      <w:r>
        <w:t>mises en question en l’espèce</w:t>
      </w:r>
      <w:r w:rsidRPr="00E44C92">
        <w:rPr>
          <w:rStyle w:val="Appelnotedebasdep"/>
        </w:rPr>
        <w:footnoteReference w:id="17"/>
      </w:r>
      <w:r w:rsidR="00F224D8" w:rsidRPr="00F224D8">
        <w:t>.</w:t>
      </w:r>
      <w:r w:rsidRPr="003E4C04">
        <w:t xml:space="preserve"> I</w:t>
      </w:r>
      <w:r>
        <w:t>l conclut qu’en l’espèce</w:t>
      </w:r>
      <w:r w:rsidRPr="003E4C04">
        <w:t xml:space="preserve">, </w:t>
      </w:r>
      <w:r>
        <w:t>les droits garantis à l’auteur</w:t>
      </w:r>
      <w:r w:rsidRPr="003E4C04">
        <w:t xml:space="preserve"> </w:t>
      </w:r>
      <w:r>
        <w:t>par l’</w:t>
      </w:r>
      <w:r w:rsidRPr="003E4C04">
        <w:t xml:space="preserve">article 19 </w:t>
      </w:r>
      <w:r>
        <w:t>du Pacte ont été violés</w:t>
      </w:r>
      <w:r w:rsidR="00F224D8" w:rsidRPr="00F224D8">
        <w:t>.</w:t>
      </w:r>
      <w:r w:rsidRPr="003E4C04">
        <w:t xml:space="preserve"> </w:t>
      </w:r>
    </w:p>
    <w:p w14:paraId="00931DDB" w14:textId="77777777" w:rsidR="00E44C92" w:rsidRPr="003E4C04" w:rsidRDefault="00E44C92" w:rsidP="00E44C92">
      <w:pPr>
        <w:pStyle w:val="SingleTxtG"/>
        <w:keepNext/>
        <w:keepLines/>
        <w:spacing w:line="240" w:lineRule="auto"/>
      </w:pPr>
      <w:r w:rsidRPr="003E4C04">
        <w:t>8</w:t>
      </w:r>
      <w:r w:rsidR="00F224D8" w:rsidRPr="00F224D8">
        <w:t>.</w:t>
      </w:r>
      <w:r w:rsidRPr="003E4C04">
        <w:t>6</w:t>
      </w:r>
      <w:r w:rsidRPr="003E4C04">
        <w:tab/>
      </w:r>
      <w:r>
        <w:t>Le Comité</w:t>
      </w:r>
      <w:r w:rsidRPr="003E4C04">
        <w:t xml:space="preserve"> </w:t>
      </w:r>
      <w:r>
        <w:t>rappelle ensuite que le droit de réunion pacifique</w:t>
      </w:r>
      <w:r w:rsidRPr="003E4C04">
        <w:t xml:space="preserve">, </w:t>
      </w:r>
      <w:r>
        <w:t>consacré à l’</w:t>
      </w:r>
      <w:r w:rsidRPr="003E4C04">
        <w:t xml:space="preserve">article 21 </w:t>
      </w:r>
      <w:r>
        <w:t>du Pacte, est un droit de l’homme fondamental qui est essentiel à l’expression publique des points de vue et opinions de chacun et indispensable dans une société démocratique</w:t>
      </w:r>
      <w:r w:rsidR="00F224D8" w:rsidRPr="00F224D8">
        <w:t>.</w:t>
      </w:r>
      <w:r w:rsidRPr="003E4C04">
        <w:t xml:space="preserve"> </w:t>
      </w:r>
      <w:r>
        <w:t>Ce droit suppose la possibilité d’organiser une réunion pacifique dans un lieu public, et d’y participer</w:t>
      </w:r>
      <w:r w:rsidR="00F224D8" w:rsidRPr="00F224D8">
        <w:t>.</w:t>
      </w:r>
      <w:r w:rsidRPr="003E4C04">
        <w:t xml:space="preserve"> </w:t>
      </w:r>
      <w:r>
        <w:t>Les organisateurs d’une réunion ont en règle générale le droit de choisir un lieu qui soit à portée de vue et de voix du public ciblé, et l’exercice de ce droit ne peut faire l’objet que des seules restrictions :</w:t>
      </w:r>
      <w:r w:rsidRPr="003E4C04">
        <w:t xml:space="preserve"> a) </w:t>
      </w:r>
      <w:r>
        <w:t>imposées conformément à la loi</w:t>
      </w:r>
      <w:r w:rsidRPr="003E4C04">
        <w:t xml:space="preserve"> </w:t>
      </w:r>
      <w:r>
        <w:t xml:space="preserve">et </w:t>
      </w:r>
      <w:r w:rsidRPr="003E4C04">
        <w:t xml:space="preserve">b) </w:t>
      </w:r>
      <w:r>
        <w:t>nécessaires dans une société démocratique, dans l’intérêt de la sécurité nationale ou de la sûreté publique, de l’ordre public ou pour protéger la santé ou la moralité publiques ou les droits et libertés d’autrui</w:t>
      </w:r>
      <w:r w:rsidR="00F224D8" w:rsidRPr="00F224D8">
        <w:t>.</w:t>
      </w:r>
      <w:r>
        <w:t xml:space="preserve"> Lorsqu’ils imposent des restrictions au droit de réunion des particuliers afin de concilier ce droit avec l’intérêt général, les États parties doivent chercher à faciliter l’exercice de ce droit et non s’employer à le restreindre par des moyens qui ne sont ni nécessaires ni proportionnés</w:t>
      </w:r>
      <w:r w:rsidRPr="00E44C92">
        <w:rPr>
          <w:rStyle w:val="Appelnotedebasdep"/>
        </w:rPr>
        <w:footnoteReference w:id="18"/>
      </w:r>
      <w:r w:rsidR="00F224D8" w:rsidRPr="00F224D8">
        <w:t>.</w:t>
      </w:r>
      <w:r w:rsidRPr="003E4C04">
        <w:t xml:space="preserve"> </w:t>
      </w:r>
      <w:r>
        <w:t>L’État partie</w:t>
      </w:r>
      <w:r w:rsidRPr="003E4C04">
        <w:t xml:space="preserve"> </w:t>
      </w:r>
      <w:r>
        <w:t xml:space="preserve">est donc tenu de justifier la </w:t>
      </w:r>
      <w:r w:rsidRPr="003E4C04">
        <w:t xml:space="preserve">limitation </w:t>
      </w:r>
      <w:r>
        <w:t>du droit garanti à l’</w:t>
      </w:r>
      <w:r w:rsidRPr="003E4C04">
        <w:t xml:space="preserve">article 21 </w:t>
      </w:r>
      <w:r>
        <w:t>du Pacte</w:t>
      </w:r>
      <w:r w:rsidRPr="00E44C92">
        <w:rPr>
          <w:rStyle w:val="Appelnotedebasdep"/>
        </w:rPr>
        <w:footnoteReference w:id="19"/>
      </w:r>
      <w:r w:rsidR="00F224D8" w:rsidRPr="00F224D8">
        <w:t>.</w:t>
      </w:r>
    </w:p>
    <w:p w14:paraId="26ECFE3A" w14:textId="77777777" w:rsidR="00E44C92" w:rsidRPr="003E4C04" w:rsidRDefault="00E44C92" w:rsidP="00E44C92">
      <w:pPr>
        <w:pStyle w:val="SingleTxtG"/>
        <w:spacing w:line="240" w:lineRule="auto"/>
      </w:pPr>
      <w:r w:rsidRPr="003E4C04">
        <w:t>8</w:t>
      </w:r>
      <w:r w:rsidR="00F224D8" w:rsidRPr="00F224D8">
        <w:t>.</w:t>
      </w:r>
      <w:r w:rsidRPr="003E4C04">
        <w:t>7</w:t>
      </w:r>
      <w:r w:rsidRPr="003E4C04">
        <w:tab/>
      </w:r>
      <w:r>
        <w:t>En l’espèce, le Comité</w:t>
      </w:r>
      <w:r w:rsidRPr="003E4C04">
        <w:t xml:space="preserve"> </w:t>
      </w:r>
      <w:r>
        <w:t xml:space="preserve">doit déterminer si les </w:t>
      </w:r>
      <w:r w:rsidRPr="003E4C04">
        <w:t xml:space="preserve">restrictions </w:t>
      </w:r>
      <w:r>
        <w:t>imposées au droit de</w:t>
      </w:r>
      <w:r w:rsidRPr="003E4C04">
        <w:t xml:space="preserve"> </w:t>
      </w:r>
      <w:r>
        <w:t>l’auteur à la liberté de réunion pacifique sont justifiées au regard de l’un quelconque des critères énoncés dans la deuxième phrase de l’</w:t>
      </w:r>
      <w:r w:rsidRPr="003E4C04">
        <w:t xml:space="preserve">article 21 </w:t>
      </w:r>
      <w:r>
        <w:t>du Pacte</w:t>
      </w:r>
      <w:r w:rsidR="00F224D8" w:rsidRPr="00F224D8">
        <w:t>.</w:t>
      </w:r>
      <w:r w:rsidRPr="003E4C04">
        <w:t xml:space="preserve"> </w:t>
      </w:r>
      <w:r>
        <w:t>Il constate, à la lumière des informations versées au dossier</w:t>
      </w:r>
      <w:r w:rsidRPr="003E4C04">
        <w:t xml:space="preserve">, </w:t>
      </w:r>
      <w:r>
        <w:t xml:space="preserve">que les autorités nationales et le tribunal de </w:t>
      </w:r>
      <w:r w:rsidRPr="003E4C04">
        <w:t xml:space="preserve">district </w:t>
      </w:r>
      <w:r>
        <w:t>n’ont pas justifié leur décision ni expliqué en quoi</w:t>
      </w:r>
      <w:r w:rsidRPr="003E4C04">
        <w:t xml:space="preserve">, </w:t>
      </w:r>
      <w:r>
        <w:t>dans la pratique</w:t>
      </w:r>
      <w:r w:rsidRPr="003E4C04">
        <w:t xml:space="preserve">, </w:t>
      </w:r>
      <w:r>
        <w:t>le rassemblement public aurait porté atteinte à la sécurité nationale, à la sûreté publique</w:t>
      </w:r>
      <w:r w:rsidRPr="003E4C04">
        <w:t xml:space="preserve">, </w:t>
      </w:r>
      <w:r>
        <w:t xml:space="preserve">à l’ordre </w:t>
      </w:r>
      <w:r w:rsidRPr="003E4C04">
        <w:t xml:space="preserve">public, </w:t>
      </w:r>
      <w:r>
        <w:t>à la santé ou la moralité publiques ou aux droits et libertés d’autrui, au sens de l’</w:t>
      </w:r>
      <w:r w:rsidRPr="003E4C04">
        <w:t>article 21</w:t>
      </w:r>
      <w:r w:rsidR="00F224D8" w:rsidRPr="00F224D8">
        <w:t>.</w:t>
      </w:r>
    </w:p>
    <w:p w14:paraId="6CE1BC3A" w14:textId="77777777" w:rsidR="00E44C92" w:rsidRPr="003E4C04" w:rsidRDefault="00E44C92" w:rsidP="00E44C92">
      <w:pPr>
        <w:pStyle w:val="SingleTxtG"/>
        <w:spacing w:line="240" w:lineRule="auto"/>
      </w:pPr>
      <w:r w:rsidRPr="003E4C04">
        <w:t>8</w:t>
      </w:r>
      <w:r w:rsidR="00F224D8" w:rsidRPr="00F224D8">
        <w:t>.</w:t>
      </w:r>
      <w:r w:rsidRPr="003E4C04">
        <w:t>8</w:t>
      </w:r>
      <w:r w:rsidRPr="003E4C04">
        <w:tab/>
      </w:r>
      <w:r>
        <w:t>Le Comité</w:t>
      </w:r>
      <w:r w:rsidRPr="003E4C04">
        <w:t xml:space="preserve"> note</w:t>
      </w:r>
      <w:r>
        <w:t xml:space="preserve"> qu’il a déjà examiné plusieurs communications concernant les lois et pratiques de l’État partie</w:t>
      </w:r>
      <w:r w:rsidRPr="003E4C04">
        <w:t xml:space="preserve"> </w:t>
      </w:r>
      <w:r>
        <w:t>mises en question en l’espèce</w:t>
      </w:r>
      <w:r w:rsidRPr="00E44C92">
        <w:rPr>
          <w:rStyle w:val="Appelnotedebasdep"/>
        </w:rPr>
        <w:footnoteReference w:id="20"/>
      </w:r>
      <w:r w:rsidR="00F224D8" w:rsidRPr="00F224D8">
        <w:t>.</w:t>
      </w:r>
      <w:r>
        <w:t xml:space="preserve"> Il conclut qu’en l’espèce, l’État partie</w:t>
      </w:r>
      <w:r w:rsidRPr="003E4C04">
        <w:t xml:space="preserve"> </w:t>
      </w:r>
      <w:r>
        <w:t>a violé les droits que l’auteur tient de l’</w:t>
      </w:r>
      <w:r w:rsidRPr="003E4C04">
        <w:t xml:space="preserve">article 21 </w:t>
      </w:r>
      <w:r>
        <w:t>du Pacte</w:t>
      </w:r>
      <w:r w:rsidR="00F224D8" w:rsidRPr="00F224D8">
        <w:t>.</w:t>
      </w:r>
    </w:p>
    <w:p w14:paraId="2AFEFB83" w14:textId="77777777" w:rsidR="00E44C92" w:rsidRPr="008A09E4" w:rsidRDefault="00E44C92" w:rsidP="00E44C92">
      <w:pPr>
        <w:pStyle w:val="SingleTxtG"/>
        <w:rPr>
          <w:lang w:val="fr-FR"/>
        </w:rPr>
      </w:pPr>
      <w:r>
        <w:rPr>
          <w:lang w:val="fr-FR"/>
        </w:rPr>
        <w:t>8</w:t>
      </w:r>
      <w:r w:rsidR="00F224D8" w:rsidRPr="00F224D8">
        <w:rPr>
          <w:lang w:val="fr-FR"/>
        </w:rPr>
        <w:t>.</w:t>
      </w:r>
      <w:r>
        <w:rPr>
          <w:lang w:val="fr-FR"/>
        </w:rPr>
        <w:t>9</w:t>
      </w:r>
      <w:r>
        <w:rPr>
          <w:lang w:val="fr-FR"/>
        </w:rPr>
        <w:tab/>
      </w:r>
      <w:r w:rsidRPr="008A09E4">
        <w:rPr>
          <w:lang w:val="fr-FR"/>
        </w:rPr>
        <w:t>Le Comité note que l</w:t>
      </w:r>
      <w:r>
        <w:rPr>
          <w:lang w:val="fr-FR"/>
        </w:rPr>
        <w:t>’</w:t>
      </w:r>
      <w:r w:rsidRPr="008A09E4">
        <w:rPr>
          <w:lang w:val="fr-FR"/>
        </w:rPr>
        <w:t>auteur affirme qu</w:t>
      </w:r>
      <w:r>
        <w:rPr>
          <w:lang w:val="fr-FR"/>
        </w:rPr>
        <w:t>’</w:t>
      </w:r>
      <w:r w:rsidRPr="008A09E4">
        <w:rPr>
          <w:lang w:val="fr-FR"/>
        </w:rPr>
        <w:t>il n</w:t>
      </w:r>
      <w:r>
        <w:rPr>
          <w:lang w:val="fr-FR"/>
        </w:rPr>
        <w:t>’</w:t>
      </w:r>
      <w:r w:rsidRPr="008A09E4">
        <w:rPr>
          <w:lang w:val="fr-FR"/>
        </w:rPr>
        <w:t>a pas été informé du motif de son arrestation le 25 janvier 2011, que son placement en détention ne reposait sur aucun fondement puisqu</w:t>
      </w:r>
      <w:r>
        <w:rPr>
          <w:lang w:val="fr-FR"/>
        </w:rPr>
        <w:t>’</w:t>
      </w:r>
      <w:r w:rsidRPr="008A09E4">
        <w:rPr>
          <w:lang w:val="fr-FR"/>
        </w:rPr>
        <w:t>il n</w:t>
      </w:r>
      <w:r>
        <w:rPr>
          <w:lang w:val="fr-FR"/>
        </w:rPr>
        <w:t>’</w:t>
      </w:r>
      <w:r w:rsidRPr="008A09E4">
        <w:rPr>
          <w:lang w:val="fr-FR"/>
        </w:rPr>
        <w:t>existait aucun élément prouvant qu</w:t>
      </w:r>
      <w:r>
        <w:rPr>
          <w:lang w:val="fr-FR"/>
        </w:rPr>
        <w:t>’</w:t>
      </w:r>
      <w:r w:rsidRPr="008A09E4">
        <w:rPr>
          <w:lang w:val="fr-FR"/>
        </w:rPr>
        <w:t>il pouvait s</w:t>
      </w:r>
      <w:r>
        <w:rPr>
          <w:lang w:val="fr-FR"/>
        </w:rPr>
        <w:t>’</w:t>
      </w:r>
      <w:r w:rsidRPr="008A09E4">
        <w:rPr>
          <w:lang w:val="fr-FR"/>
        </w:rPr>
        <w:t>enfuir ou entraver le cours de la justice, et que les décisions relatives au prolongement de sa détention n</w:t>
      </w:r>
      <w:r>
        <w:rPr>
          <w:lang w:val="fr-FR"/>
        </w:rPr>
        <w:t>’</w:t>
      </w:r>
      <w:r w:rsidRPr="008A09E4">
        <w:rPr>
          <w:lang w:val="fr-FR"/>
        </w:rPr>
        <w:t>étaient pas suffisamment motivées</w:t>
      </w:r>
      <w:r w:rsidR="00F224D8" w:rsidRPr="00F224D8">
        <w:rPr>
          <w:lang w:val="fr-FR"/>
        </w:rPr>
        <w:t>.</w:t>
      </w:r>
      <w:r w:rsidRPr="008A09E4">
        <w:rPr>
          <w:lang w:val="fr-FR"/>
        </w:rPr>
        <w:t xml:space="preserve"> Il note en outre que l</w:t>
      </w:r>
      <w:r>
        <w:rPr>
          <w:lang w:val="fr-FR"/>
        </w:rPr>
        <w:t>’</w:t>
      </w:r>
      <w:r w:rsidRPr="008A09E4">
        <w:rPr>
          <w:lang w:val="fr-FR"/>
        </w:rPr>
        <w:t>auteur affirme avoir porté ces griefs à l</w:t>
      </w:r>
      <w:r>
        <w:rPr>
          <w:lang w:val="fr-FR"/>
        </w:rPr>
        <w:t>’</w:t>
      </w:r>
      <w:r w:rsidRPr="008A09E4">
        <w:rPr>
          <w:lang w:val="fr-FR"/>
        </w:rPr>
        <w:t>attention des autorités et juridictions compétentes de l</w:t>
      </w:r>
      <w:r>
        <w:rPr>
          <w:lang w:val="fr-FR"/>
        </w:rPr>
        <w:t>’</w:t>
      </w:r>
      <w:r w:rsidRPr="008A09E4">
        <w:rPr>
          <w:lang w:val="fr-FR"/>
        </w:rPr>
        <w:t>État partie mais qu</w:t>
      </w:r>
      <w:r>
        <w:rPr>
          <w:lang w:val="fr-FR"/>
        </w:rPr>
        <w:t>’</w:t>
      </w:r>
      <w:r w:rsidRPr="008A09E4">
        <w:rPr>
          <w:lang w:val="fr-FR"/>
        </w:rPr>
        <w:t>ils ont été rejetés de façon sommaire</w:t>
      </w:r>
      <w:r w:rsidR="00F224D8" w:rsidRPr="00F224D8">
        <w:rPr>
          <w:lang w:val="fr-FR"/>
        </w:rPr>
        <w:t>.</w:t>
      </w:r>
      <w:r w:rsidRPr="008A09E4">
        <w:rPr>
          <w:lang w:val="fr-FR"/>
        </w:rPr>
        <w:t xml:space="preserve"> </w:t>
      </w:r>
      <w:r w:rsidRPr="008A09E4">
        <w:t>Le Comité rappelle à cet égard que l</w:t>
      </w:r>
      <w:r>
        <w:t>’</w:t>
      </w:r>
      <w:r w:rsidRPr="008A09E4">
        <w:t>adjectif «</w:t>
      </w:r>
      <w:r>
        <w:t> </w:t>
      </w:r>
      <w:r w:rsidRPr="008A09E4">
        <w:t>arbitraire</w:t>
      </w:r>
      <w:r>
        <w:t> </w:t>
      </w:r>
      <w:r w:rsidRPr="008A09E4">
        <w:t>» n</w:t>
      </w:r>
      <w:r>
        <w:t>’</w:t>
      </w:r>
      <w:r w:rsidRPr="008A09E4">
        <w:t>est pas synonyme de « contraire à la loi » et qu</w:t>
      </w:r>
      <w:r>
        <w:t>’</w:t>
      </w:r>
      <w:r w:rsidRPr="008A09E4">
        <w:t>il doit recevoir une interprétation plus large, intégrant le caractère inapproprié, l</w:t>
      </w:r>
      <w:r>
        <w:t>’</w:t>
      </w:r>
      <w:r w:rsidRPr="008A09E4">
        <w:t>injustice, le manque de prévisibilité et le non</w:t>
      </w:r>
      <w:r>
        <w:noBreakHyphen/>
      </w:r>
      <w:r w:rsidRPr="008A09E4">
        <w:t>respect des garanties judiciaires, ainsi que les principes du caractère raisonnable, de la nécessité et de la proportionnalité</w:t>
      </w:r>
      <w:r w:rsidRPr="00E44C92">
        <w:rPr>
          <w:rStyle w:val="Appelnotedebasdep"/>
        </w:rPr>
        <w:footnoteReference w:id="21"/>
      </w:r>
      <w:r w:rsidR="00F224D8" w:rsidRPr="00F224D8">
        <w:t>.</w:t>
      </w:r>
      <w:r w:rsidRPr="008A09E4">
        <w:t xml:space="preserve"> Cela signifie notamment que le placement en détention provisoire dans une affaire pénale doit être une mesure raisonnable et nécessaire en toutes circonstances, </w:t>
      </w:r>
      <w:r w:rsidRPr="008A09E4">
        <w:rPr>
          <w:lang w:val="fr-FR"/>
        </w:rPr>
        <w:t>par exemple pour éviter que l</w:t>
      </w:r>
      <w:r>
        <w:rPr>
          <w:lang w:val="fr-FR"/>
        </w:rPr>
        <w:t>’</w:t>
      </w:r>
      <w:r w:rsidRPr="008A09E4">
        <w:rPr>
          <w:lang w:val="fr-FR"/>
        </w:rPr>
        <w:t>intéressé ne prenne la fuite, ne modifie des preuves ou ne commette une nouvelle infraction</w:t>
      </w:r>
      <w:r w:rsidRPr="00E44C92">
        <w:rPr>
          <w:rStyle w:val="Appelnotedebasdep"/>
        </w:rPr>
        <w:footnoteReference w:id="22"/>
      </w:r>
      <w:r w:rsidR="00F224D8" w:rsidRPr="00F224D8">
        <w:t>.</w:t>
      </w:r>
      <w:r w:rsidRPr="008A09E4">
        <w:t xml:space="preserve"> L</w:t>
      </w:r>
      <w:r>
        <w:t>’</w:t>
      </w:r>
      <w:r w:rsidRPr="008A09E4">
        <w:t>État partie n</w:t>
      </w:r>
      <w:r>
        <w:t>’</w:t>
      </w:r>
      <w:r w:rsidRPr="008A09E4">
        <w:t>a pas démontré que ces risques existaient en l</w:t>
      </w:r>
      <w:r>
        <w:t>’</w:t>
      </w:r>
      <w:r w:rsidRPr="008A09E4">
        <w:t>espèce</w:t>
      </w:r>
      <w:r w:rsidR="00F224D8" w:rsidRPr="00F224D8">
        <w:t>.</w:t>
      </w:r>
      <w:r w:rsidRPr="008A09E4">
        <w:t xml:space="preserve"> En l</w:t>
      </w:r>
      <w:r>
        <w:t>’</w:t>
      </w:r>
      <w:r w:rsidRPr="008A09E4">
        <w:t>absence de toute autre information, le Comité conclut donc qu</w:t>
      </w:r>
      <w:r>
        <w:t>’</w:t>
      </w:r>
      <w:r w:rsidRPr="008A09E4">
        <w:t>il y a eu violation du paragraphe 1 de l</w:t>
      </w:r>
      <w:r>
        <w:t>’</w:t>
      </w:r>
      <w:r w:rsidRPr="008A09E4">
        <w:t>article 9 du Pacte</w:t>
      </w:r>
      <w:r w:rsidR="00F224D8" w:rsidRPr="00F224D8">
        <w:t>.</w:t>
      </w:r>
    </w:p>
    <w:p w14:paraId="1303AB2E" w14:textId="77777777" w:rsidR="00E44C92" w:rsidRPr="008A09E4" w:rsidRDefault="00E44C92" w:rsidP="009E5281">
      <w:pPr>
        <w:pStyle w:val="SingleTxtG"/>
        <w:keepNext/>
        <w:keepLines/>
        <w:rPr>
          <w:lang w:val="fr-FR"/>
        </w:rPr>
      </w:pPr>
      <w:r w:rsidRPr="008A09E4">
        <w:rPr>
          <w:lang w:val="fr-FR"/>
        </w:rPr>
        <w:lastRenderedPageBreak/>
        <w:t>8</w:t>
      </w:r>
      <w:r w:rsidR="00F224D8" w:rsidRPr="00F224D8">
        <w:rPr>
          <w:lang w:val="fr-FR"/>
        </w:rPr>
        <w:t>.</w:t>
      </w:r>
      <w:r>
        <w:rPr>
          <w:lang w:val="fr-FR"/>
        </w:rPr>
        <w:t>10</w:t>
      </w:r>
      <w:r w:rsidRPr="008A09E4">
        <w:rPr>
          <w:lang w:val="fr-FR"/>
        </w:rPr>
        <w:tab/>
        <w:t>Le Comité prend note des allégations de l</w:t>
      </w:r>
      <w:r>
        <w:rPr>
          <w:lang w:val="fr-FR"/>
        </w:rPr>
        <w:t>’</w:t>
      </w:r>
      <w:r w:rsidRPr="008A09E4">
        <w:rPr>
          <w:lang w:val="fr-FR"/>
        </w:rPr>
        <w:t xml:space="preserve">auteur selon lesquelles son arrestation a été validée par un procureur, </w:t>
      </w:r>
      <w:r w:rsidRPr="008A09E4">
        <w:t>qui n</w:t>
      </w:r>
      <w:r>
        <w:t>’était</w:t>
      </w:r>
      <w:r w:rsidRPr="008A09E4">
        <w:t xml:space="preserve"> pas habilité par la loi à exercer des fonctions judiciaires, contrairement à ce qu</w:t>
      </w:r>
      <w:r>
        <w:t>’</w:t>
      </w:r>
      <w:r w:rsidRPr="008A09E4">
        <w:t>exige le paragraphe 3 de l</w:t>
      </w:r>
      <w:r>
        <w:t>’</w:t>
      </w:r>
      <w:r w:rsidRPr="008A09E4">
        <w:t>article 9 du Pacte</w:t>
      </w:r>
      <w:r w:rsidR="00F224D8" w:rsidRPr="00F224D8">
        <w:t>.</w:t>
      </w:r>
      <w:r w:rsidRPr="008A09E4">
        <w:t xml:space="preserve"> Il rappelle que cette disposition donne à une personne inculpée d</w:t>
      </w:r>
      <w:r>
        <w:t>’</w:t>
      </w:r>
      <w:r w:rsidRPr="008A09E4">
        <w:t>une infraction pénale placée en détention le droit à un contrôle judiciaire de sa privation de liberté</w:t>
      </w:r>
      <w:r w:rsidR="00F224D8" w:rsidRPr="00F224D8">
        <w:t>.</w:t>
      </w:r>
      <w:r w:rsidRPr="008A09E4">
        <w:t xml:space="preserve"> Il est inhérent au bon exercice du pouvoir judiciaire que ce contrôle soit assuré par une autorité indépendante, objective et impartiale par rapport aux questions à traiter</w:t>
      </w:r>
      <w:r w:rsidRPr="00E44C92">
        <w:rPr>
          <w:rStyle w:val="Appelnotedebasdep"/>
        </w:rPr>
        <w:footnoteReference w:id="23"/>
      </w:r>
      <w:r w:rsidR="00F224D8" w:rsidRPr="00F224D8">
        <w:t>.</w:t>
      </w:r>
      <w:r w:rsidRPr="008A09E4">
        <w:t xml:space="preserve"> Le Comité n</w:t>
      </w:r>
      <w:r>
        <w:t>’</w:t>
      </w:r>
      <w:r w:rsidRPr="008A09E4">
        <w:t>est donc pas convaincu que le procureur puisse être considéré comme ayant l</w:t>
      </w:r>
      <w:r>
        <w:t>’</w:t>
      </w:r>
      <w:r w:rsidRPr="008A09E4">
        <w:t>objectivité et l</w:t>
      </w:r>
      <w:r>
        <w:t>’</w:t>
      </w:r>
      <w:r w:rsidRPr="008A09E4">
        <w:t>impartialité institutionnelles nécessaires pour être qualifié d</w:t>
      </w:r>
      <w:r>
        <w:t>’</w:t>
      </w:r>
      <w:r w:rsidRPr="008A09E4">
        <w:t>autorité habilitée par la loi à exercer des fonctions judiciaires au sens du paragraphe 3 de l</w:t>
      </w:r>
      <w:r>
        <w:t>’</w:t>
      </w:r>
      <w:r w:rsidRPr="008A09E4">
        <w:t>article 9 du Pacte</w:t>
      </w:r>
      <w:r w:rsidRPr="00E44C92">
        <w:rPr>
          <w:rStyle w:val="Appelnotedebasdep"/>
        </w:rPr>
        <w:footnoteReference w:id="24"/>
      </w:r>
      <w:r w:rsidRPr="008A09E4">
        <w:t>, et il conclut que les faits tels que présentés font apparaître une violation des droits que l</w:t>
      </w:r>
      <w:r>
        <w:t>’</w:t>
      </w:r>
      <w:r w:rsidRPr="008A09E4">
        <w:t>auteur tient du paragraphe 3 de l</w:t>
      </w:r>
      <w:r>
        <w:t>’</w:t>
      </w:r>
      <w:r w:rsidRPr="008A09E4">
        <w:t>article 9</w:t>
      </w:r>
      <w:r w:rsidR="00F224D8" w:rsidRPr="00F224D8">
        <w:t>.</w:t>
      </w:r>
      <w:r w:rsidRPr="008A09E4">
        <w:t xml:space="preserve"> Partant de cette constatation, le Comité décide de ne pas examiner séparément les griefs que l</w:t>
      </w:r>
      <w:r>
        <w:t>’</w:t>
      </w:r>
      <w:r w:rsidRPr="008A09E4">
        <w:t>auteur tire du paragraphe 4 de l</w:t>
      </w:r>
      <w:r>
        <w:t>’</w:t>
      </w:r>
      <w:r w:rsidRPr="008A09E4">
        <w:t>article 9 du Pacte</w:t>
      </w:r>
      <w:r w:rsidR="00F224D8" w:rsidRPr="00F224D8">
        <w:t>.</w:t>
      </w:r>
    </w:p>
    <w:p w14:paraId="0ECACE58" w14:textId="77777777" w:rsidR="00E44C92" w:rsidRPr="008A09E4" w:rsidRDefault="00E44C92" w:rsidP="00E44C92">
      <w:pPr>
        <w:pStyle w:val="SingleTxtG"/>
        <w:rPr>
          <w:lang w:val="fr-FR"/>
        </w:rPr>
      </w:pPr>
      <w:r w:rsidRPr="008A09E4">
        <w:rPr>
          <w:lang w:val="fr-FR"/>
        </w:rPr>
        <w:t>8</w:t>
      </w:r>
      <w:r w:rsidR="00F224D8" w:rsidRPr="00F224D8">
        <w:rPr>
          <w:lang w:val="fr-FR"/>
        </w:rPr>
        <w:t>.</w:t>
      </w:r>
      <w:r>
        <w:rPr>
          <w:lang w:val="fr-FR"/>
        </w:rPr>
        <w:t>11</w:t>
      </w:r>
      <w:r w:rsidRPr="008A09E4">
        <w:rPr>
          <w:lang w:val="fr-FR"/>
        </w:rPr>
        <w:tab/>
        <w:t>Le Comité note en outre que l</w:t>
      </w:r>
      <w:r>
        <w:rPr>
          <w:lang w:val="fr-FR"/>
        </w:rPr>
        <w:t>’</w:t>
      </w:r>
      <w:r w:rsidRPr="008A09E4">
        <w:rPr>
          <w:lang w:val="fr-FR"/>
        </w:rPr>
        <w:t>auteur soutient qu</w:t>
      </w:r>
      <w:r>
        <w:rPr>
          <w:lang w:val="fr-FR"/>
        </w:rPr>
        <w:t>’</w:t>
      </w:r>
      <w:r w:rsidRPr="008A09E4">
        <w:rPr>
          <w:lang w:val="fr-FR"/>
        </w:rPr>
        <w:t>il s</w:t>
      </w:r>
      <w:r>
        <w:rPr>
          <w:lang w:val="fr-FR"/>
        </w:rPr>
        <w:t>’</w:t>
      </w:r>
      <w:r w:rsidRPr="008A09E4">
        <w:rPr>
          <w:lang w:val="fr-FR"/>
        </w:rPr>
        <w:t>est vu refuser un procès public et équitable devant un tribunal indépendant et impartial, en violation du paragraphe 1 de l</w:t>
      </w:r>
      <w:r>
        <w:rPr>
          <w:lang w:val="fr-FR"/>
        </w:rPr>
        <w:t>’</w:t>
      </w:r>
      <w:r w:rsidRPr="008A09E4">
        <w:rPr>
          <w:lang w:val="fr-FR"/>
        </w:rPr>
        <w:t>article 14 du Pacte, et que les autorités n</w:t>
      </w:r>
      <w:r>
        <w:rPr>
          <w:lang w:val="fr-FR"/>
        </w:rPr>
        <w:t>’</w:t>
      </w:r>
      <w:r w:rsidRPr="008A09E4">
        <w:rPr>
          <w:lang w:val="fr-FR"/>
        </w:rPr>
        <w:t>ont pas respecté son droit d</w:t>
      </w:r>
      <w:r>
        <w:rPr>
          <w:lang w:val="fr-FR"/>
        </w:rPr>
        <w:t>’</w:t>
      </w:r>
      <w:r w:rsidRPr="008A09E4">
        <w:rPr>
          <w:lang w:val="fr-FR"/>
        </w:rPr>
        <w:t>être présumé innocent jusqu</w:t>
      </w:r>
      <w:r>
        <w:rPr>
          <w:lang w:val="fr-FR"/>
        </w:rPr>
        <w:t>’</w:t>
      </w:r>
      <w:r w:rsidRPr="008A09E4">
        <w:rPr>
          <w:lang w:val="fr-FR"/>
        </w:rPr>
        <w:t>à ce que sa culpabilité ait été légalement établie, en violation du paragraphe 2 de l</w:t>
      </w:r>
      <w:r>
        <w:rPr>
          <w:lang w:val="fr-FR"/>
        </w:rPr>
        <w:t>’</w:t>
      </w:r>
      <w:r w:rsidRPr="008A09E4">
        <w:rPr>
          <w:lang w:val="fr-FR"/>
        </w:rPr>
        <w:t>article 14</w:t>
      </w:r>
      <w:r w:rsidR="00F224D8" w:rsidRPr="00F224D8">
        <w:rPr>
          <w:lang w:val="fr-FR"/>
        </w:rPr>
        <w:t>.</w:t>
      </w:r>
      <w:r w:rsidRPr="008A09E4">
        <w:rPr>
          <w:lang w:val="fr-FR"/>
        </w:rPr>
        <w:t xml:space="preserve"> Il note également que l</w:t>
      </w:r>
      <w:r>
        <w:rPr>
          <w:lang w:val="fr-FR"/>
        </w:rPr>
        <w:t>’</w:t>
      </w:r>
      <w:r w:rsidRPr="008A09E4">
        <w:rPr>
          <w:lang w:val="fr-FR"/>
        </w:rPr>
        <w:t>auteur affirme que son procès n</w:t>
      </w:r>
      <w:r>
        <w:rPr>
          <w:lang w:val="fr-FR"/>
        </w:rPr>
        <w:t>’</w:t>
      </w:r>
      <w:r w:rsidRPr="008A09E4">
        <w:rPr>
          <w:lang w:val="fr-FR"/>
        </w:rPr>
        <w:t>était pas public puisque sa mère, son oncle, les journalistes et les défenseurs des droits de l</w:t>
      </w:r>
      <w:r>
        <w:rPr>
          <w:lang w:val="fr-FR"/>
        </w:rPr>
        <w:t>’</w:t>
      </w:r>
      <w:r w:rsidRPr="008A09E4">
        <w:rPr>
          <w:lang w:val="fr-FR"/>
        </w:rPr>
        <w:t>homme n</w:t>
      </w:r>
      <w:r>
        <w:rPr>
          <w:lang w:val="fr-FR"/>
        </w:rPr>
        <w:t>’</w:t>
      </w:r>
      <w:r w:rsidRPr="008A09E4">
        <w:rPr>
          <w:lang w:val="fr-FR"/>
        </w:rPr>
        <w:t>ont pas été autorisés à assister à plusieurs audiences</w:t>
      </w:r>
      <w:r w:rsidR="00F224D8" w:rsidRPr="00F224D8">
        <w:rPr>
          <w:lang w:val="fr-FR"/>
        </w:rPr>
        <w:t>.</w:t>
      </w:r>
      <w:r w:rsidRPr="008A09E4">
        <w:rPr>
          <w:lang w:val="fr-FR"/>
        </w:rPr>
        <w:t xml:space="preserve"> Il note enfin que l</w:t>
      </w:r>
      <w:r>
        <w:rPr>
          <w:lang w:val="fr-FR"/>
        </w:rPr>
        <w:t>’</w:t>
      </w:r>
      <w:r w:rsidRPr="008A09E4">
        <w:rPr>
          <w:lang w:val="fr-FR"/>
        </w:rPr>
        <w:t>auteur affirme qu</w:t>
      </w:r>
      <w:r>
        <w:rPr>
          <w:lang w:val="fr-FR"/>
        </w:rPr>
        <w:t>’</w:t>
      </w:r>
      <w:r w:rsidRPr="008A09E4">
        <w:rPr>
          <w:lang w:val="fr-FR"/>
        </w:rPr>
        <w:t>avant le début du procès, le Président du Bélarus, le Ministre de l</w:t>
      </w:r>
      <w:r>
        <w:rPr>
          <w:lang w:val="fr-FR"/>
        </w:rPr>
        <w:t>’</w:t>
      </w:r>
      <w:r w:rsidRPr="008A09E4">
        <w:rPr>
          <w:lang w:val="fr-FR"/>
        </w:rPr>
        <w:t>intérieur, le Ministre de la justice et un juge de la Cour suprême ont tous déclaré à plusieurs reprises que les événements du 19 décembre 2010 devaient être qualifiés d</w:t>
      </w:r>
      <w:r>
        <w:rPr>
          <w:lang w:val="fr-FR"/>
        </w:rPr>
        <w:t>’</w:t>
      </w:r>
      <w:r w:rsidRPr="008A09E4">
        <w:rPr>
          <w:lang w:val="fr-FR"/>
        </w:rPr>
        <w:t xml:space="preserve">émeutes et que toutes les personnes arrêtées, </w:t>
      </w:r>
      <w:r>
        <w:rPr>
          <w:lang w:val="fr-FR"/>
        </w:rPr>
        <w:t xml:space="preserve">dont </w:t>
      </w:r>
      <w:r w:rsidRPr="008A09E4">
        <w:rPr>
          <w:lang w:val="fr-FR"/>
        </w:rPr>
        <w:t>l</w:t>
      </w:r>
      <w:r>
        <w:rPr>
          <w:lang w:val="fr-FR"/>
        </w:rPr>
        <w:t>’</w:t>
      </w:r>
      <w:r w:rsidRPr="008A09E4">
        <w:rPr>
          <w:lang w:val="fr-FR"/>
        </w:rPr>
        <w:t>auteur</w:t>
      </w:r>
      <w:r>
        <w:rPr>
          <w:lang w:val="fr-FR"/>
        </w:rPr>
        <w:t xml:space="preserve"> faisait partie et</w:t>
      </w:r>
      <w:r w:rsidRPr="008A09E4">
        <w:rPr>
          <w:lang w:val="fr-FR"/>
        </w:rPr>
        <w:t xml:space="preserve"> qui </w:t>
      </w:r>
      <w:r>
        <w:rPr>
          <w:lang w:val="fr-FR"/>
        </w:rPr>
        <w:t xml:space="preserve">ont </w:t>
      </w:r>
      <w:r w:rsidRPr="008A09E4">
        <w:rPr>
          <w:lang w:val="fr-FR"/>
        </w:rPr>
        <w:t>passé l</w:t>
      </w:r>
      <w:r>
        <w:rPr>
          <w:lang w:val="fr-FR"/>
        </w:rPr>
        <w:t>’</w:t>
      </w:r>
      <w:r w:rsidRPr="008A09E4">
        <w:rPr>
          <w:lang w:val="fr-FR"/>
        </w:rPr>
        <w:t>intégralité du procès menotté</w:t>
      </w:r>
      <w:r>
        <w:rPr>
          <w:lang w:val="fr-FR"/>
        </w:rPr>
        <w:t>s</w:t>
      </w:r>
      <w:r w:rsidRPr="008A09E4">
        <w:rPr>
          <w:lang w:val="fr-FR"/>
        </w:rPr>
        <w:t xml:space="preserve"> dans une cage métallique</w:t>
      </w:r>
      <w:r>
        <w:rPr>
          <w:lang w:val="fr-FR"/>
        </w:rPr>
        <w:t>, étaient coupables</w:t>
      </w:r>
      <w:r w:rsidR="00F224D8" w:rsidRPr="00F224D8">
        <w:rPr>
          <w:lang w:val="fr-FR"/>
        </w:rPr>
        <w:t>.</w:t>
      </w:r>
      <w:r w:rsidRPr="008A09E4">
        <w:rPr>
          <w:lang w:val="fr-FR"/>
        </w:rPr>
        <w:t xml:space="preserve"> En l</w:t>
      </w:r>
      <w:r>
        <w:rPr>
          <w:lang w:val="fr-FR"/>
        </w:rPr>
        <w:t>’</w:t>
      </w:r>
      <w:r w:rsidRPr="008A09E4">
        <w:rPr>
          <w:lang w:val="fr-FR"/>
        </w:rPr>
        <w:t>absence d</w:t>
      </w:r>
      <w:r>
        <w:rPr>
          <w:lang w:val="fr-FR"/>
        </w:rPr>
        <w:t>’</w:t>
      </w:r>
      <w:r w:rsidRPr="008A09E4">
        <w:rPr>
          <w:lang w:val="fr-FR"/>
        </w:rPr>
        <w:t>observations contraires de l</w:t>
      </w:r>
      <w:r>
        <w:rPr>
          <w:lang w:val="fr-FR"/>
        </w:rPr>
        <w:t>’</w:t>
      </w:r>
      <w:r w:rsidRPr="008A09E4">
        <w:rPr>
          <w:lang w:val="fr-FR"/>
        </w:rPr>
        <w:t>État partie, le Comité considère qu</w:t>
      </w:r>
      <w:r>
        <w:rPr>
          <w:lang w:val="fr-FR"/>
        </w:rPr>
        <w:t>’</w:t>
      </w:r>
      <w:r w:rsidRPr="008A09E4">
        <w:rPr>
          <w:lang w:val="fr-FR"/>
        </w:rPr>
        <w:t>il convient d</w:t>
      </w:r>
      <w:r>
        <w:rPr>
          <w:lang w:val="fr-FR"/>
        </w:rPr>
        <w:t>’</w:t>
      </w:r>
      <w:r w:rsidRPr="008A09E4">
        <w:rPr>
          <w:lang w:val="fr-FR"/>
        </w:rPr>
        <w:t>accorder le poids voulu aux allégations de l</w:t>
      </w:r>
      <w:r>
        <w:rPr>
          <w:lang w:val="fr-FR"/>
        </w:rPr>
        <w:t>’</w:t>
      </w:r>
      <w:r w:rsidRPr="008A09E4">
        <w:rPr>
          <w:lang w:val="fr-FR"/>
        </w:rPr>
        <w:t>auteur</w:t>
      </w:r>
      <w:r w:rsidR="00F224D8" w:rsidRPr="00F224D8">
        <w:rPr>
          <w:lang w:val="fr-FR"/>
        </w:rPr>
        <w:t>.</w:t>
      </w:r>
      <w:r w:rsidRPr="008A09E4">
        <w:rPr>
          <w:lang w:val="fr-FR"/>
        </w:rPr>
        <w:t xml:space="preserve"> Par conséquent, il conclut que les faits dont il est saisi constituent une violation des paragraphes 1 et 2 de l</w:t>
      </w:r>
      <w:r>
        <w:rPr>
          <w:lang w:val="fr-FR"/>
        </w:rPr>
        <w:t>’</w:t>
      </w:r>
      <w:r w:rsidRPr="008A09E4">
        <w:rPr>
          <w:lang w:val="fr-FR"/>
        </w:rPr>
        <w:t>article 14 du Pacte</w:t>
      </w:r>
      <w:r w:rsidR="00F224D8" w:rsidRPr="00F224D8">
        <w:rPr>
          <w:lang w:val="fr-FR"/>
        </w:rPr>
        <w:t>.</w:t>
      </w:r>
    </w:p>
    <w:p w14:paraId="155AB627" w14:textId="77777777" w:rsidR="00E44C92" w:rsidRPr="008A09E4" w:rsidRDefault="00E44C92" w:rsidP="00E44C92">
      <w:pPr>
        <w:pStyle w:val="SingleTxtG"/>
        <w:rPr>
          <w:lang w:val="fr-FR"/>
        </w:rPr>
      </w:pPr>
      <w:r w:rsidRPr="008A09E4">
        <w:rPr>
          <w:lang w:val="fr-FR"/>
        </w:rPr>
        <w:t>8</w:t>
      </w:r>
      <w:r w:rsidR="00F224D8" w:rsidRPr="00F224D8">
        <w:rPr>
          <w:lang w:val="fr-FR"/>
        </w:rPr>
        <w:t>.</w:t>
      </w:r>
      <w:r>
        <w:rPr>
          <w:lang w:val="fr-FR"/>
        </w:rPr>
        <w:t>12</w:t>
      </w:r>
      <w:r w:rsidRPr="008A09E4">
        <w:rPr>
          <w:lang w:val="fr-FR"/>
        </w:rPr>
        <w:tab/>
        <w:t>Enfin, le Comité prend note des allégations de l</w:t>
      </w:r>
      <w:r>
        <w:rPr>
          <w:lang w:val="fr-FR"/>
        </w:rPr>
        <w:t>’</w:t>
      </w:r>
      <w:r w:rsidRPr="008A09E4">
        <w:rPr>
          <w:lang w:val="fr-FR"/>
        </w:rPr>
        <w:t>auteur selon lesquelles les droits qu</w:t>
      </w:r>
      <w:r>
        <w:rPr>
          <w:lang w:val="fr-FR"/>
        </w:rPr>
        <w:t>’</w:t>
      </w:r>
      <w:r w:rsidRPr="008A09E4">
        <w:rPr>
          <w:lang w:val="fr-FR"/>
        </w:rPr>
        <w:t>il tient du paragraphe 3 d) de l</w:t>
      </w:r>
      <w:r>
        <w:rPr>
          <w:lang w:val="fr-FR"/>
        </w:rPr>
        <w:t>’</w:t>
      </w:r>
      <w:r w:rsidRPr="008A09E4">
        <w:rPr>
          <w:lang w:val="fr-FR"/>
        </w:rPr>
        <w:t>article 14 du Pacte ont été violés au cours de l</w:t>
      </w:r>
      <w:r>
        <w:rPr>
          <w:lang w:val="fr-FR"/>
        </w:rPr>
        <w:t>’</w:t>
      </w:r>
      <w:r w:rsidRPr="008A09E4">
        <w:rPr>
          <w:lang w:val="fr-FR"/>
        </w:rPr>
        <w:t>examen en cassation</w:t>
      </w:r>
      <w:r w:rsidR="00F224D8" w:rsidRPr="00F224D8">
        <w:rPr>
          <w:lang w:val="fr-FR"/>
        </w:rPr>
        <w:t>.</w:t>
      </w:r>
      <w:r w:rsidRPr="008A09E4">
        <w:rPr>
          <w:lang w:val="fr-FR"/>
        </w:rPr>
        <w:t xml:space="preserve"> L</w:t>
      </w:r>
      <w:r>
        <w:rPr>
          <w:lang w:val="fr-FR"/>
        </w:rPr>
        <w:t>’</w:t>
      </w:r>
      <w:r w:rsidRPr="008A09E4">
        <w:rPr>
          <w:lang w:val="fr-FR"/>
        </w:rPr>
        <w:t>État partie n</w:t>
      </w:r>
      <w:r>
        <w:rPr>
          <w:lang w:val="fr-FR"/>
        </w:rPr>
        <w:t>’</w:t>
      </w:r>
      <w:r w:rsidRPr="008A09E4">
        <w:rPr>
          <w:lang w:val="fr-FR"/>
        </w:rPr>
        <w:t>a présenté aucune observation particulière pour cette partie de la communication</w:t>
      </w:r>
      <w:r w:rsidR="00F224D8" w:rsidRPr="00F224D8">
        <w:rPr>
          <w:lang w:val="fr-FR"/>
        </w:rPr>
        <w:t>.</w:t>
      </w:r>
      <w:r w:rsidRPr="008A09E4">
        <w:rPr>
          <w:lang w:val="fr-FR"/>
        </w:rPr>
        <w:t xml:space="preserve"> </w:t>
      </w:r>
      <w:r w:rsidRPr="008A09E4">
        <w:t>Le Comité estime que le paragraphe 3 d) de l</w:t>
      </w:r>
      <w:r>
        <w:t>’</w:t>
      </w:r>
      <w:r w:rsidRPr="008A09E4">
        <w:t>article 14 du Pacte, qui confère à l</w:t>
      </w:r>
      <w:r>
        <w:t>’</w:t>
      </w:r>
      <w:r w:rsidRPr="008A09E4">
        <w:t>accusé le droit d</w:t>
      </w:r>
      <w:r>
        <w:t>’</w:t>
      </w:r>
      <w:r w:rsidRPr="008A09E4">
        <w:t>être présent à son procès, est applicable en l</w:t>
      </w:r>
      <w:r>
        <w:t>’</w:t>
      </w:r>
      <w:r w:rsidRPr="008A09E4">
        <w:t>espèce car la juridiction saisie s</w:t>
      </w:r>
      <w:r>
        <w:t>’</w:t>
      </w:r>
      <w:r w:rsidRPr="008A09E4">
        <w:t>est penchée sur les éléments de fait et de droit de l</w:t>
      </w:r>
      <w:r>
        <w:t>’</w:t>
      </w:r>
      <w:r w:rsidRPr="008A09E4">
        <w:t>affaire et a réexaminé la question de la culpabilité ou de l</w:t>
      </w:r>
      <w:r>
        <w:t>’</w:t>
      </w:r>
      <w:r w:rsidRPr="008A09E4">
        <w:t>innocence de l</w:t>
      </w:r>
      <w:r>
        <w:t>’</w:t>
      </w:r>
      <w:r w:rsidRPr="008A09E4">
        <w:t>intéressé</w:t>
      </w:r>
      <w:r w:rsidRPr="00E44C92">
        <w:rPr>
          <w:rStyle w:val="Appelnotedebasdep"/>
        </w:rPr>
        <w:footnoteReference w:id="25"/>
      </w:r>
      <w:r w:rsidR="00F224D8" w:rsidRPr="00F224D8">
        <w:t>.</w:t>
      </w:r>
      <w:r w:rsidRPr="008A09E4">
        <w:t xml:space="preserve"> Il rappelle que, conformément à cette disposition, la personne accusée a le droit d</w:t>
      </w:r>
      <w:r>
        <w:t>’</w:t>
      </w:r>
      <w:r w:rsidRPr="008A09E4">
        <w:t xml:space="preserve">être présente à son procès et ne peut être jugée </w:t>
      </w:r>
      <w:r>
        <w:t>sans être présente</w:t>
      </w:r>
      <w:r w:rsidRPr="008A09E4">
        <w:t xml:space="preserve"> que lorsqu</w:t>
      </w:r>
      <w:r>
        <w:t>’</w:t>
      </w:r>
      <w:r w:rsidRPr="008A09E4">
        <w:t>il en va de la bonne administration de la justice, par exemple quand l</w:t>
      </w:r>
      <w:r>
        <w:t>’</w:t>
      </w:r>
      <w:r w:rsidRPr="008A09E4">
        <w:t>accusé, bien qu</w:t>
      </w:r>
      <w:r>
        <w:t>’</w:t>
      </w:r>
      <w:r w:rsidRPr="008A09E4">
        <w:t>informé du procès suffisamment à l</w:t>
      </w:r>
      <w:r>
        <w:t>’</w:t>
      </w:r>
      <w:r w:rsidRPr="008A09E4">
        <w:t>avance, refuse d</w:t>
      </w:r>
      <w:r>
        <w:t>’</w:t>
      </w:r>
      <w:r w:rsidRPr="008A09E4">
        <w:t>exercer son droit d</w:t>
      </w:r>
      <w:r>
        <w:t>’</w:t>
      </w:r>
      <w:r w:rsidRPr="008A09E4">
        <w:t>y être présent</w:t>
      </w:r>
      <w:r w:rsidRPr="00E44C92">
        <w:rPr>
          <w:rStyle w:val="Appelnotedebasdep"/>
        </w:rPr>
        <w:footnoteReference w:id="26"/>
      </w:r>
      <w:r w:rsidR="00F224D8" w:rsidRPr="00F224D8">
        <w:t>.</w:t>
      </w:r>
      <w:r w:rsidRPr="008A09E4">
        <w:t xml:space="preserve"> En l</w:t>
      </w:r>
      <w:r>
        <w:t>’</w:t>
      </w:r>
      <w:r w:rsidRPr="008A09E4">
        <w:t>absence de toute autre information pertinente portée au dossier, le Comité conclut que les faits décrits par l</w:t>
      </w:r>
      <w:r>
        <w:t>’</w:t>
      </w:r>
      <w:r w:rsidRPr="008A09E4">
        <w:t>auteur font apparaître une violation du paragraphe 3 d) de l</w:t>
      </w:r>
      <w:r>
        <w:t>’</w:t>
      </w:r>
      <w:r w:rsidRPr="008A09E4">
        <w:t>article 14 du Pacte</w:t>
      </w:r>
      <w:r w:rsidR="00F224D8" w:rsidRPr="00F224D8">
        <w:t>.</w:t>
      </w:r>
    </w:p>
    <w:p w14:paraId="540AA1C6" w14:textId="77777777" w:rsidR="00E44C92" w:rsidRPr="008A09E4" w:rsidRDefault="00E44C92" w:rsidP="00E44C92">
      <w:pPr>
        <w:pStyle w:val="SingleTxtG"/>
        <w:rPr>
          <w:lang w:val="fr-FR"/>
        </w:rPr>
      </w:pPr>
      <w:r w:rsidRPr="008A09E4">
        <w:rPr>
          <w:lang w:val="fr-FR"/>
        </w:rPr>
        <w:t>8</w:t>
      </w:r>
      <w:r w:rsidR="00F224D8" w:rsidRPr="00F224D8">
        <w:rPr>
          <w:lang w:val="fr-FR"/>
        </w:rPr>
        <w:t>.</w:t>
      </w:r>
      <w:r>
        <w:rPr>
          <w:lang w:val="fr-FR"/>
        </w:rPr>
        <w:t>13</w:t>
      </w:r>
      <w:r w:rsidRPr="008A09E4">
        <w:rPr>
          <w:lang w:val="fr-FR"/>
        </w:rPr>
        <w:tab/>
        <w:t>Ayant conclu, en l</w:t>
      </w:r>
      <w:r>
        <w:rPr>
          <w:lang w:val="fr-FR"/>
        </w:rPr>
        <w:t>’</w:t>
      </w:r>
      <w:r w:rsidRPr="008A09E4">
        <w:rPr>
          <w:lang w:val="fr-FR"/>
        </w:rPr>
        <w:t>espèce, à une violation des paragraphes 1, 2 et 3 d) de l</w:t>
      </w:r>
      <w:r>
        <w:rPr>
          <w:lang w:val="fr-FR"/>
        </w:rPr>
        <w:t>’</w:t>
      </w:r>
      <w:r w:rsidRPr="008A09E4">
        <w:rPr>
          <w:lang w:val="fr-FR"/>
        </w:rPr>
        <w:t>article 14</w:t>
      </w:r>
      <w:r>
        <w:rPr>
          <w:lang w:val="fr-FR"/>
        </w:rPr>
        <w:t xml:space="preserve"> du Pacte</w:t>
      </w:r>
      <w:r w:rsidRPr="008A09E4">
        <w:rPr>
          <w:lang w:val="fr-FR"/>
        </w:rPr>
        <w:t>, le Comité décide de ne pas examiner séparément les griefs que l</w:t>
      </w:r>
      <w:r>
        <w:rPr>
          <w:lang w:val="fr-FR"/>
        </w:rPr>
        <w:t>’</w:t>
      </w:r>
      <w:r w:rsidRPr="008A09E4">
        <w:rPr>
          <w:lang w:val="fr-FR"/>
        </w:rPr>
        <w:t xml:space="preserve">auteur tire de </w:t>
      </w:r>
      <w:r>
        <w:rPr>
          <w:lang w:val="fr-FR"/>
        </w:rPr>
        <w:t>l’</w:t>
      </w:r>
      <w:r w:rsidRPr="008A09E4">
        <w:rPr>
          <w:lang w:val="fr-FR"/>
        </w:rPr>
        <w:t>article 14 (par</w:t>
      </w:r>
      <w:r w:rsidR="00F224D8" w:rsidRPr="00F224D8">
        <w:rPr>
          <w:lang w:val="fr-FR"/>
        </w:rPr>
        <w:t>.</w:t>
      </w:r>
      <w:r w:rsidRPr="008A09E4">
        <w:rPr>
          <w:lang w:val="fr-FR"/>
        </w:rPr>
        <w:t xml:space="preserve"> 3 e) et 5)</w:t>
      </w:r>
      <w:r w:rsidR="00F224D8" w:rsidRPr="00F224D8">
        <w:rPr>
          <w:lang w:val="fr-FR"/>
        </w:rPr>
        <w:t>.</w:t>
      </w:r>
    </w:p>
    <w:p w14:paraId="36ED1E31" w14:textId="77777777" w:rsidR="00E44C92" w:rsidRPr="008A09E4" w:rsidRDefault="00E44C92" w:rsidP="00E44C92">
      <w:pPr>
        <w:pStyle w:val="SingleTxtG"/>
      </w:pPr>
      <w:r w:rsidRPr="008A09E4">
        <w:rPr>
          <w:lang w:val="fr-FR"/>
        </w:rPr>
        <w:t>9</w:t>
      </w:r>
      <w:r w:rsidR="00F224D8" w:rsidRPr="00F224D8">
        <w:rPr>
          <w:lang w:val="fr-FR"/>
        </w:rPr>
        <w:t>.</w:t>
      </w:r>
      <w:r w:rsidRPr="008A09E4">
        <w:rPr>
          <w:lang w:val="fr-FR"/>
        </w:rPr>
        <w:tab/>
      </w:r>
      <w:r w:rsidRPr="008A09E4">
        <w:t>Le Comité, agissant en vertu du paragraphe 4 de l</w:t>
      </w:r>
      <w:r>
        <w:t>’</w:t>
      </w:r>
      <w:r w:rsidRPr="008A09E4">
        <w:t>article 5 du Protocole facultatif, constate que les renseignements dont il est saisi font apparaître une violation par l</w:t>
      </w:r>
      <w:r>
        <w:t>’</w:t>
      </w:r>
      <w:r w:rsidRPr="008A09E4">
        <w:t>État partie des droits que l</w:t>
      </w:r>
      <w:r>
        <w:t>’</w:t>
      </w:r>
      <w:r w:rsidRPr="008A09E4">
        <w:t>auteur tient des articles 9 (par</w:t>
      </w:r>
      <w:r w:rsidR="00F224D8" w:rsidRPr="00F224D8">
        <w:t>.</w:t>
      </w:r>
      <w:r w:rsidRPr="008A09E4">
        <w:t xml:space="preserve"> 1 et 3)</w:t>
      </w:r>
      <w:r>
        <w:t>,</w:t>
      </w:r>
      <w:r w:rsidRPr="008A09E4">
        <w:t xml:space="preserve"> 14 (par</w:t>
      </w:r>
      <w:r w:rsidR="00F224D8" w:rsidRPr="00F224D8">
        <w:t>.</w:t>
      </w:r>
      <w:r>
        <w:t> </w:t>
      </w:r>
      <w:r w:rsidRPr="008A09E4">
        <w:t>1, 2 et 3 d))</w:t>
      </w:r>
      <w:r>
        <w:t>, 19 et 21</w:t>
      </w:r>
      <w:r w:rsidRPr="008A09E4">
        <w:t xml:space="preserve"> du Pacte</w:t>
      </w:r>
      <w:r w:rsidR="00F224D8" w:rsidRPr="00F224D8">
        <w:t>.</w:t>
      </w:r>
      <w:r w:rsidRPr="008A09E4">
        <w:t xml:space="preserve"> Il réaffirme que l</w:t>
      </w:r>
      <w:r>
        <w:t>’</w:t>
      </w:r>
      <w:r w:rsidRPr="008A09E4">
        <w:t>État partie a également manqué aux obligations qui lui incombent en vertu de l</w:t>
      </w:r>
      <w:r>
        <w:t>’</w:t>
      </w:r>
      <w:r w:rsidRPr="008A09E4">
        <w:t>article 1</w:t>
      </w:r>
      <w:r w:rsidRPr="008A09E4">
        <w:rPr>
          <w:vertAlign w:val="superscript"/>
        </w:rPr>
        <w:t>er</w:t>
      </w:r>
      <w:r w:rsidRPr="008A09E4">
        <w:t xml:space="preserve"> du Protocole facultatif</w:t>
      </w:r>
      <w:r w:rsidR="00F224D8" w:rsidRPr="00F224D8">
        <w:t>.</w:t>
      </w:r>
    </w:p>
    <w:p w14:paraId="41AC21E8" w14:textId="77777777" w:rsidR="00E44C92" w:rsidRPr="008A09E4" w:rsidRDefault="00E44C92" w:rsidP="009E5281">
      <w:pPr>
        <w:pStyle w:val="SingleTxtG"/>
        <w:keepNext/>
        <w:keepLines/>
        <w:rPr>
          <w:lang w:val="fr-FR"/>
        </w:rPr>
      </w:pPr>
      <w:r w:rsidRPr="008A09E4">
        <w:rPr>
          <w:lang w:val="fr-FR"/>
        </w:rPr>
        <w:lastRenderedPageBreak/>
        <w:t>10</w:t>
      </w:r>
      <w:r w:rsidR="00F224D8" w:rsidRPr="00F224D8">
        <w:rPr>
          <w:lang w:val="fr-FR"/>
        </w:rPr>
        <w:t>.</w:t>
      </w:r>
      <w:r w:rsidRPr="008A09E4">
        <w:rPr>
          <w:lang w:val="fr-FR"/>
        </w:rPr>
        <w:tab/>
      </w:r>
      <w:r w:rsidRPr="008A09E4">
        <w:t>Conformément au paragraphe 3 a) de l</w:t>
      </w:r>
      <w:r>
        <w:t>’</w:t>
      </w:r>
      <w:r w:rsidRPr="008A09E4">
        <w:t>article 2 du Pacte, l</w:t>
      </w:r>
      <w:r>
        <w:t>’</w:t>
      </w:r>
      <w:r w:rsidRPr="008A09E4">
        <w:t>État partie est tenu d</w:t>
      </w:r>
      <w:r>
        <w:t>’</w:t>
      </w:r>
      <w:r w:rsidRPr="008A09E4">
        <w:t>assurer à l</w:t>
      </w:r>
      <w:r>
        <w:t>’</w:t>
      </w:r>
      <w:r w:rsidRPr="008A09E4">
        <w:t>auteur un</w:t>
      </w:r>
      <w:r>
        <w:t xml:space="preserve"> recours utile</w:t>
      </w:r>
      <w:r w:rsidR="00F224D8" w:rsidRPr="00F224D8">
        <w:t>.</w:t>
      </w:r>
      <w:r w:rsidRPr="008A09E4">
        <w:t xml:space="preserve"> </w:t>
      </w:r>
      <w:r w:rsidRPr="008A09E4">
        <w:rPr>
          <w:lang w:val="fr-FR"/>
        </w:rPr>
        <w:t>Il a l</w:t>
      </w:r>
      <w:r>
        <w:rPr>
          <w:lang w:val="fr-FR"/>
        </w:rPr>
        <w:t>’</w:t>
      </w:r>
      <w:r w:rsidRPr="008A09E4">
        <w:rPr>
          <w:lang w:val="fr-FR"/>
        </w:rPr>
        <w:t>obligation d</w:t>
      </w:r>
      <w:r>
        <w:rPr>
          <w:lang w:val="fr-FR"/>
        </w:rPr>
        <w:t>’</w:t>
      </w:r>
      <w:r w:rsidRPr="008A09E4">
        <w:rPr>
          <w:lang w:val="fr-FR"/>
        </w:rPr>
        <w:t>accorder une réparation intégrale aux individus dont les droits garantis par le Pacte ont été violés</w:t>
      </w:r>
      <w:r w:rsidR="00F224D8" w:rsidRPr="00F224D8">
        <w:rPr>
          <w:lang w:val="fr-FR"/>
        </w:rPr>
        <w:t>.</w:t>
      </w:r>
      <w:r w:rsidRPr="008A09E4">
        <w:rPr>
          <w:lang w:val="fr-FR"/>
        </w:rPr>
        <w:t xml:space="preserve"> </w:t>
      </w:r>
      <w:r w:rsidRPr="008A09E4">
        <w:t xml:space="preserve">En </w:t>
      </w:r>
      <w:r>
        <w:t>conséquence</w:t>
      </w:r>
      <w:r w:rsidRPr="008A09E4">
        <w:t>, l</w:t>
      </w:r>
      <w:r>
        <w:t>’</w:t>
      </w:r>
      <w:r w:rsidRPr="008A09E4">
        <w:t>État partie est tenu</w:t>
      </w:r>
      <w:r>
        <w:t>, entre autres,</w:t>
      </w:r>
      <w:r w:rsidRPr="008A09E4">
        <w:t xml:space="preserve"> de </w:t>
      </w:r>
      <w:r>
        <w:t>prendre les mesures voulues pour faire réexaminer</w:t>
      </w:r>
      <w:r w:rsidRPr="008A09E4">
        <w:t xml:space="preserve"> la déclaration de culpabilité de l</w:t>
      </w:r>
      <w:r>
        <w:t>’</w:t>
      </w:r>
      <w:r w:rsidRPr="008A09E4">
        <w:t xml:space="preserve">auteur et accorder </w:t>
      </w:r>
      <w:r>
        <w:t xml:space="preserve">à celui-ci </w:t>
      </w:r>
      <w:r w:rsidRPr="008A09E4">
        <w:t>une indemnisation adéquate, y compris sous la forme du remboursement de tous les frais de justice et autres dépenses engagées, et des mesures de satisfaction</w:t>
      </w:r>
      <w:r>
        <w:t xml:space="preserve"> </w:t>
      </w:r>
      <w:r w:rsidRPr="008A09E4">
        <w:t>appropriées</w:t>
      </w:r>
      <w:r w:rsidR="00F224D8" w:rsidRPr="00F224D8">
        <w:t>.</w:t>
      </w:r>
      <w:r w:rsidRPr="008A09E4">
        <w:rPr>
          <w:lang w:val="fr-FR"/>
        </w:rPr>
        <w:t xml:space="preserve"> </w:t>
      </w:r>
      <w:r w:rsidRPr="008A09E4">
        <w:t>Il est également tenu de veiller à ce que des violations analogues ne se reproduisent pas</w:t>
      </w:r>
      <w:r w:rsidR="00F224D8" w:rsidRPr="00F224D8">
        <w:t>.</w:t>
      </w:r>
    </w:p>
    <w:p w14:paraId="039D8E89" w14:textId="77777777" w:rsidR="00E85C42" w:rsidRDefault="00E44C92" w:rsidP="00E44C92">
      <w:pPr>
        <w:pStyle w:val="SingleTxtG"/>
      </w:pPr>
      <w:r w:rsidRPr="008A09E4">
        <w:rPr>
          <w:lang w:val="fr-FR"/>
        </w:rPr>
        <w:t>11</w:t>
      </w:r>
      <w:r w:rsidR="00F224D8" w:rsidRPr="00F224D8">
        <w:rPr>
          <w:lang w:val="fr-FR"/>
        </w:rPr>
        <w:t>.</w:t>
      </w:r>
      <w:r w:rsidRPr="008A09E4">
        <w:rPr>
          <w:lang w:val="fr-FR"/>
        </w:rPr>
        <w:tab/>
      </w:r>
      <w:r w:rsidRPr="008A09E4">
        <w:t>Étant donné qu</w:t>
      </w:r>
      <w:r>
        <w:t>’</w:t>
      </w:r>
      <w:r w:rsidRPr="008A09E4">
        <w:t>en adhérant au Protocole facultatif, l</w:t>
      </w:r>
      <w:r>
        <w:t>’</w:t>
      </w:r>
      <w:r w:rsidRPr="008A09E4">
        <w:t>État partie a reconnu que le Comité a compétence pour déterminer s</w:t>
      </w:r>
      <w:r>
        <w:t>’</w:t>
      </w:r>
      <w:r w:rsidRPr="008A09E4">
        <w:t>il y a ou non violation du Pacte et que, conformément à l</w:t>
      </w:r>
      <w:r>
        <w:t>’</w:t>
      </w:r>
      <w:r w:rsidRPr="008A09E4">
        <w:t>article 2 du Pacte, il s</w:t>
      </w:r>
      <w:r>
        <w:t>’</w:t>
      </w:r>
      <w:r w:rsidRPr="008A09E4">
        <w:t>est engagé à garantir à tous les individus se trouvant sur son territoire et relevant de sa juridiction les droits reconnus dans le Pacte et à assurer un recours utile et une réparation exécutoire lorsqu</w:t>
      </w:r>
      <w:r>
        <w:t>’</w:t>
      </w:r>
      <w:r w:rsidRPr="008A09E4">
        <w:t>une violation a été établie, le Comité souhaite recevoir de l</w:t>
      </w:r>
      <w:r>
        <w:t>’</w:t>
      </w:r>
      <w:r w:rsidRPr="008A09E4">
        <w:t>État partie, dans un délai de cent</w:t>
      </w:r>
      <w:r>
        <w:t xml:space="preserve"> </w:t>
      </w:r>
      <w:r w:rsidRPr="008A09E4">
        <w:t>quatre-vingts</w:t>
      </w:r>
      <w:r>
        <w:t xml:space="preserve"> </w:t>
      </w:r>
      <w:r w:rsidRPr="008A09E4">
        <w:t>jours, des renseignements sur les mesures prises pour donner effet aux présentes constatations</w:t>
      </w:r>
      <w:r w:rsidR="00F224D8" w:rsidRPr="00F224D8">
        <w:t>.</w:t>
      </w:r>
      <w:r w:rsidRPr="008A09E4">
        <w:t xml:space="preserve"> L</w:t>
      </w:r>
      <w:r>
        <w:t>’</w:t>
      </w:r>
      <w:r w:rsidRPr="008A09E4">
        <w:t>État partie est invité en outre à rendre celles-ci publiques et à les diffuser largement dans ses langues officielles</w:t>
      </w:r>
      <w:r w:rsidR="00F224D8" w:rsidRPr="00F224D8">
        <w:t>.</w:t>
      </w:r>
    </w:p>
    <w:p w14:paraId="4E71DBA9" w14:textId="77777777" w:rsidR="00E44C92" w:rsidRPr="00E44C92" w:rsidRDefault="00E44C92" w:rsidP="00E44C92">
      <w:pPr>
        <w:pStyle w:val="SingleTxtG"/>
        <w:spacing w:before="240" w:after="0"/>
        <w:jc w:val="center"/>
        <w:rPr>
          <w:u w:val="single"/>
        </w:rPr>
      </w:pPr>
      <w:r>
        <w:rPr>
          <w:u w:val="single"/>
        </w:rPr>
        <w:tab/>
      </w:r>
      <w:r>
        <w:rPr>
          <w:u w:val="single"/>
        </w:rPr>
        <w:tab/>
      </w:r>
      <w:r>
        <w:rPr>
          <w:u w:val="single"/>
        </w:rPr>
        <w:tab/>
      </w:r>
    </w:p>
    <w:sectPr w:rsidR="00E44C92" w:rsidRPr="00E44C92" w:rsidSect="003562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412E" w14:textId="77777777" w:rsidR="00247721" w:rsidRDefault="00247721" w:rsidP="00F95C08">
      <w:pPr>
        <w:spacing w:line="240" w:lineRule="auto"/>
      </w:pPr>
    </w:p>
  </w:endnote>
  <w:endnote w:type="continuationSeparator" w:id="0">
    <w:p w14:paraId="76033F1A" w14:textId="77777777" w:rsidR="00247721" w:rsidRPr="00AC3823" w:rsidRDefault="00247721" w:rsidP="00AC3823">
      <w:pPr>
        <w:pStyle w:val="Pieddepage"/>
      </w:pPr>
    </w:p>
  </w:endnote>
  <w:endnote w:type="continuationNotice" w:id="1">
    <w:p w14:paraId="01DD740D" w14:textId="77777777" w:rsidR="00247721" w:rsidRDefault="002477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8DE1" w14:textId="77777777" w:rsidR="00247721" w:rsidRPr="00356208" w:rsidRDefault="00247721" w:rsidP="00356208">
    <w:pPr>
      <w:pStyle w:val="Pieddepage"/>
      <w:tabs>
        <w:tab w:val="right" w:pos="9638"/>
      </w:tabs>
    </w:pPr>
    <w:r w:rsidRPr="00356208">
      <w:rPr>
        <w:b/>
        <w:sz w:val="18"/>
      </w:rPr>
      <w:fldChar w:fldCharType="begin"/>
    </w:r>
    <w:r w:rsidRPr="00356208">
      <w:rPr>
        <w:b/>
        <w:sz w:val="18"/>
      </w:rPr>
      <w:instrText xml:space="preserve"> PAGE  \* MERGEFORMAT </w:instrText>
    </w:r>
    <w:r w:rsidRPr="00356208">
      <w:rPr>
        <w:b/>
        <w:sz w:val="18"/>
      </w:rPr>
      <w:fldChar w:fldCharType="separate"/>
    </w:r>
    <w:r w:rsidRPr="00356208">
      <w:rPr>
        <w:b/>
        <w:noProof/>
        <w:sz w:val="18"/>
      </w:rPr>
      <w:t>2</w:t>
    </w:r>
    <w:r w:rsidRPr="00356208">
      <w:rPr>
        <w:b/>
        <w:sz w:val="18"/>
      </w:rPr>
      <w:fldChar w:fldCharType="end"/>
    </w:r>
    <w:r>
      <w:rPr>
        <w:b/>
        <w:sz w:val="18"/>
      </w:rPr>
      <w:tab/>
    </w:r>
    <w:r>
      <w:t>GE</w:t>
    </w:r>
    <w:r w:rsidR="00F224D8" w:rsidRPr="00F224D8">
      <w:t>.</w:t>
    </w:r>
    <w:r>
      <w:t>19-17070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1CDF" w14:textId="77777777" w:rsidR="00247721" w:rsidRPr="00356208" w:rsidRDefault="00247721" w:rsidP="00356208">
    <w:pPr>
      <w:pStyle w:val="Pieddepage"/>
      <w:tabs>
        <w:tab w:val="right" w:pos="9638"/>
      </w:tabs>
      <w:rPr>
        <w:b/>
        <w:sz w:val="18"/>
      </w:rPr>
    </w:pPr>
    <w:r>
      <w:t>GE</w:t>
    </w:r>
    <w:r w:rsidR="00F224D8" w:rsidRPr="00F224D8">
      <w:t>.</w:t>
    </w:r>
    <w:r>
      <w:t>19-17070</w:t>
    </w:r>
    <w:r>
      <w:tab/>
    </w:r>
    <w:r w:rsidRPr="00356208">
      <w:rPr>
        <w:b/>
        <w:sz w:val="18"/>
      </w:rPr>
      <w:fldChar w:fldCharType="begin"/>
    </w:r>
    <w:r w:rsidRPr="00356208">
      <w:rPr>
        <w:b/>
        <w:sz w:val="18"/>
      </w:rPr>
      <w:instrText xml:space="preserve"> PAGE  \* MERGEFORMAT </w:instrText>
    </w:r>
    <w:r w:rsidRPr="00356208">
      <w:rPr>
        <w:b/>
        <w:sz w:val="18"/>
      </w:rPr>
      <w:fldChar w:fldCharType="separate"/>
    </w:r>
    <w:r w:rsidRPr="00356208">
      <w:rPr>
        <w:b/>
        <w:noProof/>
        <w:sz w:val="18"/>
      </w:rPr>
      <w:t>3</w:t>
    </w:r>
    <w:r w:rsidRPr="003562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5122" w14:textId="77777777" w:rsidR="00247721" w:rsidRPr="00356208" w:rsidRDefault="00247721" w:rsidP="00356208">
    <w:pPr>
      <w:pStyle w:val="Pieddepage"/>
      <w:spacing w:before="120"/>
      <w:rPr>
        <w:sz w:val="20"/>
      </w:rPr>
    </w:pPr>
    <w:r>
      <w:rPr>
        <w:sz w:val="20"/>
      </w:rPr>
      <w:t>GE</w:t>
    </w:r>
    <w:r w:rsidR="00F224D8" w:rsidRPr="00F224D8">
      <w:rPr>
        <w:sz w:val="20"/>
      </w:rPr>
      <w:t>.</w:t>
    </w:r>
    <w:r>
      <w:rPr>
        <w:noProof/>
        <w:lang w:eastAsia="fr-CH"/>
      </w:rPr>
      <w:drawing>
        <wp:anchor distT="0" distB="0" distL="114300" distR="114300" simplePos="0" relativeHeight="251659264" behindDoc="0" locked="0" layoutInCell="1" allowOverlap="0" wp14:anchorId="5280C30E" wp14:editId="30C7DF3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19-17070  (F)    041120    041120</w:t>
    </w:r>
    <w:r>
      <w:rPr>
        <w:sz w:val="20"/>
      </w:rPr>
      <w:br/>
    </w:r>
    <w:r w:rsidRPr="00356208">
      <w:rPr>
        <w:rFonts w:ascii="C39T30Lfz" w:hAnsi="C39T30Lfz"/>
        <w:sz w:val="56"/>
      </w:rPr>
      <w:t>*1917070*</w:t>
    </w:r>
    <w:r>
      <w:rPr>
        <w:noProof/>
        <w:sz w:val="20"/>
      </w:rPr>
      <w:drawing>
        <wp:anchor distT="0" distB="0" distL="114300" distR="114300" simplePos="0" relativeHeight="251658240" behindDoc="0" locked="0" layoutInCell="1" allowOverlap="1" wp14:anchorId="0409282F" wp14:editId="6E573E9B">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1975A" w14:textId="77777777" w:rsidR="00247721" w:rsidRPr="00AC3823" w:rsidRDefault="00247721" w:rsidP="00AC3823">
      <w:pPr>
        <w:pStyle w:val="Pieddepage"/>
        <w:tabs>
          <w:tab w:val="right" w:pos="2155"/>
        </w:tabs>
        <w:spacing w:after="80" w:line="240" w:lineRule="atLeast"/>
        <w:ind w:left="680"/>
        <w:rPr>
          <w:u w:val="single"/>
        </w:rPr>
      </w:pPr>
      <w:r>
        <w:rPr>
          <w:u w:val="single"/>
        </w:rPr>
        <w:tab/>
      </w:r>
    </w:p>
  </w:footnote>
  <w:footnote w:type="continuationSeparator" w:id="0">
    <w:p w14:paraId="1625458A" w14:textId="77777777" w:rsidR="00247721" w:rsidRPr="00AC3823" w:rsidRDefault="00247721" w:rsidP="00AC3823">
      <w:pPr>
        <w:pStyle w:val="Pieddepage"/>
        <w:tabs>
          <w:tab w:val="right" w:pos="2155"/>
        </w:tabs>
        <w:spacing w:after="80" w:line="240" w:lineRule="atLeast"/>
        <w:ind w:left="680"/>
        <w:rPr>
          <w:u w:val="single"/>
        </w:rPr>
      </w:pPr>
      <w:r>
        <w:rPr>
          <w:u w:val="single"/>
        </w:rPr>
        <w:tab/>
      </w:r>
    </w:p>
  </w:footnote>
  <w:footnote w:type="continuationNotice" w:id="1">
    <w:p w14:paraId="4E3A6CB2" w14:textId="77777777" w:rsidR="00247721" w:rsidRPr="00AC3823" w:rsidRDefault="00247721">
      <w:pPr>
        <w:spacing w:line="240" w:lineRule="auto"/>
        <w:rPr>
          <w:sz w:val="2"/>
          <w:szCs w:val="2"/>
        </w:rPr>
      </w:pPr>
    </w:p>
  </w:footnote>
  <w:footnote w:id="2">
    <w:p w14:paraId="2409AE9B" w14:textId="77777777" w:rsidR="00247721" w:rsidRPr="00481ED2" w:rsidRDefault="00247721" w:rsidP="00E44C92">
      <w:pPr>
        <w:pStyle w:val="Notedebasdepage"/>
        <w:rPr>
          <w:lang w:val="fr-FR"/>
        </w:rPr>
      </w:pPr>
      <w:r w:rsidRPr="00481ED2">
        <w:rPr>
          <w:rStyle w:val="Appelnotedebasdep"/>
          <w:vertAlign w:val="baseline"/>
          <w:lang w:val="fr-FR"/>
        </w:rPr>
        <w:tab/>
      </w:r>
      <w:r w:rsidRPr="00481ED2">
        <w:rPr>
          <w:rStyle w:val="Appelnotedebasdep"/>
          <w:sz w:val="20"/>
          <w:vertAlign w:val="baseline"/>
          <w:lang w:val="fr-FR"/>
        </w:rPr>
        <w:t>*</w:t>
      </w:r>
      <w:r w:rsidRPr="00481ED2">
        <w:rPr>
          <w:rStyle w:val="Appelnotedebasdep"/>
          <w:sz w:val="20"/>
          <w:vertAlign w:val="baseline"/>
          <w:lang w:val="fr-FR"/>
        </w:rPr>
        <w:tab/>
      </w:r>
      <w:r w:rsidRPr="00481ED2">
        <w:rPr>
          <w:lang w:val="fr-FR"/>
        </w:rPr>
        <w:t xml:space="preserve">Adoptées par </w:t>
      </w:r>
      <w:r w:rsidRPr="00573B76">
        <w:rPr>
          <w:lang w:val="fr-FR"/>
        </w:rPr>
        <w:t xml:space="preserve">le Comité à </w:t>
      </w:r>
      <w:r w:rsidRPr="008E0FB2">
        <w:rPr>
          <w:lang w:val="fr-FR"/>
        </w:rPr>
        <w:t>sa</w:t>
      </w:r>
      <w:r w:rsidRPr="00481ED2">
        <w:rPr>
          <w:lang w:val="fr-FR"/>
        </w:rPr>
        <w:t xml:space="preserve"> 126</w:t>
      </w:r>
      <w:r w:rsidRPr="00481ED2">
        <w:rPr>
          <w:vertAlign w:val="superscript"/>
          <w:lang w:val="fr-FR"/>
        </w:rPr>
        <w:t>e</w:t>
      </w:r>
      <w:r w:rsidRPr="00573B76">
        <w:rPr>
          <w:lang w:val="fr-FR"/>
        </w:rPr>
        <w:t xml:space="preserve"> </w:t>
      </w:r>
      <w:r w:rsidRPr="00481ED2">
        <w:rPr>
          <w:lang w:val="fr-FR"/>
        </w:rPr>
        <w:t>session (1</w:t>
      </w:r>
      <w:r w:rsidRPr="00481ED2">
        <w:rPr>
          <w:vertAlign w:val="superscript"/>
          <w:lang w:val="fr-FR"/>
        </w:rPr>
        <w:t>er</w:t>
      </w:r>
      <w:r>
        <w:rPr>
          <w:lang w:val="fr-FR"/>
        </w:rPr>
        <w:t>-</w:t>
      </w:r>
      <w:r w:rsidRPr="00481ED2">
        <w:rPr>
          <w:lang w:val="fr-FR"/>
        </w:rPr>
        <w:t xml:space="preserve">26 </w:t>
      </w:r>
      <w:r w:rsidRPr="00573B76">
        <w:rPr>
          <w:lang w:val="fr-FR"/>
        </w:rPr>
        <w:t>juille</w:t>
      </w:r>
      <w:r w:rsidRPr="008E0FB2">
        <w:rPr>
          <w:lang w:val="fr-FR"/>
        </w:rPr>
        <w:t xml:space="preserve">t </w:t>
      </w:r>
      <w:r w:rsidRPr="00481ED2">
        <w:rPr>
          <w:lang w:val="fr-FR"/>
        </w:rPr>
        <w:t>2019)</w:t>
      </w:r>
      <w:r w:rsidR="00F224D8" w:rsidRPr="00F224D8">
        <w:rPr>
          <w:lang w:val="fr-FR"/>
        </w:rPr>
        <w:t>.</w:t>
      </w:r>
    </w:p>
  </w:footnote>
  <w:footnote w:id="3">
    <w:p w14:paraId="227C322C" w14:textId="77777777" w:rsidR="00247721" w:rsidRPr="00481ED2" w:rsidRDefault="00247721" w:rsidP="00E44C92">
      <w:pPr>
        <w:pStyle w:val="Notedebasdepage"/>
        <w:rPr>
          <w:lang w:val="fr-FR"/>
        </w:rPr>
      </w:pPr>
      <w:r w:rsidRPr="00481ED2">
        <w:rPr>
          <w:rStyle w:val="Appelnotedebasdep"/>
          <w:vertAlign w:val="baseline"/>
          <w:lang w:val="fr-FR"/>
        </w:rPr>
        <w:tab/>
      </w:r>
      <w:r w:rsidRPr="00481ED2">
        <w:rPr>
          <w:rStyle w:val="Appelnotedebasdep"/>
          <w:sz w:val="20"/>
          <w:vertAlign w:val="baseline"/>
          <w:lang w:val="fr-FR"/>
        </w:rPr>
        <w:t>**</w:t>
      </w:r>
      <w:r w:rsidRPr="00481ED2">
        <w:rPr>
          <w:rStyle w:val="Appelnotedebasdep"/>
          <w:sz w:val="20"/>
          <w:vertAlign w:val="baseline"/>
          <w:lang w:val="fr-FR"/>
        </w:rPr>
        <w:tab/>
      </w:r>
      <w:r w:rsidRPr="00573B76">
        <w:rPr>
          <w:lang w:val="fr-FR"/>
        </w:rPr>
        <w:t xml:space="preserve">Les membres du </w:t>
      </w:r>
      <w:r w:rsidRPr="008E0FB2">
        <w:rPr>
          <w:lang w:val="fr-FR"/>
        </w:rPr>
        <w:t>Comité d</w:t>
      </w:r>
      <w:r w:rsidRPr="004E295D">
        <w:rPr>
          <w:lang w:val="fr-FR"/>
        </w:rPr>
        <w:t>ont le nom suit ont participé à l</w:t>
      </w:r>
      <w:r>
        <w:rPr>
          <w:lang w:val="fr-FR"/>
        </w:rPr>
        <w:t>’</w:t>
      </w:r>
      <w:r w:rsidRPr="004E295D">
        <w:rPr>
          <w:lang w:val="fr-FR"/>
        </w:rPr>
        <w:t xml:space="preserve">examen de la </w:t>
      </w:r>
      <w:r w:rsidRPr="00481ED2">
        <w:rPr>
          <w:lang w:val="fr-FR"/>
        </w:rPr>
        <w:t>communication</w:t>
      </w:r>
      <w:r>
        <w:rPr>
          <w:lang w:val="fr-FR"/>
        </w:rPr>
        <w:t> </w:t>
      </w:r>
      <w:r w:rsidRPr="00481ED2">
        <w:rPr>
          <w:lang w:val="fr-FR"/>
        </w:rPr>
        <w:t xml:space="preserve">: Tania María Abdo Rocholl, Yadh Ben Achour, Ilze Brands Kehris, Arif Bulkan, Ahmed Amin Fathalla, Shuichi Furuya, Christof Heyns, Bamariam Koita, Duncan Laki Muhumuza, Photini Pazartzis, Hernán Quezada Cabrera, Vasilka Sancin, José Manuel Santos Pais, Yuval Shany, Hélène Tigroudja, Andreas Zimmermann </w:t>
      </w:r>
      <w:r w:rsidRPr="00573B76">
        <w:rPr>
          <w:lang w:val="fr-FR"/>
        </w:rPr>
        <w:t>et</w:t>
      </w:r>
      <w:r w:rsidRPr="00481ED2">
        <w:rPr>
          <w:lang w:val="fr-FR"/>
        </w:rPr>
        <w:t xml:space="preserve"> Gentian Zyberi</w:t>
      </w:r>
      <w:r w:rsidR="00F224D8" w:rsidRPr="00F224D8">
        <w:rPr>
          <w:lang w:val="fr-FR"/>
        </w:rPr>
        <w:t>.</w:t>
      </w:r>
    </w:p>
  </w:footnote>
  <w:footnote w:id="4">
    <w:p w14:paraId="119D8EDD"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sidRPr="00573B76">
        <w:rPr>
          <w:lang w:val="fr-FR"/>
        </w:rPr>
        <w:t xml:space="preserve">Voir </w:t>
      </w:r>
      <w:r w:rsidRPr="001934BE">
        <w:rPr>
          <w:i/>
          <w:iCs/>
          <w:lang w:val="fr-FR"/>
        </w:rPr>
        <w:t>Suivi des procès au Bélarus</w:t>
      </w:r>
      <w:r w:rsidRPr="00481ED2">
        <w:rPr>
          <w:lang w:val="fr-FR"/>
        </w:rPr>
        <w:t xml:space="preserve"> (mars-juillet 2011)</w:t>
      </w:r>
      <w:r w:rsidRPr="00573B76">
        <w:rPr>
          <w:lang w:val="fr-FR"/>
        </w:rPr>
        <w:t xml:space="preserve"> (Varsovie, 2011)</w:t>
      </w:r>
      <w:r w:rsidR="00F224D8" w:rsidRPr="00F224D8">
        <w:rPr>
          <w:lang w:val="fr-FR"/>
        </w:rPr>
        <w:t>.</w:t>
      </w:r>
    </w:p>
  </w:footnote>
  <w:footnote w:id="5">
    <w:p w14:paraId="647E75B2"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t>L</w:t>
      </w:r>
      <w:r>
        <w:rPr>
          <w:lang w:val="fr-FR"/>
        </w:rPr>
        <w:t>’</w:t>
      </w:r>
      <w:r w:rsidRPr="00481ED2">
        <w:rPr>
          <w:lang w:val="fr-FR"/>
        </w:rPr>
        <w:t>auteur dit que la législation nationale n</w:t>
      </w:r>
      <w:r>
        <w:rPr>
          <w:lang w:val="fr-FR"/>
        </w:rPr>
        <w:t>’</w:t>
      </w:r>
      <w:r w:rsidRPr="00481ED2">
        <w:rPr>
          <w:lang w:val="fr-FR"/>
        </w:rPr>
        <w:t>exige pas que l</w:t>
      </w:r>
      <w:r>
        <w:rPr>
          <w:lang w:val="fr-FR"/>
        </w:rPr>
        <w:t>’</w:t>
      </w:r>
      <w:r w:rsidRPr="00481ED2">
        <w:rPr>
          <w:lang w:val="fr-FR"/>
        </w:rPr>
        <w:t>accusé soit présent à l</w:t>
      </w:r>
      <w:r>
        <w:rPr>
          <w:lang w:val="fr-FR"/>
        </w:rPr>
        <w:t>’</w:t>
      </w:r>
      <w:r w:rsidRPr="00481ED2">
        <w:rPr>
          <w:lang w:val="fr-FR"/>
        </w:rPr>
        <w:t>audience d</w:t>
      </w:r>
      <w:r>
        <w:rPr>
          <w:lang w:val="fr-FR"/>
        </w:rPr>
        <w:t>’</w:t>
      </w:r>
      <w:r w:rsidRPr="00481ED2">
        <w:rPr>
          <w:lang w:val="fr-FR"/>
        </w:rPr>
        <w:t>appel</w:t>
      </w:r>
      <w:r w:rsidR="00F224D8" w:rsidRPr="00F224D8">
        <w:rPr>
          <w:lang w:val="fr-FR"/>
        </w:rPr>
        <w:t>.</w:t>
      </w:r>
    </w:p>
  </w:footnote>
  <w:footnote w:id="6">
    <w:p w14:paraId="62761D75"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sidRPr="00481ED2">
        <w:rPr>
          <w:i/>
          <w:lang w:val="fr-FR"/>
        </w:rPr>
        <w:t>Iskiyaev c</w:t>
      </w:r>
      <w:r w:rsidR="00F224D8" w:rsidRPr="00F224D8">
        <w:rPr>
          <w:i/>
          <w:lang w:val="fr-FR"/>
        </w:rPr>
        <w:t>.</w:t>
      </w:r>
      <w:r w:rsidRPr="00481ED2">
        <w:rPr>
          <w:i/>
          <w:lang w:val="fr-FR"/>
        </w:rPr>
        <w:t xml:space="preserve"> Ouzbékistan</w:t>
      </w:r>
      <w:r w:rsidRPr="00481ED2">
        <w:rPr>
          <w:lang w:val="fr-FR"/>
        </w:rPr>
        <w:t xml:space="preserve"> (CCPR/C/95/D/1418/2005), par</w:t>
      </w:r>
      <w:r w:rsidR="00F224D8" w:rsidRPr="00F224D8">
        <w:rPr>
          <w:lang w:val="fr-FR"/>
        </w:rPr>
        <w:t>.</w:t>
      </w:r>
      <w:r w:rsidRPr="00481ED2">
        <w:rPr>
          <w:lang w:val="fr-FR"/>
        </w:rPr>
        <w:t xml:space="preserve"> 6</w:t>
      </w:r>
      <w:r w:rsidR="00F224D8" w:rsidRPr="00F224D8">
        <w:rPr>
          <w:lang w:val="fr-FR"/>
        </w:rPr>
        <w:t>.</w:t>
      </w:r>
      <w:r w:rsidRPr="00481ED2">
        <w:rPr>
          <w:lang w:val="fr-FR"/>
        </w:rPr>
        <w:t>1</w:t>
      </w:r>
      <w:r w:rsidR="00F224D8" w:rsidRPr="00F224D8">
        <w:rPr>
          <w:lang w:val="fr-FR"/>
        </w:rPr>
        <w:t>.</w:t>
      </w:r>
    </w:p>
  </w:footnote>
  <w:footnote w:id="7">
    <w:p w14:paraId="6854EBA4"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t>La communication a été signée et présentée au nom de l</w:t>
      </w:r>
      <w:r>
        <w:rPr>
          <w:lang w:val="fr-FR"/>
        </w:rPr>
        <w:t>’</w:t>
      </w:r>
      <w:r w:rsidRPr="00481ED2">
        <w:rPr>
          <w:lang w:val="fr-FR"/>
        </w:rPr>
        <w:t>auteur, mais ce sont le nom et l</w:t>
      </w:r>
      <w:r>
        <w:rPr>
          <w:lang w:val="fr-FR"/>
        </w:rPr>
        <w:t>’</w:t>
      </w:r>
      <w:r w:rsidRPr="00481ED2">
        <w:rPr>
          <w:lang w:val="fr-FR"/>
        </w:rPr>
        <w:t>adresse de son père qui ont été fournis pour toute correspondance ultérieure</w:t>
      </w:r>
      <w:r w:rsidR="00F224D8" w:rsidRPr="00F224D8">
        <w:rPr>
          <w:lang w:val="fr-FR"/>
        </w:rPr>
        <w:t>.</w:t>
      </w:r>
    </w:p>
  </w:footnote>
  <w:footnote w:id="8">
    <w:p w14:paraId="1CE0E020" w14:textId="77777777" w:rsidR="00247721" w:rsidRPr="00573B76"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sidRPr="00573B76">
        <w:rPr>
          <w:szCs w:val="18"/>
          <w:lang w:val="fr-FR"/>
        </w:rPr>
        <w:t xml:space="preserve">Voir, par exemple, </w:t>
      </w:r>
      <w:r w:rsidRPr="008E0FB2">
        <w:rPr>
          <w:i/>
          <w:iCs/>
          <w:szCs w:val="18"/>
          <w:lang w:val="fr-FR"/>
        </w:rPr>
        <w:t>Levinov c</w:t>
      </w:r>
      <w:r w:rsidR="00F224D8" w:rsidRPr="00F224D8">
        <w:rPr>
          <w:i/>
          <w:iCs/>
          <w:szCs w:val="18"/>
          <w:lang w:val="fr-FR"/>
        </w:rPr>
        <w:t>.</w:t>
      </w:r>
      <w:r w:rsidRPr="008E0FB2">
        <w:rPr>
          <w:i/>
          <w:iCs/>
          <w:szCs w:val="18"/>
          <w:lang w:val="fr-FR"/>
        </w:rPr>
        <w:t xml:space="preserve"> Bélarus</w:t>
      </w:r>
      <w:r w:rsidRPr="004E295D">
        <w:rPr>
          <w:szCs w:val="18"/>
          <w:lang w:val="fr-FR"/>
        </w:rPr>
        <w:t xml:space="preserve"> (CCPR/C/105/D/1867/2009, 1936/2010</w:t>
      </w:r>
      <w:r w:rsidRPr="0047049A">
        <w:rPr>
          <w:szCs w:val="18"/>
          <w:lang w:val="fr-FR"/>
        </w:rPr>
        <w:t>, 1975</w:t>
      </w:r>
      <w:r w:rsidRPr="00760D50">
        <w:rPr>
          <w:szCs w:val="18"/>
          <w:lang w:val="fr-FR"/>
        </w:rPr>
        <w:t>/2010</w:t>
      </w:r>
      <w:r w:rsidRPr="00A8208F">
        <w:rPr>
          <w:szCs w:val="18"/>
          <w:lang w:val="fr-FR"/>
        </w:rPr>
        <w:t>, 1977</w:t>
      </w:r>
      <w:r w:rsidRPr="00573B76">
        <w:rPr>
          <w:szCs w:val="18"/>
          <w:lang w:val="fr-FR"/>
        </w:rPr>
        <w:t>/2010, 1978/2010, 1979/2010, 1980/2010, 1981/2010 et 2010/2010), par</w:t>
      </w:r>
      <w:r w:rsidR="00F224D8" w:rsidRPr="00F224D8">
        <w:rPr>
          <w:szCs w:val="18"/>
          <w:lang w:val="fr-FR"/>
        </w:rPr>
        <w:t>.</w:t>
      </w:r>
      <w:r w:rsidRPr="00573B76">
        <w:rPr>
          <w:szCs w:val="18"/>
          <w:lang w:val="fr-FR"/>
        </w:rPr>
        <w:t xml:space="preserve"> 8</w:t>
      </w:r>
      <w:r w:rsidR="00F224D8" w:rsidRPr="00F224D8">
        <w:rPr>
          <w:szCs w:val="18"/>
          <w:lang w:val="fr-FR"/>
        </w:rPr>
        <w:t>.</w:t>
      </w:r>
      <w:r w:rsidRPr="00573B76">
        <w:rPr>
          <w:szCs w:val="18"/>
          <w:lang w:val="fr-FR"/>
        </w:rPr>
        <w:t xml:space="preserve">2, et </w:t>
      </w:r>
      <w:r w:rsidRPr="00573B76">
        <w:rPr>
          <w:i/>
          <w:szCs w:val="18"/>
          <w:lang w:val="fr-FR"/>
        </w:rPr>
        <w:t>Poplavny c</w:t>
      </w:r>
      <w:r w:rsidR="00F224D8" w:rsidRPr="00F224D8">
        <w:rPr>
          <w:i/>
          <w:szCs w:val="18"/>
          <w:lang w:val="fr-FR"/>
        </w:rPr>
        <w:t>.</w:t>
      </w:r>
      <w:r>
        <w:rPr>
          <w:i/>
          <w:szCs w:val="18"/>
          <w:lang w:val="fr-FR"/>
        </w:rPr>
        <w:t> </w:t>
      </w:r>
      <w:r w:rsidRPr="00573B76">
        <w:rPr>
          <w:i/>
          <w:szCs w:val="18"/>
          <w:lang w:val="fr-FR"/>
        </w:rPr>
        <w:t>Bélarus</w:t>
      </w:r>
      <w:r w:rsidRPr="00573B76">
        <w:rPr>
          <w:iCs/>
          <w:szCs w:val="18"/>
          <w:lang w:val="fr-FR"/>
        </w:rPr>
        <w:t xml:space="preserve"> (CCPR/C/115/D/2019/2010), </w:t>
      </w:r>
      <w:r w:rsidRPr="00573B76">
        <w:rPr>
          <w:szCs w:val="18"/>
          <w:lang w:val="fr-FR"/>
        </w:rPr>
        <w:t>par</w:t>
      </w:r>
      <w:r w:rsidR="00F224D8" w:rsidRPr="00F224D8">
        <w:rPr>
          <w:szCs w:val="18"/>
          <w:lang w:val="fr-FR"/>
        </w:rPr>
        <w:t>.</w:t>
      </w:r>
      <w:r w:rsidRPr="00573B76">
        <w:rPr>
          <w:szCs w:val="18"/>
          <w:lang w:val="fr-FR"/>
        </w:rPr>
        <w:t xml:space="preserve"> 6</w:t>
      </w:r>
      <w:r w:rsidR="00F224D8" w:rsidRPr="00F224D8">
        <w:rPr>
          <w:szCs w:val="18"/>
          <w:lang w:val="fr-FR"/>
        </w:rPr>
        <w:t>.</w:t>
      </w:r>
      <w:r w:rsidRPr="00573B76">
        <w:rPr>
          <w:szCs w:val="18"/>
          <w:lang w:val="fr-FR"/>
        </w:rPr>
        <w:t>2</w:t>
      </w:r>
      <w:r w:rsidR="00F224D8" w:rsidRPr="00F224D8">
        <w:rPr>
          <w:szCs w:val="18"/>
          <w:lang w:val="fr-FR"/>
        </w:rPr>
        <w:t>.</w:t>
      </w:r>
    </w:p>
  </w:footnote>
  <w:footnote w:id="9">
    <w:p w14:paraId="7A02F487"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t>Comité des droits de l</w:t>
      </w:r>
      <w:r>
        <w:rPr>
          <w:lang w:val="fr-FR"/>
        </w:rPr>
        <w:t>’</w:t>
      </w:r>
      <w:r w:rsidRPr="00481ED2">
        <w:rPr>
          <w:lang w:val="fr-FR"/>
        </w:rPr>
        <w:t xml:space="preserve">homme, </w:t>
      </w:r>
      <w:r w:rsidRPr="00573B76">
        <w:rPr>
          <w:lang w:val="fr-FR"/>
        </w:rPr>
        <w:t xml:space="preserve">observation générale </w:t>
      </w:r>
      <w:r w:rsidRPr="00481ED2">
        <w:rPr>
          <w:rFonts w:eastAsia="MS Mincho"/>
          <w:lang w:val="fr-FR"/>
        </w:rPr>
        <w:t>n</w:t>
      </w:r>
      <w:r w:rsidRPr="00481ED2">
        <w:rPr>
          <w:rFonts w:eastAsia="MS Mincho"/>
          <w:vertAlign w:val="superscript"/>
          <w:lang w:val="fr-FR"/>
        </w:rPr>
        <w:t>o</w:t>
      </w:r>
      <w:r>
        <w:rPr>
          <w:lang w:val="fr-FR"/>
        </w:rPr>
        <w:t> </w:t>
      </w:r>
      <w:r w:rsidRPr="00481ED2">
        <w:rPr>
          <w:iCs/>
          <w:lang w:val="fr-FR"/>
        </w:rPr>
        <w:t xml:space="preserve">32 (2007) </w:t>
      </w:r>
      <w:r w:rsidRPr="00573B76">
        <w:rPr>
          <w:iCs/>
          <w:lang w:val="fr-FR"/>
        </w:rPr>
        <w:t>sur le droit à l</w:t>
      </w:r>
      <w:r>
        <w:rPr>
          <w:iCs/>
          <w:lang w:val="fr-FR"/>
        </w:rPr>
        <w:t>’</w:t>
      </w:r>
      <w:r w:rsidRPr="004E295D">
        <w:rPr>
          <w:iCs/>
          <w:lang w:val="fr-FR"/>
        </w:rPr>
        <w:t xml:space="preserve">égalité devant les tribunaux et les cours de </w:t>
      </w:r>
      <w:r w:rsidRPr="0047049A">
        <w:rPr>
          <w:iCs/>
          <w:lang w:val="fr-FR"/>
        </w:rPr>
        <w:t>justice et à un procès équita</w:t>
      </w:r>
      <w:r w:rsidRPr="00760D50">
        <w:rPr>
          <w:iCs/>
          <w:lang w:val="fr-FR"/>
        </w:rPr>
        <w:t>ble</w:t>
      </w:r>
      <w:r w:rsidRPr="00481ED2">
        <w:rPr>
          <w:iCs/>
          <w:lang w:val="fr-FR"/>
        </w:rPr>
        <w:t>, par</w:t>
      </w:r>
      <w:r w:rsidR="00F224D8" w:rsidRPr="00F224D8">
        <w:rPr>
          <w:iCs/>
          <w:lang w:val="fr-FR"/>
        </w:rPr>
        <w:t>.</w:t>
      </w:r>
      <w:r w:rsidRPr="00481ED2">
        <w:rPr>
          <w:iCs/>
          <w:lang w:val="fr-FR"/>
        </w:rPr>
        <w:t xml:space="preserve"> 45</w:t>
      </w:r>
      <w:r w:rsidR="00F224D8" w:rsidRPr="00F224D8">
        <w:rPr>
          <w:iCs/>
          <w:lang w:val="fr-FR"/>
        </w:rPr>
        <w:t>.</w:t>
      </w:r>
    </w:p>
  </w:footnote>
  <w:footnote w:id="10">
    <w:p w14:paraId="5E6BD521"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sidRPr="00481ED2">
        <w:rPr>
          <w:i/>
          <w:lang w:val="fr-FR"/>
        </w:rPr>
        <w:t xml:space="preserve">Osiyuk </w:t>
      </w:r>
      <w:r w:rsidRPr="00573B76">
        <w:rPr>
          <w:i/>
          <w:lang w:val="fr-FR"/>
        </w:rPr>
        <w:t>c</w:t>
      </w:r>
      <w:r w:rsidR="00F224D8" w:rsidRPr="00F224D8">
        <w:rPr>
          <w:i/>
          <w:lang w:val="fr-FR"/>
        </w:rPr>
        <w:t>.</w:t>
      </w:r>
      <w:r w:rsidRPr="00481ED2">
        <w:rPr>
          <w:i/>
          <w:lang w:val="fr-FR"/>
        </w:rPr>
        <w:t xml:space="preserve"> B</w:t>
      </w:r>
      <w:r w:rsidRPr="00573B76">
        <w:rPr>
          <w:i/>
          <w:lang w:val="fr-FR"/>
        </w:rPr>
        <w:t>é</w:t>
      </w:r>
      <w:r w:rsidRPr="00481ED2">
        <w:rPr>
          <w:i/>
          <w:lang w:val="fr-FR"/>
        </w:rPr>
        <w:t>larus</w:t>
      </w:r>
      <w:r w:rsidRPr="00481ED2">
        <w:rPr>
          <w:lang w:val="fr-FR"/>
        </w:rPr>
        <w:t xml:space="preserve"> (CCPR/C/96/D/1311/2004), par</w:t>
      </w:r>
      <w:r w:rsidR="00F224D8" w:rsidRPr="00F224D8">
        <w:rPr>
          <w:lang w:val="fr-FR"/>
        </w:rPr>
        <w:t>.</w:t>
      </w:r>
      <w:r w:rsidRPr="00481ED2">
        <w:rPr>
          <w:lang w:val="fr-FR"/>
        </w:rPr>
        <w:t xml:space="preserve"> 7</w:t>
      </w:r>
      <w:r w:rsidR="00F224D8" w:rsidRPr="00F224D8">
        <w:rPr>
          <w:lang w:val="fr-FR"/>
        </w:rPr>
        <w:t>.</w:t>
      </w:r>
      <w:r w:rsidRPr="00481ED2">
        <w:rPr>
          <w:lang w:val="fr-FR"/>
        </w:rPr>
        <w:t>3</w:t>
      </w:r>
      <w:r w:rsidRPr="00573B76">
        <w:rPr>
          <w:lang w:val="fr-FR"/>
        </w:rPr>
        <w:t xml:space="preserve"> à </w:t>
      </w:r>
      <w:r w:rsidRPr="00481ED2">
        <w:rPr>
          <w:lang w:val="fr-FR"/>
        </w:rPr>
        <w:t>7</w:t>
      </w:r>
      <w:r w:rsidR="00F224D8" w:rsidRPr="00F224D8">
        <w:rPr>
          <w:lang w:val="fr-FR"/>
        </w:rPr>
        <w:t>.</w:t>
      </w:r>
      <w:r w:rsidRPr="00481ED2">
        <w:rPr>
          <w:lang w:val="fr-FR"/>
        </w:rPr>
        <w:t>4</w:t>
      </w:r>
      <w:r w:rsidR="00F224D8" w:rsidRPr="00F224D8">
        <w:rPr>
          <w:lang w:val="fr-FR"/>
        </w:rPr>
        <w:t>.</w:t>
      </w:r>
    </w:p>
  </w:footnote>
  <w:footnote w:id="11">
    <w:p w14:paraId="69DC3704" w14:textId="77777777" w:rsidR="00247721" w:rsidRPr="00573B76" w:rsidRDefault="00247721" w:rsidP="00E44C92">
      <w:pPr>
        <w:pStyle w:val="Notedebasdepage"/>
        <w:rPr>
          <w:lang w:val="fr-FR"/>
        </w:rPr>
      </w:pPr>
      <w:r w:rsidRPr="00573B76">
        <w:rPr>
          <w:lang w:val="fr-FR"/>
        </w:rPr>
        <w:tab/>
      </w:r>
      <w:r w:rsidRPr="00E44C92">
        <w:rPr>
          <w:rStyle w:val="Appelnotedebasdep"/>
        </w:rPr>
        <w:footnoteRef/>
      </w:r>
      <w:r w:rsidRPr="00573B76">
        <w:rPr>
          <w:lang w:val="fr-FR"/>
        </w:rPr>
        <w:tab/>
      </w:r>
      <w:r w:rsidRPr="008E0FB2">
        <w:rPr>
          <w:szCs w:val="18"/>
          <w:lang w:val="fr-FR"/>
        </w:rPr>
        <w:t>Voir</w:t>
      </w:r>
      <w:r w:rsidRPr="004E295D">
        <w:rPr>
          <w:szCs w:val="18"/>
          <w:lang w:val="fr-FR"/>
        </w:rPr>
        <w:t>, par exemple,</w:t>
      </w:r>
      <w:r w:rsidRPr="0047049A">
        <w:rPr>
          <w:szCs w:val="18"/>
          <w:lang w:val="fr-FR"/>
        </w:rPr>
        <w:t xml:space="preserve"> </w:t>
      </w:r>
      <w:r w:rsidRPr="00760D50">
        <w:rPr>
          <w:i/>
          <w:szCs w:val="18"/>
          <w:lang w:val="fr-FR"/>
        </w:rPr>
        <w:t>Alekseev c</w:t>
      </w:r>
      <w:r w:rsidR="00F224D8" w:rsidRPr="00F224D8">
        <w:rPr>
          <w:i/>
          <w:szCs w:val="18"/>
          <w:lang w:val="fr-FR"/>
        </w:rPr>
        <w:t>.</w:t>
      </w:r>
      <w:r w:rsidRPr="00760D50">
        <w:rPr>
          <w:i/>
          <w:szCs w:val="18"/>
          <w:lang w:val="fr-FR"/>
        </w:rPr>
        <w:t xml:space="preserve"> Fédération de Russie</w:t>
      </w:r>
      <w:r w:rsidRPr="00A8208F">
        <w:rPr>
          <w:szCs w:val="18"/>
          <w:lang w:val="fr-FR"/>
        </w:rPr>
        <w:t xml:space="preserve"> (CCPR/C/109/D/1873/2009), par</w:t>
      </w:r>
      <w:r w:rsidR="00F224D8" w:rsidRPr="00F224D8">
        <w:rPr>
          <w:szCs w:val="18"/>
          <w:lang w:val="fr-FR"/>
        </w:rPr>
        <w:t>.</w:t>
      </w:r>
      <w:r w:rsidRPr="00A8208F">
        <w:rPr>
          <w:szCs w:val="18"/>
          <w:lang w:val="fr-FR"/>
        </w:rPr>
        <w:t xml:space="preserve"> 8</w:t>
      </w:r>
      <w:r w:rsidR="00F224D8" w:rsidRPr="00F224D8">
        <w:rPr>
          <w:szCs w:val="18"/>
          <w:lang w:val="fr-FR"/>
        </w:rPr>
        <w:t>.</w:t>
      </w:r>
      <w:r w:rsidRPr="00A8208F">
        <w:rPr>
          <w:szCs w:val="18"/>
          <w:lang w:val="fr-FR"/>
        </w:rPr>
        <w:t>4</w:t>
      </w:r>
      <w:r w:rsidRPr="004E1652">
        <w:rPr>
          <w:szCs w:val="18"/>
          <w:lang w:val="fr-FR"/>
        </w:rPr>
        <w:t xml:space="preserve"> ; </w:t>
      </w:r>
      <w:r w:rsidRPr="004E1652">
        <w:rPr>
          <w:i/>
          <w:szCs w:val="18"/>
          <w:lang w:val="fr-FR"/>
        </w:rPr>
        <w:t>Lozenko</w:t>
      </w:r>
      <w:r w:rsidRPr="00AC77A9">
        <w:rPr>
          <w:szCs w:val="18"/>
          <w:lang w:val="fr-FR"/>
        </w:rPr>
        <w:t xml:space="preserve"> </w:t>
      </w:r>
      <w:r w:rsidRPr="00573B76">
        <w:rPr>
          <w:i/>
          <w:szCs w:val="18"/>
          <w:lang w:val="fr-FR"/>
        </w:rPr>
        <w:t>c</w:t>
      </w:r>
      <w:r w:rsidR="00F224D8" w:rsidRPr="00F224D8">
        <w:rPr>
          <w:i/>
          <w:szCs w:val="18"/>
          <w:lang w:val="fr-FR"/>
        </w:rPr>
        <w:t>.</w:t>
      </w:r>
      <w:r w:rsidRPr="00573B76">
        <w:rPr>
          <w:i/>
          <w:szCs w:val="18"/>
          <w:lang w:val="fr-FR"/>
        </w:rPr>
        <w:t xml:space="preserve"> Bélarus</w:t>
      </w:r>
      <w:r w:rsidRPr="00573B76">
        <w:rPr>
          <w:szCs w:val="18"/>
          <w:lang w:val="fr-FR"/>
        </w:rPr>
        <w:t xml:space="preserve"> (CCPR/C/112/D/1929/2010), par</w:t>
      </w:r>
      <w:r w:rsidR="00F224D8" w:rsidRPr="00F224D8">
        <w:rPr>
          <w:szCs w:val="18"/>
          <w:lang w:val="fr-FR"/>
        </w:rPr>
        <w:t>.</w:t>
      </w:r>
      <w:r w:rsidRPr="00573B76">
        <w:rPr>
          <w:szCs w:val="18"/>
          <w:lang w:val="fr-FR"/>
        </w:rPr>
        <w:t xml:space="preserve"> 6</w:t>
      </w:r>
      <w:r w:rsidR="00F224D8" w:rsidRPr="00F224D8">
        <w:rPr>
          <w:szCs w:val="18"/>
          <w:lang w:val="fr-FR"/>
        </w:rPr>
        <w:t>.</w:t>
      </w:r>
      <w:r w:rsidRPr="00573B76">
        <w:rPr>
          <w:szCs w:val="18"/>
          <w:lang w:val="fr-FR"/>
        </w:rPr>
        <w:t>3 ;</w:t>
      </w:r>
      <w:r w:rsidRPr="00573B76">
        <w:rPr>
          <w:szCs w:val="18"/>
          <w:lang w:val="fr-FR" w:eastAsia="en-GB"/>
        </w:rPr>
        <w:t xml:space="preserve"> </w:t>
      </w:r>
      <w:r w:rsidRPr="00573B76">
        <w:rPr>
          <w:i/>
          <w:iCs/>
          <w:szCs w:val="18"/>
          <w:lang w:val="fr-FR" w:eastAsia="en-GB"/>
        </w:rPr>
        <w:t>Sudalenko c</w:t>
      </w:r>
      <w:r w:rsidR="00F224D8" w:rsidRPr="00F224D8">
        <w:rPr>
          <w:i/>
          <w:iCs/>
          <w:szCs w:val="18"/>
          <w:lang w:val="fr-FR" w:eastAsia="en-GB"/>
        </w:rPr>
        <w:t>.</w:t>
      </w:r>
      <w:r w:rsidRPr="00573B76">
        <w:rPr>
          <w:szCs w:val="18"/>
          <w:lang w:val="fr-FR" w:eastAsia="en-GB"/>
        </w:rPr>
        <w:t xml:space="preserve"> </w:t>
      </w:r>
      <w:r w:rsidRPr="00573B76">
        <w:rPr>
          <w:i/>
          <w:iCs/>
          <w:szCs w:val="18"/>
          <w:lang w:val="fr-FR" w:eastAsia="en-GB"/>
        </w:rPr>
        <w:t>Bélarus</w:t>
      </w:r>
      <w:r w:rsidRPr="00573B76">
        <w:rPr>
          <w:iCs/>
          <w:szCs w:val="18"/>
          <w:lang w:val="fr-FR" w:eastAsia="en-GB"/>
        </w:rPr>
        <w:t xml:space="preserve"> (CCPR/C/115/D/2016/2010)</w:t>
      </w:r>
      <w:r w:rsidRPr="00573B76">
        <w:rPr>
          <w:szCs w:val="18"/>
          <w:lang w:val="fr-FR" w:eastAsia="en-GB"/>
        </w:rPr>
        <w:t>, par</w:t>
      </w:r>
      <w:r w:rsidR="00F224D8" w:rsidRPr="00F224D8">
        <w:rPr>
          <w:szCs w:val="18"/>
          <w:lang w:val="fr-FR" w:eastAsia="en-GB"/>
        </w:rPr>
        <w:t>.</w:t>
      </w:r>
      <w:r w:rsidRPr="00573B76">
        <w:rPr>
          <w:szCs w:val="18"/>
          <w:lang w:val="fr-FR" w:eastAsia="en-GB"/>
        </w:rPr>
        <w:t xml:space="preserve"> 7</w:t>
      </w:r>
      <w:r w:rsidR="00F224D8" w:rsidRPr="00F224D8">
        <w:rPr>
          <w:szCs w:val="18"/>
          <w:lang w:val="fr-FR" w:eastAsia="en-GB"/>
        </w:rPr>
        <w:t>.</w:t>
      </w:r>
      <w:r w:rsidRPr="00573B76">
        <w:rPr>
          <w:szCs w:val="18"/>
          <w:lang w:val="fr-FR" w:eastAsia="en-GB"/>
        </w:rPr>
        <w:t xml:space="preserve">3 ; </w:t>
      </w:r>
      <w:r w:rsidRPr="00573B76">
        <w:rPr>
          <w:i/>
          <w:szCs w:val="18"/>
          <w:lang w:val="fr-FR" w:eastAsia="en-GB"/>
        </w:rPr>
        <w:t>Koreshkov c</w:t>
      </w:r>
      <w:r w:rsidR="00F224D8" w:rsidRPr="00F224D8">
        <w:rPr>
          <w:i/>
          <w:szCs w:val="18"/>
          <w:lang w:val="fr-FR" w:eastAsia="en-GB"/>
        </w:rPr>
        <w:t>.</w:t>
      </w:r>
      <w:r w:rsidRPr="00573B76">
        <w:rPr>
          <w:i/>
          <w:szCs w:val="18"/>
          <w:lang w:val="fr-FR" w:eastAsia="en-GB"/>
        </w:rPr>
        <w:t xml:space="preserve"> Bélarus</w:t>
      </w:r>
      <w:r w:rsidRPr="00573B76">
        <w:rPr>
          <w:szCs w:val="18"/>
          <w:lang w:val="fr-FR" w:eastAsia="en-GB"/>
        </w:rPr>
        <w:t xml:space="preserve"> (CCPR/C/121/D/2168/2012), par</w:t>
      </w:r>
      <w:r w:rsidR="00F224D8" w:rsidRPr="00F224D8">
        <w:rPr>
          <w:szCs w:val="18"/>
          <w:lang w:val="fr-FR" w:eastAsia="en-GB"/>
        </w:rPr>
        <w:t>.</w:t>
      </w:r>
      <w:r w:rsidRPr="00573B76">
        <w:rPr>
          <w:szCs w:val="18"/>
          <w:lang w:val="fr-FR" w:eastAsia="en-GB"/>
        </w:rPr>
        <w:t xml:space="preserve"> 7</w:t>
      </w:r>
      <w:r w:rsidR="00F224D8" w:rsidRPr="00F224D8">
        <w:rPr>
          <w:szCs w:val="18"/>
          <w:lang w:val="fr-FR" w:eastAsia="en-GB"/>
        </w:rPr>
        <w:t>.</w:t>
      </w:r>
      <w:r w:rsidRPr="00573B76">
        <w:rPr>
          <w:szCs w:val="18"/>
          <w:lang w:val="fr-FR" w:eastAsia="en-GB"/>
        </w:rPr>
        <w:t xml:space="preserve">3 ; et </w:t>
      </w:r>
      <w:r w:rsidRPr="00573B76">
        <w:rPr>
          <w:i/>
          <w:szCs w:val="18"/>
          <w:lang w:val="fr-FR" w:eastAsia="en-GB"/>
        </w:rPr>
        <w:t>Abromchik c</w:t>
      </w:r>
      <w:r w:rsidR="00F224D8" w:rsidRPr="00F224D8">
        <w:rPr>
          <w:i/>
          <w:szCs w:val="18"/>
          <w:lang w:val="fr-FR" w:eastAsia="en-GB"/>
        </w:rPr>
        <w:t>.</w:t>
      </w:r>
      <w:r w:rsidRPr="00573B76">
        <w:rPr>
          <w:i/>
          <w:szCs w:val="18"/>
          <w:lang w:val="fr-FR" w:eastAsia="en-GB"/>
        </w:rPr>
        <w:t xml:space="preserve"> Bélarus</w:t>
      </w:r>
      <w:r w:rsidRPr="00573B76">
        <w:rPr>
          <w:szCs w:val="18"/>
          <w:lang w:val="fr-FR" w:eastAsia="en-GB"/>
        </w:rPr>
        <w:t xml:space="preserve"> (CCPR/C/122/D/2228/2012), par 9</w:t>
      </w:r>
      <w:r w:rsidR="00F224D8" w:rsidRPr="00F224D8">
        <w:rPr>
          <w:szCs w:val="18"/>
          <w:lang w:val="fr-FR" w:eastAsia="en-GB"/>
        </w:rPr>
        <w:t>.</w:t>
      </w:r>
      <w:r w:rsidRPr="00573B76">
        <w:rPr>
          <w:szCs w:val="18"/>
          <w:lang w:val="fr-FR" w:eastAsia="en-GB"/>
        </w:rPr>
        <w:t>3</w:t>
      </w:r>
      <w:r w:rsidR="00F224D8" w:rsidRPr="00F224D8">
        <w:rPr>
          <w:szCs w:val="18"/>
          <w:lang w:val="fr-FR" w:eastAsia="en-GB"/>
        </w:rPr>
        <w:t>.</w:t>
      </w:r>
    </w:p>
  </w:footnote>
  <w:footnote w:id="12">
    <w:p w14:paraId="40378119" w14:textId="77777777" w:rsidR="00247721" w:rsidRPr="00481ED2" w:rsidRDefault="00247721" w:rsidP="00E44C92">
      <w:pPr>
        <w:pStyle w:val="Notedebasdepage"/>
        <w:rPr>
          <w:lang w:val="fr-FR"/>
        </w:rPr>
      </w:pPr>
      <w:r w:rsidRPr="00573B76">
        <w:rPr>
          <w:lang w:val="fr-FR"/>
        </w:rPr>
        <w:tab/>
      </w:r>
      <w:r w:rsidRPr="00E44C92">
        <w:rPr>
          <w:rStyle w:val="Appelnotedebasdep"/>
        </w:rPr>
        <w:footnoteRef/>
      </w:r>
      <w:r w:rsidRPr="00573B76">
        <w:rPr>
          <w:lang w:val="fr-FR"/>
        </w:rPr>
        <w:tab/>
        <w:t>Voir</w:t>
      </w:r>
      <w:r w:rsidRPr="008E0FB2">
        <w:rPr>
          <w:lang w:val="fr-FR"/>
        </w:rPr>
        <w:t>, par exemple,</w:t>
      </w:r>
      <w:r w:rsidRPr="004E295D">
        <w:rPr>
          <w:lang w:val="fr-FR"/>
        </w:rPr>
        <w:t xml:space="preserve"> </w:t>
      </w:r>
      <w:r w:rsidRPr="004E295D">
        <w:rPr>
          <w:i/>
          <w:lang w:val="fr-FR"/>
        </w:rPr>
        <w:t>Gelazauskas c</w:t>
      </w:r>
      <w:r w:rsidR="00F224D8" w:rsidRPr="00F224D8">
        <w:rPr>
          <w:i/>
          <w:lang w:val="fr-FR"/>
        </w:rPr>
        <w:t>.</w:t>
      </w:r>
      <w:r w:rsidRPr="004E295D">
        <w:rPr>
          <w:i/>
          <w:lang w:val="fr-FR"/>
        </w:rPr>
        <w:t xml:space="preserve"> Lituanie </w:t>
      </w:r>
      <w:r w:rsidRPr="0047049A">
        <w:rPr>
          <w:lang w:val="fr-FR"/>
        </w:rPr>
        <w:t>(CCPR/C/77/D/836/1998), par</w:t>
      </w:r>
      <w:r w:rsidR="00F224D8" w:rsidRPr="00F224D8">
        <w:rPr>
          <w:lang w:val="fr-FR"/>
        </w:rPr>
        <w:t>.</w:t>
      </w:r>
      <w:r w:rsidRPr="0047049A">
        <w:rPr>
          <w:lang w:val="fr-FR"/>
        </w:rPr>
        <w:t xml:space="preserve"> 7</w:t>
      </w:r>
      <w:r w:rsidR="00F224D8" w:rsidRPr="00F224D8">
        <w:rPr>
          <w:lang w:val="fr-FR"/>
        </w:rPr>
        <w:t>.</w:t>
      </w:r>
      <w:r w:rsidRPr="0047049A">
        <w:rPr>
          <w:lang w:val="fr-FR"/>
        </w:rPr>
        <w:t>4</w:t>
      </w:r>
      <w:r w:rsidRPr="00760D50">
        <w:rPr>
          <w:lang w:val="fr-FR"/>
        </w:rPr>
        <w:t> </w:t>
      </w:r>
      <w:r w:rsidRPr="00A8208F">
        <w:rPr>
          <w:lang w:val="fr-FR"/>
        </w:rPr>
        <w:t xml:space="preserve">; </w:t>
      </w:r>
      <w:r w:rsidRPr="004E1652">
        <w:rPr>
          <w:i/>
          <w:lang w:val="fr-FR"/>
        </w:rPr>
        <w:t>Sekerko c</w:t>
      </w:r>
      <w:r w:rsidR="00F224D8" w:rsidRPr="00F224D8">
        <w:rPr>
          <w:i/>
          <w:lang w:val="fr-FR"/>
        </w:rPr>
        <w:t>.</w:t>
      </w:r>
      <w:r w:rsidRPr="004E1652">
        <w:rPr>
          <w:i/>
          <w:lang w:val="fr-FR"/>
        </w:rPr>
        <w:t xml:space="preserve"> Bélarus </w:t>
      </w:r>
      <w:r w:rsidRPr="00573B76">
        <w:rPr>
          <w:lang w:val="fr-FR"/>
        </w:rPr>
        <w:t>(CCPR/C/109/D/1851/2008), par</w:t>
      </w:r>
      <w:r w:rsidR="00F224D8" w:rsidRPr="00F224D8">
        <w:rPr>
          <w:lang w:val="fr-FR"/>
        </w:rPr>
        <w:t>.</w:t>
      </w:r>
      <w:r w:rsidRPr="00573B76">
        <w:rPr>
          <w:lang w:val="fr-FR"/>
        </w:rPr>
        <w:t xml:space="preserve"> 8</w:t>
      </w:r>
      <w:r w:rsidR="00F224D8" w:rsidRPr="00F224D8">
        <w:rPr>
          <w:lang w:val="fr-FR"/>
        </w:rPr>
        <w:t>.</w:t>
      </w:r>
      <w:r w:rsidRPr="00573B76">
        <w:rPr>
          <w:lang w:val="fr-FR"/>
        </w:rPr>
        <w:t xml:space="preserve">3 ; </w:t>
      </w:r>
      <w:r w:rsidRPr="00573B76">
        <w:rPr>
          <w:i/>
          <w:lang w:val="fr-FR"/>
        </w:rPr>
        <w:t>Protsko et Tolchin c</w:t>
      </w:r>
      <w:r w:rsidR="00F224D8" w:rsidRPr="00F224D8">
        <w:rPr>
          <w:i/>
          <w:lang w:val="fr-FR"/>
        </w:rPr>
        <w:t>.</w:t>
      </w:r>
      <w:r w:rsidRPr="00573B76">
        <w:rPr>
          <w:i/>
          <w:lang w:val="fr-FR"/>
        </w:rPr>
        <w:t xml:space="preserve"> Bélarus </w:t>
      </w:r>
      <w:r w:rsidRPr="00573B76">
        <w:rPr>
          <w:lang w:val="fr-FR"/>
        </w:rPr>
        <w:t>(CCPR/C/109/D/1919/2009 et 1920/2009), par</w:t>
      </w:r>
      <w:r w:rsidR="00F224D8" w:rsidRPr="00F224D8">
        <w:rPr>
          <w:lang w:val="fr-FR"/>
        </w:rPr>
        <w:t>.</w:t>
      </w:r>
      <w:r w:rsidRPr="00573B76">
        <w:rPr>
          <w:lang w:val="fr-FR"/>
        </w:rPr>
        <w:t xml:space="preserve"> 6</w:t>
      </w:r>
      <w:r w:rsidR="00F224D8" w:rsidRPr="00F224D8">
        <w:rPr>
          <w:lang w:val="fr-FR"/>
        </w:rPr>
        <w:t>.</w:t>
      </w:r>
      <w:r w:rsidRPr="00573B76">
        <w:rPr>
          <w:lang w:val="fr-FR"/>
        </w:rPr>
        <w:t xml:space="preserve">5 ; </w:t>
      </w:r>
      <w:r w:rsidRPr="00573B76">
        <w:rPr>
          <w:i/>
          <w:lang w:val="fr-FR"/>
        </w:rPr>
        <w:t>Schumilin c</w:t>
      </w:r>
      <w:r w:rsidR="00F224D8" w:rsidRPr="00F224D8">
        <w:rPr>
          <w:i/>
          <w:lang w:val="fr-FR"/>
        </w:rPr>
        <w:t>.</w:t>
      </w:r>
      <w:r w:rsidRPr="00573B76">
        <w:rPr>
          <w:i/>
          <w:lang w:val="fr-FR"/>
        </w:rPr>
        <w:t xml:space="preserve"> Bélarus </w:t>
      </w:r>
      <w:r w:rsidRPr="00573B76">
        <w:rPr>
          <w:lang w:val="fr-FR"/>
        </w:rPr>
        <w:t>(CCPR/C/105/D/1784/2008), par</w:t>
      </w:r>
      <w:r w:rsidR="00F224D8" w:rsidRPr="00F224D8">
        <w:rPr>
          <w:lang w:val="fr-FR"/>
        </w:rPr>
        <w:t>.</w:t>
      </w:r>
      <w:r w:rsidRPr="00573B76">
        <w:rPr>
          <w:lang w:val="fr-FR"/>
        </w:rPr>
        <w:t xml:space="preserve"> 8</w:t>
      </w:r>
      <w:r w:rsidR="00F224D8" w:rsidRPr="00F224D8">
        <w:rPr>
          <w:lang w:val="fr-FR"/>
        </w:rPr>
        <w:t>.</w:t>
      </w:r>
      <w:r w:rsidRPr="00573B76">
        <w:rPr>
          <w:lang w:val="fr-FR"/>
        </w:rPr>
        <w:t xml:space="preserve">3 ; </w:t>
      </w:r>
      <w:r w:rsidRPr="00573B76">
        <w:rPr>
          <w:i/>
          <w:lang w:val="fr-FR"/>
        </w:rPr>
        <w:t>P</w:t>
      </w:r>
      <w:r w:rsidR="00F224D8" w:rsidRPr="00F224D8">
        <w:rPr>
          <w:i/>
          <w:lang w:val="fr-FR"/>
        </w:rPr>
        <w:t>.</w:t>
      </w:r>
      <w:r w:rsidRPr="00573B76">
        <w:rPr>
          <w:i/>
          <w:lang w:val="fr-FR"/>
        </w:rPr>
        <w:t> L</w:t>
      </w:r>
      <w:r w:rsidR="00F224D8" w:rsidRPr="00F224D8">
        <w:rPr>
          <w:i/>
          <w:lang w:val="fr-FR"/>
        </w:rPr>
        <w:t>.</w:t>
      </w:r>
      <w:r w:rsidRPr="00573B76">
        <w:rPr>
          <w:i/>
          <w:lang w:val="fr-FR"/>
        </w:rPr>
        <w:t xml:space="preserve"> c</w:t>
      </w:r>
      <w:r w:rsidR="00F224D8" w:rsidRPr="00F224D8">
        <w:rPr>
          <w:i/>
          <w:lang w:val="fr-FR"/>
        </w:rPr>
        <w:t>.</w:t>
      </w:r>
      <w:r w:rsidRPr="00573B76">
        <w:rPr>
          <w:i/>
          <w:lang w:val="fr-FR"/>
        </w:rPr>
        <w:t xml:space="preserve"> Bélarus</w:t>
      </w:r>
      <w:r w:rsidRPr="00573B76">
        <w:rPr>
          <w:lang w:val="fr-FR"/>
        </w:rPr>
        <w:t xml:space="preserve"> (CCPR/C/102/D/1814/2008), par</w:t>
      </w:r>
      <w:r w:rsidR="00F224D8" w:rsidRPr="00F224D8">
        <w:rPr>
          <w:lang w:val="fr-FR"/>
        </w:rPr>
        <w:t>.</w:t>
      </w:r>
      <w:r w:rsidRPr="00573B76">
        <w:rPr>
          <w:lang w:val="fr-FR"/>
        </w:rPr>
        <w:t xml:space="preserve"> </w:t>
      </w:r>
      <w:r w:rsidRPr="00481ED2">
        <w:rPr>
          <w:lang w:val="fr-FR"/>
        </w:rPr>
        <w:t>6</w:t>
      </w:r>
      <w:r w:rsidR="00F224D8" w:rsidRPr="00F224D8">
        <w:rPr>
          <w:lang w:val="fr-FR"/>
        </w:rPr>
        <w:t>.</w:t>
      </w:r>
      <w:r w:rsidRPr="00481ED2">
        <w:rPr>
          <w:lang w:val="fr-FR"/>
        </w:rPr>
        <w:t xml:space="preserve">2 ; et </w:t>
      </w:r>
      <w:r w:rsidRPr="00481ED2">
        <w:rPr>
          <w:i/>
          <w:lang w:val="fr-FR"/>
        </w:rPr>
        <w:t>Jamshidian c</w:t>
      </w:r>
      <w:r w:rsidR="00F224D8" w:rsidRPr="00F224D8">
        <w:rPr>
          <w:i/>
          <w:lang w:val="fr-FR"/>
        </w:rPr>
        <w:t>.</w:t>
      </w:r>
      <w:r w:rsidRPr="00481ED2">
        <w:rPr>
          <w:i/>
          <w:lang w:val="fr-FR"/>
        </w:rPr>
        <w:t xml:space="preserve"> Bélarus</w:t>
      </w:r>
      <w:r w:rsidRPr="00481ED2">
        <w:rPr>
          <w:lang w:val="fr-FR"/>
        </w:rPr>
        <w:t xml:space="preserve"> (CCPR/C/121/D/2471/2014), par 8</w:t>
      </w:r>
      <w:r w:rsidR="00F224D8" w:rsidRPr="00F224D8">
        <w:rPr>
          <w:lang w:val="fr-FR"/>
        </w:rPr>
        <w:t>.</w:t>
      </w:r>
      <w:r w:rsidRPr="00481ED2">
        <w:rPr>
          <w:lang w:val="fr-FR"/>
        </w:rPr>
        <w:t>7</w:t>
      </w:r>
      <w:r w:rsidR="00F224D8" w:rsidRPr="00F224D8">
        <w:rPr>
          <w:lang w:val="fr-FR"/>
        </w:rPr>
        <w:t>.</w:t>
      </w:r>
    </w:p>
  </w:footnote>
  <w:footnote w:id="13">
    <w:p w14:paraId="2C608475"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t>Art</w:t>
      </w:r>
      <w:r w:rsidR="00F224D8" w:rsidRPr="00F224D8">
        <w:rPr>
          <w:lang w:val="fr-FR"/>
        </w:rPr>
        <w:t>.</w:t>
      </w:r>
      <w:r>
        <w:rPr>
          <w:lang w:val="fr-FR"/>
        </w:rPr>
        <w:t> </w:t>
      </w:r>
      <w:r w:rsidRPr="00481ED2">
        <w:rPr>
          <w:lang w:val="fr-FR"/>
        </w:rPr>
        <w:t>9</w:t>
      </w:r>
      <w:r w:rsidRPr="00573B76">
        <w:rPr>
          <w:lang w:val="fr-FR"/>
        </w:rPr>
        <w:t>9</w:t>
      </w:r>
      <w:r w:rsidRPr="00481ED2">
        <w:rPr>
          <w:lang w:val="fr-FR"/>
        </w:rPr>
        <w:t xml:space="preserve"> b) du règlement intérieur du Comité</w:t>
      </w:r>
      <w:r w:rsidR="00F224D8" w:rsidRPr="00F224D8">
        <w:rPr>
          <w:lang w:val="fr-FR"/>
        </w:rPr>
        <w:t>.</w:t>
      </w:r>
    </w:p>
  </w:footnote>
  <w:footnote w:id="14">
    <w:p w14:paraId="0DC65752"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t xml:space="preserve">Voir, par exemple, </w:t>
      </w:r>
      <w:r w:rsidRPr="00481ED2">
        <w:rPr>
          <w:i/>
          <w:lang w:val="fr-FR"/>
        </w:rPr>
        <w:t>Samathanam c</w:t>
      </w:r>
      <w:r w:rsidR="00F224D8" w:rsidRPr="00F224D8">
        <w:rPr>
          <w:i/>
          <w:lang w:val="fr-FR"/>
        </w:rPr>
        <w:t>.</w:t>
      </w:r>
      <w:r w:rsidRPr="00481ED2">
        <w:rPr>
          <w:i/>
          <w:lang w:val="fr-FR"/>
        </w:rPr>
        <w:t xml:space="preserve"> Sri Lanka</w:t>
      </w:r>
      <w:r w:rsidRPr="00481ED2">
        <w:rPr>
          <w:lang w:val="fr-FR"/>
        </w:rPr>
        <w:t xml:space="preserve"> (CCPR/C/118/D/2412/2014), par</w:t>
      </w:r>
      <w:r w:rsidR="00F224D8" w:rsidRPr="00F224D8">
        <w:rPr>
          <w:lang w:val="fr-FR"/>
        </w:rPr>
        <w:t>.</w:t>
      </w:r>
      <w:r w:rsidRPr="00481ED2">
        <w:rPr>
          <w:lang w:val="fr-FR"/>
        </w:rPr>
        <w:t xml:space="preserve"> 4</w:t>
      </w:r>
      <w:r w:rsidR="00F224D8" w:rsidRPr="00F224D8">
        <w:rPr>
          <w:lang w:val="fr-FR"/>
        </w:rPr>
        <w:t>.</w:t>
      </w:r>
      <w:r w:rsidRPr="00481ED2">
        <w:rPr>
          <w:lang w:val="fr-FR"/>
        </w:rPr>
        <w:t>2</w:t>
      </w:r>
      <w:r w:rsidR="00DA09BB">
        <w:rPr>
          <w:lang w:val="fr-FR"/>
        </w:rPr>
        <w:t> </w:t>
      </w:r>
      <w:r w:rsidRPr="00481ED2">
        <w:rPr>
          <w:lang w:val="fr-FR"/>
        </w:rPr>
        <w:t xml:space="preserve">; et </w:t>
      </w:r>
      <w:r w:rsidRPr="00481ED2">
        <w:rPr>
          <w:i/>
          <w:iCs/>
          <w:lang w:val="fr-FR"/>
        </w:rPr>
        <w:t>Diergaardt et consorts c</w:t>
      </w:r>
      <w:r w:rsidR="00F224D8" w:rsidRPr="00F224D8">
        <w:rPr>
          <w:i/>
          <w:iCs/>
          <w:lang w:val="fr-FR"/>
        </w:rPr>
        <w:t>.</w:t>
      </w:r>
      <w:r w:rsidRPr="00481ED2">
        <w:rPr>
          <w:i/>
          <w:iCs/>
          <w:lang w:val="fr-FR"/>
        </w:rPr>
        <w:t xml:space="preserve"> Namibie </w:t>
      </w:r>
      <w:r w:rsidRPr="00481ED2">
        <w:rPr>
          <w:iCs/>
          <w:lang w:val="fr-FR"/>
        </w:rPr>
        <w:t>(CCPR/C/69/D/760/1997), par</w:t>
      </w:r>
      <w:r w:rsidR="00F224D8" w:rsidRPr="00F224D8">
        <w:rPr>
          <w:iCs/>
          <w:lang w:val="fr-FR"/>
        </w:rPr>
        <w:t>.</w:t>
      </w:r>
      <w:r w:rsidRPr="00481ED2">
        <w:rPr>
          <w:iCs/>
          <w:lang w:val="fr-FR"/>
        </w:rPr>
        <w:t xml:space="preserve"> 10</w:t>
      </w:r>
      <w:r w:rsidR="00F224D8" w:rsidRPr="00F224D8">
        <w:rPr>
          <w:iCs/>
          <w:lang w:val="fr-FR"/>
        </w:rPr>
        <w:t>.</w:t>
      </w:r>
      <w:r w:rsidRPr="00481ED2">
        <w:rPr>
          <w:iCs/>
          <w:lang w:val="fr-FR"/>
        </w:rPr>
        <w:t>2</w:t>
      </w:r>
      <w:r w:rsidR="00F224D8" w:rsidRPr="00F224D8">
        <w:rPr>
          <w:iCs/>
          <w:lang w:val="fr-FR"/>
        </w:rPr>
        <w:t>.</w:t>
      </w:r>
    </w:p>
  </w:footnote>
  <w:footnote w:id="15">
    <w:p w14:paraId="0D109DF6"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t xml:space="preserve">Observation générale </w:t>
      </w:r>
      <w:r w:rsidRPr="00481ED2">
        <w:rPr>
          <w:rFonts w:eastAsia="MS Mincho"/>
          <w:lang w:val="fr-FR"/>
        </w:rPr>
        <w:t>n</w:t>
      </w:r>
      <w:r w:rsidRPr="00481ED2">
        <w:rPr>
          <w:rFonts w:eastAsia="MS Mincho"/>
          <w:vertAlign w:val="superscript"/>
          <w:lang w:val="fr-FR"/>
        </w:rPr>
        <w:t>o</w:t>
      </w:r>
      <w:r>
        <w:rPr>
          <w:lang w:val="fr-FR"/>
        </w:rPr>
        <w:t> </w:t>
      </w:r>
      <w:r w:rsidRPr="00481ED2">
        <w:rPr>
          <w:lang w:val="fr-FR"/>
        </w:rPr>
        <w:t>34</w:t>
      </w:r>
      <w:r w:rsidRPr="00481ED2">
        <w:rPr>
          <w:iCs/>
          <w:lang w:val="fr-FR"/>
        </w:rPr>
        <w:t xml:space="preserve">, </w:t>
      </w:r>
      <w:r w:rsidRPr="00481ED2">
        <w:rPr>
          <w:lang w:val="fr-FR"/>
        </w:rPr>
        <w:t>par</w:t>
      </w:r>
      <w:r w:rsidR="00F224D8" w:rsidRPr="00F224D8">
        <w:rPr>
          <w:lang w:val="fr-FR"/>
        </w:rPr>
        <w:t>.</w:t>
      </w:r>
      <w:r w:rsidRPr="00481ED2">
        <w:rPr>
          <w:lang w:val="fr-FR"/>
        </w:rPr>
        <w:t xml:space="preserve"> 22</w:t>
      </w:r>
      <w:r w:rsidR="00F224D8" w:rsidRPr="00F224D8">
        <w:rPr>
          <w:lang w:val="fr-FR"/>
        </w:rPr>
        <w:t>.</w:t>
      </w:r>
      <w:r w:rsidRPr="00481ED2">
        <w:rPr>
          <w:lang w:val="fr-FR"/>
        </w:rPr>
        <w:t xml:space="preserve"> </w:t>
      </w:r>
      <w:r>
        <w:rPr>
          <w:lang w:val="fr-FR"/>
        </w:rPr>
        <w:t>Voir aussi, par exemple</w:t>
      </w:r>
      <w:r w:rsidRPr="00481ED2">
        <w:rPr>
          <w:lang w:val="fr-FR"/>
        </w:rPr>
        <w:t xml:space="preserve">, </w:t>
      </w:r>
      <w:r w:rsidRPr="00481ED2">
        <w:rPr>
          <w:i/>
          <w:lang w:val="fr-FR"/>
        </w:rPr>
        <w:t xml:space="preserve">Turchenyak et </w:t>
      </w:r>
      <w:r>
        <w:rPr>
          <w:i/>
          <w:lang w:val="fr-FR"/>
        </w:rPr>
        <w:t>consorts c</w:t>
      </w:r>
      <w:r w:rsidR="00F224D8" w:rsidRPr="00F224D8">
        <w:rPr>
          <w:i/>
          <w:lang w:val="fr-FR"/>
        </w:rPr>
        <w:t>.</w:t>
      </w:r>
      <w:r w:rsidRPr="00481ED2">
        <w:rPr>
          <w:i/>
          <w:lang w:val="fr-FR"/>
        </w:rPr>
        <w:t xml:space="preserve"> B</w:t>
      </w:r>
      <w:r>
        <w:rPr>
          <w:i/>
          <w:lang w:val="fr-FR"/>
        </w:rPr>
        <w:t>é</w:t>
      </w:r>
      <w:r w:rsidRPr="00481ED2">
        <w:rPr>
          <w:i/>
          <w:lang w:val="fr-FR"/>
        </w:rPr>
        <w:t>larus</w:t>
      </w:r>
      <w:r w:rsidRPr="00481ED2">
        <w:rPr>
          <w:lang w:val="fr-FR"/>
        </w:rPr>
        <w:t xml:space="preserve"> (CCPR/C/108/D/1948/2010), par</w:t>
      </w:r>
      <w:r w:rsidR="00F224D8" w:rsidRPr="00F224D8">
        <w:rPr>
          <w:lang w:val="fr-FR"/>
        </w:rPr>
        <w:t>.</w:t>
      </w:r>
      <w:r w:rsidRPr="00481ED2">
        <w:rPr>
          <w:lang w:val="fr-FR"/>
        </w:rPr>
        <w:t xml:space="preserve"> 7</w:t>
      </w:r>
      <w:r w:rsidR="00F224D8" w:rsidRPr="00F224D8">
        <w:rPr>
          <w:lang w:val="fr-FR"/>
        </w:rPr>
        <w:t>.</w:t>
      </w:r>
      <w:r w:rsidRPr="00481ED2">
        <w:rPr>
          <w:lang w:val="fr-FR"/>
        </w:rPr>
        <w:t>7</w:t>
      </w:r>
      <w:r>
        <w:rPr>
          <w:lang w:val="fr-FR"/>
        </w:rPr>
        <w:t> </w:t>
      </w:r>
      <w:r w:rsidRPr="00481ED2">
        <w:rPr>
          <w:lang w:val="fr-FR"/>
        </w:rPr>
        <w:t xml:space="preserve">; </w:t>
      </w:r>
      <w:bookmarkStart w:id="8" w:name="_Hlk20813483"/>
      <w:r w:rsidRPr="00481ED2">
        <w:rPr>
          <w:i/>
          <w:lang w:val="fr-FR"/>
        </w:rPr>
        <w:t xml:space="preserve">Korol </w:t>
      </w:r>
      <w:r>
        <w:rPr>
          <w:i/>
          <w:lang w:val="fr-FR"/>
        </w:rPr>
        <w:t>c</w:t>
      </w:r>
      <w:r w:rsidR="00F224D8" w:rsidRPr="00F224D8">
        <w:rPr>
          <w:i/>
          <w:lang w:val="fr-FR"/>
        </w:rPr>
        <w:t>.</w:t>
      </w:r>
      <w:r w:rsidRPr="00481ED2">
        <w:rPr>
          <w:i/>
          <w:lang w:val="fr-FR"/>
        </w:rPr>
        <w:t xml:space="preserve"> B</w:t>
      </w:r>
      <w:r>
        <w:rPr>
          <w:i/>
          <w:lang w:val="fr-FR"/>
        </w:rPr>
        <w:t>é</w:t>
      </w:r>
      <w:r w:rsidRPr="00481ED2">
        <w:rPr>
          <w:i/>
          <w:lang w:val="fr-FR"/>
        </w:rPr>
        <w:t>larus</w:t>
      </w:r>
      <w:r w:rsidRPr="00481ED2">
        <w:rPr>
          <w:lang w:val="fr-FR"/>
        </w:rPr>
        <w:t xml:space="preserve"> (CCPR/C/117/D/2089/2011)</w:t>
      </w:r>
      <w:bookmarkEnd w:id="8"/>
      <w:r w:rsidRPr="00481ED2">
        <w:rPr>
          <w:i/>
          <w:lang w:val="fr-FR"/>
        </w:rPr>
        <w:t>,</w:t>
      </w:r>
      <w:r w:rsidRPr="00481ED2">
        <w:rPr>
          <w:lang w:val="fr-FR"/>
        </w:rPr>
        <w:t xml:space="preserve"> par</w:t>
      </w:r>
      <w:r w:rsidR="00F224D8" w:rsidRPr="00F224D8">
        <w:rPr>
          <w:lang w:val="fr-FR"/>
        </w:rPr>
        <w:t>.</w:t>
      </w:r>
      <w:r w:rsidRPr="00481ED2">
        <w:rPr>
          <w:lang w:val="fr-FR"/>
        </w:rPr>
        <w:t xml:space="preserve"> 7</w:t>
      </w:r>
      <w:r w:rsidR="00F224D8" w:rsidRPr="00F224D8">
        <w:rPr>
          <w:lang w:val="fr-FR"/>
        </w:rPr>
        <w:t>.</w:t>
      </w:r>
      <w:r w:rsidRPr="00481ED2">
        <w:rPr>
          <w:lang w:val="fr-FR"/>
        </w:rPr>
        <w:t>3</w:t>
      </w:r>
      <w:r>
        <w:rPr>
          <w:lang w:val="fr-FR"/>
        </w:rPr>
        <w:t> </w:t>
      </w:r>
      <w:r w:rsidRPr="00481ED2">
        <w:rPr>
          <w:lang w:val="fr-FR"/>
        </w:rPr>
        <w:t xml:space="preserve">; </w:t>
      </w:r>
      <w:bookmarkStart w:id="9" w:name="_Hlk20813444"/>
      <w:r>
        <w:rPr>
          <w:lang w:val="fr-FR"/>
        </w:rPr>
        <w:t xml:space="preserve">et </w:t>
      </w:r>
      <w:r w:rsidRPr="00481ED2">
        <w:rPr>
          <w:rFonts w:eastAsia="Times New Roman"/>
          <w:i/>
          <w:iCs/>
          <w:lang w:val="fr-FR"/>
        </w:rPr>
        <w:t xml:space="preserve">Poplavny </w:t>
      </w:r>
      <w:r>
        <w:rPr>
          <w:rFonts w:eastAsia="Times New Roman"/>
          <w:i/>
          <w:iCs/>
          <w:lang w:val="fr-FR"/>
        </w:rPr>
        <w:t xml:space="preserve">et </w:t>
      </w:r>
      <w:r w:rsidRPr="00481ED2">
        <w:rPr>
          <w:rFonts w:eastAsia="Times New Roman"/>
          <w:i/>
          <w:iCs/>
          <w:lang w:val="fr-FR"/>
        </w:rPr>
        <w:t xml:space="preserve">Sudalenko </w:t>
      </w:r>
      <w:r>
        <w:rPr>
          <w:rFonts w:eastAsia="Times New Roman"/>
          <w:i/>
          <w:iCs/>
          <w:lang w:val="fr-FR"/>
        </w:rPr>
        <w:t>c</w:t>
      </w:r>
      <w:r w:rsidR="00F224D8" w:rsidRPr="00F224D8">
        <w:rPr>
          <w:rFonts w:eastAsia="Times New Roman"/>
          <w:i/>
          <w:iCs/>
          <w:lang w:val="fr-FR"/>
        </w:rPr>
        <w:t>.</w:t>
      </w:r>
      <w:r w:rsidRPr="00481ED2">
        <w:rPr>
          <w:rFonts w:eastAsia="Times New Roman"/>
          <w:i/>
          <w:iCs/>
          <w:lang w:val="fr-FR"/>
        </w:rPr>
        <w:t xml:space="preserve"> B</w:t>
      </w:r>
      <w:r>
        <w:rPr>
          <w:rFonts w:eastAsia="Times New Roman"/>
          <w:i/>
          <w:iCs/>
          <w:lang w:val="fr-FR"/>
        </w:rPr>
        <w:t>é</w:t>
      </w:r>
      <w:r w:rsidRPr="00481ED2">
        <w:rPr>
          <w:rFonts w:eastAsia="Times New Roman"/>
          <w:i/>
          <w:iCs/>
          <w:lang w:val="fr-FR"/>
        </w:rPr>
        <w:t xml:space="preserve">larus </w:t>
      </w:r>
      <w:r w:rsidRPr="00481ED2">
        <w:rPr>
          <w:rFonts w:eastAsia="Times New Roman"/>
          <w:iCs/>
          <w:lang w:val="fr-FR"/>
        </w:rPr>
        <w:t>(CCPR/C/118/D/2139/2012)</w:t>
      </w:r>
      <w:r w:rsidRPr="00481ED2">
        <w:rPr>
          <w:rFonts w:eastAsia="Times New Roman"/>
          <w:lang w:val="fr-FR"/>
        </w:rPr>
        <w:t>,</w:t>
      </w:r>
      <w:r w:rsidRPr="00481ED2">
        <w:rPr>
          <w:rFonts w:eastAsia="Times New Roman"/>
          <w:iCs/>
          <w:lang w:val="fr-FR"/>
        </w:rPr>
        <w:t xml:space="preserve"> </w:t>
      </w:r>
      <w:bookmarkEnd w:id="9"/>
      <w:r>
        <w:rPr>
          <w:rFonts w:eastAsia="Times New Roman"/>
          <w:iCs/>
          <w:lang w:val="fr-FR"/>
        </w:rPr>
        <w:t>par</w:t>
      </w:r>
      <w:r w:rsidR="00F224D8" w:rsidRPr="00F224D8">
        <w:rPr>
          <w:rFonts w:eastAsia="Times New Roman"/>
          <w:iCs/>
          <w:lang w:val="fr-FR"/>
        </w:rPr>
        <w:t>.</w:t>
      </w:r>
      <w:r w:rsidRPr="00481ED2">
        <w:rPr>
          <w:rFonts w:eastAsia="Times New Roman"/>
          <w:iCs/>
          <w:lang w:val="fr-FR"/>
        </w:rPr>
        <w:t xml:space="preserve"> 8</w:t>
      </w:r>
      <w:r w:rsidR="00F224D8" w:rsidRPr="00F224D8">
        <w:rPr>
          <w:rFonts w:eastAsia="Times New Roman"/>
          <w:iCs/>
          <w:lang w:val="fr-FR"/>
        </w:rPr>
        <w:t>.</w:t>
      </w:r>
      <w:r w:rsidRPr="00481ED2">
        <w:rPr>
          <w:rFonts w:eastAsia="Times New Roman"/>
          <w:iCs/>
          <w:lang w:val="fr-FR"/>
        </w:rPr>
        <w:t>3</w:t>
      </w:r>
      <w:r w:rsidR="00F224D8" w:rsidRPr="00F224D8">
        <w:rPr>
          <w:rFonts w:eastAsia="Times New Roman"/>
          <w:iCs/>
          <w:lang w:val="fr-FR"/>
        </w:rPr>
        <w:t>.</w:t>
      </w:r>
    </w:p>
  </w:footnote>
  <w:footnote w:id="16">
    <w:p w14:paraId="5188B08C"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Pr>
          <w:lang w:val="fr-FR"/>
        </w:rPr>
        <w:t>Voir</w:t>
      </w:r>
      <w:r w:rsidRPr="00481ED2">
        <w:rPr>
          <w:lang w:val="fr-FR"/>
        </w:rPr>
        <w:t xml:space="preserve">, </w:t>
      </w:r>
      <w:r>
        <w:rPr>
          <w:lang w:val="fr-FR"/>
        </w:rPr>
        <w:t>par exemple</w:t>
      </w:r>
      <w:r w:rsidRPr="00481ED2">
        <w:rPr>
          <w:lang w:val="fr-FR"/>
        </w:rPr>
        <w:t xml:space="preserve">, </w:t>
      </w:r>
      <w:bookmarkStart w:id="10" w:name="_Hlk20813716"/>
      <w:r w:rsidRPr="00481ED2">
        <w:rPr>
          <w:i/>
          <w:lang w:val="fr-FR"/>
        </w:rPr>
        <w:t xml:space="preserve">Androsenko </w:t>
      </w:r>
      <w:r>
        <w:rPr>
          <w:i/>
          <w:lang w:val="fr-FR"/>
        </w:rPr>
        <w:t>c</w:t>
      </w:r>
      <w:r w:rsidR="00F224D8" w:rsidRPr="00F224D8">
        <w:rPr>
          <w:i/>
          <w:lang w:val="fr-FR"/>
        </w:rPr>
        <w:t>.</w:t>
      </w:r>
      <w:r w:rsidRPr="00481ED2">
        <w:rPr>
          <w:i/>
          <w:lang w:val="fr-FR"/>
        </w:rPr>
        <w:t xml:space="preserve"> B</w:t>
      </w:r>
      <w:r>
        <w:rPr>
          <w:i/>
          <w:lang w:val="fr-FR"/>
        </w:rPr>
        <w:t>é</w:t>
      </w:r>
      <w:r w:rsidRPr="00481ED2">
        <w:rPr>
          <w:i/>
          <w:lang w:val="fr-FR"/>
        </w:rPr>
        <w:t xml:space="preserve">larus </w:t>
      </w:r>
      <w:r w:rsidRPr="00481ED2">
        <w:rPr>
          <w:lang w:val="fr-FR"/>
        </w:rPr>
        <w:t>(CCPR/C/116/D/2092/2011)</w:t>
      </w:r>
      <w:r w:rsidRPr="00481ED2">
        <w:rPr>
          <w:i/>
          <w:lang w:val="fr-FR"/>
        </w:rPr>
        <w:t>,</w:t>
      </w:r>
      <w:r w:rsidRPr="00481ED2">
        <w:rPr>
          <w:lang w:val="fr-FR"/>
        </w:rPr>
        <w:t xml:space="preserve"> </w:t>
      </w:r>
      <w:bookmarkEnd w:id="10"/>
      <w:r>
        <w:rPr>
          <w:lang w:val="fr-FR"/>
        </w:rPr>
        <w:t>par</w:t>
      </w:r>
      <w:r w:rsidR="00F224D8" w:rsidRPr="00F224D8">
        <w:rPr>
          <w:lang w:val="fr-FR"/>
        </w:rPr>
        <w:t>.</w:t>
      </w:r>
      <w:r w:rsidRPr="00481ED2">
        <w:rPr>
          <w:lang w:val="fr-FR"/>
        </w:rPr>
        <w:t xml:space="preserve"> 7</w:t>
      </w:r>
      <w:r w:rsidR="00F224D8" w:rsidRPr="00F224D8">
        <w:rPr>
          <w:lang w:val="fr-FR"/>
        </w:rPr>
        <w:t>.</w:t>
      </w:r>
      <w:r w:rsidRPr="00481ED2">
        <w:rPr>
          <w:lang w:val="fr-FR"/>
        </w:rPr>
        <w:t>3</w:t>
      </w:r>
      <w:r>
        <w:rPr>
          <w:lang w:val="fr-FR"/>
        </w:rPr>
        <w:t> </w:t>
      </w:r>
      <w:r w:rsidRPr="00481ED2">
        <w:rPr>
          <w:lang w:val="fr-FR"/>
        </w:rPr>
        <w:t xml:space="preserve">; </w:t>
      </w:r>
      <w:r>
        <w:rPr>
          <w:lang w:val="fr-FR"/>
        </w:rPr>
        <w:t xml:space="preserve">et </w:t>
      </w:r>
      <w:r w:rsidRPr="00481ED2">
        <w:rPr>
          <w:rFonts w:eastAsia="Times New Roman"/>
          <w:i/>
          <w:iCs/>
          <w:lang w:val="fr-FR"/>
        </w:rPr>
        <w:t xml:space="preserve">Poplavny </w:t>
      </w:r>
      <w:r>
        <w:rPr>
          <w:rFonts w:eastAsia="Times New Roman"/>
          <w:i/>
          <w:iCs/>
          <w:lang w:val="fr-FR"/>
        </w:rPr>
        <w:t xml:space="preserve">et </w:t>
      </w:r>
      <w:r w:rsidRPr="00481ED2">
        <w:rPr>
          <w:rFonts w:eastAsia="Times New Roman"/>
          <w:i/>
          <w:iCs/>
          <w:lang w:val="fr-FR"/>
        </w:rPr>
        <w:t xml:space="preserve">Sudalenko </w:t>
      </w:r>
      <w:r>
        <w:rPr>
          <w:rFonts w:eastAsia="Times New Roman"/>
          <w:i/>
          <w:iCs/>
          <w:lang w:val="fr-FR"/>
        </w:rPr>
        <w:t>c</w:t>
      </w:r>
      <w:r w:rsidR="00F224D8" w:rsidRPr="00F224D8">
        <w:rPr>
          <w:rFonts w:eastAsia="Times New Roman"/>
          <w:i/>
          <w:iCs/>
          <w:lang w:val="fr-FR"/>
        </w:rPr>
        <w:t>.</w:t>
      </w:r>
      <w:r w:rsidRPr="00481ED2">
        <w:rPr>
          <w:rFonts w:eastAsia="Times New Roman"/>
          <w:i/>
          <w:iCs/>
          <w:lang w:val="fr-FR"/>
        </w:rPr>
        <w:t xml:space="preserve"> B</w:t>
      </w:r>
      <w:r>
        <w:rPr>
          <w:rFonts w:eastAsia="Times New Roman"/>
          <w:i/>
          <w:iCs/>
          <w:lang w:val="fr-FR"/>
        </w:rPr>
        <w:t>é</w:t>
      </w:r>
      <w:r w:rsidRPr="00481ED2">
        <w:rPr>
          <w:rFonts w:eastAsia="Times New Roman"/>
          <w:i/>
          <w:iCs/>
          <w:lang w:val="fr-FR"/>
        </w:rPr>
        <w:t>larus</w:t>
      </w:r>
      <w:r w:rsidRPr="009E5281">
        <w:rPr>
          <w:rFonts w:eastAsia="Times New Roman"/>
          <w:lang w:val="fr-FR"/>
        </w:rPr>
        <w:t xml:space="preserve">, </w:t>
      </w:r>
      <w:r>
        <w:rPr>
          <w:rFonts w:eastAsia="Times New Roman"/>
          <w:iCs/>
          <w:lang w:val="fr-FR"/>
        </w:rPr>
        <w:t>par</w:t>
      </w:r>
      <w:r w:rsidR="00F224D8" w:rsidRPr="00F224D8">
        <w:rPr>
          <w:rFonts w:eastAsia="Times New Roman"/>
          <w:iCs/>
          <w:lang w:val="fr-FR"/>
        </w:rPr>
        <w:t>.</w:t>
      </w:r>
      <w:r w:rsidRPr="00481ED2">
        <w:rPr>
          <w:rFonts w:eastAsia="Times New Roman"/>
          <w:iCs/>
          <w:lang w:val="fr-FR"/>
        </w:rPr>
        <w:t xml:space="preserve"> 8</w:t>
      </w:r>
      <w:r w:rsidR="00F224D8" w:rsidRPr="00F224D8">
        <w:rPr>
          <w:rFonts w:eastAsia="Times New Roman"/>
          <w:iCs/>
          <w:lang w:val="fr-FR"/>
        </w:rPr>
        <w:t>.</w:t>
      </w:r>
      <w:r w:rsidRPr="00481ED2">
        <w:rPr>
          <w:rFonts w:eastAsia="Times New Roman"/>
          <w:iCs/>
          <w:lang w:val="fr-FR"/>
        </w:rPr>
        <w:t>3</w:t>
      </w:r>
      <w:r w:rsidR="00F224D8" w:rsidRPr="00F224D8">
        <w:rPr>
          <w:rFonts w:eastAsia="Times New Roman"/>
          <w:iCs/>
          <w:lang w:val="fr-FR"/>
        </w:rPr>
        <w:t>.</w:t>
      </w:r>
    </w:p>
  </w:footnote>
  <w:footnote w:id="17">
    <w:p w14:paraId="03E9BDF5"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Pr>
          <w:lang w:val="fr-FR"/>
        </w:rPr>
        <w:t>Voir, par exemple</w:t>
      </w:r>
      <w:r w:rsidRPr="00481ED2">
        <w:rPr>
          <w:lang w:val="fr-FR"/>
        </w:rPr>
        <w:t xml:space="preserve">, </w:t>
      </w:r>
      <w:r w:rsidRPr="00481ED2">
        <w:rPr>
          <w:i/>
          <w:lang w:val="fr-FR"/>
        </w:rPr>
        <w:t xml:space="preserve">Levinov </w:t>
      </w:r>
      <w:r>
        <w:rPr>
          <w:i/>
          <w:lang w:val="fr-FR"/>
        </w:rPr>
        <w:t>c</w:t>
      </w:r>
      <w:r w:rsidR="00F224D8" w:rsidRPr="00F224D8">
        <w:rPr>
          <w:i/>
          <w:lang w:val="fr-FR"/>
        </w:rPr>
        <w:t>.</w:t>
      </w:r>
      <w:r w:rsidRPr="00481ED2">
        <w:rPr>
          <w:i/>
          <w:lang w:val="fr-FR"/>
        </w:rPr>
        <w:t xml:space="preserve"> B</w:t>
      </w:r>
      <w:r>
        <w:rPr>
          <w:i/>
          <w:lang w:val="fr-FR"/>
        </w:rPr>
        <w:t>é</w:t>
      </w:r>
      <w:r w:rsidRPr="00481ED2">
        <w:rPr>
          <w:i/>
          <w:lang w:val="fr-FR"/>
        </w:rPr>
        <w:t>larus</w:t>
      </w:r>
      <w:r w:rsidRPr="00481ED2">
        <w:rPr>
          <w:lang w:val="fr-FR"/>
        </w:rPr>
        <w:t xml:space="preserve"> (CCPR/C/117/D/2082/2011), </w:t>
      </w:r>
      <w:r>
        <w:rPr>
          <w:lang w:val="fr-FR"/>
        </w:rPr>
        <w:t>par</w:t>
      </w:r>
      <w:r w:rsidR="00F224D8" w:rsidRPr="00F224D8">
        <w:rPr>
          <w:lang w:val="fr-FR"/>
        </w:rPr>
        <w:t>.</w:t>
      </w:r>
      <w:r w:rsidRPr="00481ED2">
        <w:rPr>
          <w:lang w:val="fr-FR"/>
        </w:rPr>
        <w:t xml:space="preserve"> 8</w:t>
      </w:r>
      <w:r w:rsidR="00F224D8" w:rsidRPr="00F224D8">
        <w:rPr>
          <w:lang w:val="fr-FR"/>
        </w:rPr>
        <w:t>.</w:t>
      </w:r>
      <w:r w:rsidRPr="00481ED2">
        <w:rPr>
          <w:lang w:val="fr-FR"/>
        </w:rPr>
        <w:t>3</w:t>
      </w:r>
      <w:r>
        <w:rPr>
          <w:lang w:val="fr-FR"/>
        </w:rPr>
        <w:t> </w:t>
      </w:r>
      <w:r w:rsidRPr="00481ED2">
        <w:rPr>
          <w:lang w:val="fr-FR"/>
        </w:rPr>
        <w:t xml:space="preserve">; </w:t>
      </w:r>
      <w:r>
        <w:rPr>
          <w:lang w:val="fr-FR"/>
        </w:rPr>
        <w:t xml:space="preserve">et </w:t>
      </w:r>
      <w:r w:rsidRPr="00481ED2">
        <w:rPr>
          <w:i/>
          <w:lang w:val="fr-FR"/>
        </w:rPr>
        <w:t xml:space="preserve">Levinov </w:t>
      </w:r>
      <w:r>
        <w:rPr>
          <w:i/>
          <w:lang w:val="fr-FR"/>
        </w:rPr>
        <w:t>c</w:t>
      </w:r>
      <w:r w:rsidR="00F224D8" w:rsidRPr="00F224D8">
        <w:rPr>
          <w:i/>
          <w:lang w:val="fr-FR"/>
        </w:rPr>
        <w:t>.</w:t>
      </w:r>
      <w:r w:rsidRPr="00481ED2">
        <w:rPr>
          <w:i/>
          <w:lang w:val="fr-FR"/>
        </w:rPr>
        <w:t xml:space="preserve"> B</w:t>
      </w:r>
      <w:r>
        <w:rPr>
          <w:i/>
          <w:lang w:val="fr-FR"/>
        </w:rPr>
        <w:t>é</w:t>
      </w:r>
      <w:r w:rsidRPr="00481ED2">
        <w:rPr>
          <w:i/>
          <w:lang w:val="fr-FR"/>
        </w:rPr>
        <w:t>larus</w:t>
      </w:r>
      <w:r w:rsidRPr="00481ED2">
        <w:rPr>
          <w:lang w:val="fr-FR"/>
        </w:rPr>
        <w:t xml:space="preserve"> (CCPR/C/105/D/1867/2009, 1936/2010, 1975/2010, 1977/2010, 1978/2010, 1979/2010, 1980/2010, 1981/2010 </w:t>
      </w:r>
      <w:r>
        <w:rPr>
          <w:lang w:val="fr-FR"/>
        </w:rPr>
        <w:t xml:space="preserve">et </w:t>
      </w:r>
      <w:r w:rsidRPr="00481ED2">
        <w:rPr>
          <w:lang w:val="fr-FR"/>
        </w:rPr>
        <w:t xml:space="preserve">2010/2010), </w:t>
      </w:r>
      <w:r>
        <w:rPr>
          <w:lang w:val="fr-FR"/>
        </w:rPr>
        <w:t>par</w:t>
      </w:r>
      <w:r w:rsidR="00F224D8" w:rsidRPr="00F224D8">
        <w:rPr>
          <w:lang w:val="fr-FR"/>
        </w:rPr>
        <w:t>.</w:t>
      </w:r>
      <w:r w:rsidRPr="00481ED2">
        <w:rPr>
          <w:lang w:val="fr-FR"/>
        </w:rPr>
        <w:t xml:space="preserve"> 10</w:t>
      </w:r>
      <w:r w:rsidR="00F224D8" w:rsidRPr="00F224D8">
        <w:rPr>
          <w:lang w:val="fr-FR"/>
        </w:rPr>
        <w:t>.</w:t>
      </w:r>
      <w:r w:rsidRPr="00481ED2">
        <w:rPr>
          <w:lang w:val="fr-FR"/>
        </w:rPr>
        <w:t>3</w:t>
      </w:r>
      <w:r w:rsidR="00F224D8" w:rsidRPr="00F224D8">
        <w:rPr>
          <w:lang w:val="fr-FR"/>
        </w:rPr>
        <w:t>.</w:t>
      </w:r>
    </w:p>
  </w:footnote>
  <w:footnote w:id="18">
    <w:p w14:paraId="39292457"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Pr>
          <w:lang w:val="fr-FR"/>
        </w:rPr>
        <w:t>Voir, par exemple</w:t>
      </w:r>
      <w:r w:rsidRPr="00481ED2">
        <w:rPr>
          <w:lang w:val="fr-FR"/>
        </w:rPr>
        <w:t xml:space="preserve">, </w:t>
      </w:r>
      <w:r w:rsidRPr="00481ED2">
        <w:rPr>
          <w:i/>
          <w:lang w:val="fr-FR"/>
        </w:rPr>
        <w:t xml:space="preserve">Melnikov </w:t>
      </w:r>
      <w:r>
        <w:rPr>
          <w:i/>
          <w:lang w:val="fr-FR"/>
        </w:rPr>
        <w:t>c</w:t>
      </w:r>
      <w:r w:rsidR="00F224D8" w:rsidRPr="00F224D8">
        <w:rPr>
          <w:i/>
          <w:lang w:val="fr-FR"/>
        </w:rPr>
        <w:t>.</w:t>
      </w:r>
      <w:r w:rsidRPr="00481ED2">
        <w:rPr>
          <w:i/>
          <w:lang w:val="fr-FR"/>
        </w:rPr>
        <w:t xml:space="preserve"> B</w:t>
      </w:r>
      <w:r>
        <w:rPr>
          <w:i/>
          <w:lang w:val="fr-FR"/>
        </w:rPr>
        <w:t>é</w:t>
      </w:r>
      <w:r w:rsidRPr="00481ED2">
        <w:rPr>
          <w:i/>
          <w:lang w:val="fr-FR"/>
        </w:rPr>
        <w:t>larus</w:t>
      </w:r>
      <w:r w:rsidRPr="00481ED2">
        <w:rPr>
          <w:lang w:val="fr-FR"/>
        </w:rPr>
        <w:t xml:space="preserve"> (CCPR/C/120/D/2147/2012), </w:t>
      </w:r>
      <w:r>
        <w:rPr>
          <w:lang w:val="fr-FR"/>
        </w:rPr>
        <w:t>par</w:t>
      </w:r>
      <w:r w:rsidR="00F224D8" w:rsidRPr="00F224D8">
        <w:rPr>
          <w:lang w:val="fr-FR"/>
        </w:rPr>
        <w:t>.</w:t>
      </w:r>
      <w:r w:rsidRPr="00481ED2">
        <w:rPr>
          <w:lang w:val="fr-FR"/>
        </w:rPr>
        <w:t xml:space="preserve"> 8</w:t>
      </w:r>
      <w:r w:rsidR="00F224D8" w:rsidRPr="00F224D8">
        <w:rPr>
          <w:lang w:val="fr-FR"/>
        </w:rPr>
        <w:t>.</w:t>
      </w:r>
      <w:r w:rsidRPr="00481ED2">
        <w:rPr>
          <w:lang w:val="fr-FR"/>
        </w:rPr>
        <w:t>5</w:t>
      </w:r>
      <w:r w:rsidR="00F224D8" w:rsidRPr="00F224D8">
        <w:rPr>
          <w:lang w:val="fr-FR"/>
        </w:rPr>
        <w:t>.</w:t>
      </w:r>
    </w:p>
  </w:footnote>
  <w:footnote w:id="19">
    <w:p w14:paraId="7A63EA41"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sidRPr="00481ED2">
        <w:rPr>
          <w:i/>
          <w:iCs/>
          <w:szCs w:val="18"/>
          <w:lang w:val="fr-FR" w:eastAsia="en-GB"/>
        </w:rPr>
        <w:t xml:space="preserve">Poplavny </w:t>
      </w:r>
      <w:r>
        <w:rPr>
          <w:i/>
          <w:iCs/>
          <w:szCs w:val="18"/>
          <w:lang w:val="fr-FR" w:eastAsia="en-GB"/>
        </w:rPr>
        <w:t>c</w:t>
      </w:r>
      <w:r w:rsidR="00F224D8" w:rsidRPr="00F224D8">
        <w:rPr>
          <w:i/>
          <w:iCs/>
          <w:szCs w:val="18"/>
          <w:lang w:val="fr-FR" w:eastAsia="en-GB"/>
        </w:rPr>
        <w:t>.</w:t>
      </w:r>
      <w:r w:rsidRPr="00481ED2">
        <w:rPr>
          <w:szCs w:val="18"/>
          <w:lang w:val="fr-FR" w:eastAsia="en-GB"/>
        </w:rPr>
        <w:t xml:space="preserve"> </w:t>
      </w:r>
      <w:r w:rsidRPr="00481ED2">
        <w:rPr>
          <w:i/>
          <w:iCs/>
          <w:szCs w:val="18"/>
          <w:lang w:val="fr-FR" w:eastAsia="en-GB"/>
        </w:rPr>
        <w:t>B</w:t>
      </w:r>
      <w:r>
        <w:rPr>
          <w:i/>
          <w:iCs/>
          <w:szCs w:val="18"/>
          <w:lang w:val="fr-FR" w:eastAsia="en-GB"/>
        </w:rPr>
        <w:t>é</w:t>
      </w:r>
      <w:r w:rsidRPr="00481ED2">
        <w:rPr>
          <w:i/>
          <w:iCs/>
          <w:szCs w:val="18"/>
          <w:lang w:val="fr-FR" w:eastAsia="en-GB"/>
        </w:rPr>
        <w:t>larus</w:t>
      </w:r>
      <w:r w:rsidRPr="00481ED2">
        <w:rPr>
          <w:szCs w:val="18"/>
          <w:lang w:val="fr-FR" w:eastAsia="en-GB"/>
        </w:rPr>
        <w:t xml:space="preserve">, </w:t>
      </w:r>
      <w:r>
        <w:rPr>
          <w:szCs w:val="18"/>
          <w:lang w:val="fr-FR" w:eastAsia="en-GB"/>
        </w:rPr>
        <w:t>par</w:t>
      </w:r>
      <w:r w:rsidR="00F224D8" w:rsidRPr="00F224D8">
        <w:rPr>
          <w:szCs w:val="18"/>
          <w:lang w:val="fr-FR" w:eastAsia="en-GB"/>
        </w:rPr>
        <w:t>.</w:t>
      </w:r>
      <w:r w:rsidRPr="00481ED2">
        <w:rPr>
          <w:szCs w:val="18"/>
          <w:lang w:val="fr-FR" w:eastAsia="en-GB"/>
        </w:rPr>
        <w:t xml:space="preserve"> 8</w:t>
      </w:r>
      <w:r w:rsidR="00F224D8" w:rsidRPr="00F224D8">
        <w:rPr>
          <w:szCs w:val="18"/>
          <w:lang w:val="fr-FR" w:eastAsia="en-GB"/>
        </w:rPr>
        <w:t>.</w:t>
      </w:r>
      <w:r w:rsidRPr="00481ED2">
        <w:rPr>
          <w:szCs w:val="18"/>
          <w:lang w:val="fr-FR" w:eastAsia="en-GB"/>
        </w:rPr>
        <w:t>3</w:t>
      </w:r>
      <w:r w:rsidR="009E5281">
        <w:rPr>
          <w:szCs w:val="18"/>
          <w:lang w:val="fr-FR" w:eastAsia="en-GB"/>
        </w:rPr>
        <w:t> </w:t>
      </w:r>
      <w:r w:rsidRPr="00481ED2">
        <w:rPr>
          <w:szCs w:val="18"/>
          <w:lang w:val="fr-FR" w:eastAsia="en-GB"/>
        </w:rPr>
        <w:t xml:space="preserve">; </w:t>
      </w:r>
      <w:r>
        <w:rPr>
          <w:lang w:val="fr-FR"/>
        </w:rPr>
        <w:t xml:space="preserve">et </w:t>
      </w:r>
      <w:r w:rsidRPr="00481ED2">
        <w:rPr>
          <w:rFonts w:eastAsia="Times New Roman"/>
          <w:i/>
          <w:iCs/>
          <w:lang w:val="fr-FR"/>
        </w:rPr>
        <w:t xml:space="preserve">Poplavny </w:t>
      </w:r>
      <w:r>
        <w:rPr>
          <w:rFonts w:eastAsia="Times New Roman"/>
          <w:i/>
          <w:iCs/>
          <w:lang w:val="fr-FR"/>
        </w:rPr>
        <w:t xml:space="preserve">et </w:t>
      </w:r>
      <w:r w:rsidRPr="00481ED2">
        <w:rPr>
          <w:rFonts w:eastAsia="Times New Roman"/>
          <w:i/>
          <w:iCs/>
          <w:lang w:val="fr-FR"/>
        </w:rPr>
        <w:t xml:space="preserve">Sudalenko </w:t>
      </w:r>
      <w:r>
        <w:rPr>
          <w:rFonts w:eastAsia="Times New Roman"/>
          <w:i/>
          <w:iCs/>
          <w:lang w:val="fr-FR"/>
        </w:rPr>
        <w:t>c</w:t>
      </w:r>
      <w:r w:rsidR="00F224D8" w:rsidRPr="00F224D8">
        <w:rPr>
          <w:rFonts w:eastAsia="Times New Roman"/>
          <w:i/>
          <w:iCs/>
          <w:lang w:val="fr-FR"/>
        </w:rPr>
        <w:t>.</w:t>
      </w:r>
      <w:r w:rsidRPr="00481ED2">
        <w:rPr>
          <w:rFonts w:eastAsia="Times New Roman"/>
          <w:i/>
          <w:iCs/>
          <w:lang w:val="fr-FR"/>
        </w:rPr>
        <w:t xml:space="preserve"> B</w:t>
      </w:r>
      <w:r>
        <w:rPr>
          <w:rFonts w:eastAsia="Times New Roman"/>
          <w:i/>
          <w:iCs/>
          <w:lang w:val="fr-FR"/>
        </w:rPr>
        <w:t>é</w:t>
      </w:r>
      <w:r w:rsidRPr="00481ED2">
        <w:rPr>
          <w:rFonts w:eastAsia="Times New Roman"/>
          <w:i/>
          <w:iCs/>
          <w:lang w:val="fr-FR"/>
        </w:rPr>
        <w:t>larus,</w:t>
      </w:r>
      <w:r w:rsidRPr="00481ED2">
        <w:rPr>
          <w:rFonts w:eastAsia="Times New Roman"/>
          <w:iCs/>
          <w:lang w:val="fr-FR"/>
        </w:rPr>
        <w:t xml:space="preserve"> </w:t>
      </w:r>
      <w:r>
        <w:rPr>
          <w:rFonts w:eastAsia="Times New Roman"/>
          <w:iCs/>
          <w:lang w:val="fr-FR"/>
        </w:rPr>
        <w:t>par</w:t>
      </w:r>
      <w:r w:rsidR="00F224D8" w:rsidRPr="00F224D8">
        <w:rPr>
          <w:rFonts w:eastAsia="Times New Roman"/>
          <w:iCs/>
          <w:lang w:val="fr-FR"/>
        </w:rPr>
        <w:t>.</w:t>
      </w:r>
      <w:r w:rsidRPr="00481ED2">
        <w:rPr>
          <w:rFonts w:eastAsia="Times New Roman"/>
          <w:iCs/>
          <w:lang w:val="fr-FR"/>
        </w:rPr>
        <w:t xml:space="preserve"> 8</w:t>
      </w:r>
      <w:r w:rsidR="00F224D8" w:rsidRPr="00F224D8">
        <w:rPr>
          <w:rFonts w:eastAsia="Times New Roman"/>
          <w:iCs/>
          <w:lang w:val="fr-FR"/>
        </w:rPr>
        <w:t>.</w:t>
      </w:r>
      <w:r w:rsidRPr="00481ED2">
        <w:rPr>
          <w:rFonts w:eastAsia="Times New Roman"/>
          <w:iCs/>
          <w:lang w:val="fr-FR"/>
        </w:rPr>
        <w:t>5</w:t>
      </w:r>
      <w:r w:rsidR="00F224D8" w:rsidRPr="00F224D8">
        <w:rPr>
          <w:rFonts w:eastAsia="Times New Roman"/>
          <w:iCs/>
          <w:lang w:val="fr-FR"/>
        </w:rPr>
        <w:t>.</w:t>
      </w:r>
    </w:p>
  </w:footnote>
  <w:footnote w:id="20">
    <w:p w14:paraId="661EB8D8"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Pr>
          <w:szCs w:val="18"/>
          <w:lang w:val="fr-FR"/>
        </w:rPr>
        <w:t>Voir, par exemple</w:t>
      </w:r>
      <w:r w:rsidRPr="00481ED2">
        <w:rPr>
          <w:szCs w:val="18"/>
          <w:lang w:val="fr-FR"/>
        </w:rPr>
        <w:t xml:space="preserve">, </w:t>
      </w:r>
      <w:r w:rsidRPr="00481ED2">
        <w:rPr>
          <w:i/>
          <w:szCs w:val="18"/>
          <w:lang w:val="fr-FR"/>
        </w:rPr>
        <w:t xml:space="preserve">Sudalenko </w:t>
      </w:r>
      <w:r>
        <w:rPr>
          <w:i/>
          <w:szCs w:val="18"/>
          <w:lang w:val="fr-FR"/>
        </w:rPr>
        <w:t>c</w:t>
      </w:r>
      <w:r w:rsidR="00F224D8" w:rsidRPr="00F224D8">
        <w:rPr>
          <w:i/>
          <w:szCs w:val="18"/>
          <w:lang w:val="fr-FR"/>
        </w:rPr>
        <w:t>.</w:t>
      </w:r>
      <w:r w:rsidRPr="00481ED2">
        <w:rPr>
          <w:i/>
          <w:szCs w:val="18"/>
          <w:lang w:val="fr-FR"/>
        </w:rPr>
        <w:t xml:space="preserve"> B</w:t>
      </w:r>
      <w:r>
        <w:rPr>
          <w:i/>
          <w:szCs w:val="18"/>
          <w:lang w:val="fr-FR"/>
        </w:rPr>
        <w:t>é</w:t>
      </w:r>
      <w:r w:rsidRPr="00481ED2">
        <w:rPr>
          <w:i/>
          <w:szCs w:val="18"/>
          <w:lang w:val="fr-FR"/>
        </w:rPr>
        <w:t>larus</w:t>
      </w:r>
      <w:r w:rsidR="009E5281">
        <w:rPr>
          <w:i/>
          <w:szCs w:val="18"/>
          <w:lang w:val="fr-FR"/>
        </w:rPr>
        <w:t> </w:t>
      </w:r>
      <w:r w:rsidRPr="00481ED2">
        <w:rPr>
          <w:szCs w:val="18"/>
          <w:lang w:val="fr-FR"/>
        </w:rPr>
        <w:t xml:space="preserve">; </w:t>
      </w:r>
      <w:r w:rsidRPr="00481ED2">
        <w:rPr>
          <w:i/>
          <w:lang w:val="fr-FR"/>
        </w:rPr>
        <w:t xml:space="preserve">Poplavny </w:t>
      </w:r>
      <w:r>
        <w:rPr>
          <w:i/>
          <w:lang w:val="fr-FR"/>
        </w:rPr>
        <w:t>c</w:t>
      </w:r>
      <w:r w:rsidR="00F224D8" w:rsidRPr="00F224D8">
        <w:rPr>
          <w:i/>
          <w:lang w:val="fr-FR"/>
        </w:rPr>
        <w:t>.</w:t>
      </w:r>
      <w:r w:rsidRPr="00481ED2">
        <w:rPr>
          <w:i/>
          <w:lang w:val="fr-FR"/>
        </w:rPr>
        <w:t xml:space="preserve"> B</w:t>
      </w:r>
      <w:r>
        <w:rPr>
          <w:i/>
          <w:lang w:val="fr-FR"/>
        </w:rPr>
        <w:t>é</w:t>
      </w:r>
      <w:r w:rsidRPr="00481ED2">
        <w:rPr>
          <w:i/>
          <w:lang w:val="fr-FR"/>
        </w:rPr>
        <w:t>larus</w:t>
      </w:r>
      <w:r w:rsidR="009E5281">
        <w:rPr>
          <w:i/>
          <w:lang w:val="fr-FR"/>
        </w:rPr>
        <w:t> </w:t>
      </w:r>
      <w:r w:rsidRPr="00481ED2">
        <w:rPr>
          <w:lang w:val="fr-FR"/>
        </w:rPr>
        <w:t>;</w:t>
      </w:r>
      <w:r w:rsidRPr="00481ED2">
        <w:rPr>
          <w:i/>
          <w:lang w:val="fr-FR"/>
        </w:rPr>
        <w:t xml:space="preserve"> </w:t>
      </w:r>
      <w:bookmarkStart w:id="11" w:name="_Hlk20813735"/>
      <w:r w:rsidRPr="00481ED2">
        <w:rPr>
          <w:i/>
          <w:iCs/>
          <w:szCs w:val="18"/>
          <w:lang w:val="fr-FR"/>
        </w:rPr>
        <w:t xml:space="preserve">Derzhavtsev </w:t>
      </w:r>
      <w:r>
        <w:rPr>
          <w:i/>
          <w:iCs/>
          <w:szCs w:val="18"/>
          <w:lang w:val="fr-FR"/>
        </w:rPr>
        <w:t>c</w:t>
      </w:r>
      <w:r w:rsidR="00F224D8" w:rsidRPr="00F224D8">
        <w:rPr>
          <w:i/>
          <w:iCs/>
          <w:szCs w:val="18"/>
          <w:lang w:val="fr-FR"/>
        </w:rPr>
        <w:t>.</w:t>
      </w:r>
      <w:r w:rsidRPr="00481ED2">
        <w:rPr>
          <w:i/>
          <w:iCs/>
          <w:szCs w:val="18"/>
          <w:lang w:val="fr-FR"/>
        </w:rPr>
        <w:t xml:space="preserve"> B</w:t>
      </w:r>
      <w:r>
        <w:rPr>
          <w:i/>
          <w:iCs/>
          <w:szCs w:val="18"/>
          <w:lang w:val="fr-FR"/>
        </w:rPr>
        <w:t>é</w:t>
      </w:r>
      <w:r w:rsidRPr="00481ED2">
        <w:rPr>
          <w:i/>
          <w:iCs/>
          <w:szCs w:val="18"/>
          <w:lang w:val="fr-FR"/>
        </w:rPr>
        <w:t xml:space="preserve">larus </w:t>
      </w:r>
      <w:r w:rsidRPr="00481ED2">
        <w:rPr>
          <w:iCs/>
          <w:szCs w:val="18"/>
          <w:lang w:val="fr-FR"/>
        </w:rPr>
        <w:t>(</w:t>
      </w:r>
      <w:r w:rsidRPr="00481ED2">
        <w:rPr>
          <w:bCs/>
          <w:szCs w:val="18"/>
          <w:lang w:val="fr-FR"/>
        </w:rPr>
        <w:t>CCPR/C/115/D/2076/2011)</w:t>
      </w:r>
      <w:r w:rsidR="009E5281">
        <w:rPr>
          <w:bCs/>
          <w:szCs w:val="18"/>
          <w:lang w:val="fr-FR"/>
        </w:rPr>
        <w:t> </w:t>
      </w:r>
      <w:r w:rsidRPr="00481ED2">
        <w:rPr>
          <w:szCs w:val="18"/>
          <w:lang w:val="fr-FR"/>
        </w:rPr>
        <w:t>;</w:t>
      </w:r>
      <w:bookmarkEnd w:id="11"/>
      <w:r w:rsidRPr="00481ED2">
        <w:rPr>
          <w:szCs w:val="18"/>
          <w:lang w:val="fr-FR"/>
        </w:rPr>
        <w:t xml:space="preserve"> </w:t>
      </w:r>
      <w:r w:rsidRPr="00481ED2">
        <w:rPr>
          <w:i/>
          <w:iCs/>
          <w:szCs w:val="18"/>
          <w:lang w:val="fr-FR"/>
        </w:rPr>
        <w:t xml:space="preserve">Korol </w:t>
      </w:r>
      <w:r>
        <w:rPr>
          <w:i/>
          <w:iCs/>
          <w:szCs w:val="18"/>
          <w:lang w:val="fr-FR"/>
        </w:rPr>
        <w:t>c</w:t>
      </w:r>
      <w:r w:rsidR="00F224D8" w:rsidRPr="00F224D8">
        <w:rPr>
          <w:i/>
          <w:iCs/>
          <w:szCs w:val="18"/>
          <w:lang w:val="fr-FR"/>
        </w:rPr>
        <w:t>.</w:t>
      </w:r>
      <w:r w:rsidRPr="00481ED2">
        <w:rPr>
          <w:i/>
          <w:iCs/>
          <w:szCs w:val="18"/>
          <w:lang w:val="fr-FR"/>
        </w:rPr>
        <w:t xml:space="preserve"> B</w:t>
      </w:r>
      <w:r>
        <w:rPr>
          <w:i/>
          <w:iCs/>
          <w:szCs w:val="18"/>
          <w:lang w:val="fr-FR"/>
        </w:rPr>
        <w:t>é</w:t>
      </w:r>
      <w:r w:rsidRPr="00481ED2">
        <w:rPr>
          <w:i/>
          <w:iCs/>
          <w:szCs w:val="18"/>
          <w:lang w:val="fr-FR"/>
        </w:rPr>
        <w:t>larus</w:t>
      </w:r>
      <w:r w:rsidR="009E5281">
        <w:rPr>
          <w:i/>
          <w:iCs/>
          <w:szCs w:val="18"/>
          <w:lang w:val="fr-FR"/>
        </w:rPr>
        <w:t> </w:t>
      </w:r>
      <w:r w:rsidRPr="00481ED2">
        <w:rPr>
          <w:iCs/>
          <w:szCs w:val="18"/>
          <w:lang w:val="fr-FR"/>
        </w:rPr>
        <w:t>;</w:t>
      </w:r>
      <w:r w:rsidRPr="00481ED2">
        <w:rPr>
          <w:szCs w:val="18"/>
          <w:lang w:val="fr-FR"/>
        </w:rPr>
        <w:t xml:space="preserve"> </w:t>
      </w:r>
      <w:r w:rsidRPr="00481ED2">
        <w:rPr>
          <w:i/>
          <w:iCs/>
          <w:szCs w:val="18"/>
          <w:lang w:val="fr-FR"/>
        </w:rPr>
        <w:t xml:space="preserve">Androsenko </w:t>
      </w:r>
      <w:r>
        <w:rPr>
          <w:i/>
          <w:iCs/>
          <w:szCs w:val="18"/>
          <w:lang w:val="fr-FR"/>
        </w:rPr>
        <w:t>c</w:t>
      </w:r>
      <w:r w:rsidR="00F224D8" w:rsidRPr="00F224D8">
        <w:rPr>
          <w:i/>
          <w:iCs/>
          <w:szCs w:val="18"/>
          <w:lang w:val="fr-FR"/>
        </w:rPr>
        <w:t>.</w:t>
      </w:r>
      <w:r w:rsidRPr="00481ED2">
        <w:rPr>
          <w:i/>
          <w:iCs/>
          <w:szCs w:val="18"/>
          <w:lang w:val="fr-FR"/>
        </w:rPr>
        <w:t xml:space="preserve"> B</w:t>
      </w:r>
      <w:r>
        <w:rPr>
          <w:i/>
          <w:iCs/>
          <w:szCs w:val="18"/>
          <w:lang w:val="fr-FR"/>
        </w:rPr>
        <w:t>é</w:t>
      </w:r>
      <w:r w:rsidRPr="00481ED2">
        <w:rPr>
          <w:i/>
          <w:iCs/>
          <w:szCs w:val="18"/>
          <w:lang w:val="fr-FR"/>
        </w:rPr>
        <w:t>larus</w:t>
      </w:r>
      <w:r w:rsidR="009E5281">
        <w:rPr>
          <w:i/>
          <w:iCs/>
          <w:szCs w:val="18"/>
          <w:lang w:val="fr-FR"/>
        </w:rPr>
        <w:t> </w:t>
      </w:r>
      <w:r w:rsidRPr="00481ED2">
        <w:rPr>
          <w:lang w:val="fr-FR"/>
        </w:rPr>
        <w:t xml:space="preserve">; </w:t>
      </w:r>
      <w:r w:rsidRPr="00481ED2">
        <w:rPr>
          <w:i/>
          <w:lang w:val="fr-FR"/>
        </w:rPr>
        <w:t xml:space="preserve">Poplavny </w:t>
      </w:r>
      <w:r>
        <w:rPr>
          <w:i/>
          <w:lang w:val="fr-FR"/>
        </w:rPr>
        <w:t>et</w:t>
      </w:r>
      <w:r w:rsidRPr="00481ED2">
        <w:rPr>
          <w:i/>
          <w:lang w:val="fr-FR"/>
        </w:rPr>
        <w:t xml:space="preserve"> Sudalenko </w:t>
      </w:r>
      <w:r>
        <w:rPr>
          <w:i/>
          <w:lang w:val="fr-FR"/>
        </w:rPr>
        <w:t>c</w:t>
      </w:r>
      <w:r w:rsidR="00F224D8" w:rsidRPr="00F224D8">
        <w:rPr>
          <w:i/>
          <w:lang w:val="fr-FR"/>
        </w:rPr>
        <w:t>.</w:t>
      </w:r>
      <w:r>
        <w:rPr>
          <w:i/>
          <w:lang w:val="fr-FR"/>
        </w:rPr>
        <w:t> </w:t>
      </w:r>
      <w:r w:rsidRPr="00481ED2">
        <w:rPr>
          <w:i/>
          <w:lang w:val="fr-FR"/>
        </w:rPr>
        <w:t>B</w:t>
      </w:r>
      <w:r>
        <w:rPr>
          <w:i/>
          <w:lang w:val="fr-FR"/>
        </w:rPr>
        <w:t>é</w:t>
      </w:r>
      <w:r w:rsidRPr="00481ED2">
        <w:rPr>
          <w:i/>
          <w:lang w:val="fr-FR"/>
        </w:rPr>
        <w:t>larus</w:t>
      </w:r>
      <w:r w:rsidR="009E5281">
        <w:rPr>
          <w:i/>
          <w:lang w:val="fr-FR"/>
        </w:rPr>
        <w:t> </w:t>
      </w:r>
      <w:r w:rsidRPr="00481ED2">
        <w:rPr>
          <w:lang w:val="fr-FR"/>
        </w:rPr>
        <w:t xml:space="preserve">; </w:t>
      </w:r>
      <w:r>
        <w:rPr>
          <w:lang w:val="fr-FR"/>
        </w:rPr>
        <w:t>et</w:t>
      </w:r>
      <w:r w:rsidRPr="00481ED2">
        <w:rPr>
          <w:lang w:val="fr-FR"/>
        </w:rPr>
        <w:t xml:space="preserve"> </w:t>
      </w:r>
      <w:r w:rsidRPr="00481ED2">
        <w:rPr>
          <w:i/>
          <w:lang w:val="fr-FR"/>
        </w:rPr>
        <w:t xml:space="preserve">Koreshkov </w:t>
      </w:r>
      <w:r>
        <w:rPr>
          <w:i/>
          <w:lang w:val="fr-FR"/>
        </w:rPr>
        <w:t>c</w:t>
      </w:r>
      <w:r w:rsidR="00F224D8" w:rsidRPr="00F224D8">
        <w:rPr>
          <w:i/>
          <w:lang w:val="fr-FR"/>
        </w:rPr>
        <w:t>.</w:t>
      </w:r>
      <w:r w:rsidRPr="00481ED2">
        <w:rPr>
          <w:i/>
          <w:lang w:val="fr-FR"/>
        </w:rPr>
        <w:t xml:space="preserve"> B</w:t>
      </w:r>
      <w:r>
        <w:rPr>
          <w:i/>
          <w:lang w:val="fr-FR"/>
        </w:rPr>
        <w:t>é</w:t>
      </w:r>
      <w:r w:rsidRPr="00481ED2">
        <w:rPr>
          <w:i/>
          <w:lang w:val="fr-FR"/>
        </w:rPr>
        <w:t>larus</w:t>
      </w:r>
      <w:r w:rsidR="00F224D8" w:rsidRPr="00F224D8">
        <w:rPr>
          <w:lang w:val="fr-FR"/>
        </w:rPr>
        <w:t>.</w:t>
      </w:r>
    </w:p>
  </w:footnote>
  <w:footnote w:id="21">
    <w:p w14:paraId="43A632C6"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Pr>
          <w:lang w:val="fr-FR"/>
        </w:rPr>
        <w:t xml:space="preserve">Comité des droits de l’homme, </w:t>
      </w:r>
      <w:r w:rsidRPr="00481ED2">
        <w:rPr>
          <w:lang w:val="fr-FR"/>
        </w:rPr>
        <w:t>observation générale n</w:t>
      </w:r>
      <w:r w:rsidRPr="00481ED2">
        <w:rPr>
          <w:vertAlign w:val="superscript"/>
          <w:lang w:val="fr-FR"/>
        </w:rPr>
        <w:t>o</w:t>
      </w:r>
      <w:r w:rsidRPr="00481ED2">
        <w:rPr>
          <w:lang w:val="fr-FR"/>
        </w:rPr>
        <w:t> 35 (2014) sur la liberté et la sécurité de la personne, par</w:t>
      </w:r>
      <w:r w:rsidR="00F224D8" w:rsidRPr="00F224D8">
        <w:rPr>
          <w:lang w:val="fr-FR"/>
        </w:rPr>
        <w:t>.</w:t>
      </w:r>
      <w:r w:rsidRPr="00481ED2">
        <w:rPr>
          <w:lang w:val="fr-FR"/>
        </w:rPr>
        <w:t xml:space="preserve"> 12</w:t>
      </w:r>
      <w:r w:rsidR="00F224D8" w:rsidRPr="00F224D8">
        <w:rPr>
          <w:lang w:val="fr-FR"/>
        </w:rPr>
        <w:t>.</w:t>
      </w:r>
    </w:p>
  </w:footnote>
  <w:footnote w:id="22">
    <w:p w14:paraId="59F6BCE1"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sidRPr="00481ED2">
        <w:rPr>
          <w:szCs w:val="18"/>
          <w:lang w:val="fr-FR"/>
        </w:rPr>
        <w:t xml:space="preserve">Voir, par exemple, </w:t>
      </w:r>
      <w:r w:rsidRPr="00481ED2">
        <w:rPr>
          <w:i/>
          <w:iCs/>
          <w:szCs w:val="18"/>
          <w:lang w:val="fr-FR"/>
        </w:rPr>
        <w:t>Van</w:t>
      </w:r>
      <w:r>
        <w:rPr>
          <w:szCs w:val="18"/>
          <w:lang w:val="fr-FR"/>
        </w:rPr>
        <w:t xml:space="preserve"> </w:t>
      </w:r>
      <w:r w:rsidRPr="00481ED2">
        <w:rPr>
          <w:i/>
          <w:iCs/>
          <w:szCs w:val="18"/>
          <w:lang w:val="fr-FR"/>
        </w:rPr>
        <w:t>Alphen</w:t>
      </w:r>
      <w:r w:rsidRPr="00481ED2">
        <w:rPr>
          <w:szCs w:val="18"/>
          <w:lang w:val="fr-FR"/>
        </w:rPr>
        <w:t xml:space="preserve"> </w:t>
      </w:r>
      <w:r w:rsidRPr="00481ED2">
        <w:rPr>
          <w:i/>
          <w:szCs w:val="18"/>
          <w:lang w:val="fr-FR"/>
        </w:rPr>
        <w:t>c</w:t>
      </w:r>
      <w:r w:rsidR="00F224D8" w:rsidRPr="00F224D8">
        <w:rPr>
          <w:szCs w:val="18"/>
          <w:lang w:val="fr-FR"/>
        </w:rPr>
        <w:t>.</w:t>
      </w:r>
      <w:r w:rsidRPr="00481ED2">
        <w:rPr>
          <w:szCs w:val="18"/>
          <w:lang w:val="fr-FR"/>
        </w:rPr>
        <w:t xml:space="preserve"> </w:t>
      </w:r>
      <w:r w:rsidRPr="00481ED2">
        <w:rPr>
          <w:i/>
          <w:iCs/>
          <w:szCs w:val="18"/>
          <w:lang w:val="fr-FR"/>
        </w:rPr>
        <w:t xml:space="preserve">Pays-Bas </w:t>
      </w:r>
      <w:r w:rsidRPr="00481ED2">
        <w:rPr>
          <w:lang w:val="fr-FR"/>
        </w:rPr>
        <w:t>(CCPR/C/39/D/305/1988), par</w:t>
      </w:r>
      <w:r w:rsidR="00F224D8" w:rsidRPr="00F224D8">
        <w:rPr>
          <w:lang w:val="fr-FR"/>
        </w:rPr>
        <w:t>.</w:t>
      </w:r>
      <w:r w:rsidRPr="00481ED2">
        <w:rPr>
          <w:lang w:val="fr-FR"/>
        </w:rPr>
        <w:t xml:space="preserve"> 5</w:t>
      </w:r>
      <w:r w:rsidR="00F224D8" w:rsidRPr="00F224D8">
        <w:rPr>
          <w:szCs w:val="18"/>
          <w:lang w:val="fr-FR"/>
        </w:rPr>
        <w:t>.</w:t>
      </w:r>
      <w:r w:rsidRPr="00481ED2">
        <w:rPr>
          <w:szCs w:val="18"/>
          <w:lang w:val="fr-FR"/>
        </w:rPr>
        <w:t>8</w:t>
      </w:r>
      <w:r w:rsidR="00F224D8" w:rsidRPr="00F224D8">
        <w:rPr>
          <w:szCs w:val="18"/>
          <w:lang w:val="fr-FR"/>
        </w:rPr>
        <w:t>.</w:t>
      </w:r>
    </w:p>
  </w:footnote>
  <w:footnote w:id="23">
    <w:p w14:paraId="69B8F39B" w14:textId="77777777" w:rsidR="00247721" w:rsidRPr="00481ED2" w:rsidRDefault="00247721" w:rsidP="00E44C92">
      <w:pPr>
        <w:pStyle w:val="Notedebasdepage"/>
        <w:rPr>
          <w:szCs w:val="18"/>
          <w:lang w:val="fr-FR"/>
        </w:rPr>
      </w:pPr>
      <w:r w:rsidRPr="00481ED2">
        <w:rPr>
          <w:lang w:val="fr-FR"/>
        </w:rPr>
        <w:tab/>
      </w:r>
      <w:r w:rsidRPr="00E44C92">
        <w:rPr>
          <w:rStyle w:val="Appelnotedebasdep"/>
        </w:rPr>
        <w:footnoteRef/>
      </w:r>
      <w:r w:rsidRPr="00481ED2">
        <w:rPr>
          <w:lang w:val="fr-FR"/>
        </w:rPr>
        <w:tab/>
        <w:t>Voir</w:t>
      </w:r>
      <w:r>
        <w:rPr>
          <w:lang w:val="fr-FR"/>
        </w:rPr>
        <w:t>, par exemple,</w:t>
      </w:r>
      <w:r w:rsidRPr="00481ED2">
        <w:rPr>
          <w:lang w:val="fr-FR"/>
        </w:rPr>
        <w:t xml:space="preserve"> </w:t>
      </w:r>
      <w:r w:rsidRPr="00481ED2">
        <w:rPr>
          <w:i/>
          <w:szCs w:val="18"/>
          <w:lang w:val="fr-FR"/>
        </w:rPr>
        <w:t>Kulomin c</w:t>
      </w:r>
      <w:r w:rsidR="00F224D8" w:rsidRPr="00F224D8">
        <w:rPr>
          <w:i/>
          <w:szCs w:val="18"/>
          <w:lang w:val="fr-FR"/>
        </w:rPr>
        <w:t>.</w:t>
      </w:r>
      <w:r w:rsidRPr="00481ED2">
        <w:rPr>
          <w:i/>
          <w:szCs w:val="18"/>
          <w:lang w:val="fr-FR"/>
        </w:rPr>
        <w:t xml:space="preserve"> Hongrie </w:t>
      </w:r>
      <w:r w:rsidRPr="00481ED2">
        <w:rPr>
          <w:szCs w:val="18"/>
          <w:lang w:val="fr-FR"/>
        </w:rPr>
        <w:t>(</w:t>
      </w:r>
      <w:r w:rsidRPr="00481ED2">
        <w:rPr>
          <w:lang w:val="fr-FR"/>
        </w:rPr>
        <w:t>CCPR/C/50/D/521/1992)</w:t>
      </w:r>
      <w:r w:rsidRPr="00481ED2">
        <w:rPr>
          <w:szCs w:val="18"/>
          <w:lang w:val="fr-FR"/>
        </w:rPr>
        <w:t>, par</w:t>
      </w:r>
      <w:r w:rsidR="00F224D8" w:rsidRPr="00F224D8">
        <w:rPr>
          <w:szCs w:val="18"/>
          <w:lang w:val="fr-FR"/>
        </w:rPr>
        <w:t>.</w:t>
      </w:r>
      <w:r w:rsidRPr="00481ED2">
        <w:rPr>
          <w:szCs w:val="18"/>
          <w:lang w:val="fr-FR"/>
        </w:rPr>
        <w:t xml:space="preserve"> 11</w:t>
      </w:r>
      <w:r w:rsidR="00F224D8" w:rsidRPr="00F224D8">
        <w:rPr>
          <w:szCs w:val="18"/>
          <w:lang w:val="fr-FR"/>
        </w:rPr>
        <w:t>.</w:t>
      </w:r>
      <w:r w:rsidRPr="00481ED2">
        <w:rPr>
          <w:szCs w:val="18"/>
          <w:lang w:val="fr-FR"/>
        </w:rPr>
        <w:t xml:space="preserve">3 ; et </w:t>
      </w:r>
      <w:r w:rsidRPr="00481ED2">
        <w:rPr>
          <w:i/>
          <w:szCs w:val="18"/>
          <w:lang w:val="fr-FR"/>
        </w:rPr>
        <w:t>Platonov c</w:t>
      </w:r>
      <w:r w:rsidR="00F224D8" w:rsidRPr="00F224D8">
        <w:rPr>
          <w:i/>
          <w:szCs w:val="18"/>
          <w:lang w:val="fr-FR"/>
        </w:rPr>
        <w:t>.</w:t>
      </w:r>
      <w:r>
        <w:rPr>
          <w:i/>
          <w:szCs w:val="18"/>
          <w:lang w:val="fr-FR"/>
        </w:rPr>
        <w:t> </w:t>
      </w:r>
      <w:r w:rsidRPr="00481ED2">
        <w:rPr>
          <w:i/>
          <w:szCs w:val="18"/>
          <w:lang w:val="fr-FR"/>
        </w:rPr>
        <w:t xml:space="preserve">Fédération de Russie </w:t>
      </w:r>
      <w:r w:rsidRPr="00481ED2">
        <w:rPr>
          <w:szCs w:val="18"/>
          <w:lang w:val="fr-FR"/>
        </w:rPr>
        <w:t>(CCPR/C/85/D/1218/2003), par</w:t>
      </w:r>
      <w:r w:rsidR="00F224D8" w:rsidRPr="00F224D8">
        <w:rPr>
          <w:szCs w:val="18"/>
          <w:lang w:val="fr-FR"/>
        </w:rPr>
        <w:t>.</w:t>
      </w:r>
      <w:r w:rsidRPr="00481ED2">
        <w:rPr>
          <w:szCs w:val="18"/>
          <w:lang w:val="fr-FR"/>
        </w:rPr>
        <w:t xml:space="preserve"> 7</w:t>
      </w:r>
      <w:r w:rsidR="00F224D8" w:rsidRPr="00F224D8">
        <w:rPr>
          <w:szCs w:val="18"/>
          <w:lang w:val="fr-FR"/>
        </w:rPr>
        <w:t>.</w:t>
      </w:r>
      <w:r w:rsidRPr="00481ED2">
        <w:rPr>
          <w:szCs w:val="18"/>
          <w:lang w:val="fr-FR"/>
        </w:rPr>
        <w:t>2</w:t>
      </w:r>
      <w:r w:rsidR="00F224D8" w:rsidRPr="00F224D8">
        <w:rPr>
          <w:szCs w:val="18"/>
          <w:lang w:val="fr-FR"/>
        </w:rPr>
        <w:t>.</w:t>
      </w:r>
    </w:p>
  </w:footnote>
  <w:footnote w:id="24">
    <w:p w14:paraId="7766626A"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Pr>
          <w:lang w:val="fr-FR"/>
        </w:rPr>
        <w:t>O</w:t>
      </w:r>
      <w:r w:rsidRPr="00481ED2">
        <w:rPr>
          <w:lang w:val="fr-FR"/>
        </w:rPr>
        <w:t>bservation générale n</w:t>
      </w:r>
      <w:r w:rsidRPr="00481ED2">
        <w:rPr>
          <w:vertAlign w:val="superscript"/>
          <w:lang w:val="fr-FR"/>
        </w:rPr>
        <w:t>o</w:t>
      </w:r>
      <w:r w:rsidRPr="00481ED2">
        <w:rPr>
          <w:lang w:val="fr-FR"/>
        </w:rPr>
        <w:t> 35 (2014), par</w:t>
      </w:r>
      <w:r w:rsidR="00F224D8" w:rsidRPr="00F224D8">
        <w:rPr>
          <w:lang w:val="fr-FR"/>
        </w:rPr>
        <w:t>.</w:t>
      </w:r>
      <w:r w:rsidRPr="00481ED2">
        <w:rPr>
          <w:lang w:val="fr-FR"/>
        </w:rPr>
        <w:t xml:space="preserve"> 32</w:t>
      </w:r>
      <w:r w:rsidR="00F224D8" w:rsidRPr="00F224D8">
        <w:rPr>
          <w:lang w:val="fr-FR"/>
        </w:rPr>
        <w:t>.</w:t>
      </w:r>
    </w:p>
  </w:footnote>
  <w:footnote w:id="25">
    <w:p w14:paraId="2DDA65EF"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sidRPr="00481ED2">
        <w:rPr>
          <w:i/>
          <w:lang w:val="fr-FR"/>
        </w:rPr>
        <w:t>Dorofeev c</w:t>
      </w:r>
      <w:r w:rsidR="00F224D8" w:rsidRPr="00F224D8">
        <w:rPr>
          <w:i/>
          <w:lang w:val="fr-FR"/>
        </w:rPr>
        <w:t>.</w:t>
      </w:r>
      <w:r w:rsidRPr="00481ED2">
        <w:rPr>
          <w:i/>
          <w:lang w:val="fr-FR"/>
        </w:rPr>
        <w:t xml:space="preserve"> Fédération de Russie</w:t>
      </w:r>
      <w:r w:rsidRPr="00481ED2">
        <w:rPr>
          <w:lang w:val="fr-FR"/>
        </w:rPr>
        <w:t xml:space="preserve"> (CCPR/C/111/D/2041/2011), par</w:t>
      </w:r>
      <w:r w:rsidR="00F224D8" w:rsidRPr="00F224D8">
        <w:rPr>
          <w:lang w:val="fr-FR"/>
        </w:rPr>
        <w:t>.</w:t>
      </w:r>
      <w:r w:rsidRPr="00481ED2">
        <w:rPr>
          <w:lang w:val="fr-FR"/>
        </w:rPr>
        <w:t xml:space="preserve"> 10</w:t>
      </w:r>
      <w:r w:rsidR="00F224D8" w:rsidRPr="00F224D8">
        <w:rPr>
          <w:lang w:val="fr-FR"/>
        </w:rPr>
        <w:t>.</w:t>
      </w:r>
      <w:r w:rsidRPr="00481ED2">
        <w:rPr>
          <w:lang w:val="fr-FR"/>
        </w:rPr>
        <w:t>6</w:t>
      </w:r>
      <w:r w:rsidR="00F224D8" w:rsidRPr="00F224D8">
        <w:rPr>
          <w:lang w:val="fr-FR"/>
        </w:rPr>
        <w:t>.</w:t>
      </w:r>
    </w:p>
  </w:footnote>
  <w:footnote w:id="26">
    <w:p w14:paraId="2E854B2E" w14:textId="77777777" w:rsidR="00247721" w:rsidRPr="00481ED2" w:rsidRDefault="00247721" w:rsidP="00E44C92">
      <w:pPr>
        <w:pStyle w:val="Notedebasdepage"/>
        <w:rPr>
          <w:lang w:val="fr-FR"/>
        </w:rPr>
      </w:pPr>
      <w:r w:rsidRPr="00481ED2">
        <w:rPr>
          <w:lang w:val="fr-FR"/>
        </w:rPr>
        <w:tab/>
      </w:r>
      <w:r w:rsidRPr="00E44C92">
        <w:rPr>
          <w:rStyle w:val="Appelnotedebasdep"/>
        </w:rPr>
        <w:footnoteRef/>
      </w:r>
      <w:r w:rsidRPr="00481ED2">
        <w:rPr>
          <w:lang w:val="fr-FR"/>
        </w:rPr>
        <w:tab/>
      </w:r>
      <w:r>
        <w:rPr>
          <w:lang w:val="fr-FR"/>
        </w:rPr>
        <w:t>O</w:t>
      </w:r>
      <w:r w:rsidRPr="00481ED2">
        <w:rPr>
          <w:lang w:val="fr-FR"/>
        </w:rPr>
        <w:t>bservation générale n</w:t>
      </w:r>
      <w:r w:rsidRPr="00481ED2">
        <w:rPr>
          <w:vertAlign w:val="superscript"/>
          <w:lang w:val="fr-FR"/>
        </w:rPr>
        <w:t>o</w:t>
      </w:r>
      <w:r w:rsidRPr="00481ED2">
        <w:rPr>
          <w:lang w:val="fr-FR"/>
        </w:rPr>
        <w:t> 32 (2007), par</w:t>
      </w:r>
      <w:r w:rsidR="00F224D8" w:rsidRPr="00F224D8">
        <w:rPr>
          <w:lang w:val="fr-FR"/>
        </w:rPr>
        <w:t>.</w:t>
      </w:r>
      <w:r w:rsidRPr="00481ED2">
        <w:rPr>
          <w:lang w:val="fr-FR"/>
        </w:rPr>
        <w:t xml:space="preserve"> 36</w:t>
      </w:r>
      <w:r w:rsidR="00F224D8" w:rsidRPr="00F224D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4407" w14:textId="01AEBB79" w:rsidR="00247721" w:rsidRPr="00356208" w:rsidRDefault="00247721">
    <w:pPr>
      <w:pStyle w:val="En-tte"/>
    </w:pPr>
    <w:fldSimple w:instr=" TITLE  \* MERGEFORMAT ">
      <w:r w:rsidR="004F3A75">
        <w:t>CCPR/C/126/D/2434/2014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5E86" w14:textId="5E7F7B65" w:rsidR="00247721" w:rsidRPr="00356208" w:rsidRDefault="00247721" w:rsidP="00356208">
    <w:pPr>
      <w:pStyle w:val="En-tte"/>
      <w:jc w:val="right"/>
    </w:pPr>
    <w:fldSimple w:instr=" TITLE  \* MERGEFORMAT ">
      <w:r w:rsidR="004F3A75">
        <w:t>CCPR/C/126/D/2434/2014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3702"/>
    <w:rsid w:val="00002B3F"/>
    <w:rsid w:val="00017F94"/>
    <w:rsid w:val="00023842"/>
    <w:rsid w:val="000334F9"/>
    <w:rsid w:val="0007796D"/>
    <w:rsid w:val="000B7790"/>
    <w:rsid w:val="000C2225"/>
    <w:rsid w:val="00111F2F"/>
    <w:rsid w:val="0014365E"/>
    <w:rsid w:val="00176178"/>
    <w:rsid w:val="001934BE"/>
    <w:rsid w:val="001B379B"/>
    <w:rsid w:val="001E68CB"/>
    <w:rsid w:val="001F525A"/>
    <w:rsid w:val="00223272"/>
    <w:rsid w:val="00247721"/>
    <w:rsid w:val="0024779E"/>
    <w:rsid w:val="002B7BC7"/>
    <w:rsid w:val="002E2D46"/>
    <w:rsid w:val="0032225A"/>
    <w:rsid w:val="003402F1"/>
    <w:rsid w:val="00351332"/>
    <w:rsid w:val="00356208"/>
    <w:rsid w:val="00384EF5"/>
    <w:rsid w:val="003A6E96"/>
    <w:rsid w:val="00427A24"/>
    <w:rsid w:val="00446FE5"/>
    <w:rsid w:val="00452396"/>
    <w:rsid w:val="004F3A75"/>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8A26D5"/>
    <w:rsid w:val="009705C8"/>
    <w:rsid w:val="009B1E6C"/>
    <w:rsid w:val="009E2C6A"/>
    <w:rsid w:val="009E5281"/>
    <w:rsid w:val="00A9151D"/>
    <w:rsid w:val="00AA6A35"/>
    <w:rsid w:val="00AC1A7A"/>
    <w:rsid w:val="00AC3823"/>
    <w:rsid w:val="00AE323C"/>
    <w:rsid w:val="00AF18B4"/>
    <w:rsid w:val="00B00181"/>
    <w:rsid w:val="00B765F7"/>
    <w:rsid w:val="00BA0CA9"/>
    <w:rsid w:val="00C01ACF"/>
    <w:rsid w:val="00C02897"/>
    <w:rsid w:val="00CA7BC4"/>
    <w:rsid w:val="00D05667"/>
    <w:rsid w:val="00D3439C"/>
    <w:rsid w:val="00D744E5"/>
    <w:rsid w:val="00D83177"/>
    <w:rsid w:val="00DA09BB"/>
    <w:rsid w:val="00DB1831"/>
    <w:rsid w:val="00DC3702"/>
    <w:rsid w:val="00DD3BFD"/>
    <w:rsid w:val="00DF6678"/>
    <w:rsid w:val="00E44C92"/>
    <w:rsid w:val="00E85C42"/>
    <w:rsid w:val="00EC30D5"/>
    <w:rsid w:val="00EE1BD4"/>
    <w:rsid w:val="00F12152"/>
    <w:rsid w:val="00F224D8"/>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99E0C2"/>
  <w15:docId w15:val="{63090ED2-558C-42FF-ACEB-C691B6A8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Rvision">
    <w:name w:val="Revision"/>
    <w:hidden/>
    <w:uiPriority w:val="99"/>
    <w:semiHidden/>
    <w:rsid w:val="00E44C92"/>
    <w:pPr>
      <w:spacing w:after="0" w:line="240" w:lineRule="auto"/>
    </w:pPr>
    <w:rPr>
      <w:rFonts w:ascii="Times New Roman" w:eastAsia="Calibri" w:hAnsi="Times New Roman" w:cs="Times New Roman"/>
      <w:sz w:val="24"/>
      <w:szCs w:val="20"/>
      <w:lang w:eastAsia="en-US"/>
    </w:rPr>
  </w:style>
  <w:style w:type="character" w:customStyle="1" w:styleId="SingleTxtGChar">
    <w:name w:val="_ Single Txt_G Char"/>
    <w:link w:val="SingleTxtG"/>
    <w:rsid w:val="00E44C92"/>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E44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11</Pages>
  <Words>5802</Words>
  <Characters>34004</Characters>
  <Application>Microsoft Office Word</Application>
  <DocSecurity>0</DocSecurity>
  <Lines>3091</Lines>
  <Paragraphs>1326</Paragraphs>
  <ScaleCrop>false</ScaleCrop>
  <HeadingPairs>
    <vt:vector size="2" baseType="variant">
      <vt:variant>
        <vt:lpstr>Titre</vt:lpstr>
      </vt:variant>
      <vt:variant>
        <vt:i4>1</vt:i4>
      </vt:variant>
    </vt:vector>
  </HeadingPairs>
  <TitlesOfParts>
    <vt:vector size="1" baseType="lpstr">
      <vt:lpstr>CCPR/C/126/D/2434/2014</vt:lpstr>
    </vt:vector>
  </TitlesOfParts>
  <Company>DCM</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CCPR/C/126/D/2434/2014</dc:title>
  <dc:subject/>
  <dc:creator>Maud DARICHE</dc:creator>
  <cp:keywords/>
  <cp:lastModifiedBy>Maud Dariche</cp:lastModifiedBy>
  <cp:revision>3</cp:revision>
  <cp:lastPrinted>2020-11-04T14:09:00Z</cp:lastPrinted>
  <dcterms:created xsi:type="dcterms:W3CDTF">2020-11-04T14:09:00Z</dcterms:created>
  <dcterms:modified xsi:type="dcterms:W3CDTF">2020-11-04T14:10:00Z</dcterms:modified>
</cp:coreProperties>
</file>