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F46EE1"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F46EE1" w:rsidP="00072307">
            <w:pPr>
              <w:bidi w:val="0"/>
              <w:spacing w:after="20"/>
              <w:jc w:val="left"/>
              <w:rPr>
                <w:szCs w:val="20"/>
              </w:rPr>
            </w:pPr>
            <w:r w:rsidRPr="00F46EE1">
              <w:rPr>
                <w:sz w:val="40"/>
                <w:szCs w:val="20"/>
              </w:rPr>
              <w:t>CCPR</w:t>
            </w:r>
            <w:r>
              <w:rPr>
                <w:szCs w:val="20"/>
              </w:rPr>
              <w:t>/C/125/D/2948/2017</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tl/>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072307" w:rsidP="00072307">
            <w:pPr>
              <w:bidi w:val="0"/>
              <w:spacing w:before="240"/>
              <w:jc w:val="left"/>
              <w:rPr>
                <w:szCs w:val="20"/>
              </w:rPr>
            </w:pPr>
            <w:r>
              <w:rPr>
                <w:szCs w:val="20"/>
              </w:rPr>
              <w:t>Distr.: General</w:t>
            </w:r>
          </w:p>
          <w:p w:rsidR="00072307" w:rsidRDefault="00072307" w:rsidP="00072307">
            <w:pPr>
              <w:bidi w:val="0"/>
              <w:jc w:val="left"/>
              <w:rPr>
                <w:szCs w:val="20"/>
              </w:rPr>
            </w:pPr>
            <w:r>
              <w:rPr>
                <w:szCs w:val="20"/>
              </w:rPr>
              <w:t>31 May 2019</w:t>
            </w:r>
          </w:p>
          <w:p w:rsidR="00072307" w:rsidRDefault="00072307" w:rsidP="00072307">
            <w:pPr>
              <w:bidi w:val="0"/>
              <w:jc w:val="left"/>
              <w:rPr>
                <w:szCs w:val="20"/>
              </w:rPr>
            </w:pPr>
            <w:r>
              <w:rPr>
                <w:szCs w:val="20"/>
              </w:rPr>
              <w:t>Arabic</w:t>
            </w:r>
          </w:p>
          <w:p w:rsidR="00072307" w:rsidRPr="00CB6622" w:rsidRDefault="00072307" w:rsidP="00072307">
            <w:pPr>
              <w:bidi w:val="0"/>
              <w:jc w:val="left"/>
              <w:rPr>
                <w:szCs w:val="20"/>
              </w:rPr>
            </w:pPr>
            <w:r>
              <w:rPr>
                <w:szCs w:val="20"/>
              </w:rPr>
              <w:t xml:space="preserve">Original: </w:t>
            </w:r>
            <w:r w:rsidR="003D08A4">
              <w:rPr>
                <w:szCs w:val="20"/>
              </w:rPr>
              <w:t>French</w:t>
            </w:r>
          </w:p>
        </w:tc>
      </w:tr>
    </w:tbl>
    <w:p w:rsidR="00FC2980" w:rsidRPr="003D6A95" w:rsidRDefault="00FC2980" w:rsidP="00FC2980">
      <w:pPr>
        <w:spacing w:before="120" w:line="380" w:lineRule="exact"/>
        <w:rPr>
          <w:bCs/>
          <w:sz w:val="36"/>
          <w:szCs w:val="36"/>
          <w:rtl/>
        </w:rPr>
      </w:pPr>
      <w:r w:rsidRPr="003D6A95">
        <w:rPr>
          <w:rFonts w:hint="cs"/>
          <w:bCs/>
          <w:sz w:val="36"/>
          <w:szCs w:val="36"/>
          <w:rtl/>
        </w:rPr>
        <w:t>اللجنة المعنية بحقوق الإنسان</w:t>
      </w:r>
    </w:p>
    <w:p w:rsidR="00FC2980" w:rsidRPr="001D66E0" w:rsidRDefault="00FC2980" w:rsidP="00FC2980">
      <w:pPr>
        <w:pStyle w:val="HChGA"/>
        <w:rPr>
          <w:rtl/>
        </w:rPr>
      </w:pPr>
      <w:r w:rsidRPr="008727FD">
        <w:rPr>
          <w:rFonts w:hint="cs"/>
          <w:rtl/>
        </w:rPr>
        <w:tab/>
      </w:r>
      <w:r w:rsidRPr="008727FD">
        <w:rPr>
          <w:rFonts w:hint="cs"/>
          <w:rtl/>
        </w:rPr>
        <w:tab/>
      </w:r>
      <w:r w:rsidRPr="001D66E0">
        <w:rPr>
          <w:rFonts w:hint="cs"/>
          <w:rtl/>
        </w:rPr>
        <w:t>القرار</w:t>
      </w:r>
      <w:r>
        <w:rPr>
          <w:rFonts w:hint="cs"/>
          <w:rtl/>
        </w:rPr>
        <w:t xml:space="preserve"> </w:t>
      </w:r>
      <w:r w:rsidRPr="001D66E0">
        <w:rPr>
          <w:rFonts w:hint="cs"/>
          <w:rtl/>
        </w:rPr>
        <w:t>الذي</w:t>
      </w:r>
      <w:r>
        <w:rPr>
          <w:rFonts w:hint="cs"/>
          <w:rtl/>
        </w:rPr>
        <w:t xml:space="preserve"> </w:t>
      </w:r>
      <w:r w:rsidRPr="001D66E0">
        <w:rPr>
          <w:rFonts w:hint="cs"/>
          <w:rtl/>
        </w:rPr>
        <w:t>اعتمدته</w:t>
      </w:r>
      <w:r>
        <w:rPr>
          <w:rFonts w:hint="cs"/>
          <w:rtl/>
        </w:rPr>
        <w:t xml:space="preserve"> </w:t>
      </w:r>
      <w:r w:rsidRPr="001D66E0">
        <w:rPr>
          <w:rFonts w:hint="cs"/>
          <w:rtl/>
        </w:rPr>
        <w:t>اللجنة</w:t>
      </w:r>
      <w:r>
        <w:rPr>
          <w:rFonts w:hint="cs"/>
          <w:rtl/>
        </w:rPr>
        <w:t xml:space="preserve"> </w:t>
      </w:r>
      <w:r w:rsidRPr="001D66E0">
        <w:rPr>
          <w:rFonts w:hint="cs"/>
          <w:rtl/>
        </w:rPr>
        <w:t>بموجب</w:t>
      </w:r>
      <w:r>
        <w:rPr>
          <w:rFonts w:hint="cs"/>
          <w:rtl/>
        </w:rPr>
        <w:t xml:space="preserve"> </w:t>
      </w:r>
      <w:r w:rsidRPr="001D66E0">
        <w:rPr>
          <w:rFonts w:hint="cs"/>
          <w:rtl/>
        </w:rPr>
        <w:t>المادة</w:t>
      </w:r>
      <w:r>
        <w:rPr>
          <w:rFonts w:hint="cs"/>
          <w:rtl/>
        </w:rPr>
        <w:t xml:space="preserve"> </w:t>
      </w:r>
      <w:r w:rsidRPr="001D66E0">
        <w:rPr>
          <w:rFonts w:hint="cs"/>
          <w:rtl/>
        </w:rPr>
        <w:t>٥</w:t>
      </w:r>
      <w:r>
        <w:rPr>
          <w:rFonts w:hint="cs"/>
          <w:rtl/>
        </w:rPr>
        <w:t xml:space="preserve"> </w:t>
      </w:r>
      <w:r w:rsidRPr="001D66E0">
        <w:rPr>
          <w:rFonts w:hint="cs"/>
          <w:rtl/>
        </w:rPr>
        <w:t>(الف</w:t>
      </w:r>
      <w:bookmarkStart w:id="0" w:name="_GoBack"/>
      <w:bookmarkEnd w:id="0"/>
      <w:r w:rsidRPr="001D66E0">
        <w:rPr>
          <w:rFonts w:hint="cs"/>
          <w:rtl/>
        </w:rPr>
        <w:t>قرة</w:t>
      </w:r>
      <w:r>
        <w:rPr>
          <w:rFonts w:hint="cs"/>
          <w:rtl/>
        </w:rPr>
        <w:t xml:space="preserve"> </w:t>
      </w:r>
      <w:r w:rsidRPr="001D66E0">
        <w:rPr>
          <w:rFonts w:hint="cs"/>
          <w:rtl/>
        </w:rPr>
        <w:t>4)</w:t>
      </w:r>
      <w:r>
        <w:rPr>
          <w:rFonts w:hint="cs"/>
          <w:rtl/>
        </w:rPr>
        <w:t xml:space="preserve"> </w:t>
      </w:r>
      <w:r w:rsidRPr="001D66E0">
        <w:rPr>
          <w:rFonts w:hint="cs"/>
          <w:rtl/>
        </w:rPr>
        <w:t>من</w:t>
      </w:r>
      <w:r>
        <w:rPr>
          <w:rFonts w:hint="cs"/>
          <w:rtl/>
        </w:rPr>
        <w:t xml:space="preserve"> </w:t>
      </w:r>
      <w:r w:rsidRPr="001D66E0">
        <w:rPr>
          <w:rFonts w:hint="cs"/>
          <w:rtl/>
        </w:rPr>
        <w:t>البروتوكول</w:t>
      </w:r>
      <w:r>
        <w:rPr>
          <w:rFonts w:hint="cs"/>
          <w:rtl/>
        </w:rPr>
        <w:t xml:space="preserve"> </w:t>
      </w:r>
      <w:r w:rsidRPr="001D66E0">
        <w:rPr>
          <w:rFonts w:hint="cs"/>
          <w:rtl/>
        </w:rPr>
        <w:t>الاختياري،</w:t>
      </w:r>
      <w:r>
        <w:rPr>
          <w:rFonts w:hint="cs"/>
          <w:rtl/>
        </w:rPr>
        <w:t xml:space="preserve"> </w:t>
      </w:r>
      <w:r w:rsidRPr="001D66E0">
        <w:rPr>
          <w:rFonts w:hint="cs"/>
          <w:rtl/>
        </w:rPr>
        <w:t>بشأن</w:t>
      </w:r>
      <w:r>
        <w:rPr>
          <w:rFonts w:hint="cs"/>
          <w:rtl/>
        </w:rPr>
        <w:t xml:space="preserve"> </w:t>
      </w:r>
      <w:r w:rsidRPr="001D66E0">
        <w:rPr>
          <w:rFonts w:hint="cs"/>
          <w:rtl/>
        </w:rPr>
        <w:t>البلاغ</w:t>
      </w:r>
      <w:r>
        <w:rPr>
          <w:rFonts w:hint="cs"/>
          <w:rtl/>
        </w:rPr>
        <w:t xml:space="preserve"> </w:t>
      </w:r>
      <w:r w:rsidRPr="001D66E0">
        <w:rPr>
          <w:rFonts w:hint="cs"/>
          <w:rtl/>
        </w:rPr>
        <w:t>رقم</w:t>
      </w:r>
      <w:r>
        <w:rPr>
          <w:rFonts w:hint="cs"/>
          <w:rtl/>
        </w:rPr>
        <w:t xml:space="preserve"> </w:t>
      </w:r>
      <w:r w:rsidRPr="001D66E0">
        <w:rPr>
          <w:rFonts w:hint="cs"/>
          <w:rtl/>
        </w:rPr>
        <w:t>٢٩٤٨/٢٠١٧</w:t>
      </w:r>
      <w:r w:rsidR="002F624C" w:rsidRPr="0028068C">
        <w:rPr>
          <w:rStyle w:val="FootnoteReference"/>
          <w:sz w:val="22"/>
          <w:szCs w:val="30"/>
          <w:vertAlign w:val="baseline"/>
          <w:rtl/>
        </w:rPr>
        <w:footnoteReference w:customMarkFollows="1" w:id="1"/>
        <w:t>*</w:t>
      </w:r>
      <w:r w:rsidR="002F624C" w:rsidRPr="0028068C">
        <w:rPr>
          <w:rFonts w:hint="cs"/>
          <w:sz w:val="30"/>
          <w:szCs w:val="40"/>
          <w:rtl/>
        </w:rPr>
        <w:t xml:space="preserve"> </w:t>
      </w:r>
      <w:r w:rsidR="002F624C" w:rsidRPr="0028068C">
        <w:rPr>
          <w:rStyle w:val="FootnoteReference"/>
          <w:sz w:val="22"/>
          <w:szCs w:val="30"/>
          <w:vertAlign w:val="baseline"/>
          <w:rtl/>
        </w:rPr>
        <w:footnoteReference w:customMarkFollows="1" w:id="2"/>
        <w:t>**</w:t>
      </w:r>
      <w:r w:rsidR="002F624C" w:rsidRPr="0028068C">
        <w:rPr>
          <w:rFonts w:hint="cs"/>
          <w:sz w:val="30"/>
          <w:szCs w:val="40"/>
          <w:rtl/>
        </w:rPr>
        <w:t xml:space="preserve"> </w:t>
      </w:r>
      <w:r w:rsidR="002F624C" w:rsidRPr="0028068C">
        <w:rPr>
          <w:rStyle w:val="FootnoteReference"/>
          <w:sz w:val="22"/>
          <w:szCs w:val="30"/>
          <w:vertAlign w:val="baseline"/>
          <w:rtl/>
        </w:rPr>
        <w:footnoteReference w:customMarkFollows="1" w:id="3"/>
        <w:t>***</w:t>
      </w:r>
    </w:p>
    <w:p w:rsidR="002F624C" w:rsidRDefault="002F624C" w:rsidP="005F61C6">
      <w:pPr>
        <w:pStyle w:val="SingleTxtGA"/>
        <w:tabs>
          <w:tab w:val="clear" w:pos="2608"/>
          <w:tab w:val="clear" w:pos="3289"/>
          <w:tab w:val="clear" w:pos="3969"/>
          <w:tab w:val="clear" w:pos="4649"/>
          <w:tab w:val="clear" w:pos="5330"/>
          <w:tab w:val="left" w:pos="4394"/>
        </w:tabs>
        <w:spacing w:after="100" w:line="360" w:lineRule="exact"/>
        <w:ind w:left="1928"/>
      </w:pPr>
      <w:r w:rsidRPr="00A4039E">
        <w:rPr>
          <w:i/>
          <w:iCs/>
          <w:rtl/>
        </w:rPr>
        <w:t>بلاغ مقدم من:</w:t>
      </w:r>
      <w:r>
        <w:rPr>
          <w:rtl/>
        </w:rPr>
        <w:tab/>
        <w:t>هـ. س. وآخرون (يمثلهم المحامي ألان فاليير</w:t>
      </w:r>
      <w:r w:rsidR="00781F97">
        <w:rPr>
          <w:rFonts w:hint="cs"/>
          <w:rtl/>
        </w:rPr>
        <w:t>)</w:t>
      </w:r>
    </w:p>
    <w:p w:rsidR="002F624C" w:rsidRDefault="002F624C" w:rsidP="005F61C6">
      <w:pPr>
        <w:pStyle w:val="SingleTxtGA"/>
        <w:tabs>
          <w:tab w:val="clear" w:pos="2608"/>
          <w:tab w:val="clear" w:pos="3289"/>
          <w:tab w:val="clear" w:pos="3969"/>
          <w:tab w:val="clear" w:pos="4649"/>
          <w:tab w:val="clear" w:pos="5330"/>
          <w:tab w:val="left" w:pos="4394"/>
        </w:tabs>
        <w:spacing w:after="100" w:line="360" w:lineRule="exact"/>
        <w:ind w:left="1928"/>
      </w:pPr>
      <w:r w:rsidRPr="00A4039E">
        <w:rPr>
          <w:i/>
          <w:iCs/>
          <w:rtl/>
        </w:rPr>
        <w:t>الأشخاص المدعى أنهم ضحايا:</w:t>
      </w:r>
      <w:r>
        <w:rPr>
          <w:rtl/>
        </w:rPr>
        <w:tab/>
        <w:t>أصحاب البلاغ</w:t>
      </w:r>
    </w:p>
    <w:p w:rsidR="002F624C" w:rsidRDefault="002F624C" w:rsidP="005F61C6">
      <w:pPr>
        <w:pStyle w:val="SingleTxtGA"/>
        <w:tabs>
          <w:tab w:val="clear" w:pos="2608"/>
          <w:tab w:val="clear" w:pos="3289"/>
          <w:tab w:val="clear" w:pos="3969"/>
          <w:tab w:val="clear" w:pos="4649"/>
          <w:tab w:val="clear" w:pos="5330"/>
          <w:tab w:val="left" w:pos="4394"/>
        </w:tabs>
        <w:spacing w:after="100" w:line="360" w:lineRule="exact"/>
        <w:ind w:left="1928"/>
      </w:pPr>
      <w:r w:rsidRPr="00A4039E">
        <w:rPr>
          <w:i/>
          <w:iCs/>
          <w:rtl/>
        </w:rPr>
        <w:t>الدولة الطرف:</w:t>
      </w:r>
      <w:r>
        <w:rPr>
          <w:rtl/>
        </w:rPr>
        <w:tab/>
        <w:t>كندا</w:t>
      </w:r>
    </w:p>
    <w:p w:rsidR="002F624C" w:rsidRPr="00A4039E" w:rsidRDefault="002F624C" w:rsidP="005F61C6">
      <w:pPr>
        <w:pStyle w:val="SingleTxtGA"/>
        <w:tabs>
          <w:tab w:val="clear" w:pos="2608"/>
          <w:tab w:val="clear" w:pos="3289"/>
          <w:tab w:val="clear" w:pos="3969"/>
          <w:tab w:val="clear" w:pos="4649"/>
          <w:tab w:val="clear" w:pos="5330"/>
          <w:tab w:val="left" w:pos="4394"/>
        </w:tabs>
        <w:spacing w:after="100" w:line="360" w:lineRule="exact"/>
        <w:ind w:left="4394" w:hanging="2466"/>
      </w:pPr>
      <w:r w:rsidRPr="00A4039E">
        <w:rPr>
          <w:i/>
          <w:iCs/>
          <w:rtl/>
        </w:rPr>
        <w:t>تاريخ تقديم البلاغ:</w:t>
      </w:r>
      <w:r>
        <w:rPr>
          <w:rtl/>
        </w:rPr>
        <w:tab/>
      </w:r>
      <w:r w:rsidRPr="00A4039E">
        <w:rPr>
          <w:rtl/>
        </w:rPr>
        <w:t>٢٦ كانون الثاني/يناير ٢٠١٧</w:t>
      </w:r>
      <w:r w:rsidR="00A4039E">
        <w:rPr>
          <w:rtl/>
        </w:rPr>
        <w:tab/>
      </w:r>
      <w:r w:rsidR="00A4039E">
        <w:rPr>
          <w:rtl/>
        </w:rPr>
        <w:br/>
      </w:r>
      <w:r w:rsidRPr="00A4039E">
        <w:rPr>
          <w:rtl/>
        </w:rPr>
        <w:t>(تاريخ تقديم الرسالة الأولى)</w:t>
      </w:r>
    </w:p>
    <w:p w:rsidR="002F624C" w:rsidRDefault="002F624C" w:rsidP="005F61C6">
      <w:pPr>
        <w:pStyle w:val="SingleTxtGA"/>
        <w:tabs>
          <w:tab w:val="clear" w:pos="2608"/>
          <w:tab w:val="clear" w:pos="3289"/>
          <w:tab w:val="clear" w:pos="3969"/>
          <w:tab w:val="clear" w:pos="4649"/>
          <w:tab w:val="clear" w:pos="5330"/>
          <w:tab w:val="left" w:pos="4394"/>
        </w:tabs>
        <w:spacing w:after="100" w:line="360" w:lineRule="exact"/>
        <w:ind w:left="4366" w:hanging="2438"/>
      </w:pPr>
      <w:r w:rsidRPr="00A4039E">
        <w:rPr>
          <w:i/>
          <w:iCs/>
          <w:rtl/>
        </w:rPr>
        <w:t>الوثائق المرجعية:</w:t>
      </w:r>
      <w:r>
        <w:rPr>
          <w:rtl/>
        </w:rPr>
        <w:tab/>
        <w:t>القرار المتخذ بموجب المادتين 92</w:t>
      </w:r>
      <w:r w:rsidR="00442BF8">
        <w:rPr>
          <w:rtl/>
        </w:rPr>
        <w:t xml:space="preserve"> و</w:t>
      </w:r>
      <w:r>
        <w:rPr>
          <w:rtl/>
        </w:rPr>
        <w:t xml:space="preserve">97 من النظام </w:t>
      </w:r>
      <w:r w:rsidRPr="00CD7134">
        <w:rPr>
          <w:spacing w:val="-2"/>
          <w:rtl/>
        </w:rPr>
        <w:t>الداخلي للجنة، والمحال إلى الدولة الطرف في ٧ شباط/</w:t>
      </w:r>
      <w:r w:rsidR="00CD7134" w:rsidRPr="00CD7134">
        <w:rPr>
          <w:rFonts w:hint="cs"/>
          <w:spacing w:val="-2"/>
          <w:rtl/>
        </w:rPr>
        <w:t xml:space="preserve"> </w:t>
      </w:r>
      <w:r>
        <w:rPr>
          <w:rtl/>
        </w:rPr>
        <w:t>فبراير ٢٠١٧ (لم يصدر في شكل وثيقة)</w:t>
      </w:r>
    </w:p>
    <w:p w:rsidR="002F624C" w:rsidRDefault="002F624C" w:rsidP="005F61C6">
      <w:pPr>
        <w:pStyle w:val="SingleTxtGA"/>
        <w:tabs>
          <w:tab w:val="clear" w:pos="2608"/>
          <w:tab w:val="clear" w:pos="3289"/>
          <w:tab w:val="clear" w:pos="3969"/>
          <w:tab w:val="clear" w:pos="4649"/>
          <w:tab w:val="clear" w:pos="5330"/>
          <w:tab w:val="left" w:pos="4394"/>
        </w:tabs>
        <w:spacing w:after="100" w:line="360" w:lineRule="exact"/>
        <w:ind w:left="1928"/>
      </w:pPr>
      <w:r w:rsidRPr="00A4039E">
        <w:rPr>
          <w:i/>
          <w:iCs/>
          <w:rtl/>
        </w:rPr>
        <w:t>تاريخ القرار:</w:t>
      </w:r>
      <w:r>
        <w:rPr>
          <w:rtl/>
        </w:rPr>
        <w:tab/>
        <w:t>١٤ آذار/مارس ٢٠١٩</w:t>
      </w:r>
    </w:p>
    <w:p w:rsidR="002F624C" w:rsidRDefault="002F624C" w:rsidP="005F61C6">
      <w:pPr>
        <w:pStyle w:val="SingleTxtGA"/>
        <w:tabs>
          <w:tab w:val="clear" w:pos="1928"/>
          <w:tab w:val="clear" w:pos="2608"/>
          <w:tab w:val="clear" w:pos="3289"/>
          <w:tab w:val="clear" w:pos="3969"/>
          <w:tab w:val="clear" w:pos="4649"/>
          <w:tab w:val="clear" w:pos="5330"/>
          <w:tab w:val="left" w:pos="4394"/>
        </w:tabs>
        <w:spacing w:after="100" w:line="360" w:lineRule="exact"/>
        <w:ind w:left="1928"/>
      </w:pPr>
      <w:r w:rsidRPr="00A4039E">
        <w:rPr>
          <w:i/>
          <w:iCs/>
          <w:rtl/>
        </w:rPr>
        <w:t>الموضوع:</w:t>
      </w:r>
      <w:r>
        <w:rPr>
          <w:rtl/>
        </w:rPr>
        <w:tab/>
        <w:t>الترحيل من كندا إلى الهند</w:t>
      </w:r>
    </w:p>
    <w:p w:rsidR="002F624C" w:rsidRDefault="002F624C" w:rsidP="005F61C6">
      <w:pPr>
        <w:pStyle w:val="SingleTxtGA"/>
        <w:tabs>
          <w:tab w:val="clear" w:pos="2608"/>
          <w:tab w:val="clear" w:pos="3289"/>
          <w:tab w:val="clear" w:pos="3969"/>
          <w:tab w:val="clear" w:pos="4649"/>
          <w:tab w:val="clear" w:pos="5330"/>
          <w:tab w:val="left" w:pos="4394"/>
        </w:tabs>
        <w:spacing w:after="100" w:line="360" w:lineRule="exact"/>
        <w:ind w:left="4366" w:hanging="2438"/>
      </w:pPr>
      <w:r w:rsidRPr="00A4039E">
        <w:rPr>
          <w:i/>
          <w:iCs/>
          <w:rtl/>
        </w:rPr>
        <w:t>المسائل الإجرائية:</w:t>
      </w:r>
      <w:r>
        <w:rPr>
          <w:rtl/>
        </w:rPr>
        <w:tab/>
        <w:t>عدم استنفاد سبل الانتصاف؛ عدم إثبات الادعاءات بأدلة كافية؛ التعارض مع العهد</w:t>
      </w:r>
    </w:p>
    <w:p w:rsidR="002F624C" w:rsidRDefault="002F624C" w:rsidP="005F61C6">
      <w:pPr>
        <w:pStyle w:val="SingleTxtGA"/>
        <w:tabs>
          <w:tab w:val="clear" w:pos="2608"/>
          <w:tab w:val="clear" w:pos="3289"/>
          <w:tab w:val="clear" w:pos="3969"/>
          <w:tab w:val="clear" w:pos="4649"/>
          <w:tab w:val="clear" w:pos="5330"/>
          <w:tab w:val="left" w:pos="4394"/>
        </w:tabs>
        <w:spacing w:after="100" w:line="360" w:lineRule="exact"/>
        <w:ind w:left="4366" w:hanging="2438"/>
      </w:pPr>
      <w:r w:rsidRPr="00A4039E">
        <w:rPr>
          <w:i/>
          <w:iCs/>
          <w:rtl/>
        </w:rPr>
        <w:t>المسائل الموضوعية:</w:t>
      </w:r>
      <w:r>
        <w:rPr>
          <w:rtl/>
        </w:rPr>
        <w:tab/>
      </w:r>
      <w:r w:rsidRPr="002F624C">
        <w:rPr>
          <w:rtl/>
        </w:rPr>
        <w:t>الحق في الحياة؛ خطر التعرض للتعذيب أو المعاملة القاسية أو</w:t>
      </w:r>
      <w:r w:rsidRPr="002F624C">
        <w:rPr>
          <w:spacing w:val="-6"/>
          <w:rtl/>
        </w:rPr>
        <w:t xml:space="preserve"> اللاإنسانية أو المهينة؛ حق الفرد في الحرية </w:t>
      </w:r>
      <w:r w:rsidRPr="002F624C">
        <w:rPr>
          <w:spacing w:val="-6"/>
          <w:rtl/>
        </w:rPr>
        <w:lastRenderedPageBreak/>
        <w:t>والأمن على نفسه؛ سلب الحرية؛ الحق في الخصوصية والأسرة؛ حقوق الطفل؛ عدم التمييز</w:t>
      </w:r>
    </w:p>
    <w:p w:rsidR="002F624C" w:rsidRDefault="002F624C" w:rsidP="00781F97">
      <w:pPr>
        <w:pStyle w:val="SingleTxtGA"/>
        <w:tabs>
          <w:tab w:val="clear" w:pos="2608"/>
          <w:tab w:val="clear" w:pos="3289"/>
          <w:tab w:val="clear" w:pos="3969"/>
          <w:tab w:val="clear" w:pos="4649"/>
          <w:tab w:val="clear" w:pos="5330"/>
          <w:tab w:val="left" w:pos="4394"/>
        </w:tabs>
        <w:ind w:left="1928"/>
      </w:pPr>
      <w:r w:rsidRPr="00A4039E">
        <w:rPr>
          <w:i/>
          <w:iCs/>
          <w:rtl/>
        </w:rPr>
        <w:t>مواد العهد:</w:t>
      </w:r>
      <w:r>
        <w:rPr>
          <w:rtl/>
        </w:rPr>
        <w:tab/>
        <w:t>2</w:t>
      </w:r>
      <w:r w:rsidR="00442BF8">
        <w:rPr>
          <w:rtl/>
        </w:rPr>
        <w:t xml:space="preserve"> و</w:t>
      </w:r>
      <w:r>
        <w:rPr>
          <w:rtl/>
        </w:rPr>
        <w:t>6 و7</w:t>
      </w:r>
      <w:r w:rsidR="00442BF8">
        <w:rPr>
          <w:rtl/>
        </w:rPr>
        <w:t xml:space="preserve"> و</w:t>
      </w:r>
      <w:r>
        <w:rPr>
          <w:rtl/>
        </w:rPr>
        <w:t>9</w:t>
      </w:r>
      <w:r w:rsidR="00442BF8">
        <w:rPr>
          <w:rtl/>
        </w:rPr>
        <w:t xml:space="preserve"> و</w:t>
      </w:r>
      <w:r>
        <w:rPr>
          <w:rtl/>
        </w:rPr>
        <w:t>10</w:t>
      </w:r>
      <w:r w:rsidR="00442BF8">
        <w:rPr>
          <w:rtl/>
        </w:rPr>
        <w:t xml:space="preserve"> و</w:t>
      </w:r>
      <w:r>
        <w:rPr>
          <w:rtl/>
        </w:rPr>
        <w:t>17</w:t>
      </w:r>
      <w:r w:rsidR="00442BF8">
        <w:rPr>
          <w:rtl/>
        </w:rPr>
        <w:t xml:space="preserve"> و</w:t>
      </w:r>
      <w:r>
        <w:rPr>
          <w:rtl/>
        </w:rPr>
        <w:t>23</w:t>
      </w:r>
      <w:r w:rsidR="00442BF8">
        <w:rPr>
          <w:rtl/>
        </w:rPr>
        <w:t xml:space="preserve"> و</w:t>
      </w:r>
      <w:r>
        <w:rPr>
          <w:rtl/>
        </w:rPr>
        <w:t>24 و26</w:t>
      </w:r>
    </w:p>
    <w:p w:rsidR="002F624C" w:rsidRDefault="002F624C" w:rsidP="00D50C03">
      <w:pPr>
        <w:pStyle w:val="SingleTxtGA"/>
        <w:tabs>
          <w:tab w:val="clear" w:pos="2608"/>
          <w:tab w:val="clear" w:pos="3289"/>
          <w:tab w:val="clear" w:pos="3969"/>
          <w:tab w:val="clear" w:pos="4649"/>
          <w:tab w:val="clear" w:pos="5330"/>
          <w:tab w:val="left" w:pos="4394"/>
        </w:tabs>
        <w:spacing w:after="240"/>
        <w:ind w:left="1928"/>
        <w:rPr>
          <w:rtl/>
        </w:rPr>
      </w:pPr>
      <w:r w:rsidRPr="00A4039E">
        <w:rPr>
          <w:i/>
          <w:iCs/>
          <w:rtl/>
        </w:rPr>
        <w:t>مواد البروتوكول الاختياري:</w:t>
      </w:r>
      <w:r>
        <w:rPr>
          <w:rtl/>
        </w:rPr>
        <w:tab/>
        <w:t>2،</w:t>
      </w:r>
      <w:r w:rsidR="00442BF8">
        <w:rPr>
          <w:rtl/>
        </w:rPr>
        <w:t xml:space="preserve"> و</w:t>
      </w:r>
      <w:r>
        <w:rPr>
          <w:rtl/>
        </w:rPr>
        <w:t>3،</w:t>
      </w:r>
      <w:r w:rsidR="00442BF8">
        <w:rPr>
          <w:rtl/>
        </w:rPr>
        <w:t xml:space="preserve"> و</w:t>
      </w:r>
      <w:r>
        <w:rPr>
          <w:rtl/>
        </w:rPr>
        <w:t>5 (الفقرة (2)</w:t>
      </w:r>
      <w:r w:rsidR="0036107A">
        <w:rPr>
          <w:rtl/>
        </w:rPr>
        <w:t>(</w:t>
      </w:r>
      <w:r>
        <w:rPr>
          <w:rtl/>
        </w:rPr>
        <w:t>ب))</w:t>
      </w:r>
    </w:p>
    <w:p w:rsidR="00FC2980" w:rsidRPr="00781F97" w:rsidRDefault="00FC2980" w:rsidP="002F624C">
      <w:pPr>
        <w:pStyle w:val="SingleTxtGA"/>
        <w:rPr>
          <w:rtl/>
        </w:rPr>
      </w:pPr>
      <w:r w:rsidRPr="008727FD">
        <w:rPr>
          <w:rFonts w:hint="cs"/>
          <w:rtl/>
        </w:rPr>
        <w:t>١</w:t>
      </w:r>
      <w:r w:rsidRPr="00781F97">
        <w:rPr>
          <w:rFonts w:hint="cs"/>
          <w:rtl/>
        </w:rPr>
        <w:t>-١</w:t>
      </w:r>
      <w:r w:rsidR="00781F97" w:rsidRPr="00781F97">
        <w:rPr>
          <w:rtl/>
        </w:rPr>
        <w:tab/>
      </w:r>
      <w:r w:rsidRPr="00781F97">
        <w:rPr>
          <w:rFonts w:hint="cs"/>
          <w:rtl/>
        </w:rPr>
        <w:t xml:space="preserve">صاحبا البلاغ الذي تلقته اللجنة في ٣١ كانون الثاني/يناير ٢٠١٧ هما السيد هـ. س، المولود في عام ١٩٧٨، والسيدة أ. ك.، المولودة في عام ١٩٨٤، وهما مواطنان من الهند. </w:t>
      </w:r>
      <w:r w:rsidRPr="00442BF8">
        <w:rPr>
          <w:rFonts w:hint="cs"/>
          <w:spacing w:val="-4"/>
          <w:rtl/>
        </w:rPr>
        <w:t>ويتصرف صاحبا البلاغ باسمهما وبالنيابة عن طفليهما القاصرين، ج. س. المولود في عام ٢٠٠٩،</w:t>
      </w:r>
      <w:r w:rsidR="00442BF8">
        <w:rPr>
          <w:rFonts w:hint="cs"/>
          <w:rtl/>
        </w:rPr>
        <w:t xml:space="preserve"> و</w:t>
      </w:r>
      <w:r w:rsidRPr="00781F97">
        <w:rPr>
          <w:rFonts w:hint="cs"/>
          <w:rtl/>
        </w:rPr>
        <w:t xml:space="preserve">ر. ك. المولودة في عام ٢٠١٠، وهما مواطنان كنديان. وبالنظر إلى أن السلطات رفضت طلب الوالدين اللجوء إلى كندا، فقد صدر </w:t>
      </w:r>
      <w:r w:rsidRPr="00781F97">
        <w:rPr>
          <w:rFonts w:hint="cs"/>
          <w:rtl/>
          <w:lang w:val="fr-FR"/>
        </w:rPr>
        <w:t xml:space="preserve">إليهما </w:t>
      </w:r>
      <w:r w:rsidRPr="00781F97">
        <w:rPr>
          <w:rFonts w:hint="cs"/>
          <w:rtl/>
        </w:rPr>
        <w:t>أمر بمغادرة البلد. وكان من المتوقع أن يعودا إلى الهند في ١٩ شباط/فبراير ٢٠١٧. ويدعي صاحبا البلاغ أن كندا ستنتهك التزاماتها بموجب المواد ٢</w:t>
      </w:r>
      <w:r w:rsidR="00442BF8">
        <w:rPr>
          <w:rFonts w:hint="cs"/>
          <w:rtl/>
        </w:rPr>
        <w:t xml:space="preserve"> و</w:t>
      </w:r>
      <w:r w:rsidRPr="00781F97">
        <w:rPr>
          <w:rFonts w:hint="cs"/>
          <w:rtl/>
        </w:rPr>
        <w:t>٦</w:t>
      </w:r>
      <w:r w:rsidR="00442BF8">
        <w:rPr>
          <w:rFonts w:hint="cs"/>
          <w:rtl/>
        </w:rPr>
        <w:t xml:space="preserve"> و</w:t>
      </w:r>
      <w:r w:rsidRPr="00781F97">
        <w:rPr>
          <w:rFonts w:hint="cs"/>
          <w:rtl/>
        </w:rPr>
        <w:t>٧</w:t>
      </w:r>
      <w:r w:rsidR="00442BF8">
        <w:rPr>
          <w:rFonts w:hint="cs"/>
          <w:rtl/>
        </w:rPr>
        <w:t xml:space="preserve"> و</w:t>
      </w:r>
      <w:r w:rsidRPr="00781F97">
        <w:rPr>
          <w:rFonts w:hint="cs"/>
          <w:rtl/>
        </w:rPr>
        <w:t>٩</w:t>
      </w:r>
      <w:r w:rsidR="00442BF8">
        <w:rPr>
          <w:rFonts w:hint="cs"/>
          <w:rtl/>
        </w:rPr>
        <w:t xml:space="preserve"> و</w:t>
      </w:r>
      <w:r w:rsidRPr="00781F97">
        <w:rPr>
          <w:rFonts w:hint="cs"/>
          <w:rtl/>
        </w:rPr>
        <w:t>١٠</w:t>
      </w:r>
      <w:r w:rsidR="00442BF8">
        <w:rPr>
          <w:rFonts w:hint="cs"/>
          <w:rtl/>
        </w:rPr>
        <w:t xml:space="preserve"> و</w:t>
      </w:r>
      <w:r w:rsidRPr="00781F97">
        <w:rPr>
          <w:rFonts w:hint="cs"/>
          <w:rtl/>
        </w:rPr>
        <w:t>١٧</w:t>
      </w:r>
      <w:r w:rsidR="00442BF8">
        <w:rPr>
          <w:rFonts w:hint="cs"/>
          <w:rtl/>
        </w:rPr>
        <w:t xml:space="preserve"> و</w:t>
      </w:r>
      <w:r w:rsidRPr="00781F97">
        <w:rPr>
          <w:rFonts w:hint="cs"/>
          <w:rtl/>
        </w:rPr>
        <w:t>٢٣</w:t>
      </w:r>
      <w:r w:rsidR="00442BF8">
        <w:rPr>
          <w:rFonts w:hint="cs"/>
          <w:rtl/>
        </w:rPr>
        <w:t xml:space="preserve"> و</w:t>
      </w:r>
      <w:r w:rsidRPr="00781F97">
        <w:rPr>
          <w:rFonts w:hint="cs"/>
          <w:rtl/>
        </w:rPr>
        <w:t>٢٤</w:t>
      </w:r>
      <w:r w:rsidR="00442BF8">
        <w:rPr>
          <w:rFonts w:hint="cs"/>
          <w:rtl/>
        </w:rPr>
        <w:t xml:space="preserve"> و</w:t>
      </w:r>
      <w:r w:rsidRPr="00781F97">
        <w:rPr>
          <w:rFonts w:hint="cs"/>
          <w:rtl/>
        </w:rPr>
        <w:t xml:space="preserve">٢٦ من العهد إن هي رحلتهما إلى الهند. وقد دخل البروتوكول الاختياري حيز النفاذ بالنسبة للدولة الطرف في </w:t>
      </w:r>
      <w:r w:rsidR="005F61C6">
        <w:rPr>
          <w:rFonts w:hint="cs"/>
          <w:rtl/>
        </w:rPr>
        <w:t xml:space="preserve">19 </w:t>
      </w:r>
      <w:r w:rsidRPr="00781F97">
        <w:rPr>
          <w:rFonts w:hint="cs"/>
          <w:rtl/>
        </w:rPr>
        <w:t>أيار/مايو 1976. ويمثل المحامي ألان فاليير أصحاب البلاغ.</w:t>
      </w:r>
    </w:p>
    <w:p w:rsidR="00FC2980" w:rsidRPr="000068A3" w:rsidRDefault="00FC2980" w:rsidP="00FC2980">
      <w:pPr>
        <w:pStyle w:val="SingleTxtGA"/>
        <w:rPr>
          <w:rtl/>
        </w:rPr>
      </w:pPr>
      <w:r w:rsidRPr="00781F97">
        <w:rPr>
          <w:rFonts w:hint="cs"/>
          <w:rtl/>
        </w:rPr>
        <w:t>١-٢</w:t>
      </w:r>
      <w:r w:rsidR="00F857CC">
        <w:rPr>
          <w:rtl/>
        </w:rPr>
        <w:tab/>
      </w:r>
      <w:r w:rsidRPr="000068A3">
        <w:rPr>
          <w:rFonts w:hint="cs"/>
          <w:spacing w:val="-1"/>
          <w:rtl/>
        </w:rPr>
        <w:t xml:space="preserve">وفي ٧ شباط/فبراير ٢٠١٧، طلبت اللجنة المعنية بحقوق الإنسان إلى كندا وقف ترحيل </w:t>
      </w:r>
      <w:r w:rsidRPr="000068A3">
        <w:rPr>
          <w:rFonts w:hint="cs"/>
          <w:rtl/>
        </w:rPr>
        <w:t>صاحبي البلاغ البالغين طالما شكواهما قيد نظر اللجنة. وقد وافقت كندا على هذا الطلب</w:t>
      </w:r>
      <w:r w:rsidRPr="000068A3">
        <w:rPr>
          <w:rFonts w:hint="cs"/>
          <w:spacing w:val="-1"/>
          <w:rtl/>
        </w:rPr>
        <w:t xml:space="preserve"> </w:t>
      </w:r>
      <w:r w:rsidRPr="000068A3">
        <w:rPr>
          <w:rFonts w:hint="cs"/>
          <w:rtl/>
        </w:rPr>
        <w:t>ولا</w:t>
      </w:r>
      <w:r w:rsidR="000068A3" w:rsidRPr="000068A3">
        <w:rPr>
          <w:rFonts w:hint="eastAsia"/>
          <w:rtl/>
        </w:rPr>
        <w:t> </w:t>
      </w:r>
      <w:r w:rsidRPr="000068A3">
        <w:rPr>
          <w:rFonts w:hint="cs"/>
          <w:rtl/>
        </w:rPr>
        <w:t>يزال صاحبا البلاغ في كندا إلى هذا الحين. وفيما يتعلق بالبلاغ، طلبت الدولة الطرف في 4</w:t>
      </w:r>
      <w:r w:rsidRPr="000068A3">
        <w:rPr>
          <w:rFonts w:hint="cs"/>
          <w:spacing w:val="-1"/>
          <w:rtl/>
        </w:rPr>
        <w:t xml:space="preserve"> آب/أغسطس 2017 رفع التدابير المؤقتة. وقررت اللجنة في 19 كانون الأول/ديسمبر 2017، </w:t>
      </w:r>
      <w:r w:rsidRPr="000068A3">
        <w:rPr>
          <w:rFonts w:hint="cs"/>
          <w:rtl/>
        </w:rPr>
        <w:t>عن طريق مقررها الخاص المعني بالبلاغات الجديدة والتدابير المؤقتة، رفض هذا الطلب.</w:t>
      </w:r>
    </w:p>
    <w:p w:rsidR="00FC2980" w:rsidRPr="00781F97" w:rsidRDefault="00FC2980" w:rsidP="00F857CC">
      <w:pPr>
        <w:pStyle w:val="H23GA"/>
        <w:rPr>
          <w:rtl/>
        </w:rPr>
      </w:pPr>
      <w:r w:rsidRPr="00781F97">
        <w:rPr>
          <w:rFonts w:hint="cs"/>
          <w:rtl/>
        </w:rPr>
        <w:tab/>
      </w:r>
      <w:r w:rsidRPr="00781F97">
        <w:rPr>
          <w:rFonts w:hint="cs"/>
          <w:rtl/>
        </w:rPr>
        <w:tab/>
        <w:t>الوقائع كما عرضها صاحبا البلاغ</w:t>
      </w:r>
    </w:p>
    <w:p w:rsidR="00FC2980" w:rsidRPr="00781F97" w:rsidRDefault="00FC2980" w:rsidP="00F857CC">
      <w:pPr>
        <w:pStyle w:val="SingleTxtGA"/>
        <w:rPr>
          <w:rtl/>
        </w:rPr>
      </w:pPr>
      <w:r w:rsidRPr="00F857CC">
        <w:rPr>
          <w:rFonts w:hint="cs"/>
          <w:spacing w:val="-2"/>
          <w:rtl/>
        </w:rPr>
        <w:t>٢-١</w:t>
      </w:r>
      <w:r w:rsidR="00F857CC" w:rsidRPr="00F857CC">
        <w:rPr>
          <w:spacing w:val="-2"/>
          <w:rtl/>
        </w:rPr>
        <w:tab/>
      </w:r>
      <w:r w:rsidRPr="00F857CC">
        <w:rPr>
          <w:rFonts w:hint="cs"/>
          <w:spacing w:val="-2"/>
          <w:rtl/>
        </w:rPr>
        <w:t xml:space="preserve">عمل السيد هـ. س. في ماليزيا من عام 1997 إلى عام 1999. ثم عاد في عام 1999 </w:t>
      </w:r>
      <w:r w:rsidRPr="00781F97">
        <w:rPr>
          <w:rFonts w:hint="cs"/>
          <w:rtl/>
        </w:rPr>
        <w:t>إلى الهند للحصول على جواز سفر جديد، بعد أن فقد جوازه القديم. وفي عام 2000، داهمت الشرطة منزله واستجوبته بشأن ناشطين سياسيين ودوره المفترض وسيطاً بين ناشطين هنود وباكستانيين. وقد عُذب السيد هـ. س. في هذه المناسبة لانتزاع اعترافاته، واضطر إلى دفع رشوة لإطلاق سراحه.</w:t>
      </w:r>
    </w:p>
    <w:p w:rsidR="00FC2980" w:rsidRPr="00781F97" w:rsidRDefault="00FC2980" w:rsidP="00F857CC">
      <w:pPr>
        <w:pStyle w:val="SingleTxtGA"/>
        <w:rPr>
          <w:rtl/>
        </w:rPr>
      </w:pPr>
      <w:r w:rsidRPr="00781F97">
        <w:rPr>
          <w:rFonts w:hint="cs"/>
          <w:rtl/>
        </w:rPr>
        <w:t>٢-٢</w:t>
      </w:r>
      <w:r w:rsidR="00F857CC">
        <w:rPr>
          <w:rtl/>
        </w:rPr>
        <w:tab/>
      </w:r>
      <w:r w:rsidRPr="00781F97">
        <w:rPr>
          <w:rFonts w:hint="cs"/>
          <w:rtl/>
        </w:rPr>
        <w:t>وبعد أن لجأ السيد هـ. س. إلى منزل شقيقته في منطقة أخرى، أُبلغ بأن الشرطة لا</w:t>
      </w:r>
      <w:r w:rsidR="00F857CC">
        <w:rPr>
          <w:rFonts w:hint="eastAsia"/>
          <w:rtl/>
        </w:rPr>
        <w:t> </w:t>
      </w:r>
      <w:r w:rsidRPr="00781F97">
        <w:rPr>
          <w:rFonts w:hint="cs"/>
          <w:rtl/>
        </w:rPr>
        <w:t>تزال تبحث عنه. وعندها، قرر الفرار إلى ماليزيا بجواز سفر مزور. وظلت أسرته، التي بقيت في الهند، تتعرض لمضايقات الشرطة حتى دفعت رشوة في عام 2005.</w:t>
      </w:r>
    </w:p>
    <w:p w:rsidR="00FC2980" w:rsidRPr="00781F97" w:rsidRDefault="00FC2980" w:rsidP="00F857CC">
      <w:pPr>
        <w:pStyle w:val="SingleTxtGA"/>
        <w:rPr>
          <w:rtl/>
        </w:rPr>
      </w:pPr>
      <w:r w:rsidRPr="00781F97">
        <w:rPr>
          <w:rFonts w:hint="cs"/>
          <w:rtl/>
        </w:rPr>
        <w:t>2-3</w:t>
      </w:r>
      <w:r w:rsidR="000068A3">
        <w:rPr>
          <w:rtl/>
        </w:rPr>
        <w:tab/>
      </w:r>
      <w:r w:rsidRPr="00781F97">
        <w:rPr>
          <w:rFonts w:hint="cs"/>
          <w:rtl/>
        </w:rPr>
        <w:t>وعاد السيد هـ. س. في عام 2006 إلى الهند ليتزوج بالسيدة أ. ك.. وخلال إقامته في الهند، حاول استرداد ديْن من المدعو ر. س.. ولهذا الغرض</w:t>
      </w:r>
      <w:r w:rsidR="000068A3">
        <w:rPr>
          <w:rFonts w:hint="cs"/>
          <w:rtl/>
        </w:rPr>
        <w:t xml:space="preserve"> </w:t>
      </w:r>
      <w:r w:rsidRPr="00781F97">
        <w:rPr>
          <w:rFonts w:hint="cs"/>
          <w:rtl/>
        </w:rPr>
        <w:t>سأل والده السيد هـ. س عنه.،</w:t>
      </w:r>
      <w:r w:rsidR="000068A3">
        <w:rPr>
          <w:rFonts w:hint="cs"/>
          <w:rtl/>
        </w:rPr>
        <w:t xml:space="preserve"> </w:t>
      </w:r>
      <w:r w:rsidRPr="00781F97">
        <w:rPr>
          <w:rFonts w:hint="cs"/>
          <w:rtl/>
        </w:rPr>
        <w:t>وبعد ذلك ببضعة أيام، توفي والد ر. س.، فاتهم شقيق ر. س. السيد هـ. س. بالمسؤولية عن وفاة والده؛ وانتقام</w:t>
      </w:r>
      <w:r w:rsidR="003B6E7D">
        <w:rPr>
          <w:rFonts w:hint="cs"/>
          <w:rtl/>
        </w:rPr>
        <w:t xml:space="preserve">اً </w:t>
      </w:r>
      <w:r w:rsidRPr="00781F97">
        <w:rPr>
          <w:rFonts w:hint="cs"/>
          <w:rtl/>
        </w:rPr>
        <w:t>منه، وشى به لدى السلطات الهندية بالقول إنه من المهربين، وأن في حوزته علاوة على ذلك جواز سفر مزوراً.</w:t>
      </w:r>
    </w:p>
    <w:p w:rsidR="00FC2980" w:rsidRPr="00781F97" w:rsidRDefault="00FC2980" w:rsidP="00F857CC">
      <w:pPr>
        <w:pStyle w:val="SingleTxtGA"/>
        <w:rPr>
          <w:rtl/>
        </w:rPr>
      </w:pPr>
      <w:r w:rsidRPr="00781F97">
        <w:rPr>
          <w:rFonts w:hint="cs"/>
          <w:rtl/>
        </w:rPr>
        <w:lastRenderedPageBreak/>
        <w:t>2-4</w:t>
      </w:r>
      <w:r w:rsidR="000068A3">
        <w:rPr>
          <w:rtl/>
        </w:rPr>
        <w:tab/>
      </w:r>
      <w:r w:rsidRPr="00781F97">
        <w:rPr>
          <w:rFonts w:hint="cs"/>
          <w:rtl/>
        </w:rPr>
        <w:t>وأُلقي القبض على السيد هـ. س. في 27 تشرين الأول/أكتوبر 2006، واستُجوب مرة أخرى أثناء احتجازه عما إذا كان عضواً في حركات سياسية. وأُطلق سراحه في ٩ كانون الأول/ديسمبر ٢٠٠٦ فرجع إلى ماليزيا. والتحقت به زوجته في تموز/يوليه 2007، لكنها اضطرت إلى العودة إلى الهند في آذار/مارس 2008 لتلقي العلاج الطبي. وبعد أن تخلف السيد</w:t>
      </w:r>
      <w:r w:rsidR="00D50C03">
        <w:rPr>
          <w:rFonts w:hint="eastAsia"/>
          <w:rtl/>
        </w:rPr>
        <w:t> </w:t>
      </w:r>
      <w:r w:rsidRPr="00781F97">
        <w:rPr>
          <w:rFonts w:hint="cs"/>
          <w:rtl/>
        </w:rPr>
        <w:t>هـ. س. عن المثول أمام محكمة هندية بسبب التهم الموجهة إليه، وهي التهم التي أفضت إلى إلقاء القبض عليه، أعلنت الشرطة أنه "</w:t>
      </w:r>
      <w:r w:rsidRPr="00781F97">
        <w:rPr>
          <w:rFonts w:hint="cs"/>
          <w:i/>
          <w:iCs/>
          <w:rtl/>
        </w:rPr>
        <w:t>مجرم معلوم</w:t>
      </w:r>
      <w:r w:rsidRPr="00781F97">
        <w:rPr>
          <w:rFonts w:hint="cs"/>
          <w:rtl/>
        </w:rPr>
        <w:t>" بموجب أحكام القانون الهندي وبدأت في البحث عنه. وقد تلقت زوجته تهديدات أيضاً.</w:t>
      </w:r>
    </w:p>
    <w:p w:rsidR="00FC2980" w:rsidRPr="00781F97" w:rsidRDefault="00FC2980" w:rsidP="00F857CC">
      <w:pPr>
        <w:pStyle w:val="SingleTxtGA"/>
        <w:rPr>
          <w:rtl/>
        </w:rPr>
      </w:pPr>
      <w:r w:rsidRPr="00781F97">
        <w:rPr>
          <w:rFonts w:hint="cs"/>
          <w:rtl/>
        </w:rPr>
        <w:t>2-5</w:t>
      </w:r>
      <w:r w:rsidR="000068A3">
        <w:rPr>
          <w:rtl/>
        </w:rPr>
        <w:tab/>
      </w:r>
      <w:r w:rsidRPr="00781F97">
        <w:rPr>
          <w:rFonts w:hint="cs"/>
          <w:rtl/>
        </w:rPr>
        <w:t xml:space="preserve">وفي وقت لاحق، أُلقي القبض على شقيق السيد هـ. س.، وعُذِّب بسبب علاقاته بهذا الأخير. ولا يزال شقيقه هذا في عداد المفقودين منذ عام </w:t>
      </w:r>
      <w:r w:rsidRPr="00781F97">
        <w:rPr>
          <w:rtl/>
        </w:rPr>
        <w:t>2010</w:t>
      </w:r>
      <w:r w:rsidRPr="00781F97">
        <w:rPr>
          <w:rFonts w:hint="cs"/>
          <w:rtl/>
        </w:rPr>
        <w:t>.</w:t>
      </w:r>
    </w:p>
    <w:p w:rsidR="00FC2980" w:rsidRPr="00781F97" w:rsidRDefault="00FC2980" w:rsidP="00F857CC">
      <w:pPr>
        <w:pStyle w:val="SingleTxtGA"/>
        <w:rPr>
          <w:rtl/>
        </w:rPr>
      </w:pPr>
      <w:r w:rsidRPr="00781F97">
        <w:rPr>
          <w:rFonts w:hint="cs"/>
          <w:rtl/>
        </w:rPr>
        <w:t>2-6</w:t>
      </w:r>
      <w:r w:rsidR="000068A3">
        <w:rPr>
          <w:rtl/>
        </w:rPr>
        <w:tab/>
      </w:r>
      <w:r w:rsidRPr="00781F97">
        <w:rPr>
          <w:rFonts w:hint="cs"/>
          <w:rtl/>
        </w:rPr>
        <w:t>ووصل صاحبا البلاغ إلى تورونتو بكندا في 9 تشرين الثاني/نوفمبر 2008، والتمسا اللجوء.</w:t>
      </w:r>
    </w:p>
    <w:p w:rsidR="00FC2980" w:rsidRPr="000068A3" w:rsidRDefault="00FC2980" w:rsidP="00F857CC">
      <w:pPr>
        <w:pStyle w:val="SingleTxtGA"/>
        <w:rPr>
          <w:rtl/>
        </w:rPr>
      </w:pPr>
      <w:r w:rsidRPr="000068A3">
        <w:rPr>
          <w:rFonts w:hint="cs"/>
          <w:spacing w:val="-4"/>
          <w:rtl/>
        </w:rPr>
        <w:t>2-7</w:t>
      </w:r>
      <w:r w:rsidR="000068A3" w:rsidRPr="000068A3">
        <w:rPr>
          <w:spacing w:val="-4"/>
          <w:rtl/>
        </w:rPr>
        <w:tab/>
      </w:r>
      <w:r w:rsidRPr="000068A3">
        <w:rPr>
          <w:rFonts w:hint="cs"/>
          <w:spacing w:val="-4"/>
          <w:rtl/>
        </w:rPr>
        <w:t>وفي 10 حزيران/يونيه 2013، ثم في 28 نيسان/أبريل</w:t>
      </w:r>
      <w:r w:rsidR="00442BF8" w:rsidRPr="000068A3">
        <w:rPr>
          <w:rFonts w:hint="cs"/>
          <w:spacing w:val="-4"/>
          <w:rtl/>
        </w:rPr>
        <w:t xml:space="preserve"> و</w:t>
      </w:r>
      <w:r w:rsidRPr="000068A3">
        <w:rPr>
          <w:rFonts w:hint="cs"/>
          <w:spacing w:val="-4"/>
          <w:rtl/>
        </w:rPr>
        <w:t>24 تشرين الثاني/نوفمبر 2014، عقد المجلس الكندي للهجرة واللاجئين جلسة استماع معهما. ورُفض طلبهما في 23 كانون الثاني/</w:t>
      </w:r>
      <w:r w:rsidR="000068A3" w:rsidRPr="000068A3">
        <w:rPr>
          <w:rFonts w:hint="cs"/>
          <w:spacing w:val="-4"/>
          <w:rtl/>
        </w:rPr>
        <w:t xml:space="preserve"> </w:t>
      </w:r>
      <w:r w:rsidRPr="000068A3">
        <w:rPr>
          <w:rFonts w:hint="cs"/>
          <w:rtl/>
        </w:rPr>
        <w:t>يناير 2015. وقدم صاحبا البلاغ طلب</w:t>
      </w:r>
      <w:r w:rsidR="003B6E7D">
        <w:rPr>
          <w:rFonts w:hint="cs"/>
          <w:rtl/>
        </w:rPr>
        <w:t xml:space="preserve">اً </w:t>
      </w:r>
      <w:r w:rsidRPr="000068A3">
        <w:rPr>
          <w:rFonts w:hint="cs"/>
          <w:rtl/>
        </w:rPr>
        <w:t>لتقييم المخاطر قبل الترحيل في 9 شباط/فبراير 2016، لكنه رُفض في 4 آب/أغسطس 2016. وتلقى صاحبا البلاغ فيما بعد أمراً بمغادرة كندا.</w:t>
      </w:r>
    </w:p>
    <w:p w:rsidR="00FC2980" w:rsidRPr="00781F97" w:rsidRDefault="00FC2980" w:rsidP="00F857CC">
      <w:pPr>
        <w:pStyle w:val="SingleTxtGA"/>
        <w:rPr>
          <w:rtl/>
        </w:rPr>
      </w:pPr>
      <w:r w:rsidRPr="00781F97">
        <w:rPr>
          <w:rFonts w:hint="cs"/>
          <w:rtl/>
        </w:rPr>
        <w:t>2-8</w:t>
      </w:r>
      <w:r w:rsidR="000F0D43">
        <w:rPr>
          <w:rtl/>
        </w:rPr>
        <w:tab/>
      </w:r>
      <w:r w:rsidRPr="00781F97">
        <w:rPr>
          <w:rFonts w:hint="cs"/>
          <w:rtl/>
        </w:rPr>
        <w:t>وفي 13 تشرين الأول/أكتوبر 2016، قدم صاحبا البلاغ طلب</w:t>
      </w:r>
      <w:r w:rsidR="003B6E7D">
        <w:rPr>
          <w:rFonts w:hint="cs"/>
          <w:rtl/>
        </w:rPr>
        <w:t xml:space="preserve">اً </w:t>
      </w:r>
      <w:r w:rsidRPr="00781F97">
        <w:rPr>
          <w:rFonts w:hint="cs"/>
          <w:rtl/>
        </w:rPr>
        <w:t>للحصول على الإقامة الدائمة لاعتبارات إنسانية، ومراعاة لمصالح طفليهما الفضلى، كونهما مواطنين كنديين. ولم يرد أي رد على هذا الطلب حتى وقت تقديم البلاغ الأولي، علم</w:t>
      </w:r>
      <w:r w:rsidR="003B6E7D">
        <w:rPr>
          <w:rFonts w:hint="cs"/>
          <w:rtl/>
        </w:rPr>
        <w:t xml:space="preserve">اً </w:t>
      </w:r>
      <w:r w:rsidRPr="00781F97">
        <w:rPr>
          <w:rFonts w:hint="cs"/>
          <w:rtl/>
        </w:rPr>
        <w:t xml:space="preserve">أن مدة الرد المعتادة تتراوح بين ثلاثين واثنين وأربعين شهراً. ومع ذلك، لا يمنع هذا الإجراء ترحيلهما. </w:t>
      </w:r>
    </w:p>
    <w:p w:rsidR="00FC2980" w:rsidRPr="00781F97" w:rsidRDefault="00FC2980" w:rsidP="00F857CC">
      <w:pPr>
        <w:pStyle w:val="SingleTxtGA"/>
        <w:rPr>
          <w:rtl/>
        </w:rPr>
      </w:pPr>
      <w:r w:rsidRPr="00781F97">
        <w:rPr>
          <w:rFonts w:hint="cs"/>
          <w:rtl/>
        </w:rPr>
        <w:t>2-9</w:t>
      </w:r>
      <w:r w:rsidR="000F0D43">
        <w:rPr>
          <w:rtl/>
        </w:rPr>
        <w:tab/>
      </w:r>
      <w:r w:rsidRPr="00781F97">
        <w:rPr>
          <w:rFonts w:hint="cs"/>
          <w:rtl/>
        </w:rPr>
        <w:t>ويشير صاحبا البلاغ إلى أنه كانت لهما بالفعل فرصة تقديم طلب إلى المحكمة الاتحادية الكندية لإجراء مراجعة قضائية لقرارات رفض طلبهما اللجوء، لكن محاميهما حينها نصحهما بألا يفعلا ذلك، موضح</w:t>
      </w:r>
      <w:r w:rsidR="003B6E7D">
        <w:rPr>
          <w:rFonts w:hint="cs"/>
          <w:rtl/>
        </w:rPr>
        <w:t xml:space="preserve">اً </w:t>
      </w:r>
      <w:r w:rsidRPr="00781F97">
        <w:rPr>
          <w:rFonts w:hint="cs"/>
          <w:rtl/>
        </w:rPr>
        <w:t>أن من شأن طلب المراجعة أن يُشعر السلطات في الواقع بأنهما دخلا كندا بصورة غير قانونية، ويدفعها إلى الشروع في إجراءات ترحيلهما.</w:t>
      </w:r>
    </w:p>
    <w:p w:rsidR="00FC2980" w:rsidRPr="00781F97" w:rsidRDefault="00FC2980" w:rsidP="00F857CC">
      <w:pPr>
        <w:pStyle w:val="SingleTxtGA"/>
        <w:rPr>
          <w:rtl/>
        </w:rPr>
      </w:pPr>
      <w:r w:rsidRPr="00781F97">
        <w:rPr>
          <w:rFonts w:hint="cs"/>
          <w:rtl/>
        </w:rPr>
        <w:t>2-10</w:t>
      </w:r>
      <w:r w:rsidR="000F0D43">
        <w:rPr>
          <w:rtl/>
        </w:rPr>
        <w:tab/>
      </w:r>
      <w:r w:rsidRPr="00781F97">
        <w:rPr>
          <w:rFonts w:hint="cs"/>
          <w:rtl/>
        </w:rPr>
        <w:t>واتصلت السلطات الكندية بنظيراتها الهندية من أجل الحصول على وثائق سفر لصاحبي البلاغ، وهي وثائق ضرورية في عملية ترحيلهما. وحصلت على وجه الخصوص على تأشيرتين سياحيتين لطفليهما صالحتين لمدة مائة وثمانين يوم</w:t>
      </w:r>
      <w:r w:rsidR="00B639C2">
        <w:rPr>
          <w:rFonts w:hint="cs"/>
          <w:rtl/>
        </w:rPr>
        <w:t>اً.</w:t>
      </w:r>
      <w:r w:rsidRPr="00781F97">
        <w:rPr>
          <w:rFonts w:hint="cs"/>
          <w:rtl/>
        </w:rPr>
        <w:t xml:space="preserve"> وقد كان من المقرر أن يغادر صاحبا البلاغ إلى الهند في 19 شباط/فبراير 2017.</w:t>
      </w:r>
    </w:p>
    <w:p w:rsidR="00FC2980" w:rsidRPr="00781F97" w:rsidRDefault="00FC2980" w:rsidP="000F0D43">
      <w:pPr>
        <w:pStyle w:val="H23GA"/>
        <w:rPr>
          <w:rtl/>
        </w:rPr>
      </w:pPr>
      <w:r w:rsidRPr="00781F97">
        <w:rPr>
          <w:rFonts w:hint="cs"/>
          <w:rtl/>
        </w:rPr>
        <w:tab/>
      </w:r>
      <w:r w:rsidRPr="00781F97">
        <w:rPr>
          <w:rFonts w:hint="cs"/>
          <w:rtl/>
        </w:rPr>
        <w:tab/>
        <w:t>الشكوى</w:t>
      </w:r>
    </w:p>
    <w:p w:rsidR="00FC2980" w:rsidRPr="00781F97" w:rsidRDefault="00FC2980" w:rsidP="00FC2980">
      <w:pPr>
        <w:pStyle w:val="SingleTxtGA"/>
        <w:rPr>
          <w:rtl/>
        </w:rPr>
      </w:pPr>
      <w:r w:rsidRPr="00781F97">
        <w:rPr>
          <w:rFonts w:hint="cs"/>
          <w:rtl/>
        </w:rPr>
        <w:t>3-1</w:t>
      </w:r>
      <w:r w:rsidR="000F0D43">
        <w:rPr>
          <w:rtl/>
        </w:rPr>
        <w:tab/>
      </w:r>
      <w:r w:rsidRPr="00781F97">
        <w:rPr>
          <w:rFonts w:hint="cs"/>
          <w:rtl/>
        </w:rPr>
        <w:t>يدعي صاحبا البلاغ في المقام الأول أن ترحيل كندا لهما سيشكل انتهاك</w:t>
      </w:r>
      <w:r w:rsidR="003B6E7D">
        <w:rPr>
          <w:rFonts w:hint="cs"/>
          <w:rtl/>
        </w:rPr>
        <w:t xml:space="preserve">اً </w:t>
      </w:r>
      <w:r w:rsidRPr="00781F97">
        <w:rPr>
          <w:rFonts w:hint="cs"/>
          <w:rtl/>
        </w:rPr>
        <w:t>لحقوقهما المنصوص عليها في المادتين 6 و7 من العهد. وبالنظر إلى التهم الموجهة إلى السيد هـ. س.، فهو يخشى أن يتعرض في واقع الأمر للاعتقال بمجرد وصوله، ويُعدم خارج نطاق القانون بسبب مشاركته المزعومة في أنشطة سياسية. ويشير صاحبا البلاغ إلى الحالة العامة لحقوق الإنسان في الهند، ويُذكِّران أيض</w:t>
      </w:r>
      <w:r w:rsidR="003B6E7D">
        <w:rPr>
          <w:rFonts w:hint="cs"/>
          <w:rtl/>
        </w:rPr>
        <w:t xml:space="preserve">اً </w:t>
      </w:r>
      <w:r w:rsidRPr="00781F97">
        <w:rPr>
          <w:rFonts w:hint="cs"/>
          <w:rtl/>
        </w:rPr>
        <w:t>بأن شقيق السيد هـ. س. لا يزال في عداد المفقودين. واستناد</w:t>
      </w:r>
      <w:r w:rsidR="003B6E7D">
        <w:rPr>
          <w:rFonts w:hint="cs"/>
          <w:rtl/>
        </w:rPr>
        <w:t xml:space="preserve">اً </w:t>
      </w:r>
      <w:r w:rsidRPr="00781F97">
        <w:rPr>
          <w:rFonts w:hint="cs"/>
          <w:rtl/>
        </w:rPr>
        <w:t xml:space="preserve">إلى المادة 6 </w:t>
      </w:r>
      <w:r w:rsidRPr="00781F97">
        <w:rPr>
          <w:rFonts w:hint="cs"/>
          <w:rtl/>
        </w:rPr>
        <w:lastRenderedPageBreak/>
        <w:t>من العهد، يشير صاحبا البلاغ كذلك إلى أن الطفل ج. س. يعاني من الربو وقد تنتابه نوبات في حال ترحيله إلى الهند بسبب الهواء الملوث ونقص الرعاية في هذا البلد.</w:t>
      </w:r>
    </w:p>
    <w:p w:rsidR="00FC2980" w:rsidRPr="00781F97" w:rsidRDefault="00FC2980" w:rsidP="00FC2980">
      <w:pPr>
        <w:pStyle w:val="SingleTxtGA"/>
        <w:rPr>
          <w:rtl/>
        </w:rPr>
      </w:pPr>
      <w:r w:rsidRPr="00781F97">
        <w:rPr>
          <w:rFonts w:hint="cs"/>
          <w:rtl/>
        </w:rPr>
        <w:t>3-2</w:t>
      </w:r>
      <w:r w:rsidR="000F0D43">
        <w:rPr>
          <w:rtl/>
        </w:rPr>
        <w:tab/>
      </w:r>
      <w:r w:rsidRPr="003B6E7D">
        <w:rPr>
          <w:rFonts w:hint="cs"/>
          <w:spacing w:val="-6"/>
          <w:rtl/>
        </w:rPr>
        <w:t>ويشير صاحبا البلاغ ثاني</w:t>
      </w:r>
      <w:r w:rsidR="003B6E7D" w:rsidRPr="003B6E7D">
        <w:rPr>
          <w:rFonts w:hint="cs"/>
          <w:spacing w:val="-6"/>
          <w:rtl/>
        </w:rPr>
        <w:t xml:space="preserve">اً </w:t>
      </w:r>
      <w:r w:rsidRPr="003B6E7D">
        <w:rPr>
          <w:rFonts w:hint="cs"/>
          <w:spacing w:val="-6"/>
          <w:rtl/>
        </w:rPr>
        <w:t>إلى أن ترحيلهما سيشكل انتهاك</w:t>
      </w:r>
      <w:r w:rsidR="003B6E7D" w:rsidRPr="003B6E7D">
        <w:rPr>
          <w:rFonts w:hint="cs"/>
          <w:spacing w:val="-6"/>
          <w:rtl/>
        </w:rPr>
        <w:t xml:space="preserve">اً </w:t>
      </w:r>
      <w:r w:rsidRPr="003B6E7D">
        <w:rPr>
          <w:rFonts w:hint="cs"/>
          <w:spacing w:val="-6"/>
          <w:rtl/>
        </w:rPr>
        <w:t>للمادة 9 من العهد فيما يتعلق</w:t>
      </w:r>
      <w:r w:rsidRPr="00781F97">
        <w:rPr>
          <w:rFonts w:hint="cs"/>
          <w:rtl/>
        </w:rPr>
        <w:t xml:space="preserve"> بالسيد هـ. س.، والمادة 10 كذلك فيما يتعلق بظروف وشروط احتجازه في حال اعتقاله.</w:t>
      </w:r>
    </w:p>
    <w:p w:rsidR="00FC2980" w:rsidRPr="00781F97" w:rsidRDefault="00FC2980" w:rsidP="00FC2980">
      <w:pPr>
        <w:pStyle w:val="SingleTxtGA"/>
        <w:rPr>
          <w:rtl/>
        </w:rPr>
      </w:pPr>
      <w:r w:rsidRPr="00781F97">
        <w:rPr>
          <w:rFonts w:hint="cs"/>
          <w:rtl/>
        </w:rPr>
        <w:t>3-3</w:t>
      </w:r>
      <w:r w:rsidR="000F0D43">
        <w:rPr>
          <w:rtl/>
        </w:rPr>
        <w:tab/>
      </w:r>
      <w:r w:rsidRPr="00781F97">
        <w:rPr>
          <w:rFonts w:hint="cs"/>
          <w:rtl/>
        </w:rPr>
        <w:t>ويدعي صاحبا البلاغ أن ترحيلهما من كندا سيجبر طفليهما على مصاحبتهما إلى بلد لا يعرفان عنه شيئ</w:t>
      </w:r>
      <w:r w:rsidR="003B6E7D">
        <w:rPr>
          <w:rFonts w:hint="cs"/>
          <w:rtl/>
        </w:rPr>
        <w:t xml:space="preserve">اً </w:t>
      </w:r>
      <w:r w:rsidRPr="00781F97">
        <w:rPr>
          <w:rFonts w:hint="cs"/>
          <w:rtl/>
        </w:rPr>
        <w:t>ولا يحملان جنسيته، وسيشكل تدخلاً في حياتهما الخاصة والأسرية، وأن في ذلك انتهاكاً للمادة 17 من العهد. وعلاوة على ذلك، ليس في حوزة طفليهما حالي</w:t>
      </w:r>
      <w:r w:rsidR="003B6E7D">
        <w:rPr>
          <w:rFonts w:hint="cs"/>
          <w:rtl/>
        </w:rPr>
        <w:t xml:space="preserve">اً </w:t>
      </w:r>
      <w:r w:rsidRPr="00781F97">
        <w:rPr>
          <w:rFonts w:hint="cs"/>
          <w:rtl/>
        </w:rPr>
        <w:t>غير تأشيرة سياحية محدودة صالحة لمائة وثمانين يوم</w:t>
      </w:r>
      <w:r w:rsidR="00B639C2">
        <w:rPr>
          <w:rFonts w:hint="cs"/>
          <w:rtl/>
        </w:rPr>
        <w:t>اً،</w:t>
      </w:r>
      <w:r w:rsidRPr="00781F97">
        <w:rPr>
          <w:rFonts w:hint="cs"/>
          <w:rtl/>
        </w:rPr>
        <w:t xml:space="preserve"> وقد يجدا نفسيهما في وضع غير مستقر بعد انتهاء صلاحية تأشيرتهما. وحينها، سيتعين عليهما إما أن ينفصلا عن والديهما والعودة إلى كندا، أو أن يظلا بصورة غير قانونية في الأراضي الهندية. ويؤكد صاحبا البلاغ أن من شأن انفصال أفراد الأسرة عن بعضهم، الذي قد ينجم بصورة غير مباشرة عن أمر الترحيل، أن يسبب للطفلين ضرراً لا يمكن جبره. وعلى هذا الأساس، يدفع صاحبا البلاغ بأن السلطات الكندية لم تأخذ في اعتبارها مصالح الطفلين الفضلى في قراراتها هذه. وبناء على ذلك، سيشكل ترحيلهما إجراءً تعسفياً في انتهاك للمادة 17(1)، والمادة 23(1) من العهد.</w:t>
      </w:r>
    </w:p>
    <w:p w:rsidR="00FC2980" w:rsidRPr="00781F97" w:rsidRDefault="00FC2980" w:rsidP="00FC2980">
      <w:pPr>
        <w:pStyle w:val="SingleTxtGA"/>
        <w:rPr>
          <w:rtl/>
        </w:rPr>
      </w:pPr>
      <w:r w:rsidRPr="00781F97">
        <w:rPr>
          <w:rFonts w:hint="cs"/>
          <w:rtl/>
        </w:rPr>
        <w:t>3-4</w:t>
      </w:r>
      <w:r w:rsidR="000F0D43">
        <w:rPr>
          <w:rtl/>
        </w:rPr>
        <w:tab/>
      </w:r>
      <w:r w:rsidRPr="00781F97">
        <w:rPr>
          <w:rFonts w:hint="cs"/>
          <w:rtl/>
        </w:rPr>
        <w:t>ويدعي صاحبا البلاغ كذلك أن ترحيل الأسرة انتهاك أيض</w:t>
      </w:r>
      <w:r w:rsidR="003B6E7D">
        <w:rPr>
          <w:rFonts w:hint="cs"/>
          <w:rtl/>
        </w:rPr>
        <w:t xml:space="preserve">اً </w:t>
      </w:r>
      <w:r w:rsidRPr="00781F97">
        <w:rPr>
          <w:rFonts w:hint="cs"/>
          <w:rtl/>
        </w:rPr>
        <w:t>للمادة 24 من العهد فيما</w:t>
      </w:r>
      <w:r w:rsidR="003B6E7D">
        <w:rPr>
          <w:rFonts w:hint="eastAsia"/>
          <w:rtl/>
        </w:rPr>
        <w:t> </w:t>
      </w:r>
      <w:r w:rsidRPr="00781F97">
        <w:rPr>
          <w:rFonts w:hint="cs"/>
          <w:rtl/>
        </w:rPr>
        <w:t>يتعلق بطفليهما لعدم توفير الحماية المطلوبة لهما بموجب هذه المادة. ويشير صاحبا البلاغ على وجه الخصوص إلى المخاطر التي تتهدد صحة طفليهما، لا سيما تردي ظروف النظافة المتاحة للأطفال في الهند، وقلة فرص الحصول على الرعاية الصحية هناك. ويرى صاحبا البلاغ كذلك أن التحاق طفليهما بالمدرسة، التي لها نظام تعليم ولغة لا يعرفان شيئ</w:t>
      </w:r>
      <w:r w:rsidR="003B6E7D">
        <w:rPr>
          <w:rFonts w:hint="cs"/>
          <w:rtl/>
        </w:rPr>
        <w:t xml:space="preserve">اً </w:t>
      </w:r>
      <w:r w:rsidRPr="00781F97">
        <w:rPr>
          <w:rFonts w:hint="cs"/>
          <w:rtl/>
        </w:rPr>
        <w:t xml:space="preserve">عنهما، لا يمكن توفيره بالشروط ذاتها الموجودة في كندا. </w:t>
      </w:r>
    </w:p>
    <w:p w:rsidR="00FC2980" w:rsidRPr="00781F97" w:rsidRDefault="00FC2980" w:rsidP="00FC2980">
      <w:pPr>
        <w:pStyle w:val="SingleTxtGA"/>
        <w:rPr>
          <w:rtl/>
        </w:rPr>
      </w:pPr>
      <w:r w:rsidRPr="00781F97">
        <w:rPr>
          <w:rFonts w:hint="cs"/>
          <w:rtl/>
        </w:rPr>
        <w:t>3-5</w:t>
      </w:r>
      <w:r w:rsidR="000F0D43">
        <w:rPr>
          <w:rtl/>
        </w:rPr>
        <w:tab/>
      </w:r>
      <w:r w:rsidRPr="00781F97">
        <w:rPr>
          <w:rFonts w:hint="cs"/>
          <w:rtl/>
        </w:rPr>
        <w:t>ويدعي صاحبا البلاغ أيض</w:t>
      </w:r>
      <w:r w:rsidR="003B6E7D">
        <w:rPr>
          <w:rFonts w:hint="cs"/>
          <w:rtl/>
        </w:rPr>
        <w:t xml:space="preserve">اً </w:t>
      </w:r>
      <w:r w:rsidRPr="00781F97">
        <w:rPr>
          <w:rFonts w:hint="cs"/>
          <w:rtl/>
        </w:rPr>
        <w:t>أن المادة 26 من العهد ستُنتهك فيما يتعلق بطفليهما في حال ترحيلهما لأن في هذا الإجراء تمييز على أساس جنسية والديهما.</w:t>
      </w:r>
    </w:p>
    <w:p w:rsidR="00FC2980" w:rsidRPr="00781F97" w:rsidRDefault="00FC2980" w:rsidP="000F0D43">
      <w:pPr>
        <w:pStyle w:val="H23GA"/>
        <w:rPr>
          <w:rtl/>
        </w:rPr>
      </w:pPr>
      <w:r w:rsidRPr="00781F97">
        <w:rPr>
          <w:rFonts w:hint="cs"/>
          <w:rtl/>
        </w:rPr>
        <w:tab/>
      </w:r>
      <w:r w:rsidRPr="00781F97">
        <w:rPr>
          <w:rFonts w:hint="cs"/>
          <w:rtl/>
        </w:rPr>
        <w:tab/>
        <w:t>ملاحظات الدولة الطرف بشأن المقبولية والأسس الموضوعية</w:t>
      </w:r>
    </w:p>
    <w:p w:rsidR="00FC2980" w:rsidRPr="00781F97" w:rsidRDefault="00FC2980" w:rsidP="00FC2980">
      <w:pPr>
        <w:pStyle w:val="SingleTxtGA"/>
        <w:rPr>
          <w:rtl/>
        </w:rPr>
      </w:pPr>
      <w:r w:rsidRPr="00781F97">
        <w:rPr>
          <w:rFonts w:hint="cs"/>
          <w:rtl/>
        </w:rPr>
        <w:t>4-1</w:t>
      </w:r>
      <w:r w:rsidR="000F0D43">
        <w:rPr>
          <w:rtl/>
        </w:rPr>
        <w:tab/>
      </w:r>
      <w:r w:rsidRPr="00781F97">
        <w:rPr>
          <w:rFonts w:hint="cs"/>
          <w:rtl/>
        </w:rPr>
        <w:t>قدمت الدولة الطرف في 4 آب/أغسطس 2017 ملاحظاتها بشأن مقبولية البلاغ وأسسه الموضوعية.</w:t>
      </w:r>
    </w:p>
    <w:p w:rsidR="00FC2980" w:rsidRPr="00781F97" w:rsidRDefault="00FC2980" w:rsidP="00FC2980">
      <w:pPr>
        <w:pStyle w:val="SingleTxtGA"/>
        <w:rPr>
          <w:rtl/>
        </w:rPr>
      </w:pPr>
      <w:r w:rsidRPr="00781F97">
        <w:rPr>
          <w:rFonts w:hint="cs"/>
          <w:rtl/>
        </w:rPr>
        <w:t>4-2</w:t>
      </w:r>
      <w:r w:rsidR="000F0D43">
        <w:rPr>
          <w:rtl/>
        </w:rPr>
        <w:tab/>
      </w:r>
      <w:r w:rsidRPr="00781F97">
        <w:rPr>
          <w:rFonts w:hint="cs"/>
          <w:rtl/>
        </w:rPr>
        <w:t>وترى الدولة الطرف أن ادعاءات السيد هـ. س. أنه سيواجه خطر التعذيب أو الموت على أيدي السلطات الهندية، وأن من شأن ترحيل صاحبي البلاغ البالغين أن يجعل طفليهما في وضع غير مستقر، كونهما وُلدا في الخارج ولا يتكلمان اللغة البنجابية، وأن طفلهما ج. س. في حاجة إلى رعاية طبية لا يمكن توفيرها في الهند، ادعاءاتٌ ينبغي اعتبارها غير مقبولة بموجب المادتين 2</w:t>
      </w:r>
      <w:r w:rsidR="00442BF8">
        <w:rPr>
          <w:rFonts w:hint="cs"/>
          <w:rtl/>
        </w:rPr>
        <w:t xml:space="preserve"> و</w:t>
      </w:r>
      <w:r w:rsidRPr="00781F97">
        <w:rPr>
          <w:rFonts w:hint="cs"/>
          <w:rtl/>
        </w:rPr>
        <w:t>5 من البروتوكول الاختياري والمادة 96 من النظام الداخلي للجنة لأسباب ثلاثة.</w:t>
      </w:r>
    </w:p>
    <w:p w:rsidR="00FC2980" w:rsidRPr="00781F97" w:rsidRDefault="00FC2980" w:rsidP="00FC2980">
      <w:pPr>
        <w:pStyle w:val="SingleTxtGA"/>
        <w:rPr>
          <w:rtl/>
        </w:rPr>
      </w:pPr>
      <w:r w:rsidRPr="000F0D43">
        <w:rPr>
          <w:rFonts w:hint="cs"/>
          <w:spacing w:val="-2"/>
          <w:rtl/>
        </w:rPr>
        <w:t>4-3</w:t>
      </w:r>
      <w:r w:rsidR="000F0D43" w:rsidRPr="000F0D43">
        <w:rPr>
          <w:spacing w:val="-2"/>
          <w:rtl/>
        </w:rPr>
        <w:tab/>
      </w:r>
      <w:r w:rsidRPr="000F0D43">
        <w:rPr>
          <w:rFonts w:hint="cs"/>
          <w:spacing w:val="-2"/>
          <w:rtl/>
        </w:rPr>
        <w:t>تلاحظ اللجنة في هذا السياق أول</w:t>
      </w:r>
      <w:r w:rsidR="003B6E7D">
        <w:rPr>
          <w:rFonts w:hint="cs"/>
          <w:spacing w:val="-2"/>
          <w:rtl/>
        </w:rPr>
        <w:t xml:space="preserve">اً </w:t>
      </w:r>
      <w:r w:rsidRPr="000F0D43">
        <w:rPr>
          <w:rFonts w:hint="cs"/>
          <w:spacing w:val="-2"/>
          <w:rtl/>
        </w:rPr>
        <w:t xml:space="preserve">أن الدولة الطرف ترى أن صاحبي البلاغ لم يستنفدا </w:t>
      </w:r>
      <w:r w:rsidRPr="00781F97">
        <w:rPr>
          <w:rFonts w:hint="cs"/>
          <w:rtl/>
        </w:rPr>
        <w:t>جميع سبل الانتصاف المحلية المتاحة لأنهما لم يقدما طلب</w:t>
      </w:r>
      <w:r w:rsidR="003B6E7D">
        <w:rPr>
          <w:rFonts w:hint="cs"/>
          <w:rtl/>
        </w:rPr>
        <w:t xml:space="preserve">اً </w:t>
      </w:r>
      <w:r w:rsidRPr="00781F97">
        <w:rPr>
          <w:rFonts w:hint="cs"/>
          <w:rtl/>
        </w:rPr>
        <w:t xml:space="preserve">للإذن بإجراء مراجعة قضائية للقرار السلبي الصادر عن دائرة حماية اللاجئين، والقرار السلبي لتقييم المخاطر قبل الترحيل على الرغم من أن هذه الخيارات كانت متاحة لهما. وتدفع كندا بأنه إذا كان صاحبا البلاغ غير راضيين </w:t>
      </w:r>
      <w:r w:rsidRPr="00781F97">
        <w:rPr>
          <w:rFonts w:hint="cs"/>
          <w:rtl/>
        </w:rPr>
        <w:lastRenderedPageBreak/>
        <w:t>عن هذين القرارين أو ارتأيا أن صناع القرار لم يدرسوا، على النحو الواجب، الصعوبات التي قد تواجههما في حال ترحيلهما إلى الهند، فإنه كان ينبغي لهما الاستعانة بسبل الانتصاف المحلية المتاحة لهما في كندا دعماً لادعائهما، وهو ما لم يفعلانه حينها. وكما اعترفت بذلك اللجنة مراراً، لا يمكن اعتبار الدولة الطرف عموم</w:t>
      </w:r>
      <w:r w:rsidR="003B6E7D">
        <w:rPr>
          <w:rFonts w:hint="cs"/>
          <w:rtl/>
        </w:rPr>
        <w:t xml:space="preserve">اً </w:t>
      </w:r>
      <w:r w:rsidRPr="00781F97">
        <w:rPr>
          <w:rFonts w:hint="cs"/>
          <w:rtl/>
        </w:rPr>
        <w:t>مسؤولة عن خطأ أو تقصير المستشارين القانونيين</w:t>
      </w:r>
      <w:r w:rsidR="0036107A">
        <w:rPr>
          <w:rFonts w:hint="cs"/>
          <w:rtl/>
        </w:rPr>
        <w:t xml:space="preserve"> </w:t>
      </w:r>
      <w:r w:rsidRPr="00781F97">
        <w:rPr>
          <w:rFonts w:hint="cs"/>
          <w:rtl/>
        </w:rPr>
        <w:t>المستقلين</w:t>
      </w:r>
      <w:r w:rsidR="000A12A3" w:rsidRPr="000A12A3">
        <w:rPr>
          <w:rStyle w:val="FootnoteReference"/>
          <w:szCs w:val="30"/>
          <w:rtl/>
        </w:rPr>
        <w:t>(</w:t>
      </w:r>
      <w:r w:rsidR="000A12A3" w:rsidRPr="000A12A3">
        <w:rPr>
          <w:rStyle w:val="FootnoteReference"/>
          <w:szCs w:val="30"/>
          <w:rtl/>
        </w:rPr>
        <w:footnoteReference w:id="4"/>
      </w:r>
      <w:r w:rsidR="000A12A3" w:rsidRPr="000A12A3">
        <w:rPr>
          <w:rStyle w:val="FootnoteReference"/>
          <w:szCs w:val="30"/>
          <w:rtl/>
        </w:rPr>
        <w:t>)</w:t>
      </w:r>
      <w:r w:rsidR="0036107A" w:rsidRPr="00781F97">
        <w:rPr>
          <w:rFonts w:hint="cs"/>
          <w:rtl/>
        </w:rPr>
        <w:t>.</w:t>
      </w:r>
      <w:r w:rsidRPr="00781F97">
        <w:rPr>
          <w:rFonts w:hint="cs"/>
          <w:rtl/>
        </w:rPr>
        <w:t xml:space="preserve"> وبالإضافة إلى ذلك، قدم صاحبا البلاغ في وقت لاحق طلب</w:t>
      </w:r>
      <w:r w:rsidR="003B6E7D">
        <w:rPr>
          <w:rFonts w:hint="cs"/>
          <w:rtl/>
        </w:rPr>
        <w:t xml:space="preserve">اً </w:t>
      </w:r>
      <w:r w:rsidRPr="00781F97">
        <w:rPr>
          <w:rFonts w:hint="cs"/>
          <w:rtl/>
        </w:rPr>
        <w:t>لإجراء مراجعة قضائية للقرار السلبي المتعلق بطلبهما الإقامة الدائمة لاعتبارات إنسانية، لكن وحتى وقت تقديم هذا البلاغ لم يصدر أي قرار في هذا الصدد. وفي المقابل، لا يمكن قبول ادعاءاتهما على أساس المادة 24</w:t>
      </w:r>
      <w:r w:rsidR="0036107A">
        <w:rPr>
          <w:rFonts w:hint="cs"/>
          <w:rtl/>
        </w:rPr>
        <w:t>(</w:t>
      </w:r>
      <w:r w:rsidRPr="00781F97">
        <w:rPr>
          <w:rFonts w:hint="cs"/>
          <w:rtl/>
        </w:rPr>
        <w:t>1) من العهد لأنهما لم يستنفدا سبل الانتصاف المحلية.</w:t>
      </w:r>
    </w:p>
    <w:p w:rsidR="00FC2980" w:rsidRPr="00781F97" w:rsidRDefault="00FC2980" w:rsidP="00FC2980">
      <w:pPr>
        <w:pStyle w:val="SingleTxtGA"/>
        <w:rPr>
          <w:rtl/>
        </w:rPr>
      </w:pPr>
      <w:r w:rsidRPr="00781F97">
        <w:rPr>
          <w:rFonts w:hint="cs"/>
          <w:rtl/>
        </w:rPr>
        <w:t>٤-٤</w:t>
      </w:r>
      <w:r w:rsidR="003801F7">
        <w:rPr>
          <w:rtl/>
        </w:rPr>
        <w:tab/>
      </w:r>
      <w:r w:rsidRPr="00781F97">
        <w:rPr>
          <w:rFonts w:hint="cs"/>
          <w:rtl/>
        </w:rPr>
        <w:t>وثاني</w:t>
      </w:r>
      <w:r w:rsidR="00B639C2">
        <w:rPr>
          <w:rFonts w:hint="cs"/>
          <w:rtl/>
        </w:rPr>
        <w:t>اً،</w:t>
      </w:r>
      <w:r w:rsidRPr="00781F97">
        <w:rPr>
          <w:rFonts w:hint="cs"/>
          <w:rtl/>
        </w:rPr>
        <w:t xml:space="preserve"> ادعاءات صاحبي البلاغ المتعلقة بانتهاك المواد ٢</w:t>
      </w:r>
      <w:r w:rsidR="00442BF8">
        <w:rPr>
          <w:rFonts w:hint="cs"/>
          <w:rtl/>
        </w:rPr>
        <w:t xml:space="preserve"> و</w:t>
      </w:r>
      <w:r w:rsidRPr="00781F97">
        <w:rPr>
          <w:rFonts w:hint="cs"/>
          <w:rtl/>
        </w:rPr>
        <w:t>٦</w:t>
      </w:r>
      <w:r w:rsidR="00442BF8">
        <w:rPr>
          <w:rFonts w:hint="cs"/>
          <w:rtl/>
        </w:rPr>
        <w:t xml:space="preserve"> و</w:t>
      </w:r>
      <w:r w:rsidRPr="00781F97">
        <w:rPr>
          <w:rFonts w:hint="cs"/>
          <w:rtl/>
        </w:rPr>
        <w:t>٩</w:t>
      </w:r>
      <w:r w:rsidR="00442BF8">
        <w:rPr>
          <w:rFonts w:hint="cs"/>
          <w:rtl/>
        </w:rPr>
        <w:t xml:space="preserve"> و</w:t>
      </w:r>
      <w:r w:rsidRPr="00781F97">
        <w:rPr>
          <w:rFonts w:hint="cs"/>
          <w:rtl/>
        </w:rPr>
        <w:t>١٠</w:t>
      </w:r>
      <w:r w:rsidR="00442BF8">
        <w:rPr>
          <w:rFonts w:hint="cs"/>
          <w:rtl/>
        </w:rPr>
        <w:t xml:space="preserve"> و</w:t>
      </w:r>
      <w:r w:rsidRPr="00781F97">
        <w:rPr>
          <w:rFonts w:hint="cs"/>
          <w:rtl/>
        </w:rPr>
        <w:t>٢٤ من العهد غير مقبولة لأنها تتعارض، من حيث الاختصاص الموضوعي، مع أحكام هذه المواد، كونها لا</w:t>
      </w:r>
      <w:r w:rsidR="003801F7">
        <w:rPr>
          <w:rFonts w:hint="eastAsia"/>
          <w:rtl/>
        </w:rPr>
        <w:t> </w:t>
      </w:r>
      <w:r w:rsidRPr="00781F97">
        <w:rPr>
          <w:rFonts w:hint="cs"/>
          <w:rtl/>
        </w:rPr>
        <w:t>تنطبق خارج الحدود الإقليمية. فالمادة 2 من العهد لا تخول حقاً مستقلاً في الجبر، ولا يمكن، بناء على ذلك، أن تكون الادعاءات المتعلقة بهذه المادة في حد ذاتها، التي لا علاقة لها بأي مادة من مواد العهد التي تخول لصاحب البلاغ حقاً من الحقوق، أن تشكل أساساً لأي ادعاء كان في أي بلاغ يُقدم بموجب البروتوكول الاختياري</w:t>
      </w:r>
      <w:r w:rsidR="000A12A3" w:rsidRPr="000A12A3">
        <w:rPr>
          <w:rStyle w:val="FootnoteReference"/>
          <w:szCs w:val="30"/>
          <w:rtl/>
        </w:rPr>
        <w:t>(</w:t>
      </w:r>
      <w:r w:rsidR="000A12A3" w:rsidRPr="000A12A3">
        <w:rPr>
          <w:rStyle w:val="FootnoteReference"/>
          <w:szCs w:val="30"/>
          <w:rtl/>
        </w:rPr>
        <w:footnoteReference w:id="5"/>
      </w:r>
      <w:r w:rsidR="000A12A3" w:rsidRPr="000A12A3">
        <w:rPr>
          <w:rStyle w:val="FootnoteReference"/>
          <w:szCs w:val="30"/>
          <w:rtl/>
        </w:rPr>
        <w:t>)</w:t>
      </w:r>
      <w:r w:rsidR="0036107A">
        <w:rPr>
          <w:rFonts w:hint="cs"/>
          <w:rtl/>
        </w:rPr>
        <w:t>.</w:t>
      </w:r>
      <w:r w:rsidRPr="00781F97">
        <w:rPr>
          <w:rFonts w:hint="cs"/>
          <w:rtl/>
        </w:rPr>
        <w:t xml:space="preserve"> فحقوق ج. س. لم تُنتهك بموجب المادة 6 من العهد لأن هذا الأخير ليس موضوع أمر الترحيل. وحتى لو كانت كندا مسؤولة في المقابل عن ترحيل ج. س.، فإن العهد لا يلزمها بعدم ترحيل شخص قد يواجه، في بلده الأصلي، ظروف</w:t>
      </w:r>
      <w:r w:rsidR="003B6E7D">
        <w:rPr>
          <w:rFonts w:hint="cs"/>
          <w:rtl/>
        </w:rPr>
        <w:t xml:space="preserve">اً </w:t>
      </w:r>
      <w:r w:rsidRPr="00781F97">
        <w:rPr>
          <w:rFonts w:hint="cs"/>
          <w:rtl/>
        </w:rPr>
        <w:t>أقل ملاءمة مما هو موجود في كندا. ولما كانت المادتان 9</w:t>
      </w:r>
      <w:r w:rsidR="00442BF8">
        <w:rPr>
          <w:rFonts w:hint="cs"/>
          <w:rtl/>
        </w:rPr>
        <w:t xml:space="preserve"> و</w:t>
      </w:r>
      <w:r w:rsidRPr="00781F97">
        <w:rPr>
          <w:rFonts w:hint="cs"/>
          <w:rtl/>
        </w:rPr>
        <w:t>10 من العهد لا</w:t>
      </w:r>
      <w:r w:rsidR="003B6E7D">
        <w:rPr>
          <w:rFonts w:hint="eastAsia"/>
          <w:rtl/>
        </w:rPr>
        <w:t> </w:t>
      </w:r>
      <w:r w:rsidRPr="00781F97">
        <w:rPr>
          <w:rFonts w:hint="cs"/>
          <w:rtl/>
        </w:rPr>
        <w:t>تنطويان على أي التزام بعدم الإعادة القسرية، فإن مسؤولية كندا بموجب العهد غير قائمة. ولم تُنتهك حقوق طفلي صاحبي البلاغ بموجب المادة 24 من العهد، لأنهما ليسا موضوع إجراء الترحيل. وحتى لو كانت كندا مسؤولة عن ترحيل هذين الطفلين، فإن المادة 24 من العهد في المقابل لا تلزم الدولة الطرف التي أمرت بالترحيل بعدم الإعادة القسرية.</w:t>
      </w:r>
    </w:p>
    <w:p w:rsidR="00FC2980" w:rsidRPr="00781F97" w:rsidRDefault="00FC2980" w:rsidP="00FC2980">
      <w:pPr>
        <w:pStyle w:val="SingleTxtGA"/>
        <w:rPr>
          <w:rtl/>
        </w:rPr>
      </w:pPr>
      <w:r w:rsidRPr="00781F97">
        <w:rPr>
          <w:rFonts w:hint="cs"/>
          <w:rtl/>
        </w:rPr>
        <w:t>4-5</w:t>
      </w:r>
      <w:r w:rsidR="0036107A">
        <w:rPr>
          <w:rtl/>
        </w:rPr>
        <w:tab/>
      </w:r>
      <w:r w:rsidRPr="00781F97">
        <w:rPr>
          <w:rFonts w:hint="cs"/>
          <w:rtl/>
        </w:rPr>
        <w:t>ثالث</w:t>
      </w:r>
      <w:r w:rsidR="00B639C2">
        <w:rPr>
          <w:rFonts w:hint="cs"/>
          <w:rtl/>
        </w:rPr>
        <w:t>اً،</w:t>
      </w:r>
      <w:r w:rsidRPr="00781F97">
        <w:rPr>
          <w:rFonts w:hint="cs"/>
          <w:rtl/>
        </w:rPr>
        <w:t xml:space="preserve"> تؤكد كندا أن صاحبي البلاغ لم يقدما أدلة كافية لإثبات ادعاءاتهما بموجب المواد</w:t>
      </w:r>
      <w:r w:rsidR="0036107A">
        <w:rPr>
          <w:rFonts w:hint="eastAsia"/>
          <w:rtl/>
        </w:rPr>
        <w:t> </w:t>
      </w:r>
      <w:r w:rsidRPr="00781F97">
        <w:rPr>
          <w:rFonts w:hint="cs"/>
          <w:rtl/>
        </w:rPr>
        <w:t>6</w:t>
      </w:r>
      <w:r w:rsidR="00442BF8">
        <w:rPr>
          <w:rFonts w:hint="cs"/>
          <w:rtl/>
        </w:rPr>
        <w:t xml:space="preserve"> و</w:t>
      </w:r>
      <w:r w:rsidRPr="00781F97">
        <w:rPr>
          <w:rFonts w:hint="cs"/>
          <w:rtl/>
        </w:rPr>
        <w:t>7</w:t>
      </w:r>
      <w:r w:rsidR="00442BF8">
        <w:rPr>
          <w:rFonts w:hint="cs"/>
          <w:rtl/>
        </w:rPr>
        <w:t xml:space="preserve"> و</w:t>
      </w:r>
      <w:r w:rsidRPr="00781F97">
        <w:rPr>
          <w:rFonts w:hint="cs"/>
          <w:rtl/>
        </w:rPr>
        <w:t>17</w:t>
      </w:r>
      <w:r w:rsidR="00442BF8">
        <w:rPr>
          <w:rFonts w:hint="cs"/>
          <w:rtl/>
        </w:rPr>
        <w:t xml:space="preserve"> و</w:t>
      </w:r>
      <w:r w:rsidRPr="00781F97">
        <w:rPr>
          <w:rFonts w:hint="cs"/>
          <w:rtl/>
        </w:rPr>
        <w:t>23</w:t>
      </w:r>
      <w:r w:rsidR="00442BF8">
        <w:rPr>
          <w:rFonts w:hint="cs"/>
          <w:rtl/>
        </w:rPr>
        <w:t xml:space="preserve"> و</w:t>
      </w:r>
      <w:r w:rsidRPr="00781F97">
        <w:rPr>
          <w:rFonts w:hint="cs"/>
          <w:rtl/>
        </w:rPr>
        <w:t>24</w:t>
      </w:r>
      <w:r w:rsidR="00442BF8">
        <w:rPr>
          <w:rFonts w:hint="cs"/>
          <w:rtl/>
        </w:rPr>
        <w:t xml:space="preserve"> و</w:t>
      </w:r>
      <w:r w:rsidRPr="00781F97">
        <w:rPr>
          <w:rFonts w:hint="cs"/>
          <w:rtl/>
        </w:rPr>
        <w:t>26 من العهد، ما يجعل بلاغهما غير مقبول بموجب المادة 3 من البروتوكول الاختياري والمادة 96 من النظام الداخلي للجنة. لقد سبق أن نظرت السلطات الكندية المختصة بكل نزاهة في الادعاءات والأدلة التي قدمها صاحبا البلاغ وخلصت إلى أن صاحبي البلاغ لا مصداقية لهما فيما يتعلق بالمشاكل المحتملة المزعومة في الهند. وعلى غرار ما</w:t>
      </w:r>
      <w:r w:rsidR="003B6E7D">
        <w:rPr>
          <w:rFonts w:hint="eastAsia"/>
          <w:rtl/>
        </w:rPr>
        <w:t> </w:t>
      </w:r>
      <w:r w:rsidRPr="00781F97">
        <w:rPr>
          <w:rFonts w:hint="cs"/>
          <w:rtl/>
        </w:rPr>
        <w:t>خلص إليه مفوض دائرة حماية اللاجئين، تؤكد كندا على وجه الخصوص أن صاحبي البلاغ لم</w:t>
      </w:r>
      <w:r w:rsidR="003B6E7D">
        <w:rPr>
          <w:rFonts w:hint="eastAsia"/>
          <w:rtl/>
        </w:rPr>
        <w:t> </w:t>
      </w:r>
      <w:r w:rsidRPr="00781F97">
        <w:rPr>
          <w:rFonts w:hint="cs"/>
          <w:rtl/>
        </w:rPr>
        <w:t>يصلا إلى كندا وهما في خطر، وذلك بالنظر إلى أن السيد هـ. س. استطاع العيش في ماليزيا لمدة عام آخر بفضل تصريح العمل الممنوح له. وعلاوة على ذلك، لم يلتمس صاحبا البلاغ اللجوء إلى كندا إلا بعد أن أوقفهما ضباط الحدود الذين قرروا أنهما ليسا "زائرين حقيقيين"</w:t>
      </w:r>
      <w:r w:rsidR="000A12A3" w:rsidRPr="000A12A3">
        <w:rPr>
          <w:rStyle w:val="FootnoteReference"/>
          <w:szCs w:val="30"/>
          <w:rtl/>
        </w:rPr>
        <w:t>(</w:t>
      </w:r>
      <w:r w:rsidR="000A12A3" w:rsidRPr="000A12A3">
        <w:rPr>
          <w:rStyle w:val="FootnoteReference"/>
          <w:szCs w:val="30"/>
          <w:rtl/>
        </w:rPr>
        <w:footnoteReference w:id="6"/>
      </w:r>
      <w:r w:rsidR="000A12A3" w:rsidRPr="000A12A3">
        <w:rPr>
          <w:rStyle w:val="FootnoteReference"/>
          <w:szCs w:val="30"/>
          <w:rtl/>
        </w:rPr>
        <w:t>)</w:t>
      </w:r>
      <w:r w:rsidR="0036107A" w:rsidRPr="0036107A">
        <w:rPr>
          <w:rStyle w:val="FootnoteReference"/>
          <w:rFonts w:hint="cs"/>
          <w:szCs w:val="30"/>
          <w:vertAlign w:val="baseline"/>
          <w:rtl/>
        </w:rPr>
        <w:t>.</w:t>
      </w:r>
    </w:p>
    <w:p w:rsidR="00FC2980" w:rsidRPr="00781F97" w:rsidRDefault="00FC2980" w:rsidP="00FC2980">
      <w:pPr>
        <w:pStyle w:val="SingleTxtGA"/>
        <w:rPr>
          <w:rtl/>
        </w:rPr>
      </w:pPr>
      <w:r w:rsidRPr="00781F97">
        <w:rPr>
          <w:rFonts w:hint="cs"/>
          <w:rtl/>
        </w:rPr>
        <w:lastRenderedPageBreak/>
        <w:t>4</w:t>
      </w:r>
      <w:r w:rsidRPr="00783C7A">
        <w:rPr>
          <w:rFonts w:hint="cs"/>
          <w:rtl/>
        </w:rPr>
        <w:t>-6</w:t>
      </w:r>
      <w:r w:rsidR="0036107A" w:rsidRPr="00783C7A">
        <w:rPr>
          <w:rtl/>
        </w:rPr>
        <w:tab/>
      </w:r>
      <w:r w:rsidRPr="00783C7A">
        <w:rPr>
          <w:rFonts w:hint="cs"/>
          <w:rtl/>
        </w:rPr>
        <w:t xml:space="preserve">وارتأت السلطات الكندية التي قيمت المخاطر التي قد يواجهها صاحبا البلاغ أن </w:t>
      </w:r>
      <w:r w:rsidRPr="00783C7A">
        <w:rPr>
          <w:rFonts w:hint="cs"/>
          <w:spacing w:val="-2"/>
          <w:rtl/>
        </w:rPr>
        <w:t>المخاوف التي أعربا عنها لا أساس لها من الصحة، وذلك لعدم وجود أي أدلة موثوقة أو موضوعية</w:t>
      </w:r>
      <w:r w:rsidRPr="00781F97">
        <w:rPr>
          <w:rFonts w:hint="cs"/>
          <w:rtl/>
        </w:rPr>
        <w:t xml:space="preserve"> تدعم ادعاءاتهما التالية: (أ) الادعاء بأن الشرطة الهندية تعتقد أن السيد هـ. س. من المتعاونين مع حركات سياسية، وأنها استجوبته وعذبته في مناسبتين؛ (ب) الادعاء بأنه سيُعتقل بمجرد وصوله إلى الهند؛ (ج) الادعاء بأن جميع الأفراد الذين أُعلن أنهم "</w:t>
      </w:r>
      <w:r w:rsidRPr="00781F97">
        <w:rPr>
          <w:rFonts w:hint="cs"/>
          <w:i/>
          <w:iCs/>
          <w:rtl/>
        </w:rPr>
        <w:t>مجرمين معلومين</w:t>
      </w:r>
      <w:r w:rsidRPr="00781F97">
        <w:rPr>
          <w:rFonts w:hint="cs"/>
          <w:rtl/>
        </w:rPr>
        <w:t>" عرضة لخطر التعذيب أو سوء المعاملة. وتدفع كندا أيض</w:t>
      </w:r>
      <w:r w:rsidR="003B6E7D">
        <w:rPr>
          <w:rFonts w:hint="cs"/>
          <w:rtl/>
        </w:rPr>
        <w:t xml:space="preserve">اً </w:t>
      </w:r>
      <w:r w:rsidRPr="00781F97">
        <w:rPr>
          <w:rFonts w:hint="cs"/>
          <w:rtl/>
        </w:rPr>
        <w:t>بأن كون السيد هـ. س. موضوع تهم جنائية لا يعني بالضرورة أنه عرضة لضرر متوقع وحقيقي وشخصي لا يمكن جبره. فقانون العقوبات الهندي لا</w:t>
      </w:r>
      <w:r w:rsidR="00783C7A">
        <w:rPr>
          <w:rFonts w:hint="eastAsia"/>
          <w:rtl/>
        </w:rPr>
        <w:t> </w:t>
      </w:r>
      <w:r w:rsidRPr="00781F97">
        <w:rPr>
          <w:rFonts w:hint="cs"/>
          <w:rtl/>
        </w:rPr>
        <w:t>ينص في أي من أحكامه على الحكم بالإعدام</w:t>
      </w:r>
      <w:r w:rsidR="000A12A3" w:rsidRPr="000A12A3">
        <w:rPr>
          <w:rStyle w:val="FootnoteReference"/>
          <w:szCs w:val="30"/>
          <w:rtl/>
        </w:rPr>
        <w:t>(</w:t>
      </w:r>
      <w:r w:rsidR="000A12A3" w:rsidRPr="000A12A3">
        <w:rPr>
          <w:rStyle w:val="FootnoteReference"/>
          <w:szCs w:val="30"/>
          <w:rtl/>
        </w:rPr>
        <w:footnoteReference w:id="7"/>
      </w:r>
      <w:r w:rsidR="000A12A3" w:rsidRPr="000A12A3">
        <w:rPr>
          <w:rStyle w:val="FootnoteReference"/>
          <w:szCs w:val="30"/>
          <w:rtl/>
        </w:rPr>
        <w:t>)</w:t>
      </w:r>
      <w:r w:rsidR="00783C7A">
        <w:rPr>
          <w:rFonts w:hint="cs"/>
          <w:rtl/>
        </w:rPr>
        <w:t>.</w:t>
      </w:r>
      <w:r w:rsidRPr="00781F97">
        <w:rPr>
          <w:rFonts w:hint="cs"/>
          <w:rtl/>
        </w:rPr>
        <w:t xml:space="preserve"> ولم يقدم صاحبا البلاغ أي دليل موثوق أو موضوعي على أن جميع الأفراد الذين يُعلن أنهم "</w:t>
      </w:r>
      <w:r w:rsidRPr="00781F97">
        <w:rPr>
          <w:rFonts w:hint="cs"/>
          <w:i/>
          <w:iCs/>
          <w:rtl/>
        </w:rPr>
        <w:t>مجرمون معلومون</w:t>
      </w:r>
      <w:r w:rsidRPr="00781F97">
        <w:rPr>
          <w:rFonts w:hint="cs"/>
          <w:rtl/>
        </w:rPr>
        <w:t>" أو يُتهموا بالاحتيال (وليس الإرهاب) عرضة لخطر التعذيب أو سوء المعاملة، ناهيك أن صاحبي البلاغ يستندان في ادعاءاتهما المتعلقة بهذه المخاطر إلى تقارير عامة عن البلد دون أن يُثبتا أن السيد هـ. س. يواجه في واقع الأمر خطراً حقيقياً وشخصياً. وتدعي الدولة الطرف أيض</w:t>
      </w:r>
      <w:r w:rsidR="003B6E7D">
        <w:rPr>
          <w:rFonts w:hint="cs"/>
          <w:rtl/>
        </w:rPr>
        <w:t xml:space="preserve">اً </w:t>
      </w:r>
      <w:r w:rsidRPr="00781F97">
        <w:rPr>
          <w:rFonts w:hint="cs"/>
          <w:rtl/>
        </w:rPr>
        <w:t xml:space="preserve">أنه بمقدور السيد هـ. س. الحصول على ملاذ داخلي في الهند. وادعاءات صاحبي البلاغ وأدلتهما، التي سبق أن نظرت السلطات الكندية </w:t>
      </w:r>
      <w:r w:rsidRPr="00AC7688">
        <w:rPr>
          <w:rFonts w:hint="cs"/>
          <w:rtl/>
        </w:rPr>
        <w:t>فيها</w:t>
      </w:r>
      <w:r w:rsidRPr="00781F97">
        <w:rPr>
          <w:rFonts w:hint="cs"/>
          <w:rtl/>
        </w:rPr>
        <w:t xml:space="preserve">، ضعيفةٌ للغاية ولا يترتب عليها أي التزام بعدم الإعادة القسرية. </w:t>
      </w:r>
    </w:p>
    <w:p w:rsidR="00FC2980" w:rsidRPr="00781F97" w:rsidRDefault="00FC2980" w:rsidP="00FC2980">
      <w:pPr>
        <w:pStyle w:val="SingleTxtGA"/>
        <w:rPr>
          <w:rtl/>
        </w:rPr>
      </w:pPr>
      <w:r w:rsidRPr="00781F97">
        <w:rPr>
          <w:rFonts w:hint="cs"/>
          <w:rtl/>
        </w:rPr>
        <w:t>4-7</w:t>
      </w:r>
      <w:r w:rsidR="00783C7A">
        <w:rPr>
          <w:rtl/>
        </w:rPr>
        <w:tab/>
      </w:r>
      <w:r w:rsidRPr="00781F97">
        <w:rPr>
          <w:rFonts w:hint="cs"/>
          <w:rtl/>
        </w:rPr>
        <w:t>وفيما يتعلق بادعاء انتهاك المادتين 17 و23 من العهد، لن يشكل ترحيل صاحبي البلاغ البالغين تدخلاً لأنه لن يفصل أفراد الأسرة عن بعضهم، وأي فصل محتمل في الهند لن يلزم كندا بأي مسؤولية. وتُذكِّر الدولة الطرف أيض</w:t>
      </w:r>
      <w:r w:rsidR="003B6E7D">
        <w:rPr>
          <w:rFonts w:hint="cs"/>
          <w:rtl/>
        </w:rPr>
        <w:t xml:space="preserve">اً </w:t>
      </w:r>
      <w:r w:rsidRPr="00781F97">
        <w:rPr>
          <w:rFonts w:hint="cs"/>
          <w:rtl/>
        </w:rPr>
        <w:t>بأن اللجنة أكدت أن المادتين 17 و23 من العهد تخولان الدول الأطراف سلطة تقديرية في الحالات التي يؤثر فيها الترحيل في الحياة الأسرية للفرد. ووفق</w:t>
      </w:r>
      <w:r w:rsidR="003B6E7D">
        <w:rPr>
          <w:rFonts w:hint="cs"/>
          <w:rtl/>
        </w:rPr>
        <w:t xml:space="preserve">اً </w:t>
      </w:r>
      <w:r w:rsidRPr="00781F97">
        <w:rPr>
          <w:rFonts w:hint="cs"/>
          <w:rtl/>
        </w:rPr>
        <w:t>للجنة، لا يمكن اعتبار التدخل في العلاقات الأسرية الذي يترتب عن الترحيل غير قانوني أو تعسفي</w:t>
      </w:r>
      <w:r w:rsidR="000A12A3" w:rsidRPr="000A12A3">
        <w:rPr>
          <w:rStyle w:val="FootnoteReference"/>
          <w:szCs w:val="30"/>
          <w:rtl/>
        </w:rPr>
        <w:t>(</w:t>
      </w:r>
      <w:r w:rsidR="000A12A3" w:rsidRPr="000A12A3">
        <w:rPr>
          <w:rStyle w:val="FootnoteReference"/>
          <w:szCs w:val="30"/>
          <w:rtl/>
        </w:rPr>
        <w:footnoteReference w:id="8"/>
      </w:r>
      <w:r w:rsidR="000A12A3" w:rsidRPr="000A12A3">
        <w:rPr>
          <w:rStyle w:val="FootnoteReference"/>
          <w:szCs w:val="30"/>
          <w:rtl/>
        </w:rPr>
        <w:t>)</w:t>
      </w:r>
      <w:r w:rsidRPr="00781F97">
        <w:rPr>
          <w:rFonts w:hint="cs"/>
          <w:rtl/>
        </w:rPr>
        <w:t xml:space="preserve"> طالما أن أمر الترحيل اتُخذ في إطار القانون، وبما يتفق والمصالح المشروعة للدولة، وبعد إيلاء الاهتمام الواجب للروابط الأسرية للشخص المعني أثناء هذا الإجراء</w:t>
      </w:r>
      <w:r w:rsidR="000A12A3" w:rsidRPr="000A12A3">
        <w:rPr>
          <w:rStyle w:val="FootnoteReference"/>
          <w:szCs w:val="30"/>
          <w:rtl/>
        </w:rPr>
        <w:t>(</w:t>
      </w:r>
      <w:r w:rsidR="000A12A3" w:rsidRPr="000A12A3">
        <w:rPr>
          <w:rStyle w:val="FootnoteReference"/>
          <w:szCs w:val="30"/>
          <w:rtl/>
        </w:rPr>
        <w:footnoteReference w:id="9"/>
      </w:r>
      <w:r w:rsidR="000A12A3" w:rsidRPr="000A12A3">
        <w:rPr>
          <w:rStyle w:val="FootnoteReference"/>
          <w:szCs w:val="30"/>
          <w:rtl/>
        </w:rPr>
        <w:t>)</w:t>
      </w:r>
      <w:r w:rsidR="00783C7A">
        <w:rPr>
          <w:rFonts w:hint="cs"/>
          <w:rtl/>
        </w:rPr>
        <w:t>.</w:t>
      </w:r>
      <w:r w:rsidRPr="00781F97">
        <w:rPr>
          <w:rFonts w:hint="cs"/>
          <w:rtl/>
        </w:rPr>
        <w:t xml:space="preserve"> وتدفع كندا أيض</w:t>
      </w:r>
      <w:r w:rsidR="003B6E7D">
        <w:rPr>
          <w:rFonts w:hint="cs"/>
          <w:rtl/>
        </w:rPr>
        <w:t xml:space="preserve">اً </w:t>
      </w:r>
      <w:r w:rsidRPr="00781F97">
        <w:rPr>
          <w:rFonts w:hint="cs"/>
          <w:rtl/>
        </w:rPr>
        <w:t>بأن مصلحة الطفلين دُرست بشكل سليم في سياق طلب الحصول على الإقامة الدائمة لاعتبارات إنسانية، والقرار المتصل بذلك. ولم يُثبت صاحبا البلاغ حدوث أي انتهاك للمادة 26 من العهد، وذلك لأن صاحبي البلاغ القاصرين غير معنيين بقرار الترحيل، كما أن كون والداهما مهاجرين ووضعهما غير مستقر لا يشكل تمييز</w:t>
      </w:r>
      <w:r w:rsidR="003B6E7D">
        <w:rPr>
          <w:rFonts w:hint="cs"/>
          <w:rtl/>
        </w:rPr>
        <w:t xml:space="preserve">اً </w:t>
      </w:r>
      <w:r w:rsidRPr="00781F97">
        <w:rPr>
          <w:rFonts w:hint="cs"/>
          <w:rtl/>
        </w:rPr>
        <w:t xml:space="preserve">بموجب هذه المادة. وترى الدولة الطرف أن كل سبب من هذه الأسباب يكفي في حد ذاته لإثبات عدم مقبولية البلاغ. </w:t>
      </w:r>
    </w:p>
    <w:p w:rsidR="00FC2980" w:rsidRPr="00781F97" w:rsidRDefault="00FC2980" w:rsidP="00FC2980">
      <w:pPr>
        <w:pStyle w:val="SingleTxtGA"/>
        <w:rPr>
          <w:rtl/>
        </w:rPr>
      </w:pPr>
      <w:r w:rsidRPr="00781F97">
        <w:rPr>
          <w:rFonts w:hint="cs"/>
          <w:rtl/>
        </w:rPr>
        <w:t>4-8</w:t>
      </w:r>
      <w:r w:rsidR="00783C7A">
        <w:rPr>
          <w:rtl/>
        </w:rPr>
        <w:tab/>
      </w:r>
      <w:r w:rsidRPr="00781F97">
        <w:rPr>
          <w:rFonts w:hint="cs"/>
          <w:rtl/>
        </w:rPr>
        <w:t>وتلاحظ الدولة الطرف أن السيد هـ. س. يواجه حالي</w:t>
      </w:r>
      <w:r w:rsidR="003B6E7D">
        <w:rPr>
          <w:rFonts w:hint="cs"/>
          <w:rtl/>
        </w:rPr>
        <w:t xml:space="preserve">اً </w:t>
      </w:r>
      <w:r w:rsidRPr="00781F97">
        <w:rPr>
          <w:rFonts w:hint="cs"/>
          <w:rtl/>
        </w:rPr>
        <w:t>اتهامات جنائية في كندا بعد أن وجه تهديدات صريحة بالقتل أو الإصابة البدنية ضد أحد الأشخاص في 21 أيار/مايو 2016، في انتهاك للمادة 264-1</w:t>
      </w:r>
      <w:r w:rsidR="0036107A">
        <w:rPr>
          <w:rFonts w:hint="cs"/>
          <w:rtl/>
        </w:rPr>
        <w:t>(</w:t>
      </w:r>
      <w:r w:rsidRPr="00781F97">
        <w:rPr>
          <w:rFonts w:hint="cs"/>
          <w:rtl/>
        </w:rPr>
        <w:t>1)</w:t>
      </w:r>
      <w:r w:rsidR="0036107A">
        <w:rPr>
          <w:rFonts w:hint="cs"/>
          <w:rtl/>
        </w:rPr>
        <w:t>(</w:t>
      </w:r>
      <w:r w:rsidRPr="00781F97">
        <w:rPr>
          <w:rFonts w:hint="cs"/>
          <w:rtl/>
        </w:rPr>
        <w:t xml:space="preserve">أ) من قانون العقوبات الكندي. وقد يُحكم عليه بالسجن لمدة </w:t>
      </w:r>
      <w:r w:rsidRPr="00781F97">
        <w:rPr>
          <w:rFonts w:hint="cs"/>
          <w:rtl/>
        </w:rPr>
        <w:lastRenderedPageBreak/>
        <w:t>لا تتجاوز خمس سنوات في حال إدانته بهذه التهم، ويُصبح جراء ذلك غير مؤهل للحصول على وضع قانوني في كندا بسبب إدانته بهذه الجريمة</w:t>
      </w:r>
      <w:r w:rsidR="000A12A3" w:rsidRPr="000A12A3">
        <w:rPr>
          <w:rStyle w:val="FootnoteReference"/>
          <w:szCs w:val="30"/>
          <w:rtl/>
        </w:rPr>
        <w:t>(</w:t>
      </w:r>
      <w:r w:rsidR="000A12A3" w:rsidRPr="000A12A3">
        <w:rPr>
          <w:rStyle w:val="FootnoteReference"/>
          <w:szCs w:val="30"/>
          <w:rtl/>
        </w:rPr>
        <w:footnoteReference w:id="10"/>
      </w:r>
      <w:r w:rsidR="000A12A3" w:rsidRPr="000A12A3">
        <w:rPr>
          <w:rStyle w:val="FootnoteReference"/>
          <w:szCs w:val="30"/>
          <w:rtl/>
        </w:rPr>
        <w:t>)</w:t>
      </w:r>
      <w:r w:rsidR="00783C7A" w:rsidRPr="00783C7A">
        <w:rPr>
          <w:rStyle w:val="FootnoteReference"/>
          <w:rFonts w:hint="cs"/>
          <w:szCs w:val="30"/>
          <w:vertAlign w:val="baseline"/>
          <w:rtl/>
        </w:rPr>
        <w:t>.</w:t>
      </w:r>
    </w:p>
    <w:p w:rsidR="00FC2980" w:rsidRPr="00781F97" w:rsidRDefault="00FC2980" w:rsidP="00FC2980">
      <w:pPr>
        <w:pStyle w:val="SingleTxtGA"/>
        <w:rPr>
          <w:rtl/>
        </w:rPr>
      </w:pPr>
      <w:r w:rsidRPr="00781F97">
        <w:rPr>
          <w:rFonts w:hint="cs"/>
          <w:rtl/>
        </w:rPr>
        <w:t>٤-٩</w:t>
      </w:r>
      <w:r w:rsidR="001417F4">
        <w:rPr>
          <w:rtl/>
        </w:rPr>
        <w:tab/>
      </w:r>
      <w:r w:rsidRPr="00781F97">
        <w:rPr>
          <w:rFonts w:hint="cs"/>
          <w:rtl/>
        </w:rPr>
        <w:t>وفي حال خلصت اللجنة مع ذلك إلى أن البلاغ مقبول، ترى كندا في المقابل أنه ينبغي رفضه بناء على أسسه الموضوعية لأنه لا يستند إلى أي أساس. فالبلاغ لا يكشف عن أي انتهاك للمواد 2</w:t>
      </w:r>
      <w:r w:rsidR="00442BF8">
        <w:rPr>
          <w:rFonts w:hint="cs"/>
          <w:rtl/>
        </w:rPr>
        <w:t xml:space="preserve"> و</w:t>
      </w:r>
      <w:r w:rsidRPr="00781F97">
        <w:rPr>
          <w:rFonts w:hint="cs"/>
          <w:rtl/>
        </w:rPr>
        <w:t>6</w:t>
      </w:r>
      <w:r w:rsidR="00442BF8">
        <w:rPr>
          <w:rFonts w:hint="cs"/>
          <w:rtl/>
        </w:rPr>
        <w:t xml:space="preserve"> و</w:t>
      </w:r>
      <w:r w:rsidRPr="00781F97">
        <w:rPr>
          <w:rFonts w:hint="cs"/>
          <w:rtl/>
        </w:rPr>
        <w:t>7</w:t>
      </w:r>
      <w:r w:rsidR="00442BF8">
        <w:rPr>
          <w:rFonts w:hint="cs"/>
          <w:rtl/>
        </w:rPr>
        <w:t xml:space="preserve"> و</w:t>
      </w:r>
      <w:r w:rsidRPr="00781F97">
        <w:rPr>
          <w:rFonts w:hint="cs"/>
          <w:rtl/>
        </w:rPr>
        <w:t>9</w:t>
      </w:r>
      <w:r w:rsidR="00442BF8">
        <w:rPr>
          <w:rFonts w:hint="cs"/>
          <w:rtl/>
        </w:rPr>
        <w:t xml:space="preserve"> و</w:t>
      </w:r>
      <w:r w:rsidRPr="00781F97">
        <w:rPr>
          <w:rFonts w:hint="cs"/>
          <w:rtl/>
        </w:rPr>
        <w:t>10</w:t>
      </w:r>
      <w:r w:rsidR="00442BF8">
        <w:rPr>
          <w:rFonts w:hint="cs"/>
          <w:rtl/>
        </w:rPr>
        <w:t xml:space="preserve"> و</w:t>
      </w:r>
      <w:r w:rsidRPr="00781F97">
        <w:rPr>
          <w:rFonts w:hint="cs"/>
          <w:rtl/>
        </w:rPr>
        <w:t>17</w:t>
      </w:r>
      <w:r w:rsidR="00442BF8">
        <w:rPr>
          <w:rFonts w:hint="cs"/>
          <w:rtl/>
        </w:rPr>
        <w:t xml:space="preserve"> و</w:t>
      </w:r>
      <w:r w:rsidRPr="00781F97">
        <w:rPr>
          <w:rFonts w:hint="cs"/>
          <w:rtl/>
        </w:rPr>
        <w:t>23</w:t>
      </w:r>
      <w:r w:rsidR="00442BF8">
        <w:rPr>
          <w:rFonts w:hint="cs"/>
          <w:rtl/>
        </w:rPr>
        <w:t xml:space="preserve"> و</w:t>
      </w:r>
      <w:r w:rsidRPr="00781F97">
        <w:rPr>
          <w:rFonts w:hint="cs"/>
          <w:rtl/>
        </w:rPr>
        <w:t>24</w:t>
      </w:r>
      <w:r w:rsidR="00442BF8">
        <w:rPr>
          <w:rFonts w:hint="cs"/>
          <w:rtl/>
        </w:rPr>
        <w:t xml:space="preserve"> و</w:t>
      </w:r>
      <w:r w:rsidRPr="00781F97">
        <w:rPr>
          <w:rFonts w:hint="cs"/>
          <w:rtl/>
        </w:rPr>
        <w:t>26 من العهد.</w:t>
      </w:r>
    </w:p>
    <w:p w:rsidR="00FC2980" w:rsidRPr="00781F97" w:rsidRDefault="00FC2980" w:rsidP="00FC2980">
      <w:pPr>
        <w:pStyle w:val="SingleTxtGA"/>
        <w:rPr>
          <w:rtl/>
        </w:rPr>
      </w:pPr>
      <w:r w:rsidRPr="00781F97">
        <w:rPr>
          <w:rFonts w:hint="cs"/>
          <w:rtl/>
        </w:rPr>
        <w:t>4-10</w:t>
      </w:r>
      <w:r w:rsidR="001417F4">
        <w:rPr>
          <w:rtl/>
        </w:rPr>
        <w:tab/>
      </w:r>
      <w:r w:rsidRPr="00781F97">
        <w:rPr>
          <w:rFonts w:hint="cs"/>
          <w:rtl/>
        </w:rPr>
        <w:t xml:space="preserve">وطلبت الدولة الطرف إلى اللجنة رفع التدابير المؤقتة في هذا البلاغ لأن صاحبي البلاغ لم يقدما </w:t>
      </w:r>
      <w:r w:rsidRPr="00781F97">
        <w:rPr>
          <w:rFonts w:hint="cs"/>
          <w:i/>
          <w:iCs/>
          <w:rtl/>
        </w:rPr>
        <w:t>دعوى ظاهرة الوجاهة</w:t>
      </w:r>
      <w:r w:rsidRPr="00781F97">
        <w:rPr>
          <w:rFonts w:hint="cs"/>
          <w:rtl/>
        </w:rPr>
        <w:t xml:space="preserve"> تُثبت أن بلاغهما يستند إلى أسس موضوعية. ولا يوجد أيض</w:t>
      </w:r>
      <w:r w:rsidR="003B6E7D">
        <w:rPr>
          <w:rFonts w:hint="cs"/>
          <w:rtl/>
        </w:rPr>
        <w:t xml:space="preserve">اً </w:t>
      </w:r>
      <w:r w:rsidRPr="00781F97">
        <w:rPr>
          <w:rFonts w:hint="cs"/>
          <w:rtl/>
        </w:rPr>
        <w:t>سبب جدي للاعتقاد بأن ترحيلهما إلى الهند سيعرضهما لخطر شخصي وحقيقي ووشيك لا</w:t>
      </w:r>
      <w:r w:rsidR="003B6E7D">
        <w:rPr>
          <w:rFonts w:hint="eastAsia"/>
          <w:rtl/>
        </w:rPr>
        <w:t> </w:t>
      </w:r>
      <w:r w:rsidRPr="00781F97">
        <w:rPr>
          <w:rFonts w:hint="cs"/>
          <w:rtl/>
        </w:rPr>
        <w:t>يمكن جبره. وفي حال قررت اللجنة الإبقاء على طلب التدابير المؤقتة، فإن كندا تطلب إلى اللجنة أن تبت في مقبولية البلاغ وأسسه الموضوعية في أقرب وقت ممكن.</w:t>
      </w:r>
    </w:p>
    <w:p w:rsidR="00FC2980" w:rsidRPr="00781F97" w:rsidRDefault="00FC2980" w:rsidP="001417F4">
      <w:pPr>
        <w:pStyle w:val="H23GA"/>
        <w:rPr>
          <w:rtl/>
        </w:rPr>
      </w:pPr>
      <w:r w:rsidRPr="00781F97">
        <w:rPr>
          <w:rFonts w:hint="cs"/>
          <w:rtl/>
        </w:rPr>
        <w:tab/>
      </w:r>
      <w:r w:rsidRPr="00781F97">
        <w:rPr>
          <w:rFonts w:hint="cs"/>
          <w:rtl/>
        </w:rPr>
        <w:tab/>
        <w:t>تعليقات صاحبا البلاغ على ملاحظات الدولة الطرف</w:t>
      </w:r>
    </w:p>
    <w:p w:rsidR="00FC2980" w:rsidRPr="00781F97" w:rsidRDefault="00FC2980" w:rsidP="00FC2980">
      <w:pPr>
        <w:pStyle w:val="SingleTxtGA"/>
        <w:rPr>
          <w:rtl/>
        </w:rPr>
      </w:pPr>
      <w:r w:rsidRPr="00781F97">
        <w:rPr>
          <w:rFonts w:hint="cs"/>
          <w:rtl/>
        </w:rPr>
        <w:t>5-1</w:t>
      </w:r>
      <w:r w:rsidR="001417F4">
        <w:rPr>
          <w:rtl/>
        </w:rPr>
        <w:tab/>
      </w:r>
      <w:r w:rsidRPr="00781F97">
        <w:rPr>
          <w:rFonts w:hint="cs"/>
          <w:rtl/>
        </w:rPr>
        <w:t xml:space="preserve">يدفع صاحبا البلاغ في تعليقاتهما المؤرخة 6 كانون الأول/ديسمبر 2017 بأن حجج الدولة الطرف بشأن رفع التدابير المؤقتة لا تستند إلى أي قاعدة من قواعد القانون. ويدعيان أن الحجج التي قدمتها الدولة الطرف تميل إلى إثبات أن الطلب غير مقبول </w:t>
      </w:r>
      <w:r w:rsidRPr="00781F97">
        <w:rPr>
          <w:rFonts w:hint="cs"/>
          <w:i/>
          <w:iCs/>
          <w:rtl/>
        </w:rPr>
        <w:t>مبدئي</w:t>
      </w:r>
      <w:r w:rsidR="003B6E7D">
        <w:rPr>
          <w:rFonts w:hint="cs"/>
          <w:i/>
          <w:iCs/>
          <w:rtl/>
        </w:rPr>
        <w:t xml:space="preserve">اً </w:t>
      </w:r>
      <w:r w:rsidRPr="00781F97">
        <w:rPr>
          <w:rFonts w:hint="cs"/>
          <w:rtl/>
        </w:rPr>
        <w:t xml:space="preserve">لأنه يثير مسائل تتعلق بالأسس الموضوعية لطلبيهما. ويضيفان أنه لا توجد أي إشارة إلى وضع طفليهما، وأنه في حال قررت اللجنة أن شكوى والديهما غير مقبولة </w:t>
      </w:r>
      <w:r w:rsidRPr="00781F97">
        <w:rPr>
          <w:rFonts w:hint="cs"/>
          <w:i/>
          <w:iCs/>
          <w:rtl/>
        </w:rPr>
        <w:t>من حيث المبدأ</w:t>
      </w:r>
      <w:r w:rsidRPr="00781F97">
        <w:rPr>
          <w:rFonts w:hint="cs"/>
          <w:rtl/>
        </w:rPr>
        <w:t xml:space="preserve">، وهو ما يرفضه صاحبا </w:t>
      </w:r>
      <w:r w:rsidRPr="003B6E7D">
        <w:rPr>
          <w:rFonts w:hint="cs"/>
          <w:spacing w:val="-2"/>
          <w:rtl/>
        </w:rPr>
        <w:t>البلاغ، فإن مسألة ما سيؤول إليه وضع طفليهما في حال ترحيلهما إلى الهند ستظل مسألة قائمة.</w:t>
      </w:r>
    </w:p>
    <w:p w:rsidR="00FC2980" w:rsidRPr="00781F97" w:rsidRDefault="00FC2980" w:rsidP="00FC2980">
      <w:pPr>
        <w:pStyle w:val="SingleTxtGA"/>
        <w:rPr>
          <w:rtl/>
        </w:rPr>
      </w:pPr>
      <w:r w:rsidRPr="00781F97">
        <w:rPr>
          <w:rFonts w:hint="cs"/>
          <w:rtl/>
        </w:rPr>
        <w:t>5-2</w:t>
      </w:r>
      <w:r w:rsidR="001417F4">
        <w:rPr>
          <w:rtl/>
        </w:rPr>
        <w:tab/>
      </w:r>
      <w:r w:rsidRPr="00781F97">
        <w:rPr>
          <w:rFonts w:hint="cs"/>
          <w:rtl/>
        </w:rPr>
        <w:t>ويدفع صاحبا البلاغ بأن ترحيل طفليهما إلى بلد ليسا من رعاياه، حيث لا يوجد ما</w:t>
      </w:r>
      <w:r w:rsidR="00B639C2">
        <w:rPr>
          <w:rFonts w:hint="eastAsia"/>
          <w:rtl/>
        </w:rPr>
        <w:t> </w:t>
      </w:r>
      <w:r w:rsidRPr="00781F97">
        <w:rPr>
          <w:rFonts w:hint="cs"/>
          <w:rtl/>
        </w:rPr>
        <w:t>يؤكد أن حقوقهما الأساسية مضمونة، يبرر إبقاء اللجنة على التدابير المؤقتة، وذلك لتفادي ضرر لا يمكن جبره. وعدم الامتثال للتدابير المؤقتة باتخاذ إجراء لا يمكن جبره على وجه الخصوص يقوض حماية الحقوق المنصوص عليها في العهد</w:t>
      </w:r>
      <w:r w:rsidR="000A12A3" w:rsidRPr="000A12A3">
        <w:rPr>
          <w:rStyle w:val="FootnoteReference"/>
          <w:szCs w:val="30"/>
          <w:rtl/>
        </w:rPr>
        <w:t>(</w:t>
      </w:r>
      <w:r w:rsidR="000A12A3" w:rsidRPr="000A12A3">
        <w:rPr>
          <w:rStyle w:val="FootnoteReference"/>
          <w:szCs w:val="30"/>
          <w:rtl/>
        </w:rPr>
        <w:footnoteReference w:id="11"/>
      </w:r>
      <w:r w:rsidR="000A12A3" w:rsidRPr="000A12A3">
        <w:rPr>
          <w:rStyle w:val="FootnoteReference"/>
          <w:szCs w:val="30"/>
          <w:rtl/>
        </w:rPr>
        <w:t>)</w:t>
      </w:r>
      <w:r w:rsidR="00894E61">
        <w:rPr>
          <w:rFonts w:hint="cs"/>
          <w:rtl/>
        </w:rPr>
        <w:t>.</w:t>
      </w:r>
      <w:r w:rsidRPr="00781F97">
        <w:rPr>
          <w:rFonts w:hint="cs"/>
          <w:rtl/>
        </w:rPr>
        <w:t xml:space="preserve"> ويدفع صاحبا البلاغ أيض</w:t>
      </w:r>
      <w:r w:rsidR="00B639C2">
        <w:rPr>
          <w:rFonts w:hint="cs"/>
          <w:rtl/>
        </w:rPr>
        <w:t xml:space="preserve">اً </w:t>
      </w:r>
      <w:r w:rsidRPr="00781F97">
        <w:rPr>
          <w:rFonts w:hint="cs"/>
          <w:rtl/>
        </w:rPr>
        <w:t>بأن من الأفضل ضمان توفير التعليم والرعاية الصحية لطفليهما، وعدم جعلهما عرضة للمخاطر التي قد تنجم عن ترحيلهما إلى بلد ليسا من رعاياه. وفيما يتعلق بصاحبي البلاغ البالغين، فيدفعان بأنه حتى لو نظرت السلطات الكندية في قضيتهما، فيجب على اللجنة التحقق من هذا الإجراء. وفي الوقت الذي يعود تقييم الأدلة عموم</w:t>
      </w:r>
      <w:r w:rsidR="00B639C2">
        <w:rPr>
          <w:rFonts w:hint="cs"/>
          <w:rtl/>
        </w:rPr>
        <w:t xml:space="preserve">اً </w:t>
      </w:r>
      <w:r w:rsidRPr="00781F97">
        <w:rPr>
          <w:rFonts w:hint="cs"/>
          <w:rtl/>
        </w:rPr>
        <w:t>إلى السلطات الوطنية، يمكن للجنة مع ذلك التحقق فيما إذا كان من الواضح أن التقييم تعسفي ويشكل ميلاً في الحكم</w:t>
      </w:r>
      <w:r w:rsidR="000A12A3" w:rsidRPr="000A12A3">
        <w:rPr>
          <w:rStyle w:val="FootnoteReference"/>
          <w:szCs w:val="30"/>
          <w:rtl/>
        </w:rPr>
        <w:t>(</w:t>
      </w:r>
      <w:r w:rsidR="000A12A3" w:rsidRPr="000A12A3">
        <w:rPr>
          <w:rStyle w:val="FootnoteReference"/>
          <w:szCs w:val="30"/>
          <w:rtl/>
        </w:rPr>
        <w:footnoteReference w:id="12"/>
      </w:r>
      <w:r w:rsidR="000A12A3" w:rsidRPr="000A12A3">
        <w:rPr>
          <w:rStyle w:val="FootnoteReference"/>
          <w:szCs w:val="30"/>
          <w:rtl/>
        </w:rPr>
        <w:t>)</w:t>
      </w:r>
      <w:r w:rsidR="00894E61">
        <w:rPr>
          <w:rFonts w:hint="cs"/>
          <w:rtl/>
        </w:rPr>
        <w:t>.</w:t>
      </w:r>
      <w:r w:rsidRPr="00781F97">
        <w:rPr>
          <w:rFonts w:hint="cs"/>
          <w:rtl/>
        </w:rPr>
        <w:t xml:space="preserve"> ويضيف صاحبا البلاغ أن ترحيلهما سيضر بحياتهما الأسرية، ويبرر من ثم تطبيق التدابير المؤقتة. </w:t>
      </w:r>
    </w:p>
    <w:p w:rsidR="00FC2980" w:rsidRPr="00781F97" w:rsidRDefault="00FC2980" w:rsidP="00FC2980">
      <w:pPr>
        <w:pStyle w:val="SingleTxtGA"/>
        <w:rPr>
          <w:rtl/>
        </w:rPr>
      </w:pPr>
      <w:r w:rsidRPr="00781F97">
        <w:rPr>
          <w:rFonts w:hint="cs"/>
          <w:rtl/>
        </w:rPr>
        <w:t>5-3</w:t>
      </w:r>
      <w:r w:rsidR="001417F4">
        <w:rPr>
          <w:rtl/>
        </w:rPr>
        <w:tab/>
      </w:r>
      <w:r w:rsidRPr="00781F97">
        <w:rPr>
          <w:rFonts w:hint="cs"/>
          <w:rtl/>
        </w:rPr>
        <w:t xml:space="preserve">ويدعي صاحبا البلاغ أن السلطات الكندية لم تنظر في الأسس الموضوعية لطلبهما، واكتفت بدراسة صدقية طلب السيد هـ. س.، وأنه لم يُنظر في طلب صاحبي البلاغ بالشكل </w:t>
      </w:r>
      <w:r w:rsidRPr="00781F97">
        <w:rPr>
          <w:rFonts w:hint="cs"/>
          <w:rtl/>
        </w:rPr>
        <w:lastRenderedPageBreak/>
        <w:t>الصحيح، أي أن مسؤول تقييم المخاطر قبل الترحيل لم يقيم وضعهما بذريعة أن مفوض المجلس الكندي للهجرة واللاجئين سبق أن نظر في هذا الطلب. وعلاوة على ذلك، ليس لكندا القول إنها لا تعلم أن الأشخاص رهن الاحتجاز يواجهون مخاطر عالية من سوء المعاملة. وتجدر</w:t>
      </w:r>
      <w:r w:rsidR="00D50C03">
        <w:rPr>
          <w:rFonts w:hint="eastAsia"/>
          <w:rtl/>
        </w:rPr>
        <w:t> </w:t>
      </w:r>
      <w:r w:rsidRPr="00781F97">
        <w:rPr>
          <w:rFonts w:hint="cs"/>
          <w:rtl/>
        </w:rPr>
        <w:t>الإشارة أيض</w:t>
      </w:r>
      <w:r w:rsidR="00B639C2">
        <w:rPr>
          <w:rFonts w:hint="cs"/>
          <w:rtl/>
        </w:rPr>
        <w:t xml:space="preserve">اً </w:t>
      </w:r>
      <w:r w:rsidRPr="00781F97">
        <w:rPr>
          <w:rFonts w:hint="cs"/>
          <w:rtl/>
        </w:rPr>
        <w:t>إلى أن جميع حجج كندا تنحصر في الطلب المقدم من صاحبي البلاغ، وأنها</w:t>
      </w:r>
      <w:r w:rsidR="00D50C03">
        <w:rPr>
          <w:rFonts w:hint="eastAsia"/>
          <w:rtl/>
        </w:rPr>
        <w:t> </w:t>
      </w:r>
      <w:r w:rsidRPr="00781F97">
        <w:rPr>
          <w:rFonts w:hint="cs"/>
          <w:rtl/>
        </w:rPr>
        <w:t>لا</w:t>
      </w:r>
      <w:r w:rsidR="00A52BBF">
        <w:rPr>
          <w:rFonts w:hint="eastAsia"/>
          <w:rtl/>
        </w:rPr>
        <w:t> </w:t>
      </w:r>
      <w:r w:rsidRPr="00781F97">
        <w:rPr>
          <w:rFonts w:hint="cs"/>
          <w:rtl/>
        </w:rPr>
        <w:t>تعير أي اهتمام لوجود الطفلين. وفي هذا الصدد، تجدر الإشارة إلى أن صاحبي البلاغ قدما طلب</w:t>
      </w:r>
      <w:r w:rsidR="00B639C2">
        <w:rPr>
          <w:rFonts w:hint="cs"/>
          <w:rtl/>
        </w:rPr>
        <w:t xml:space="preserve">اً </w:t>
      </w:r>
      <w:r w:rsidRPr="00781F97">
        <w:rPr>
          <w:rFonts w:hint="cs"/>
          <w:rtl/>
        </w:rPr>
        <w:t xml:space="preserve">إلى السلطات الكندية للحصول على الإقامة الدائمة لاعتبارات إنسانية تأكيداً لحقوق طفليهما، وهي حقوق لم يُنظر فيها قط. وفي الوقت الذي لم يكن الرد على هذا الطلب متوقعاً قبل عام 2019 أو عام 2020، رُفض طلبهما هذا في 8 آذار/مارس 2017. وقُدم طلب لإجراء مراجعة قضائية إلى المحكمة الاتحادية للطعن في هذا القرار غير المعقول. وتوصل صاحبا البلاغ والدولة الطرف إلى تسوية خارج المحكمة في 7 تشرين الثاني/نوفمبر 2017، ووافقت الدولة الطرف على النظر في الطلب قبل انعقاد جلسة الاستماع أمام المحكمة. وبناء على ذلك، تكون الدولة الطرف قد اعترفت بأن النظر في هذه القضية لم يكن كافياً. </w:t>
      </w:r>
    </w:p>
    <w:p w:rsidR="00FC2980" w:rsidRPr="00781F97" w:rsidRDefault="00FC2980" w:rsidP="00FC2980">
      <w:pPr>
        <w:pStyle w:val="SingleTxtGA"/>
        <w:rPr>
          <w:rtl/>
        </w:rPr>
      </w:pPr>
      <w:r w:rsidRPr="00781F97">
        <w:rPr>
          <w:rFonts w:hint="cs"/>
          <w:rtl/>
        </w:rPr>
        <w:t>5-4</w:t>
      </w:r>
      <w:r w:rsidR="00A52BBF">
        <w:rPr>
          <w:rtl/>
        </w:rPr>
        <w:tab/>
      </w:r>
      <w:r w:rsidRPr="00781F97">
        <w:rPr>
          <w:rFonts w:hint="cs"/>
          <w:rtl/>
        </w:rPr>
        <w:t>ويدفع صاحبا البلاغ بأن ترحيلهما يشكل تدخلاً في العلاقات الأسرية</w:t>
      </w:r>
      <w:r w:rsidR="000A12A3" w:rsidRPr="000A12A3">
        <w:rPr>
          <w:rStyle w:val="FootnoteReference"/>
          <w:szCs w:val="30"/>
          <w:rtl/>
        </w:rPr>
        <w:t>(</w:t>
      </w:r>
      <w:r w:rsidR="000A12A3" w:rsidRPr="000A12A3">
        <w:rPr>
          <w:rStyle w:val="FootnoteReference"/>
          <w:szCs w:val="30"/>
          <w:rtl/>
        </w:rPr>
        <w:footnoteReference w:id="13"/>
      </w:r>
      <w:r w:rsidR="000A12A3" w:rsidRPr="000A12A3">
        <w:rPr>
          <w:rStyle w:val="FootnoteReference"/>
          <w:szCs w:val="30"/>
          <w:rtl/>
        </w:rPr>
        <w:t>)</w:t>
      </w:r>
      <w:r w:rsidR="007A3D4F">
        <w:rPr>
          <w:rFonts w:hint="cs"/>
          <w:rtl/>
        </w:rPr>
        <w:t>.</w:t>
      </w:r>
      <w:r w:rsidRPr="00781F97">
        <w:rPr>
          <w:rFonts w:hint="cs"/>
          <w:rtl/>
        </w:rPr>
        <w:t xml:space="preserve"> ويؤكدان أن قرار الدولة ترحيل أب أسرة له طفلين قاصرين يجبر أفراد أسرته على الاختيار بين مرافقته أو</w:t>
      </w:r>
      <w:r w:rsidR="00A52BBF">
        <w:rPr>
          <w:rFonts w:hint="eastAsia"/>
          <w:rtl/>
        </w:rPr>
        <w:t> </w:t>
      </w:r>
      <w:r w:rsidRPr="00781F97">
        <w:rPr>
          <w:rFonts w:hint="cs"/>
          <w:rtl/>
        </w:rPr>
        <w:t>البقاء في إقليم الدولة الطرف؛ وبناء على ذلك، يجب اعتبار هذا القرار تدخلاً في شؤون الأسرة</w:t>
      </w:r>
      <w:r w:rsidR="000A12A3" w:rsidRPr="000A12A3">
        <w:rPr>
          <w:rStyle w:val="FootnoteReference"/>
          <w:szCs w:val="30"/>
          <w:rtl/>
        </w:rPr>
        <w:t>(</w:t>
      </w:r>
      <w:r w:rsidR="000A12A3" w:rsidRPr="000A12A3">
        <w:rPr>
          <w:rStyle w:val="FootnoteReference"/>
          <w:szCs w:val="30"/>
          <w:rtl/>
        </w:rPr>
        <w:footnoteReference w:id="14"/>
      </w:r>
      <w:r w:rsidR="000A12A3" w:rsidRPr="000A12A3">
        <w:rPr>
          <w:rStyle w:val="FootnoteReference"/>
          <w:szCs w:val="30"/>
          <w:rtl/>
        </w:rPr>
        <w:t>)</w:t>
      </w:r>
      <w:r w:rsidR="00A52BBF">
        <w:rPr>
          <w:rFonts w:hint="cs"/>
          <w:rtl/>
        </w:rPr>
        <w:t>.</w:t>
      </w:r>
      <w:r w:rsidRPr="00781F97">
        <w:rPr>
          <w:rFonts w:hint="cs"/>
          <w:rtl/>
        </w:rPr>
        <w:t xml:space="preserve"> ويمكن اعتبار فصل أحد الأفراد عن بقية أسرته في سياق الترحيل تدخل</w:t>
      </w:r>
      <w:r w:rsidR="00B639C2">
        <w:rPr>
          <w:rFonts w:hint="cs"/>
          <w:rtl/>
        </w:rPr>
        <w:t xml:space="preserve">اً </w:t>
      </w:r>
      <w:r w:rsidRPr="00781F97">
        <w:rPr>
          <w:rFonts w:hint="cs"/>
          <w:rtl/>
        </w:rPr>
        <w:t>تعسفياً في شؤون الأسرة إذا كان للفصل آثار غير متناسبة مع أهدافه</w:t>
      </w:r>
      <w:r w:rsidR="000A12A3" w:rsidRPr="000A12A3">
        <w:rPr>
          <w:rStyle w:val="FootnoteReference"/>
          <w:szCs w:val="30"/>
          <w:rtl/>
        </w:rPr>
        <w:t>(</w:t>
      </w:r>
      <w:r w:rsidR="000A12A3" w:rsidRPr="000A12A3">
        <w:rPr>
          <w:rStyle w:val="FootnoteReference"/>
          <w:szCs w:val="30"/>
          <w:rtl/>
        </w:rPr>
        <w:footnoteReference w:id="15"/>
      </w:r>
      <w:r w:rsidR="000A12A3" w:rsidRPr="000A12A3">
        <w:rPr>
          <w:rStyle w:val="FootnoteReference"/>
          <w:szCs w:val="30"/>
          <w:rtl/>
        </w:rPr>
        <w:t>)</w:t>
      </w:r>
      <w:r w:rsidR="00A52BBF">
        <w:rPr>
          <w:rFonts w:hint="cs"/>
          <w:rtl/>
        </w:rPr>
        <w:t xml:space="preserve">. </w:t>
      </w:r>
      <w:r w:rsidRPr="00781F97">
        <w:rPr>
          <w:rFonts w:hint="cs"/>
          <w:rtl/>
        </w:rPr>
        <w:t>وبالإشارة إلى اجتهادات اللجنة التي تشير إلى أن التدخل في العلاقات الأسرية الذي يترتب حتماً عن الترحيل لا يمكن اعتباره غير قانوني أو تعسفي حين يُتخذ أمر الترحيل وفقاً للقانون والمصلحة المشروعة للدولة، وحين يولى الاهتمام الواجب للروابط الأسرية للشخص المعني خلال هذا الإجراء</w:t>
      </w:r>
      <w:r w:rsidR="000A12A3" w:rsidRPr="000A12A3">
        <w:rPr>
          <w:rStyle w:val="FootnoteReference"/>
          <w:szCs w:val="30"/>
          <w:rtl/>
        </w:rPr>
        <w:t>(</w:t>
      </w:r>
      <w:r w:rsidR="000A12A3" w:rsidRPr="000A12A3">
        <w:rPr>
          <w:rStyle w:val="FootnoteReference"/>
          <w:szCs w:val="30"/>
          <w:rtl/>
        </w:rPr>
        <w:footnoteReference w:id="16"/>
      </w:r>
      <w:r w:rsidR="000A12A3" w:rsidRPr="000A12A3">
        <w:rPr>
          <w:rStyle w:val="FootnoteReference"/>
          <w:szCs w:val="30"/>
          <w:rtl/>
        </w:rPr>
        <w:t>)</w:t>
      </w:r>
      <w:r w:rsidR="00A52BBF">
        <w:rPr>
          <w:rFonts w:hint="cs"/>
          <w:rtl/>
        </w:rPr>
        <w:t>،</w:t>
      </w:r>
      <w:r w:rsidRPr="00781F97">
        <w:rPr>
          <w:rFonts w:hint="cs"/>
          <w:rtl/>
        </w:rPr>
        <w:t xml:space="preserve"> يدعي صاحبا البلاغ أن الدولة الطرف نفسها اعترفت فيما يتعلق بقضيتهما بأن دراسة وضعهما الأسري لم</w:t>
      </w:r>
      <w:r w:rsidR="00A52BBF">
        <w:rPr>
          <w:rFonts w:hint="eastAsia"/>
          <w:rtl/>
        </w:rPr>
        <w:t> </w:t>
      </w:r>
      <w:r w:rsidRPr="00781F97">
        <w:rPr>
          <w:rFonts w:hint="cs"/>
          <w:rtl/>
        </w:rPr>
        <w:t>تُنفذ بشكل سليم حتى حينه. وأي فصل لوالدي الطفلين سيكون انتهاك</w:t>
      </w:r>
      <w:r w:rsidR="00B639C2">
        <w:rPr>
          <w:rFonts w:hint="cs"/>
          <w:rtl/>
        </w:rPr>
        <w:t xml:space="preserve">اً </w:t>
      </w:r>
      <w:r w:rsidRPr="00781F97">
        <w:rPr>
          <w:rFonts w:hint="cs"/>
          <w:rtl/>
        </w:rPr>
        <w:t>للحياة الأسرية. وفي حالة الأسرة التي يجب على أحد طرفيها مغادرة أراضي الدولة بينما يحق للطرف الآخر البقاء، فيجب عندها مراعاة معايير تحديد ما إذا كان التدخل في الحياة الأسرية للأشخاص المعنيين مبرَّراً موضوعياً أو لا، ومدى أهمية المبررات المقدمة من الدولة لترحيل الشخص المعني من جهة، وحالة الضيق التي ستجد الأسرة نفسها فيها بعد الترحيل من جهة أخرى</w:t>
      </w:r>
      <w:r w:rsidR="000A12A3" w:rsidRPr="000A12A3">
        <w:rPr>
          <w:rStyle w:val="FootnoteReference"/>
          <w:szCs w:val="30"/>
          <w:rtl/>
        </w:rPr>
        <w:t>(</w:t>
      </w:r>
      <w:r w:rsidR="000A12A3" w:rsidRPr="000A12A3">
        <w:rPr>
          <w:rStyle w:val="FootnoteReference"/>
          <w:szCs w:val="30"/>
          <w:rtl/>
        </w:rPr>
        <w:footnoteReference w:id="17"/>
      </w:r>
      <w:r w:rsidR="000A12A3" w:rsidRPr="000A12A3">
        <w:rPr>
          <w:rStyle w:val="FootnoteReference"/>
          <w:szCs w:val="30"/>
          <w:rtl/>
        </w:rPr>
        <w:t>)</w:t>
      </w:r>
      <w:r w:rsidR="00A52BBF">
        <w:rPr>
          <w:rFonts w:hint="cs"/>
          <w:rtl/>
        </w:rPr>
        <w:t>.</w:t>
      </w:r>
      <w:r w:rsidRPr="00781F97">
        <w:rPr>
          <w:rFonts w:hint="cs"/>
          <w:rtl/>
        </w:rPr>
        <w:t xml:space="preserve"> بيد أن الملاحظات التي قدمها صاحبا البلاغ أثبتت بالفعل الآثار الكارثية على الأسرة والحياة الأسرية. </w:t>
      </w:r>
    </w:p>
    <w:p w:rsidR="00FC2980" w:rsidRPr="00781F97" w:rsidRDefault="00FC2980" w:rsidP="00FC2980">
      <w:pPr>
        <w:pStyle w:val="SingleTxtGA"/>
        <w:rPr>
          <w:rtl/>
        </w:rPr>
      </w:pPr>
      <w:r w:rsidRPr="00781F97">
        <w:rPr>
          <w:rFonts w:hint="cs"/>
          <w:rtl/>
        </w:rPr>
        <w:t>5-5</w:t>
      </w:r>
      <w:r w:rsidR="00A52BBF">
        <w:rPr>
          <w:rtl/>
        </w:rPr>
        <w:tab/>
      </w:r>
      <w:r w:rsidRPr="00781F97">
        <w:rPr>
          <w:rFonts w:hint="cs"/>
          <w:rtl/>
        </w:rPr>
        <w:t xml:space="preserve">وعندما يصبح الترحيل وشيكاً، يكون وقت نظر اللجنة في وجود انتهاك لحقوق الأسرة هو وقت نظر اللجنة في القضية. ويجب أن يكون ترحيل الدولة لوالد طفلٍ من رعاياها مبرَّراً </w:t>
      </w:r>
      <w:r w:rsidRPr="00781F97">
        <w:rPr>
          <w:rFonts w:hint="cs"/>
          <w:rtl/>
        </w:rPr>
        <w:lastRenderedPageBreak/>
        <w:t>بعوامل أخرى غير مجرد تنفيذ قانون الهجرة بحيث لا يعتبر هذا الترحيل إجراءً تعسفياً</w:t>
      </w:r>
      <w:r w:rsidR="000A12A3" w:rsidRPr="000A12A3">
        <w:rPr>
          <w:rStyle w:val="FootnoteReference"/>
          <w:szCs w:val="30"/>
          <w:rtl/>
        </w:rPr>
        <w:t>(</w:t>
      </w:r>
      <w:r w:rsidR="000A12A3" w:rsidRPr="000A12A3">
        <w:rPr>
          <w:rStyle w:val="FootnoteReference"/>
          <w:szCs w:val="30"/>
          <w:rtl/>
        </w:rPr>
        <w:footnoteReference w:id="18"/>
      </w:r>
      <w:r w:rsidR="000A12A3" w:rsidRPr="000A12A3">
        <w:rPr>
          <w:rStyle w:val="FootnoteReference"/>
          <w:szCs w:val="30"/>
          <w:rtl/>
        </w:rPr>
        <w:t>)</w:t>
      </w:r>
      <w:r w:rsidR="00A52BBF">
        <w:rPr>
          <w:rFonts w:hint="cs"/>
          <w:rtl/>
        </w:rPr>
        <w:t>.</w:t>
      </w:r>
      <w:r w:rsidRPr="00781F97">
        <w:rPr>
          <w:rFonts w:hint="cs"/>
          <w:rtl/>
        </w:rPr>
        <w:t xml:space="preserve"> والسبب الوحيد الذي قدمته الدولة الطرف هو التطبيق السليم للقانون، دون أي دليل أو تحليل لإثبات أن الترحيل مبرر في هذه القضية. وفي هذا السياق، يرى صاحبا البلاغ أنه ينبغي للجنة ألا تخلص إلى أن الطلب يجب أن يُرفض ضمن الإجراءات الموجزة في هذه المرحلة، أو أنه يجب إلغاء التدابير المؤقتة. وفي حال ترحيل الأسرة إلى الهند، سيستحيل جبر الضرر بعد ذلك. ولهذا السبب، يدفع صاحبا البلاغ بأنه يجب أن تظل التدابير المؤقتة قائمة. </w:t>
      </w:r>
    </w:p>
    <w:p w:rsidR="00FC2980" w:rsidRPr="00781F97" w:rsidRDefault="00FC2980" w:rsidP="00A52BBF">
      <w:pPr>
        <w:pStyle w:val="H23GA"/>
        <w:rPr>
          <w:rtl/>
        </w:rPr>
      </w:pPr>
      <w:r w:rsidRPr="00781F97">
        <w:rPr>
          <w:rFonts w:hint="cs"/>
          <w:rtl/>
        </w:rPr>
        <w:tab/>
      </w:r>
      <w:r w:rsidRPr="00781F97">
        <w:rPr>
          <w:rFonts w:hint="cs"/>
          <w:rtl/>
        </w:rPr>
        <w:tab/>
        <w:t>القضايا والإجراءات المعروضة على اللجنة</w:t>
      </w:r>
    </w:p>
    <w:p w:rsidR="00FC2980" w:rsidRPr="00781F97" w:rsidRDefault="00FC2980" w:rsidP="00A52BBF">
      <w:pPr>
        <w:pStyle w:val="H4GA"/>
        <w:rPr>
          <w:rtl/>
        </w:rPr>
      </w:pPr>
      <w:r w:rsidRPr="00781F97">
        <w:rPr>
          <w:rFonts w:hint="cs"/>
          <w:rtl/>
        </w:rPr>
        <w:tab/>
      </w:r>
      <w:r w:rsidRPr="00781F97">
        <w:rPr>
          <w:rFonts w:hint="cs"/>
          <w:rtl/>
        </w:rPr>
        <w:tab/>
        <w:t xml:space="preserve">النظر في المقبولية </w:t>
      </w:r>
    </w:p>
    <w:p w:rsidR="00FC2980" w:rsidRPr="00781F97" w:rsidRDefault="00FC2980" w:rsidP="00FC2980">
      <w:pPr>
        <w:pStyle w:val="SingleTxtGA"/>
        <w:rPr>
          <w:rtl/>
        </w:rPr>
      </w:pPr>
      <w:r w:rsidRPr="00781F97">
        <w:rPr>
          <w:rFonts w:hint="cs"/>
          <w:rtl/>
        </w:rPr>
        <w:t>٦-١</w:t>
      </w:r>
      <w:r w:rsidR="00A52BBF">
        <w:rPr>
          <w:rtl/>
        </w:rPr>
        <w:tab/>
      </w:r>
      <w:r w:rsidRPr="00781F97">
        <w:rPr>
          <w:rFonts w:hint="cs"/>
          <w:rtl/>
        </w:rPr>
        <w:t>قبل النظر في أي ادعاء يرد في بلاغ ما، يجب على اللجنة أن تقرر، وفقاً لما تقتضيه المادة 93 من نظامها الداخلي، ما إذا كان البلاغ مقبولاً أم لا بموجب البروتوكول الاختياري.</w:t>
      </w:r>
    </w:p>
    <w:p w:rsidR="00FC2980" w:rsidRPr="00781F97" w:rsidRDefault="00FC2980" w:rsidP="00FC2980">
      <w:pPr>
        <w:pStyle w:val="SingleTxtGA"/>
        <w:rPr>
          <w:rtl/>
        </w:rPr>
      </w:pPr>
      <w:r w:rsidRPr="00781F97">
        <w:rPr>
          <w:rFonts w:hint="cs"/>
          <w:rtl/>
        </w:rPr>
        <w:t>6-2</w:t>
      </w:r>
      <w:r w:rsidR="00A52BBF">
        <w:rPr>
          <w:rtl/>
        </w:rPr>
        <w:tab/>
      </w:r>
      <w:r w:rsidRPr="00781F97">
        <w:rPr>
          <w:rFonts w:hint="cs"/>
          <w:rtl/>
        </w:rPr>
        <w:t>وقد تأكدت اللجنة، على النحو المطلوب بموجب المادة 5</w:t>
      </w:r>
      <w:r w:rsidR="0036107A">
        <w:rPr>
          <w:rFonts w:hint="cs"/>
          <w:rtl/>
        </w:rPr>
        <w:t>(</w:t>
      </w:r>
      <w:r w:rsidRPr="00781F97">
        <w:rPr>
          <w:rFonts w:hint="cs"/>
          <w:rtl/>
        </w:rPr>
        <w:t>2</w:t>
      </w:r>
      <w:r w:rsidR="0036107A">
        <w:rPr>
          <w:rFonts w:hint="cs"/>
          <w:rtl/>
        </w:rPr>
        <w:t>(</w:t>
      </w:r>
      <w:r w:rsidRPr="00781F97">
        <w:rPr>
          <w:rFonts w:hint="cs"/>
          <w:rtl/>
        </w:rPr>
        <w:t>أ)) من البروتوكول الاختياري، من أن المسألة نفسها ليست قيد البحث في إطار إجراء آخر من إجراءات التحقيق الدولي أو التسوية الدولية.</w:t>
      </w:r>
    </w:p>
    <w:p w:rsidR="00FC2980" w:rsidRPr="00781F97" w:rsidRDefault="00FC2980" w:rsidP="00FC2980">
      <w:pPr>
        <w:pStyle w:val="SingleTxtGA"/>
        <w:rPr>
          <w:rtl/>
        </w:rPr>
      </w:pPr>
      <w:r w:rsidRPr="00781F97">
        <w:rPr>
          <w:rFonts w:hint="cs"/>
          <w:rtl/>
        </w:rPr>
        <w:t>6-3</w:t>
      </w:r>
      <w:r w:rsidR="00A52BBF">
        <w:rPr>
          <w:rtl/>
        </w:rPr>
        <w:tab/>
      </w:r>
      <w:r w:rsidRPr="00781F97">
        <w:rPr>
          <w:rFonts w:hint="cs"/>
          <w:rtl/>
        </w:rPr>
        <w:t>وتذكر اللجنة باجتهاداتها السابقة التي أشارت فيها إلى أنه يجب على أصحاب البلاغات استنفاد جميع سبل الانتصاف القضائية المحلية من أجل استيفاء مقتضيات المادة</w:t>
      </w:r>
      <w:r w:rsidR="00A52BBF">
        <w:rPr>
          <w:rFonts w:hint="eastAsia"/>
          <w:rtl/>
        </w:rPr>
        <w:t> </w:t>
      </w:r>
      <w:r w:rsidRPr="00781F97">
        <w:rPr>
          <w:rFonts w:hint="cs"/>
          <w:rtl/>
        </w:rPr>
        <w:t>5</w:t>
      </w:r>
      <w:r w:rsidR="0036107A">
        <w:rPr>
          <w:rFonts w:hint="cs"/>
          <w:rtl/>
        </w:rPr>
        <w:t>(</w:t>
      </w:r>
      <w:r w:rsidRPr="00781F97">
        <w:rPr>
          <w:rFonts w:hint="cs"/>
          <w:rtl/>
        </w:rPr>
        <w:t>2</w:t>
      </w:r>
      <w:r w:rsidR="0036107A">
        <w:rPr>
          <w:rFonts w:hint="cs"/>
          <w:rtl/>
        </w:rPr>
        <w:t>(</w:t>
      </w:r>
      <w:r w:rsidRPr="00781F97">
        <w:rPr>
          <w:rFonts w:hint="cs"/>
          <w:rtl/>
        </w:rPr>
        <w:t>ب)) من البروتوكول الاختياري، بقدر ما تبدو سبل الانتصاف هذه فعالة في القضية المعنية وأن تكون متاحة بحكم الواقع لأصحاب البلاغ</w:t>
      </w:r>
      <w:r w:rsidR="000A12A3" w:rsidRPr="000A12A3">
        <w:rPr>
          <w:rStyle w:val="FootnoteReference"/>
          <w:szCs w:val="30"/>
          <w:rtl/>
        </w:rPr>
        <w:t>(</w:t>
      </w:r>
      <w:r w:rsidR="000A12A3" w:rsidRPr="000A12A3">
        <w:rPr>
          <w:rStyle w:val="FootnoteReference"/>
          <w:szCs w:val="30"/>
          <w:rtl/>
        </w:rPr>
        <w:footnoteReference w:id="19"/>
      </w:r>
      <w:r w:rsidR="000A12A3" w:rsidRPr="000A12A3">
        <w:rPr>
          <w:rStyle w:val="FootnoteReference"/>
          <w:szCs w:val="30"/>
          <w:rtl/>
        </w:rPr>
        <w:t>)</w:t>
      </w:r>
      <w:r w:rsidR="007A3D4F" w:rsidRPr="007A3D4F">
        <w:rPr>
          <w:rStyle w:val="FootnoteReference"/>
          <w:rFonts w:hint="cs"/>
          <w:szCs w:val="30"/>
          <w:vertAlign w:val="baseline"/>
          <w:rtl/>
        </w:rPr>
        <w:t>.</w:t>
      </w:r>
    </w:p>
    <w:p w:rsidR="00FC2980" w:rsidRPr="00781F97" w:rsidRDefault="00FC2980" w:rsidP="00FC2980">
      <w:pPr>
        <w:pStyle w:val="SingleTxtGA"/>
        <w:rPr>
          <w:rtl/>
        </w:rPr>
      </w:pPr>
      <w:r w:rsidRPr="00781F97">
        <w:rPr>
          <w:rtl/>
        </w:rPr>
        <w:t>6-4</w:t>
      </w:r>
      <w:r w:rsidR="00A52BBF">
        <w:rPr>
          <w:rtl/>
        </w:rPr>
        <w:tab/>
      </w:r>
      <w:r w:rsidRPr="00781F97">
        <w:rPr>
          <w:rFonts w:hint="eastAsia"/>
          <w:rtl/>
        </w:rPr>
        <w:t>وتلاحظ</w:t>
      </w:r>
      <w:r w:rsidRPr="00781F97">
        <w:rPr>
          <w:rtl/>
        </w:rPr>
        <w:t xml:space="preserve"> اللجنة أن المجلس الكندي للهجرة واللاجئين </w:t>
      </w:r>
      <w:r w:rsidRPr="00781F97">
        <w:rPr>
          <w:rFonts w:hint="eastAsia"/>
          <w:rtl/>
        </w:rPr>
        <w:t>عقد</w:t>
      </w:r>
      <w:r w:rsidRPr="00781F97">
        <w:rPr>
          <w:rtl/>
        </w:rPr>
        <w:t xml:space="preserve"> جلسة استماع مع </w:t>
      </w:r>
      <w:r w:rsidRPr="00781F97">
        <w:rPr>
          <w:rFonts w:hint="eastAsia"/>
          <w:rtl/>
        </w:rPr>
        <w:t>صاحبي</w:t>
      </w:r>
      <w:r w:rsidRPr="00781F97">
        <w:rPr>
          <w:rtl/>
        </w:rPr>
        <w:t xml:space="preserve"> </w:t>
      </w:r>
      <w:r w:rsidRPr="00781F97">
        <w:rPr>
          <w:rFonts w:hint="eastAsia"/>
          <w:rtl/>
        </w:rPr>
        <w:t>البلاغ،</w:t>
      </w:r>
      <w:r w:rsidRPr="00781F97">
        <w:rPr>
          <w:rtl/>
        </w:rPr>
        <w:t xml:space="preserve"> </w:t>
      </w:r>
      <w:r w:rsidRPr="00781F97">
        <w:rPr>
          <w:rFonts w:hint="eastAsia"/>
          <w:rtl/>
        </w:rPr>
        <w:t>وأنه</w:t>
      </w:r>
      <w:r w:rsidRPr="00781F97">
        <w:rPr>
          <w:rtl/>
        </w:rPr>
        <w:t xml:space="preserve"> </w:t>
      </w:r>
      <w:r w:rsidRPr="00781F97">
        <w:rPr>
          <w:rFonts w:hint="eastAsia"/>
          <w:rtl/>
        </w:rPr>
        <w:t>رفض</w:t>
      </w:r>
      <w:r w:rsidRPr="00781F97">
        <w:rPr>
          <w:rtl/>
        </w:rPr>
        <w:t xml:space="preserve"> </w:t>
      </w:r>
      <w:r w:rsidRPr="00781F97">
        <w:rPr>
          <w:rFonts w:hint="eastAsia"/>
          <w:rtl/>
        </w:rPr>
        <w:t>طلبهما</w:t>
      </w:r>
      <w:r w:rsidRPr="00781F97">
        <w:rPr>
          <w:rtl/>
        </w:rPr>
        <w:t xml:space="preserve"> </w:t>
      </w:r>
      <w:r w:rsidRPr="00781F97">
        <w:rPr>
          <w:rFonts w:hint="eastAsia"/>
          <w:rtl/>
        </w:rPr>
        <w:t>اللجوء</w:t>
      </w:r>
      <w:r w:rsidRPr="00781F97">
        <w:rPr>
          <w:rtl/>
        </w:rPr>
        <w:t>. وقدم صاحبا البلاغ أيض</w:t>
      </w:r>
      <w:r w:rsidR="00B639C2">
        <w:rPr>
          <w:rtl/>
        </w:rPr>
        <w:t xml:space="preserve">اً </w:t>
      </w:r>
      <w:r w:rsidRPr="00781F97">
        <w:rPr>
          <w:rtl/>
        </w:rPr>
        <w:t>طلب</w:t>
      </w:r>
      <w:r w:rsidR="00B639C2">
        <w:rPr>
          <w:rtl/>
        </w:rPr>
        <w:t xml:space="preserve">اً </w:t>
      </w:r>
      <w:r w:rsidRPr="00781F97">
        <w:rPr>
          <w:rtl/>
        </w:rPr>
        <w:t xml:space="preserve">لتقييم المخاطر قبل الترحيل، </w:t>
      </w:r>
      <w:r w:rsidRPr="00DB3D57">
        <w:rPr>
          <w:spacing w:val="-4"/>
          <w:rtl/>
        </w:rPr>
        <w:t>لكنه رُفض في 4 آ</w:t>
      </w:r>
      <w:r w:rsidRPr="00DB3D57">
        <w:rPr>
          <w:rFonts w:hint="eastAsia"/>
          <w:spacing w:val="-4"/>
          <w:rtl/>
        </w:rPr>
        <w:t>ب</w:t>
      </w:r>
      <w:r w:rsidRPr="00DB3D57">
        <w:rPr>
          <w:spacing w:val="-4"/>
          <w:rtl/>
        </w:rPr>
        <w:t xml:space="preserve">/أغسطس 2016. </w:t>
      </w:r>
      <w:r w:rsidRPr="00DB3D57">
        <w:rPr>
          <w:rFonts w:hint="eastAsia"/>
          <w:spacing w:val="-4"/>
          <w:rtl/>
        </w:rPr>
        <w:t>وقدما</w:t>
      </w:r>
      <w:r w:rsidRPr="00DB3D57">
        <w:rPr>
          <w:spacing w:val="-4"/>
          <w:rtl/>
        </w:rPr>
        <w:t xml:space="preserve"> في 13 تشرين الأول/أكتوبر 2016 طلب</w:t>
      </w:r>
      <w:r w:rsidR="00B639C2" w:rsidRPr="00DB3D57">
        <w:rPr>
          <w:spacing w:val="-4"/>
          <w:rtl/>
        </w:rPr>
        <w:t xml:space="preserve">اً </w:t>
      </w:r>
      <w:r w:rsidRPr="00DB3D57">
        <w:rPr>
          <w:spacing w:val="-4"/>
          <w:rtl/>
        </w:rPr>
        <w:t>للحصول</w:t>
      </w:r>
      <w:r w:rsidRPr="00781F97">
        <w:rPr>
          <w:rtl/>
        </w:rPr>
        <w:t xml:space="preserve"> على الإقامة الدائمة لاعتبارات إنسانية، لا سيما </w:t>
      </w:r>
      <w:r w:rsidRPr="00781F97">
        <w:rPr>
          <w:rFonts w:hint="cs"/>
          <w:rtl/>
        </w:rPr>
        <w:t xml:space="preserve">مراعاة </w:t>
      </w:r>
      <w:r w:rsidRPr="00781F97">
        <w:rPr>
          <w:rtl/>
        </w:rPr>
        <w:t>المصالح الفضل</w:t>
      </w:r>
      <w:r w:rsidR="007A3D4F">
        <w:rPr>
          <w:rFonts w:hint="cs"/>
          <w:rtl/>
        </w:rPr>
        <w:t>ى</w:t>
      </w:r>
      <w:r w:rsidRPr="00781F97">
        <w:rPr>
          <w:rtl/>
        </w:rPr>
        <w:t xml:space="preserve"> لطفليهما، وهما مواطنان كنديان، لكن طلبهما </w:t>
      </w:r>
      <w:r w:rsidRPr="00781F97">
        <w:rPr>
          <w:rFonts w:hint="eastAsia"/>
          <w:rtl/>
        </w:rPr>
        <w:t>هذا</w:t>
      </w:r>
      <w:r w:rsidRPr="00781F97">
        <w:rPr>
          <w:rtl/>
        </w:rPr>
        <w:t xml:space="preserve"> </w:t>
      </w:r>
      <w:r w:rsidRPr="00781F97">
        <w:rPr>
          <w:rFonts w:hint="eastAsia"/>
          <w:rtl/>
        </w:rPr>
        <w:t>رُفض</w:t>
      </w:r>
      <w:r w:rsidRPr="00781F97">
        <w:rPr>
          <w:rtl/>
        </w:rPr>
        <w:t xml:space="preserve"> في 8 آذار/مارس 2017. وقد دفع قرار الدولة الطرف هذا صاحبي البلاغ إلى تقديم طلب إجراء مراجعة قضائية أمام المحكمة الاتحادية (انظر الفقرتين 4-3</w:t>
      </w:r>
      <w:r w:rsidR="00442BF8">
        <w:rPr>
          <w:rtl/>
        </w:rPr>
        <w:t xml:space="preserve"> و</w:t>
      </w:r>
      <w:r w:rsidRPr="00781F97">
        <w:rPr>
          <w:rtl/>
        </w:rPr>
        <w:t xml:space="preserve">5-3). ومع ذلك، </w:t>
      </w:r>
      <w:r w:rsidRPr="00781F97">
        <w:rPr>
          <w:rFonts w:hint="eastAsia"/>
          <w:rtl/>
        </w:rPr>
        <w:t>يعترف</w:t>
      </w:r>
      <w:r w:rsidRPr="00781F97">
        <w:rPr>
          <w:rtl/>
        </w:rPr>
        <w:t xml:space="preserve"> </w:t>
      </w:r>
      <w:r w:rsidRPr="00781F97">
        <w:rPr>
          <w:rFonts w:hint="eastAsia"/>
          <w:rtl/>
        </w:rPr>
        <w:t>صاحبا</w:t>
      </w:r>
      <w:r w:rsidRPr="00781F97">
        <w:rPr>
          <w:rtl/>
        </w:rPr>
        <w:t xml:space="preserve"> </w:t>
      </w:r>
      <w:r w:rsidRPr="00781F97">
        <w:rPr>
          <w:rFonts w:hint="eastAsia"/>
          <w:rtl/>
        </w:rPr>
        <w:t>البلاغ</w:t>
      </w:r>
      <w:r w:rsidRPr="00781F97">
        <w:rPr>
          <w:rtl/>
        </w:rPr>
        <w:t xml:space="preserve"> </w:t>
      </w:r>
      <w:r w:rsidRPr="00781F97">
        <w:rPr>
          <w:rFonts w:hint="eastAsia"/>
          <w:rtl/>
        </w:rPr>
        <w:t>بأنه</w:t>
      </w:r>
      <w:r w:rsidRPr="00781F97">
        <w:rPr>
          <w:rtl/>
        </w:rPr>
        <w:t xml:space="preserve"> </w:t>
      </w:r>
      <w:r w:rsidRPr="00781F97">
        <w:rPr>
          <w:rFonts w:hint="eastAsia"/>
          <w:rtl/>
        </w:rPr>
        <w:t>كانت</w:t>
      </w:r>
      <w:r w:rsidRPr="00781F97">
        <w:rPr>
          <w:rtl/>
        </w:rPr>
        <w:t xml:space="preserve"> </w:t>
      </w:r>
      <w:r w:rsidRPr="00781F97">
        <w:rPr>
          <w:rFonts w:hint="eastAsia"/>
          <w:rtl/>
        </w:rPr>
        <w:t>ل</w:t>
      </w:r>
      <w:r w:rsidRPr="00781F97">
        <w:rPr>
          <w:rFonts w:hint="cs"/>
          <w:rtl/>
        </w:rPr>
        <w:t>دي</w:t>
      </w:r>
      <w:r w:rsidRPr="00781F97">
        <w:rPr>
          <w:rFonts w:hint="eastAsia"/>
          <w:rtl/>
        </w:rPr>
        <w:t>هما</w:t>
      </w:r>
      <w:r w:rsidRPr="00781F97">
        <w:rPr>
          <w:rtl/>
        </w:rPr>
        <w:t xml:space="preserve"> </w:t>
      </w:r>
      <w:r w:rsidRPr="00781F97">
        <w:rPr>
          <w:rFonts w:hint="eastAsia"/>
          <w:rtl/>
        </w:rPr>
        <w:t>فرصة</w:t>
      </w:r>
      <w:r w:rsidRPr="00781F97">
        <w:rPr>
          <w:rtl/>
        </w:rPr>
        <w:t xml:space="preserve"> </w:t>
      </w:r>
      <w:r w:rsidRPr="00781F97">
        <w:rPr>
          <w:rFonts w:hint="eastAsia"/>
          <w:rtl/>
        </w:rPr>
        <w:t>تقديم</w:t>
      </w:r>
      <w:r w:rsidRPr="00781F97">
        <w:rPr>
          <w:rtl/>
        </w:rPr>
        <w:t xml:space="preserve"> </w:t>
      </w:r>
      <w:r w:rsidRPr="00781F97">
        <w:rPr>
          <w:rFonts w:hint="eastAsia"/>
          <w:rtl/>
        </w:rPr>
        <w:t>طلب</w:t>
      </w:r>
      <w:r w:rsidRPr="00781F97">
        <w:rPr>
          <w:rtl/>
        </w:rPr>
        <w:t xml:space="preserve"> إجراء </w:t>
      </w:r>
      <w:r w:rsidRPr="00781F97">
        <w:rPr>
          <w:rFonts w:hint="eastAsia"/>
          <w:rtl/>
        </w:rPr>
        <w:t>مراجعة</w:t>
      </w:r>
      <w:r w:rsidRPr="00781F97">
        <w:rPr>
          <w:rtl/>
        </w:rPr>
        <w:t xml:space="preserve"> قضائية لقرارات رفض طلبهما اللجوء أمام المحكمة الاتحادية الكندية، لكن محاميهما حينها نصحهما بعدم فعل ذلك لأن </w:t>
      </w:r>
      <w:r w:rsidRPr="00781F97">
        <w:rPr>
          <w:rFonts w:hint="eastAsia"/>
          <w:rtl/>
        </w:rPr>
        <w:t>هذا</w:t>
      </w:r>
      <w:r w:rsidRPr="00781F97">
        <w:rPr>
          <w:rtl/>
        </w:rPr>
        <w:t xml:space="preserve"> </w:t>
      </w:r>
      <w:r w:rsidRPr="00781F97">
        <w:rPr>
          <w:rFonts w:hint="eastAsia"/>
          <w:rtl/>
        </w:rPr>
        <w:t>الطلب</w:t>
      </w:r>
      <w:r w:rsidRPr="00781F97">
        <w:rPr>
          <w:rtl/>
        </w:rPr>
        <w:t xml:space="preserve"> كان سيدفع السلطات إلى الشروع في إجراءات ترحيلهما بسبب دخولهما غير القانوني إلى كندا. وفي هذا السياق، تلاحظ اللجنة أن الدولة الطرف ترى أن صاحبي البلاغ البالغين لم يستنفدا جميع سبل الانتصاف المحلية المتاحة لأنهما لم يقدما طلب</w:t>
      </w:r>
      <w:r w:rsidR="00B639C2">
        <w:rPr>
          <w:rtl/>
        </w:rPr>
        <w:t xml:space="preserve">اً </w:t>
      </w:r>
      <w:r w:rsidRPr="00781F97">
        <w:rPr>
          <w:rtl/>
        </w:rPr>
        <w:t>بإجراء مراجعة قضائية للقرار السلبي الصادر من دائرة حماية اللاجئين أو</w:t>
      </w:r>
      <w:r w:rsidR="00DB3D57">
        <w:rPr>
          <w:rFonts w:hint="cs"/>
          <w:rtl/>
        </w:rPr>
        <w:t> </w:t>
      </w:r>
      <w:r w:rsidRPr="00781F97">
        <w:rPr>
          <w:rtl/>
        </w:rPr>
        <w:t xml:space="preserve">القرار السلبي لتقييم المخاطر قبل الترحيل على الرغم من أن هذه الخيارات كانت متاحة لهما. وترى الدولة الطرف أن هذا الطلب سبيل انتصاف فعال كان ينبغي اعتباره من سبل الانتصاف </w:t>
      </w:r>
      <w:r w:rsidRPr="00781F97">
        <w:rPr>
          <w:rtl/>
        </w:rPr>
        <w:lastRenderedPageBreak/>
        <w:t>الفعالة في سياق هذه القضية</w:t>
      </w:r>
      <w:r w:rsidR="000A12A3" w:rsidRPr="000A12A3">
        <w:rPr>
          <w:rStyle w:val="FootnoteReference"/>
          <w:szCs w:val="30"/>
          <w:rtl/>
        </w:rPr>
        <w:t>(</w:t>
      </w:r>
      <w:r w:rsidR="000A12A3" w:rsidRPr="000A12A3">
        <w:rPr>
          <w:rStyle w:val="FootnoteReference"/>
          <w:szCs w:val="30"/>
          <w:rtl/>
        </w:rPr>
        <w:footnoteReference w:id="20"/>
      </w:r>
      <w:r w:rsidR="000A12A3" w:rsidRPr="000A12A3">
        <w:rPr>
          <w:rStyle w:val="FootnoteReference"/>
          <w:szCs w:val="30"/>
          <w:rtl/>
        </w:rPr>
        <w:t>)</w:t>
      </w:r>
      <w:r w:rsidR="003D08A4">
        <w:rPr>
          <w:rFonts w:hint="cs"/>
          <w:rtl/>
        </w:rPr>
        <w:t>.</w:t>
      </w:r>
      <w:r w:rsidRPr="00781F97">
        <w:rPr>
          <w:rtl/>
        </w:rPr>
        <w:t xml:space="preserve"> وعلى نحو ما اعترفت به اللجنة مرارا</w:t>
      </w:r>
      <w:r w:rsidRPr="00781F97">
        <w:rPr>
          <w:rFonts w:hint="eastAsia"/>
          <w:rtl/>
        </w:rPr>
        <w:t>ً،</w:t>
      </w:r>
      <w:r w:rsidRPr="00781F97">
        <w:rPr>
          <w:rtl/>
        </w:rPr>
        <w:t xml:space="preserve"> </w:t>
      </w:r>
      <w:r w:rsidRPr="00781F97">
        <w:rPr>
          <w:rFonts w:hint="eastAsia"/>
          <w:rtl/>
        </w:rPr>
        <w:t>لا</w:t>
      </w:r>
      <w:r w:rsidRPr="00781F97">
        <w:rPr>
          <w:rtl/>
        </w:rPr>
        <w:t xml:space="preserve"> </w:t>
      </w:r>
      <w:r w:rsidRPr="00781F97">
        <w:rPr>
          <w:rFonts w:hint="eastAsia"/>
          <w:rtl/>
        </w:rPr>
        <w:t>ينبغي</w:t>
      </w:r>
      <w:r w:rsidRPr="00781F97">
        <w:rPr>
          <w:rtl/>
        </w:rPr>
        <w:t xml:space="preserve"> </w:t>
      </w:r>
      <w:r w:rsidRPr="00781F97">
        <w:rPr>
          <w:rFonts w:hint="eastAsia"/>
          <w:rtl/>
        </w:rPr>
        <w:t>تحميل</w:t>
      </w:r>
      <w:r w:rsidRPr="00781F97">
        <w:rPr>
          <w:rtl/>
        </w:rPr>
        <w:t xml:space="preserve"> </w:t>
      </w:r>
      <w:r w:rsidRPr="00781F97">
        <w:rPr>
          <w:rFonts w:hint="eastAsia"/>
          <w:rtl/>
        </w:rPr>
        <w:t>الدولة</w:t>
      </w:r>
      <w:r w:rsidRPr="00781F97">
        <w:rPr>
          <w:rtl/>
        </w:rPr>
        <w:t xml:space="preserve"> </w:t>
      </w:r>
      <w:r w:rsidRPr="00781F97">
        <w:rPr>
          <w:rFonts w:hint="eastAsia"/>
          <w:rtl/>
        </w:rPr>
        <w:t>الطرف</w:t>
      </w:r>
      <w:r w:rsidRPr="00781F97">
        <w:rPr>
          <w:rtl/>
        </w:rPr>
        <w:t xml:space="preserve"> </w:t>
      </w:r>
      <w:r w:rsidRPr="00781F97">
        <w:rPr>
          <w:rFonts w:hint="eastAsia"/>
          <w:rtl/>
        </w:rPr>
        <w:t>عموم</w:t>
      </w:r>
      <w:r w:rsidR="00B639C2">
        <w:rPr>
          <w:rFonts w:hint="eastAsia"/>
          <w:rtl/>
        </w:rPr>
        <w:t xml:space="preserve">اً </w:t>
      </w:r>
      <w:r w:rsidRPr="00781F97">
        <w:rPr>
          <w:rFonts w:hint="eastAsia"/>
          <w:rtl/>
        </w:rPr>
        <w:t>مسؤولية</w:t>
      </w:r>
      <w:r w:rsidRPr="00781F97">
        <w:rPr>
          <w:rtl/>
        </w:rPr>
        <w:t xml:space="preserve"> </w:t>
      </w:r>
      <w:r w:rsidRPr="00781F97">
        <w:rPr>
          <w:rFonts w:hint="eastAsia"/>
          <w:rtl/>
        </w:rPr>
        <w:t>خطأ</w:t>
      </w:r>
      <w:r w:rsidRPr="00781F97">
        <w:rPr>
          <w:rtl/>
        </w:rPr>
        <w:t xml:space="preserve"> </w:t>
      </w:r>
      <w:r w:rsidRPr="00781F97">
        <w:rPr>
          <w:rFonts w:hint="eastAsia"/>
          <w:rtl/>
        </w:rPr>
        <w:t>أو</w:t>
      </w:r>
      <w:r w:rsidRPr="00781F97">
        <w:rPr>
          <w:rtl/>
        </w:rPr>
        <w:t xml:space="preserve"> </w:t>
      </w:r>
      <w:r w:rsidRPr="00781F97">
        <w:rPr>
          <w:rFonts w:hint="eastAsia"/>
          <w:rtl/>
        </w:rPr>
        <w:t>سهو</w:t>
      </w:r>
      <w:r w:rsidRPr="00781F97">
        <w:rPr>
          <w:rtl/>
        </w:rPr>
        <w:t xml:space="preserve"> </w:t>
      </w:r>
      <w:r w:rsidRPr="00781F97">
        <w:rPr>
          <w:rFonts w:hint="eastAsia"/>
          <w:rtl/>
        </w:rPr>
        <w:t>المستشارين</w:t>
      </w:r>
      <w:r w:rsidRPr="00781F97">
        <w:rPr>
          <w:rtl/>
        </w:rPr>
        <w:t xml:space="preserve"> </w:t>
      </w:r>
      <w:r w:rsidRPr="00781F97">
        <w:rPr>
          <w:rFonts w:hint="eastAsia"/>
          <w:rtl/>
        </w:rPr>
        <w:t>القانونيين</w:t>
      </w:r>
      <w:r w:rsidRPr="00781F97">
        <w:rPr>
          <w:rtl/>
        </w:rPr>
        <w:t xml:space="preserve"> </w:t>
      </w:r>
      <w:r w:rsidRPr="00781F97">
        <w:rPr>
          <w:rFonts w:hint="eastAsia"/>
          <w:rtl/>
        </w:rPr>
        <w:t>المستقلين</w:t>
      </w:r>
      <w:r w:rsidR="000A12A3" w:rsidRPr="000A12A3">
        <w:rPr>
          <w:rStyle w:val="FootnoteReference"/>
          <w:szCs w:val="30"/>
          <w:rtl/>
        </w:rPr>
        <w:t>(</w:t>
      </w:r>
      <w:r w:rsidR="000A12A3" w:rsidRPr="000A12A3">
        <w:rPr>
          <w:rStyle w:val="FootnoteReference"/>
          <w:szCs w:val="30"/>
          <w:rtl/>
        </w:rPr>
        <w:footnoteReference w:id="21"/>
      </w:r>
      <w:r w:rsidR="000A12A3" w:rsidRPr="000A12A3">
        <w:rPr>
          <w:rStyle w:val="FootnoteReference"/>
          <w:szCs w:val="30"/>
          <w:rtl/>
        </w:rPr>
        <w:t>)</w:t>
      </w:r>
      <w:r w:rsidR="003D08A4">
        <w:rPr>
          <w:rFonts w:hint="cs"/>
          <w:rtl/>
        </w:rPr>
        <w:t>.</w:t>
      </w:r>
      <w:r w:rsidRPr="00781F97">
        <w:rPr>
          <w:rtl/>
        </w:rPr>
        <w:t xml:space="preserve"> وترى اللجنة بناء على ذلك أن أحكام المادة 5</w:t>
      </w:r>
      <w:r w:rsidR="0036107A">
        <w:rPr>
          <w:rtl/>
        </w:rPr>
        <w:t>(</w:t>
      </w:r>
      <w:r w:rsidRPr="00781F97">
        <w:rPr>
          <w:rtl/>
        </w:rPr>
        <w:t>2</w:t>
      </w:r>
      <w:r w:rsidR="0036107A">
        <w:rPr>
          <w:rtl/>
        </w:rPr>
        <w:t>(</w:t>
      </w:r>
      <w:r w:rsidRPr="00781F97">
        <w:rPr>
          <w:rtl/>
        </w:rPr>
        <w:t>ب)) من البروتوكول الاختياري تشكل عقبة تحول دون النظر في هذا البلاغ.</w:t>
      </w:r>
    </w:p>
    <w:p w:rsidR="00FC2980" w:rsidRPr="00781F97" w:rsidRDefault="00FC2980" w:rsidP="00FC2980">
      <w:pPr>
        <w:pStyle w:val="SingleTxtGA"/>
        <w:rPr>
          <w:rtl/>
        </w:rPr>
      </w:pPr>
      <w:r w:rsidRPr="00781F97">
        <w:rPr>
          <w:rFonts w:hint="cs"/>
          <w:rtl/>
        </w:rPr>
        <w:t>7-</w:t>
      </w:r>
      <w:r w:rsidRPr="00781F97">
        <w:rPr>
          <w:rFonts w:hint="cs"/>
          <w:rtl/>
        </w:rPr>
        <w:tab/>
        <w:t>وبناء على ذلك، تقرر اللجنة:</w:t>
      </w:r>
    </w:p>
    <w:p w:rsidR="00FC2980" w:rsidRPr="00781F97" w:rsidRDefault="00FC2980" w:rsidP="00FC2980">
      <w:pPr>
        <w:pStyle w:val="SingleTxtGA"/>
        <w:rPr>
          <w:rtl/>
        </w:rPr>
      </w:pPr>
      <w:r w:rsidRPr="00781F97">
        <w:rPr>
          <w:rFonts w:hint="cs"/>
          <w:rtl/>
        </w:rPr>
        <w:tab/>
        <w:t>(أ)</w:t>
      </w:r>
      <w:r w:rsidR="003D08A4">
        <w:rPr>
          <w:rtl/>
        </w:rPr>
        <w:tab/>
      </w:r>
      <w:r w:rsidRPr="00781F97">
        <w:rPr>
          <w:rFonts w:hint="cs"/>
          <w:rtl/>
        </w:rPr>
        <w:t>أن البلاغ غير مقبول بموجب المادة 5</w:t>
      </w:r>
      <w:r w:rsidR="0036107A">
        <w:rPr>
          <w:rFonts w:hint="cs"/>
          <w:rtl/>
        </w:rPr>
        <w:t>(</w:t>
      </w:r>
      <w:r w:rsidRPr="00781F97">
        <w:rPr>
          <w:rFonts w:hint="cs"/>
          <w:rtl/>
        </w:rPr>
        <w:t>2</w:t>
      </w:r>
      <w:r w:rsidR="0036107A">
        <w:rPr>
          <w:rFonts w:hint="cs"/>
          <w:rtl/>
        </w:rPr>
        <w:t>(</w:t>
      </w:r>
      <w:r w:rsidRPr="00781F97">
        <w:rPr>
          <w:rFonts w:hint="cs"/>
          <w:rtl/>
        </w:rPr>
        <w:t>ب)) من البروتوكول الاختياري؛</w:t>
      </w:r>
    </w:p>
    <w:p w:rsidR="00644A34" w:rsidRDefault="00FC2980" w:rsidP="00FC2980">
      <w:pPr>
        <w:pStyle w:val="SingleTxtGA"/>
        <w:rPr>
          <w:rtl/>
        </w:rPr>
      </w:pPr>
      <w:r w:rsidRPr="00781F97">
        <w:rPr>
          <w:rFonts w:hint="cs"/>
          <w:rtl/>
        </w:rPr>
        <w:tab/>
        <w:t>(ب)</w:t>
      </w:r>
      <w:r w:rsidR="003D08A4">
        <w:rPr>
          <w:rtl/>
        </w:rPr>
        <w:tab/>
      </w:r>
      <w:r w:rsidRPr="00781F97">
        <w:rPr>
          <w:rFonts w:hint="cs"/>
          <w:rtl/>
        </w:rPr>
        <w:t>أن يُبلغ أصحاب البلاغ والدولة الطرف بهذا القرار.</w:t>
      </w:r>
    </w:p>
    <w:p w:rsidR="00B639C2" w:rsidRDefault="00B639C2" w:rsidP="00FC2980">
      <w:pPr>
        <w:pStyle w:val="SingleTxtGA"/>
        <w:rPr>
          <w:rtl/>
        </w:rPr>
        <w:sectPr w:rsidR="00B639C2" w:rsidSect="00F46EE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rsidR="00FC2980" w:rsidRPr="00781F97" w:rsidRDefault="00FC2980" w:rsidP="00644A34">
      <w:pPr>
        <w:pStyle w:val="HChGA"/>
        <w:spacing w:before="120"/>
        <w:rPr>
          <w:rtl/>
        </w:rPr>
      </w:pPr>
      <w:r w:rsidRPr="00781F97">
        <w:rPr>
          <w:rFonts w:hint="cs"/>
          <w:rtl/>
        </w:rPr>
        <w:lastRenderedPageBreak/>
        <w:t>المرفق</w:t>
      </w:r>
    </w:p>
    <w:p w:rsidR="00FC2980" w:rsidRPr="00781F97" w:rsidRDefault="00FC2980" w:rsidP="00644A34">
      <w:pPr>
        <w:pStyle w:val="HChGA"/>
        <w:rPr>
          <w:rtl/>
        </w:rPr>
      </w:pPr>
      <w:r w:rsidRPr="00781F97">
        <w:rPr>
          <w:rFonts w:hint="cs"/>
          <w:rtl/>
        </w:rPr>
        <w:tab/>
      </w:r>
      <w:r w:rsidRPr="00781F97">
        <w:rPr>
          <w:rFonts w:hint="cs"/>
          <w:rtl/>
        </w:rPr>
        <w:tab/>
        <w:t>رأي مشترك (مخالف) لخوسيه مانويل سانتوس بايس وجنتيان زيبيري</w:t>
      </w:r>
    </w:p>
    <w:p w:rsidR="00FC2980" w:rsidRPr="00781F97" w:rsidRDefault="00FC2980" w:rsidP="00FC2980">
      <w:pPr>
        <w:pStyle w:val="SingleTxtGA"/>
        <w:rPr>
          <w:rtl/>
        </w:rPr>
      </w:pPr>
      <w:r w:rsidRPr="00781F97">
        <w:rPr>
          <w:rtl/>
        </w:rPr>
        <w:t>1</w:t>
      </w:r>
      <w:r w:rsidRPr="00781F97">
        <w:rPr>
          <w:rFonts w:hint="cs"/>
          <w:rtl/>
        </w:rPr>
        <w:t>-</w:t>
      </w:r>
      <w:r w:rsidRPr="00781F97">
        <w:rPr>
          <w:rFonts w:hint="cs"/>
          <w:rtl/>
        </w:rPr>
        <w:tab/>
        <w:t>لا نؤيد للأسف قرار اللجنة أن هذا البلاغ غير مقبول (انظر الفقرة 7</w:t>
      </w:r>
      <w:r w:rsidR="001123A3">
        <w:rPr>
          <w:rFonts w:hint="cs"/>
          <w:rtl/>
        </w:rPr>
        <w:t xml:space="preserve"> من القرار</w:t>
      </w:r>
      <w:r w:rsidRPr="00781F97">
        <w:rPr>
          <w:rFonts w:hint="cs"/>
          <w:rtl/>
        </w:rPr>
        <w:t>)، وذلك لأن السلطات الكندية لم تول الاعتبار الكافي لمصالح الطفلين الفضلى في هذه القضية.</w:t>
      </w:r>
    </w:p>
    <w:p w:rsidR="00FC2980" w:rsidRPr="00781F97" w:rsidRDefault="00FC2980" w:rsidP="00FC2980">
      <w:pPr>
        <w:pStyle w:val="SingleTxtGA"/>
        <w:rPr>
          <w:rtl/>
        </w:rPr>
      </w:pPr>
      <w:r w:rsidRPr="00781F97">
        <w:rPr>
          <w:rFonts w:hint="cs"/>
          <w:rtl/>
        </w:rPr>
        <w:t>2-</w:t>
      </w:r>
      <w:r w:rsidRPr="00781F97">
        <w:rPr>
          <w:rFonts w:hint="cs"/>
          <w:rtl/>
        </w:rPr>
        <w:tab/>
        <w:t>صاحبا البلاغ هما السيد هـ. س، والسيدة أ. ك.، وهما مواطنان من الهند وصلا إلى كندا في عام 2008. وهما يتصرفان باسمهما وبالنيابة عن طفليهما القاصرين ج. س. المولود في عام 2009،</w:t>
      </w:r>
      <w:r w:rsidR="00442BF8">
        <w:rPr>
          <w:rFonts w:hint="cs"/>
          <w:rtl/>
        </w:rPr>
        <w:t xml:space="preserve"> و</w:t>
      </w:r>
      <w:r w:rsidRPr="00781F97">
        <w:rPr>
          <w:rFonts w:hint="cs"/>
          <w:rtl/>
        </w:rPr>
        <w:t>ر. ك. المولودة في عام 2010، وهما مواطنان كنديان (انظر الفقرة 1-1).</w:t>
      </w:r>
    </w:p>
    <w:p w:rsidR="00FC2980" w:rsidRPr="00781F97" w:rsidRDefault="00FC2980" w:rsidP="00FC2980">
      <w:pPr>
        <w:pStyle w:val="SingleTxtGA"/>
        <w:rPr>
          <w:rtl/>
        </w:rPr>
      </w:pPr>
      <w:r w:rsidRPr="00781F97">
        <w:rPr>
          <w:rFonts w:hint="cs"/>
          <w:rtl/>
        </w:rPr>
        <w:t>3-</w:t>
      </w:r>
      <w:r w:rsidRPr="00781F97">
        <w:rPr>
          <w:rFonts w:hint="cs"/>
          <w:rtl/>
        </w:rPr>
        <w:tab/>
        <w:t>ر</w:t>
      </w:r>
      <w:r w:rsidRPr="00781F97">
        <w:rPr>
          <w:rFonts w:hint="cs"/>
          <w:rtl/>
          <w:lang w:val="fr-FR"/>
        </w:rPr>
        <w:t>ُ</w:t>
      </w:r>
      <w:r w:rsidRPr="00781F97">
        <w:rPr>
          <w:rFonts w:hint="cs"/>
          <w:rtl/>
        </w:rPr>
        <w:t>فض طلب اللجوء المقدم من صاحبي البلاغ البالغين في عام 2015، ورُفض أيض</w:t>
      </w:r>
      <w:r w:rsidR="00B639C2">
        <w:rPr>
          <w:rFonts w:hint="cs"/>
          <w:rtl/>
        </w:rPr>
        <w:t xml:space="preserve">اً </w:t>
      </w:r>
      <w:r w:rsidRPr="00781F97">
        <w:rPr>
          <w:rFonts w:hint="cs"/>
          <w:rtl/>
        </w:rPr>
        <w:t>طلبهما تقييم المخاطر قبل الترحيل في عام 2016 (انظر الفقرة 2-7). وبالنظر إلى أنهما أُمرا بمغادرة كندا، فقد كان عليهما مغادرة البلد بالفعل لو لم تطلب اللجنة من كندا وقف ترحيلهما أثناء دراستها طلبهما (انظر الفقرة 1-2).</w:t>
      </w:r>
    </w:p>
    <w:p w:rsidR="00FC2980" w:rsidRPr="00781F97" w:rsidRDefault="00FC2980" w:rsidP="00FC2980">
      <w:pPr>
        <w:pStyle w:val="SingleTxtGA"/>
        <w:rPr>
          <w:rtl/>
        </w:rPr>
      </w:pPr>
      <w:r w:rsidRPr="00781F97">
        <w:rPr>
          <w:rtl/>
        </w:rPr>
        <w:t>4</w:t>
      </w:r>
      <w:r w:rsidRPr="00781F97">
        <w:rPr>
          <w:rFonts w:hint="cs"/>
          <w:rtl/>
        </w:rPr>
        <w:t>-</w:t>
      </w:r>
      <w:r w:rsidR="00873AAE">
        <w:rPr>
          <w:rtl/>
        </w:rPr>
        <w:tab/>
      </w:r>
      <w:r w:rsidRPr="00781F97">
        <w:rPr>
          <w:rFonts w:hint="cs"/>
          <w:rtl/>
        </w:rPr>
        <w:t>ترى الدولة الطرف أن ترحيل صاحبي البلاغ البالغين يبدو قراراً محسوماً، لكن مشكلة طفليهما، وهما مواطنان كنديان، لم تؤخذ في الاعتبار على النحو الواجب. فقد اتصلت السلطات الكندية بالفعل مع نظيراتها الهندية من أجل الحصول على وثائق السفر الضرورية لترحيلهما، علماً بأن السلطات الكندية حصلت على تأشيرتين سياحيتين لطفليهما، صالحتين لمدة مائة وثمانين يوماً (انظر الفقرة 2-10).</w:t>
      </w:r>
    </w:p>
    <w:p w:rsidR="00FC2980" w:rsidRPr="00781F97" w:rsidRDefault="00FC2980" w:rsidP="00FC2980">
      <w:pPr>
        <w:pStyle w:val="SingleTxtGA"/>
        <w:rPr>
          <w:rtl/>
        </w:rPr>
      </w:pPr>
      <w:r w:rsidRPr="00781F97">
        <w:rPr>
          <w:rFonts w:hint="cs"/>
          <w:rtl/>
        </w:rPr>
        <w:t>5-</w:t>
      </w:r>
      <w:r w:rsidRPr="00781F97">
        <w:rPr>
          <w:rFonts w:hint="cs"/>
          <w:rtl/>
        </w:rPr>
        <w:tab/>
        <w:t>ومع ذلك، قدم صاحبا البلاغ في تشرين الأول/أكتوبر 2016، طلب</w:t>
      </w:r>
      <w:r w:rsidR="00B639C2">
        <w:rPr>
          <w:rFonts w:hint="cs"/>
          <w:rtl/>
        </w:rPr>
        <w:t xml:space="preserve">اً </w:t>
      </w:r>
      <w:r w:rsidRPr="00781F97">
        <w:rPr>
          <w:rFonts w:hint="cs"/>
          <w:rtl/>
        </w:rPr>
        <w:t>للحصول على الإقامة الدائمة لاعتبارات إنسانية، لا سيما فيما يتعلق بمصالح طفليهما الفضلى. غير أن هذا الإجراء، الذي يستغرق عادة بين ثلاثين واثنين وأربعين شهر</w:t>
      </w:r>
      <w:r w:rsidR="00B639C2">
        <w:rPr>
          <w:rFonts w:hint="cs"/>
          <w:rtl/>
        </w:rPr>
        <w:t>اً،</w:t>
      </w:r>
      <w:r w:rsidRPr="00781F97">
        <w:rPr>
          <w:rFonts w:hint="cs"/>
          <w:rtl/>
        </w:rPr>
        <w:t xml:space="preserve"> لن يمنع ترحيلهما (انظر الفقرة</w:t>
      </w:r>
      <w:r w:rsidR="00873AAE">
        <w:rPr>
          <w:rFonts w:hint="eastAsia"/>
          <w:rtl/>
        </w:rPr>
        <w:t> </w:t>
      </w:r>
      <w:r w:rsidRPr="00781F97">
        <w:rPr>
          <w:rFonts w:hint="cs"/>
          <w:rtl/>
        </w:rPr>
        <w:t>2-8). والغريب في الأمر أن هذا الطلب رُفض بسرعة في آذار/مارس 2017.</w:t>
      </w:r>
    </w:p>
    <w:p w:rsidR="00FC2980" w:rsidRPr="00781F97" w:rsidRDefault="00FC2980" w:rsidP="00FC2980">
      <w:pPr>
        <w:pStyle w:val="SingleTxtGA"/>
        <w:rPr>
          <w:rtl/>
        </w:rPr>
      </w:pPr>
      <w:r w:rsidRPr="00781F97">
        <w:rPr>
          <w:rFonts w:hint="cs"/>
          <w:rtl/>
        </w:rPr>
        <w:t>6-</w:t>
      </w:r>
      <w:r w:rsidRPr="00781F97">
        <w:rPr>
          <w:rFonts w:hint="cs"/>
          <w:rtl/>
        </w:rPr>
        <w:tab/>
        <w:t>وبناء على ذلك، قدم صاحبا البلاغ طلب</w:t>
      </w:r>
      <w:r w:rsidR="00B639C2">
        <w:rPr>
          <w:rFonts w:hint="cs"/>
          <w:rtl/>
        </w:rPr>
        <w:t xml:space="preserve">اً </w:t>
      </w:r>
      <w:r w:rsidRPr="00781F97">
        <w:rPr>
          <w:rFonts w:hint="cs"/>
          <w:rtl/>
        </w:rPr>
        <w:t>لإجراء مراجعة قضائية أمام المحكمة الاتحادية، وهو طلب لا يزال قيد النظر حسب اعتراف كندا (انظر الفقرات 4-3، و5-3، و6-4). وفي هذا الصدد، توصل صاحبا البلاغ والدولة الطرف إلى تسوية خارج المحكمة في تشرين الثاني/نوفمبر 2017 حيث وافقت الدولة الطرف على النظر في الطلب من جديد قبل جلسة الاستماع أمام المحكمة (انظر الفقرة 5-3). ويبدو من كل هذا أن كندا مستعدة للاستمرار في متابعة هذه القضية.</w:t>
      </w:r>
    </w:p>
    <w:p w:rsidR="00FC2980" w:rsidRPr="00781F97" w:rsidRDefault="00FC2980" w:rsidP="00FC2980">
      <w:pPr>
        <w:pStyle w:val="SingleTxtGA"/>
        <w:rPr>
          <w:rtl/>
        </w:rPr>
      </w:pPr>
      <w:r w:rsidRPr="00781F97">
        <w:rPr>
          <w:rFonts w:hint="cs"/>
          <w:rtl/>
        </w:rPr>
        <w:t>7-</w:t>
      </w:r>
      <w:r w:rsidRPr="00781F97">
        <w:rPr>
          <w:rFonts w:hint="cs"/>
          <w:rtl/>
        </w:rPr>
        <w:tab/>
        <w:t>صحيح أنه كان لصاحبي البلاغ إمكانية تقديم طلب إلى المحكمة الاتحادية الكندية لمراجعة قرار رفض طلبهما اللجوء، لكن محاميهما حينها نصحهما بعدم طرق هذا السبيل (انظر الفقرة 2-9).</w:t>
      </w:r>
    </w:p>
    <w:p w:rsidR="00FC2980" w:rsidRPr="00781F97" w:rsidRDefault="00FC2980" w:rsidP="00FC2980">
      <w:pPr>
        <w:pStyle w:val="SingleTxtGA"/>
        <w:rPr>
          <w:rtl/>
        </w:rPr>
      </w:pPr>
      <w:r w:rsidRPr="00781F97">
        <w:rPr>
          <w:rtl/>
        </w:rPr>
        <w:t>8</w:t>
      </w:r>
      <w:r w:rsidRPr="00781F97">
        <w:rPr>
          <w:rFonts w:hint="cs"/>
          <w:rtl/>
        </w:rPr>
        <w:t>-</w:t>
      </w:r>
      <w:r w:rsidRPr="00781F97">
        <w:rPr>
          <w:rFonts w:hint="cs"/>
          <w:rtl/>
        </w:rPr>
        <w:tab/>
        <w:t>وقد حدا هذا الأمر بكندا إلى اعتبار ادعاءات صاحبي البلاغ البالغين غير مقبولة لعدم استنفادهما سبل الانتصاف المحلية (انظر الفقرة 4-3)، ما أسفر عن قرار اللجنة بعدم مقبولية البلاغ (انظر الفقرة 7).</w:t>
      </w:r>
    </w:p>
    <w:p w:rsidR="00FC2980" w:rsidRPr="00781F97" w:rsidRDefault="00FC2980" w:rsidP="00FC2980">
      <w:pPr>
        <w:pStyle w:val="SingleTxtGA"/>
        <w:rPr>
          <w:rtl/>
        </w:rPr>
      </w:pPr>
      <w:r w:rsidRPr="00781F97">
        <w:rPr>
          <w:rFonts w:hint="cs"/>
          <w:rtl/>
        </w:rPr>
        <w:lastRenderedPageBreak/>
        <w:t>9-</w:t>
      </w:r>
      <w:r w:rsidR="00873AAE">
        <w:rPr>
          <w:rtl/>
        </w:rPr>
        <w:tab/>
      </w:r>
      <w:r w:rsidRPr="00781F97">
        <w:rPr>
          <w:rFonts w:hint="cs"/>
          <w:rtl/>
        </w:rPr>
        <w:t>غير أن هذا الاستدلال يستند حصراً إلى سلوك صاحبي البلاغ البالغين. لكن ماذا عن طفليهما؟ هل لهما أن يكونا ضحيتين لخيارات والديهما؟</w:t>
      </w:r>
    </w:p>
    <w:p w:rsidR="00FC2980" w:rsidRPr="00781F97" w:rsidRDefault="00FC2980" w:rsidP="00FC2980">
      <w:pPr>
        <w:pStyle w:val="SingleTxtGA"/>
        <w:rPr>
          <w:rtl/>
        </w:rPr>
      </w:pPr>
      <w:r w:rsidRPr="00781F97">
        <w:rPr>
          <w:rFonts w:hint="cs"/>
          <w:rtl/>
        </w:rPr>
        <w:t>10-</w:t>
      </w:r>
      <w:r w:rsidRPr="00781F97">
        <w:rPr>
          <w:rFonts w:hint="cs"/>
          <w:rtl/>
        </w:rPr>
        <w:tab/>
        <w:t>يبدو أن ترحيل صاحبي البلاغ البالغين، بالنسبة لكندا (انظر الفقرة 4-7)، سيفضي أيض</w:t>
      </w:r>
      <w:r w:rsidR="00B639C2">
        <w:rPr>
          <w:rFonts w:hint="cs"/>
          <w:rtl/>
        </w:rPr>
        <w:t xml:space="preserve">اً </w:t>
      </w:r>
      <w:r w:rsidRPr="00781F97">
        <w:rPr>
          <w:rFonts w:hint="cs"/>
          <w:rtl/>
        </w:rPr>
        <w:t xml:space="preserve">إلى ترحيل طفليهما على الرغم من أنهما مواطنان كنديان على عكس والديهما. ولا يبدو في واقع الأمر ما يشير إلى اتخاذ أي تدبير، على الرغم من أنهما قاصران، لضمان إمكانية </w:t>
      </w:r>
      <w:r w:rsidRPr="00DB3D57">
        <w:rPr>
          <w:rFonts w:hint="cs"/>
          <w:spacing w:val="-2"/>
          <w:rtl/>
        </w:rPr>
        <w:t>بقائهما في كندا، وذلك بالعمل، على وجه الخصوص، على وضعهما تحت الوصاية أو ما يعادلها</w:t>
      </w:r>
      <w:r w:rsidRPr="00781F97">
        <w:rPr>
          <w:rFonts w:hint="cs"/>
          <w:rtl/>
        </w:rPr>
        <w:t xml:space="preserve"> من الترتيبات. وفي هذا الصدد، تكتفي الدولة الطرف بالقول إن مصالح الطفلين قد أُخذت في الاعتبار لأنهما ليسا موضوع أمر الترحيل (انظر الفقرتين 4-4 و4-7).</w:t>
      </w:r>
    </w:p>
    <w:p w:rsidR="00FC2980" w:rsidRPr="00781F97" w:rsidRDefault="00FC2980" w:rsidP="00FC2980">
      <w:pPr>
        <w:pStyle w:val="SingleTxtGA"/>
        <w:rPr>
          <w:rtl/>
        </w:rPr>
      </w:pPr>
      <w:r w:rsidRPr="00781F97">
        <w:rPr>
          <w:rFonts w:hint="cs"/>
          <w:rtl/>
        </w:rPr>
        <w:t>11-</w:t>
      </w:r>
      <w:r w:rsidRPr="00781F97">
        <w:rPr>
          <w:rFonts w:hint="cs"/>
          <w:rtl/>
        </w:rPr>
        <w:tab/>
        <w:t>ومع ذلك، لم توضح الدولة الطرف كيف ستلبي احتياجات الطفلين في حال بقائهما في كندا بعد ترحيل والديهما، ناهيك أنها لم تول الاهتمام الواجب، طوال هذا الإجراء، للروابط الأسرية للشخص المعني في ضوء المادة 23 من العهد (انظر الفقرة 4-7).</w:t>
      </w:r>
    </w:p>
    <w:p w:rsidR="00FC2980" w:rsidRPr="00781F97" w:rsidRDefault="00FC2980" w:rsidP="00FC2980">
      <w:pPr>
        <w:pStyle w:val="SingleTxtGA"/>
        <w:rPr>
          <w:rtl/>
        </w:rPr>
      </w:pPr>
      <w:r w:rsidRPr="00781F97">
        <w:rPr>
          <w:rFonts w:hint="cs"/>
          <w:rtl/>
        </w:rPr>
        <w:t>12-</w:t>
      </w:r>
      <w:r w:rsidR="00873AAE">
        <w:rPr>
          <w:rtl/>
        </w:rPr>
        <w:tab/>
      </w:r>
      <w:r w:rsidRPr="00781F97">
        <w:rPr>
          <w:rFonts w:hint="cs"/>
          <w:rtl/>
        </w:rPr>
        <w:t>ومن شأن الترحيل من كندا، وهو ما سيجبر الطفلين على مصاحبة والديهما إلى بلد غريب بالنسبة لهما وليسا من مواطنيه، أن يشكل تدخلاً في خصوصيتهما وحياتهما الأسرية في انتهاك للمادتين 17 و23 من العهد. وعلاوة على ذلك، وبالنظر إلى أن تأشيرتهما السياحية لزيارة الهند لا تتجاوز مائة وثمانين يوم</w:t>
      </w:r>
      <w:r w:rsidR="00B639C2">
        <w:rPr>
          <w:rFonts w:hint="cs"/>
          <w:rtl/>
        </w:rPr>
        <w:t>اً،</w:t>
      </w:r>
      <w:r w:rsidRPr="00781F97">
        <w:rPr>
          <w:rFonts w:hint="cs"/>
          <w:rtl/>
        </w:rPr>
        <w:t xml:space="preserve"> فمن المرجح أن يجدا نفسيهما في وضع غير مستقر فيما</w:t>
      </w:r>
      <w:r w:rsidR="00873AAE">
        <w:rPr>
          <w:rFonts w:hint="eastAsia"/>
          <w:rtl/>
        </w:rPr>
        <w:t> </w:t>
      </w:r>
      <w:r w:rsidRPr="00781F97">
        <w:rPr>
          <w:rFonts w:hint="cs"/>
          <w:rtl/>
        </w:rPr>
        <w:t xml:space="preserve">يتعلق بوضعهما القانوني في نهاية هذه الفترة، وسيتعين عليهما إما أن ينفصلا عن والديهما للعودة إلى كندا، أو يظلا في الأراضي الهندية بصورة غير قانونية. ومن شأن انفصالهما عن أسرتهما، وهو نتيجة غير مباشرة لأمر الترحيل، أن يترتب عليه ضرر على مصلحتيهما لا يمكن جبره وأن يكون إجراءً تعسفياً (انظر الفقرة 3-3). </w:t>
      </w:r>
    </w:p>
    <w:p w:rsidR="00FC2980" w:rsidRPr="00781F97" w:rsidRDefault="00FC2980" w:rsidP="00FC2980">
      <w:pPr>
        <w:pStyle w:val="SingleTxtGA"/>
        <w:rPr>
          <w:rtl/>
        </w:rPr>
      </w:pPr>
      <w:r w:rsidRPr="00781F97">
        <w:rPr>
          <w:rFonts w:hint="cs"/>
          <w:rtl/>
        </w:rPr>
        <w:t>13-</w:t>
      </w:r>
      <w:r w:rsidRPr="00781F97">
        <w:rPr>
          <w:rFonts w:hint="cs"/>
          <w:rtl/>
        </w:rPr>
        <w:tab/>
        <w:t>ومن شأن ترحيل الأسرة أن يفضي أيض</w:t>
      </w:r>
      <w:r w:rsidR="00B639C2">
        <w:rPr>
          <w:rFonts w:hint="cs"/>
          <w:rtl/>
        </w:rPr>
        <w:t xml:space="preserve">اً </w:t>
      </w:r>
      <w:r w:rsidRPr="00781F97">
        <w:rPr>
          <w:rFonts w:hint="cs"/>
          <w:rtl/>
        </w:rPr>
        <w:t>إلى انتهاك المادة 24 من العهد، لا</w:t>
      </w:r>
      <w:r w:rsidR="00B639C2">
        <w:rPr>
          <w:rFonts w:hint="cs"/>
          <w:rtl/>
        </w:rPr>
        <w:t xml:space="preserve"> </w:t>
      </w:r>
      <w:r w:rsidRPr="00781F97">
        <w:rPr>
          <w:rFonts w:hint="cs"/>
          <w:rtl/>
        </w:rPr>
        <w:t>سيما فيما</w:t>
      </w:r>
      <w:r w:rsidR="00B639C2">
        <w:rPr>
          <w:rFonts w:hint="eastAsia"/>
          <w:rtl/>
        </w:rPr>
        <w:t> </w:t>
      </w:r>
      <w:r w:rsidRPr="00781F97">
        <w:rPr>
          <w:rFonts w:hint="cs"/>
          <w:rtl/>
        </w:rPr>
        <w:t>يتعلق بصحة الطفلين، إذ أن أحدهما يعاني من الربو (انظر الفقرة 3-1)، وهو في حاجة لرعاية صحية وتعليمية خاصتين لا يمكن توفيرهما في الظروف نفسها في مكان آخر غير كندا (انظر الفقرة 3-4). وسيُحرم الطفلان بالفعل من النظام التعليمي الذي تعوَّدا عليه، ومن صحبة أصدقائهما، وسيخضعان لبيئة غريبة تمام</w:t>
      </w:r>
      <w:r w:rsidR="00B639C2">
        <w:rPr>
          <w:rFonts w:hint="cs"/>
          <w:rtl/>
        </w:rPr>
        <w:t xml:space="preserve">اً </w:t>
      </w:r>
      <w:r w:rsidRPr="00781F97">
        <w:rPr>
          <w:rFonts w:hint="cs"/>
          <w:rtl/>
        </w:rPr>
        <w:t xml:space="preserve">بالنسبة لهما. </w:t>
      </w:r>
    </w:p>
    <w:p w:rsidR="00FC2980" w:rsidRPr="00781F97" w:rsidRDefault="00FC2980" w:rsidP="00FC2980">
      <w:pPr>
        <w:pStyle w:val="SingleTxtGA"/>
        <w:rPr>
          <w:rtl/>
        </w:rPr>
      </w:pPr>
      <w:r w:rsidRPr="00781F97">
        <w:rPr>
          <w:rFonts w:hint="cs"/>
          <w:rtl/>
        </w:rPr>
        <w:t>14-</w:t>
      </w:r>
      <w:r w:rsidRPr="00781F97">
        <w:rPr>
          <w:rFonts w:hint="cs"/>
          <w:rtl/>
        </w:rPr>
        <w:tab/>
        <w:t>والمادة 24</w:t>
      </w:r>
      <w:r w:rsidR="0036107A">
        <w:rPr>
          <w:rFonts w:hint="cs"/>
          <w:rtl/>
        </w:rPr>
        <w:t>(</w:t>
      </w:r>
      <w:r w:rsidRPr="00781F97">
        <w:rPr>
          <w:rFonts w:hint="cs"/>
          <w:rtl/>
        </w:rPr>
        <w:t>1) من العهد تنص مع ذلك على أن حماية القاصرين ليست مسؤولية الوالدين فحسب، بل هي مسؤولية الدولة الطرف أيض</w:t>
      </w:r>
      <w:r w:rsidR="00B639C2">
        <w:rPr>
          <w:rFonts w:hint="cs"/>
          <w:rtl/>
        </w:rPr>
        <w:t>اً.</w:t>
      </w:r>
    </w:p>
    <w:p w:rsidR="00FC2980" w:rsidRPr="00781F97" w:rsidRDefault="00FC2980" w:rsidP="00FC2980">
      <w:pPr>
        <w:pStyle w:val="SingleTxtGA"/>
        <w:rPr>
          <w:rtl/>
        </w:rPr>
      </w:pPr>
      <w:r w:rsidRPr="00781F97">
        <w:rPr>
          <w:rFonts w:hint="cs"/>
          <w:rtl/>
        </w:rPr>
        <w:t>15-</w:t>
      </w:r>
      <w:r w:rsidRPr="00781F97">
        <w:rPr>
          <w:rFonts w:hint="cs"/>
          <w:rtl/>
        </w:rPr>
        <w:tab/>
        <w:t>وفصل شخص عن بقية أفراد أسرته، في سياق الترحيل، قد يشكل</w:t>
      </w:r>
      <w:r w:rsidR="000068A3">
        <w:rPr>
          <w:rFonts w:hint="cs"/>
          <w:rtl/>
        </w:rPr>
        <w:t xml:space="preserve"> </w:t>
      </w:r>
      <w:r w:rsidRPr="00781F97">
        <w:rPr>
          <w:rFonts w:hint="cs"/>
          <w:rtl/>
        </w:rPr>
        <w:t>تدخل</w:t>
      </w:r>
      <w:r w:rsidR="00B639C2">
        <w:rPr>
          <w:rFonts w:hint="cs"/>
          <w:rtl/>
        </w:rPr>
        <w:t xml:space="preserve">اً </w:t>
      </w:r>
      <w:r w:rsidRPr="00781F97">
        <w:rPr>
          <w:rFonts w:hint="cs"/>
          <w:rtl/>
        </w:rPr>
        <w:t>تعسفي</w:t>
      </w:r>
      <w:r w:rsidR="00B639C2">
        <w:rPr>
          <w:rFonts w:hint="cs"/>
          <w:rtl/>
        </w:rPr>
        <w:t xml:space="preserve">اً </w:t>
      </w:r>
      <w:r w:rsidRPr="00781F97">
        <w:rPr>
          <w:rFonts w:hint="cs"/>
          <w:rtl/>
        </w:rPr>
        <w:t xml:space="preserve">في شؤون الأسرة إذا كانت آثار الترحيل غير متناسبة مقارنة بأهدافه. </w:t>
      </w:r>
    </w:p>
    <w:p w:rsidR="00FC2980" w:rsidRPr="00781F97" w:rsidRDefault="00FC2980" w:rsidP="00FC2980">
      <w:pPr>
        <w:pStyle w:val="SingleTxtGA"/>
        <w:rPr>
          <w:rtl/>
        </w:rPr>
      </w:pPr>
      <w:r w:rsidRPr="00781F97">
        <w:rPr>
          <w:rFonts w:hint="cs"/>
          <w:rtl/>
        </w:rPr>
        <w:t>16-</w:t>
      </w:r>
      <w:r w:rsidRPr="00781F97">
        <w:rPr>
          <w:rFonts w:hint="cs"/>
          <w:rtl/>
        </w:rPr>
        <w:tab/>
        <w:t>وفيما يتعلق بحالة أسرة يتعين على بعض أعضائها مغادرة أراضي الدولة الطرف بينما للبعض الآخر الحق في البقاء،</w:t>
      </w:r>
      <w:r w:rsidR="000068A3">
        <w:rPr>
          <w:rFonts w:hint="cs"/>
          <w:rtl/>
        </w:rPr>
        <w:t xml:space="preserve"> </w:t>
      </w:r>
      <w:r w:rsidRPr="00781F97">
        <w:rPr>
          <w:rFonts w:hint="cs"/>
          <w:rtl/>
        </w:rPr>
        <w:t>فإن المعايير التي تحدد ما إذا كان التدخل في الحياة الأسرية مبرَّراً موضوعياً أو لا، يجب أن تضع في الاعتبار أهمية المبررات المقدمة من الدولة لترحيل الشخص المعني (انظر في هذا الصدد الفقرة 4-8 حيث يبدو أن الدولة الطرف ترى أن إدانة السيد هـ.</w:t>
      </w:r>
      <w:r w:rsidR="00873AAE">
        <w:rPr>
          <w:rFonts w:hint="eastAsia"/>
          <w:rtl/>
        </w:rPr>
        <w:t> </w:t>
      </w:r>
      <w:r w:rsidRPr="00781F97">
        <w:rPr>
          <w:rFonts w:hint="cs"/>
          <w:rtl/>
        </w:rPr>
        <w:t>س. جنائي</w:t>
      </w:r>
      <w:r w:rsidR="00B639C2">
        <w:rPr>
          <w:rFonts w:hint="cs"/>
          <w:rtl/>
        </w:rPr>
        <w:t xml:space="preserve">اً </w:t>
      </w:r>
      <w:r w:rsidRPr="00781F97">
        <w:rPr>
          <w:rFonts w:hint="cs"/>
          <w:rtl/>
        </w:rPr>
        <w:t>أمر محسوم)، وكذا الوضع غير المستقر الذي ست</w:t>
      </w:r>
      <w:r w:rsidR="001123A3">
        <w:rPr>
          <w:rFonts w:hint="cs"/>
          <w:rtl/>
        </w:rPr>
        <w:t>تعرض له</w:t>
      </w:r>
      <w:r w:rsidRPr="00781F97">
        <w:rPr>
          <w:rFonts w:hint="cs"/>
          <w:rtl/>
        </w:rPr>
        <w:t xml:space="preserve"> الأسرة وأفرادها جراء هذا الترحيل (انظر الفقرة 5-4).</w:t>
      </w:r>
    </w:p>
    <w:p w:rsidR="00FC2980" w:rsidRDefault="00FC2980" w:rsidP="00FC2980">
      <w:pPr>
        <w:pStyle w:val="SingleTxtGA"/>
        <w:rPr>
          <w:rtl/>
        </w:rPr>
      </w:pPr>
      <w:r w:rsidRPr="00781F97">
        <w:rPr>
          <w:rtl/>
        </w:rPr>
        <w:lastRenderedPageBreak/>
        <w:t>17-</w:t>
      </w:r>
      <w:r w:rsidRPr="00781F97">
        <w:rPr>
          <w:rtl/>
        </w:rPr>
        <w:tab/>
      </w:r>
      <w:r w:rsidRPr="00781F97">
        <w:rPr>
          <w:rFonts w:hint="eastAsia"/>
          <w:rtl/>
        </w:rPr>
        <w:t>وفي</w:t>
      </w:r>
      <w:r w:rsidRPr="00781F97">
        <w:rPr>
          <w:rtl/>
        </w:rPr>
        <w:t xml:space="preserve"> </w:t>
      </w:r>
      <w:r w:rsidRPr="00781F97">
        <w:rPr>
          <w:rFonts w:hint="eastAsia"/>
          <w:rtl/>
        </w:rPr>
        <w:t>هذه</w:t>
      </w:r>
      <w:r w:rsidRPr="00781F97">
        <w:rPr>
          <w:rtl/>
        </w:rPr>
        <w:t xml:space="preserve"> </w:t>
      </w:r>
      <w:r w:rsidRPr="00781F97">
        <w:rPr>
          <w:rFonts w:hint="eastAsia"/>
          <w:rtl/>
        </w:rPr>
        <w:t>القضية</w:t>
      </w:r>
      <w:r w:rsidRPr="00781F97">
        <w:rPr>
          <w:rtl/>
        </w:rPr>
        <w:t xml:space="preserve"> </w:t>
      </w:r>
      <w:r w:rsidRPr="00781F97">
        <w:rPr>
          <w:rFonts w:hint="eastAsia"/>
          <w:rtl/>
        </w:rPr>
        <w:t>بالذات،</w:t>
      </w:r>
      <w:r w:rsidRPr="00781F97">
        <w:rPr>
          <w:rtl/>
        </w:rPr>
        <w:t xml:space="preserve"> </w:t>
      </w:r>
      <w:r w:rsidRPr="00781F97">
        <w:rPr>
          <w:rFonts w:hint="eastAsia"/>
          <w:rtl/>
        </w:rPr>
        <w:t>وبالنظر</w:t>
      </w:r>
      <w:r w:rsidRPr="00781F97">
        <w:rPr>
          <w:rtl/>
        </w:rPr>
        <w:t xml:space="preserve"> </w:t>
      </w:r>
      <w:r w:rsidRPr="00781F97">
        <w:rPr>
          <w:rFonts w:hint="eastAsia"/>
          <w:rtl/>
        </w:rPr>
        <w:t>إلى</w:t>
      </w:r>
      <w:r w:rsidRPr="00781F97">
        <w:rPr>
          <w:rtl/>
        </w:rPr>
        <w:t xml:space="preserve"> </w:t>
      </w:r>
      <w:r w:rsidRPr="00781F97">
        <w:rPr>
          <w:rFonts w:hint="eastAsia"/>
          <w:rtl/>
        </w:rPr>
        <w:t>أن</w:t>
      </w:r>
      <w:r w:rsidRPr="00781F97">
        <w:rPr>
          <w:rtl/>
        </w:rPr>
        <w:t xml:space="preserve"> </w:t>
      </w:r>
      <w:r w:rsidRPr="00781F97">
        <w:rPr>
          <w:rFonts w:hint="eastAsia"/>
          <w:rtl/>
        </w:rPr>
        <w:t>الإجراء</w:t>
      </w:r>
      <w:r w:rsidRPr="00781F97">
        <w:rPr>
          <w:rtl/>
        </w:rPr>
        <w:t xml:space="preserve"> </w:t>
      </w:r>
      <w:r w:rsidRPr="00781F97">
        <w:rPr>
          <w:rFonts w:hint="eastAsia"/>
          <w:rtl/>
        </w:rPr>
        <w:t>لا</w:t>
      </w:r>
      <w:r w:rsidRPr="00781F97">
        <w:rPr>
          <w:rtl/>
        </w:rPr>
        <w:t xml:space="preserve"> </w:t>
      </w:r>
      <w:r w:rsidRPr="00781F97">
        <w:rPr>
          <w:rFonts w:hint="eastAsia"/>
          <w:rtl/>
        </w:rPr>
        <w:t>يزال</w:t>
      </w:r>
      <w:r w:rsidRPr="00781F97">
        <w:rPr>
          <w:rtl/>
        </w:rPr>
        <w:t xml:space="preserve"> </w:t>
      </w:r>
      <w:r w:rsidRPr="00781F97">
        <w:rPr>
          <w:rFonts w:hint="eastAsia"/>
          <w:rtl/>
        </w:rPr>
        <w:t>معلقاً،</w:t>
      </w:r>
      <w:r w:rsidRPr="00781F97">
        <w:rPr>
          <w:rtl/>
        </w:rPr>
        <w:t xml:space="preserve"> </w:t>
      </w:r>
      <w:r w:rsidRPr="00781F97">
        <w:rPr>
          <w:rFonts w:hint="eastAsia"/>
          <w:rtl/>
        </w:rPr>
        <w:t>وأن</w:t>
      </w:r>
      <w:r w:rsidRPr="00781F97">
        <w:rPr>
          <w:rtl/>
        </w:rPr>
        <w:t xml:space="preserve"> </w:t>
      </w:r>
      <w:r w:rsidRPr="00781F97">
        <w:rPr>
          <w:rFonts w:hint="eastAsia"/>
          <w:rtl/>
        </w:rPr>
        <w:t>مشكلة</w:t>
      </w:r>
      <w:r w:rsidRPr="00781F97">
        <w:rPr>
          <w:rtl/>
        </w:rPr>
        <w:t xml:space="preserve"> </w:t>
      </w:r>
      <w:r w:rsidRPr="00781F97">
        <w:rPr>
          <w:rFonts w:hint="eastAsia"/>
          <w:rtl/>
        </w:rPr>
        <w:t>الإقامة</w:t>
      </w:r>
      <w:r w:rsidRPr="00781F97">
        <w:rPr>
          <w:rtl/>
        </w:rPr>
        <w:t xml:space="preserve"> </w:t>
      </w:r>
      <w:r w:rsidRPr="00781F97">
        <w:rPr>
          <w:rFonts w:hint="eastAsia"/>
          <w:rtl/>
        </w:rPr>
        <w:t>الدائمة</w:t>
      </w:r>
      <w:r w:rsidRPr="00781F97">
        <w:rPr>
          <w:rtl/>
        </w:rPr>
        <w:t xml:space="preserve"> </w:t>
      </w:r>
      <w:r w:rsidRPr="00781F97">
        <w:rPr>
          <w:rFonts w:hint="eastAsia"/>
          <w:rtl/>
        </w:rPr>
        <w:t>لصاحبي</w:t>
      </w:r>
      <w:r w:rsidRPr="00781F97">
        <w:rPr>
          <w:rtl/>
        </w:rPr>
        <w:t xml:space="preserve"> </w:t>
      </w:r>
      <w:r w:rsidRPr="00781F97">
        <w:rPr>
          <w:rFonts w:hint="eastAsia"/>
          <w:rtl/>
        </w:rPr>
        <w:t>البلاغ</w:t>
      </w:r>
      <w:r w:rsidRPr="00781F97">
        <w:rPr>
          <w:rtl/>
        </w:rPr>
        <w:t xml:space="preserve"> </w:t>
      </w:r>
      <w:r w:rsidRPr="00781F97">
        <w:rPr>
          <w:rFonts w:hint="eastAsia"/>
          <w:rtl/>
        </w:rPr>
        <w:t>البالغين</w:t>
      </w:r>
      <w:r w:rsidRPr="00781F97">
        <w:rPr>
          <w:rtl/>
        </w:rPr>
        <w:t xml:space="preserve"> </w:t>
      </w:r>
      <w:r w:rsidRPr="00781F97">
        <w:rPr>
          <w:rFonts w:hint="eastAsia"/>
          <w:rtl/>
        </w:rPr>
        <w:t>لم</w:t>
      </w:r>
      <w:r w:rsidRPr="00781F97">
        <w:rPr>
          <w:rtl/>
        </w:rPr>
        <w:t xml:space="preserve"> </w:t>
      </w:r>
      <w:r w:rsidRPr="00781F97">
        <w:rPr>
          <w:rFonts w:hint="eastAsia"/>
          <w:rtl/>
        </w:rPr>
        <w:t>يُحسم</w:t>
      </w:r>
      <w:r w:rsidRPr="00781F97">
        <w:rPr>
          <w:rtl/>
        </w:rPr>
        <w:t xml:space="preserve"> </w:t>
      </w:r>
      <w:r w:rsidRPr="00781F97">
        <w:rPr>
          <w:rFonts w:hint="eastAsia"/>
          <w:rtl/>
        </w:rPr>
        <w:t>فيها</w:t>
      </w:r>
      <w:r w:rsidRPr="00781F97">
        <w:rPr>
          <w:rtl/>
        </w:rPr>
        <w:t xml:space="preserve"> </w:t>
      </w:r>
      <w:r w:rsidRPr="00781F97">
        <w:rPr>
          <w:rFonts w:hint="eastAsia"/>
          <w:rtl/>
        </w:rPr>
        <w:t>نهائياً،</w:t>
      </w:r>
      <w:r w:rsidRPr="00781F97">
        <w:rPr>
          <w:rtl/>
        </w:rPr>
        <w:t xml:space="preserve"> ولا تزال هناك إمكانية لمِّ شمل الأسرة (الطفلان، وهما مواطنان كنديان، ووالداهما)، نخلص إلى قرار </w:t>
      </w:r>
      <w:r w:rsidRPr="00781F97">
        <w:rPr>
          <w:rFonts w:hint="eastAsia"/>
          <w:rtl/>
        </w:rPr>
        <w:t>يطلب</w:t>
      </w:r>
      <w:r w:rsidRPr="00781F97">
        <w:rPr>
          <w:rtl/>
        </w:rPr>
        <w:t xml:space="preserve"> إلى كندا تعليق تنفيذ ترحيل صاحبي البلاغ البالغين </w:t>
      </w:r>
      <w:r w:rsidRPr="00781F97">
        <w:rPr>
          <w:rFonts w:hint="eastAsia"/>
          <w:rtl/>
        </w:rPr>
        <w:t>وطلبهما</w:t>
      </w:r>
      <w:r w:rsidRPr="00781F97">
        <w:rPr>
          <w:rtl/>
        </w:rPr>
        <w:t xml:space="preserve"> </w:t>
      </w:r>
      <w:r w:rsidRPr="00781F97">
        <w:rPr>
          <w:rFonts w:hint="eastAsia"/>
          <w:rtl/>
        </w:rPr>
        <w:t>قيد</w:t>
      </w:r>
      <w:r w:rsidRPr="00781F97">
        <w:rPr>
          <w:rtl/>
        </w:rPr>
        <w:t xml:space="preserve"> </w:t>
      </w:r>
      <w:r w:rsidRPr="00781F97">
        <w:rPr>
          <w:rFonts w:hint="eastAsia"/>
          <w:rtl/>
        </w:rPr>
        <w:t>النظر،</w:t>
      </w:r>
      <w:r w:rsidR="000A12A3" w:rsidRPr="000A12A3">
        <w:rPr>
          <w:rStyle w:val="FootnoteReference"/>
          <w:szCs w:val="30"/>
          <w:rtl/>
        </w:rPr>
        <w:t>(</w:t>
      </w:r>
      <w:r w:rsidR="000A12A3" w:rsidRPr="000A12A3">
        <w:rPr>
          <w:rStyle w:val="FootnoteReference"/>
          <w:szCs w:val="30"/>
          <w:rtl/>
        </w:rPr>
        <w:footnoteReference w:id="22"/>
      </w:r>
      <w:r w:rsidR="000A12A3" w:rsidRPr="000A12A3">
        <w:rPr>
          <w:rStyle w:val="FootnoteReference"/>
          <w:szCs w:val="30"/>
          <w:rtl/>
        </w:rPr>
        <w:t>)</w:t>
      </w:r>
      <w:r w:rsidRPr="00781F97">
        <w:rPr>
          <w:rtl/>
        </w:rPr>
        <w:t xml:space="preserve"> و</w:t>
      </w:r>
      <w:r w:rsidRPr="00781F97">
        <w:rPr>
          <w:rFonts w:hint="eastAsia"/>
          <w:rtl/>
        </w:rPr>
        <w:t>ذلك</w:t>
      </w:r>
      <w:r w:rsidRPr="00781F97">
        <w:rPr>
          <w:rtl/>
        </w:rPr>
        <w:t xml:space="preserve"> من أجل الحفاظ على وحدة هذه الأسرة، واحترام المصالح الفضلى للطفلين </w:t>
      </w:r>
      <w:r w:rsidRPr="00781F97">
        <w:rPr>
          <w:rFonts w:hint="eastAsia"/>
          <w:rtl/>
        </w:rPr>
        <w:t>المعنيين</w:t>
      </w:r>
      <w:r w:rsidRPr="00781F97">
        <w:rPr>
          <w:rtl/>
        </w:rPr>
        <w:t>.</w:t>
      </w:r>
    </w:p>
    <w:p w:rsidR="00873AAE" w:rsidRPr="00873AAE" w:rsidRDefault="00873AAE" w:rsidP="00873AAE">
      <w:pPr>
        <w:spacing w:before="120"/>
        <w:jc w:val="center"/>
        <w:rPr>
          <w:u w:val="single"/>
          <w:rtl/>
        </w:rPr>
      </w:pPr>
      <w:r>
        <w:rPr>
          <w:u w:val="single"/>
          <w:rtl/>
        </w:rPr>
        <w:tab/>
      </w:r>
      <w:r>
        <w:rPr>
          <w:u w:val="single"/>
          <w:rtl/>
        </w:rPr>
        <w:tab/>
      </w:r>
      <w:r>
        <w:rPr>
          <w:u w:val="single"/>
          <w:rtl/>
        </w:rPr>
        <w:tab/>
      </w:r>
    </w:p>
    <w:sectPr w:rsidR="00873AAE" w:rsidRPr="00873AAE" w:rsidSect="00644A34">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153" w:rsidRPr="002901D9" w:rsidRDefault="00CE1153" w:rsidP="002901D9">
      <w:pPr>
        <w:spacing w:after="60" w:line="240" w:lineRule="auto"/>
        <w:rPr>
          <w:i/>
          <w:iCs/>
        </w:rPr>
      </w:pPr>
      <w:r>
        <w:rPr>
          <w:rFonts w:hint="cs"/>
          <w:i/>
          <w:iCs/>
          <w:rtl/>
        </w:rPr>
        <w:t>الحواشي</w:t>
      </w:r>
    </w:p>
  </w:endnote>
  <w:endnote w:type="continuationSeparator" w:id="0">
    <w:p w:rsidR="00CE1153" w:rsidRDefault="00CE115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FA0" w:rsidRPr="00EF2C29" w:rsidRDefault="00072307" w:rsidP="00EF2C29">
    <w:pPr>
      <w:pStyle w:val="Footer"/>
      <w:tabs>
        <w:tab w:val="right" w:pos="9598"/>
      </w:tabs>
      <w:rPr>
        <w:sz w:val="17"/>
        <w:lang w:val="en-US"/>
      </w:rPr>
    </w:pPr>
    <w:r>
      <w:rPr>
        <w:sz w:val="17"/>
      </w:rPr>
      <w:t>GE.19-08918</w:t>
    </w:r>
    <w:r>
      <w:rPr>
        <w:sz w:val="17"/>
      </w:rPr>
      <w:tab/>
    </w:r>
    <w:r w:rsidRPr="00072307">
      <w:rPr>
        <w:b/>
        <w:sz w:val="18"/>
      </w:rPr>
      <w:fldChar w:fldCharType="begin"/>
    </w:r>
    <w:r w:rsidRPr="00072307">
      <w:rPr>
        <w:b/>
        <w:sz w:val="18"/>
      </w:rPr>
      <w:instrText xml:space="preserve"> PAGE  \* MERGEFORMAT </w:instrText>
    </w:r>
    <w:r w:rsidRPr="00072307">
      <w:rPr>
        <w:b/>
        <w:sz w:val="18"/>
      </w:rPr>
      <w:fldChar w:fldCharType="separate"/>
    </w:r>
    <w:r>
      <w:rPr>
        <w:b/>
        <w:sz w:val="18"/>
      </w:rPr>
      <w:t>2</w:t>
    </w:r>
    <w:r w:rsidRPr="0007230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FA0" w:rsidRPr="000F0D43" w:rsidRDefault="00072307" w:rsidP="000F0D43">
    <w:pPr>
      <w:pStyle w:val="Footer"/>
      <w:tabs>
        <w:tab w:val="right" w:pos="9599"/>
      </w:tabs>
      <w:jc w:val="left"/>
      <w:rPr>
        <w:b/>
        <w:sz w:val="18"/>
        <w:lang w:val="en-US"/>
      </w:rPr>
    </w:pPr>
    <w:r w:rsidRPr="00072307">
      <w:rPr>
        <w:b/>
        <w:sz w:val="18"/>
        <w:lang w:val="en-US"/>
      </w:rPr>
      <w:fldChar w:fldCharType="begin"/>
    </w:r>
    <w:r w:rsidRPr="00072307">
      <w:rPr>
        <w:b/>
        <w:sz w:val="18"/>
        <w:lang w:val="en-US"/>
      </w:rPr>
      <w:instrText xml:space="preserve"> PAGE  \* MERGEFORMAT </w:instrText>
    </w:r>
    <w:r w:rsidRPr="00072307">
      <w:rPr>
        <w:b/>
        <w:sz w:val="18"/>
        <w:lang w:val="en-US"/>
      </w:rPr>
      <w:fldChar w:fldCharType="separate"/>
    </w:r>
    <w:r w:rsidRPr="00072307">
      <w:rPr>
        <w:b/>
        <w:noProof/>
        <w:sz w:val="18"/>
        <w:lang w:val="en-US"/>
      </w:rPr>
      <w:t>3</w:t>
    </w:r>
    <w:r w:rsidRPr="00072307">
      <w:rPr>
        <w:b/>
        <w:sz w:val="18"/>
        <w:lang w:val="en-US"/>
      </w:rPr>
      <w:fldChar w:fldCharType="end"/>
    </w:r>
    <w:r>
      <w:rPr>
        <w:b/>
        <w:sz w:val="18"/>
        <w:lang w:val="en-US"/>
      </w:rPr>
      <w:tab/>
    </w:r>
    <w:r>
      <w:rPr>
        <w:sz w:val="17"/>
        <w:lang w:val="en-US"/>
      </w:rPr>
      <w:t>GE.19-08918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F46EE1" w:rsidP="00982139">
    <w:pPr>
      <w:pStyle w:val="Footer"/>
      <w:spacing w:before="360"/>
      <w:jc w:val="right"/>
      <w:rPr>
        <w:sz w:val="20"/>
        <w:szCs w:val="20"/>
      </w:rPr>
    </w:pPr>
    <w:r>
      <w:rPr>
        <w:sz w:val="20"/>
        <w:szCs w:val="20"/>
      </w:rPr>
      <w:t>GE.19-08918</w:t>
    </w:r>
    <w:r w:rsidR="00DE50B1">
      <w:rPr>
        <w:noProof/>
        <w:lang w:val="en-US"/>
      </w:rPr>
      <w:drawing>
        <wp:anchor distT="0" distB="0" distL="114300" distR="114300" simplePos="0" relativeHeight="25165926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F46EE1" w:rsidRPr="00F46EE1" w:rsidRDefault="00F46EE1" w:rsidP="00F46EE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5721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153" w:rsidRPr="00CD6530" w:rsidRDefault="00CE1153" w:rsidP="00CD6530">
      <w:pPr>
        <w:pStyle w:val="Footer"/>
        <w:bidi/>
        <w:spacing w:after="80" w:line="200" w:lineRule="exact"/>
        <w:ind w:left="680"/>
      </w:pPr>
      <w:r>
        <w:rPr>
          <w:rtl/>
        </w:rPr>
        <w:t>__________</w:t>
      </w:r>
    </w:p>
  </w:footnote>
  <w:footnote w:type="continuationSeparator" w:id="0">
    <w:p w:rsidR="00CE1153" w:rsidRDefault="00CE1153" w:rsidP="00656392">
      <w:pPr>
        <w:spacing w:line="240" w:lineRule="auto"/>
      </w:pPr>
      <w:r>
        <w:continuationSeparator/>
      </w:r>
    </w:p>
  </w:footnote>
  <w:footnote w:id="1">
    <w:p w:rsidR="002F624C" w:rsidRPr="00B85A55" w:rsidRDefault="002F624C" w:rsidP="002F624C">
      <w:pPr>
        <w:pStyle w:val="FootnoteText1"/>
        <w:rPr>
          <w:rtl/>
        </w:rPr>
      </w:pPr>
      <w:r w:rsidRPr="00B85A55">
        <w:rPr>
          <w:rtl/>
        </w:rPr>
        <w:t>*</w:t>
      </w:r>
      <w:r w:rsidRPr="00B85A55">
        <w:rPr>
          <w:rtl/>
        </w:rPr>
        <w:tab/>
        <w:t>اعتمدته اللجنة في دورتها 125 (٤-٢٩ آذار/مارس ٢٠١٩)</w:t>
      </w:r>
      <w:r w:rsidRPr="00B85A55">
        <w:rPr>
          <w:rFonts w:hint="cs"/>
          <w:rtl/>
        </w:rPr>
        <w:t>.</w:t>
      </w:r>
    </w:p>
  </w:footnote>
  <w:footnote w:id="2">
    <w:p w:rsidR="002F624C" w:rsidRPr="00B85A55" w:rsidRDefault="002F624C" w:rsidP="002F624C">
      <w:pPr>
        <w:pStyle w:val="FootnoteText1"/>
      </w:pPr>
      <w:r w:rsidRPr="00B85A55">
        <w:rPr>
          <w:rtl/>
        </w:rPr>
        <w:t>**</w:t>
      </w:r>
      <w:r w:rsidRPr="00B85A55">
        <w:rPr>
          <w:rtl/>
        </w:rPr>
        <w:tab/>
      </w:r>
      <w:r w:rsidRPr="00B85A55">
        <w:rPr>
          <w:rtl/>
          <w:lang w:eastAsia="zh-TW"/>
        </w:rPr>
        <w:t xml:space="preserve">شارك أعضاء اللجنة التالية أسماؤهم في دراسة هذا البلاغ: تانيا ماريا عبدو </w:t>
      </w:r>
      <w:proofErr w:type="spellStart"/>
      <w:r w:rsidRPr="00B85A55">
        <w:rPr>
          <w:rtl/>
          <w:lang w:eastAsia="zh-TW"/>
        </w:rPr>
        <w:t>روشول</w:t>
      </w:r>
      <w:proofErr w:type="spellEnd"/>
      <w:r w:rsidRPr="00B85A55">
        <w:rPr>
          <w:rtl/>
          <w:lang w:eastAsia="zh-TW"/>
        </w:rPr>
        <w:t xml:space="preserve">، وعياض بن عاشور، </w:t>
      </w:r>
      <w:proofErr w:type="spellStart"/>
      <w:r w:rsidRPr="00B85A55">
        <w:rPr>
          <w:rtl/>
          <w:lang w:eastAsia="zh-TW"/>
        </w:rPr>
        <w:t>و</w:t>
      </w:r>
      <w:r w:rsidR="00E40ECD" w:rsidRPr="00B85A55">
        <w:rPr>
          <w:rFonts w:hint="cs"/>
          <w:rtl/>
          <w:lang w:eastAsia="zh-TW"/>
        </w:rPr>
        <w:t>إلزي</w:t>
      </w:r>
      <w:proofErr w:type="spellEnd"/>
      <w:r w:rsidRPr="00B85A55">
        <w:rPr>
          <w:rtl/>
          <w:lang w:eastAsia="zh-TW"/>
        </w:rPr>
        <w:t xml:space="preserve"> </w:t>
      </w:r>
      <w:proofErr w:type="spellStart"/>
      <w:r w:rsidRPr="00B85A55">
        <w:rPr>
          <w:rtl/>
          <w:lang w:eastAsia="zh-TW"/>
        </w:rPr>
        <w:t>براندز</w:t>
      </w:r>
      <w:proofErr w:type="spellEnd"/>
      <w:r w:rsidRPr="00B85A55">
        <w:rPr>
          <w:rtl/>
          <w:lang w:eastAsia="zh-TW"/>
        </w:rPr>
        <w:t xml:space="preserve"> </w:t>
      </w:r>
      <w:proofErr w:type="spellStart"/>
      <w:r w:rsidRPr="00B85A55">
        <w:rPr>
          <w:rtl/>
          <w:lang w:eastAsia="zh-TW"/>
        </w:rPr>
        <w:t>كيريس</w:t>
      </w:r>
      <w:proofErr w:type="spellEnd"/>
      <w:r w:rsidRPr="00B85A55">
        <w:rPr>
          <w:rtl/>
          <w:lang w:eastAsia="zh-TW"/>
        </w:rPr>
        <w:t xml:space="preserve">، وكريستوفر عارف </w:t>
      </w:r>
      <w:proofErr w:type="spellStart"/>
      <w:r w:rsidRPr="00B85A55">
        <w:rPr>
          <w:rFonts w:hint="cs"/>
          <w:rtl/>
          <w:lang w:eastAsia="zh-TW"/>
        </w:rPr>
        <w:t>ب</w:t>
      </w:r>
      <w:r w:rsidR="00F15F36" w:rsidRPr="00B85A55">
        <w:rPr>
          <w:rFonts w:hint="cs"/>
          <w:rtl/>
          <w:lang w:eastAsia="zh-TW"/>
        </w:rPr>
        <w:t>و</w:t>
      </w:r>
      <w:r w:rsidRPr="00B85A55">
        <w:rPr>
          <w:rFonts w:hint="cs"/>
          <w:rtl/>
          <w:lang w:eastAsia="zh-TW"/>
        </w:rPr>
        <w:t>لكان</w:t>
      </w:r>
      <w:proofErr w:type="spellEnd"/>
      <w:r w:rsidRPr="00B85A55">
        <w:rPr>
          <w:rtl/>
          <w:lang w:eastAsia="zh-TW"/>
        </w:rPr>
        <w:t>، وأحمد أمين فتح الله، و</w:t>
      </w:r>
      <w:r w:rsidR="000B0247" w:rsidRPr="00B85A55">
        <w:rPr>
          <w:rFonts w:hint="cs"/>
          <w:rtl/>
          <w:lang w:eastAsia="zh-TW"/>
        </w:rPr>
        <w:t>ش</w:t>
      </w:r>
      <w:r w:rsidRPr="00B85A55">
        <w:rPr>
          <w:rtl/>
          <w:lang w:eastAsia="zh-TW"/>
        </w:rPr>
        <w:t xml:space="preserve">ويتشي </w:t>
      </w:r>
      <w:proofErr w:type="spellStart"/>
      <w:r w:rsidRPr="00B85A55">
        <w:rPr>
          <w:rtl/>
          <w:lang w:eastAsia="zh-TW"/>
        </w:rPr>
        <w:t>فورويا</w:t>
      </w:r>
      <w:proofErr w:type="spellEnd"/>
      <w:r w:rsidRPr="00B85A55">
        <w:rPr>
          <w:rFonts w:hint="cs"/>
          <w:rtl/>
          <w:lang w:eastAsia="zh-TW"/>
        </w:rPr>
        <w:t>،</w:t>
      </w:r>
      <w:r w:rsidR="00F31D78" w:rsidRPr="00B85A55">
        <w:rPr>
          <w:rFonts w:hint="cs"/>
          <w:rtl/>
          <w:lang w:eastAsia="zh-TW"/>
        </w:rPr>
        <w:t xml:space="preserve"> </w:t>
      </w:r>
      <w:r w:rsidRPr="00B85A55">
        <w:rPr>
          <w:rFonts w:hint="cs"/>
          <w:rtl/>
          <w:lang w:eastAsia="zh-TW"/>
        </w:rPr>
        <w:t>و</w:t>
      </w:r>
      <w:r w:rsidRPr="00B85A55">
        <w:rPr>
          <w:rtl/>
          <w:lang w:eastAsia="zh-TW"/>
        </w:rPr>
        <w:t xml:space="preserve">كريستوف </w:t>
      </w:r>
      <w:proofErr w:type="spellStart"/>
      <w:r w:rsidRPr="00B85A55">
        <w:rPr>
          <w:rFonts w:hint="cs"/>
          <w:rtl/>
          <w:lang w:eastAsia="zh-TW"/>
        </w:rPr>
        <w:t>هاينز</w:t>
      </w:r>
      <w:proofErr w:type="spellEnd"/>
      <w:r w:rsidRPr="00B85A55">
        <w:rPr>
          <w:rtl/>
          <w:lang w:eastAsia="zh-TW"/>
        </w:rPr>
        <w:t xml:space="preserve">، </w:t>
      </w:r>
      <w:proofErr w:type="spellStart"/>
      <w:r w:rsidRPr="00B85A55">
        <w:rPr>
          <w:rtl/>
          <w:lang w:eastAsia="zh-TW"/>
        </w:rPr>
        <w:t>وبام</w:t>
      </w:r>
      <w:r w:rsidR="00F15F36" w:rsidRPr="00B85A55">
        <w:rPr>
          <w:rFonts w:hint="cs"/>
          <w:rtl/>
          <w:lang w:eastAsia="zh-TW"/>
        </w:rPr>
        <w:t>ا</w:t>
      </w:r>
      <w:r w:rsidRPr="00B85A55">
        <w:rPr>
          <w:rtl/>
          <w:lang w:eastAsia="zh-TW"/>
        </w:rPr>
        <w:t>ري</w:t>
      </w:r>
      <w:r w:rsidR="00F15F36" w:rsidRPr="00B85A55">
        <w:rPr>
          <w:rFonts w:hint="cs"/>
          <w:rtl/>
          <w:lang w:eastAsia="zh-TW"/>
        </w:rPr>
        <w:t>ا</w:t>
      </w:r>
      <w:r w:rsidRPr="00B85A55">
        <w:rPr>
          <w:rFonts w:hint="cs"/>
          <w:rtl/>
          <w:lang w:eastAsia="zh-TW"/>
        </w:rPr>
        <w:t>م</w:t>
      </w:r>
      <w:proofErr w:type="spellEnd"/>
      <w:r w:rsidRPr="00B85A55">
        <w:rPr>
          <w:rtl/>
          <w:lang w:eastAsia="zh-TW"/>
        </w:rPr>
        <w:t xml:space="preserve"> كو</w:t>
      </w:r>
      <w:r w:rsidRPr="00B85A55">
        <w:rPr>
          <w:rFonts w:hint="cs"/>
          <w:rtl/>
          <w:lang w:eastAsia="zh-TW"/>
        </w:rPr>
        <w:t>ي</w:t>
      </w:r>
      <w:r w:rsidRPr="00B85A55">
        <w:rPr>
          <w:rtl/>
          <w:lang w:eastAsia="zh-TW"/>
        </w:rPr>
        <w:t xml:space="preserve">تا، </w:t>
      </w:r>
      <w:proofErr w:type="spellStart"/>
      <w:r w:rsidRPr="00B85A55">
        <w:rPr>
          <w:rtl/>
          <w:lang w:eastAsia="zh-TW"/>
        </w:rPr>
        <w:t>ودنكان</w:t>
      </w:r>
      <w:proofErr w:type="spellEnd"/>
      <w:r w:rsidRPr="00B85A55">
        <w:rPr>
          <w:rtl/>
          <w:lang w:eastAsia="zh-TW"/>
        </w:rPr>
        <w:t xml:space="preserve"> </w:t>
      </w:r>
      <w:proofErr w:type="spellStart"/>
      <w:r w:rsidRPr="00B85A55">
        <w:rPr>
          <w:rtl/>
          <w:lang w:eastAsia="zh-TW"/>
        </w:rPr>
        <w:t>لاكي</w:t>
      </w:r>
      <w:proofErr w:type="spellEnd"/>
      <w:r w:rsidRPr="00B85A55">
        <w:rPr>
          <w:rtl/>
          <w:lang w:eastAsia="zh-TW"/>
        </w:rPr>
        <w:t xml:space="preserve"> موهوموزا، وفوتيني بازارت</w:t>
      </w:r>
      <w:r w:rsidRPr="00B85A55">
        <w:rPr>
          <w:rFonts w:hint="cs"/>
          <w:rtl/>
          <w:lang w:eastAsia="zh-TW"/>
        </w:rPr>
        <w:t>ز</w:t>
      </w:r>
      <w:r w:rsidRPr="00B85A55">
        <w:rPr>
          <w:rtl/>
          <w:lang w:eastAsia="zh-TW"/>
        </w:rPr>
        <w:t xml:space="preserve">يس، وهيرنان كيزادا كابريرا، وفاسيلكا سانسين، وخوسيه مانويل سانتوس بايس، ويوفال شاني، وإيلين </w:t>
      </w:r>
      <w:proofErr w:type="spellStart"/>
      <w:r w:rsidRPr="00B85A55">
        <w:rPr>
          <w:rtl/>
          <w:lang w:eastAsia="zh-TW"/>
        </w:rPr>
        <w:t>تيغرودجا</w:t>
      </w:r>
      <w:proofErr w:type="spellEnd"/>
      <w:r w:rsidRPr="00B85A55">
        <w:rPr>
          <w:rtl/>
          <w:lang w:eastAsia="zh-TW"/>
        </w:rPr>
        <w:t xml:space="preserve">، وأندرياس </w:t>
      </w:r>
      <w:proofErr w:type="spellStart"/>
      <w:r w:rsidRPr="00B85A55">
        <w:rPr>
          <w:rtl/>
          <w:lang w:eastAsia="zh-TW"/>
        </w:rPr>
        <w:t>زيمرمان</w:t>
      </w:r>
      <w:proofErr w:type="spellEnd"/>
      <w:r w:rsidRPr="00B85A55">
        <w:rPr>
          <w:rtl/>
          <w:lang w:eastAsia="zh-TW"/>
        </w:rPr>
        <w:t xml:space="preserve">، </w:t>
      </w:r>
      <w:proofErr w:type="spellStart"/>
      <w:r w:rsidRPr="00B85A55">
        <w:rPr>
          <w:rtl/>
          <w:lang w:eastAsia="zh-TW"/>
        </w:rPr>
        <w:t>وج</w:t>
      </w:r>
      <w:r w:rsidR="000B0247" w:rsidRPr="00B85A55">
        <w:rPr>
          <w:rFonts w:hint="cs"/>
          <w:rtl/>
          <w:lang w:eastAsia="zh-TW"/>
        </w:rPr>
        <w:t>ي</w:t>
      </w:r>
      <w:r w:rsidRPr="00B85A55">
        <w:rPr>
          <w:rtl/>
          <w:lang w:eastAsia="zh-TW"/>
        </w:rPr>
        <w:t>نتيان</w:t>
      </w:r>
      <w:proofErr w:type="spellEnd"/>
      <w:r w:rsidRPr="00B85A55">
        <w:rPr>
          <w:rtl/>
          <w:lang w:eastAsia="zh-TW"/>
        </w:rPr>
        <w:t xml:space="preserve"> </w:t>
      </w:r>
      <w:proofErr w:type="spellStart"/>
      <w:r w:rsidRPr="00B85A55">
        <w:rPr>
          <w:rtl/>
          <w:lang w:eastAsia="zh-TW"/>
        </w:rPr>
        <w:t>زيبري</w:t>
      </w:r>
      <w:proofErr w:type="spellEnd"/>
      <w:r w:rsidRPr="00B85A55">
        <w:rPr>
          <w:rFonts w:hint="cs"/>
          <w:rtl/>
        </w:rPr>
        <w:t xml:space="preserve">. وعملاً بالمادة 108 من نظام اللجنة الداخلي، لم </w:t>
      </w:r>
      <w:r w:rsidR="00587451" w:rsidRPr="00B85A55">
        <w:rPr>
          <w:rFonts w:hint="cs"/>
          <w:rtl/>
        </w:rPr>
        <w:t>ت</w:t>
      </w:r>
      <w:r w:rsidRPr="00B85A55">
        <w:rPr>
          <w:rFonts w:hint="cs"/>
          <w:rtl/>
        </w:rPr>
        <w:t>شارك مارسيا ف. ج. كران في دراسة هذا البلاغ.</w:t>
      </w:r>
    </w:p>
  </w:footnote>
  <w:footnote w:id="3">
    <w:p w:rsidR="002F624C" w:rsidRPr="00B85A55" w:rsidRDefault="002F624C" w:rsidP="002F624C">
      <w:pPr>
        <w:pStyle w:val="FootnoteText1"/>
      </w:pPr>
      <w:r w:rsidRPr="00B85A55">
        <w:rPr>
          <w:rtl/>
        </w:rPr>
        <w:t>***</w:t>
      </w:r>
      <w:r w:rsidRPr="00B85A55">
        <w:rPr>
          <w:rtl/>
        </w:rPr>
        <w:tab/>
      </w:r>
      <w:r w:rsidRPr="00B85A55">
        <w:rPr>
          <w:rFonts w:hint="cs"/>
          <w:rtl/>
        </w:rPr>
        <w:t xml:space="preserve">يرد رأي مشترك (مخالف) لخوسيه مانويل سانتوس </w:t>
      </w:r>
      <w:proofErr w:type="spellStart"/>
      <w:r w:rsidRPr="00B85A55">
        <w:rPr>
          <w:rFonts w:hint="cs"/>
          <w:rtl/>
        </w:rPr>
        <w:t>بايس</w:t>
      </w:r>
      <w:proofErr w:type="spellEnd"/>
      <w:r w:rsidRPr="00B85A55">
        <w:rPr>
          <w:rFonts w:hint="cs"/>
          <w:rtl/>
        </w:rPr>
        <w:t xml:space="preserve"> </w:t>
      </w:r>
      <w:proofErr w:type="spellStart"/>
      <w:r w:rsidRPr="00B85A55">
        <w:rPr>
          <w:rFonts w:hint="cs"/>
          <w:rtl/>
        </w:rPr>
        <w:t>وجنتيان</w:t>
      </w:r>
      <w:proofErr w:type="spellEnd"/>
      <w:r w:rsidRPr="00B85A55">
        <w:rPr>
          <w:rFonts w:hint="cs"/>
          <w:rtl/>
        </w:rPr>
        <w:t xml:space="preserve"> </w:t>
      </w:r>
      <w:proofErr w:type="spellStart"/>
      <w:r w:rsidRPr="00B85A55">
        <w:rPr>
          <w:rFonts w:hint="cs"/>
          <w:rtl/>
        </w:rPr>
        <w:t>زيب</w:t>
      </w:r>
      <w:r w:rsidR="005F61C6" w:rsidRPr="00B85A55">
        <w:rPr>
          <w:rFonts w:hint="cs"/>
          <w:rtl/>
        </w:rPr>
        <w:t>ي</w:t>
      </w:r>
      <w:r w:rsidRPr="00B85A55">
        <w:rPr>
          <w:rFonts w:hint="cs"/>
          <w:rtl/>
        </w:rPr>
        <w:t>ري</w:t>
      </w:r>
      <w:proofErr w:type="spellEnd"/>
      <w:r w:rsidRPr="00B85A55">
        <w:rPr>
          <w:rFonts w:hint="cs"/>
          <w:rtl/>
        </w:rPr>
        <w:t xml:space="preserve"> في مرفق هذا القرار. </w:t>
      </w:r>
    </w:p>
  </w:footnote>
  <w:footnote w:id="4">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Pr="00B85A55">
        <w:rPr>
          <w:i/>
          <w:iCs/>
          <w:rtl/>
        </w:rPr>
        <w:tab/>
      </w:r>
      <w:r w:rsidR="000A12A3" w:rsidRPr="00B85A55">
        <w:rPr>
          <w:rFonts w:hint="cs"/>
          <w:i/>
          <w:iCs/>
          <w:spacing w:val="-6"/>
          <w:rtl/>
        </w:rPr>
        <w:t xml:space="preserve">إدواردز ضد </w:t>
      </w:r>
      <w:r w:rsidR="005F61C6" w:rsidRPr="00B85A55">
        <w:rPr>
          <w:rFonts w:hint="cs"/>
          <w:i/>
          <w:iCs/>
          <w:spacing w:val="-6"/>
          <w:rtl/>
        </w:rPr>
        <w:t>جامايكا</w:t>
      </w:r>
      <w:r w:rsidR="000A12A3" w:rsidRPr="00B85A55">
        <w:rPr>
          <w:rFonts w:hint="cs"/>
          <w:i/>
          <w:iCs/>
          <w:rtl/>
        </w:rPr>
        <w:t xml:space="preserve"> </w:t>
      </w:r>
      <w:r w:rsidR="000A12A3" w:rsidRPr="00B85A55">
        <w:rPr>
          <w:rFonts w:hint="cs"/>
          <w:spacing w:val="-10"/>
          <w:rtl/>
        </w:rPr>
        <w:t>(</w:t>
      </w:r>
      <w:r w:rsidR="000A12A3" w:rsidRPr="00B85A55">
        <w:rPr>
          <w:spacing w:val="-10"/>
        </w:rPr>
        <w:t>CCPR/C/60/D/529/1993</w:t>
      </w:r>
      <w:r w:rsidR="000A12A3" w:rsidRPr="00B85A55">
        <w:rPr>
          <w:spacing w:val="-10"/>
          <w:rtl/>
        </w:rPr>
        <w:t>)</w:t>
      </w:r>
      <w:r w:rsidR="000A12A3" w:rsidRPr="00B85A55">
        <w:rPr>
          <w:rFonts w:hint="cs"/>
          <w:spacing w:val="-10"/>
          <w:rtl/>
        </w:rPr>
        <w:t>،</w:t>
      </w:r>
      <w:r w:rsidR="000A12A3" w:rsidRPr="00B85A55">
        <w:rPr>
          <w:rFonts w:hint="cs"/>
          <w:rtl/>
        </w:rPr>
        <w:t xml:space="preserve"> </w:t>
      </w:r>
      <w:r w:rsidR="000A12A3" w:rsidRPr="00B85A55">
        <w:rPr>
          <w:rFonts w:hint="cs"/>
          <w:spacing w:val="-6"/>
          <w:rtl/>
        </w:rPr>
        <w:t xml:space="preserve">الفقرة 5-2، و </w:t>
      </w:r>
      <w:r w:rsidR="000A12A3" w:rsidRPr="00B85A55">
        <w:rPr>
          <w:rFonts w:hint="cs"/>
          <w:i/>
          <w:iCs/>
          <w:spacing w:val="-6"/>
          <w:rtl/>
        </w:rPr>
        <w:t>هنري ضد جامايكا</w:t>
      </w:r>
      <w:r w:rsidR="000A12A3" w:rsidRPr="00B85A55">
        <w:rPr>
          <w:rFonts w:hint="cs"/>
          <w:i/>
          <w:iCs/>
          <w:rtl/>
        </w:rPr>
        <w:t xml:space="preserve"> </w:t>
      </w:r>
      <w:r w:rsidR="000A12A3" w:rsidRPr="00B85A55">
        <w:rPr>
          <w:rFonts w:hint="cs"/>
          <w:spacing w:val="-10"/>
          <w:rtl/>
        </w:rPr>
        <w:t>(</w:t>
      </w:r>
      <w:r w:rsidR="000A12A3" w:rsidRPr="00B85A55">
        <w:rPr>
          <w:spacing w:val="-10"/>
        </w:rPr>
        <w:t>CCPR/C/64/D/610/1995</w:t>
      </w:r>
      <w:r w:rsidR="000A12A3" w:rsidRPr="00B85A55">
        <w:rPr>
          <w:spacing w:val="-10"/>
          <w:rtl/>
        </w:rPr>
        <w:t>)</w:t>
      </w:r>
      <w:r w:rsidR="000A12A3" w:rsidRPr="00B85A55">
        <w:rPr>
          <w:rFonts w:hint="cs"/>
          <w:rtl/>
        </w:rPr>
        <w:t>، الفقرة 7-4.</w:t>
      </w:r>
    </w:p>
  </w:footnote>
  <w:footnote w:id="5">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Pr="00B85A55">
        <w:rPr>
          <w:rtl/>
        </w:rPr>
        <w:tab/>
      </w:r>
      <w:r w:rsidR="000A12A3" w:rsidRPr="00B85A55">
        <w:rPr>
          <w:rFonts w:hint="cs"/>
          <w:rtl/>
        </w:rPr>
        <w:t xml:space="preserve">انظر تعليق اللجنة العام رقم 31(2004) بشأن طبيعة الالتزام القانوني العام المفروض على الدول الأطراف في العهد، الفقرة </w:t>
      </w:r>
      <w:r w:rsidR="00115D11" w:rsidRPr="00B85A55">
        <w:rPr>
          <w:rFonts w:hint="cs"/>
          <w:rtl/>
        </w:rPr>
        <w:t>3</w:t>
      </w:r>
      <w:r w:rsidR="000A12A3" w:rsidRPr="00B85A55">
        <w:rPr>
          <w:rFonts w:hint="cs"/>
          <w:rtl/>
        </w:rPr>
        <w:t xml:space="preserve">. </w:t>
      </w:r>
    </w:p>
  </w:footnote>
  <w:footnote w:id="6">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000A12A3" w:rsidRPr="00B85A55">
        <w:rPr>
          <w:rFonts w:hint="cs"/>
          <w:rtl/>
        </w:rPr>
        <w:tab/>
        <w:t>زائران قانونيان.</w:t>
      </w:r>
      <w:r w:rsidR="000A12A3" w:rsidRPr="00B85A55">
        <w:rPr>
          <w:rFonts w:ascii="Arial" w:hAnsi="Arial" w:cs="Arial" w:hint="cs"/>
          <w:rtl/>
        </w:rPr>
        <w:t>‬</w:t>
      </w:r>
    </w:p>
  </w:footnote>
  <w:footnote w:id="7">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000A12A3" w:rsidRPr="00B85A55">
        <w:rPr>
          <w:rFonts w:hint="cs"/>
          <w:rtl/>
        </w:rPr>
        <w:tab/>
        <w:t>ينص قانون العقوبات الهندي على عقوبة الإعدام في ظروف معينة.</w:t>
      </w:r>
      <w:r w:rsidR="000A12A3" w:rsidRPr="00B85A55">
        <w:rPr>
          <w:rFonts w:ascii="Arial" w:hAnsi="Arial" w:cs="Arial" w:hint="cs"/>
          <w:rtl/>
        </w:rPr>
        <w:t>‬</w:t>
      </w:r>
      <w:r w:rsidR="000A12A3" w:rsidRPr="00B85A55">
        <w:rPr>
          <w:rFonts w:hint="cs"/>
          <w:rtl/>
        </w:rPr>
        <w:t xml:space="preserve"> ومن المرجح مع ذلك ألا يواجه صاحب البلاغ هذه العقوبة إن هو عاد إلى الهند لأن المخالفات المزعومة التي ارتكبها لا يعاقب عليها بالإعدام. </w:t>
      </w:r>
    </w:p>
  </w:footnote>
  <w:footnote w:id="8">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003801F7" w:rsidRPr="00B85A55">
        <w:rPr>
          <w:sz w:val="26"/>
          <w:rtl/>
        </w:rPr>
        <w:tab/>
      </w:r>
      <w:r w:rsidR="000A12A3" w:rsidRPr="00B85A55">
        <w:rPr>
          <w:rFonts w:hint="cs"/>
          <w:rtl/>
        </w:rPr>
        <w:t>تعليق اللجنة العام رقم 16(1988)</w:t>
      </w:r>
      <w:r w:rsidR="00115D11" w:rsidRPr="00B85A55">
        <w:rPr>
          <w:rFonts w:hint="cs"/>
          <w:rtl/>
        </w:rPr>
        <w:t xml:space="preserve"> </w:t>
      </w:r>
      <w:r w:rsidR="000A12A3" w:rsidRPr="00B85A55">
        <w:rPr>
          <w:rFonts w:hint="cs"/>
          <w:rtl/>
        </w:rPr>
        <w:t>بشأن حق الفرد في خصوصيته.</w:t>
      </w:r>
    </w:p>
  </w:footnote>
  <w:footnote w:id="9">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000A12A3" w:rsidRPr="00B85A55">
        <w:rPr>
          <w:rFonts w:hint="cs"/>
          <w:rtl/>
        </w:rPr>
        <w:tab/>
      </w:r>
      <w:r w:rsidR="000A12A3" w:rsidRPr="00B85A55">
        <w:rPr>
          <w:rFonts w:hint="cs"/>
          <w:i/>
          <w:iCs/>
          <w:rtl/>
        </w:rPr>
        <w:t>ستيوارت ضد كندا</w:t>
      </w:r>
      <w:r w:rsidR="000A12A3" w:rsidRPr="00B85A55">
        <w:rPr>
          <w:rFonts w:hint="cs"/>
          <w:rtl/>
        </w:rPr>
        <w:t xml:space="preserve"> (</w:t>
      </w:r>
      <w:r w:rsidR="000A12A3" w:rsidRPr="00B85A55">
        <w:t>CCPR/C/58/D/538/1993</w:t>
      </w:r>
      <w:r w:rsidR="000A12A3" w:rsidRPr="00B85A55">
        <w:rPr>
          <w:rtl/>
        </w:rPr>
        <w:t>)</w:t>
      </w:r>
      <w:r w:rsidR="000A12A3" w:rsidRPr="00B85A55">
        <w:rPr>
          <w:rFonts w:hint="cs"/>
          <w:rtl/>
        </w:rPr>
        <w:t>، الفقرة 12-10.</w:t>
      </w:r>
    </w:p>
  </w:footnote>
  <w:footnote w:id="10">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000A12A3" w:rsidRPr="00B85A55">
        <w:rPr>
          <w:rFonts w:hint="cs"/>
          <w:rtl/>
        </w:rPr>
        <w:tab/>
      </w:r>
      <w:r w:rsidR="000A12A3" w:rsidRPr="00B85A55">
        <w:rPr>
          <w:spacing w:val="-2"/>
        </w:rPr>
        <w:t>.</w:t>
      </w:r>
      <w:r w:rsidR="000A12A3" w:rsidRPr="00B85A55">
        <w:rPr>
          <w:spacing w:val="-2"/>
          <w:lang w:val="fr-FR"/>
        </w:rPr>
        <w:t>Canada, Loi sur l’immigration et la protection des réfugiés, L.C. 2001, ch. 27, art. 36(2)</w:t>
      </w:r>
      <w:r w:rsidR="000A12A3" w:rsidRPr="00B85A55">
        <w:rPr>
          <w:rFonts w:hint="cs"/>
          <w:spacing w:val="-2"/>
          <w:rtl/>
        </w:rPr>
        <w:t xml:space="preserve"> [كندا، قانون </w:t>
      </w:r>
      <w:r w:rsidR="000A12A3" w:rsidRPr="00B85A55">
        <w:rPr>
          <w:rFonts w:hint="cs"/>
          <w:rtl/>
        </w:rPr>
        <w:t>الهجرة وحماية المهاجرين، ل. س. 2001، الفصل 27، المادة 36</w:t>
      </w:r>
      <w:r w:rsidR="00115D11" w:rsidRPr="00B85A55">
        <w:rPr>
          <w:rFonts w:hint="cs"/>
          <w:rtl/>
        </w:rPr>
        <w:t>(2)</w:t>
      </w:r>
      <w:r w:rsidR="000A12A3" w:rsidRPr="00B85A55">
        <w:rPr>
          <w:rFonts w:hint="cs"/>
          <w:rtl/>
          <w:lang w:val="fr-FR"/>
        </w:rPr>
        <w:t>ٍ</w:t>
      </w:r>
      <w:r w:rsidR="00115D11" w:rsidRPr="00B85A55">
        <w:rPr>
          <w:rFonts w:hint="cs"/>
          <w:rtl/>
          <w:lang w:val="fr-FR"/>
        </w:rPr>
        <w:t>]</w:t>
      </w:r>
      <w:r w:rsidR="000A12A3" w:rsidRPr="00B85A55">
        <w:rPr>
          <w:rFonts w:hint="cs"/>
          <w:rtl/>
        </w:rPr>
        <w:t>. متاح على الرابط التالي:</w:t>
      </w:r>
      <w:r w:rsidR="00894E61" w:rsidRPr="00B85A55">
        <w:rPr>
          <w:rtl/>
        </w:rPr>
        <w:tab/>
      </w:r>
      <w:r w:rsidR="001417F4" w:rsidRPr="00B85A55">
        <w:rPr>
          <w:rFonts w:hint="cs"/>
          <w:rtl/>
        </w:rPr>
        <w:t xml:space="preserve"> </w:t>
      </w:r>
      <w:hyperlink r:id="rId1" w:history="1">
        <w:r w:rsidR="001417F4" w:rsidRPr="00B85A55">
          <w:rPr>
            <w:rStyle w:val="Hyperlink"/>
            <w:color w:val="auto"/>
            <w:u w:val="none"/>
          </w:rPr>
          <w:t>https://laws.justice.gc.ca/fra/lois/i-2.5/TexteComplet.html</w:t>
        </w:r>
      </w:hyperlink>
      <w:r w:rsidR="000A12A3" w:rsidRPr="00B85A55">
        <w:rPr>
          <w:rtl/>
        </w:rPr>
        <w:t>.</w:t>
      </w:r>
    </w:p>
  </w:footnote>
  <w:footnote w:id="11">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000A12A3" w:rsidRPr="00B85A55">
        <w:rPr>
          <w:rFonts w:hint="cs"/>
          <w:rtl/>
        </w:rPr>
        <w:tab/>
      </w:r>
      <w:r w:rsidR="000A12A3" w:rsidRPr="00B85A55">
        <w:rPr>
          <w:rFonts w:hint="cs"/>
          <w:i/>
          <w:iCs/>
          <w:rtl/>
        </w:rPr>
        <w:t>شوكوروفا ضد طاجيكستان</w:t>
      </w:r>
      <w:r w:rsidR="001417F4" w:rsidRPr="00B85A55">
        <w:rPr>
          <w:rFonts w:hint="cs"/>
          <w:rtl/>
        </w:rPr>
        <w:t xml:space="preserve"> </w:t>
      </w:r>
      <w:r w:rsidR="000A12A3" w:rsidRPr="00B85A55">
        <w:rPr>
          <w:rFonts w:hint="cs"/>
          <w:rtl/>
        </w:rPr>
        <w:t>(</w:t>
      </w:r>
      <w:r w:rsidR="000A12A3" w:rsidRPr="00B85A55">
        <w:t>CCPR/C/86/D/1044/2002</w:t>
      </w:r>
      <w:r w:rsidR="000A12A3" w:rsidRPr="00B85A55">
        <w:rPr>
          <w:rtl/>
        </w:rPr>
        <w:t>)</w:t>
      </w:r>
      <w:r w:rsidR="000A12A3" w:rsidRPr="00B85A55">
        <w:rPr>
          <w:rFonts w:hint="cs"/>
          <w:rtl/>
        </w:rPr>
        <w:t xml:space="preserve">، الفقرة 6-3، </w:t>
      </w:r>
      <w:proofErr w:type="spellStart"/>
      <w:r w:rsidR="000A12A3" w:rsidRPr="00B85A55">
        <w:rPr>
          <w:rFonts w:hint="cs"/>
          <w:rtl/>
        </w:rPr>
        <w:t>و</w:t>
      </w:r>
      <w:r w:rsidR="000A12A3" w:rsidRPr="00B85A55">
        <w:rPr>
          <w:rFonts w:hint="cs"/>
          <w:i/>
          <w:iCs/>
          <w:rtl/>
        </w:rPr>
        <w:t>فايس</w:t>
      </w:r>
      <w:proofErr w:type="spellEnd"/>
      <w:r w:rsidR="000A12A3" w:rsidRPr="00B85A55">
        <w:rPr>
          <w:rFonts w:hint="cs"/>
          <w:i/>
          <w:iCs/>
          <w:rtl/>
        </w:rPr>
        <w:t xml:space="preserve"> ضد النمسا</w:t>
      </w:r>
      <w:r w:rsidR="001417F4" w:rsidRPr="00B85A55">
        <w:rPr>
          <w:rFonts w:hint="cs"/>
          <w:i/>
          <w:iCs/>
          <w:rtl/>
        </w:rPr>
        <w:t xml:space="preserve"> </w:t>
      </w:r>
      <w:r w:rsidR="000A12A3" w:rsidRPr="00B85A55">
        <w:rPr>
          <w:rFonts w:hint="cs"/>
          <w:rtl/>
        </w:rPr>
        <w:t>(</w:t>
      </w:r>
      <w:r w:rsidR="000A12A3" w:rsidRPr="00B85A55">
        <w:t>CCPR/C/77/D/1086/2002</w:t>
      </w:r>
      <w:r w:rsidR="000A12A3" w:rsidRPr="00B85A55">
        <w:rPr>
          <w:rtl/>
        </w:rPr>
        <w:t>)</w:t>
      </w:r>
      <w:r w:rsidR="000A12A3" w:rsidRPr="00B85A55">
        <w:rPr>
          <w:rFonts w:hint="cs"/>
          <w:rtl/>
        </w:rPr>
        <w:t>، الفقرة 7-2.</w:t>
      </w:r>
    </w:p>
  </w:footnote>
  <w:footnote w:id="12">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Pr="00B85A55">
        <w:rPr>
          <w:rtl/>
        </w:rPr>
        <w:tab/>
      </w:r>
      <w:proofErr w:type="spellStart"/>
      <w:r w:rsidR="007A3D4F" w:rsidRPr="00B85A55">
        <w:rPr>
          <w:rFonts w:hint="cs"/>
          <w:i/>
          <w:iCs/>
          <w:rtl/>
        </w:rPr>
        <w:t>كو</w:t>
      </w:r>
      <w:r w:rsidR="000A12A3" w:rsidRPr="00B85A55">
        <w:rPr>
          <w:rFonts w:hint="cs"/>
          <w:i/>
          <w:iCs/>
          <w:rtl/>
        </w:rPr>
        <w:t>رب</w:t>
      </w:r>
      <w:r w:rsidR="006D0623" w:rsidRPr="00B85A55">
        <w:rPr>
          <w:rFonts w:hint="cs"/>
          <w:i/>
          <w:iCs/>
          <w:rtl/>
        </w:rPr>
        <w:t>و</w:t>
      </w:r>
      <w:r w:rsidR="000A12A3" w:rsidRPr="00B85A55">
        <w:rPr>
          <w:rFonts w:hint="cs"/>
          <w:i/>
          <w:iCs/>
          <w:rtl/>
        </w:rPr>
        <w:t>نوف</w:t>
      </w:r>
      <w:proofErr w:type="spellEnd"/>
      <w:r w:rsidR="000A12A3" w:rsidRPr="00B85A55">
        <w:rPr>
          <w:rFonts w:hint="cs"/>
          <w:i/>
          <w:iCs/>
          <w:rtl/>
        </w:rPr>
        <w:t xml:space="preserve"> ضد </w:t>
      </w:r>
      <w:r w:rsidR="00894E61" w:rsidRPr="00B85A55">
        <w:rPr>
          <w:rFonts w:hint="cs"/>
          <w:i/>
          <w:iCs/>
          <w:rtl/>
        </w:rPr>
        <w:t>طاجيكستان</w:t>
      </w:r>
      <w:r w:rsidR="00B639C2" w:rsidRPr="00B85A55">
        <w:rPr>
          <w:rFonts w:hint="cs"/>
          <w:i/>
          <w:iCs/>
          <w:rtl/>
        </w:rPr>
        <w:t xml:space="preserve"> </w:t>
      </w:r>
      <w:r w:rsidR="000A12A3" w:rsidRPr="00B85A55">
        <w:rPr>
          <w:rFonts w:hint="cs"/>
          <w:rtl/>
        </w:rPr>
        <w:t>(</w:t>
      </w:r>
      <w:r w:rsidR="000A12A3" w:rsidRPr="00B85A55">
        <w:t>CCPR/C/86/D/1208/2003</w:t>
      </w:r>
      <w:r w:rsidR="000A12A3" w:rsidRPr="00B85A55">
        <w:rPr>
          <w:rtl/>
        </w:rPr>
        <w:t>)</w:t>
      </w:r>
      <w:r w:rsidR="000A12A3" w:rsidRPr="00B85A55">
        <w:rPr>
          <w:rFonts w:hint="cs"/>
          <w:rtl/>
        </w:rPr>
        <w:t xml:space="preserve">، الفقرة 6-3. </w:t>
      </w:r>
    </w:p>
  </w:footnote>
  <w:footnote w:id="13">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Pr="00B85A55">
        <w:rPr>
          <w:rtl/>
        </w:rPr>
        <w:tab/>
      </w:r>
      <w:r w:rsidR="000A12A3" w:rsidRPr="00B85A55">
        <w:rPr>
          <w:rFonts w:hint="cs"/>
          <w:i/>
          <w:iCs/>
          <w:rtl/>
        </w:rPr>
        <w:t>ستيوارت ضد كندا</w:t>
      </w:r>
      <w:r w:rsidR="000A12A3" w:rsidRPr="00B85A55">
        <w:rPr>
          <w:rFonts w:hint="cs"/>
          <w:rtl/>
        </w:rPr>
        <w:t xml:space="preserve">، الفقرة 12-10. </w:t>
      </w:r>
    </w:p>
  </w:footnote>
  <w:footnote w:id="14">
    <w:p w:rsidR="000A12A3" w:rsidRPr="00B85A55" w:rsidRDefault="002D11CE" w:rsidP="0038395B">
      <w:pPr>
        <w:pStyle w:val="FootnoteText1"/>
        <w:rPr>
          <w:rFonts w:hint="cs"/>
          <w:rtl/>
        </w:rPr>
      </w:pPr>
      <w:r w:rsidRPr="00B85A55">
        <w:rPr>
          <w:sz w:val="26"/>
          <w:rtl/>
        </w:rPr>
        <w:t>(</w:t>
      </w:r>
      <w:r w:rsidRPr="00B85A55">
        <w:rPr>
          <w:rStyle w:val="FootnoteReference"/>
          <w:sz w:val="26"/>
          <w:szCs w:val="26"/>
          <w:vertAlign w:val="baseline"/>
          <w:rtl/>
        </w:rPr>
        <w:footnoteRef/>
      </w:r>
      <w:r w:rsidRPr="00B85A55">
        <w:rPr>
          <w:sz w:val="26"/>
          <w:rtl/>
        </w:rPr>
        <w:t>)</w:t>
      </w:r>
      <w:r w:rsidRPr="00B85A55">
        <w:rPr>
          <w:i/>
          <w:iCs/>
          <w:rtl/>
        </w:rPr>
        <w:tab/>
      </w:r>
      <w:proofErr w:type="spellStart"/>
      <w:r w:rsidR="000A12A3" w:rsidRPr="00B85A55">
        <w:rPr>
          <w:rFonts w:hint="cs"/>
          <w:i/>
          <w:iCs/>
          <w:rtl/>
        </w:rPr>
        <w:t>بياهورانغا</w:t>
      </w:r>
      <w:proofErr w:type="spellEnd"/>
      <w:r w:rsidR="000A12A3" w:rsidRPr="00B85A55">
        <w:rPr>
          <w:rFonts w:hint="cs"/>
          <w:i/>
          <w:iCs/>
          <w:rtl/>
        </w:rPr>
        <w:t xml:space="preserve"> ضد الدانمرك</w:t>
      </w:r>
      <w:r w:rsidR="007A3D4F" w:rsidRPr="00B85A55">
        <w:rPr>
          <w:rFonts w:hint="cs"/>
          <w:i/>
          <w:iCs/>
          <w:rtl/>
        </w:rPr>
        <w:t xml:space="preserve"> </w:t>
      </w:r>
      <w:r w:rsidR="000A12A3" w:rsidRPr="00B85A55">
        <w:rPr>
          <w:rFonts w:hint="cs"/>
          <w:rtl/>
        </w:rPr>
        <w:t>(</w:t>
      </w:r>
      <w:r w:rsidR="000A12A3" w:rsidRPr="00B85A55">
        <w:t>CCPR/C/82/D/1222/2003</w:t>
      </w:r>
      <w:r w:rsidR="000A12A3" w:rsidRPr="00B85A55">
        <w:rPr>
          <w:rtl/>
        </w:rPr>
        <w:t>)</w:t>
      </w:r>
      <w:r w:rsidR="000A12A3" w:rsidRPr="00B85A55">
        <w:rPr>
          <w:rFonts w:hint="cs"/>
          <w:rtl/>
        </w:rPr>
        <w:t xml:space="preserve">، الفقرة 11-5، </w:t>
      </w:r>
      <w:proofErr w:type="spellStart"/>
      <w:r w:rsidR="000A12A3" w:rsidRPr="00B85A55">
        <w:rPr>
          <w:rFonts w:hint="cs"/>
          <w:i/>
          <w:iCs/>
          <w:rtl/>
        </w:rPr>
        <w:t>مادافيري</w:t>
      </w:r>
      <w:proofErr w:type="spellEnd"/>
      <w:r w:rsidR="000A12A3" w:rsidRPr="00B85A55">
        <w:rPr>
          <w:rFonts w:hint="cs"/>
          <w:i/>
          <w:iCs/>
          <w:rtl/>
        </w:rPr>
        <w:t xml:space="preserve"> وآخرون ضد أستراليا </w:t>
      </w:r>
      <w:r w:rsidR="000A12A3" w:rsidRPr="00B85A55">
        <w:rPr>
          <w:rFonts w:hint="cs"/>
          <w:rtl/>
        </w:rPr>
        <w:t>(</w:t>
      </w:r>
      <w:r w:rsidR="000A12A3" w:rsidRPr="00B85A55">
        <w:t>CCPR/C/81/D/1011/2001</w:t>
      </w:r>
      <w:r w:rsidR="000A12A3" w:rsidRPr="00B85A55">
        <w:rPr>
          <w:rtl/>
        </w:rPr>
        <w:t>)</w:t>
      </w:r>
      <w:r w:rsidR="000A12A3" w:rsidRPr="00B85A55">
        <w:rPr>
          <w:rFonts w:hint="cs"/>
          <w:rtl/>
        </w:rPr>
        <w:t>، الفقرة 9-7، و</w:t>
      </w:r>
      <w:r w:rsidR="000A12A3" w:rsidRPr="00B85A55">
        <w:rPr>
          <w:rFonts w:hint="cs"/>
          <w:i/>
          <w:iCs/>
          <w:rtl/>
        </w:rPr>
        <w:t>ويناتا وآخرون ضد أستراليا</w:t>
      </w:r>
      <w:r w:rsidR="000A12A3" w:rsidRPr="00B85A55">
        <w:rPr>
          <w:rFonts w:hint="cs"/>
          <w:rtl/>
        </w:rPr>
        <w:t xml:space="preserve"> (</w:t>
      </w:r>
      <w:r w:rsidR="000A12A3" w:rsidRPr="00B85A55">
        <w:t>CCPR/C/72/D/930/2000</w:t>
      </w:r>
      <w:r w:rsidR="000A12A3" w:rsidRPr="00B85A55">
        <w:rPr>
          <w:rtl/>
        </w:rPr>
        <w:t>)</w:t>
      </w:r>
      <w:r w:rsidR="000A12A3" w:rsidRPr="00B85A55">
        <w:rPr>
          <w:rFonts w:hint="cs"/>
          <w:rtl/>
        </w:rPr>
        <w:t xml:space="preserve">، الفقرة 7-1. </w:t>
      </w:r>
    </w:p>
  </w:footnote>
  <w:footnote w:id="15">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000A12A3" w:rsidRPr="00B85A55">
        <w:rPr>
          <w:rFonts w:hint="cs"/>
          <w:rtl/>
        </w:rPr>
        <w:tab/>
      </w:r>
      <w:proofErr w:type="spellStart"/>
      <w:r w:rsidR="000A12A3" w:rsidRPr="00B85A55">
        <w:rPr>
          <w:rFonts w:hint="cs"/>
          <w:i/>
          <w:iCs/>
          <w:rtl/>
        </w:rPr>
        <w:t>كانيبا</w:t>
      </w:r>
      <w:proofErr w:type="spellEnd"/>
      <w:r w:rsidR="000A12A3" w:rsidRPr="00B85A55">
        <w:rPr>
          <w:rFonts w:hint="cs"/>
          <w:i/>
          <w:iCs/>
          <w:rtl/>
        </w:rPr>
        <w:t xml:space="preserve"> ضد كندا</w:t>
      </w:r>
      <w:r w:rsidR="000A12A3" w:rsidRPr="00B85A55">
        <w:rPr>
          <w:rFonts w:hint="cs"/>
          <w:rtl/>
        </w:rPr>
        <w:t xml:space="preserve"> (</w:t>
      </w:r>
      <w:r w:rsidR="007A3D4F" w:rsidRPr="00B85A55">
        <w:rPr>
          <w:lang w:val="es-ES_tradnl"/>
        </w:rPr>
        <w:t>CCPR/C/59/D/558/1993</w:t>
      </w:r>
      <w:r w:rsidR="000A12A3" w:rsidRPr="00B85A55">
        <w:rPr>
          <w:rtl/>
        </w:rPr>
        <w:t>)</w:t>
      </w:r>
      <w:r w:rsidR="000A12A3" w:rsidRPr="00B85A55">
        <w:rPr>
          <w:rFonts w:hint="cs"/>
          <w:rtl/>
        </w:rPr>
        <w:t xml:space="preserve">، الفقرة 11-4. </w:t>
      </w:r>
    </w:p>
  </w:footnote>
  <w:footnote w:id="16">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000A12A3" w:rsidRPr="00B85A55">
        <w:rPr>
          <w:rFonts w:hint="cs"/>
          <w:rtl/>
        </w:rPr>
        <w:tab/>
      </w:r>
      <w:r w:rsidR="000A12A3" w:rsidRPr="00B85A55">
        <w:rPr>
          <w:rFonts w:hint="cs"/>
          <w:i/>
          <w:iCs/>
          <w:rtl/>
        </w:rPr>
        <w:t>ستيوارت ضد كندا</w:t>
      </w:r>
      <w:r w:rsidR="000A12A3" w:rsidRPr="00B85A55">
        <w:rPr>
          <w:rFonts w:hint="cs"/>
          <w:rtl/>
        </w:rPr>
        <w:t>، الفقرة 12-10.</w:t>
      </w:r>
    </w:p>
  </w:footnote>
  <w:footnote w:id="17">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000A12A3" w:rsidRPr="00B85A55">
        <w:rPr>
          <w:rFonts w:hint="cs"/>
          <w:rtl/>
        </w:rPr>
        <w:tab/>
      </w:r>
      <w:r w:rsidR="000A12A3" w:rsidRPr="00B85A55">
        <w:rPr>
          <w:rFonts w:hint="cs"/>
          <w:i/>
          <w:iCs/>
          <w:rtl/>
        </w:rPr>
        <w:t>مادافيري وآخرون ضد أستراليا</w:t>
      </w:r>
      <w:r w:rsidR="000A12A3" w:rsidRPr="00B85A55">
        <w:rPr>
          <w:rFonts w:hint="cs"/>
          <w:rtl/>
        </w:rPr>
        <w:t>، الفقرة 9-8، و</w:t>
      </w:r>
      <w:r w:rsidR="000A12A3" w:rsidRPr="00B85A55">
        <w:rPr>
          <w:rFonts w:hint="cs"/>
          <w:i/>
          <w:iCs/>
          <w:rtl/>
        </w:rPr>
        <w:t>بياهورانغا ضد الدانمرك</w:t>
      </w:r>
      <w:r w:rsidR="000A12A3" w:rsidRPr="00B85A55">
        <w:rPr>
          <w:rFonts w:hint="cs"/>
          <w:rtl/>
        </w:rPr>
        <w:t>، الفقرة 11-7.</w:t>
      </w:r>
    </w:p>
  </w:footnote>
  <w:footnote w:id="18">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000A12A3" w:rsidRPr="00B85A55">
        <w:rPr>
          <w:rFonts w:hint="cs"/>
          <w:rtl/>
        </w:rPr>
        <w:tab/>
      </w:r>
      <w:r w:rsidR="000A12A3" w:rsidRPr="00B85A55">
        <w:rPr>
          <w:rFonts w:hint="cs"/>
          <w:i/>
          <w:iCs/>
          <w:rtl/>
        </w:rPr>
        <w:t>ويناتا وآخرون ضد أستراليا</w:t>
      </w:r>
      <w:r w:rsidR="000A12A3" w:rsidRPr="00B85A55">
        <w:rPr>
          <w:rFonts w:hint="cs"/>
          <w:rtl/>
        </w:rPr>
        <w:t xml:space="preserve">، الفقرة 7-3. </w:t>
      </w:r>
    </w:p>
  </w:footnote>
  <w:footnote w:id="19">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000A12A3" w:rsidRPr="00B85A55">
        <w:rPr>
          <w:rFonts w:hint="cs"/>
          <w:rtl/>
        </w:rPr>
        <w:tab/>
        <w:t xml:space="preserve">انظر </w:t>
      </w:r>
      <w:r w:rsidR="000A12A3" w:rsidRPr="00B85A55">
        <w:rPr>
          <w:rFonts w:hint="cs"/>
          <w:i/>
          <w:iCs/>
          <w:rtl/>
        </w:rPr>
        <w:t>وارسامي ضد كندا</w:t>
      </w:r>
      <w:r w:rsidR="00B639C2" w:rsidRPr="00B85A55">
        <w:rPr>
          <w:rFonts w:hint="cs"/>
          <w:rtl/>
        </w:rPr>
        <w:t xml:space="preserve"> </w:t>
      </w:r>
      <w:r w:rsidR="000A12A3" w:rsidRPr="00B85A55">
        <w:rPr>
          <w:rFonts w:hint="cs"/>
          <w:rtl/>
        </w:rPr>
        <w:t>(</w:t>
      </w:r>
      <w:r w:rsidR="000A12A3" w:rsidRPr="00B85A55">
        <w:t>CCPR/C/102/D/1959/2010</w:t>
      </w:r>
      <w:r w:rsidR="000A12A3" w:rsidRPr="00B85A55">
        <w:rPr>
          <w:rtl/>
        </w:rPr>
        <w:t>)</w:t>
      </w:r>
      <w:r w:rsidR="000A12A3" w:rsidRPr="00B85A55">
        <w:rPr>
          <w:rFonts w:hint="cs"/>
          <w:rtl/>
        </w:rPr>
        <w:t xml:space="preserve">، الفقرة 7-4، و </w:t>
      </w:r>
      <w:r w:rsidR="000A12A3" w:rsidRPr="00B85A55">
        <w:rPr>
          <w:rFonts w:hint="cs"/>
          <w:i/>
          <w:iCs/>
          <w:rtl/>
        </w:rPr>
        <w:t>ب. ل. ضد ألمانيا</w:t>
      </w:r>
      <w:r w:rsidR="003D08A4" w:rsidRPr="00B85A55">
        <w:rPr>
          <w:rFonts w:hint="cs"/>
          <w:i/>
          <w:iCs/>
          <w:rtl/>
        </w:rPr>
        <w:t xml:space="preserve"> </w:t>
      </w:r>
      <w:r w:rsidR="000A12A3" w:rsidRPr="00B85A55">
        <w:rPr>
          <w:rFonts w:hint="cs"/>
          <w:rtl/>
        </w:rPr>
        <w:t>(</w:t>
      </w:r>
      <w:r w:rsidR="000A12A3" w:rsidRPr="00B85A55">
        <w:t>CCPR/C/79/D/1003/2001</w:t>
      </w:r>
      <w:r w:rsidR="000A12A3" w:rsidRPr="00B85A55">
        <w:rPr>
          <w:rtl/>
        </w:rPr>
        <w:t>)</w:t>
      </w:r>
      <w:r w:rsidR="000A12A3" w:rsidRPr="00B85A55">
        <w:rPr>
          <w:rFonts w:hint="cs"/>
          <w:rtl/>
        </w:rPr>
        <w:t>، الفقرة 6-5.</w:t>
      </w:r>
    </w:p>
  </w:footnote>
  <w:footnote w:id="20">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000A12A3" w:rsidRPr="00B85A55">
        <w:rPr>
          <w:rFonts w:hint="cs"/>
          <w:rtl/>
        </w:rPr>
        <w:tab/>
      </w:r>
      <w:r w:rsidR="000A12A3" w:rsidRPr="00B85A55">
        <w:rPr>
          <w:rFonts w:hint="cs"/>
          <w:i/>
          <w:iCs/>
          <w:spacing w:val="-3"/>
          <w:rtl/>
        </w:rPr>
        <w:t xml:space="preserve">شودهاري وآخرون ضد كندا </w:t>
      </w:r>
      <w:r w:rsidR="000A12A3" w:rsidRPr="00B85A55">
        <w:rPr>
          <w:rFonts w:hint="cs"/>
          <w:spacing w:val="-3"/>
          <w:rtl/>
        </w:rPr>
        <w:t>(</w:t>
      </w:r>
      <w:r w:rsidR="000A12A3" w:rsidRPr="00B85A55">
        <w:rPr>
          <w:spacing w:val="-3"/>
        </w:rPr>
        <w:t>CCPR/C/109/D/1898/2009</w:t>
      </w:r>
      <w:r w:rsidR="000A12A3" w:rsidRPr="00B85A55">
        <w:rPr>
          <w:spacing w:val="-3"/>
          <w:rtl/>
        </w:rPr>
        <w:t>)</w:t>
      </w:r>
      <w:r w:rsidR="000A12A3" w:rsidRPr="00B85A55">
        <w:rPr>
          <w:rFonts w:hint="cs"/>
          <w:spacing w:val="-3"/>
          <w:rtl/>
        </w:rPr>
        <w:t xml:space="preserve">، الفقرة 8-3، </w:t>
      </w:r>
      <w:proofErr w:type="spellStart"/>
      <w:r w:rsidR="000A12A3" w:rsidRPr="00B85A55">
        <w:rPr>
          <w:rFonts w:hint="cs"/>
          <w:spacing w:val="-3"/>
          <w:rtl/>
        </w:rPr>
        <w:t>و</w:t>
      </w:r>
      <w:r w:rsidR="000A12A3" w:rsidRPr="00B85A55">
        <w:rPr>
          <w:rFonts w:hint="cs"/>
          <w:i/>
          <w:iCs/>
          <w:spacing w:val="-3"/>
          <w:rtl/>
        </w:rPr>
        <w:t>وارسامي</w:t>
      </w:r>
      <w:proofErr w:type="spellEnd"/>
      <w:r w:rsidR="000A12A3" w:rsidRPr="00B85A55">
        <w:rPr>
          <w:rFonts w:hint="cs"/>
          <w:i/>
          <w:iCs/>
          <w:spacing w:val="-3"/>
          <w:rtl/>
        </w:rPr>
        <w:t xml:space="preserve"> ضد كندا</w:t>
      </w:r>
      <w:r w:rsidR="000A12A3" w:rsidRPr="00B85A55">
        <w:rPr>
          <w:rFonts w:hint="cs"/>
          <w:spacing w:val="-3"/>
          <w:rtl/>
        </w:rPr>
        <w:t xml:space="preserve">، الفقرة 7-4. </w:t>
      </w:r>
      <w:r w:rsidR="000A12A3" w:rsidRPr="00B85A55">
        <w:rPr>
          <w:rFonts w:hint="cs"/>
          <w:rtl/>
        </w:rPr>
        <w:t>انظر أيضا</w:t>
      </w:r>
      <w:r w:rsidR="00DB3D57" w:rsidRPr="00B85A55">
        <w:rPr>
          <w:rFonts w:hint="cs"/>
          <w:rtl/>
        </w:rPr>
        <w:t>ً</w:t>
      </w:r>
      <w:r w:rsidR="000A12A3" w:rsidRPr="00B85A55">
        <w:rPr>
          <w:rFonts w:hint="cs"/>
          <w:rtl/>
        </w:rPr>
        <w:t xml:space="preserve"> </w:t>
      </w:r>
      <w:proofErr w:type="spellStart"/>
      <w:r w:rsidR="000A12A3" w:rsidRPr="00B85A55">
        <w:rPr>
          <w:rFonts w:hint="cs"/>
          <w:i/>
          <w:iCs/>
          <w:rtl/>
        </w:rPr>
        <w:t>شوديندي</w:t>
      </w:r>
      <w:proofErr w:type="spellEnd"/>
      <w:r w:rsidR="000A12A3" w:rsidRPr="00B85A55">
        <w:rPr>
          <w:rFonts w:hint="cs"/>
          <w:i/>
          <w:iCs/>
          <w:rtl/>
        </w:rPr>
        <w:t xml:space="preserve"> ضد كندا</w:t>
      </w:r>
      <w:r w:rsidR="00B639C2" w:rsidRPr="00B85A55">
        <w:rPr>
          <w:rFonts w:hint="cs"/>
          <w:i/>
          <w:iCs/>
          <w:rtl/>
        </w:rPr>
        <w:t xml:space="preserve"> </w:t>
      </w:r>
      <w:r w:rsidR="000A12A3" w:rsidRPr="00B85A55">
        <w:rPr>
          <w:rFonts w:hint="cs"/>
          <w:rtl/>
        </w:rPr>
        <w:t>(</w:t>
      </w:r>
      <w:r w:rsidR="00DB3D57" w:rsidRPr="00B85A55">
        <w:rPr>
          <w:lang w:val="fr-FR"/>
        </w:rPr>
        <w:t>CAT/C/63/D/621/2014</w:t>
      </w:r>
      <w:r w:rsidR="000A12A3" w:rsidRPr="00B85A55">
        <w:rPr>
          <w:rtl/>
        </w:rPr>
        <w:t>)</w:t>
      </w:r>
      <w:r w:rsidR="000A12A3" w:rsidRPr="00B85A55">
        <w:rPr>
          <w:rFonts w:hint="cs"/>
          <w:rtl/>
        </w:rPr>
        <w:t>، من الفقرة 6-5 إلى 7، و</w:t>
      </w:r>
      <w:r w:rsidR="000A12A3" w:rsidRPr="00B85A55">
        <w:rPr>
          <w:rFonts w:hint="cs"/>
          <w:i/>
          <w:iCs/>
          <w:rtl/>
        </w:rPr>
        <w:t>ناكاووندي ضد كندا</w:t>
      </w:r>
      <w:r w:rsidRPr="00B85A55">
        <w:rPr>
          <w:rFonts w:hint="cs"/>
          <w:i/>
          <w:iCs/>
          <w:rtl/>
        </w:rPr>
        <w:t xml:space="preserve"> </w:t>
      </w:r>
      <w:r w:rsidR="000A12A3" w:rsidRPr="00B85A55">
        <w:rPr>
          <w:rFonts w:hint="cs"/>
          <w:rtl/>
        </w:rPr>
        <w:t>(</w:t>
      </w:r>
      <w:r w:rsidR="000A12A3" w:rsidRPr="00B85A55">
        <w:t>CAT/C/64/D/615/2014</w:t>
      </w:r>
      <w:r w:rsidR="000A12A3" w:rsidRPr="00B85A55">
        <w:rPr>
          <w:rtl/>
        </w:rPr>
        <w:t>)</w:t>
      </w:r>
      <w:r w:rsidR="000A12A3" w:rsidRPr="00B85A55">
        <w:rPr>
          <w:rFonts w:hint="cs"/>
          <w:rtl/>
        </w:rPr>
        <w:t xml:space="preserve">، من الفقرة 6-6 إلى 6-9. </w:t>
      </w:r>
    </w:p>
  </w:footnote>
  <w:footnote w:id="21">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Pr="00B85A55">
        <w:rPr>
          <w:i/>
          <w:iCs/>
          <w:rtl/>
        </w:rPr>
        <w:tab/>
      </w:r>
      <w:r w:rsidR="000A12A3" w:rsidRPr="00B85A55">
        <w:rPr>
          <w:rFonts w:hint="cs"/>
          <w:i/>
          <w:iCs/>
          <w:rtl/>
        </w:rPr>
        <w:t>إدواردز ضد جامايكا</w:t>
      </w:r>
      <w:r w:rsidR="000A12A3" w:rsidRPr="00B85A55">
        <w:rPr>
          <w:rFonts w:hint="cs"/>
          <w:rtl/>
        </w:rPr>
        <w:t>، الفقرة 5-2؛ و</w:t>
      </w:r>
      <w:r w:rsidR="000A12A3" w:rsidRPr="00B85A55">
        <w:rPr>
          <w:rFonts w:hint="cs"/>
          <w:i/>
          <w:iCs/>
          <w:rtl/>
        </w:rPr>
        <w:t>هنري ضد جامايكا</w:t>
      </w:r>
      <w:r w:rsidR="000A12A3" w:rsidRPr="00B85A55">
        <w:rPr>
          <w:rFonts w:hint="cs"/>
          <w:b/>
          <w:bCs/>
          <w:rtl/>
        </w:rPr>
        <w:t>،</w:t>
      </w:r>
      <w:r w:rsidR="000A12A3" w:rsidRPr="00B85A55">
        <w:rPr>
          <w:rFonts w:hint="cs"/>
          <w:rtl/>
        </w:rPr>
        <w:t xml:space="preserve"> الفقرة 7-4.</w:t>
      </w:r>
    </w:p>
  </w:footnote>
  <w:footnote w:id="22">
    <w:p w:rsidR="000A12A3" w:rsidRPr="00B85A55" w:rsidRDefault="002D11CE" w:rsidP="0038395B">
      <w:pPr>
        <w:pStyle w:val="FootnoteText1"/>
        <w:rPr>
          <w:rtl/>
        </w:rPr>
      </w:pPr>
      <w:r w:rsidRPr="00B85A55">
        <w:rPr>
          <w:sz w:val="26"/>
          <w:rtl/>
        </w:rPr>
        <w:t>(</w:t>
      </w:r>
      <w:r w:rsidRPr="00B85A55">
        <w:rPr>
          <w:rStyle w:val="FootnoteReference"/>
          <w:sz w:val="26"/>
          <w:szCs w:val="26"/>
          <w:vertAlign w:val="baseline"/>
          <w:rtl/>
        </w:rPr>
        <w:footnoteRef/>
      </w:r>
      <w:r w:rsidRPr="00B85A55">
        <w:rPr>
          <w:sz w:val="26"/>
          <w:rtl/>
        </w:rPr>
        <w:t>)</w:t>
      </w:r>
      <w:r w:rsidRPr="00B85A55">
        <w:rPr>
          <w:i/>
          <w:iCs/>
          <w:rtl/>
        </w:rPr>
        <w:tab/>
      </w:r>
      <w:r w:rsidR="000A12A3" w:rsidRPr="00B85A55">
        <w:rPr>
          <w:rFonts w:hint="cs"/>
          <w:i/>
          <w:iCs/>
          <w:rtl/>
        </w:rPr>
        <w:t>ناكاووندي ضد كندا</w:t>
      </w:r>
      <w:r w:rsidR="000A12A3" w:rsidRPr="00B85A55">
        <w:rPr>
          <w:rFonts w:hint="cs"/>
          <w:rtl/>
        </w:rPr>
        <w:t xml:space="preserve"> (</w:t>
      </w:r>
      <w:r w:rsidR="000A12A3" w:rsidRPr="00B85A55">
        <w:t>CAT/C/64/D/615/2014</w:t>
      </w:r>
      <w:r w:rsidR="000A12A3" w:rsidRPr="00B85A55">
        <w:rPr>
          <w:rtl/>
        </w:rPr>
        <w:t>)</w:t>
      </w:r>
      <w:r w:rsidR="000A12A3" w:rsidRPr="00B85A55">
        <w:rPr>
          <w:rFonts w:hint="cs"/>
          <w:rtl/>
        </w:rPr>
        <w:t>، الفقرة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FA0" w:rsidRDefault="00072307" w:rsidP="00EF2C29">
    <w:pPr>
      <w:pStyle w:val="Header"/>
      <w:jc w:val="right"/>
    </w:pPr>
    <w:r w:rsidRPr="00072307">
      <w:t>CCPR/C/125/D/2948/2017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FA0" w:rsidRDefault="00072307" w:rsidP="000F0D43">
    <w:pPr>
      <w:pStyle w:val="Header"/>
      <w:jc w:val="left"/>
    </w:pPr>
    <w:r w:rsidRPr="00072307">
      <w:t>CCPR/C/125/D/2948/2017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attachedTemplate r:id="rId1"/>
  <w:defaultTabStop w:val="567"/>
  <w:evenAndOddHeaders/>
  <w:characterSpacingControl w:val="doNotCompress"/>
  <w:hdrShapeDefaults>
    <o:shapedefaults v:ext="edit" spidmax="1638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CE1153"/>
    <w:rsid w:val="000068A3"/>
    <w:rsid w:val="000076D5"/>
    <w:rsid w:val="00043663"/>
    <w:rsid w:val="000437B8"/>
    <w:rsid w:val="000505CF"/>
    <w:rsid w:val="00072307"/>
    <w:rsid w:val="000A12A3"/>
    <w:rsid w:val="000B0247"/>
    <w:rsid w:val="000D701C"/>
    <w:rsid w:val="000E2A71"/>
    <w:rsid w:val="000F0D43"/>
    <w:rsid w:val="001123A3"/>
    <w:rsid w:val="00115D11"/>
    <w:rsid w:val="001417F4"/>
    <w:rsid w:val="00160263"/>
    <w:rsid w:val="00181F96"/>
    <w:rsid w:val="001A1371"/>
    <w:rsid w:val="001B346A"/>
    <w:rsid w:val="001E1CAD"/>
    <w:rsid w:val="001E290D"/>
    <w:rsid w:val="002144FA"/>
    <w:rsid w:val="0023469A"/>
    <w:rsid w:val="00243C8A"/>
    <w:rsid w:val="00267A0E"/>
    <w:rsid w:val="0027187A"/>
    <w:rsid w:val="0028068C"/>
    <w:rsid w:val="002901D9"/>
    <w:rsid w:val="002976C2"/>
    <w:rsid w:val="002D11CE"/>
    <w:rsid w:val="002F624C"/>
    <w:rsid w:val="003260FF"/>
    <w:rsid w:val="00343D95"/>
    <w:rsid w:val="0036107A"/>
    <w:rsid w:val="00363A18"/>
    <w:rsid w:val="00374341"/>
    <w:rsid w:val="003801F7"/>
    <w:rsid w:val="0038395B"/>
    <w:rsid w:val="003B6E7D"/>
    <w:rsid w:val="003D08A4"/>
    <w:rsid w:val="003D1062"/>
    <w:rsid w:val="003E3E5C"/>
    <w:rsid w:val="0040694F"/>
    <w:rsid w:val="00420D7B"/>
    <w:rsid w:val="00442BF8"/>
    <w:rsid w:val="00450B21"/>
    <w:rsid w:val="00453B63"/>
    <w:rsid w:val="00455780"/>
    <w:rsid w:val="004B0A1C"/>
    <w:rsid w:val="004D298E"/>
    <w:rsid w:val="00517BC9"/>
    <w:rsid w:val="0054472E"/>
    <w:rsid w:val="00550E3C"/>
    <w:rsid w:val="005662A9"/>
    <w:rsid w:val="005827D4"/>
    <w:rsid w:val="00587451"/>
    <w:rsid w:val="0059622A"/>
    <w:rsid w:val="005C5878"/>
    <w:rsid w:val="005C7CEA"/>
    <w:rsid w:val="005D3C0B"/>
    <w:rsid w:val="005E5217"/>
    <w:rsid w:val="005F0FA4"/>
    <w:rsid w:val="005F30EE"/>
    <w:rsid w:val="005F61C6"/>
    <w:rsid w:val="0060473A"/>
    <w:rsid w:val="00644A34"/>
    <w:rsid w:val="00652A74"/>
    <w:rsid w:val="00656392"/>
    <w:rsid w:val="0068781D"/>
    <w:rsid w:val="006959B0"/>
    <w:rsid w:val="006A02D9"/>
    <w:rsid w:val="006B3E27"/>
    <w:rsid w:val="006B6507"/>
    <w:rsid w:val="006C104C"/>
    <w:rsid w:val="006D0623"/>
    <w:rsid w:val="00733704"/>
    <w:rsid w:val="00740CD6"/>
    <w:rsid w:val="00770DE2"/>
    <w:rsid w:val="0078071A"/>
    <w:rsid w:val="00781F97"/>
    <w:rsid w:val="00783C7A"/>
    <w:rsid w:val="00787E1E"/>
    <w:rsid w:val="007A3D4F"/>
    <w:rsid w:val="00852A9A"/>
    <w:rsid w:val="00873AAE"/>
    <w:rsid w:val="00894E61"/>
    <w:rsid w:val="008C56BC"/>
    <w:rsid w:val="008D2092"/>
    <w:rsid w:val="008F49E1"/>
    <w:rsid w:val="0090370F"/>
    <w:rsid w:val="009269D2"/>
    <w:rsid w:val="00942135"/>
    <w:rsid w:val="009521B0"/>
    <w:rsid w:val="00982139"/>
    <w:rsid w:val="009867A8"/>
    <w:rsid w:val="009A7E9F"/>
    <w:rsid w:val="009E5018"/>
    <w:rsid w:val="00A12B37"/>
    <w:rsid w:val="00A33C5F"/>
    <w:rsid w:val="00A4039E"/>
    <w:rsid w:val="00A52BBF"/>
    <w:rsid w:val="00A70873"/>
    <w:rsid w:val="00AB6758"/>
    <w:rsid w:val="00AC7688"/>
    <w:rsid w:val="00B13763"/>
    <w:rsid w:val="00B477A4"/>
    <w:rsid w:val="00B54045"/>
    <w:rsid w:val="00B639C2"/>
    <w:rsid w:val="00B85A55"/>
    <w:rsid w:val="00B86E78"/>
    <w:rsid w:val="00BA1FBA"/>
    <w:rsid w:val="00C438D7"/>
    <w:rsid w:val="00C81B50"/>
    <w:rsid w:val="00CB6622"/>
    <w:rsid w:val="00CD1801"/>
    <w:rsid w:val="00CD6530"/>
    <w:rsid w:val="00CD7134"/>
    <w:rsid w:val="00CE1153"/>
    <w:rsid w:val="00CF65C6"/>
    <w:rsid w:val="00D10EF1"/>
    <w:rsid w:val="00D42810"/>
    <w:rsid w:val="00D50C03"/>
    <w:rsid w:val="00D914A7"/>
    <w:rsid w:val="00DB3D57"/>
    <w:rsid w:val="00DD13C3"/>
    <w:rsid w:val="00DD596E"/>
    <w:rsid w:val="00DD621E"/>
    <w:rsid w:val="00DE50B1"/>
    <w:rsid w:val="00DF0575"/>
    <w:rsid w:val="00E15FA0"/>
    <w:rsid w:val="00E40ECD"/>
    <w:rsid w:val="00E46262"/>
    <w:rsid w:val="00E70E04"/>
    <w:rsid w:val="00EC05A7"/>
    <w:rsid w:val="00EC4B6B"/>
    <w:rsid w:val="00ED7442"/>
    <w:rsid w:val="00EF1EE5"/>
    <w:rsid w:val="00EF2C29"/>
    <w:rsid w:val="00F15F36"/>
    <w:rsid w:val="00F31D78"/>
    <w:rsid w:val="00F46EE1"/>
    <w:rsid w:val="00F763B4"/>
    <w:rsid w:val="00F857CC"/>
    <w:rsid w:val="00F900C3"/>
    <w:rsid w:val="00FC2980"/>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0814229"/>
  <w15:docId w15:val="{F4AD90EB-C240-47E9-99CB-8B2B71C6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 number,ftref,Footnotes refss,Style 10,referencia nota al pie,BVI fnr,Footnote text,4_Footnote text,callout,Fago Fußnotenzeichen,16 Point,Superscript 6 Point,Footnote,Footnote symbol,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857CC"/>
    <w:pPr>
      <w:keepNext/>
      <w:tabs>
        <w:tab w:val="right" w:pos="1021"/>
      </w:tabs>
      <w:spacing w:before="240" w:after="240" w:line="380" w:lineRule="exact"/>
      <w:ind w:left="1247" w:right="1247" w:hanging="1247"/>
    </w:pPr>
    <w:rPr>
      <w:b/>
      <w:bCs/>
      <w:lang w:eastAsia="ar-SA"/>
    </w:rPr>
  </w:style>
  <w:style w:type="paragraph" w:customStyle="1" w:styleId="H4GA">
    <w:name w:val="_ H_4_GA"/>
    <w:basedOn w:val="Normal"/>
    <w:next w:val="Normal"/>
    <w:qFormat/>
    <w:rsid w:val="00A52BBF"/>
    <w:pPr>
      <w:keepNext/>
      <w:keepLines/>
      <w:tabs>
        <w:tab w:val="right" w:pos="1021"/>
      </w:tabs>
      <w:suppressAutoHyphens/>
      <w:spacing w:before="240" w:after="24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FC2980"/>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Theme="minorHAnsi" w:cs="Arial"/>
      <w:b/>
      <w:sz w:val="28"/>
      <w:szCs w:val="20"/>
      <w:lang w:val="fr-CH"/>
    </w:rPr>
  </w:style>
  <w:style w:type="paragraph" w:customStyle="1" w:styleId="H1G">
    <w:name w:val="_ H_1_G"/>
    <w:basedOn w:val="Normal"/>
    <w:next w:val="Normal"/>
    <w:link w:val="H1GChar"/>
    <w:qFormat/>
    <w:rsid w:val="00FC2980"/>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Theme="minorHAnsi" w:cs="Arial"/>
      <w:b/>
      <w:sz w:val="24"/>
      <w:szCs w:val="20"/>
      <w:lang w:val="fr-CH"/>
    </w:rPr>
  </w:style>
  <w:style w:type="paragraph" w:customStyle="1" w:styleId="H23G">
    <w:name w:val="_ H_2/3_G"/>
    <w:basedOn w:val="Normal"/>
    <w:next w:val="Normal"/>
    <w:link w:val="H23GChar"/>
    <w:qFormat/>
    <w:rsid w:val="00FC2980"/>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Arial"/>
      <w:b/>
      <w:szCs w:val="20"/>
      <w:lang w:val="fr-CH"/>
    </w:rPr>
  </w:style>
  <w:style w:type="paragraph" w:customStyle="1" w:styleId="H4G">
    <w:name w:val="_ H_4_G"/>
    <w:basedOn w:val="Normal"/>
    <w:next w:val="Normal"/>
    <w:qFormat/>
    <w:rsid w:val="00FC2980"/>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Arial"/>
      <w:i/>
      <w:szCs w:val="20"/>
      <w:lang w:val="fr-CH"/>
    </w:rPr>
  </w:style>
  <w:style w:type="paragraph" w:customStyle="1" w:styleId="SingleTxtG">
    <w:name w:val="_ Single Txt_G"/>
    <w:basedOn w:val="Normal"/>
    <w:link w:val="SingleTxtGChar"/>
    <w:qFormat/>
    <w:rsid w:val="00FC2980"/>
    <w:pPr>
      <w:suppressAutoHyphens/>
      <w:kinsoku w:val="0"/>
      <w:overflowPunct w:val="0"/>
      <w:autoSpaceDE w:val="0"/>
      <w:autoSpaceDN w:val="0"/>
      <w:bidi w:val="0"/>
      <w:adjustRightInd w:val="0"/>
      <w:snapToGrid w:val="0"/>
      <w:spacing w:after="120"/>
      <w:ind w:left="1134" w:right="1134"/>
      <w:jc w:val="both"/>
    </w:pPr>
    <w:rPr>
      <w:rFonts w:eastAsiaTheme="minorHAnsi" w:cs="Arial"/>
      <w:szCs w:val="20"/>
      <w:lang w:val="fr-CH"/>
    </w:rPr>
  </w:style>
  <w:style w:type="character" w:customStyle="1" w:styleId="HChGChar">
    <w:name w:val="_ H _Ch_G Char"/>
    <w:link w:val="HChG"/>
    <w:locked/>
    <w:rsid w:val="00FC2980"/>
    <w:rPr>
      <w:rFonts w:ascii="Times New Roman" w:eastAsiaTheme="minorHAnsi" w:hAnsi="Times New Roman" w:cs="Arial"/>
      <w:b/>
      <w:sz w:val="28"/>
      <w:szCs w:val="20"/>
      <w:lang w:val="fr-CH"/>
    </w:rPr>
  </w:style>
  <w:style w:type="character" w:customStyle="1" w:styleId="H1GChar">
    <w:name w:val="_ H_1_G Char"/>
    <w:link w:val="H1G"/>
    <w:locked/>
    <w:rsid w:val="00FC2980"/>
    <w:rPr>
      <w:rFonts w:ascii="Times New Roman" w:eastAsiaTheme="minorHAnsi" w:hAnsi="Times New Roman" w:cs="Arial"/>
      <w:b/>
      <w:sz w:val="24"/>
      <w:szCs w:val="20"/>
      <w:lang w:val="fr-CH"/>
    </w:rPr>
  </w:style>
  <w:style w:type="character" w:customStyle="1" w:styleId="H23GChar">
    <w:name w:val="_ H_2/3_G Char"/>
    <w:link w:val="H23G"/>
    <w:locked/>
    <w:rsid w:val="00FC2980"/>
    <w:rPr>
      <w:rFonts w:ascii="Times New Roman" w:eastAsiaTheme="minorHAnsi" w:hAnsi="Times New Roman" w:cs="Arial"/>
      <w:b/>
      <w:sz w:val="20"/>
      <w:szCs w:val="20"/>
      <w:lang w:val="fr-CH"/>
    </w:rPr>
  </w:style>
  <w:style w:type="character" w:customStyle="1" w:styleId="SingleTxtGChar">
    <w:name w:val="_ Single Txt_G Char"/>
    <w:link w:val="SingleTxtG"/>
    <w:rsid w:val="00FC2980"/>
    <w:rPr>
      <w:rFonts w:ascii="Times New Roman" w:eastAsiaTheme="minorHAnsi" w:hAnsi="Times New Roman" w:cs="Arial"/>
      <w:sz w:val="20"/>
      <w:szCs w:val="20"/>
      <w:lang w:val="fr-CH"/>
    </w:rPr>
  </w:style>
  <w:style w:type="character" w:styleId="Hyperlink">
    <w:name w:val="Hyperlink"/>
    <w:basedOn w:val="DefaultParagraphFont"/>
    <w:uiPriority w:val="99"/>
    <w:unhideWhenUsed/>
    <w:rsid w:val="001417F4"/>
    <w:rPr>
      <w:color w:val="0000FF" w:themeColor="hyperlink"/>
      <w:u w:val="single"/>
    </w:rPr>
  </w:style>
  <w:style w:type="character" w:styleId="UnresolvedMention">
    <w:name w:val="Unresolved Mention"/>
    <w:basedOn w:val="DefaultParagraphFont"/>
    <w:uiPriority w:val="99"/>
    <w:semiHidden/>
    <w:unhideWhenUsed/>
    <w:rsid w:val="00141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laws.justice.gc.ca/fra/lois/i-2.5/TexteComple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E1B7-4D7A-484D-899B-54329060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3873</Words>
  <Characters>22079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CCPR/C/125/D/2948/2017</vt:lpstr>
    </vt:vector>
  </TitlesOfParts>
  <Company>DCM</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CCPR/C/125/D/2948/2017</dc:title>
  <dc:subject>GE.1908918A</dc:subject>
  <dc:creator>Jamela CHEDAD/MAB</dc:creator>
  <cp:keywords>ODS No.1915113A</cp:keywords>
  <dc:description>Distribution: General_x000d_
Original: French_x000d_
Date: 31 May 2019</dc:description>
  <cp:lastModifiedBy>Jamila Chedad</cp:lastModifiedBy>
  <cp:revision>2</cp:revision>
  <cp:lastPrinted>2019-09-11T12:18:00Z</cp:lastPrinted>
  <dcterms:created xsi:type="dcterms:W3CDTF">2019-09-12T09:24:00Z</dcterms:created>
  <dcterms:modified xsi:type="dcterms:W3CDTF">2019-09-12T09:24:00Z</dcterms:modified>
  <cp:category>Finale</cp:category>
</cp:coreProperties>
</file>