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FF4908C" w14:textId="77777777" w:rsidTr="00CA1AEA">
        <w:trPr>
          <w:cantSplit/>
          <w:trHeight w:hRule="exact" w:val="851"/>
        </w:trPr>
        <w:tc>
          <w:tcPr>
            <w:tcW w:w="1276" w:type="dxa"/>
            <w:tcBorders>
              <w:bottom w:val="single" w:sz="4" w:space="0" w:color="auto"/>
            </w:tcBorders>
            <w:vAlign w:val="bottom"/>
          </w:tcPr>
          <w:p w14:paraId="741BF0AF" w14:textId="77777777" w:rsidR="00165C15" w:rsidRDefault="00165C15" w:rsidP="00CA1AEA">
            <w:pPr>
              <w:spacing w:after="80"/>
            </w:pPr>
          </w:p>
        </w:tc>
        <w:tc>
          <w:tcPr>
            <w:tcW w:w="2268" w:type="dxa"/>
            <w:tcBorders>
              <w:bottom w:val="single" w:sz="4" w:space="0" w:color="auto"/>
            </w:tcBorders>
            <w:vAlign w:val="bottom"/>
          </w:tcPr>
          <w:p w14:paraId="6EED70E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10DCD5" w14:textId="77777777" w:rsidR="00165C15" w:rsidRPr="00D47EEA" w:rsidRDefault="00B1164C" w:rsidP="00B1164C">
            <w:pPr>
              <w:suppressAutoHyphens w:val="0"/>
              <w:spacing w:after="20"/>
              <w:jc w:val="right"/>
            </w:pPr>
            <w:r w:rsidRPr="00B1164C">
              <w:rPr>
                <w:sz w:val="40"/>
              </w:rPr>
              <w:t>CCPR</w:t>
            </w:r>
            <w:r>
              <w:t>/C/129/D/2742/2016</w:t>
            </w:r>
          </w:p>
        </w:tc>
      </w:tr>
      <w:tr w:rsidR="00165C15" w14:paraId="59CD0257" w14:textId="77777777" w:rsidTr="00CA1AEA">
        <w:trPr>
          <w:cantSplit/>
          <w:trHeight w:hRule="exact" w:val="2835"/>
        </w:trPr>
        <w:tc>
          <w:tcPr>
            <w:tcW w:w="1276" w:type="dxa"/>
            <w:tcBorders>
              <w:top w:val="single" w:sz="4" w:space="0" w:color="auto"/>
              <w:bottom w:val="single" w:sz="12" w:space="0" w:color="auto"/>
            </w:tcBorders>
          </w:tcPr>
          <w:p w14:paraId="145A3B68" w14:textId="77777777" w:rsidR="00165C15" w:rsidRDefault="00165C15" w:rsidP="00CA1AEA">
            <w:pPr>
              <w:spacing w:before="120"/>
            </w:pPr>
            <w:r>
              <w:rPr>
                <w:noProof/>
                <w:lang w:eastAsia="en-GB"/>
              </w:rPr>
              <w:drawing>
                <wp:inline distT="0" distB="0" distL="0" distR="0" wp14:anchorId="0E0BEB5F" wp14:editId="7A5146F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A5B1A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39D9907" w14:textId="77777777" w:rsidR="00165C15" w:rsidRDefault="00B1164C" w:rsidP="00B1164C">
            <w:pPr>
              <w:suppressAutoHyphens w:val="0"/>
              <w:spacing w:before="240"/>
            </w:pPr>
            <w:r>
              <w:t>Distr.: General</w:t>
            </w:r>
          </w:p>
          <w:p w14:paraId="10048C52" w14:textId="19DA055E" w:rsidR="00B1164C" w:rsidRDefault="000A1F86" w:rsidP="00B1164C">
            <w:pPr>
              <w:suppressAutoHyphens w:val="0"/>
            </w:pPr>
            <w:r>
              <w:t>3</w:t>
            </w:r>
            <w:r w:rsidR="00B1164C">
              <w:t xml:space="preserve"> February 2021</w:t>
            </w:r>
          </w:p>
          <w:p w14:paraId="1987D30C" w14:textId="77777777" w:rsidR="00B1164C" w:rsidRDefault="00B1164C" w:rsidP="00B1164C">
            <w:pPr>
              <w:suppressAutoHyphens w:val="0"/>
            </w:pPr>
          </w:p>
          <w:p w14:paraId="0AB8421D" w14:textId="77777777" w:rsidR="00B1164C" w:rsidRDefault="00B1164C" w:rsidP="00B1164C">
            <w:pPr>
              <w:suppressAutoHyphens w:val="0"/>
            </w:pPr>
            <w:r>
              <w:t>Original: English</w:t>
            </w:r>
          </w:p>
        </w:tc>
      </w:tr>
    </w:tbl>
    <w:p w14:paraId="7543B586" w14:textId="33A0E1FF" w:rsidR="00AD110A" w:rsidRPr="00AD110A" w:rsidRDefault="00AD110A" w:rsidP="00AD110A">
      <w:pPr>
        <w:spacing w:before="120"/>
        <w:rPr>
          <w:b/>
          <w:bCs/>
          <w:sz w:val="24"/>
          <w:szCs w:val="24"/>
          <w:lang w:val="en-US"/>
        </w:rPr>
      </w:pPr>
      <w:r w:rsidRPr="00AD110A">
        <w:rPr>
          <w:b/>
          <w:bCs/>
          <w:sz w:val="24"/>
          <w:szCs w:val="24"/>
          <w:lang w:val="en-US"/>
        </w:rPr>
        <w:t>Human Rights Committee</w:t>
      </w:r>
    </w:p>
    <w:p w14:paraId="4197DA15" w14:textId="77777777" w:rsidR="00AD110A" w:rsidRPr="00E813B1" w:rsidRDefault="00AD110A" w:rsidP="00AD110A">
      <w:pPr>
        <w:pStyle w:val="HChG"/>
        <w:rPr>
          <w:b w:val="0"/>
          <w:sz w:val="20"/>
          <w:lang w:val="en-US"/>
        </w:rPr>
      </w:pPr>
      <w:r w:rsidRPr="00635E07">
        <w:rPr>
          <w:lang w:val="en-US"/>
        </w:rPr>
        <w:tab/>
      </w:r>
      <w:r w:rsidRPr="00635E07">
        <w:rPr>
          <w:lang w:val="en-US"/>
        </w:rPr>
        <w:tab/>
      </w:r>
      <w:r w:rsidRPr="00685DC7">
        <w:t xml:space="preserve">Decision </w:t>
      </w:r>
      <w:r w:rsidRPr="00AD110A">
        <w:t>adopted</w:t>
      </w:r>
      <w:r w:rsidRPr="00685DC7">
        <w:t xml:space="preserve"> by the Committee under the Optional Protocol, concerning</w:t>
      </w:r>
      <w:r w:rsidRPr="00BC1248">
        <w:rPr>
          <w:szCs w:val="28"/>
        </w:rPr>
        <w:t xml:space="preserve"> </w:t>
      </w:r>
      <w:r>
        <w:t>c</w:t>
      </w:r>
      <w:r w:rsidRPr="001C117A">
        <w:t>ommunication</w:t>
      </w:r>
      <w:r w:rsidRPr="00635E07">
        <w:rPr>
          <w:lang w:val="en-US"/>
        </w:rPr>
        <w:t xml:space="preserve"> No. </w:t>
      </w:r>
      <w:r>
        <w:rPr>
          <w:lang w:val="en-US"/>
        </w:rPr>
        <w:t>2742</w:t>
      </w:r>
      <w:r w:rsidRPr="00635E07">
        <w:rPr>
          <w:lang w:val="en-US"/>
        </w:rPr>
        <w:t>/2016</w:t>
      </w:r>
      <w:r w:rsidRPr="00AD110A">
        <w:rPr>
          <w:rStyle w:val="FootnoteReference"/>
          <w:b w:val="0"/>
          <w:bCs/>
          <w:sz w:val="20"/>
          <w:vertAlign w:val="baseline"/>
        </w:rPr>
        <w:footnoteReference w:customMarkFollows="1" w:id="1"/>
        <w:t>*</w:t>
      </w:r>
      <w:r w:rsidRPr="00AD110A">
        <w:rPr>
          <w:rStyle w:val="FootnoteReference"/>
          <w:b w:val="0"/>
          <w:bCs/>
          <w:position w:val="8"/>
          <w:sz w:val="20"/>
          <w:vertAlign w:val="baseline"/>
        </w:rPr>
        <w:t>,</w:t>
      </w:r>
      <w:r w:rsidRPr="00AD110A">
        <w:rPr>
          <w:rStyle w:val="FootnoteReference"/>
          <w:b w:val="0"/>
          <w:bCs/>
          <w:sz w:val="20"/>
          <w:vertAlign w:val="baseline"/>
        </w:rPr>
        <w:t xml:space="preserve"> </w:t>
      </w:r>
      <w:r w:rsidRPr="00AD110A">
        <w:rPr>
          <w:rStyle w:val="FootnoteReference"/>
          <w:b w:val="0"/>
          <w:bCs/>
          <w:sz w:val="20"/>
          <w:vertAlign w:val="baseline"/>
        </w:rPr>
        <w:footnoteReference w:customMarkFollows="1" w:id="2"/>
        <w:t>**</w:t>
      </w:r>
    </w:p>
    <w:p w14:paraId="79962088" w14:textId="77777777" w:rsidR="00AD110A" w:rsidRPr="00635E07" w:rsidRDefault="00AD110A" w:rsidP="00851F16">
      <w:pPr>
        <w:pStyle w:val="SingleTxtG"/>
        <w:ind w:left="4536" w:hanging="3402"/>
        <w:jc w:val="left"/>
        <w:rPr>
          <w:lang w:val="en-US"/>
        </w:rPr>
      </w:pPr>
      <w:r w:rsidRPr="00635E07">
        <w:rPr>
          <w:i/>
          <w:lang w:val="en-US"/>
        </w:rPr>
        <w:t>Communication submitted by:</w:t>
      </w:r>
      <w:r w:rsidRPr="00635E07">
        <w:rPr>
          <w:lang w:val="en-US"/>
        </w:rPr>
        <w:tab/>
      </w:r>
      <w:r>
        <w:rPr>
          <w:lang w:val="en-US"/>
        </w:rPr>
        <w:t xml:space="preserve">U.M.H. </w:t>
      </w:r>
      <w:r w:rsidRPr="00635E07">
        <w:rPr>
          <w:lang w:val="en-US"/>
        </w:rPr>
        <w:t xml:space="preserve">(represented by counsels, </w:t>
      </w:r>
      <w:r>
        <w:rPr>
          <w:lang w:val="en-US"/>
        </w:rPr>
        <w:br/>
      </w:r>
      <w:r w:rsidRPr="00635E07">
        <w:rPr>
          <w:lang w:val="en-US"/>
        </w:rPr>
        <w:t>Shane H. Brady and Petr Muzny)</w:t>
      </w:r>
    </w:p>
    <w:p w14:paraId="0F6AF77F" w14:textId="287F7FF7" w:rsidR="00AD110A" w:rsidRPr="00635E07" w:rsidRDefault="00AD110A" w:rsidP="00851F16">
      <w:pPr>
        <w:pStyle w:val="SingleTxtG"/>
        <w:ind w:left="4536" w:hanging="3402"/>
        <w:jc w:val="left"/>
        <w:rPr>
          <w:lang w:val="en-US"/>
        </w:rPr>
      </w:pPr>
      <w:r w:rsidRPr="00635E07">
        <w:rPr>
          <w:i/>
          <w:lang w:val="en-US"/>
        </w:rPr>
        <w:t>Alleged victim:</w:t>
      </w:r>
      <w:r w:rsidRPr="00635E07">
        <w:rPr>
          <w:lang w:val="en-US"/>
        </w:rPr>
        <w:tab/>
        <w:t>The author</w:t>
      </w:r>
    </w:p>
    <w:p w14:paraId="15A580CE" w14:textId="77777777" w:rsidR="00AD110A" w:rsidRPr="00635E07" w:rsidRDefault="00AD110A" w:rsidP="00851F16">
      <w:pPr>
        <w:pStyle w:val="SingleTxtG"/>
        <w:tabs>
          <w:tab w:val="clear" w:pos="1701"/>
          <w:tab w:val="clear" w:pos="2268"/>
        </w:tabs>
        <w:ind w:left="4536" w:hanging="3402"/>
        <w:jc w:val="left"/>
        <w:rPr>
          <w:lang w:val="en-US"/>
        </w:rPr>
      </w:pPr>
      <w:r w:rsidRPr="00635E07">
        <w:rPr>
          <w:i/>
          <w:lang w:val="en-US"/>
        </w:rPr>
        <w:t>State party:</w:t>
      </w:r>
      <w:r w:rsidRPr="00635E07">
        <w:rPr>
          <w:lang w:val="en-US"/>
        </w:rPr>
        <w:tab/>
        <w:t xml:space="preserve">Sweden </w:t>
      </w:r>
    </w:p>
    <w:p w14:paraId="094B251F" w14:textId="77777777" w:rsidR="00AD110A" w:rsidRPr="00635E07" w:rsidRDefault="00AD110A" w:rsidP="00851F16">
      <w:pPr>
        <w:pStyle w:val="SingleTxtG"/>
        <w:ind w:left="4536" w:hanging="3402"/>
        <w:jc w:val="left"/>
        <w:rPr>
          <w:lang w:val="en-US"/>
        </w:rPr>
      </w:pPr>
      <w:r w:rsidRPr="00635E07">
        <w:rPr>
          <w:i/>
          <w:lang w:val="en-US"/>
        </w:rPr>
        <w:t>Date of communication:</w:t>
      </w:r>
      <w:r w:rsidRPr="00635E07">
        <w:rPr>
          <w:lang w:val="en-US"/>
        </w:rPr>
        <w:tab/>
        <w:t xml:space="preserve">26 February 2016 </w:t>
      </w:r>
      <w:r>
        <w:rPr>
          <w:lang w:val="en-US"/>
        </w:rPr>
        <w:t>(initial submission)</w:t>
      </w:r>
    </w:p>
    <w:p w14:paraId="22DBD847" w14:textId="42E6A3B2" w:rsidR="00AD110A" w:rsidRPr="00635E07" w:rsidRDefault="00AD110A" w:rsidP="00851F16">
      <w:pPr>
        <w:pStyle w:val="SingleTxtG"/>
        <w:ind w:left="4536" w:hanging="3402"/>
        <w:jc w:val="left"/>
        <w:rPr>
          <w:lang w:val="en-US"/>
        </w:rPr>
      </w:pPr>
      <w:r w:rsidRPr="00635E07">
        <w:rPr>
          <w:i/>
          <w:lang w:val="en-US"/>
        </w:rPr>
        <w:t>Document references:</w:t>
      </w:r>
      <w:r w:rsidRPr="00635E07">
        <w:rPr>
          <w:lang w:val="en-US"/>
        </w:rPr>
        <w:tab/>
        <w:t>Decision taken pursuant to rule 92 of the Committee</w:t>
      </w:r>
      <w:r w:rsidR="00F60712">
        <w:rPr>
          <w:lang w:val="en-US"/>
        </w:rPr>
        <w:t>’</w:t>
      </w:r>
      <w:r w:rsidRPr="00635E07">
        <w:rPr>
          <w:lang w:val="en-US"/>
        </w:rPr>
        <w:t>s rules of procedure, transmitted to the State party on 2 March 2016 (not issued in document form)</w:t>
      </w:r>
    </w:p>
    <w:p w14:paraId="6704D03E" w14:textId="77777777" w:rsidR="00AD110A" w:rsidRPr="00635E07" w:rsidRDefault="00AD110A" w:rsidP="00851F16">
      <w:pPr>
        <w:pStyle w:val="SingleTxtG"/>
        <w:ind w:left="4536" w:hanging="3402"/>
        <w:jc w:val="left"/>
        <w:rPr>
          <w:lang w:val="en-US"/>
        </w:rPr>
      </w:pPr>
      <w:r w:rsidRPr="00635E07">
        <w:rPr>
          <w:i/>
          <w:lang w:val="en-US"/>
        </w:rPr>
        <w:t xml:space="preserve">Date of adoption of </w:t>
      </w:r>
      <w:r>
        <w:rPr>
          <w:i/>
          <w:lang w:val="en-US"/>
        </w:rPr>
        <w:t>d</w:t>
      </w:r>
      <w:r w:rsidRPr="00BA094C">
        <w:rPr>
          <w:i/>
          <w:lang w:val="en-US"/>
        </w:rPr>
        <w:t>ecision</w:t>
      </w:r>
      <w:r w:rsidRPr="00635E07">
        <w:rPr>
          <w:i/>
          <w:lang w:val="en-US"/>
        </w:rPr>
        <w:t>:</w:t>
      </w:r>
      <w:r w:rsidRPr="00635E07">
        <w:rPr>
          <w:lang w:val="en-US"/>
        </w:rPr>
        <w:tab/>
      </w:r>
      <w:r>
        <w:rPr>
          <w:lang w:val="en-US"/>
        </w:rPr>
        <w:t xml:space="preserve">23 July </w:t>
      </w:r>
      <w:r w:rsidRPr="00635E07">
        <w:rPr>
          <w:lang w:val="en-US"/>
        </w:rPr>
        <w:t>2020</w:t>
      </w:r>
    </w:p>
    <w:p w14:paraId="3EB5BA0F" w14:textId="42849BC0" w:rsidR="00AD110A" w:rsidRPr="00635E07" w:rsidRDefault="00AD110A" w:rsidP="00851F16">
      <w:pPr>
        <w:pStyle w:val="SingleTxtG"/>
        <w:ind w:left="4536" w:hanging="3402"/>
        <w:jc w:val="left"/>
        <w:rPr>
          <w:lang w:val="en-US"/>
        </w:rPr>
      </w:pPr>
      <w:r w:rsidRPr="00635E07">
        <w:rPr>
          <w:i/>
          <w:iCs/>
          <w:lang w:val="en-US"/>
        </w:rPr>
        <w:t>Subject matter:</w:t>
      </w:r>
      <w:r w:rsidRPr="00635E07">
        <w:rPr>
          <w:lang w:val="en-US"/>
        </w:rPr>
        <w:tab/>
      </w:r>
      <w:r>
        <w:rPr>
          <w:lang w:val="en-US"/>
        </w:rPr>
        <w:t>D</w:t>
      </w:r>
      <w:r w:rsidRPr="00141E69">
        <w:rPr>
          <w:lang w:val="en-US"/>
        </w:rPr>
        <w:t xml:space="preserve">iscrimination on the ground of </w:t>
      </w:r>
      <w:r>
        <w:rPr>
          <w:lang w:val="en-US"/>
        </w:rPr>
        <w:t>religion; fair hearing;</w:t>
      </w:r>
      <w:r w:rsidRPr="00635E07">
        <w:rPr>
          <w:lang w:val="en-US"/>
        </w:rPr>
        <w:t xml:space="preserve"> </w:t>
      </w:r>
      <w:r>
        <w:rPr>
          <w:lang w:val="en-US"/>
        </w:rPr>
        <w:t xml:space="preserve">freedom to </w:t>
      </w:r>
      <w:r w:rsidRPr="00635E07">
        <w:rPr>
          <w:lang w:val="en-US"/>
        </w:rPr>
        <w:t xml:space="preserve">manifest </w:t>
      </w:r>
      <w:r>
        <w:rPr>
          <w:lang w:val="en-US"/>
        </w:rPr>
        <w:t>one</w:t>
      </w:r>
      <w:r w:rsidR="00F60712">
        <w:rPr>
          <w:lang w:val="en-US"/>
        </w:rPr>
        <w:t>’</w:t>
      </w:r>
      <w:r>
        <w:rPr>
          <w:lang w:val="en-US"/>
        </w:rPr>
        <w:t xml:space="preserve">s </w:t>
      </w:r>
      <w:r w:rsidRPr="00635E07">
        <w:rPr>
          <w:lang w:val="en-US"/>
        </w:rPr>
        <w:t>religion</w:t>
      </w:r>
    </w:p>
    <w:p w14:paraId="5CAF9BA0" w14:textId="77777777" w:rsidR="00AD110A" w:rsidRPr="00635E07" w:rsidRDefault="00AD110A" w:rsidP="00851F16">
      <w:pPr>
        <w:pStyle w:val="SingleTxtG"/>
        <w:ind w:left="4536" w:hanging="3402"/>
        <w:jc w:val="left"/>
        <w:rPr>
          <w:lang w:val="en-US"/>
        </w:rPr>
      </w:pPr>
      <w:r w:rsidRPr="00635E07">
        <w:rPr>
          <w:i/>
          <w:iCs/>
          <w:lang w:val="en-US"/>
        </w:rPr>
        <w:t>Procedural issue</w:t>
      </w:r>
      <w:r>
        <w:rPr>
          <w:i/>
          <w:iCs/>
          <w:lang w:val="en-US"/>
        </w:rPr>
        <w:t>s</w:t>
      </w:r>
      <w:r w:rsidRPr="00635E07">
        <w:rPr>
          <w:i/>
          <w:iCs/>
          <w:lang w:val="en-US"/>
        </w:rPr>
        <w:t xml:space="preserve">: </w:t>
      </w:r>
      <w:r w:rsidRPr="00635E07">
        <w:rPr>
          <w:i/>
          <w:iCs/>
          <w:lang w:val="en-US"/>
        </w:rPr>
        <w:tab/>
      </w:r>
      <w:r>
        <w:rPr>
          <w:spacing w:val="4"/>
        </w:rPr>
        <w:t>S</w:t>
      </w:r>
      <w:r w:rsidRPr="00635E07">
        <w:rPr>
          <w:spacing w:val="4"/>
        </w:rPr>
        <w:t xml:space="preserve">ame matter not </w:t>
      </w:r>
      <w:r>
        <w:rPr>
          <w:spacing w:val="4"/>
        </w:rPr>
        <w:t xml:space="preserve">having </w:t>
      </w:r>
      <w:r w:rsidRPr="00635E07">
        <w:rPr>
          <w:spacing w:val="4"/>
        </w:rPr>
        <w:t>been and not being examined under another procedure of international investigation or settlement</w:t>
      </w:r>
      <w:r>
        <w:rPr>
          <w:spacing w:val="4"/>
        </w:rPr>
        <w:t xml:space="preserve">; </w:t>
      </w:r>
      <w:r>
        <w:rPr>
          <w:spacing w:val="4"/>
        </w:rPr>
        <w:br/>
        <w:t xml:space="preserve">non-exhaustion of domestic remedies; </w:t>
      </w:r>
      <w:r>
        <w:rPr>
          <w:spacing w:val="4"/>
        </w:rPr>
        <w:br/>
      </w:r>
      <w:r>
        <w:rPr>
          <w:lang w:val="en-US"/>
        </w:rPr>
        <w:t>level of substantiation of claims</w:t>
      </w:r>
    </w:p>
    <w:p w14:paraId="57F24295" w14:textId="77777777" w:rsidR="00AD110A" w:rsidRPr="00635E07" w:rsidRDefault="00AD110A" w:rsidP="00851F16">
      <w:pPr>
        <w:pStyle w:val="SingleTxtG"/>
        <w:ind w:left="4536" w:hanging="3402"/>
        <w:jc w:val="left"/>
        <w:rPr>
          <w:i/>
          <w:iCs/>
          <w:lang w:val="en-US"/>
        </w:rPr>
      </w:pPr>
      <w:r w:rsidRPr="00635E07">
        <w:rPr>
          <w:i/>
          <w:iCs/>
          <w:lang w:val="en-US"/>
        </w:rPr>
        <w:t xml:space="preserve">Substantive issues: </w:t>
      </w:r>
      <w:r w:rsidRPr="00635E07">
        <w:rPr>
          <w:i/>
          <w:iCs/>
          <w:lang w:val="en-US"/>
        </w:rPr>
        <w:tab/>
      </w:r>
      <w:r>
        <w:rPr>
          <w:iCs/>
          <w:lang w:val="en-US"/>
        </w:rPr>
        <w:t>D</w:t>
      </w:r>
      <w:r w:rsidRPr="00EE6827">
        <w:rPr>
          <w:iCs/>
          <w:lang w:val="en-US"/>
        </w:rPr>
        <w:t>iscrimination</w:t>
      </w:r>
      <w:r>
        <w:rPr>
          <w:iCs/>
          <w:lang w:val="en-US"/>
        </w:rPr>
        <w:t>;</w:t>
      </w:r>
      <w:r w:rsidRPr="00EE6827">
        <w:rPr>
          <w:lang w:val="en-US"/>
        </w:rPr>
        <w:t xml:space="preserve"> freedom of religion</w:t>
      </w:r>
      <w:r>
        <w:rPr>
          <w:lang w:val="en-US"/>
        </w:rPr>
        <w:t>;</w:t>
      </w:r>
      <w:r w:rsidRPr="00EE6827">
        <w:rPr>
          <w:iCs/>
          <w:lang w:val="en-US"/>
        </w:rPr>
        <w:t xml:space="preserve"> fair trial rights</w:t>
      </w:r>
    </w:p>
    <w:p w14:paraId="03F138D5" w14:textId="77777777" w:rsidR="00AD110A" w:rsidRPr="00635E07" w:rsidRDefault="00AD110A" w:rsidP="00851F16">
      <w:pPr>
        <w:pStyle w:val="SingleTxtG"/>
        <w:ind w:left="4536" w:hanging="3402"/>
        <w:jc w:val="left"/>
        <w:rPr>
          <w:lang w:val="en-US"/>
        </w:rPr>
      </w:pPr>
      <w:r w:rsidRPr="00635E07">
        <w:rPr>
          <w:i/>
          <w:iCs/>
          <w:lang w:val="en-US"/>
        </w:rPr>
        <w:t>Articles of the Covenant:</w:t>
      </w:r>
      <w:r w:rsidRPr="00635E07">
        <w:rPr>
          <w:lang w:val="en-US"/>
        </w:rPr>
        <w:t xml:space="preserve"> </w:t>
      </w:r>
      <w:r w:rsidRPr="00635E07">
        <w:rPr>
          <w:lang w:val="en-US"/>
        </w:rPr>
        <w:tab/>
        <w:t xml:space="preserve">14, 18 </w:t>
      </w:r>
      <w:r>
        <w:rPr>
          <w:lang w:val="en-US"/>
        </w:rPr>
        <w:t xml:space="preserve">and </w:t>
      </w:r>
      <w:r w:rsidRPr="00635E07">
        <w:rPr>
          <w:lang w:val="en-US"/>
        </w:rPr>
        <w:t>26</w:t>
      </w:r>
    </w:p>
    <w:p w14:paraId="581DE9AB" w14:textId="77777777" w:rsidR="00AD110A" w:rsidRPr="00635E07" w:rsidRDefault="00AD110A" w:rsidP="00851F16">
      <w:pPr>
        <w:pStyle w:val="SingleTxtG"/>
        <w:ind w:left="4536" w:hanging="3402"/>
        <w:jc w:val="left"/>
        <w:rPr>
          <w:iCs/>
          <w:lang w:val="en-US"/>
        </w:rPr>
      </w:pPr>
      <w:r w:rsidRPr="00635E07">
        <w:rPr>
          <w:i/>
          <w:iCs/>
          <w:lang w:val="en-US"/>
        </w:rPr>
        <w:t>Articles of the Optional Protocol:</w:t>
      </w:r>
      <w:r w:rsidRPr="00635E07">
        <w:rPr>
          <w:i/>
          <w:iCs/>
          <w:lang w:val="en-US"/>
        </w:rPr>
        <w:tab/>
      </w:r>
      <w:r w:rsidRPr="00141E69">
        <w:rPr>
          <w:iCs/>
          <w:lang w:val="en-US"/>
        </w:rPr>
        <w:t xml:space="preserve">2, 3 </w:t>
      </w:r>
      <w:r>
        <w:rPr>
          <w:iCs/>
          <w:lang w:val="en-US"/>
        </w:rPr>
        <w:t xml:space="preserve">and </w:t>
      </w:r>
      <w:r w:rsidRPr="00141E69">
        <w:rPr>
          <w:iCs/>
          <w:lang w:val="en-US"/>
        </w:rPr>
        <w:t>5</w:t>
      </w:r>
      <w:r>
        <w:rPr>
          <w:iCs/>
          <w:lang w:val="en-US"/>
        </w:rPr>
        <w:t xml:space="preserve"> </w:t>
      </w:r>
      <w:r w:rsidRPr="00141E69">
        <w:rPr>
          <w:iCs/>
          <w:lang w:val="en-US"/>
        </w:rPr>
        <w:t>(2)</w:t>
      </w:r>
      <w:r>
        <w:rPr>
          <w:iCs/>
          <w:lang w:val="en-US"/>
        </w:rPr>
        <w:t xml:space="preserve"> </w:t>
      </w:r>
      <w:r w:rsidRPr="00141E69">
        <w:rPr>
          <w:iCs/>
          <w:lang w:val="en-US"/>
        </w:rPr>
        <w:t xml:space="preserve">(a) </w:t>
      </w:r>
      <w:r>
        <w:rPr>
          <w:iCs/>
          <w:lang w:val="en-US"/>
        </w:rPr>
        <w:t xml:space="preserve">and </w:t>
      </w:r>
      <w:r w:rsidRPr="00141E69">
        <w:rPr>
          <w:iCs/>
          <w:lang w:val="en-US"/>
        </w:rPr>
        <w:t>(b)</w:t>
      </w:r>
    </w:p>
    <w:p w14:paraId="0E9A17FF" w14:textId="77777777" w:rsidR="00AD110A" w:rsidRPr="00635E07" w:rsidRDefault="00AD110A" w:rsidP="00AD110A">
      <w:pPr>
        <w:pStyle w:val="SingleTxtG"/>
        <w:spacing w:before="240"/>
        <w:rPr>
          <w:lang w:val="en-US"/>
        </w:rPr>
      </w:pPr>
      <w:r w:rsidRPr="00635E07">
        <w:rPr>
          <w:lang w:val="en-US"/>
        </w:rPr>
        <w:t>1.</w:t>
      </w:r>
      <w:r>
        <w:rPr>
          <w:lang w:val="en-US"/>
        </w:rPr>
        <w:t>1</w:t>
      </w:r>
      <w:r w:rsidRPr="00635E07">
        <w:rPr>
          <w:lang w:val="en-US"/>
        </w:rPr>
        <w:tab/>
        <w:t xml:space="preserve">The author is </w:t>
      </w:r>
      <w:r>
        <w:rPr>
          <w:lang w:val="en-US"/>
        </w:rPr>
        <w:t>U.M.H.</w:t>
      </w:r>
      <w:r w:rsidRPr="00635E07">
        <w:rPr>
          <w:lang w:val="en-US"/>
        </w:rPr>
        <w:t>, a national of Sweden born in 193</w:t>
      </w:r>
      <w:r>
        <w:rPr>
          <w:lang w:val="en-US"/>
        </w:rPr>
        <w:t>3</w:t>
      </w:r>
      <w:r w:rsidRPr="00635E07">
        <w:rPr>
          <w:lang w:val="en-US"/>
        </w:rPr>
        <w:t xml:space="preserve">. She claims that the State </w:t>
      </w:r>
      <w:r>
        <w:rPr>
          <w:lang w:val="en-US"/>
        </w:rPr>
        <w:t>p</w:t>
      </w:r>
      <w:r w:rsidRPr="00635E07">
        <w:rPr>
          <w:lang w:val="en-US"/>
        </w:rPr>
        <w:t xml:space="preserve">arty has violated her rights under articles 14, 18 and 26 of the Covenant. The Optional Protocol entered into force for </w:t>
      </w:r>
      <w:r w:rsidRPr="00635E07">
        <w:t>the State party on 6 December 1971</w:t>
      </w:r>
      <w:r w:rsidRPr="00635E07">
        <w:rPr>
          <w:lang w:val="en-US"/>
        </w:rPr>
        <w:t>. The author is represented by counsel.</w:t>
      </w:r>
    </w:p>
    <w:p w14:paraId="48974111" w14:textId="69D6A624" w:rsidR="00AD110A" w:rsidRPr="00635E07" w:rsidRDefault="00AD110A" w:rsidP="00AD110A">
      <w:pPr>
        <w:pStyle w:val="SingleTxtG"/>
        <w:rPr>
          <w:lang w:val="en-US"/>
        </w:rPr>
      </w:pPr>
      <w:r w:rsidRPr="00635E07">
        <w:t>1.2</w:t>
      </w:r>
      <w:r w:rsidRPr="00635E07">
        <w:tab/>
        <w:t xml:space="preserve">On 16 May 2016, the State party submitted its observations on admissibility and asked the Committee to consider the admissibility of the communication separately from its merits. </w:t>
      </w:r>
      <w:r w:rsidRPr="00635E07">
        <w:lastRenderedPageBreak/>
        <w:t>On 19 June 2017, the Committee, acting through its Special Rapporteur on new communications and interim measures, decided to refuse the State party</w:t>
      </w:r>
      <w:r w:rsidR="00F60712">
        <w:t>’</w:t>
      </w:r>
      <w:r w:rsidRPr="00635E07">
        <w:t>s request</w:t>
      </w:r>
      <w:r>
        <w:t>.</w:t>
      </w:r>
    </w:p>
    <w:p w14:paraId="6DA80230" w14:textId="77777777" w:rsidR="00AD110A" w:rsidRPr="00635E07" w:rsidRDefault="00AD110A" w:rsidP="00851F16">
      <w:pPr>
        <w:pStyle w:val="H23G"/>
        <w:rPr>
          <w:lang w:val="en-US"/>
        </w:rPr>
      </w:pPr>
      <w:r w:rsidRPr="00635E07">
        <w:rPr>
          <w:lang w:val="en-US"/>
        </w:rPr>
        <w:tab/>
      </w:r>
      <w:r w:rsidRPr="00635E07">
        <w:rPr>
          <w:lang w:val="en-US"/>
        </w:rPr>
        <w:tab/>
      </w:r>
      <w:r>
        <w:rPr>
          <w:lang w:val="en-US"/>
        </w:rPr>
        <w:t>F</w:t>
      </w:r>
      <w:r w:rsidRPr="00635E07">
        <w:rPr>
          <w:lang w:val="en-US"/>
        </w:rPr>
        <w:t xml:space="preserve">acts as </w:t>
      </w:r>
      <w:r w:rsidRPr="00851F16">
        <w:t>submitted</w:t>
      </w:r>
      <w:r w:rsidRPr="00635E07">
        <w:rPr>
          <w:lang w:val="en-US"/>
        </w:rPr>
        <w:t xml:space="preserve"> by </w:t>
      </w:r>
      <w:r w:rsidRPr="001C117A">
        <w:t>the</w:t>
      </w:r>
      <w:r w:rsidRPr="00635E07">
        <w:rPr>
          <w:lang w:val="en-US"/>
        </w:rPr>
        <w:t xml:space="preserve"> author</w:t>
      </w:r>
    </w:p>
    <w:p w14:paraId="6168E38C" w14:textId="503849C0" w:rsidR="00AD110A" w:rsidRPr="00635E07" w:rsidRDefault="00AD110A" w:rsidP="00AD110A">
      <w:pPr>
        <w:pStyle w:val="SingleTxtG"/>
      </w:pPr>
      <w:r w:rsidRPr="00635E07">
        <w:rPr>
          <w:lang w:val="en-US"/>
        </w:rPr>
        <w:t>2.1</w:t>
      </w:r>
      <w:r w:rsidRPr="00635E07">
        <w:rPr>
          <w:lang w:val="en-US"/>
        </w:rPr>
        <w:tab/>
        <w:t xml:space="preserve">The author is </w:t>
      </w:r>
      <w:r w:rsidRPr="00635E07">
        <w:rPr>
          <w:lang w:eastAsia="de-DE"/>
        </w:rPr>
        <w:t>an elderly member of a religious order known as the Worldwide Order of Special Full-Time Servants of Jehovah</w:t>
      </w:r>
      <w:r w:rsidR="00F60712">
        <w:rPr>
          <w:lang w:eastAsia="de-DE"/>
        </w:rPr>
        <w:t>’</w:t>
      </w:r>
      <w:r w:rsidRPr="00635E07">
        <w:rPr>
          <w:lang w:eastAsia="de-DE"/>
        </w:rPr>
        <w:t>s</w:t>
      </w:r>
      <w:r w:rsidRPr="00635E07">
        <w:rPr>
          <w:lang w:val="en-US"/>
        </w:rPr>
        <w:t xml:space="preserve"> </w:t>
      </w:r>
      <w:r w:rsidRPr="00635E07">
        <w:rPr>
          <w:lang w:eastAsia="de-DE"/>
        </w:rPr>
        <w:t>Witnesses.</w:t>
      </w:r>
      <w:r>
        <w:rPr>
          <w:lang w:eastAsia="de-DE"/>
        </w:rPr>
        <w:t xml:space="preserve"> In 1955,</w:t>
      </w:r>
      <w:r w:rsidRPr="00635E07">
        <w:rPr>
          <w:lang w:eastAsia="de-DE"/>
        </w:rPr>
        <w:t xml:space="preserve"> </w:t>
      </w:r>
      <w:r>
        <w:rPr>
          <w:lang w:eastAsia="de-DE"/>
        </w:rPr>
        <w:t>s</w:t>
      </w:r>
      <w:r w:rsidRPr="00635E07">
        <w:rPr>
          <w:lang w:eastAsia="de-DE"/>
        </w:rPr>
        <w:t>he</w:t>
      </w:r>
      <w:r w:rsidRPr="00635E07">
        <w:rPr>
          <w:lang w:val="en-US"/>
        </w:rPr>
        <w:t xml:space="preserve"> began </w:t>
      </w:r>
      <w:r>
        <w:rPr>
          <w:lang w:eastAsia="de-DE"/>
        </w:rPr>
        <w:t>her</w:t>
      </w:r>
      <w:r w:rsidRPr="00635E07">
        <w:rPr>
          <w:lang w:eastAsia="de-DE"/>
        </w:rPr>
        <w:t xml:space="preserve"> religious service as </w:t>
      </w:r>
      <w:r>
        <w:rPr>
          <w:lang w:eastAsia="de-DE"/>
        </w:rPr>
        <w:t xml:space="preserve">a </w:t>
      </w:r>
      <w:r w:rsidRPr="00635E07">
        <w:rPr>
          <w:lang w:eastAsia="de-DE"/>
        </w:rPr>
        <w:t xml:space="preserve">member of the Order in a </w:t>
      </w:r>
      <w:r>
        <w:rPr>
          <w:lang w:eastAsia="de-DE"/>
        </w:rPr>
        <w:t xml:space="preserve">community </w:t>
      </w:r>
      <w:proofErr w:type="gramStart"/>
      <w:r>
        <w:rPr>
          <w:lang w:eastAsia="de-DE"/>
        </w:rPr>
        <w:t>similar to</w:t>
      </w:r>
      <w:proofErr w:type="gramEnd"/>
      <w:r>
        <w:rPr>
          <w:lang w:eastAsia="de-DE"/>
        </w:rPr>
        <w:t xml:space="preserve"> a </w:t>
      </w:r>
      <w:r w:rsidRPr="00635E07">
        <w:rPr>
          <w:lang w:eastAsia="de-DE"/>
        </w:rPr>
        <w:t>monastery</w:t>
      </w:r>
      <w:r>
        <w:rPr>
          <w:lang w:eastAsia="de-DE"/>
        </w:rPr>
        <w:t xml:space="preserve">, </w:t>
      </w:r>
      <w:r w:rsidRPr="00635E07">
        <w:rPr>
          <w:lang w:eastAsia="de-DE"/>
        </w:rPr>
        <w:t xml:space="preserve">known as </w:t>
      </w:r>
      <w:r w:rsidR="00F60712">
        <w:rPr>
          <w:lang w:eastAsia="de-DE"/>
        </w:rPr>
        <w:t>“</w:t>
      </w:r>
      <w:r w:rsidRPr="00635E07">
        <w:rPr>
          <w:lang w:eastAsia="de-DE"/>
        </w:rPr>
        <w:t>Bethel</w:t>
      </w:r>
      <w:r w:rsidR="00F60712">
        <w:rPr>
          <w:lang w:eastAsia="de-DE"/>
        </w:rPr>
        <w:t>”</w:t>
      </w:r>
      <w:r w:rsidRPr="00635E07">
        <w:rPr>
          <w:lang w:eastAsia="de-DE"/>
        </w:rPr>
        <w:t xml:space="preserve">, located in Sweden. </w:t>
      </w:r>
      <w:r>
        <w:rPr>
          <w:lang w:eastAsia="de-DE"/>
        </w:rPr>
        <w:t xml:space="preserve">Her late husband was also a member of the Order. </w:t>
      </w:r>
      <w:r w:rsidRPr="00635E07">
        <w:rPr>
          <w:lang w:eastAsia="de-DE"/>
        </w:rPr>
        <w:t>The Order is an unincorporated international association of Jehovah</w:t>
      </w:r>
      <w:r w:rsidR="00F60712">
        <w:rPr>
          <w:lang w:eastAsia="de-DE"/>
        </w:rPr>
        <w:t>’</w:t>
      </w:r>
      <w:r w:rsidRPr="00635E07">
        <w:rPr>
          <w:lang w:eastAsia="de-DE"/>
        </w:rPr>
        <w:t>s Witnesses who are consecrated individuals and religious ministers and who have made a commitment to serve in a special, full-time capacity. The members of the Order perform religious duties in Bethel facilities worldwide or they serve in other religious capacities. They vowed to abstain from secular employment. All members of the Order have taken a religious vow of obedience and poverty in which they agreed to receive no compensation for the religious services they provide to the Order.</w:t>
      </w:r>
      <w:r w:rsidRPr="00635E07">
        <w:rPr>
          <w:rStyle w:val="FootnoteReference"/>
          <w:lang w:eastAsia="de-DE"/>
        </w:rPr>
        <w:footnoteReference w:id="3"/>
      </w:r>
      <w:r w:rsidRPr="00635E07">
        <w:rPr>
          <w:lang w:eastAsia="de-DE"/>
        </w:rPr>
        <w:t xml:space="preserve"> </w:t>
      </w:r>
      <w:r w:rsidRPr="00B07FAB">
        <w:rPr>
          <w:lang w:eastAsia="de-DE"/>
        </w:rPr>
        <w:t>The author used to perform various tasks at Bethel, including housekeeping</w:t>
      </w:r>
      <w:r w:rsidRPr="008C0DF6">
        <w:rPr>
          <w:lang w:eastAsia="de-DE"/>
        </w:rPr>
        <w:t>, doing the laundry</w:t>
      </w:r>
      <w:r w:rsidRPr="008C0DF6">
        <w:t xml:space="preserve"> </w:t>
      </w:r>
      <w:r w:rsidRPr="008C0DF6">
        <w:rPr>
          <w:lang w:eastAsia="de-DE"/>
        </w:rPr>
        <w:t xml:space="preserve">and </w:t>
      </w:r>
      <w:r>
        <w:rPr>
          <w:lang w:eastAsia="de-DE"/>
        </w:rPr>
        <w:t xml:space="preserve">providing </w:t>
      </w:r>
      <w:r w:rsidRPr="008C0DF6">
        <w:rPr>
          <w:lang w:eastAsia="de-DE"/>
        </w:rPr>
        <w:t>translation</w:t>
      </w:r>
      <w:r>
        <w:rPr>
          <w:lang w:eastAsia="de-DE"/>
        </w:rPr>
        <w:t xml:space="preserve"> services</w:t>
      </w:r>
      <w:r w:rsidRPr="008C0DF6">
        <w:rPr>
          <w:lang w:eastAsia="de-DE"/>
        </w:rPr>
        <w:t>.</w:t>
      </w:r>
    </w:p>
    <w:p w14:paraId="0FEE524C" w14:textId="77777777" w:rsidR="00AD110A" w:rsidRPr="00635E07" w:rsidRDefault="00AD110A" w:rsidP="00AD110A">
      <w:pPr>
        <w:pStyle w:val="SingleTxtG"/>
        <w:rPr>
          <w:lang w:eastAsia="de-DE"/>
        </w:rPr>
      </w:pPr>
      <w:r w:rsidRPr="00635E07">
        <w:rPr>
          <w:lang w:eastAsia="de-DE"/>
        </w:rPr>
        <w:t>2.2</w:t>
      </w:r>
      <w:r w:rsidRPr="00635E07">
        <w:rPr>
          <w:lang w:eastAsia="de-DE"/>
        </w:rPr>
        <w:tab/>
        <w:t>In order to help care for her physical needs, the Order provides the author with a small monthly allowance, room and board. The financial assistance provided by the Order is not based on achievement. Each member of the Order receives the same support</w:t>
      </w:r>
      <w:r>
        <w:rPr>
          <w:lang w:eastAsia="de-DE"/>
        </w:rPr>
        <w:t xml:space="preserve"> </w:t>
      </w:r>
      <w:r w:rsidRPr="00635E07">
        <w:rPr>
          <w:lang w:eastAsia="de-DE"/>
        </w:rPr>
        <w:t xml:space="preserve">for their basic needs even if they are no longer able to perform any religious services. </w:t>
      </w:r>
    </w:p>
    <w:p w14:paraId="44D7D852" w14:textId="78A2E2FE" w:rsidR="00AD110A" w:rsidRPr="00635E07" w:rsidRDefault="00AD110A" w:rsidP="00AD110A">
      <w:pPr>
        <w:pStyle w:val="SingleTxtG"/>
        <w:rPr>
          <w:lang w:eastAsia="de-DE"/>
        </w:rPr>
      </w:pPr>
      <w:r w:rsidRPr="00635E07">
        <w:rPr>
          <w:lang w:val="en-US"/>
        </w:rPr>
        <w:t>2.3</w:t>
      </w:r>
      <w:r w:rsidRPr="00635E07">
        <w:rPr>
          <w:lang w:val="en-US"/>
        </w:rPr>
        <w:tab/>
        <w:t xml:space="preserve">In 2012, the author </w:t>
      </w:r>
      <w:r w:rsidRPr="00635E07">
        <w:rPr>
          <w:lang w:eastAsia="de-DE"/>
        </w:rPr>
        <w:t xml:space="preserve">challenged </w:t>
      </w:r>
      <w:r>
        <w:rPr>
          <w:lang w:eastAsia="de-DE"/>
        </w:rPr>
        <w:t>t</w:t>
      </w:r>
      <w:r w:rsidRPr="00635E07">
        <w:rPr>
          <w:lang w:eastAsia="de-DE"/>
        </w:rPr>
        <w:t>he tax assessments issued by the Tax Agency for the period 2005</w:t>
      </w:r>
      <w:r>
        <w:rPr>
          <w:lang w:eastAsia="de-DE"/>
        </w:rPr>
        <w:t>–</w:t>
      </w:r>
      <w:r w:rsidRPr="00635E07">
        <w:rPr>
          <w:lang w:eastAsia="de-DE"/>
        </w:rPr>
        <w:t>2011</w:t>
      </w:r>
      <w:r>
        <w:rPr>
          <w:lang w:eastAsia="de-DE"/>
        </w:rPr>
        <w:t>,</w:t>
      </w:r>
      <w:r w:rsidRPr="00635E07">
        <w:rPr>
          <w:lang w:eastAsia="de-DE"/>
        </w:rPr>
        <w:t xml:space="preserve"> requiring the author to pay an income tax on the financial assistance she had received from the Order during the time</w:t>
      </w:r>
      <w:r>
        <w:rPr>
          <w:lang w:eastAsia="de-DE"/>
        </w:rPr>
        <w:t xml:space="preserve"> period in question</w:t>
      </w:r>
      <w:r w:rsidRPr="00635E07">
        <w:rPr>
          <w:lang w:eastAsia="de-DE"/>
        </w:rPr>
        <w:t xml:space="preserve">. On 12 June 2012, the Administrative Court rejected the </w:t>
      </w:r>
      <w:r>
        <w:rPr>
          <w:lang w:eastAsia="de-DE"/>
        </w:rPr>
        <w:t>author</w:t>
      </w:r>
      <w:r w:rsidR="00F60712">
        <w:rPr>
          <w:lang w:eastAsia="de-DE"/>
        </w:rPr>
        <w:t>’</w:t>
      </w:r>
      <w:r>
        <w:rPr>
          <w:lang w:eastAsia="de-DE"/>
        </w:rPr>
        <w:t xml:space="preserve">s </w:t>
      </w:r>
      <w:r w:rsidRPr="00635E07">
        <w:rPr>
          <w:lang w:eastAsia="de-DE"/>
        </w:rPr>
        <w:t xml:space="preserve">appeal. </w:t>
      </w:r>
      <w:r>
        <w:rPr>
          <w:lang w:eastAsia="de-DE"/>
        </w:rPr>
        <w:t>W</w:t>
      </w:r>
      <w:r w:rsidRPr="00635E07">
        <w:rPr>
          <w:lang w:eastAsia="de-DE"/>
        </w:rPr>
        <w:t xml:space="preserve">ithout setting out the reasons, </w:t>
      </w:r>
      <w:r>
        <w:rPr>
          <w:lang w:eastAsia="de-DE"/>
        </w:rPr>
        <w:t xml:space="preserve">the Court concluded </w:t>
      </w:r>
      <w:r w:rsidRPr="00635E07">
        <w:rPr>
          <w:lang w:eastAsia="de-DE"/>
        </w:rPr>
        <w:t xml:space="preserve">that the </w:t>
      </w:r>
      <w:r>
        <w:rPr>
          <w:lang w:eastAsia="de-DE"/>
        </w:rPr>
        <w:t xml:space="preserve">facts of the </w:t>
      </w:r>
      <w:r w:rsidRPr="00635E07">
        <w:rPr>
          <w:lang w:eastAsia="de-DE"/>
        </w:rPr>
        <w:t>author</w:t>
      </w:r>
      <w:r w:rsidR="00F60712">
        <w:rPr>
          <w:lang w:eastAsia="de-DE"/>
        </w:rPr>
        <w:t>’</w:t>
      </w:r>
      <w:r w:rsidRPr="00635E07">
        <w:rPr>
          <w:lang w:eastAsia="de-DE"/>
        </w:rPr>
        <w:t>s case w</w:t>
      </w:r>
      <w:r>
        <w:rPr>
          <w:lang w:eastAsia="de-DE"/>
        </w:rPr>
        <w:t>ere</w:t>
      </w:r>
      <w:r w:rsidRPr="00635E07">
        <w:rPr>
          <w:lang w:eastAsia="de-DE"/>
        </w:rPr>
        <w:t xml:space="preserve"> almost identical </w:t>
      </w:r>
      <w:r>
        <w:rPr>
          <w:lang w:eastAsia="de-DE"/>
        </w:rPr>
        <w:t>to those</w:t>
      </w:r>
      <w:r w:rsidRPr="00635E07">
        <w:rPr>
          <w:lang w:eastAsia="de-DE"/>
        </w:rPr>
        <w:t xml:space="preserve"> of another case decided by the </w:t>
      </w:r>
      <w:r>
        <w:rPr>
          <w:lang w:eastAsia="de-DE"/>
        </w:rPr>
        <w:t xml:space="preserve">Council for </w:t>
      </w:r>
      <w:r w:rsidRPr="00635E07">
        <w:rPr>
          <w:lang w:eastAsia="de-DE"/>
        </w:rPr>
        <w:t>Advance Tax Ruling</w:t>
      </w:r>
      <w:r>
        <w:rPr>
          <w:lang w:eastAsia="de-DE"/>
        </w:rPr>
        <w:t>s of Sweden</w:t>
      </w:r>
      <w:r w:rsidRPr="00635E07">
        <w:rPr>
          <w:lang w:eastAsia="de-DE"/>
        </w:rPr>
        <w:t xml:space="preserve"> on 10 May 2011. The author</w:t>
      </w:r>
      <w:r w:rsidR="00F60712">
        <w:rPr>
          <w:lang w:eastAsia="de-DE"/>
        </w:rPr>
        <w:t>’</w:t>
      </w:r>
      <w:r w:rsidRPr="00635E07">
        <w:rPr>
          <w:lang w:eastAsia="de-DE"/>
        </w:rPr>
        <w:t xml:space="preserve">s appeal to the Administrative Court of Appeal was rejected on 12 December 2012. On 25 June 2013, the Supreme Administrative Court refused her request for leave to appeal. </w:t>
      </w:r>
    </w:p>
    <w:p w14:paraId="279289CC" w14:textId="6DB2C546" w:rsidR="00AD110A" w:rsidRPr="00635E07" w:rsidRDefault="00AD110A" w:rsidP="00AD110A">
      <w:pPr>
        <w:pStyle w:val="SingleTxtG"/>
      </w:pPr>
      <w:r w:rsidRPr="00635E07">
        <w:rPr>
          <w:lang w:val="en-US"/>
        </w:rPr>
        <w:t>2.4</w:t>
      </w:r>
      <w:r w:rsidRPr="00635E07">
        <w:rPr>
          <w:lang w:val="en-US"/>
        </w:rPr>
        <w:tab/>
      </w:r>
      <w:r w:rsidRPr="00635E07">
        <w:rPr>
          <w:lang w:eastAsia="de-DE"/>
        </w:rPr>
        <w:t>In 2013, in a separate set of proceedings, the author challenged her 2012 tax assessment</w:t>
      </w:r>
      <w:r>
        <w:rPr>
          <w:lang w:eastAsia="de-DE"/>
        </w:rPr>
        <w:t>, because the financial allowance provided to her by the Order in the amount of 94,287 Swedish kronor</w:t>
      </w:r>
      <w:r w:rsidRPr="00635E07">
        <w:rPr>
          <w:rStyle w:val="FootnoteReference"/>
          <w:lang w:eastAsia="de-DE"/>
        </w:rPr>
        <w:footnoteReference w:id="4"/>
      </w:r>
      <w:r w:rsidRPr="00635E07">
        <w:rPr>
          <w:lang w:eastAsia="de-DE"/>
        </w:rPr>
        <w:t xml:space="preserve"> </w:t>
      </w:r>
      <w:r>
        <w:rPr>
          <w:lang w:eastAsia="de-DE"/>
        </w:rPr>
        <w:t xml:space="preserve">was taxed as income at a rate of </w:t>
      </w:r>
      <w:r w:rsidRPr="00635E07">
        <w:rPr>
          <w:lang w:eastAsia="de-DE"/>
        </w:rPr>
        <w:t>32.64</w:t>
      </w:r>
      <w:r>
        <w:rPr>
          <w:lang w:eastAsia="de-DE"/>
        </w:rPr>
        <w:t xml:space="preserve"> per cent.</w:t>
      </w:r>
      <w:r w:rsidRPr="00635E07">
        <w:rPr>
          <w:lang w:eastAsia="de-DE"/>
        </w:rPr>
        <w:t xml:space="preserve"> The author was not given the opportunity to present her case orally and the Tax Agency dismissed her complaint on </w:t>
      </w:r>
      <w:r>
        <w:rPr>
          <w:lang w:eastAsia="de-DE"/>
        </w:rPr>
        <w:t>18</w:t>
      </w:r>
      <w:r w:rsidRPr="00635E07">
        <w:rPr>
          <w:lang w:eastAsia="de-DE"/>
        </w:rPr>
        <w:t xml:space="preserve"> </w:t>
      </w:r>
      <w:r>
        <w:rPr>
          <w:lang w:eastAsia="de-DE"/>
        </w:rPr>
        <w:t>September</w:t>
      </w:r>
      <w:r w:rsidRPr="00635E07">
        <w:rPr>
          <w:lang w:eastAsia="de-DE"/>
        </w:rPr>
        <w:t xml:space="preserve"> 2013. The author appealed this decision. </w:t>
      </w:r>
      <w:r>
        <w:rPr>
          <w:lang w:eastAsia="de-DE"/>
        </w:rPr>
        <w:t xml:space="preserve">The author was heard in court. </w:t>
      </w:r>
      <w:r w:rsidRPr="00635E07">
        <w:rPr>
          <w:lang w:eastAsia="de-DE"/>
        </w:rPr>
        <w:t xml:space="preserve">On </w:t>
      </w:r>
      <w:r>
        <w:rPr>
          <w:lang w:eastAsia="de-DE"/>
        </w:rPr>
        <w:t>19</w:t>
      </w:r>
      <w:r w:rsidRPr="00635E07">
        <w:rPr>
          <w:lang w:eastAsia="de-DE"/>
        </w:rPr>
        <w:t xml:space="preserve"> </w:t>
      </w:r>
      <w:r>
        <w:rPr>
          <w:lang w:eastAsia="de-DE"/>
        </w:rPr>
        <w:t>March</w:t>
      </w:r>
      <w:r w:rsidRPr="00635E07">
        <w:rPr>
          <w:lang w:eastAsia="de-DE"/>
        </w:rPr>
        <w:t xml:space="preserve"> 2014, the Administrative Court </w:t>
      </w:r>
      <w:r>
        <w:rPr>
          <w:lang w:eastAsia="de-DE"/>
        </w:rPr>
        <w:t xml:space="preserve">nonetheless </w:t>
      </w:r>
      <w:r w:rsidRPr="00635E07">
        <w:rPr>
          <w:lang w:eastAsia="de-DE"/>
        </w:rPr>
        <w:t>dismissed the appeal concluding that the case was almost identical with her earlier claims challenging the tax assessments</w:t>
      </w:r>
      <w:r>
        <w:rPr>
          <w:lang w:eastAsia="de-DE"/>
        </w:rPr>
        <w:t xml:space="preserve"> for the period </w:t>
      </w:r>
      <w:r w:rsidRPr="00635E07">
        <w:rPr>
          <w:lang w:eastAsia="de-DE"/>
        </w:rPr>
        <w:t>2005</w:t>
      </w:r>
      <w:r>
        <w:rPr>
          <w:lang w:eastAsia="de-DE"/>
        </w:rPr>
        <w:t>–</w:t>
      </w:r>
      <w:r w:rsidRPr="00635E07">
        <w:rPr>
          <w:lang w:eastAsia="de-DE"/>
        </w:rPr>
        <w:t xml:space="preserve">2011, which </w:t>
      </w:r>
      <w:r>
        <w:rPr>
          <w:lang w:eastAsia="de-DE"/>
        </w:rPr>
        <w:t xml:space="preserve">had </w:t>
      </w:r>
      <w:r w:rsidRPr="00635E07">
        <w:rPr>
          <w:lang w:eastAsia="de-DE"/>
        </w:rPr>
        <w:t xml:space="preserve">eventually </w:t>
      </w:r>
      <w:r>
        <w:rPr>
          <w:lang w:eastAsia="de-DE"/>
        </w:rPr>
        <w:t xml:space="preserve">been </w:t>
      </w:r>
      <w:r w:rsidRPr="00635E07">
        <w:rPr>
          <w:lang w:eastAsia="de-DE"/>
        </w:rPr>
        <w:t xml:space="preserve">rejected by the authorities. </w:t>
      </w:r>
      <w:r>
        <w:rPr>
          <w:lang w:eastAsia="de-DE"/>
        </w:rPr>
        <w:t xml:space="preserve">The Administrative Court also stated that </w:t>
      </w:r>
      <w:r w:rsidRPr="00635E07">
        <w:rPr>
          <w:lang w:eastAsia="de-DE"/>
        </w:rPr>
        <w:t xml:space="preserve">the case was principally identical </w:t>
      </w:r>
      <w:r>
        <w:rPr>
          <w:lang w:eastAsia="de-DE"/>
        </w:rPr>
        <w:t>to a separate case</w:t>
      </w:r>
      <w:r w:rsidRPr="00635E07">
        <w:rPr>
          <w:lang w:eastAsia="de-DE"/>
        </w:rPr>
        <w:t xml:space="preserve"> (</w:t>
      </w:r>
      <w:r w:rsidR="00F60712">
        <w:rPr>
          <w:lang w:eastAsia="de-DE"/>
        </w:rPr>
        <w:t>“</w:t>
      </w:r>
      <w:r w:rsidRPr="00635E07">
        <w:rPr>
          <w:i/>
          <w:lang w:eastAsia="de-DE"/>
        </w:rPr>
        <w:t>M.A. v. the Swedish Tax Agency</w:t>
      </w:r>
      <w:r w:rsidR="00F60712">
        <w:rPr>
          <w:iCs/>
          <w:lang w:eastAsia="de-DE"/>
        </w:rPr>
        <w:t>”</w:t>
      </w:r>
      <w:r w:rsidRPr="00635E07">
        <w:rPr>
          <w:lang w:eastAsia="de-DE"/>
        </w:rPr>
        <w:t>)</w:t>
      </w:r>
      <w:r>
        <w:rPr>
          <w:lang w:eastAsia="de-DE"/>
        </w:rPr>
        <w:t>, for which the Council of Advance Tax Rulings had issued a decision on 10 May 2011</w:t>
      </w:r>
      <w:r w:rsidRPr="00635E07">
        <w:rPr>
          <w:lang w:eastAsia="de-DE"/>
        </w:rPr>
        <w:t>.</w:t>
      </w:r>
      <w:r w:rsidRPr="00635E07">
        <w:rPr>
          <w:rStyle w:val="FootnoteReference"/>
          <w:lang w:eastAsia="de-DE"/>
        </w:rPr>
        <w:footnoteReference w:id="5"/>
      </w:r>
      <w:r>
        <w:rPr>
          <w:lang w:eastAsia="de-DE"/>
        </w:rPr>
        <w:t xml:space="preserve"> </w:t>
      </w:r>
      <w:r w:rsidRPr="00635E07">
        <w:rPr>
          <w:lang w:eastAsia="de-DE"/>
        </w:rPr>
        <w:t xml:space="preserve">The author filed for </w:t>
      </w:r>
      <w:r>
        <w:rPr>
          <w:lang w:eastAsia="de-DE"/>
        </w:rPr>
        <w:t xml:space="preserve">an </w:t>
      </w:r>
      <w:r w:rsidRPr="00635E07">
        <w:rPr>
          <w:lang w:eastAsia="de-DE"/>
        </w:rPr>
        <w:t>appeal</w:t>
      </w:r>
      <w:r>
        <w:rPr>
          <w:lang w:eastAsia="de-DE"/>
        </w:rPr>
        <w:t xml:space="preserve">, which was rejected by the </w:t>
      </w:r>
      <w:r w:rsidRPr="00635E07">
        <w:rPr>
          <w:lang w:eastAsia="de-DE"/>
        </w:rPr>
        <w:t xml:space="preserve">Administrative Court of Appeal </w:t>
      </w:r>
      <w:r>
        <w:rPr>
          <w:lang w:val="en-US"/>
        </w:rPr>
        <w:t>o</w:t>
      </w:r>
      <w:r w:rsidRPr="00635E07">
        <w:rPr>
          <w:lang w:eastAsia="de-DE"/>
        </w:rPr>
        <w:t xml:space="preserve">n </w:t>
      </w:r>
      <w:r>
        <w:rPr>
          <w:lang w:eastAsia="de-DE"/>
        </w:rPr>
        <w:t>2 October 2014.</w:t>
      </w:r>
      <w:r w:rsidRPr="00635E07">
        <w:rPr>
          <w:lang w:eastAsia="de-DE"/>
        </w:rPr>
        <w:t xml:space="preserve"> On 9 January 2015,</w:t>
      </w:r>
      <w:r>
        <w:rPr>
          <w:lang w:eastAsia="de-DE"/>
        </w:rPr>
        <w:t xml:space="preserve"> </w:t>
      </w:r>
      <w:r w:rsidRPr="00635E07">
        <w:rPr>
          <w:lang w:eastAsia="de-DE"/>
        </w:rPr>
        <w:t>the author</w:t>
      </w:r>
      <w:r w:rsidR="00F60712">
        <w:rPr>
          <w:lang w:eastAsia="de-DE"/>
        </w:rPr>
        <w:t>’</w:t>
      </w:r>
      <w:r w:rsidRPr="00635E07">
        <w:rPr>
          <w:lang w:eastAsia="de-DE"/>
        </w:rPr>
        <w:t>s request for leave to appeal was refused by the Supreme Administrative Court.</w:t>
      </w:r>
    </w:p>
    <w:p w14:paraId="3BBD1FF1" w14:textId="77777777" w:rsidR="00AD110A" w:rsidRPr="00635E07" w:rsidRDefault="00AD110A" w:rsidP="00AD110A">
      <w:pPr>
        <w:pStyle w:val="H23G"/>
        <w:rPr>
          <w:lang w:val="en-US"/>
        </w:rPr>
      </w:pPr>
      <w:r w:rsidRPr="00635E07">
        <w:rPr>
          <w:lang w:val="en-US"/>
        </w:rPr>
        <w:tab/>
      </w:r>
      <w:r w:rsidRPr="00635E07">
        <w:rPr>
          <w:lang w:val="en-US"/>
        </w:rPr>
        <w:tab/>
      </w:r>
      <w:r>
        <w:rPr>
          <w:lang w:val="en-US"/>
        </w:rPr>
        <w:t>C</w:t>
      </w:r>
      <w:r w:rsidRPr="00635E07">
        <w:rPr>
          <w:lang w:val="en-US"/>
        </w:rPr>
        <w:t>omplaint</w:t>
      </w:r>
    </w:p>
    <w:p w14:paraId="617F294E" w14:textId="6A449C3C" w:rsidR="00AD110A" w:rsidRPr="00635E07" w:rsidRDefault="00AD110A" w:rsidP="00AD110A">
      <w:pPr>
        <w:pStyle w:val="SingleTxtG"/>
        <w:rPr>
          <w:lang w:eastAsia="de-DE"/>
        </w:rPr>
      </w:pPr>
      <w:r w:rsidRPr="00635E07">
        <w:t>3.1</w:t>
      </w:r>
      <w:r w:rsidRPr="00635E07">
        <w:tab/>
        <w:t>The author claims that the State party has violated her rights under articles 14, 18 and 26 of the Covenant by obliging her to pay an income tax on her modest monthly allowance provided by the Order.</w:t>
      </w:r>
    </w:p>
    <w:p w14:paraId="66607D7C" w14:textId="77777777" w:rsidR="00AD110A" w:rsidRPr="00635E07" w:rsidRDefault="00AD110A" w:rsidP="00AD110A">
      <w:pPr>
        <w:pStyle w:val="SingleTxtG"/>
        <w:rPr>
          <w:lang w:eastAsia="de-DE"/>
        </w:rPr>
      </w:pPr>
      <w:r w:rsidRPr="00635E07">
        <w:t>3.2</w:t>
      </w:r>
      <w:r w:rsidRPr="00635E07">
        <w:tab/>
      </w:r>
      <w:r w:rsidRPr="008D28F6">
        <w:t>Regarding her claims</w:t>
      </w:r>
      <w:r w:rsidRPr="00635E07">
        <w:t xml:space="preserve"> under article 26 of the Covenant, she claims that the State party </w:t>
      </w:r>
      <w:r w:rsidRPr="00635E07">
        <w:rPr>
          <w:lang w:eastAsia="de-DE"/>
        </w:rPr>
        <w:t xml:space="preserve">has long exempted members of other religious orders from paying an income tax on the </w:t>
      </w:r>
      <w:r w:rsidRPr="00635E07">
        <w:rPr>
          <w:lang w:eastAsia="de-DE"/>
        </w:rPr>
        <w:lastRenderedPageBreak/>
        <w:t xml:space="preserve">financial support received from their respective orders. This exemption is </w:t>
      </w:r>
      <w:proofErr w:type="gramStart"/>
      <w:r w:rsidRPr="00635E07">
        <w:rPr>
          <w:lang w:eastAsia="de-DE"/>
        </w:rPr>
        <w:t>based on the fact that</w:t>
      </w:r>
      <w:proofErr w:type="gramEnd"/>
      <w:r w:rsidRPr="00635E07">
        <w:rPr>
          <w:lang w:eastAsia="de-DE"/>
        </w:rPr>
        <w:t xml:space="preserve"> members of those orders are not to be considered employees as they do not serve for pecuniary gain. </w:t>
      </w:r>
      <w:r>
        <w:rPr>
          <w:lang w:eastAsia="de-DE"/>
        </w:rPr>
        <w:t>In view</w:t>
      </w:r>
      <w:r w:rsidRPr="00635E07">
        <w:rPr>
          <w:lang w:eastAsia="de-DE"/>
        </w:rPr>
        <w:t xml:space="preserve"> of her situation, the domestic authorities should not have presumed her membership with the Order to be based on an employment relationship. </w:t>
      </w:r>
      <w:r>
        <w:rPr>
          <w:lang w:eastAsia="de-DE"/>
        </w:rPr>
        <w:t>The author claims that, on one side</w:t>
      </w:r>
      <w:r w:rsidRPr="00635E07">
        <w:rPr>
          <w:lang w:eastAsia="de-DE"/>
        </w:rPr>
        <w:t xml:space="preserve">, the State party </w:t>
      </w:r>
      <w:r>
        <w:rPr>
          <w:lang w:eastAsia="de-DE"/>
        </w:rPr>
        <w:t>violated article 26 of the Covenant insofar as it refused</w:t>
      </w:r>
      <w:r w:rsidRPr="00635E07">
        <w:rPr>
          <w:lang w:eastAsia="de-DE"/>
        </w:rPr>
        <w:t xml:space="preserve"> to apply </w:t>
      </w:r>
      <w:r>
        <w:rPr>
          <w:lang w:eastAsia="de-DE"/>
        </w:rPr>
        <w:t xml:space="preserve">to her </w:t>
      </w:r>
      <w:r w:rsidRPr="00635E07">
        <w:rPr>
          <w:lang w:eastAsia="de-DE"/>
        </w:rPr>
        <w:t xml:space="preserve">the same exemption </w:t>
      </w:r>
      <w:r>
        <w:rPr>
          <w:lang w:eastAsia="de-DE"/>
        </w:rPr>
        <w:t>it applies to other religious orders</w:t>
      </w:r>
      <w:r w:rsidRPr="00635E07">
        <w:rPr>
          <w:lang w:eastAsia="de-DE"/>
        </w:rPr>
        <w:t xml:space="preserve"> without providing any justification for the differential treatment. </w:t>
      </w:r>
      <w:r>
        <w:rPr>
          <w:lang w:eastAsia="de-DE"/>
        </w:rPr>
        <w:t>On the other side, the author claims a violation of article 26 because</w:t>
      </w:r>
      <w:r w:rsidRPr="00635E07">
        <w:rPr>
          <w:lang w:eastAsia="de-DE"/>
        </w:rPr>
        <w:t xml:space="preserve"> the State party failed to treat the author differently from those persons whose situation is significantly different </w:t>
      </w:r>
      <w:r>
        <w:rPr>
          <w:lang w:eastAsia="de-DE"/>
        </w:rPr>
        <w:t>– that is, persons who</w:t>
      </w:r>
      <w:r w:rsidRPr="00635E07">
        <w:rPr>
          <w:lang w:eastAsia="de-DE"/>
        </w:rPr>
        <w:t xml:space="preserve"> took up secular employment in the pursuit of pecuniary gain.</w:t>
      </w:r>
    </w:p>
    <w:p w14:paraId="1EBAEA52" w14:textId="3C085A50" w:rsidR="00AD110A" w:rsidRPr="00635E07" w:rsidRDefault="00AD110A" w:rsidP="00AD110A">
      <w:pPr>
        <w:pStyle w:val="SingleTxtG"/>
        <w:rPr>
          <w:lang w:eastAsia="de-DE"/>
        </w:rPr>
      </w:pPr>
      <w:r w:rsidRPr="00635E07">
        <w:rPr>
          <w:lang w:eastAsia="de-DE"/>
        </w:rPr>
        <w:t>3.3</w:t>
      </w:r>
      <w:r w:rsidRPr="00635E07">
        <w:rPr>
          <w:lang w:eastAsia="de-DE"/>
        </w:rPr>
        <w:tab/>
        <w:t>T</w:t>
      </w:r>
      <w:r w:rsidRPr="00635E07">
        <w:t xml:space="preserve">he author acknowledges that </w:t>
      </w:r>
      <w:r w:rsidRPr="00635E07">
        <w:rPr>
          <w:lang w:eastAsia="de-DE"/>
        </w:rPr>
        <w:t>State</w:t>
      </w:r>
      <w:r>
        <w:rPr>
          <w:lang w:eastAsia="de-DE"/>
        </w:rPr>
        <w:t>s</w:t>
      </w:r>
      <w:r w:rsidRPr="00635E07">
        <w:rPr>
          <w:lang w:eastAsia="de-DE"/>
        </w:rPr>
        <w:t xml:space="preserve"> parties are not obliged to provide </w:t>
      </w:r>
      <w:proofErr w:type="gramStart"/>
      <w:r w:rsidRPr="00635E07">
        <w:rPr>
          <w:lang w:eastAsia="de-DE"/>
        </w:rPr>
        <w:t>particular pecuniary</w:t>
      </w:r>
      <w:proofErr w:type="gramEnd"/>
      <w:r w:rsidRPr="00635E07">
        <w:rPr>
          <w:lang w:eastAsia="de-DE"/>
        </w:rPr>
        <w:t xml:space="preserve"> benefits to their citizens</w:t>
      </w:r>
      <w:r>
        <w:rPr>
          <w:lang w:eastAsia="de-DE"/>
        </w:rPr>
        <w:t>; however</w:t>
      </w:r>
      <w:r w:rsidRPr="00635E07">
        <w:rPr>
          <w:lang w:eastAsia="de-DE"/>
        </w:rPr>
        <w:t xml:space="preserve">, once benefits are granted, they must be provided in a non-discriminatory manner. Relying on the dissenting opinion in the case of </w:t>
      </w:r>
      <w:r w:rsidRPr="00635E07">
        <w:rPr>
          <w:i/>
          <w:lang w:eastAsia="de-DE"/>
        </w:rPr>
        <w:t>M.A. v. the Swedish Tax Agency</w:t>
      </w:r>
      <w:r w:rsidRPr="00635E07">
        <w:rPr>
          <w:lang w:eastAsia="de-DE"/>
        </w:rPr>
        <w:t xml:space="preserve">, the author argues that according to the well-established practice of the Tax Agency, which is in line with the relevant provisions of domestic law, any income originating in a </w:t>
      </w:r>
      <w:r>
        <w:rPr>
          <w:lang w:eastAsia="de-DE"/>
        </w:rPr>
        <w:t xml:space="preserve">community similar to a </w:t>
      </w:r>
      <w:r w:rsidRPr="00635E07">
        <w:rPr>
          <w:lang w:eastAsia="de-DE"/>
        </w:rPr>
        <w:t xml:space="preserve">monastery must be exempt from taxation. As pointed out in the dissenting opinion, the similarities between the </w:t>
      </w:r>
      <w:r>
        <w:rPr>
          <w:lang w:eastAsia="de-DE"/>
        </w:rPr>
        <w:t>author</w:t>
      </w:r>
      <w:r w:rsidR="00F60712">
        <w:rPr>
          <w:lang w:eastAsia="de-DE"/>
        </w:rPr>
        <w:t>’</w:t>
      </w:r>
      <w:r>
        <w:rPr>
          <w:lang w:eastAsia="de-DE"/>
        </w:rPr>
        <w:t xml:space="preserve">s </w:t>
      </w:r>
      <w:r w:rsidRPr="00635E07">
        <w:rPr>
          <w:lang w:eastAsia="de-DE"/>
        </w:rPr>
        <w:t xml:space="preserve">Order and other tax-exempted communities are evident. In this regard, the author reiterates that all who serve at Bethel receive the same allowances, which </w:t>
      </w:r>
      <w:r>
        <w:rPr>
          <w:lang w:eastAsia="de-DE"/>
        </w:rPr>
        <w:t>are</w:t>
      </w:r>
      <w:r w:rsidRPr="00635E07">
        <w:rPr>
          <w:lang w:eastAsia="de-DE"/>
        </w:rPr>
        <w:t xml:space="preserve"> not depend</w:t>
      </w:r>
      <w:r>
        <w:rPr>
          <w:lang w:eastAsia="de-DE"/>
        </w:rPr>
        <w:t>e</w:t>
      </w:r>
      <w:r w:rsidRPr="00635E07">
        <w:rPr>
          <w:lang w:eastAsia="de-DE"/>
        </w:rPr>
        <w:t>nt on the nature of the members</w:t>
      </w:r>
      <w:r w:rsidR="00F60712">
        <w:rPr>
          <w:lang w:eastAsia="de-DE"/>
        </w:rPr>
        <w:t>’</w:t>
      </w:r>
      <w:r w:rsidRPr="00635E07">
        <w:rPr>
          <w:lang w:eastAsia="de-DE"/>
        </w:rPr>
        <w:t xml:space="preserve"> assignments</w:t>
      </w:r>
      <w:r>
        <w:rPr>
          <w:lang w:eastAsia="de-DE"/>
        </w:rPr>
        <w:t>,</w:t>
      </w:r>
      <w:r w:rsidRPr="00635E07">
        <w:rPr>
          <w:lang w:eastAsia="de-DE"/>
        </w:rPr>
        <w:t xml:space="preserve"> and they continue to receive </w:t>
      </w:r>
      <w:r>
        <w:rPr>
          <w:lang w:eastAsia="de-DE"/>
        </w:rPr>
        <w:t>those allowances</w:t>
      </w:r>
      <w:r w:rsidRPr="00635E07">
        <w:rPr>
          <w:lang w:eastAsia="de-DE"/>
        </w:rPr>
        <w:t xml:space="preserve"> even if they cannot carry out their daily tasks anymore. </w:t>
      </w:r>
    </w:p>
    <w:p w14:paraId="03BC1154" w14:textId="62AA5B56" w:rsidR="00AD110A" w:rsidRPr="00635E07" w:rsidRDefault="00AD110A" w:rsidP="00AD110A">
      <w:pPr>
        <w:pStyle w:val="SingleTxtG"/>
        <w:rPr>
          <w:lang w:eastAsia="de-DE"/>
        </w:rPr>
      </w:pPr>
      <w:r w:rsidRPr="00635E07">
        <w:rPr>
          <w:lang w:eastAsia="de-DE"/>
        </w:rPr>
        <w:t>3.4</w:t>
      </w:r>
      <w:r w:rsidRPr="00635E07">
        <w:rPr>
          <w:lang w:eastAsia="de-DE"/>
        </w:rPr>
        <w:tab/>
        <w:t xml:space="preserve">In addition, the author submits that the State party also exempted members of the </w:t>
      </w:r>
      <w:r w:rsidRPr="008D28F6">
        <w:rPr>
          <w:lang w:eastAsia="de-DE"/>
        </w:rPr>
        <w:t>European Volunteer Service</w:t>
      </w:r>
      <w:r w:rsidRPr="00635E07">
        <w:rPr>
          <w:lang w:eastAsia="de-DE"/>
        </w:rPr>
        <w:t xml:space="preserve"> from their tax payment obligation</w:t>
      </w:r>
      <w:r>
        <w:rPr>
          <w:lang w:eastAsia="de-DE"/>
        </w:rPr>
        <w:t>, because</w:t>
      </w:r>
      <w:r w:rsidRPr="00635E07">
        <w:rPr>
          <w:lang w:eastAsia="de-DE"/>
        </w:rPr>
        <w:t xml:space="preserve"> the Tax Agency decided that the monthly allowance (115</w:t>
      </w:r>
      <w:r>
        <w:rPr>
          <w:lang w:eastAsia="de-DE"/>
        </w:rPr>
        <w:t xml:space="preserve"> euros</w:t>
      </w:r>
      <w:r w:rsidRPr="00635E07">
        <w:rPr>
          <w:lang w:eastAsia="de-DE"/>
        </w:rPr>
        <w:t>), room and board provided to more than 250 volunteers</w:t>
      </w:r>
      <w:r>
        <w:rPr>
          <w:lang w:eastAsia="de-DE"/>
        </w:rPr>
        <w:t xml:space="preserve"> of the European Volunteer Service</w:t>
      </w:r>
      <w:r w:rsidRPr="00635E07">
        <w:rPr>
          <w:lang w:eastAsia="de-DE"/>
        </w:rPr>
        <w:t>, who work full-time for at least one year for a not-for-profit organi</w:t>
      </w:r>
      <w:r>
        <w:rPr>
          <w:lang w:eastAsia="de-DE"/>
        </w:rPr>
        <w:t>z</w:t>
      </w:r>
      <w:r w:rsidRPr="00635E07">
        <w:rPr>
          <w:lang w:eastAsia="de-DE"/>
        </w:rPr>
        <w:t>ation in Sweden, are not subject to tax</w:t>
      </w:r>
      <w:r>
        <w:rPr>
          <w:lang w:eastAsia="de-DE"/>
        </w:rPr>
        <w:t>ation</w:t>
      </w:r>
      <w:r w:rsidRPr="00635E07">
        <w:rPr>
          <w:lang w:eastAsia="de-DE"/>
        </w:rPr>
        <w:t xml:space="preserve">. The author submits that for the purposes of this communication, there is no difference between the </w:t>
      </w:r>
      <w:r>
        <w:rPr>
          <w:lang w:eastAsia="de-DE"/>
        </w:rPr>
        <w:t xml:space="preserve">situation of the </w:t>
      </w:r>
      <w:r w:rsidRPr="00635E07">
        <w:rPr>
          <w:lang w:eastAsia="de-DE"/>
        </w:rPr>
        <w:t xml:space="preserve">volunteers </w:t>
      </w:r>
      <w:r>
        <w:rPr>
          <w:lang w:eastAsia="de-DE"/>
        </w:rPr>
        <w:t>of the European Volunteer Service and her own.</w:t>
      </w:r>
      <w:r w:rsidRPr="00635E07">
        <w:rPr>
          <w:lang w:eastAsia="de-DE"/>
        </w:rPr>
        <w:t xml:space="preserve"> </w:t>
      </w:r>
      <w:r>
        <w:rPr>
          <w:lang w:eastAsia="de-DE"/>
        </w:rPr>
        <w:t>N</w:t>
      </w:r>
      <w:r w:rsidRPr="00635E07">
        <w:rPr>
          <w:lang w:eastAsia="de-DE"/>
        </w:rPr>
        <w:t>onetheless</w:t>
      </w:r>
      <w:r>
        <w:rPr>
          <w:lang w:eastAsia="de-DE"/>
        </w:rPr>
        <w:t>, she</w:t>
      </w:r>
      <w:r w:rsidRPr="00635E07">
        <w:rPr>
          <w:lang w:eastAsia="de-DE"/>
        </w:rPr>
        <w:t xml:space="preserve"> has been treated differently.</w:t>
      </w:r>
    </w:p>
    <w:p w14:paraId="60F16635" w14:textId="0E6220F6" w:rsidR="00AD110A" w:rsidRPr="00635E07" w:rsidRDefault="00AD110A" w:rsidP="00AD110A">
      <w:pPr>
        <w:pStyle w:val="SingleTxtG"/>
      </w:pPr>
      <w:r w:rsidRPr="00635E07">
        <w:t>3.5</w:t>
      </w:r>
      <w:r w:rsidRPr="00635E07">
        <w:tab/>
        <w:t>Regarding her claims under article 18 of the Covenant, the author submits that</w:t>
      </w:r>
      <w:r>
        <w:t xml:space="preserve"> being</w:t>
      </w:r>
      <w:r w:rsidRPr="00635E07">
        <w:t xml:space="preserve"> labell</w:t>
      </w:r>
      <w:r>
        <w:t>ed</w:t>
      </w:r>
      <w:r w:rsidRPr="00635E07">
        <w:t xml:space="preserve"> as an employee </w:t>
      </w:r>
      <w:r>
        <w:t xml:space="preserve">who is </w:t>
      </w:r>
      <w:r w:rsidRPr="00635E07">
        <w:t xml:space="preserve">working for pecuniary gain is deeply offensive to her religious beliefs. It denigrates the lifelong commitment she and her husband made to forego pecuniary gain and to live their lives in the service of </w:t>
      </w:r>
      <w:r>
        <w:t xml:space="preserve">their God, </w:t>
      </w:r>
      <w:r w:rsidRPr="00635E07">
        <w:t xml:space="preserve">Jehovah. Such an interference was neither prescribed by law nor necessary in a democratic society. In this respect, it is argued that in order to satisfy the </w:t>
      </w:r>
      <w:r w:rsidR="00F60712">
        <w:t>“</w:t>
      </w:r>
      <w:r w:rsidRPr="00635E07">
        <w:t>prescribed by law</w:t>
      </w:r>
      <w:r w:rsidR="00F60712">
        <w:t>”</w:t>
      </w:r>
      <w:r w:rsidRPr="00635E07">
        <w:t xml:space="preserve"> criterion, the law</w:t>
      </w:r>
      <w:r>
        <w:t xml:space="preserve"> must</w:t>
      </w:r>
      <w:r w:rsidRPr="00635E07">
        <w:t>, among other</w:t>
      </w:r>
      <w:r>
        <w:t xml:space="preserve"> thing</w:t>
      </w:r>
      <w:r w:rsidRPr="00635E07">
        <w:t xml:space="preserve">s, be formulated with sufficient precision </w:t>
      </w:r>
      <w:r>
        <w:t xml:space="preserve">as </w:t>
      </w:r>
      <w:r w:rsidRPr="00635E07">
        <w:t xml:space="preserve">to enable citizens to regulate their conduct and to foresee, to a degree that is reasonable in the circumstances, the consequences </w:t>
      </w:r>
      <w:r>
        <w:t>that</w:t>
      </w:r>
      <w:r w:rsidRPr="00635E07">
        <w:t xml:space="preserve"> a given action may entail.</w:t>
      </w:r>
      <w:r w:rsidRPr="00635E07">
        <w:rPr>
          <w:rStyle w:val="FootnoteReference"/>
          <w:lang w:eastAsia="de-DE"/>
        </w:rPr>
        <w:footnoteReference w:id="6"/>
      </w:r>
      <w:r w:rsidRPr="00635E07">
        <w:t xml:space="preserve"> </w:t>
      </w:r>
      <w:r>
        <w:t>Chapter</w:t>
      </w:r>
      <w:r w:rsidRPr="00635E07">
        <w:t xml:space="preserve"> 10</w:t>
      </w:r>
      <w:r>
        <w:t>, section</w:t>
      </w:r>
      <w:r w:rsidRPr="00635E07">
        <w:t xml:space="preserve"> 1 and </w:t>
      </w:r>
      <w:r>
        <w:t xml:space="preserve">chapter </w:t>
      </w:r>
      <w:r w:rsidRPr="00635E07">
        <w:t>11</w:t>
      </w:r>
      <w:r>
        <w:t>, section</w:t>
      </w:r>
      <w:r w:rsidRPr="00635E07">
        <w:t xml:space="preserve"> 1 of the Income Tax Act, however, do not meet this criterion as </w:t>
      </w:r>
      <w:r>
        <w:t>they</w:t>
      </w:r>
      <w:r w:rsidRPr="00635E07">
        <w:t xml:space="preserve"> leave the door open for conflicting interpretations as demonstrated by the dissenting opinion in the case of </w:t>
      </w:r>
      <w:r w:rsidRPr="00635E07">
        <w:rPr>
          <w:i/>
        </w:rPr>
        <w:t>M.A. v. the Swedish Tax Agency</w:t>
      </w:r>
      <w:r w:rsidRPr="00635E07">
        <w:t>. The author further submits that an international consensus concerning the non-employment nature of the relationship between the members and the Order</w:t>
      </w:r>
      <w:r>
        <w:t xml:space="preserve"> already appears to exist</w:t>
      </w:r>
      <w:r w:rsidRPr="00635E07">
        <w:t>.</w:t>
      </w:r>
      <w:r w:rsidRPr="00635E07">
        <w:rPr>
          <w:rStyle w:val="FootnoteReference"/>
          <w:lang w:eastAsia="de-DE"/>
        </w:rPr>
        <w:footnoteReference w:id="7"/>
      </w:r>
      <w:r w:rsidRPr="00635E07">
        <w:t xml:space="preserve"> In addition, the imposed tax burden is disproportionate and it has a detrimental effect on the manifestation of the author</w:t>
      </w:r>
      <w:r w:rsidR="00F60712">
        <w:t>’</w:t>
      </w:r>
      <w:r w:rsidRPr="00635E07">
        <w:t>s religious belief</w:t>
      </w:r>
      <w:r>
        <w:t>s</w:t>
      </w:r>
      <w:r w:rsidRPr="00635E07">
        <w:t xml:space="preserve"> in the light of the fact that members of other religious orders are exempt from tax payment on the financial assistance provided to them.</w:t>
      </w:r>
    </w:p>
    <w:p w14:paraId="27EADCEB" w14:textId="2E7F7CE9" w:rsidR="00AD110A" w:rsidRPr="00635E07" w:rsidRDefault="00AD110A" w:rsidP="00AD110A">
      <w:pPr>
        <w:pStyle w:val="SingleTxtG"/>
        <w:rPr>
          <w:lang w:eastAsia="de-DE"/>
        </w:rPr>
      </w:pPr>
      <w:r w:rsidRPr="00635E07">
        <w:rPr>
          <w:lang w:eastAsia="de-DE"/>
        </w:rPr>
        <w:t>3.6</w:t>
      </w:r>
      <w:r w:rsidRPr="00635E07">
        <w:rPr>
          <w:lang w:eastAsia="de-DE"/>
        </w:rPr>
        <w:tab/>
        <w:t>Relying on</w:t>
      </w:r>
      <w:r w:rsidRPr="00635E07">
        <w:t xml:space="preserve"> article 14 of the Covenant, the author recalls that t</w:t>
      </w:r>
      <w:r w:rsidRPr="00635E07">
        <w:rPr>
          <w:lang w:eastAsia="de-DE"/>
        </w:rPr>
        <w:t xml:space="preserve">he right to a fair hearing encompasses the right to a reasoned decision. Nevertheless, the Administrative Court of Appeal summarily rejected her appeal and failed to address any of her arguments, including </w:t>
      </w:r>
      <w:r>
        <w:rPr>
          <w:lang w:eastAsia="de-DE"/>
        </w:rPr>
        <w:t>t</w:t>
      </w:r>
      <w:r w:rsidRPr="00635E07">
        <w:rPr>
          <w:lang w:eastAsia="de-DE"/>
        </w:rPr>
        <w:t>he discrimination claim</w:t>
      </w:r>
      <w:r>
        <w:rPr>
          <w:lang w:eastAsia="de-DE"/>
        </w:rPr>
        <w:t xml:space="preserve"> raised in her submissions and her oral testimony.</w:t>
      </w:r>
      <w:r w:rsidRPr="00635E07">
        <w:rPr>
          <w:lang w:eastAsia="de-DE"/>
        </w:rPr>
        <w:t xml:space="preserve"> </w:t>
      </w:r>
      <w:r w:rsidRPr="008D28F6">
        <w:rPr>
          <w:lang w:eastAsia="de-DE"/>
        </w:rPr>
        <w:t xml:space="preserve">The case of </w:t>
      </w:r>
      <w:r w:rsidRPr="008D28F6">
        <w:rPr>
          <w:i/>
          <w:lang w:eastAsia="de-DE"/>
        </w:rPr>
        <w:t>M</w:t>
      </w:r>
      <w:r w:rsidRPr="00635E07">
        <w:rPr>
          <w:i/>
          <w:lang w:eastAsia="de-DE"/>
        </w:rPr>
        <w:t>.A. v. the Swedish Tax Agency</w:t>
      </w:r>
      <w:r w:rsidRPr="009B580F">
        <w:rPr>
          <w:iCs/>
          <w:lang w:eastAsia="de-DE"/>
        </w:rPr>
        <w:t>,</w:t>
      </w:r>
      <w:r w:rsidRPr="00635E07">
        <w:rPr>
          <w:lang w:eastAsia="de-DE"/>
        </w:rPr>
        <w:t xml:space="preserve"> </w:t>
      </w:r>
      <w:r>
        <w:rPr>
          <w:lang w:eastAsia="de-DE"/>
        </w:rPr>
        <w:t xml:space="preserve">which </w:t>
      </w:r>
      <w:r w:rsidRPr="00635E07">
        <w:rPr>
          <w:lang w:eastAsia="de-DE"/>
        </w:rPr>
        <w:t>the Administrative Court seem</w:t>
      </w:r>
      <w:r>
        <w:rPr>
          <w:lang w:eastAsia="de-DE"/>
        </w:rPr>
        <w:t>ed</w:t>
      </w:r>
      <w:r w:rsidRPr="00635E07">
        <w:rPr>
          <w:lang w:eastAsia="de-DE"/>
        </w:rPr>
        <w:t xml:space="preserve"> to rely on, should not have been applied to her case. The applicant in the referenced case was said to have engaged in </w:t>
      </w:r>
      <w:proofErr w:type="gramStart"/>
      <w:r w:rsidRPr="00635E07">
        <w:rPr>
          <w:lang w:eastAsia="de-DE"/>
        </w:rPr>
        <w:t>some kind of outreach</w:t>
      </w:r>
      <w:proofErr w:type="gramEnd"/>
      <w:r w:rsidRPr="00635E07">
        <w:rPr>
          <w:lang w:eastAsia="de-DE"/>
        </w:rPr>
        <w:t xml:space="preserve"> work. </w:t>
      </w:r>
      <w:r>
        <w:rPr>
          <w:lang w:eastAsia="de-DE"/>
        </w:rPr>
        <w:t>The author</w:t>
      </w:r>
      <w:r w:rsidR="00F60712">
        <w:rPr>
          <w:lang w:eastAsia="de-DE"/>
        </w:rPr>
        <w:t>’</w:t>
      </w:r>
      <w:r>
        <w:rPr>
          <w:lang w:eastAsia="de-DE"/>
        </w:rPr>
        <w:t>s</w:t>
      </w:r>
      <w:r w:rsidRPr="00635E07">
        <w:rPr>
          <w:lang w:eastAsia="de-DE"/>
        </w:rPr>
        <w:t xml:space="preserve"> situation, however, </w:t>
      </w:r>
      <w:r>
        <w:rPr>
          <w:lang w:eastAsia="de-DE"/>
        </w:rPr>
        <w:t xml:space="preserve">differs </w:t>
      </w:r>
      <w:r w:rsidRPr="00635E07">
        <w:rPr>
          <w:lang w:eastAsia="de-DE"/>
        </w:rPr>
        <w:t>substantially from that of the a</w:t>
      </w:r>
      <w:r>
        <w:rPr>
          <w:lang w:eastAsia="de-DE"/>
        </w:rPr>
        <w:t>pplicant</w:t>
      </w:r>
      <w:r w:rsidRPr="00635E07">
        <w:rPr>
          <w:lang w:eastAsia="de-DE"/>
        </w:rPr>
        <w:t xml:space="preserve"> </w:t>
      </w:r>
      <w:r>
        <w:rPr>
          <w:lang w:eastAsia="de-DE"/>
        </w:rPr>
        <w:t>owing</w:t>
      </w:r>
      <w:r w:rsidRPr="00635E07">
        <w:rPr>
          <w:lang w:eastAsia="de-DE"/>
        </w:rPr>
        <w:t xml:space="preserve"> to her advanced age. On 9 January 2015, the Supreme Administrative Court refused to grant leave to appeal without setting out the reasons for its decision</w:t>
      </w:r>
      <w:r>
        <w:rPr>
          <w:lang w:eastAsia="de-DE"/>
        </w:rPr>
        <w:t>,</w:t>
      </w:r>
      <w:r w:rsidRPr="00635E07">
        <w:rPr>
          <w:lang w:eastAsia="de-DE"/>
        </w:rPr>
        <w:t xml:space="preserve"> even though the failure of the lower courts to reason their decisions and address the author</w:t>
      </w:r>
      <w:r w:rsidR="00F60712">
        <w:rPr>
          <w:lang w:eastAsia="de-DE"/>
        </w:rPr>
        <w:t>’</w:t>
      </w:r>
      <w:r w:rsidRPr="00635E07">
        <w:rPr>
          <w:lang w:eastAsia="de-DE"/>
        </w:rPr>
        <w:t xml:space="preserve">s claims was undoubtedly a </w:t>
      </w:r>
      <w:r w:rsidR="00F60712">
        <w:rPr>
          <w:lang w:eastAsia="de-DE"/>
        </w:rPr>
        <w:t>“</w:t>
      </w:r>
      <w:r w:rsidRPr="00635E07">
        <w:rPr>
          <w:lang w:eastAsia="de-DE"/>
        </w:rPr>
        <w:t>gross omission or gross mistake</w:t>
      </w:r>
      <w:r w:rsidR="00F60712">
        <w:rPr>
          <w:lang w:eastAsia="de-DE"/>
        </w:rPr>
        <w:t>”</w:t>
      </w:r>
      <w:r w:rsidRPr="00635E07">
        <w:rPr>
          <w:lang w:eastAsia="de-DE"/>
        </w:rPr>
        <w:t xml:space="preserve"> that should have benefited from a review by the Supreme Administrative Court.</w:t>
      </w:r>
    </w:p>
    <w:p w14:paraId="7829D8CB" w14:textId="629DBD0C" w:rsidR="00AD110A" w:rsidRPr="00635E07" w:rsidRDefault="00AD110A" w:rsidP="00AD110A">
      <w:pPr>
        <w:pStyle w:val="H23G"/>
        <w:rPr>
          <w:lang w:val="en-US"/>
        </w:rPr>
      </w:pPr>
      <w:r w:rsidRPr="00635E07">
        <w:rPr>
          <w:lang w:val="en-US"/>
        </w:rPr>
        <w:tab/>
      </w:r>
      <w:r w:rsidRPr="00635E07">
        <w:rPr>
          <w:lang w:val="en-US"/>
        </w:rPr>
        <w:tab/>
        <w:t>State party</w:t>
      </w:r>
      <w:r w:rsidR="00F60712">
        <w:rPr>
          <w:lang w:val="en-US"/>
        </w:rPr>
        <w:t>’</w:t>
      </w:r>
      <w:r w:rsidRPr="00635E07">
        <w:rPr>
          <w:lang w:val="en-US"/>
        </w:rPr>
        <w:t>s observations on admissibility</w:t>
      </w:r>
    </w:p>
    <w:p w14:paraId="786ED123" w14:textId="77777777" w:rsidR="00AD110A" w:rsidRPr="00635E07" w:rsidRDefault="00AD110A" w:rsidP="00AD110A">
      <w:pPr>
        <w:pStyle w:val="SingleTxtG"/>
      </w:pPr>
      <w:r w:rsidRPr="00635E07">
        <w:rPr>
          <w:lang w:val="en-US"/>
        </w:rPr>
        <w:t>4.1</w:t>
      </w:r>
      <w:r w:rsidRPr="00635E07">
        <w:rPr>
          <w:lang w:val="en-US"/>
        </w:rPr>
        <w:tab/>
      </w:r>
      <w:r w:rsidRPr="008D28F6">
        <w:rPr>
          <w:lang w:val="en-US"/>
        </w:rPr>
        <w:t>In a note verbale dated 16 May</w:t>
      </w:r>
      <w:r w:rsidRPr="00635E07">
        <w:rPr>
          <w:lang w:val="en-US"/>
        </w:rPr>
        <w:t xml:space="preserve"> 2016, the State party requested the Committee to declare the </w:t>
      </w:r>
      <w:r w:rsidRPr="00635E07">
        <w:t>communication</w:t>
      </w:r>
      <w:r w:rsidRPr="00635E07">
        <w:rPr>
          <w:lang w:val="en-US"/>
        </w:rPr>
        <w:t xml:space="preserve"> inadmissible under article 5</w:t>
      </w:r>
      <w:r>
        <w:rPr>
          <w:lang w:val="en-US"/>
        </w:rPr>
        <w:t xml:space="preserve"> </w:t>
      </w:r>
      <w:r w:rsidRPr="00635E07">
        <w:rPr>
          <w:lang w:val="en-US"/>
        </w:rPr>
        <w:t>(2) (a) of the Covenant</w:t>
      </w:r>
      <w:r>
        <w:rPr>
          <w:lang w:val="en-US"/>
        </w:rPr>
        <w:t>, since</w:t>
      </w:r>
      <w:r w:rsidRPr="00635E07">
        <w:rPr>
          <w:lang w:val="en-US"/>
        </w:rPr>
        <w:t xml:space="preserve"> the same matter ha</w:t>
      </w:r>
      <w:r>
        <w:rPr>
          <w:lang w:val="en-US"/>
        </w:rPr>
        <w:t>d</w:t>
      </w:r>
      <w:r w:rsidRPr="00635E07">
        <w:rPr>
          <w:lang w:val="en-US"/>
        </w:rPr>
        <w:t xml:space="preserve"> been examined under another procedure of international investigation or settlement. In this respect, the State party underlines that it has made a declaration upon the ratification of the Optional Protocol according to which the Committee shall not consider any communication from an individual unless it has ascertained that the same matter is not being examined or has not been examined under another procedure of international investigation or settlement.</w:t>
      </w:r>
      <w:r w:rsidRPr="00635E07">
        <w:rPr>
          <w:color w:val="000000"/>
          <w:sz w:val="23"/>
          <w:szCs w:val="23"/>
          <w:lang w:eastAsia="de-DE"/>
        </w:rPr>
        <w:t xml:space="preserve"> </w:t>
      </w:r>
    </w:p>
    <w:p w14:paraId="4E5A3369" w14:textId="2C4CA3C7" w:rsidR="00AD110A" w:rsidRPr="00635E07" w:rsidRDefault="00AD110A" w:rsidP="00AD110A">
      <w:pPr>
        <w:pStyle w:val="SingleTxtG"/>
        <w:rPr>
          <w:lang w:val="en-US"/>
        </w:rPr>
      </w:pPr>
      <w:r w:rsidRPr="00635E07">
        <w:rPr>
          <w:lang w:val="en-US"/>
        </w:rPr>
        <w:t>4.2</w:t>
      </w:r>
      <w:r w:rsidRPr="00635E07">
        <w:rPr>
          <w:lang w:val="en-US"/>
        </w:rPr>
        <w:tab/>
        <w:t xml:space="preserve">As regards the facts of the case, the State party underlines that on 20 December 2013 the author was </w:t>
      </w:r>
      <w:r>
        <w:rPr>
          <w:lang w:val="en-US"/>
        </w:rPr>
        <w:t>1</w:t>
      </w:r>
      <w:r w:rsidRPr="00635E07">
        <w:rPr>
          <w:lang w:val="en-US"/>
        </w:rPr>
        <w:t xml:space="preserve"> of the 115 members of the Order who jointly filed an application with the European Court of Human Rights</w:t>
      </w:r>
      <w:r>
        <w:rPr>
          <w:lang w:val="en-US"/>
        </w:rPr>
        <w:t>,</w:t>
      </w:r>
      <w:r w:rsidRPr="00635E07">
        <w:rPr>
          <w:lang w:val="en-US"/>
        </w:rPr>
        <w:t xml:space="preserve"> challenging their tax assessments for the period 2004</w:t>
      </w:r>
      <w:r>
        <w:rPr>
          <w:lang w:val="en-US"/>
        </w:rPr>
        <w:t>–</w:t>
      </w:r>
      <w:r w:rsidRPr="00635E07">
        <w:rPr>
          <w:lang w:val="en-US"/>
        </w:rPr>
        <w:t>2011. On 16 September 2014, the European Court, sitting as a Committee of three judges, declared the application inadmissible as the application did not disclose any appearance of a violation of the rights and freedoms set out in the Convention for the Protection of Human Rights and Fundamental Freedoms</w:t>
      </w:r>
      <w:r>
        <w:rPr>
          <w:lang w:val="en-US"/>
        </w:rPr>
        <w:t xml:space="preserve"> </w:t>
      </w:r>
      <w:r w:rsidRPr="00635E07">
        <w:rPr>
          <w:lang w:val="en-US"/>
        </w:rPr>
        <w:t xml:space="preserve">(European Convention on Human Rights) or </w:t>
      </w:r>
      <w:r>
        <w:rPr>
          <w:lang w:val="en-US"/>
        </w:rPr>
        <w:t>the</w:t>
      </w:r>
      <w:r w:rsidRPr="00635E07">
        <w:rPr>
          <w:lang w:val="en-US"/>
        </w:rPr>
        <w:t xml:space="preserve"> Protocols</w:t>
      </w:r>
      <w:r>
        <w:rPr>
          <w:lang w:val="en-US"/>
        </w:rPr>
        <w:t xml:space="preserve"> thereto</w:t>
      </w:r>
      <w:r w:rsidRPr="00635E07">
        <w:rPr>
          <w:lang w:val="en-US"/>
        </w:rPr>
        <w:t>.</w:t>
      </w:r>
    </w:p>
    <w:p w14:paraId="75731B2F" w14:textId="70A3CF8E" w:rsidR="00AD110A" w:rsidRPr="00635E07" w:rsidRDefault="00AD110A" w:rsidP="00AD110A">
      <w:pPr>
        <w:pStyle w:val="SingleTxtG"/>
        <w:rPr>
          <w:lang w:val="en-US"/>
        </w:rPr>
      </w:pPr>
      <w:r w:rsidRPr="00635E07">
        <w:rPr>
          <w:lang w:val="en-US"/>
        </w:rPr>
        <w:t>4.3</w:t>
      </w:r>
      <w:r w:rsidRPr="00635E07">
        <w:rPr>
          <w:lang w:val="en-US"/>
        </w:rPr>
        <w:tab/>
        <w:t>On 6 July 2015, the author lodged another application with the European Court. On 1 October 2015, she was informed that the Court, sitting in a single</w:t>
      </w:r>
      <w:r>
        <w:rPr>
          <w:lang w:val="en-US"/>
        </w:rPr>
        <w:t>-</w:t>
      </w:r>
      <w:r w:rsidRPr="00635E07">
        <w:rPr>
          <w:lang w:val="en-US"/>
        </w:rPr>
        <w:t xml:space="preserve">judge formation, found that the admissibility criteria set out in </w:t>
      </w:r>
      <w:r>
        <w:rPr>
          <w:lang w:val="en-US"/>
        </w:rPr>
        <w:t>a</w:t>
      </w:r>
      <w:r w:rsidRPr="00635E07">
        <w:rPr>
          <w:lang w:val="en-US"/>
        </w:rPr>
        <w:t xml:space="preserve">rticles 34 and 35 of the </w:t>
      </w:r>
      <w:r>
        <w:rPr>
          <w:lang w:val="en-US"/>
        </w:rPr>
        <w:t xml:space="preserve">European </w:t>
      </w:r>
      <w:r w:rsidRPr="00635E07">
        <w:rPr>
          <w:lang w:val="en-US"/>
        </w:rPr>
        <w:t xml:space="preserve">Convention </w:t>
      </w:r>
      <w:r>
        <w:rPr>
          <w:lang w:val="en-US"/>
        </w:rPr>
        <w:t xml:space="preserve">on Human Rights </w:t>
      </w:r>
      <w:r w:rsidRPr="00635E07">
        <w:rPr>
          <w:lang w:val="en-US"/>
        </w:rPr>
        <w:t>ha</w:t>
      </w:r>
      <w:r>
        <w:rPr>
          <w:lang w:val="en-US"/>
        </w:rPr>
        <w:t>d</w:t>
      </w:r>
      <w:r w:rsidRPr="00635E07">
        <w:rPr>
          <w:lang w:val="en-US"/>
        </w:rPr>
        <w:t xml:space="preserve"> not been met.</w:t>
      </w:r>
    </w:p>
    <w:p w14:paraId="5BE6C452" w14:textId="575E8115" w:rsidR="00AD110A" w:rsidRPr="00635E07" w:rsidRDefault="00AD110A" w:rsidP="00AD110A">
      <w:pPr>
        <w:pStyle w:val="SingleTxtG"/>
        <w:rPr>
          <w:lang w:val="en-US"/>
        </w:rPr>
      </w:pPr>
      <w:r w:rsidRPr="00635E07">
        <w:rPr>
          <w:lang w:val="en-US"/>
        </w:rPr>
        <w:t>4.4</w:t>
      </w:r>
      <w:r w:rsidRPr="00635E07">
        <w:rPr>
          <w:lang w:val="en-US"/>
        </w:rPr>
        <w:tab/>
        <w:t xml:space="preserve">The State party submits that in her communication to the Committee, the author has alleged that her rights under articles 14, 18 and 26 of the Covenant </w:t>
      </w:r>
      <w:r>
        <w:rPr>
          <w:lang w:val="en-US"/>
        </w:rPr>
        <w:t>were</w:t>
      </w:r>
      <w:r w:rsidRPr="00635E07">
        <w:rPr>
          <w:lang w:val="en-US"/>
        </w:rPr>
        <w:t xml:space="preserve"> violated. In her 2015 application to the European Court</w:t>
      </w:r>
      <w:r>
        <w:rPr>
          <w:lang w:val="en-US"/>
        </w:rPr>
        <w:t xml:space="preserve"> of Human Rights</w:t>
      </w:r>
      <w:r w:rsidRPr="00635E07">
        <w:rPr>
          <w:lang w:val="en-US"/>
        </w:rPr>
        <w:t xml:space="preserve">, the author invoked </w:t>
      </w:r>
      <w:r>
        <w:rPr>
          <w:lang w:val="en-US"/>
        </w:rPr>
        <w:t>a</w:t>
      </w:r>
      <w:r w:rsidRPr="00635E07">
        <w:rPr>
          <w:lang w:val="en-US"/>
        </w:rPr>
        <w:t xml:space="preserve">rticles 6, 9 and 14 of the </w:t>
      </w:r>
      <w:r>
        <w:rPr>
          <w:lang w:val="en-US"/>
        </w:rPr>
        <w:t xml:space="preserve">European </w:t>
      </w:r>
      <w:r w:rsidRPr="00635E07">
        <w:rPr>
          <w:lang w:val="en-US"/>
        </w:rPr>
        <w:t>Convention</w:t>
      </w:r>
      <w:r>
        <w:rPr>
          <w:lang w:val="en-US"/>
        </w:rPr>
        <w:t xml:space="preserve"> on Human Rights</w:t>
      </w:r>
      <w:r w:rsidRPr="00635E07">
        <w:rPr>
          <w:lang w:val="en-US"/>
        </w:rPr>
        <w:t xml:space="preserve">. The State party notes that the articles </w:t>
      </w:r>
      <w:r>
        <w:rPr>
          <w:lang w:val="en-US"/>
        </w:rPr>
        <w:t xml:space="preserve">on which </w:t>
      </w:r>
      <w:r w:rsidRPr="00635E07">
        <w:rPr>
          <w:lang w:val="en-US"/>
        </w:rPr>
        <w:t xml:space="preserve">the author is relying in her present communication coincide with </w:t>
      </w:r>
      <w:r>
        <w:rPr>
          <w:lang w:val="en-US"/>
        </w:rPr>
        <w:t>t</w:t>
      </w:r>
      <w:r w:rsidRPr="00635E07">
        <w:rPr>
          <w:lang w:val="en-US"/>
        </w:rPr>
        <w:t xml:space="preserve">he claims </w:t>
      </w:r>
      <w:r>
        <w:rPr>
          <w:lang w:val="en-US"/>
        </w:rPr>
        <w:t xml:space="preserve">she </w:t>
      </w:r>
      <w:r w:rsidRPr="00635E07">
        <w:rPr>
          <w:lang w:val="en-US"/>
        </w:rPr>
        <w:t>brought before the European Court under the respective articles of the Convention. Furthermore, the State party observes that the author does not contest that her 2015 application to the European Court and the present communication to the Committee concern the same facts and issues. Accordingly, in the State party</w:t>
      </w:r>
      <w:r w:rsidR="00F60712">
        <w:rPr>
          <w:lang w:val="en-US"/>
        </w:rPr>
        <w:t>’</w:t>
      </w:r>
      <w:r w:rsidRPr="00635E07">
        <w:rPr>
          <w:lang w:val="en-US"/>
        </w:rPr>
        <w:t>s view, the present communication relates to the same matter as the 2015 application previously lodged by the author with the European Court</w:t>
      </w:r>
      <w:r>
        <w:rPr>
          <w:lang w:val="en-US"/>
        </w:rPr>
        <w:t>,</w:t>
      </w:r>
      <w:r w:rsidRPr="00635E07">
        <w:rPr>
          <w:lang w:val="en-US"/>
        </w:rPr>
        <w:t xml:space="preserve"> within the meaning of article 5 (2) (a) of the Optional Protocol.</w:t>
      </w:r>
    </w:p>
    <w:p w14:paraId="3F066D82" w14:textId="010FBA62" w:rsidR="00AD110A" w:rsidRPr="00635E07" w:rsidRDefault="00AD110A" w:rsidP="00AD110A">
      <w:pPr>
        <w:pStyle w:val="SingleTxtG"/>
        <w:rPr>
          <w:lang w:val="en-US"/>
        </w:rPr>
      </w:pPr>
      <w:r w:rsidRPr="00635E07">
        <w:rPr>
          <w:lang w:val="en-US"/>
        </w:rPr>
        <w:t>4.5</w:t>
      </w:r>
      <w:r w:rsidRPr="00635E07">
        <w:rPr>
          <w:lang w:val="en-US"/>
        </w:rPr>
        <w:tab/>
        <w:t xml:space="preserve">Regarding the issue </w:t>
      </w:r>
      <w:r>
        <w:rPr>
          <w:lang w:val="en-US"/>
        </w:rPr>
        <w:t xml:space="preserve">of </w:t>
      </w:r>
      <w:r w:rsidRPr="00635E07">
        <w:rPr>
          <w:lang w:val="en-US"/>
        </w:rPr>
        <w:t xml:space="preserve">whether the European Court </w:t>
      </w:r>
      <w:r>
        <w:rPr>
          <w:lang w:val="en-US"/>
        </w:rPr>
        <w:t xml:space="preserve">of Human Rights </w:t>
      </w:r>
      <w:r w:rsidRPr="00635E07">
        <w:rPr>
          <w:lang w:val="en-US"/>
        </w:rPr>
        <w:t>has examined the 2015 application for the purposes of article 5 (2) (a) of the Optional Protocol, the State party submits that it contests the author</w:t>
      </w:r>
      <w:r w:rsidR="00F60712">
        <w:rPr>
          <w:lang w:val="en-US"/>
        </w:rPr>
        <w:t>’</w:t>
      </w:r>
      <w:r w:rsidRPr="00635E07">
        <w:rPr>
          <w:lang w:val="en-US"/>
        </w:rPr>
        <w:t xml:space="preserve">s claim that her 2015 application has not been examined by the European Court. The State party recalls that the Committee has already held in earlier cases that where the European Court has based a decision of inadmissibility not solely on procedural grounds, but on reasons that involve even a limited consideration of the merits of the case, the same matter has been examined within the meaning of the </w:t>
      </w:r>
      <w:r>
        <w:rPr>
          <w:lang w:val="en-US"/>
        </w:rPr>
        <w:t xml:space="preserve">respective </w:t>
      </w:r>
      <w:r w:rsidRPr="00635E07">
        <w:rPr>
          <w:lang w:val="en-US"/>
        </w:rPr>
        <w:t>reservations to article 5 (2) (a) of the Optional Protocol.</w:t>
      </w:r>
      <w:r w:rsidRPr="00635E07">
        <w:rPr>
          <w:rStyle w:val="FootnoteReference"/>
          <w:lang w:val="en-US"/>
        </w:rPr>
        <w:footnoteReference w:id="8"/>
      </w:r>
      <w:r w:rsidRPr="00635E07">
        <w:rPr>
          <w:lang w:val="en-US"/>
        </w:rPr>
        <w:t xml:space="preserve"> </w:t>
      </w:r>
    </w:p>
    <w:p w14:paraId="74A3E765" w14:textId="77777777" w:rsidR="00AD110A" w:rsidRPr="00635E07" w:rsidRDefault="00AD110A" w:rsidP="00AD110A">
      <w:pPr>
        <w:pStyle w:val="SingleTxtG"/>
        <w:rPr>
          <w:lang w:val="en-US"/>
        </w:rPr>
      </w:pPr>
      <w:r w:rsidRPr="00635E07">
        <w:rPr>
          <w:lang w:val="en-US"/>
        </w:rPr>
        <w:t>4.6</w:t>
      </w:r>
      <w:r w:rsidRPr="00635E07">
        <w:rPr>
          <w:lang w:val="en-US"/>
        </w:rPr>
        <w:tab/>
        <w:t xml:space="preserve">The State party argues that according to </w:t>
      </w:r>
      <w:r>
        <w:rPr>
          <w:lang w:val="en-US"/>
        </w:rPr>
        <w:t>r</w:t>
      </w:r>
      <w:r w:rsidRPr="00635E07">
        <w:rPr>
          <w:lang w:val="en-US"/>
        </w:rPr>
        <w:t xml:space="preserve">ule 47 of the Rules of the </w:t>
      </w:r>
      <w:r>
        <w:rPr>
          <w:lang w:val="en-US"/>
        </w:rPr>
        <w:t xml:space="preserve">European </w:t>
      </w:r>
      <w:r w:rsidRPr="00635E07">
        <w:rPr>
          <w:lang w:val="en-US"/>
        </w:rPr>
        <w:t>Court</w:t>
      </w:r>
      <w:r>
        <w:rPr>
          <w:lang w:val="en-US"/>
        </w:rPr>
        <w:t xml:space="preserve"> of Human Rights</w:t>
      </w:r>
      <w:r w:rsidRPr="00635E07">
        <w:rPr>
          <w:lang w:val="en-US"/>
        </w:rPr>
        <w:t xml:space="preserve">, </w:t>
      </w:r>
      <w:r>
        <w:rPr>
          <w:lang w:val="en-US"/>
        </w:rPr>
        <w:t xml:space="preserve">the submission of an </w:t>
      </w:r>
      <w:r w:rsidRPr="00635E07">
        <w:rPr>
          <w:lang w:val="en-US"/>
        </w:rPr>
        <w:t xml:space="preserve">incomplete application may result in </w:t>
      </w:r>
      <w:r>
        <w:rPr>
          <w:lang w:val="en-US"/>
        </w:rPr>
        <w:t xml:space="preserve">that application </w:t>
      </w:r>
      <w:r w:rsidRPr="00635E07">
        <w:rPr>
          <w:lang w:val="en-US"/>
        </w:rPr>
        <w:t xml:space="preserve">not being examined by the European Court except </w:t>
      </w:r>
      <w:r>
        <w:rPr>
          <w:lang w:val="en-US"/>
        </w:rPr>
        <w:t>in limited</w:t>
      </w:r>
      <w:r w:rsidRPr="00635E07">
        <w:rPr>
          <w:lang w:val="en-US"/>
        </w:rPr>
        <w:t xml:space="preserve"> instances. It is apparent that</w:t>
      </w:r>
      <w:r>
        <w:rPr>
          <w:lang w:val="en-US"/>
        </w:rPr>
        <w:t>,</w:t>
      </w:r>
      <w:r w:rsidRPr="00635E07">
        <w:rPr>
          <w:lang w:val="en-US"/>
        </w:rPr>
        <w:t xml:space="preserve"> had the author indeed failed to fulfil any of the formal requirements set out in </w:t>
      </w:r>
      <w:r>
        <w:rPr>
          <w:lang w:val="en-US"/>
        </w:rPr>
        <w:t>r</w:t>
      </w:r>
      <w:r w:rsidRPr="00635E07">
        <w:rPr>
          <w:lang w:val="en-US"/>
        </w:rPr>
        <w:t xml:space="preserve">ule 47, her 2015 application might not have been registered or considered by the European Court at all. It follows that her application must have complied with the basic formal requirements mentioned therein. </w:t>
      </w:r>
    </w:p>
    <w:p w14:paraId="4EF0FF5B" w14:textId="3DE3E07B" w:rsidR="00AD110A" w:rsidRPr="00635E07" w:rsidRDefault="00AD110A" w:rsidP="00AD110A">
      <w:pPr>
        <w:pStyle w:val="SingleTxtG"/>
        <w:rPr>
          <w:lang w:val="en-US"/>
        </w:rPr>
      </w:pPr>
      <w:r w:rsidRPr="00635E07">
        <w:rPr>
          <w:lang w:val="en-US"/>
        </w:rPr>
        <w:t>4.7</w:t>
      </w:r>
      <w:r w:rsidRPr="00635E07">
        <w:rPr>
          <w:lang w:val="en-US"/>
        </w:rPr>
        <w:tab/>
        <w:t>Furthermore, there is nothing in the author</w:t>
      </w:r>
      <w:r w:rsidR="00F60712">
        <w:rPr>
          <w:lang w:val="en-US"/>
        </w:rPr>
        <w:t>’</w:t>
      </w:r>
      <w:r w:rsidRPr="00635E07">
        <w:rPr>
          <w:lang w:val="en-US"/>
        </w:rPr>
        <w:t xml:space="preserve">s communication to the Committee indicating that her 2015 application to the European Court did not fulfil the criteria in </w:t>
      </w:r>
      <w:r>
        <w:rPr>
          <w:lang w:val="en-US"/>
        </w:rPr>
        <w:t>a</w:t>
      </w:r>
      <w:r w:rsidRPr="00635E07">
        <w:rPr>
          <w:lang w:val="en-US"/>
        </w:rPr>
        <w:t xml:space="preserve">rticle 34 of the </w:t>
      </w:r>
      <w:r>
        <w:rPr>
          <w:lang w:val="en-US"/>
        </w:rPr>
        <w:t xml:space="preserve">European </w:t>
      </w:r>
      <w:r w:rsidRPr="00635E07">
        <w:rPr>
          <w:lang w:val="en-US"/>
        </w:rPr>
        <w:t>Convention</w:t>
      </w:r>
      <w:r>
        <w:rPr>
          <w:lang w:val="en-US"/>
        </w:rPr>
        <w:t xml:space="preserve"> of Human Rights</w:t>
      </w:r>
      <w:r w:rsidRPr="00635E07">
        <w:rPr>
          <w:lang w:val="en-US"/>
        </w:rPr>
        <w:t>.</w:t>
      </w:r>
      <w:r w:rsidRPr="00635E07">
        <w:rPr>
          <w:color w:val="000000"/>
          <w:lang w:eastAsia="de-DE"/>
        </w:rPr>
        <w:t xml:space="preserve"> Nor did she substantiate that it </w:t>
      </w:r>
      <w:r>
        <w:rPr>
          <w:color w:val="000000"/>
          <w:lang w:eastAsia="de-DE"/>
        </w:rPr>
        <w:t>wa</w:t>
      </w:r>
      <w:r w:rsidRPr="00635E07">
        <w:rPr>
          <w:color w:val="000000"/>
          <w:lang w:eastAsia="de-DE"/>
        </w:rPr>
        <w:t xml:space="preserve">s the inadmissibility </w:t>
      </w:r>
      <w:r w:rsidRPr="00635E07">
        <w:rPr>
          <w:lang w:val="en-US"/>
        </w:rPr>
        <w:t xml:space="preserve">grounds set out in </w:t>
      </w:r>
      <w:r>
        <w:rPr>
          <w:lang w:val="en-US"/>
        </w:rPr>
        <w:t>a</w:t>
      </w:r>
      <w:r w:rsidRPr="00635E07">
        <w:rPr>
          <w:lang w:val="en-US"/>
        </w:rPr>
        <w:t xml:space="preserve">rticle 35 (1) of the Convention that had been applied by the European Court in her case. On the contrary, it appears that, in her 2015 application to the European Court, the author properly demonstrated that she had exhausted domestic remedies and </w:t>
      </w:r>
      <w:r>
        <w:rPr>
          <w:lang w:val="en-US"/>
        </w:rPr>
        <w:t xml:space="preserve">that </w:t>
      </w:r>
      <w:r w:rsidRPr="00635E07">
        <w:rPr>
          <w:lang w:val="en-US"/>
        </w:rPr>
        <w:t xml:space="preserve">she </w:t>
      </w:r>
      <w:r>
        <w:rPr>
          <w:lang w:val="en-US"/>
        </w:rPr>
        <w:t xml:space="preserve">had </w:t>
      </w:r>
      <w:r w:rsidRPr="00635E07">
        <w:rPr>
          <w:lang w:val="en-US"/>
        </w:rPr>
        <w:t>complied with the six</w:t>
      </w:r>
      <w:r>
        <w:rPr>
          <w:lang w:val="en-US"/>
        </w:rPr>
        <w:t>-</w:t>
      </w:r>
      <w:r w:rsidRPr="00635E07">
        <w:rPr>
          <w:lang w:val="en-US"/>
        </w:rPr>
        <w:t xml:space="preserve">month time limit. Furthermore, the State party notes that the 2015 application was not anonymous. </w:t>
      </w:r>
    </w:p>
    <w:p w14:paraId="0E813508" w14:textId="0D3CBC95" w:rsidR="00AD110A" w:rsidRPr="00635E07" w:rsidRDefault="00AD110A" w:rsidP="00AD110A">
      <w:pPr>
        <w:pStyle w:val="SingleTxtG"/>
        <w:rPr>
          <w:lang w:val="en-US"/>
        </w:rPr>
      </w:pPr>
      <w:r w:rsidRPr="00635E07">
        <w:rPr>
          <w:lang w:val="en-US"/>
        </w:rPr>
        <w:t>4.8</w:t>
      </w:r>
      <w:r w:rsidRPr="00635E07">
        <w:rPr>
          <w:lang w:val="en-US"/>
        </w:rPr>
        <w:tab/>
        <w:t xml:space="preserve">Regarding the inadmissibility ground set out in </w:t>
      </w:r>
      <w:r>
        <w:rPr>
          <w:lang w:val="en-US"/>
        </w:rPr>
        <w:t>a</w:t>
      </w:r>
      <w:r w:rsidRPr="00635E07">
        <w:rPr>
          <w:lang w:val="en-US"/>
        </w:rPr>
        <w:t xml:space="preserve">rticle 35 (2) (b) of the </w:t>
      </w:r>
      <w:r>
        <w:rPr>
          <w:lang w:val="en-US"/>
        </w:rPr>
        <w:t xml:space="preserve">European </w:t>
      </w:r>
      <w:r w:rsidRPr="00635E07">
        <w:rPr>
          <w:lang w:val="en-US"/>
        </w:rPr>
        <w:t>Convention</w:t>
      </w:r>
      <w:r>
        <w:rPr>
          <w:lang w:val="en-US"/>
        </w:rPr>
        <w:t xml:space="preserve"> on Human Rights</w:t>
      </w:r>
      <w:r w:rsidRPr="00635E07">
        <w:rPr>
          <w:lang w:val="en-US"/>
        </w:rPr>
        <w:t xml:space="preserve">, the State party underlines that even though there </w:t>
      </w:r>
      <w:r>
        <w:rPr>
          <w:lang w:val="en-US"/>
        </w:rPr>
        <w:t>was</w:t>
      </w:r>
      <w:r w:rsidRPr="00635E07">
        <w:rPr>
          <w:lang w:val="en-US"/>
        </w:rPr>
        <w:t xml:space="preserve"> an even earlier application submitted by the author to the European Court</w:t>
      </w:r>
      <w:r>
        <w:rPr>
          <w:lang w:val="en-US"/>
        </w:rPr>
        <w:t xml:space="preserve"> of Human Rights</w:t>
      </w:r>
      <w:r w:rsidRPr="00635E07">
        <w:rPr>
          <w:lang w:val="en-US"/>
        </w:rPr>
        <w:t>, the 2013 application and the 2015 application relate to different domestic tax assessments and judicial proceedings. Therefore, there is nothing before the Committee to conclude that the European Court declared the author</w:t>
      </w:r>
      <w:r w:rsidR="00F60712">
        <w:rPr>
          <w:lang w:val="en-US"/>
        </w:rPr>
        <w:t>’</w:t>
      </w:r>
      <w:r w:rsidRPr="00635E07">
        <w:rPr>
          <w:lang w:val="en-US"/>
        </w:rPr>
        <w:t xml:space="preserve">s 2015 application inadmissible for having examined the same matter in her 2013 application for the purposes of </w:t>
      </w:r>
      <w:r>
        <w:rPr>
          <w:lang w:val="en-US"/>
        </w:rPr>
        <w:t>a</w:t>
      </w:r>
      <w:r w:rsidRPr="00635E07">
        <w:rPr>
          <w:lang w:val="en-US"/>
        </w:rPr>
        <w:t>rticle 35 (2) (b) of the Convention.</w:t>
      </w:r>
      <w:r>
        <w:rPr>
          <w:lang w:val="en-US"/>
        </w:rPr>
        <w:t xml:space="preserve"> Should the Committee come to a different conclusion, the author submits that </w:t>
      </w:r>
      <w:r w:rsidRPr="00635E07">
        <w:rPr>
          <w:lang w:val="en-US"/>
        </w:rPr>
        <w:t>h</w:t>
      </w:r>
      <w:r>
        <w:rPr>
          <w:lang w:val="en-US"/>
        </w:rPr>
        <w:t xml:space="preserve">er 2013 application should </w:t>
      </w:r>
      <w:r w:rsidRPr="00635E07">
        <w:rPr>
          <w:lang w:val="en-US"/>
        </w:rPr>
        <w:t xml:space="preserve">be considered to relate </w:t>
      </w:r>
      <w:r>
        <w:rPr>
          <w:lang w:val="en-US"/>
        </w:rPr>
        <w:t xml:space="preserve">not only </w:t>
      </w:r>
      <w:r w:rsidRPr="00635E07">
        <w:rPr>
          <w:lang w:val="en-US"/>
        </w:rPr>
        <w:t xml:space="preserve">to the same matter as her </w:t>
      </w:r>
      <w:r>
        <w:rPr>
          <w:lang w:val="en-US"/>
        </w:rPr>
        <w:t xml:space="preserve">2015 application but also as her </w:t>
      </w:r>
      <w:r w:rsidRPr="00635E07">
        <w:rPr>
          <w:lang w:val="en-US"/>
        </w:rPr>
        <w:t>present application to the Committee</w:t>
      </w:r>
      <w:r>
        <w:rPr>
          <w:lang w:val="en-US"/>
        </w:rPr>
        <w:t xml:space="preserve">. In such a case, given the wording of the decision of the European Court concerning the 2013 application, </w:t>
      </w:r>
      <w:r w:rsidRPr="00635E07">
        <w:rPr>
          <w:lang w:val="en-US"/>
        </w:rPr>
        <w:t xml:space="preserve">explicitly stating that the application did not disclose any appearance of a violation of the rights and </w:t>
      </w:r>
      <w:r w:rsidRPr="00635E07">
        <w:rPr>
          <w:lang w:eastAsia="de-DE"/>
        </w:rPr>
        <w:t xml:space="preserve">freedoms set out in the Convention </w:t>
      </w:r>
      <w:r>
        <w:rPr>
          <w:lang w:eastAsia="de-DE"/>
        </w:rPr>
        <w:t>and the</w:t>
      </w:r>
      <w:r w:rsidRPr="00635E07">
        <w:rPr>
          <w:lang w:eastAsia="de-DE"/>
        </w:rPr>
        <w:t xml:space="preserve"> Protocols</w:t>
      </w:r>
      <w:r>
        <w:rPr>
          <w:lang w:eastAsia="de-DE"/>
        </w:rPr>
        <w:t xml:space="preserve"> thereto</w:t>
      </w:r>
      <w:r w:rsidRPr="00635E07">
        <w:rPr>
          <w:lang w:eastAsia="de-DE"/>
        </w:rPr>
        <w:t>,</w:t>
      </w:r>
      <w:r>
        <w:rPr>
          <w:lang w:eastAsia="de-DE"/>
        </w:rPr>
        <w:t xml:space="preserve"> </w:t>
      </w:r>
      <w:r w:rsidRPr="00635E07">
        <w:rPr>
          <w:lang w:eastAsia="de-DE"/>
        </w:rPr>
        <w:t>the present communication should also be declared inadmissible under article 5 (2) (a) of the Optional Protocol.</w:t>
      </w:r>
    </w:p>
    <w:p w14:paraId="0DDC27C3" w14:textId="38FE6118" w:rsidR="00AD110A" w:rsidRPr="00635E07" w:rsidRDefault="00AD110A" w:rsidP="00AD110A">
      <w:pPr>
        <w:pStyle w:val="SingleTxtG"/>
        <w:rPr>
          <w:lang w:val="en-US"/>
        </w:rPr>
      </w:pPr>
      <w:r w:rsidRPr="00635E07">
        <w:rPr>
          <w:lang w:val="en-US"/>
        </w:rPr>
        <w:t>4.9</w:t>
      </w:r>
      <w:r w:rsidRPr="00635E07">
        <w:rPr>
          <w:lang w:val="en-US"/>
        </w:rPr>
        <w:tab/>
        <w:t>Having excluded the application of the majority of inadmissibility grounds that could have been applied in the author</w:t>
      </w:r>
      <w:r w:rsidR="00F60712">
        <w:rPr>
          <w:lang w:val="en-US"/>
        </w:rPr>
        <w:t>’</w:t>
      </w:r>
      <w:r w:rsidRPr="00635E07">
        <w:rPr>
          <w:lang w:val="en-US"/>
        </w:rPr>
        <w:t xml:space="preserve">s case, the State party further argues that the remaining inadmissibility grounds set out in </w:t>
      </w:r>
      <w:r>
        <w:rPr>
          <w:lang w:val="en-US"/>
        </w:rPr>
        <w:t>a</w:t>
      </w:r>
      <w:r w:rsidRPr="00635E07">
        <w:rPr>
          <w:lang w:val="en-US"/>
        </w:rPr>
        <w:t>rticle</w:t>
      </w:r>
      <w:r>
        <w:rPr>
          <w:lang w:val="en-US"/>
        </w:rPr>
        <w:t>s</w:t>
      </w:r>
      <w:r w:rsidRPr="00635E07">
        <w:rPr>
          <w:lang w:val="en-US"/>
        </w:rPr>
        <w:t xml:space="preserve"> 35 (3) (a) and (b) of the </w:t>
      </w:r>
      <w:r>
        <w:rPr>
          <w:lang w:val="en-US"/>
        </w:rPr>
        <w:t xml:space="preserve">European </w:t>
      </w:r>
      <w:r w:rsidRPr="00635E07">
        <w:rPr>
          <w:lang w:val="en-US"/>
        </w:rPr>
        <w:t>Convention</w:t>
      </w:r>
      <w:r>
        <w:rPr>
          <w:lang w:val="en-US"/>
        </w:rPr>
        <w:t xml:space="preserve"> on Human Rights</w:t>
      </w:r>
      <w:r w:rsidRPr="00635E07">
        <w:rPr>
          <w:lang w:val="en-US"/>
        </w:rPr>
        <w:t xml:space="preserve"> must involve to a certain degree an examination of the merits of the case. It is therefore evident that there has been an examination of the merits of the author</w:t>
      </w:r>
      <w:r w:rsidR="00F60712">
        <w:rPr>
          <w:lang w:val="en-US"/>
        </w:rPr>
        <w:t>’</w:t>
      </w:r>
      <w:r w:rsidRPr="00635E07">
        <w:rPr>
          <w:lang w:val="en-US"/>
        </w:rPr>
        <w:t>s case</w:t>
      </w:r>
      <w:r>
        <w:rPr>
          <w:lang w:val="en-US"/>
        </w:rPr>
        <w:t xml:space="preserve"> by another international investigation or settlement</w:t>
      </w:r>
      <w:r w:rsidRPr="00635E07">
        <w:rPr>
          <w:lang w:val="en-US"/>
        </w:rPr>
        <w:t xml:space="preserve">. </w:t>
      </w:r>
    </w:p>
    <w:p w14:paraId="51EE0BA0" w14:textId="3027D7A0" w:rsidR="00AD110A" w:rsidRPr="00635E07" w:rsidRDefault="00AD110A" w:rsidP="00AD110A">
      <w:pPr>
        <w:pStyle w:val="H23G"/>
        <w:rPr>
          <w:lang w:val="en-US"/>
        </w:rPr>
      </w:pPr>
      <w:r>
        <w:rPr>
          <w:lang w:eastAsia="de-DE"/>
        </w:rPr>
        <w:tab/>
      </w:r>
      <w:r>
        <w:rPr>
          <w:lang w:eastAsia="de-DE"/>
        </w:rPr>
        <w:tab/>
      </w:r>
      <w:r w:rsidRPr="00635E07">
        <w:rPr>
          <w:lang w:eastAsia="de-DE"/>
        </w:rPr>
        <w:t>Author</w:t>
      </w:r>
      <w:r w:rsidR="00F60712">
        <w:rPr>
          <w:lang w:eastAsia="de-DE"/>
        </w:rPr>
        <w:t>’</w:t>
      </w:r>
      <w:r w:rsidRPr="00635E07">
        <w:rPr>
          <w:lang w:eastAsia="de-DE"/>
        </w:rPr>
        <w:t>s comments on the State</w:t>
      </w:r>
      <w:r w:rsidRPr="00635E07">
        <w:rPr>
          <w:lang w:val="en-US"/>
        </w:rPr>
        <w:t xml:space="preserve"> party</w:t>
      </w:r>
      <w:r w:rsidR="00F60712">
        <w:rPr>
          <w:lang w:val="en-US"/>
        </w:rPr>
        <w:t>’</w:t>
      </w:r>
      <w:r w:rsidRPr="00635E07">
        <w:rPr>
          <w:lang w:val="en-US"/>
        </w:rPr>
        <w:t>s observations on admissibility</w:t>
      </w:r>
    </w:p>
    <w:p w14:paraId="3440E446" w14:textId="6B1A6B90" w:rsidR="00AD110A" w:rsidRPr="00635E07" w:rsidRDefault="00AD110A" w:rsidP="00AD110A">
      <w:pPr>
        <w:pStyle w:val="SingleTxtG"/>
        <w:rPr>
          <w:lang w:eastAsia="de-DE"/>
        </w:rPr>
      </w:pPr>
      <w:r w:rsidRPr="00635E07">
        <w:t>5.1</w:t>
      </w:r>
      <w:r w:rsidRPr="00635E07">
        <w:tab/>
        <w:t>On 9 December 2016, the author submitted h</w:t>
      </w:r>
      <w:r>
        <w:t>er</w:t>
      </w:r>
      <w:r w:rsidRPr="00635E07">
        <w:t xml:space="preserve"> comments on the State party</w:t>
      </w:r>
      <w:r w:rsidR="00F60712">
        <w:t>’</w:t>
      </w:r>
      <w:r w:rsidRPr="00635E07">
        <w:t>s observations on admissibility. The author agrees with the State party</w:t>
      </w:r>
      <w:r w:rsidR="00F60712">
        <w:t>’</w:t>
      </w:r>
      <w:r w:rsidRPr="00635E07">
        <w:t xml:space="preserve">s conclusion that </w:t>
      </w:r>
      <w:r>
        <w:t>her</w:t>
      </w:r>
      <w:r w:rsidRPr="00635E07">
        <w:t xml:space="preserve"> 20</w:t>
      </w:r>
      <w:r>
        <w:t>13 application to the European C</w:t>
      </w:r>
      <w:r w:rsidRPr="00635E07">
        <w:t>ourt</w:t>
      </w:r>
      <w:r>
        <w:t xml:space="preserve"> of Human Rights</w:t>
      </w:r>
      <w:r w:rsidRPr="00635E07">
        <w:t xml:space="preserve"> differs from her 2015 application </w:t>
      </w:r>
      <w:r>
        <w:t xml:space="preserve">and from </w:t>
      </w:r>
      <w:r w:rsidRPr="00635E07">
        <w:t xml:space="preserve">her present communication to the Committee as regards the facts </w:t>
      </w:r>
      <w:r>
        <w:t xml:space="preserve">of the case </w:t>
      </w:r>
      <w:r w:rsidRPr="00635E07">
        <w:t xml:space="preserve">and </w:t>
      </w:r>
      <w:r>
        <w:t xml:space="preserve">the </w:t>
      </w:r>
      <w:r w:rsidRPr="00635E07">
        <w:t>claim</w:t>
      </w:r>
      <w:r>
        <w:t>s</w:t>
      </w:r>
      <w:r w:rsidRPr="00635E07">
        <w:t xml:space="preserve"> raised therein. She further agrees that the present communication </w:t>
      </w:r>
      <w:r>
        <w:t xml:space="preserve">to the Committee </w:t>
      </w:r>
      <w:r w:rsidRPr="00635E07">
        <w:t xml:space="preserve">and her 2015 application to the European Court raise the same legal and factual issues and can be considered to be the same matter for the purposes of </w:t>
      </w:r>
      <w:r w:rsidRPr="00635E07">
        <w:rPr>
          <w:lang w:eastAsia="de-DE"/>
        </w:rPr>
        <w:t xml:space="preserve">article 5 (2) (a) of the Optional Protocol. On the other hand, the author disputes that there has been an </w:t>
      </w:r>
      <w:r>
        <w:rPr>
          <w:lang w:eastAsia="de-DE"/>
        </w:rPr>
        <w:t>examination by the European Court of the merits of her</w:t>
      </w:r>
      <w:r w:rsidRPr="00635E07">
        <w:rPr>
          <w:lang w:eastAsia="de-DE"/>
        </w:rPr>
        <w:t xml:space="preserve"> 2015 application. In this regard, the au</w:t>
      </w:r>
      <w:r>
        <w:rPr>
          <w:lang w:eastAsia="de-DE"/>
        </w:rPr>
        <w:t xml:space="preserve">thor submits that even in cases where the European Court </w:t>
      </w:r>
      <w:r w:rsidRPr="00635E07">
        <w:rPr>
          <w:lang w:eastAsia="de-DE"/>
        </w:rPr>
        <w:t xml:space="preserve">did not find any appearance of violation of the rights and freedoms guaranteed by the </w:t>
      </w:r>
      <w:r>
        <w:rPr>
          <w:lang w:eastAsia="de-DE"/>
        </w:rPr>
        <w:t xml:space="preserve">European </w:t>
      </w:r>
      <w:r w:rsidRPr="00635E07">
        <w:rPr>
          <w:lang w:eastAsia="de-DE"/>
        </w:rPr>
        <w:t xml:space="preserve">Convention </w:t>
      </w:r>
      <w:r>
        <w:rPr>
          <w:lang w:eastAsia="de-DE"/>
        </w:rPr>
        <w:t xml:space="preserve">on Human Rights </w:t>
      </w:r>
      <w:r w:rsidRPr="00635E07">
        <w:rPr>
          <w:lang w:eastAsia="de-DE"/>
        </w:rPr>
        <w:t xml:space="preserve">and </w:t>
      </w:r>
      <w:r>
        <w:rPr>
          <w:lang w:eastAsia="de-DE"/>
        </w:rPr>
        <w:t>the</w:t>
      </w:r>
      <w:r w:rsidRPr="00635E07">
        <w:rPr>
          <w:lang w:eastAsia="de-DE"/>
        </w:rPr>
        <w:t xml:space="preserve"> Protocols</w:t>
      </w:r>
      <w:r>
        <w:rPr>
          <w:lang w:eastAsia="de-DE"/>
        </w:rPr>
        <w:t xml:space="preserve"> thereto</w:t>
      </w:r>
      <w:r w:rsidRPr="00635E07">
        <w:rPr>
          <w:lang w:eastAsia="de-DE"/>
        </w:rPr>
        <w:t>, the C</w:t>
      </w:r>
      <w:r>
        <w:rPr>
          <w:lang w:eastAsia="de-DE"/>
        </w:rPr>
        <w:t xml:space="preserve">ommittee concluded that </w:t>
      </w:r>
      <w:r w:rsidRPr="00635E07">
        <w:rPr>
          <w:lang w:eastAsia="de-DE"/>
        </w:rPr>
        <w:t>the limited reasoning in the succinct terms of the Court</w:t>
      </w:r>
      <w:r w:rsidR="00F60712">
        <w:rPr>
          <w:lang w:eastAsia="de-DE"/>
        </w:rPr>
        <w:t>’</w:t>
      </w:r>
      <w:r w:rsidRPr="00635E07">
        <w:rPr>
          <w:lang w:eastAsia="de-DE"/>
        </w:rPr>
        <w:t>s letter d</w:t>
      </w:r>
      <w:r>
        <w:rPr>
          <w:lang w:eastAsia="de-DE"/>
        </w:rPr>
        <w:t>id</w:t>
      </w:r>
      <w:r w:rsidRPr="00635E07">
        <w:rPr>
          <w:lang w:eastAsia="de-DE"/>
        </w:rPr>
        <w:t xml:space="preserve"> not allow the Committee to assume that the examination </w:t>
      </w:r>
      <w:r>
        <w:rPr>
          <w:lang w:eastAsia="de-DE"/>
        </w:rPr>
        <w:t xml:space="preserve">had </w:t>
      </w:r>
      <w:r w:rsidRPr="00635E07">
        <w:rPr>
          <w:lang w:eastAsia="de-DE"/>
        </w:rPr>
        <w:t>included sufficient consideration of the merits</w:t>
      </w:r>
      <w:r>
        <w:rPr>
          <w:lang w:eastAsia="de-DE"/>
        </w:rPr>
        <w:t>.</w:t>
      </w:r>
      <w:r>
        <w:rPr>
          <w:rStyle w:val="FootnoteReference"/>
          <w:lang w:eastAsia="de-DE"/>
        </w:rPr>
        <w:footnoteReference w:id="9"/>
      </w:r>
      <w:r w:rsidRPr="00635E07">
        <w:rPr>
          <w:lang w:eastAsia="de-DE"/>
        </w:rPr>
        <w:t xml:space="preserve"> </w:t>
      </w:r>
    </w:p>
    <w:p w14:paraId="38822187" w14:textId="53119561" w:rsidR="00AD110A" w:rsidRPr="00635E07" w:rsidRDefault="00AD110A" w:rsidP="00AD110A">
      <w:pPr>
        <w:pStyle w:val="SingleTxtG"/>
        <w:rPr>
          <w:lang w:eastAsia="de-DE"/>
        </w:rPr>
      </w:pPr>
      <w:r w:rsidRPr="00635E07">
        <w:rPr>
          <w:lang w:eastAsia="de-DE"/>
        </w:rPr>
        <w:t>5.2</w:t>
      </w:r>
      <w:r w:rsidRPr="00635E07">
        <w:rPr>
          <w:lang w:eastAsia="de-DE"/>
        </w:rPr>
        <w:tab/>
        <w:t>Regarding the author</w:t>
      </w:r>
      <w:r w:rsidR="00F60712">
        <w:rPr>
          <w:lang w:eastAsia="de-DE"/>
        </w:rPr>
        <w:t>’</w:t>
      </w:r>
      <w:r w:rsidRPr="00635E07">
        <w:rPr>
          <w:lang w:eastAsia="de-DE"/>
        </w:rPr>
        <w:t>s 2015 application, the author notes that it was decided in a single</w:t>
      </w:r>
      <w:r>
        <w:rPr>
          <w:lang w:eastAsia="de-DE"/>
        </w:rPr>
        <w:t>-</w:t>
      </w:r>
      <w:r w:rsidRPr="00635E07">
        <w:rPr>
          <w:lang w:eastAsia="de-DE"/>
        </w:rPr>
        <w:t xml:space="preserve">judge formation and </w:t>
      </w:r>
      <w:r>
        <w:rPr>
          <w:lang w:eastAsia="de-DE"/>
        </w:rPr>
        <w:t>the decision unequivocally states that the European C</w:t>
      </w:r>
      <w:r w:rsidRPr="00635E07">
        <w:rPr>
          <w:lang w:eastAsia="de-DE"/>
        </w:rPr>
        <w:t xml:space="preserve">ourt </w:t>
      </w:r>
      <w:r>
        <w:rPr>
          <w:lang w:eastAsia="de-DE"/>
        </w:rPr>
        <w:t xml:space="preserve">of Human Rights </w:t>
      </w:r>
      <w:r w:rsidRPr="00635E07">
        <w:rPr>
          <w:lang w:eastAsia="de-DE"/>
        </w:rPr>
        <w:t>found that the admissibility criteria set o</w:t>
      </w:r>
      <w:r>
        <w:rPr>
          <w:lang w:eastAsia="de-DE"/>
        </w:rPr>
        <w:t>ut in articles 34 and 35 of the European C</w:t>
      </w:r>
      <w:r w:rsidRPr="00635E07">
        <w:rPr>
          <w:lang w:eastAsia="de-DE"/>
        </w:rPr>
        <w:t xml:space="preserve">onvention </w:t>
      </w:r>
      <w:r>
        <w:rPr>
          <w:lang w:eastAsia="de-DE"/>
        </w:rPr>
        <w:t xml:space="preserve">on Human Rights </w:t>
      </w:r>
      <w:r w:rsidRPr="00635E07">
        <w:rPr>
          <w:lang w:eastAsia="de-DE"/>
        </w:rPr>
        <w:t>ha</w:t>
      </w:r>
      <w:r>
        <w:rPr>
          <w:lang w:eastAsia="de-DE"/>
        </w:rPr>
        <w:t>d</w:t>
      </w:r>
      <w:r w:rsidRPr="00635E07">
        <w:rPr>
          <w:lang w:eastAsia="de-DE"/>
        </w:rPr>
        <w:t xml:space="preserve"> not been met. This case is therefore to be distinguished from other cases where the Committee has found that the inadmissibility decision of the European Court precluded it </w:t>
      </w:r>
      <w:r>
        <w:rPr>
          <w:lang w:eastAsia="de-DE"/>
        </w:rPr>
        <w:t>from examining the complaint</w:t>
      </w:r>
      <w:r w:rsidRPr="00635E07">
        <w:rPr>
          <w:lang w:eastAsia="de-DE"/>
        </w:rPr>
        <w:t xml:space="preserve">. </w:t>
      </w:r>
      <w:r>
        <w:rPr>
          <w:lang w:eastAsia="de-DE"/>
        </w:rPr>
        <w:t xml:space="preserve">The author notes that </w:t>
      </w:r>
      <w:r w:rsidRPr="00635E07">
        <w:rPr>
          <w:lang w:eastAsia="de-DE"/>
        </w:rPr>
        <w:t>the State party</w:t>
      </w:r>
      <w:r w:rsidR="00F60712">
        <w:rPr>
          <w:lang w:eastAsia="de-DE"/>
        </w:rPr>
        <w:t>’</w:t>
      </w:r>
      <w:r w:rsidRPr="00635E07">
        <w:rPr>
          <w:lang w:eastAsia="de-DE"/>
        </w:rPr>
        <w:t>s arguments are nothing but mere speculation about what could have been the exact ground for the European Court</w:t>
      </w:r>
      <w:r w:rsidR="00F60712">
        <w:rPr>
          <w:lang w:eastAsia="de-DE"/>
        </w:rPr>
        <w:t>’</w:t>
      </w:r>
      <w:r w:rsidRPr="00635E07">
        <w:rPr>
          <w:lang w:eastAsia="de-DE"/>
        </w:rPr>
        <w:t xml:space="preserve">s inadmissibility decision. </w:t>
      </w:r>
      <w:r>
        <w:rPr>
          <w:lang w:eastAsia="de-DE"/>
        </w:rPr>
        <w:t>With</w:t>
      </w:r>
      <w:r w:rsidRPr="00635E07">
        <w:rPr>
          <w:lang w:eastAsia="de-DE"/>
        </w:rPr>
        <w:t xml:space="preserve"> regard</w:t>
      </w:r>
      <w:r>
        <w:rPr>
          <w:lang w:eastAsia="de-DE"/>
        </w:rPr>
        <w:t xml:space="preserve"> also to the threshold </w:t>
      </w:r>
      <w:r w:rsidRPr="00635E07">
        <w:rPr>
          <w:lang w:eastAsia="de-DE"/>
        </w:rPr>
        <w:t xml:space="preserve">established by the Committee in </w:t>
      </w:r>
      <w:r w:rsidRPr="00635E07">
        <w:rPr>
          <w:i/>
          <w:lang w:eastAsia="de-DE"/>
        </w:rPr>
        <w:t xml:space="preserve">Puertas v. Spain </w:t>
      </w:r>
      <w:r w:rsidRPr="00635E07">
        <w:rPr>
          <w:lang w:eastAsia="de-DE"/>
        </w:rPr>
        <w:t>in terms of what constitutes a sufficient consideration of the case for the purposes of article 5 (2) (a) of the Optional Protocol, the author concludes that there is nothing before the Committee</w:t>
      </w:r>
      <w:r>
        <w:rPr>
          <w:lang w:eastAsia="de-DE"/>
        </w:rPr>
        <w:t xml:space="preserve"> to conclude that the European C</w:t>
      </w:r>
      <w:r w:rsidRPr="00635E07">
        <w:rPr>
          <w:lang w:eastAsia="de-DE"/>
        </w:rPr>
        <w:t>ourt addressed the merits of her 2015 application and invites the Committee to declare her communication admissible.</w:t>
      </w:r>
      <w:r w:rsidRPr="00635E07">
        <w:rPr>
          <w:i/>
          <w:lang w:eastAsia="de-DE"/>
        </w:rPr>
        <w:t xml:space="preserve"> </w:t>
      </w:r>
    </w:p>
    <w:p w14:paraId="734D188C" w14:textId="6663A3D4" w:rsidR="00AD110A" w:rsidRPr="00635E07" w:rsidRDefault="00AD110A" w:rsidP="00AD110A">
      <w:pPr>
        <w:pStyle w:val="H23G"/>
      </w:pPr>
      <w:r>
        <w:rPr>
          <w:lang w:val="en-US"/>
        </w:rPr>
        <w:tab/>
      </w:r>
      <w:r>
        <w:rPr>
          <w:lang w:val="en-US"/>
        </w:rPr>
        <w:tab/>
      </w:r>
      <w:r w:rsidRPr="00635E07">
        <w:rPr>
          <w:lang w:val="en-US"/>
        </w:rPr>
        <w:t>State party</w:t>
      </w:r>
      <w:r w:rsidR="00F60712">
        <w:rPr>
          <w:lang w:val="en-US"/>
        </w:rPr>
        <w:t>’</w:t>
      </w:r>
      <w:r w:rsidRPr="00635E07">
        <w:rPr>
          <w:lang w:val="en-US"/>
        </w:rPr>
        <w:t xml:space="preserve">s </w:t>
      </w:r>
      <w:r>
        <w:rPr>
          <w:lang w:val="en-US"/>
        </w:rPr>
        <w:t>additional observations</w:t>
      </w:r>
    </w:p>
    <w:p w14:paraId="6FB3B143" w14:textId="77777777" w:rsidR="00AD110A" w:rsidRPr="00635E07" w:rsidRDefault="00AD110A" w:rsidP="00AD110A">
      <w:pPr>
        <w:pStyle w:val="SingleTxtG"/>
      </w:pPr>
      <w:r w:rsidRPr="00635E07">
        <w:t>6.1</w:t>
      </w:r>
      <w:r w:rsidRPr="00635E07">
        <w:tab/>
      </w:r>
      <w:r>
        <w:t>In</w:t>
      </w:r>
      <w:r w:rsidRPr="00635E07">
        <w:t xml:space="preserve"> a note verbale dated 22 February 2018, the State party </w:t>
      </w:r>
      <w:r>
        <w:t xml:space="preserve">partially </w:t>
      </w:r>
      <w:r w:rsidRPr="00635E07">
        <w:t xml:space="preserve">reiterated and </w:t>
      </w:r>
      <w:r>
        <w:t xml:space="preserve">partially </w:t>
      </w:r>
      <w:r w:rsidRPr="00635E07">
        <w:t>supplemented its arguments relating to the admissibility of the complaint</w:t>
      </w:r>
      <w:r>
        <w:t>,</w:t>
      </w:r>
      <w:r w:rsidRPr="00635E07">
        <w:t xml:space="preserve"> and </w:t>
      </w:r>
      <w:r>
        <w:t xml:space="preserve">it </w:t>
      </w:r>
      <w:r w:rsidRPr="00635E07">
        <w:t xml:space="preserve">submitted its observations on the merits. </w:t>
      </w:r>
    </w:p>
    <w:p w14:paraId="5BA441A9" w14:textId="38139FDB" w:rsidR="00AD110A" w:rsidRPr="00635E07" w:rsidRDefault="00AD110A" w:rsidP="00AD110A">
      <w:pPr>
        <w:pStyle w:val="SingleTxtG"/>
      </w:pPr>
      <w:r w:rsidRPr="00635E07">
        <w:t>6.2</w:t>
      </w:r>
      <w:r w:rsidRPr="00635E07">
        <w:tab/>
        <w:t>The State party describes the relevant domestic laws</w:t>
      </w:r>
      <w:r w:rsidRPr="00635E07">
        <w:rPr>
          <w:rStyle w:val="FootnoteReference"/>
        </w:rPr>
        <w:footnoteReference w:id="10"/>
      </w:r>
      <w:r w:rsidRPr="00635E07">
        <w:t xml:space="preserve"> and procedures and provides information regarding the applicable </w:t>
      </w:r>
      <w:r w:rsidRPr="00635E07">
        <w:rPr>
          <w:lang w:eastAsia="de-DE"/>
        </w:rPr>
        <w:t xml:space="preserve">jurisprudence of the domestic authorities. It submits that </w:t>
      </w:r>
      <w:r>
        <w:rPr>
          <w:lang w:eastAsia="de-DE"/>
        </w:rPr>
        <w:t xml:space="preserve">for the purposes of the challenged tax payment obligation, the term </w:t>
      </w:r>
      <w:r w:rsidR="00F60712">
        <w:rPr>
          <w:lang w:eastAsia="de-DE"/>
        </w:rPr>
        <w:t>“</w:t>
      </w:r>
      <w:r>
        <w:rPr>
          <w:lang w:eastAsia="de-DE"/>
        </w:rPr>
        <w:t>e</w:t>
      </w:r>
      <w:r w:rsidRPr="00635E07">
        <w:rPr>
          <w:lang w:eastAsia="de-DE"/>
        </w:rPr>
        <w:t>mployment</w:t>
      </w:r>
      <w:r w:rsidR="00F60712">
        <w:rPr>
          <w:lang w:eastAsia="de-DE"/>
        </w:rPr>
        <w:t>”</w:t>
      </w:r>
      <w:r w:rsidRPr="00635E07">
        <w:rPr>
          <w:lang w:eastAsia="de-DE"/>
        </w:rPr>
        <w:t xml:space="preserve"> (</w:t>
      </w:r>
      <w:r w:rsidRPr="00FA47C5">
        <w:rPr>
          <w:i/>
          <w:iCs/>
          <w:lang w:eastAsia="de-DE"/>
        </w:rPr>
        <w:t>tjänst</w:t>
      </w:r>
      <w:r w:rsidRPr="00635E07">
        <w:rPr>
          <w:lang w:eastAsia="de-DE"/>
        </w:rPr>
        <w:t>)</w:t>
      </w:r>
      <w:r>
        <w:rPr>
          <w:rStyle w:val="FootnoteReference"/>
          <w:lang w:eastAsia="de-DE"/>
        </w:rPr>
        <w:footnoteReference w:id="11"/>
      </w:r>
      <w:r w:rsidRPr="00635E07">
        <w:rPr>
          <w:lang w:eastAsia="de-DE"/>
        </w:rPr>
        <w:t xml:space="preserve"> means a position, assignment or other income-generating activity of a permanent or temporary nature. Wages, fees, remuneration of expenses, pensions, benefits and all other income received from employment are to be declared as income, unless otherwise provided</w:t>
      </w:r>
      <w:r>
        <w:rPr>
          <w:lang w:eastAsia="de-DE"/>
        </w:rPr>
        <w:t xml:space="preserve"> for in the domestic legislation</w:t>
      </w:r>
      <w:r w:rsidRPr="00635E07">
        <w:rPr>
          <w:lang w:eastAsia="de-DE"/>
        </w:rPr>
        <w:t xml:space="preserve">. Gifts, education grants or grants for purposes other than education </w:t>
      </w:r>
      <w:r>
        <w:rPr>
          <w:lang w:eastAsia="de-DE"/>
        </w:rPr>
        <w:t>are</w:t>
      </w:r>
      <w:r w:rsidRPr="00635E07">
        <w:rPr>
          <w:lang w:eastAsia="de-DE"/>
        </w:rPr>
        <w:t xml:space="preserve"> tax-exempt </w:t>
      </w:r>
      <w:proofErr w:type="gramStart"/>
      <w:r w:rsidRPr="00635E07">
        <w:rPr>
          <w:lang w:eastAsia="de-DE"/>
        </w:rPr>
        <w:t>as long as</w:t>
      </w:r>
      <w:proofErr w:type="gramEnd"/>
      <w:r w:rsidRPr="00635E07">
        <w:rPr>
          <w:lang w:eastAsia="de-DE"/>
        </w:rPr>
        <w:t xml:space="preserve"> they do not constitute remuneration for work and are not paid periodically.</w:t>
      </w:r>
    </w:p>
    <w:p w14:paraId="4777E702" w14:textId="77777777" w:rsidR="00AD110A" w:rsidRPr="00635E07" w:rsidRDefault="00AD110A" w:rsidP="00AD110A">
      <w:pPr>
        <w:pStyle w:val="SingleTxtG"/>
      </w:pPr>
      <w:r>
        <w:rPr>
          <w:lang w:eastAsia="de-DE"/>
        </w:rPr>
        <w:t>6.3</w:t>
      </w:r>
      <w:r>
        <w:rPr>
          <w:lang w:eastAsia="de-DE"/>
        </w:rPr>
        <w:tab/>
        <w:t xml:space="preserve">The State party underlines that </w:t>
      </w:r>
      <w:r w:rsidRPr="00635E07">
        <w:rPr>
          <w:lang w:eastAsia="de-DE"/>
        </w:rPr>
        <w:t>there is no provision in Swedish law</w:t>
      </w:r>
      <w:r>
        <w:rPr>
          <w:lang w:eastAsia="de-DE"/>
        </w:rPr>
        <w:t xml:space="preserve"> guaranteeing a general tax exemption for </w:t>
      </w:r>
      <w:r w:rsidRPr="00635E07">
        <w:rPr>
          <w:lang w:eastAsia="de-DE"/>
        </w:rPr>
        <w:t xml:space="preserve">members of </w:t>
      </w:r>
      <w:r>
        <w:rPr>
          <w:lang w:eastAsia="de-DE"/>
        </w:rPr>
        <w:t>certain</w:t>
      </w:r>
      <w:r w:rsidRPr="00635E07">
        <w:rPr>
          <w:lang w:eastAsia="de-DE"/>
        </w:rPr>
        <w:t xml:space="preserve"> religious communities. It </w:t>
      </w:r>
      <w:r>
        <w:rPr>
          <w:lang w:eastAsia="de-DE"/>
        </w:rPr>
        <w:t>adds</w:t>
      </w:r>
      <w:r w:rsidRPr="00635E07">
        <w:rPr>
          <w:lang w:eastAsia="de-DE"/>
        </w:rPr>
        <w:t xml:space="preserve"> that there may be some older decisions of lower courts </w:t>
      </w:r>
      <w:r>
        <w:rPr>
          <w:lang w:eastAsia="de-DE"/>
        </w:rPr>
        <w:t xml:space="preserve">in which it was ruled that </w:t>
      </w:r>
      <w:r w:rsidRPr="00635E07">
        <w:rPr>
          <w:lang w:eastAsia="de-DE"/>
        </w:rPr>
        <w:t>remuneration received by members of certain religious communities was not subject to taxation</w:t>
      </w:r>
      <w:r>
        <w:rPr>
          <w:lang w:eastAsia="de-DE"/>
        </w:rPr>
        <w:t>. Nevertheless</w:t>
      </w:r>
      <w:r w:rsidRPr="00635E07">
        <w:rPr>
          <w:lang w:eastAsia="de-DE"/>
        </w:rPr>
        <w:t xml:space="preserve">, there is only one </w:t>
      </w:r>
      <w:r>
        <w:rPr>
          <w:lang w:eastAsia="de-DE"/>
        </w:rPr>
        <w:t xml:space="preserve">recent </w:t>
      </w:r>
      <w:r w:rsidRPr="00635E07">
        <w:rPr>
          <w:lang w:eastAsia="de-DE"/>
        </w:rPr>
        <w:t>decision dealing with the matter</w:t>
      </w:r>
      <w:r w:rsidRPr="00781E2A">
        <w:rPr>
          <w:lang w:eastAsia="de-DE"/>
        </w:rPr>
        <w:t xml:space="preserve"> </w:t>
      </w:r>
      <w:r>
        <w:rPr>
          <w:lang w:eastAsia="de-DE"/>
        </w:rPr>
        <w:t xml:space="preserve">that has been </w:t>
      </w:r>
      <w:r w:rsidRPr="00635E07">
        <w:rPr>
          <w:lang w:eastAsia="de-DE"/>
        </w:rPr>
        <w:t>delivered by the Supreme Administrative Court</w:t>
      </w:r>
      <w:r>
        <w:rPr>
          <w:lang w:eastAsia="de-DE"/>
        </w:rPr>
        <w:t>, which now serves as precedent.</w:t>
      </w:r>
      <w:r w:rsidRPr="00635E07" w:rsidDel="00D936D4">
        <w:rPr>
          <w:lang w:eastAsia="de-DE"/>
        </w:rPr>
        <w:t xml:space="preserve"> </w:t>
      </w:r>
      <w:r w:rsidRPr="00635E07">
        <w:rPr>
          <w:lang w:eastAsia="de-DE"/>
        </w:rPr>
        <w:t xml:space="preserve">This decision upheld the advance ruling of the Council for Advance Tax Rulings establishing that </w:t>
      </w:r>
      <w:r>
        <w:rPr>
          <w:lang w:eastAsia="de-DE"/>
        </w:rPr>
        <w:t xml:space="preserve">the applicant, who was </w:t>
      </w:r>
      <w:r w:rsidRPr="00635E07">
        <w:rPr>
          <w:lang w:eastAsia="de-DE"/>
        </w:rPr>
        <w:t>a member of the Order</w:t>
      </w:r>
      <w:r>
        <w:rPr>
          <w:lang w:eastAsia="de-DE"/>
        </w:rPr>
        <w:t xml:space="preserve"> and</w:t>
      </w:r>
      <w:r w:rsidRPr="00635E07">
        <w:rPr>
          <w:lang w:eastAsia="de-DE"/>
        </w:rPr>
        <w:t xml:space="preserve"> worked in the Bethel facility</w:t>
      </w:r>
      <w:r>
        <w:rPr>
          <w:lang w:eastAsia="de-DE"/>
        </w:rPr>
        <w:t>,</w:t>
      </w:r>
      <w:r w:rsidRPr="00635E07">
        <w:rPr>
          <w:lang w:eastAsia="de-DE"/>
        </w:rPr>
        <w:t xml:space="preserve"> should declare </w:t>
      </w:r>
      <w:r>
        <w:rPr>
          <w:lang w:eastAsia="de-DE"/>
        </w:rPr>
        <w:t>his allowance</w:t>
      </w:r>
      <w:r w:rsidRPr="00635E07">
        <w:rPr>
          <w:lang w:eastAsia="de-DE"/>
        </w:rPr>
        <w:t xml:space="preserve"> </w:t>
      </w:r>
      <w:r>
        <w:rPr>
          <w:lang w:eastAsia="de-DE"/>
        </w:rPr>
        <w:t>(</w:t>
      </w:r>
      <w:r w:rsidRPr="00635E07">
        <w:rPr>
          <w:lang w:eastAsia="de-DE"/>
        </w:rPr>
        <w:t xml:space="preserve">free housing, </w:t>
      </w:r>
      <w:r>
        <w:rPr>
          <w:lang w:eastAsia="de-DE"/>
        </w:rPr>
        <w:t xml:space="preserve">meals and </w:t>
      </w:r>
      <w:r w:rsidRPr="00635E07">
        <w:rPr>
          <w:lang w:eastAsia="de-DE"/>
        </w:rPr>
        <w:t>payments</w:t>
      </w:r>
      <w:r>
        <w:rPr>
          <w:lang w:eastAsia="de-DE"/>
        </w:rPr>
        <w:t>)</w:t>
      </w:r>
      <w:r w:rsidRPr="00635E07">
        <w:rPr>
          <w:lang w:eastAsia="de-DE"/>
        </w:rPr>
        <w:t xml:space="preserve"> as income from employment</w:t>
      </w:r>
      <w:r>
        <w:rPr>
          <w:lang w:eastAsia="de-DE"/>
        </w:rPr>
        <w:t>.</w:t>
      </w:r>
      <w:r>
        <w:rPr>
          <w:rStyle w:val="FootnoteReference"/>
          <w:lang w:eastAsia="de-DE"/>
        </w:rPr>
        <w:footnoteReference w:id="12"/>
      </w:r>
    </w:p>
    <w:p w14:paraId="5DE5FFCE" w14:textId="77777777" w:rsidR="00AD110A" w:rsidRPr="00635E07" w:rsidRDefault="00AD110A" w:rsidP="00AD110A">
      <w:pPr>
        <w:pStyle w:val="SingleTxtG"/>
        <w:rPr>
          <w:lang w:eastAsia="de-DE"/>
        </w:rPr>
      </w:pPr>
      <w:r>
        <w:rPr>
          <w:lang w:eastAsia="de-DE"/>
        </w:rPr>
        <w:t>6.4</w:t>
      </w:r>
      <w:r w:rsidRPr="00635E07">
        <w:rPr>
          <w:lang w:eastAsia="de-DE"/>
        </w:rPr>
        <w:tab/>
      </w:r>
      <w:r>
        <w:rPr>
          <w:lang w:eastAsia="de-DE"/>
        </w:rPr>
        <w:t>In this regard, t</w:t>
      </w:r>
      <w:r w:rsidRPr="00635E07">
        <w:rPr>
          <w:lang w:eastAsia="de-DE"/>
        </w:rPr>
        <w:t xml:space="preserve">he State party explains that the Council for Advance Tax Rulings </w:t>
      </w:r>
      <w:r>
        <w:rPr>
          <w:lang w:eastAsia="de-DE"/>
        </w:rPr>
        <w:t>functions similarly to a court. The Council issues</w:t>
      </w:r>
      <w:r w:rsidRPr="00635E07">
        <w:rPr>
          <w:lang w:eastAsia="de-DE"/>
        </w:rPr>
        <w:t xml:space="preserve"> binding advance rulings on tax matters</w:t>
      </w:r>
      <w:r>
        <w:rPr>
          <w:lang w:eastAsia="de-DE"/>
        </w:rPr>
        <w:t>,</w:t>
      </w:r>
      <w:r w:rsidRPr="00635E07">
        <w:rPr>
          <w:lang w:eastAsia="de-DE"/>
        </w:rPr>
        <w:t xml:space="preserve"> </w:t>
      </w:r>
      <w:r>
        <w:rPr>
          <w:lang w:eastAsia="de-DE"/>
        </w:rPr>
        <w:t>should that be</w:t>
      </w:r>
      <w:r w:rsidRPr="00635E07">
        <w:rPr>
          <w:lang w:eastAsia="de-DE"/>
        </w:rPr>
        <w:t xml:space="preserve"> important for </w:t>
      </w:r>
      <w:r>
        <w:rPr>
          <w:lang w:eastAsia="de-DE"/>
        </w:rPr>
        <w:t xml:space="preserve">a </w:t>
      </w:r>
      <w:proofErr w:type="gramStart"/>
      <w:r>
        <w:rPr>
          <w:lang w:eastAsia="de-DE"/>
        </w:rPr>
        <w:t xml:space="preserve">particular </w:t>
      </w:r>
      <w:r w:rsidRPr="00635E07">
        <w:rPr>
          <w:lang w:eastAsia="de-DE"/>
        </w:rPr>
        <w:t>case</w:t>
      </w:r>
      <w:proofErr w:type="gramEnd"/>
      <w:r w:rsidRPr="00635E07">
        <w:rPr>
          <w:lang w:eastAsia="de-DE"/>
        </w:rPr>
        <w:t xml:space="preserve"> or for the uniform interpretation or application of the law.</w:t>
      </w:r>
      <w:r>
        <w:rPr>
          <w:lang w:eastAsia="de-DE"/>
        </w:rPr>
        <w:t xml:space="preserve"> The</w:t>
      </w:r>
      <w:r w:rsidRPr="00635E07">
        <w:rPr>
          <w:lang w:eastAsia="de-DE"/>
        </w:rPr>
        <w:t xml:space="preserve"> advance ruling is binding on the Swedish Tax Agenc</w:t>
      </w:r>
      <w:r>
        <w:rPr>
          <w:lang w:eastAsia="de-DE"/>
        </w:rPr>
        <w:t>y and on the general administrative court,</w:t>
      </w:r>
      <w:r w:rsidRPr="00635E07">
        <w:rPr>
          <w:lang w:eastAsia="de-DE"/>
        </w:rPr>
        <w:t xml:space="preserve"> if the person applying for the ruling so requests. However, if an advance ruling has been upheld by the Supreme Administrative Court, </w:t>
      </w:r>
      <w:r>
        <w:rPr>
          <w:lang w:eastAsia="de-DE"/>
        </w:rPr>
        <w:t>such a</w:t>
      </w:r>
      <w:r w:rsidRPr="00635E07">
        <w:rPr>
          <w:lang w:eastAsia="de-DE"/>
        </w:rPr>
        <w:t xml:space="preserve"> ruling will be binding in the same manner as any other precedent </w:t>
      </w:r>
      <w:r>
        <w:rPr>
          <w:lang w:eastAsia="de-DE"/>
        </w:rPr>
        <w:t>decided by</w:t>
      </w:r>
      <w:r w:rsidRPr="00635E07">
        <w:rPr>
          <w:lang w:eastAsia="de-DE"/>
        </w:rPr>
        <w:t xml:space="preserve"> the Supreme Administrative Court, even in the absence of a request to that effect.</w:t>
      </w:r>
    </w:p>
    <w:p w14:paraId="5B9377FF" w14:textId="2D37A3E7" w:rsidR="00AD110A" w:rsidRPr="00635E07" w:rsidRDefault="00AD110A" w:rsidP="00AD110A">
      <w:pPr>
        <w:pStyle w:val="SingleTxtG"/>
      </w:pPr>
      <w:r>
        <w:rPr>
          <w:lang w:eastAsia="de-DE"/>
        </w:rPr>
        <w:t>6.5</w:t>
      </w:r>
      <w:r w:rsidRPr="00635E07">
        <w:rPr>
          <w:lang w:eastAsia="de-DE"/>
        </w:rPr>
        <w:tab/>
        <w:t>As regards the facts of the case, the State party submits that in 2013, the author</w:t>
      </w:r>
      <w:r>
        <w:rPr>
          <w:lang w:eastAsia="de-DE"/>
        </w:rPr>
        <w:t>,</w:t>
      </w:r>
      <w:r w:rsidRPr="00635E07">
        <w:rPr>
          <w:lang w:eastAsia="de-DE"/>
        </w:rPr>
        <w:t xml:space="preserve"> together with other members of the Order</w:t>
      </w:r>
      <w:r>
        <w:rPr>
          <w:lang w:eastAsia="de-DE"/>
        </w:rPr>
        <w:t>,</w:t>
      </w:r>
      <w:r w:rsidRPr="00635E07">
        <w:rPr>
          <w:lang w:eastAsia="de-DE"/>
        </w:rPr>
        <w:t xml:space="preserve"> lodged an application with the Chancellor of Justice in Sweden.</w:t>
      </w:r>
      <w:r w:rsidRPr="00635E07">
        <w:rPr>
          <w:vertAlign w:val="superscript"/>
        </w:rPr>
        <w:footnoteReference w:id="13"/>
      </w:r>
      <w:r w:rsidRPr="00635E07">
        <w:rPr>
          <w:vertAlign w:val="superscript"/>
          <w:lang w:eastAsia="de-DE"/>
        </w:rPr>
        <w:t xml:space="preserve"> </w:t>
      </w:r>
      <w:r w:rsidRPr="00635E07">
        <w:rPr>
          <w:lang w:eastAsia="de-DE"/>
        </w:rPr>
        <w:t>They claimed that their tax assessments for the period 2005</w:t>
      </w:r>
      <w:r>
        <w:rPr>
          <w:lang w:eastAsia="de-DE"/>
        </w:rPr>
        <w:t>–</w:t>
      </w:r>
      <w:r w:rsidRPr="00635E07">
        <w:rPr>
          <w:lang w:eastAsia="de-DE"/>
        </w:rPr>
        <w:t xml:space="preserve">2011 violated </w:t>
      </w:r>
      <w:r>
        <w:rPr>
          <w:lang w:eastAsia="de-DE"/>
        </w:rPr>
        <w:t>a</w:t>
      </w:r>
      <w:r w:rsidRPr="00635E07">
        <w:rPr>
          <w:lang w:eastAsia="de-DE"/>
        </w:rPr>
        <w:t>rticles 6, 9 and 14 of the European Convention on Human Rig</w:t>
      </w:r>
      <w:r>
        <w:rPr>
          <w:lang w:eastAsia="de-DE"/>
        </w:rPr>
        <w:t>hts and article 1 of Protocol No. 1 to the Convention. On 14 January 2014, the petition was rejected explicitly ruling that the authors</w:t>
      </w:r>
      <w:r w:rsidR="00F60712">
        <w:rPr>
          <w:lang w:eastAsia="de-DE"/>
        </w:rPr>
        <w:t>’</w:t>
      </w:r>
      <w:r>
        <w:rPr>
          <w:lang w:eastAsia="de-DE"/>
        </w:rPr>
        <w:t xml:space="preserve"> tax payment obligation did not amount to a violation of the Convention.</w:t>
      </w:r>
    </w:p>
    <w:p w14:paraId="436F5CA2" w14:textId="77777777" w:rsidR="00AD110A" w:rsidRPr="00635E07" w:rsidRDefault="00AD110A" w:rsidP="00AD110A">
      <w:pPr>
        <w:pStyle w:val="SingleTxtG"/>
        <w:rPr>
          <w:lang w:eastAsia="de-DE"/>
        </w:rPr>
      </w:pPr>
      <w:r>
        <w:rPr>
          <w:lang w:eastAsia="de-DE"/>
        </w:rPr>
        <w:t>6.6</w:t>
      </w:r>
      <w:r w:rsidRPr="00635E07">
        <w:rPr>
          <w:lang w:eastAsia="de-DE"/>
        </w:rPr>
        <w:tab/>
        <w:t xml:space="preserve">As regards the admissibility of the communication, the State party reiterates its arguments of </w:t>
      </w:r>
      <w:r w:rsidRPr="00635E07">
        <w:rPr>
          <w:lang w:val="en-US"/>
        </w:rPr>
        <w:t xml:space="preserve">16 May 2016. In </w:t>
      </w:r>
      <w:r w:rsidRPr="00635E07">
        <w:rPr>
          <w:lang w:eastAsia="de-DE"/>
        </w:rPr>
        <w:t>addition, it argues that the complaint sho</w:t>
      </w:r>
      <w:r>
        <w:rPr>
          <w:lang w:eastAsia="de-DE"/>
        </w:rPr>
        <w:t xml:space="preserve">uld be deemed inadmissible </w:t>
      </w:r>
      <w:r w:rsidRPr="00635E07">
        <w:rPr>
          <w:lang w:eastAsia="de-DE"/>
        </w:rPr>
        <w:t xml:space="preserve">for lack of </w:t>
      </w:r>
      <w:proofErr w:type="gramStart"/>
      <w:r w:rsidRPr="00635E07">
        <w:rPr>
          <w:lang w:eastAsia="de-DE"/>
        </w:rPr>
        <w:t>sufficient</w:t>
      </w:r>
      <w:proofErr w:type="gramEnd"/>
      <w:r w:rsidRPr="00635E07">
        <w:rPr>
          <w:lang w:eastAsia="de-DE"/>
        </w:rPr>
        <w:t xml:space="preserve"> substantiation for the reasons set out in its submission addressing the merits of the case.</w:t>
      </w:r>
    </w:p>
    <w:p w14:paraId="22419B61" w14:textId="331BD392" w:rsidR="00AD110A" w:rsidRPr="00635E07" w:rsidRDefault="00AD110A" w:rsidP="00AD110A">
      <w:pPr>
        <w:pStyle w:val="SingleTxtG"/>
        <w:rPr>
          <w:lang w:eastAsia="de-DE"/>
        </w:rPr>
      </w:pPr>
      <w:r>
        <w:rPr>
          <w:lang w:eastAsia="de-DE"/>
        </w:rPr>
        <w:t>6.7</w:t>
      </w:r>
      <w:r w:rsidRPr="00635E07">
        <w:rPr>
          <w:lang w:eastAsia="de-DE"/>
        </w:rPr>
        <w:tab/>
        <w:t>It is further argued that to the extent that the complaint is based on the author</w:t>
      </w:r>
      <w:r w:rsidR="00F60712">
        <w:rPr>
          <w:lang w:eastAsia="de-DE"/>
        </w:rPr>
        <w:t>’</w:t>
      </w:r>
      <w:r w:rsidRPr="00635E07">
        <w:rPr>
          <w:lang w:eastAsia="de-DE"/>
        </w:rPr>
        <w:t xml:space="preserve">s claim concerning her inability to work due to </w:t>
      </w:r>
      <w:r>
        <w:rPr>
          <w:lang w:eastAsia="de-DE"/>
        </w:rPr>
        <w:t xml:space="preserve">her </w:t>
      </w:r>
      <w:r w:rsidRPr="00635E07">
        <w:rPr>
          <w:lang w:eastAsia="de-DE"/>
        </w:rPr>
        <w:t>physical constrain</w:t>
      </w:r>
      <w:r>
        <w:rPr>
          <w:lang w:eastAsia="de-DE"/>
        </w:rPr>
        <w:t>t</w:t>
      </w:r>
      <w:r w:rsidRPr="00635E07">
        <w:rPr>
          <w:lang w:eastAsia="de-DE"/>
        </w:rPr>
        <w:t xml:space="preserve">s, the complaint must be declared inadmissible for non-exhaustion of domestic remedies as this claim was not brought before the domestic authorities. </w:t>
      </w:r>
    </w:p>
    <w:p w14:paraId="49F29AA0" w14:textId="347AC438" w:rsidR="00AD110A" w:rsidRPr="00635E07" w:rsidRDefault="00AD110A" w:rsidP="00AD110A">
      <w:pPr>
        <w:pStyle w:val="SingleTxtG"/>
      </w:pPr>
      <w:r>
        <w:rPr>
          <w:lang w:eastAsia="de-DE"/>
        </w:rPr>
        <w:t>6.8</w:t>
      </w:r>
      <w:r>
        <w:rPr>
          <w:lang w:eastAsia="de-DE"/>
        </w:rPr>
        <w:tab/>
        <w:t>As regards the author</w:t>
      </w:r>
      <w:r w:rsidR="00F60712">
        <w:rPr>
          <w:lang w:eastAsia="de-DE"/>
        </w:rPr>
        <w:t>’</w:t>
      </w:r>
      <w:r>
        <w:rPr>
          <w:lang w:eastAsia="de-DE"/>
        </w:rPr>
        <w:t>s</w:t>
      </w:r>
      <w:r w:rsidRPr="00635E07">
        <w:rPr>
          <w:lang w:eastAsia="de-DE"/>
        </w:rPr>
        <w:t xml:space="preserve"> claim</w:t>
      </w:r>
      <w:r>
        <w:rPr>
          <w:lang w:eastAsia="de-DE"/>
        </w:rPr>
        <w:t>s</w:t>
      </w:r>
      <w:r w:rsidRPr="00635E07">
        <w:rPr>
          <w:lang w:eastAsia="de-DE"/>
        </w:rPr>
        <w:t xml:space="preserve"> under article 14 of the Covenant, the State party contends that</w:t>
      </w:r>
      <w:r>
        <w:rPr>
          <w:lang w:eastAsia="de-DE"/>
        </w:rPr>
        <w:t xml:space="preserve"> they</w:t>
      </w:r>
      <w:r w:rsidRPr="00635E07">
        <w:rPr>
          <w:lang w:eastAsia="de-DE"/>
        </w:rPr>
        <w:t xml:space="preserve"> shoul</w:t>
      </w:r>
      <w:r>
        <w:rPr>
          <w:lang w:eastAsia="de-DE"/>
        </w:rPr>
        <w:t xml:space="preserve">d be declared inadmissible </w:t>
      </w:r>
      <w:r w:rsidRPr="00635E07">
        <w:rPr>
          <w:lang w:eastAsia="de-DE"/>
        </w:rPr>
        <w:t xml:space="preserve">for being incompatible </w:t>
      </w:r>
      <w:r w:rsidRPr="00B474A0">
        <w:rPr>
          <w:i/>
          <w:iCs/>
          <w:lang w:eastAsia="de-DE"/>
        </w:rPr>
        <w:t>ratione materiae</w:t>
      </w:r>
      <w:r w:rsidRPr="00635E07">
        <w:rPr>
          <w:lang w:eastAsia="de-DE"/>
        </w:rPr>
        <w:t xml:space="preserve"> with the provisions of the Covenant. In this respect, the State party argues that tax disputes</w:t>
      </w:r>
      <w:r>
        <w:rPr>
          <w:lang w:eastAsia="de-DE"/>
        </w:rPr>
        <w:t xml:space="preserve"> cannot be considered to relate to</w:t>
      </w:r>
      <w:r w:rsidRPr="00635E07">
        <w:rPr>
          <w:lang w:eastAsia="de-DE"/>
        </w:rPr>
        <w:t xml:space="preserve"> a determination of rights and obligations in a suit at law</w:t>
      </w:r>
      <w:r>
        <w:rPr>
          <w:lang w:eastAsia="de-DE"/>
        </w:rPr>
        <w:t>,</w:t>
      </w:r>
      <w:r w:rsidRPr="00635E07">
        <w:rPr>
          <w:lang w:eastAsia="de-DE"/>
        </w:rPr>
        <w:t xml:space="preserve"> especially </w:t>
      </w:r>
      <w:r>
        <w:rPr>
          <w:lang w:eastAsia="de-DE"/>
        </w:rPr>
        <w:t xml:space="preserve">in the present case </w:t>
      </w:r>
      <w:r w:rsidRPr="00635E07">
        <w:rPr>
          <w:lang w:eastAsia="de-DE"/>
        </w:rPr>
        <w:t xml:space="preserve">because the </w:t>
      </w:r>
      <w:r>
        <w:rPr>
          <w:lang w:eastAsia="de-DE"/>
        </w:rPr>
        <w:t xml:space="preserve">domestic </w:t>
      </w:r>
      <w:r w:rsidRPr="00635E07">
        <w:rPr>
          <w:lang w:eastAsia="de-DE"/>
        </w:rPr>
        <w:t>proceedings did not involve a penalty, such as a tax sur</w:t>
      </w:r>
      <w:r>
        <w:rPr>
          <w:lang w:eastAsia="de-DE"/>
        </w:rPr>
        <w:t>charge, or concern</w:t>
      </w:r>
      <w:r w:rsidRPr="00635E07">
        <w:rPr>
          <w:lang w:eastAsia="de-DE"/>
        </w:rPr>
        <w:t xml:space="preserve"> the determination of a criminal charge. </w:t>
      </w:r>
      <w:r>
        <w:rPr>
          <w:lang w:eastAsia="de-DE"/>
        </w:rPr>
        <w:t>T</w:t>
      </w:r>
      <w:r w:rsidRPr="00635E07">
        <w:rPr>
          <w:lang w:eastAsia="de-DE"/>
        </w:rPr>
        <w:t xml:space="preserve">he concept </w:t>
      </w:r>
      <w:r>
        <w:rPr>
          <w:lang w:eastAsia="de-DE"/>
        </w:rPr>
        <w:t xml:space="preserve">of a </w:t>
      </w:r>
      <w:r w:rsidR="00F60712">
        <w:rPr>
          <w:lang w:eastAsia="de-DE"/>
        </w:rPr>
        <w:t>“</w:t>
      </w:r>
      <w:r w:rsidRPr="00635E07">
        <w:rPr>
          <w:lang w:eastAsia="de-DE"/>
        </w:rPr>
        <w:t>suit at law</w:t>
      </w:r>
      <w:r w:rsidR="00F60712">
        <w:rPr>
          <w:lang w:eastAsia="de-DE"/>
        </w:rPr>
        <w:t>”</w:t>
      </w:r>
      <w:r w:rsidRPr="00635E07">
        <w:rPr>
          <w:lang w:eastAsia="de-DE"/>
        </w:rPr>
        <w:t xml:space="preserve"> encompasses judicial procedures aimed at determining rights and obligations pertaining to the areas of contract, property and torts in the area of private law, </w:t>
      </w:r>
      <w:r>
        <w:rPr>
          <w:lang w:eastAsia="de-DE"/>
        </w:rPr>
        <w:t>and the</w:t>
      </w:r>
      <w:r w:rsidRPr="00635E07">
        <w:rPr>
          <w:lang w:eastAsia="de-DE"/>
        </w:rPr>
        <w:t xml:space="preserve"> equivalent notions in the area o</w:t>
      </w:r>
      <w:r>
        <w:rPr>
          <w:lang w:eastAsia="de-DE"/>
        </w:rPr>
        <w:t>f administrative law</w:t>
      </w:r>
      <w:r w:rsidRPr="00635E07">
        <w:rPr>
          <w:lang w:eastAsia="de-DE"/>
        </w:rPr>
        <w:t>.</w:t>
      </w:r>
      <w:r>
        <w:rPr>
          <w:rStyle w:val="FootnoteReference"/>
          <w:lang w:eastAsia="de-DE"/>
        </w:rPr>
        <w:footnoteReference w:id="14"/>
      </w:r>
      <w:r w:rsidRPr="00635E07">
        <w:rPr>
          <w:lang w:eastAsia="de-DE"/>
        </w:rPr>
        <w:t xml:space="preserve"> Although the English versions of article 14 (1) of the Covenant and </w:t>
      </w:r>
      <w:r>
        <w:rPr>
          <w:lang w:eastAsia="de-DE"/>
        </w:rPr>
        <w:t>a</w:t>
      </w:r>
      <w:r w:rsidRPr="00635E07">
        <w:rPr>
          <w:lang w:eastAsia="de-DE"/>
        </w:rPr>
        <w:t xml:space="preserve">rticle 6 (1) of the European Convention on Human Rights </w:t>
      </w:r>
      <w:r>
        <w:rPr>
          <w:lang w:eastAsia="de-DE"/>
        </w:rPr>
        <w:t xml:space="preserve">differ </w:t>
      </w:r>
      <w:r w:rsidRPr="00635E07">
        <w:rPr>
          <w:lang w:eastAsia="de-DE"/>
        </w:rPr>
        <w:t xml:space="preserve">somewhat, the French versions similarly stress the civil nature of the rights and obligations in question. Furthermore, the Committee has already held that the wording and scope of article 14 (1) of the Covenant coincides with that of </w:t>
      </w:r>
      <w:r>
        <w:rPr>
          <w:lang w:eastAsia="de-DE"/>
        </w:rPr>
        <w:t>a</w:t>
      </w:r>
      <w:r w:rsidRPr="00635E07">
        <w:rPr>
          <w:lang w:eastAsia="de-DE"/>
        </w:rPr>
        <w:t>rticle 6 (1) of the Convention.</w:t>
      </w:r>
      <w:r w:rsidRPr="00635E07">
        <w:rPr>
          <w:rStyle w:val="FootnoteReference"/>
          <w:lang w:eastAsia="de-DE"/>
        </w:rPr>
        <w:footnoteReference w:id="15"/>
      </w:r>
      <w:r>
        <w:rPr>
          <w:lang w:eastAsia="de-DE"/>
        </w:rPr>
        <w:t xml:space="preserve"> It is therefore of relevance that according to the</w:t>
      </w:r>
      <w:r w:rsidRPr="00635E07">
        <w:rPr>
          <w:lang w:eastAsia="de-DE"/>
        </w:rPr>
        <w:t xml:space="preserve"> case</w:t>
      </w:r>
      <w:r>
        <w:rPr>
          <w:lang w:eastAsia="de-DE"/>
        </w:rPr>
        <w:t xml:space="preserve"> </w:t>
      </w:r>
      <w:r w:rsidRPr="00635E07">
        <w:rPr>
          <w:lang w:eastAsia="de-DE"/>
        </w:rPr>
        <w:t>law of the European Court</w:t>
      </w:r>
      <w:r>
        <w:rPr>
          <w:lang w:eastAsia="de-DE"/>
        </w:rPr>
        <w:t xml:space="preserve"> of Human Rights</w:t>
      </w:r>
      <w:r w:rsidRPr="00635E07">
        <w:rPr>
          <w:lang w:eastAsia="de-DE"/>
        </w:rPr>
        <w:t xml:space="preserve">, tax disputes fall outside the scope of </w:t>
      </w:r>
      <w:r>
        <w:rPr>
          <w:lang w:eastAsia="de-DE"/>
        </w:rPr>
        <w:t>a</w:t>
      </w:r>
      <w:r w:rsidRPr="00635E07">
        <w:rPr>
          <w:lang w:eastAsia="de-DE"/>
        </w:rPr>
        <w:t>rticle 6 (1) of the Convention.</w:t>
      </w:r>
      <w:r>
        <w:rPr>
          <w:rStyle w:val="FootnoteReference"/>
          <w:lang w:eastAsia="de-DE"/>
        </w:rPr>
        <w:footnoteReference w:id="16"/>
      </w:r>
      <w:r w:rsidRPr="00635E07">
        <w:rPr>
          <w:lang w:eastAsia="de-DE"/>
        </w:rPr>
        <w:t xml:space="preserve"> </w:t>
      </w:r>
    </w:p>
    <w:p w14:paraId="7B22C36A" w14:textId="489F2C25" w:rsidR="00AD110A" w:rsidRPr="00635E07" w:rsidRDefault="00AD110A" w:rsidP="00AD110A">
      <w:pPr>
        <w:pStyle w:val="SingleTxtG"/>
      </w:pPr>
      <w:r>
        <w:rPr>
          <w:lang w:eastAsia="de-DE"/>
        </w:rPr>
        <w:t>6.9</w:t>
      </w:r>
      <w:r w:rsidRPr="00635E07">
        <w:rPr>
          <w:lang w:eastAsia="de-DE"/>
        </w:rPr>
        <w:tab/>
        <w:t>As regard</w:t>
      </w:r>
      <w:r>
        <w:rPr>
          <w:lang w:eastAsia="de-DE"/>
        </w:rPr>
        <w:t>s</w:t>
      </w:r>
      <w:r w:rsidRPr="00635E07">
        <w:rPr>
          <w:lang w:eastAsia="de-DE"/>
        </w:rPr>
        <w:t xml:space="preserve"> the merits of the complaint, the State party contests that the author has been discriminated against on the ground of</w:t>
      </w:r>
      <w:r>
        <w:rPr>
          <w:lang w:eastAsia="de-DE"/>
        </w:rPr>
        <w:t xml:space="preserve"> her</w:t>
      </w:r>
      <w:r w:rsidRPr="00635E07">
        <w:rPr>
          <w:lang w:eastAsia="de-DE"/>
        </w:rPr>
        <w:t xml:space="preserve"> re</w:t>
      </w:r>
      <w:r>
        <w:rPr>
          <w:lang w:eastAsia="de-DE"/>
        </w:rPr>
        <w:t>ligion in comparison to</w:t>
      </w:r>
      <w:r w:rsidRPr="00635E07">
        <w:rPr>
          <w:lang w:eastAsia="de-DE"/>
        </w:rPr>
        <w:t xml:space="preserve"> similarly situated members of other religious orders. I</w:t>
      </w:r>
      <w:r>
        <w:rPr>
          <w:lang w:eastAsia="de-DE"/>
        </w:rPr>
        <w:t>t reiterates</w:t>
      </w:r>
      <w:r w:rsidRPr="00635E07">
        <w:rPr>
          <w:lang w:eastAsia="de-DE"/>
        </w:rPr>
        <w:t xml:space="preserve"> that there is no legal basis for an exemption from </w:t>
      </w:r>
      <w:r>
        <w:rPr>
          <w:lang w:eastAsia="de-DE"/>
        </w:rPr>
        <w:t xml:space="preserve">taxation for the member of </w:t>
      </w:r>
      <w:r w:rsidRPr="00635E07">
        <w:rPr>
          <w:lang w:eastAsia="de-DE"/>
        </w:rPr>
        <w:t>any religious orders. The decisive issue is whether remuneration is to be regarded as income from employment for the purposes of the relevant provision</w:t>
      </w:r>
      <w:r>
        <w:rPr>
          <w:lang w:eastAsia="de-DE"/>
        </w:rPr>
        <w:t>s</w:t>
      </w:r>
      <w:r w:rsidRPr="00635E07">
        <w:rPr>
          <w:lang w:eastAsia="de-DE"/>
        </w:rPr>
        <w:t xml:space="preserve"> of the Income Tax Act. In this regard, the State party does not contest the information provided by the author that the Swedish Tax Agen</w:t>
      </w:r>
      <w:r>
        <w:rPr>
          <w:lang w:eastAsia="de-DE"/>
        </w:rPr>
        <w:t>cy stated in a position paper</w:t>
      </w:r>
      <w:r w:rsidRPr="00635E07">
        <w:rPr>
          <w:lang w:eastAsia="de-DE"/>
        </w:rPr>
        <w:t xml:space="preserve"> to the Council for Advance Tax Rulings that the Agency maintained a practice that free housing, free mea</w:t>
      </w:r>
      <w:r>
        <w:rPr>
          <w:lang w:eastAsia="de-DE"/>
        </w:rPr>
        <w:t>ls and pocket money were exempt</w:t>
      </w:r>
      <w:r w:rsidRPr="00635E07">
        <w:rPr>
          <w:lang w:eastAsia="de-DE"/>
        </w:rPr>
        <w:t xml:space="preserve"> from taxation when provided to persons living in what could be characterized as a </w:t>
      </w:r>
      <w:r>
        <w:rPr>
          <w:lang w:eastAsia="de-DE"/>
        </w:rPr>
        <w:t xml:space="preserve">community similar to a </w:t>
      </w:r>
      <w:r w:rsidRPr="00635E07">
        <w:rPr>
          <w:lang w:eastAsia="de-DE"/>
        </w:rPr>
        <w:t xml:space="preserve">monastery. </w:t>
      </w:r>
      <w:r>
        <w:rPr>
          <w:lang w:eastAsia="de-DE"/>
        </w:rPr>
        <w:t>The Tax Agency</w:t>
      </w:r>
      <w:r w:rsidR="00F60712">
        <w:rPr>
          <w:lang w:eastAsia="de-DE"/>
        </w:rPr>
        <w:t>’</w:t>
      </w:r>
      <w:r>
        <w:rPr>
          <w:lang w:eastAsia="de-DE"/>
        </w:rPr>
        <w:t>s position paper</w:t>
      </w:r>
      <w:r w:rsidRPr="00635E07">
        <w:rPr>
          <w:lang w:eastAsia="de-DE"/>
        </w:rPr>
        <w:t xml:space="preserve"> was based on three rulings of lower courts</w:t>
      </w:r>
      <w:r>
        <w:rPr>
          <w:lang w:eastAsia="de-DE"/>
        </w:rPr>
        <w:t>,</w:t>
      </w:r>
      <w:r w:rsidRPr="00635E07">
        <w:rPr>
          <w:lang w:eastAsia="de-DE"/>
        </w:rPr>
        <w:t xml:space="preserve"> issued in 1957, 1968 and 1986</w:t>
      </w:r>
      <w:r>
        <w:rPr>
          <w:lang w:eastAsia="de-DE"/>
        </w:rPr>
        <w:t>, to which</w:t>
      </w:r>
      <w:r w:rsidRPr="00635E07">
        <w:rPr>
          <w:lang w:eastAsia="de-DE"/>
        </w:rPr>
        <w:t xml:space="preserve"> the author also refers. These rulings, however, date back to a period preceding the tax reform </w:t>
      </w:r>
      <w:r>
        <w:rPr>
          <w:lang w:eastAsia="de-DE"/>
        </w:rPr>
        <w:t>of</w:t>
      </w:r>
      <w:r w:rsidRPr="00635E07">
        <w:rPr>
          <w:lang w:eastAsia="de-DE"/>
        </w:rPr>
        <w:t xml:space="preserve"> 1990 and the entry into force of th</w:t>
      </w:r>
      <w:r>
        <w:rPr>
          <w:lang w:eastAsia="de-DE"/>
        </w:rPr>
        <w:t>e Income Tax Act on</w:t>
      </w:r>
      <w:r w:rsidRPr="00635E07">
        <w:rPr>
          <w:lang w:eastAsia="de-DE"/>
        </w:rPr>
        <w:t xml:space="preserve"> 1 January 2000. </w:t>
      </w:r>
    </w:p>
    <w:p w14:paraId="7FAFAACC" w14:textId="4529D6BA" w:rsidR="00AD110A" w:rsidRPr="00635E07" w:rsidRDefault="00AD110A" w:rsidP="00AD110A">
      <w:pPr>
        <w:pStyle w:val="SingleTxtG"/>
        <w:rPr>
          <w:lang w:eastAsia="de-DE"/>
        </w:rPr>
      </w:pPr>
      <w:r>
        <w:rPr>
          <w:lang w:eastAsia="de-DE"/>
        </w:rPr>
        <w:t>6.10</w:t>
      </w:r>
      <w:r w:rsidRPr="00635E07">
        <w:rPr>
          <w:lang w:eastAsia="de-DE"/>
        </w:rPr>
        <w:tab/>
        <w:t xml:space="preserve">The State party emphasizes that until the advance ruling of the Council for Advance Tax Rulings, which was upheld by the Supreme Administrative Court </w:t>
      </w:r>
      <w:r>
        <w:rPr>
          <w:lang w:eastAsia="de-DE"/>
        </w:rPr>
        <w:t>in</w:t>
      </w:r>
      <w:r w:rsidRPr="00635E07">
        <w:rPr>
          <w:lang w:eastAsia="de-DE"/>
        </w:rPr>
        <w:t xml:space="preserve"> a decision of 30 April 2012</w:t>
      </w:r>
      <w:r>
        <w:rPr>
          <w:lang w:eastAsia="de-DE"/>
        </w:rPr>
        <w:t>,</w:t>
      </w:r>
      <w:r w:rsidRPr="00635E07">
        <w:rPr>
          <w:lang w:eastAsia="de-DE"/>
        </w:rPr>
        <w:t xml:space="preserve"> </w:t>
      </w:r>
      <w:r>
        <w:rPr>
          <w:lang w:eastAsia="de-DE"/>
        </w:rPr>
        <w:t xml:space="preserve">there had </w:t>
      </w:r>
      <w:r w:rsidRPr="00635E07">
        <w:rPr>
          <w:lang w:eastAsia="de-DE"/>
        </w:rPr>
        <w:t>not</w:t>
      </w:r>
      <w:r>
        <w:rPr>
          <w:lang w:eastAsia="de-DE"/>
        </w:rPr>
        <w:t xml:space="preserve"> been</w:t>
      </w:r>
      <w:r w:rsidRPr="00635E07">
        <w:rPr>
          <w:lang w:eastAsia="de-DE"/>
        </w:rPr>
        <w:t xml:space="preserve"> </w:t>
      </w:r>
      <w:r>
        <w:rPr>
          <w:lang w:eastAsia="de-DE"/>
        </w:rPr>
        <w:t>any authoritative decision</w:t>
      </w:r>
      <w:r w:rsidRPr="00635E07">
        <w:rPr>
          <w:lang w:eastAsia="de-DE"/>
        </w:rPr>
        <w:t xml:space="preserve"> interpreting the law applicable to the author</w:t>
      </w:r>
      <w:r w:rsidR="00F60712">
        <w:rPr>
          <w:lang w:eastAsia="de-DE"/>
        </w:rPr>
        <w:t>’</w:t>
      </w:r>
      <w:r w:rsidRPr="00635E07">
        <w:rPr>
          <w:lang w:eastAsia="de-DE"/>
        </w:rPr>
        <w:t>s case. These</w:t>
      </w:r>
      <w:r>
        <w:rPr>
          <w:lang w:eastAsia="de-DE"/>
        </w:rPr>
        <w:t xml:space="preserve"> precedent rulings, however, do</w:t>
      </w:r>
      <w:r w:rsidRPr="00635E07">
        <w:rPr>
          <w:lang w:eastAsia="de-DE"/>
        </w:rPr>
        <w:t xml:space="preserve"> not allow for </w:t>
      </w:r>
      <w:r>
        <w:rPr>
          <w:lang w:eastAsia="de-DE"/>
        </w:rPr>
        <w:t xml:space="preserve">an </w:t>
      </w:r>
      <w:r w:rsidRPr="00635E07">
        <w:rPr>
          <w:lang w:eastAsia="de-DE"/>
        </w:rPr>
        <w:t>exemption from taxation levied on allowances provided to persons living in communities</w:t>
      </w:r>
      <w:r>
        <w:rPr>
          <w:lang w:eastAsia="de-DE"/>
        </w:rPr>
        <w:t xml:space="preserve"> </w:t>
      </w:r>
      <w:proofErr w:type="gramStart"/>
      <w:r>
        <w:rPr>
          <w:lang w:eastAsia="de-DE"/>
        </w:rPr>
        <w:t>similar to</w:t>
      </w:r>
      <w:proofErr w:type="gramEnd"/>
      <w:r>
        <w:rPr>
          <w:lang w:eastAsia="de-DE"/>
        </w:rPr>
        <w:t xml:space="preserve"> monasteries</w:t>
      </w:r>
      <w:r w:rsidRPr="00635E07">
        <w:rPr>
          <w:lang w:eastAsia="de-DE"/>
        </w:rPr>
        <w:t>. A</w:t>
      </w:r>
      <w:r>
        <w:rPr>
          <w:lang w:eastAsia="de-DE"/>
        </w:rPr>
        <w:t xml:space="preserve">part from those very old cases, </w:t>
      </w:r>
      <w:r w:rsidRPr="00635E07">
        <w:rPr>
          <w:lang w:eastAsia="de-DE"/>
        </w:rPr>
        <w:t xml:space="preserve">the author failed to demonstrate that there </w:t>
      </w:r>
      <w:r>
        <w:rPr>
          <w:lang w:eastAsia="de-DE"/>
        </w:rPr>
        <w:t>was</w:t>
      </w:r>
      <w:r w:rsidRPr="00635E07">
        <w:rPr>
          <w:lang w:eastAsia="de-DE"/>
        </w:rPr>
        <w:t xml:space="preserve"> a more recent decision on the same matter by domestic courts</w:t>
      </w:r>
      <w:r>
        <w:rPr>
          <w:lang w:eastAsia="de-DE"/>
        </w:rPr>
        <w:t xml:space="preserve"> other</w:t>
      </w:r>
      <w:r w:rsidRPr="00635E07">
        <w:rPr>
          <w:lang w:eastAsia="de-DE"/>
        </w:rPr>
        <w:t xml:space="preserve"> than that of the Supreme Administrative Court. Accordingly, </w:t>
      </w:r>
      <w:r>
        <w:rPr>
          <w:lang w:eastAsia="de-DE"/>
        </w:rPr>
        <w:t>she failed to show</w:t>
      </w:r>
      <w:r w:rsidRPr="00635E07">
        <w:rPr>
          <w:lang w:eastAsia="de-DE"/>
        </w:rPr>
        <w:t xml:space="preserve"> that there </w:t>
      </w:r>
      <w:r>
        <w:rPr>
          <w:lang w:eastAsia="de-DE"/>
        </w:rPr>
        <w:t>were</w:t>
      </w:r>
      <w:r w:rsidRPr="00635E07">
        <w:rPr>
          <w:lang w:eastAsia="de-DE"/>
        </w:rPr>
        <w:t xml:space="preserve"> comparable cases in which the exemption </w:t>
      </w:r>
      <w:r>
        <w:rPr>
          <w:lang w:eastAsia="de-DE"/>
        </w:rPr>
        <w:t>had been granted</w:t>
      </w:r>
      <w:r w:rsidRPr="00635E07">
        <w:rPr>
          <w:lang w:eastAsia="de-DE"/>
        </w:rPr>
        <w:t xml:space="preserve">. </w:t>
      </w:r>
      <w:r>
        <w:rPr>
          <w:lang w:eastAsia="de-DE"/>
        </w:rPr>
        <w:t>In this regard, the</w:t>
      </w:r>
      <w:r w:rsidRPr="00635E07">
        <w:rPr>
          <w:lang w:eastAsia="de-DE"/>
        </w:rPr>
        <w:t xml:space="preserve"> State party</w:t>
      </w:r>
      <w:r>
        <w:rPr>
          <w:lang w:eastAsia="de-DE"/>
        </w:rPr>
        <w:t xml:space="preserve"> notes that</w:t>
      </w:r>
      <w:r w:rsidRPr="00635E07">
        <w:rPr>
          <w:lang w:eastAsia="de-DE"/>
        </w:rPr>
        <w:t xml:space="preserve">, without further evidence, </w:t>
      </w:r>
      <w:r>
        <w:rPr>
          <w:lang w:eastAsia="de-DE"/>
        </w:rPr>
        <w:t xml:space="preserve">it </w:t>
      </w:r>
      <w:r w:rsidRPr="00635E07">
        <w:rPr>
          <w:lang w:eastAsia="de-DE"/>
        </w:rPr>
        <w:t>cannot accept the author</w:t>
      </w:r>
      <w:r w:rsidR="00F60712">
        <w:rPr>
          <w:lang w:eastAsia="de-DE"/>
        </w:rPr>
        <w:t>’</w:t>
      </w:r>
      <w:r w:rsidRPr="00635E07">
        <w:rPr>
          <w:lang w:eastAsia="de-DE"/>
        </w:rPr>
        <w:t xml:space="preserve">s assertion that members of the Orders listed in </w:t>
      </w:r>
      <w:r>
        <w:rPr>
          <w:lang w:eastAsia="de-DE"/>
        </w:rPr>
        <w:t>a</w:t>
      </w:r>
      <w:r w:rsidRPr="00635E07">
        <w:rPr>
          <w:lang w:eastAsia="de-DE"/>
        </w:rPr>
        <w:t xml:space="preserve">ppendix 26 to the communication </w:t>
      </w:r>
      <w:r>
        <w:rPr>
          <w:lang w:eastAsia="de-DE"/>
        </w:rPr>
        <w:t>have been exempt from taxation</w:t>
      </w:r>
      <w:r w:rsidRPr="00635E07">
        <w:rPr>
          <w:lang w:eastAsia="de-DE"/>
        </w:rPr>
        <w:t xml:space="preserve">. </w:t>
      </w:r>
    </w:p>
    <w:p w14:paraId="11384687" w14:textId="6CDFC00F" w:rsidR="00AD110A" w:rsidRPr="00635E07" w:rsidRDefault="00AD110A" w:rsidP="00AD110A">
      <w:pPr>
        <w:pStyle w:val="SingleTxtG"/>
        <w:rPr>
          <w:lang w:eastAsia="de-DE"/>
        </w:rPr>
      </w:pPr>
      <w:r>
        <w:rPr>
          <w:lang w:eastAsia="de-DE"/>
        </w:rPr>
        <w:t>6.11</w:t>
      </w:r>
      <w:r w:rsidRPr="00033A9C">
        <w:rPr>
          <w:lang w:eastAsia="de-DE"/>
        </w:rPr>
        <w:tab/>
        <w:t>As regards the criteria that</w:t>
      </w:r>
      <w:r>
        <w:rPr>
          <w:lang w:eastAsia="de-DE"/>
        </w:rPr>
        <w:t xml:space="preserve"> </w:t>
      </w:r>
      <w:r w:rsidRPr="00635E07">
        <w:rPr>
          <w:lang w:eastAsia="de-DE"/>
        </w:rPr>
        <w:t>seem to have been vital</w:t>
      </w:r>
      <w:r>
        <w:rPr>
          <w:lang w:eastAsia="de-DE"/>
        </w:rPr>
        <w:t xml:space="preserve"> </w:t>
      </w:r>
      <w:r w:rsidRPr="00635E07">
        <w:rPr>
          <w:lang w:eastAsia="de-DE"/>
        </w:rPr>
        <w:t>in the assessment of what qualifies as employment</w:t>
      </w:r>
      <w:r>
        <w:rPr>
          <w:lang w:eastAsia="de-DE"/>
        </w:rPr>
        <w:t xml:space="preserve"> in the precedent decision, the State party highlights the following elements</w:t>
      </w:r>
      <w:r w:rsidRPr="00635E07">
        <w:rPr>
          <w:lang w:eastAsia="de-DE"/>
        </w:rPr>
        <w:t>: the applicant</w:t>
      </w:r>
      <w:r w:rsidR="00F60712">
        <w:rPr>
          <w:lang w:eastAsia="de-DE"/>
        </w:rPr>
        <w:t>’</w:t>
      </w:r>
      <w:r w:rsidRPr="00635E07">
        <w:rPr>
          <w:lang w:eastAsia="de-DE"/>
        </w:rPr>
        <w:t xml:space="preserve">s pledge towards the Order, the type and quantity of work performed, </w:t>
      </w:r>
      <w:r>
        <w:rPr>
          <w:lang w:eastAsia="de-DE"/>
        </w:rPr>
        <w:t>the place where the work is carried out and the target group</w:t>
      </w:r>
      <w:r w:rsidRPr="00635E07">
        <w:rPr>
          <w:lang w:eastAsia="de-DE"/>
        </w:rPr>
        <w:t>. In carrying out this assessment it was established that the applicant</w:t>
      </w:r>
      <w:r>
        <w:rPr>
          <w:lang w:eastAsia="de-DE"/>
        </w:rPr>
        <w:t>,</w:t>
      </w:r>
      <w:r w:rsidRPr="00635E07">
        <w:rPr>
          <w:lang w:eastAsia="de-DE"/>
        </w:rPr>
        <w:t xml:space="preserve"> through the vow g</w:t>
      </w:r>
      <w:r>
        <w:rPr>
          <w:lang w:eastAsia="de-DE"/>
        </w:rPr>
        <w:t>iven</w:t>
      </w:r>
      <w:r w:rsidRPr="00635E07">
        <w:rPr>
          <w:lang w:eastAsia="de-DE"/>
        </w:rPr>
        <w:t xml:space="preserve"> when he became a member of the Order</w:t>
      </w:r>
      <w:r>
        <w:rPr>
          <w:lang w:eastAsia="de-DE"/>
        </w:rPr>
        <w:t>,</w:t>
      </w:r>
      <w:r w:rsidRPr="00635E07">
        <w:rPr>
          <w:lang w:eastAsia="de-DE"/>
        </w:rPr>
        <w:t xml:space="preserve"> had committed himself to be at the Order</w:t>
      </w:r>
      <w:r w:rsidR="00F60712">
        <w:rPr>
          <w:lang w:eastAsia="de-DE"/>
        </w:rPr>
        <w:t>’</w:t>
      </w:r>
      <w:r w:rsidRPr="00635E07">
        <w:rPr>
          <w:lang w:eastAsia="de-DE"/>
        </w:rPr>
        <w:t xml:space="preserve">s disposal to carry out various tasks </w:t>
      </w:r>
      <w:r>
        <w:rPr>
          <w:lang w:eastAsia="de-DE"/>
        </w:rPr>
        <w:t xml:space="preserve">on a full-time basis </w:t>
      </w:r>
      <w:r w:rsidRPr="00635E07">
        <w:rPr>
          <w:lang w:eastAsia="de-DE"/>
        </w:rPr>
        <w:t xml:space="preserve">and to accept and receive benefits of the described kind. Furthermore, he worked </w:t>
      </w:r>
      <w:r>
        <w:rPr>
          <w:lang w:eastAsia="de-DE"/>
        </w:rPr>
        <w:t xml:space="preserve">on a </w:t>
      </w:r>
      <w:r w:rsidRPr="00635E07">
        <w:rPr>
          <w:lang w:eastAsia="de-DE"/>
        </w:rPr>
        <w:t>full</w:t>
      </w:r>
      <w:r>
        <w:rPr>
          <w:lang w:eastAsia="de-DE"/>
        </w:rPr>
        <w:t>-</w:t>
      </w:r>
      <w:r w:rsidRPr="00635E07">
        <w:rPr>
          <w:lang w:eastAsia="de-DE"/>
        </w:rPr>
        <w:t xml:space="preserve">time </w:t>
      </w:r>
      <w:r>
        <w:rPr>
          <w:lang w:eastAsia="de-DE"/>
        </w:rPr>
        <w:t xml:space="preserve">basis </w:t>
      </w:r>
      <w:r w:rsidRPr="00635E07">
        <w:rPr>
          <w:lang w:eastAsia="de-DE"/>
        </w:rPr>
        <w:t>at the Bethel facility with tasks of a legal or other nature</w:t>
      </w:r>
      <w:r>
        <w:rPr>
          <w:lang w:eastAsia="de-DE"/>
        </w:rPr>
        <w:t>;</w:t>
      </w:r>
      <w:r w:rsidRPr="00635E07">
        <w:rPr>
          <w:lang w:eastAsia="de-DE"/>
        </w:rPr>
        <w:t xml:space="preserve"> participated regularly in the activities of the congregation in </w:t>
      </w:r>
      <w:r>
        <w:rPr>
          <w:lang w:eastAsia="de-DE"/>
        </w:rPr>
        <w:t>the</w:t>
      </w:r>
      <w:r w:rsidRPr="00635E07">
        <w:rPr>
          <w:lang w:eastAsia="de-DE"/>
        </w:rPr>
        <w:t xml:space="preserve"> city </w:t>
      </w:r>
      <w:r>
        <w:rPr>
          <w:lang w:eastAsia="de-DE"/>
        </w:rPr>
        <w:t>of</w:t>
      </w:r>
      <w:r w:rsidRPr="00635E07">
        <w:rPr>
          <w:lang w:eastAsia="de-DE"/>
        </w:rPr>
        <w:t xml:space="preserve"> Örebro</w:t>
      </w:r>
      <w:r>
        <w:rPr>
          <w:lang w:eastAsia="de-DE"/>
        </w:rPr>
        <w:t>, to which</w:t>
      </w:r>
      <w:r w:rsidRPr="00635E07">
        <w:rPr>
          <w:lang w:eastAsia="de-DE"/>
        </w:rPr>
        <w:t xml:space="preserve"> he was assigned by the Order</w:t>
      </w:r>
      <w:r>
        <w:rPr>
          <w:lang w:eastAsia="de-DE"/>
        </w:rPr>
        <w:t>;</w:t>
      </w:r>
      <w:r w:rsidRPr="00635E07">
        <w:rPr>
          <w:lang w:eastAsia="de-DE"/>
        </w:rPr>
        <w:t xml:space="preserve"> and </w:t>
      </w:r>
      <w:r>
        <w:rPr>
          <w:lang w:eastAsia="de-DE"/>
        </w:rPr>
        <w:t xml:space="preserve">undertook work </w:t>
      </w:r>
      <w:r w:rsidRPr="00635E07">
        <w:rPr>
          <w:lang w:eastAsia="de-DE"/>
        </w:rPr>
        <w:t xml:space="preserve">that included spreading the religious message of the community to the public. </w:t>
      </w:r>
      <w:r>
        <w:rPr>
          <w:lang w:eastAsia="de-DE"/>
        </w:rPr>
        <w:t xml:space="preserve">Having examined all these criteria, the </w:t>
      </w:r>
      <w:r w:rsidRPr="00635E07">
        <w:rPr>
          <w:lang w:eastAsia="de-DE"/>
        </w:rPr>
        <w:t>Council for Advance Tax Rulings</w:t>
      </w:r>
      <w:r>
        <w:rPr>
          <w:lang w:eastAsia="de-DE"/>
        </w:rPr>
        <w:t xml:space="preserve"> reasonably concluded that the applicant could not </w:t>
      </w:r>
      <w:proofErr w:type="gramStart"/>
      <w:r>
        <w:rPr>
          <w:lang w:eastAsia="de-DE"/>
        </w:rPr>
        <w:t>be considered to be</w:t>
      </w:r>
      <w:proofErr w:type="gramEnd"/>
      <w:r>
        <w:rPr>
          <w:lang w:eastAsia="de-DE"/>
        </w:rPr>
        <w:t xml:space="preserve"> on an equal footing with those who receive some sort of support within a household and who are therefore exempt from taxation.</w:t>
      </w:r>
    </w:p>
    <w:p w14:paraId="36F66A9B" w14:textId="1C35E0EC" w:rsidR="00AD110A" w:rsidRPr="00635E07" w:rsidRDefault="00AD110A" w:rsidP="00AD110A">
      <w:pPr>
        <w:pStyle w:val="SingleTxtG"/>
        <w:rPr>
          <w:lang w:eastAsia="de-DE"/>
        </w:rPr>
      </w:pPr>
      <w:r>
        <w:rPr>
          <w:lang w:eastAsia="de-DE"/>
        </w:rPr>
        <w:t>6.12</w:t>
      </w:r>
      <w:r w:rsidRPr="00635E07">
        <w:rPr>
          <w:lang w:eastAsia="de-DE"/>
        </w:rPr>
        <w:tab/>
        <w:t>In the author</w:t>
      </w:r>
      <w:r w:rsidR="00F60712">
        <w:rPr>
          <w:lang w:eastAsia="de-DE"/>
        </w:rPr>
        <w:t>’</w:t>
      </w:r>
      <w:r w:rsidRPr="00635E07">
        <w:rPr>
          <w:lang w:eastAsia="de-DE"/>
        </w:rPr>
        <w:t xml:space="preserve">s case, the Administrative </w:t>
      </w:r>
      <w:r>
        <w:rPr>
          <w:lang w:eastAsia="de-DE"/>
        </w:rPr>
        <w:t xml:space="preserve">Court of Appeal </w:t>
      </w:r>
      <w:r w:rsidRPr="00635E07">
        <w:rPr>
          <w:lang w:eastAsia="de-DE"/>
        </w:rPr>
        <w:t>established that the circumstances</w:t>
      </w:r>
      <w:r>
        <w:rPr>
          <w:lang w:eastAsia="de-DE"/>
        </w:rPr>
        <w:t xml:space="preserve"> of her </w:t>
      </w:r>
      <w:r w:rsidRPr="00635E07">
        <w:rPr>
          <w:lang w:eastAsia="de-DE"/>
        </w:rPr>
        <w:t xml:space="preserve">case were largely identical with those of the precedent case. </w:t>
      </w:r>
      <w:r>
        <w:rPr>
          <w:lang w:eastAsia="de-DE"/>
        </w:rPr>
        <w:t>According to the Court, t</w:t>
      </w:r>
      <w:r w:rsidRPr="00635E07">
        <w:rPr>
          <w:lang w:eastAsia="de-DE"/>
        </w:rPr>
        <w:t>he author</w:t>
      </w:r>
      <w:r>
        <w:rPr>
          <w:lang w:eastAsia="de-DE"/>
        </w:rPr>
        <w:t xml:space="preserve"> had not</w:t>
      </w:r>
      <w:r w:rsidRPr="00635E07">
        <w:rPr>
          <w:lang w:eastAsia="de-DE"/>
        </w:rPr>
        <w:t xml:space="preserve">, however, explained in what way her work and achievements </w:t>
      </w:r>
      <w:r>
        <w:rPr>
          <w:lang w:eastAsia="de-DE"/>
        </w:rPr>
        <w:t>we</w:t>
      </w:r>
      <w:r w:rsidRPr="00635E07">
        <w:rPr>
          <w:lang w:eastAsia="de-DE"/>
        </w:rPr>
        <w:t xml:space="preserve">re different from those addressed in the </w:t>
      </w:r>
      <w:r>
        <w:rPr>
          <w:lang w:eastAsia="de-DE"/>
        </w:rPr>
        <w:t>a</w:t>
      </w:r>
      <w:r w:rsidRPr="00635E07">
        <w:rPr>
          <w:lang w:eastAsia="de-DE"/>
        </w:rPr>
        <w:t xml:space="preserve">dvance </w:t>
      </w:r>
      <w:r>
        <w:rPr>
          <w:lang w:eastAsia="de-DE"/>
        </w:rPr>
        <w:t>r</w:t>
      </w:r>
      <w:r w:rsidRPr="00635E07">
        <w:rPr>
          <w:lang w:eastAsia="de-DE"/>
        </w:rPr>
        <w:t>uling. To the contrary, the author herself stated in her appeals that the courts were to examine a situation identical with the one covered by the precedent ruling</w:t>
      </w:r>
      <w:r>
        <w:rPr>
          <w:lang w:eastAsia="de-DE"/>
        </w:rPr>
        <w:t xml:space="preserve"> of the Council for Advance Tax Rulings</w:t>
      </w:r>
      <w:r w:rsidRPr="00635E07">
        <w:rPr>
          <w:lang w:eastAsia="de-DE"/>
        </w:rPr>
        <w:t>. The State party</w:t>
      </w:r>
      <w:r>
        <w:rPr>
          <w:lang w:eastAsia="de-DE"/>
        </w:rPr>
        <w:t xml:space="preserve"> stresses that the author, in her communication to the Committee, </w:t>
      </w:r>
      <w:r w:rsidRPr="00635E07">
        <w:t>failed to demonstrate</w:t>
      </w:r>
      <w:r>
        <w:t xml:space="preserve"> that these criteria were discriminatory by proving that they had been </w:t>
      </w:r>
      <w:r w:rsidRPr="00635E07">
        <w:t>applied only to</w:t>
      </w:r>
      <w:r>
        <w:t xml:space="preserve"> members of the Order.</w:t>
      </w:r>
    </w:p>
    <w:p w14:paraId="266493AD" w14:textId="2C9840F4" w:rsidR="00AD110A" w:rsidRPr="00635E07" w:rsidRDefault="00AD110A" w:rsidP="00AD110A">
      <w:pPr>
        <w:pStyle w:val="SingleTxtG"/>
      </w:pPr>
      <w:r>
        <w:rPr>
          <w:lang w:eastAsia="de-DE"/>
        </w:rPr>
        <w:t>6.13</w:t>
      </w:r>
      <w:r w:rsidRPr="00635E07">
        <w:rPr>
          <w:lang w:eastAsia="de-DE"/>
        </w:rPr>
        <w:tab/>
        <w:t>In addition, the State party notes the author</w:t>
      </w:r>
      <w:r w:rsidR="00F60712">
        <w:rPr>
          <w:lang w:eastAsia="de-DE"/>
        </w:rPr>
        <w:t>’</w:t>
      </w:r>
      <w:r w:rsidRPr="00635E07">
        <w:rPr>
          <w:lang w:eastAsia="de-DE"/>
        </w:rPr>
        <w:t xml:space="preserve">s claim that she has been discriminated against </w:t>
      </w:r>
      <w:r>
        <w:rPr>
          <w:lang w:eastAsia="de-DE"/>
        </w:rPr>
        <w:t xml:space="preserve">as </w:t>
      </w:r>
      <w:r w:rsidRPr="00635E07">
        <w:rPr>
          <w:lang w:eastAsia="de-DE"/>
        </w:rPr>
        <w:t xml:space="preserve">compared </w:t>
      </w:r>
      <w:r>
        <w:rPr>
          <w:lang w:eastAsia="de-DE"/>
        </w:rPr>
        <w:t>with</w:t>
      </w:r>
      <w:r w:rsidRPr="00635E07">
        <w:rPr>
          <w:lang w:eastAsia="de-DE"/>
        </w:rPr>
        <w:t xml:space="preserve"> volunteers </w:t>
      </w:r>
      <w:r>
        <w:rPr>
          <w:lang w:eastAsia="de-DE"/>
        </w:rPr>
        <w:t xml:space="preserve">of the European Volunteer Service, </w:t>
      </w:r>
      <w:r w:rsidRPr="00635E07">
        <w:rPr>
          <w:lang w:eastAsia="de-DE"/>
        </w:rPr>
        <w:t>wh</w:t>
      </w:r>
      <w:r>
        <w:rPr>
          <w:lang w:eastAsia="de-DE"/>
        </w:rPr>
        <w:t>ose support is exempt from taxation</w:t>
      </w:r>
      <w:r w:rsidRPr="00635E07">
        <w:rPr>
          <w:lang w:eastAsia="de-DE"/>
        </w:rPr>
        <w:t>. In this respect, the State party submits that volunteers</w:t>
      </w:r>
      <w:r>
        <w:rPr>
          <w:lang w:eastAsia="de-DE"/>
        </w:rPr>
        <w:t xml:space="preserve"> of the Service</w:t>
      </w:r>
      <w:r w:rsidRPr="00635E07">
        <w:rPr>
          <w:lang w:eastAsia="de-DE"/>
        </w:rPr>
        <w:t xml:space="preserve"> are differently situated than members of the Order.</w:t>
      </w:r>
      <w:r>
        <w:rPr>
          <w:rStyle w:val="FootnoteReference"/>
          <w:lang w:eastAsia="de-DE"/>
        </w:rPr>
        <w:footnoteReference w:id="17"/>
      </w:r>
      <w:r w:rsidRPr="00635E07">
        <w:rPr>
          <w:lang w:eastAsia="de-DE"/>
        </w:rPr>
        <w:t xml:space="preserve"> With regard to the substantially different situation of th</w:t>
      </w:r>
      <w:r>
        <w:rPr>
          <w:lang w:eastAsia="de-DE"/>
        </w:rPr>
        <w:t>is group of persons, the S</w:t>
      </w:r>
      <w:r w:rsidRPr="00635E07">
        <w:rPr>
          <w:lang w:eastAsia="de-DE"/>
        </w:rPr>
        <w:t xml:space="preserve">tate party submits that there has been no discrimination against the author. </w:t>
      </w:r>
    </w:p>
    <w:p w14:paraId="7B8225BE" w14:textId="785D531C" w:rsidR="00AD110A" w:rsidRPr="005A2811" w:rsidRDefault="00AD110A" w:rsidP="00AD110A">
      <w:pPr>
        <w:pStyle w:val="SingleTxtG"/>
        <w:rPr>
          <w:color w:val="000000"/>
          <w:lang w:eastAsia="de-DE"/>
        </w:rPr>
      </w:pPr>
      <w:r>
        <w:rPr>
          <w:lang w:eastAsia="de-DE"/>
        </w:rPr>
        <w:t>6.14</w:t>
      </w:r>
      <w:r w:rsidRPr="00635E07">
        <w:rPr>
          <w:lang w:eastAsia="de-DE"/>
        </w:rPr>
        <w:tab/>
        <w:t>With regard to the author</w:t>
      </w:r>
      <w:r w:rsidR="00F60712">
        <w:rPr>
          <w:lang w:eastAsia="de-DE"/>
        </w:rPr>
        <w:t>’</w:t>
      </w:r>
      <w:r w:rsidRPr="00635E07">
        <w:rPr>
          <w:lang w:eastAsia="de-DE"/>
        </w:rPr>
        <w:t xml:space="preserve">s claim that she has been treated similarly to people working for pecuniary gain even though her situation is different, the State party underlines that </w:t>
      </w:r>
      <w:r>
        <w:rPr>
          <w:lang w:eastAsia="de-DE"/>
        </w:rPr>
        <w:t xml:space="preserve">pecuniary gain is not a necessary constituent part of the definition of income. </w:t>
      </w:r>
      <w:proofErr w:type="gramStart"/>
      <w:r>
        <w:rPr>
          <w:lang w:eastAsia="de-DE"/>
        </w:rPr>
        <w:t>As long as</w:t>
      </w:r>
      <w:proofErr w:type="gramEnd"/>
      <w:r>
        <w:rPr>
          <w:lang w:eastAsia="de-DE"/>
        </w:rPr>
        <w:t xml:space="preserve"> this applies to all groups of persons, </w:t>
      </w:r>
      <w:r w:rsidRPr="00635E07">
        <w:rPr>
          <w:lang w:eastAsia="de-DE"/>
        </w:rPr>
        <w:t xml:space="preserve">the Covenant cannot reasonably be interpreted in a way </w:t>
      </w:r>
      <w:r>
        <w:rPr>
          <w:lang w:eastAsia="de-DE"/>
        </w:rPr>
        <w:t xml:space="preserve">so </w:t>
      </w:r>
      <w:r w:rsidRPr="00635E07">
        <w:rPr>
          <w:lang w:eastAsia="de-DE"/>
        </w:rPr>
        <w:t>as to require States parties to exempt income from taxation on</w:t>
      </w:r>
      <w:r>
        <w:rPr>
          <w:lang w:eastAsia="de-DE"/>
        </w:rPr>
        <w:t xml:space="preserve"> account of the lack of the element of </w:t>
      </w:r>
      <w:r w:rsidRPr="00635E07">
        <w:rPr>
          <w:lang w:eastAsia="de-DE"/>
        </w:rPr>
        <w:t xml:space="preserve">pecuniary gain. </w:t>
      </w:r>
      <w:r>
        <w:rPr>
          <w:lang w:eastAsia="de-DE"/>
        </w:rPr>
        <w:t>The question</w:t>
      </w:r>
      <w:r w:rsidRPr="00635E07">
        <w:rPr>
          <w:lang w:eastAsia="de-DE"/>
        </w:rPr>
        <w:t xml:space="preserve"> of what constitutes income concerns the application of domestic law, which cannot be reviewed by the Committee unless it has been clearly arbitrary or amounted to a manifest error or denial of justice.</w:t>
      </w:r>
      <w:r w:rsidRPr="00DE3136">
        <w:rPr>
          <w:lang w:eastAsia="de-DE"/>
        </w:rPr>
        <w:t xml:space="preserve"> As this is clearly not the case, </w:t>
      </w:r>
      <w:r w:rsidRPr="00635E07">
        <w:rPr>
          <w:lang w:eastAsia="de-DE"/>
        </w:rPr>
        <w:t>the State party is of the position that there has been no violation of article 26 of the Covenant.</w:t>
      </w:r>
    </w:p>
    <w:p w14:paraId="4AEED851" w14:textId="645845A6" w:rsidR="00AD110A" w:rsidRPr="00635E07" w:rsidRDefault="00AD110A" w:rsidP="00AD110A">
      <w:pPr>
        <w:pStyle w:val="SingleTxtG"/>
      </w:pPr>
      <w:r>
        <w:rPr>
          <w:lang w:eastAsia="de-DE"/>
        </w:rPr>
        <w:t>6.15</w:t>
      </w:r>
      <w:r w:rsidRPr="00635E07">
        <w:rPr>
          <w:lang w:eastAsia="de-DE"/>
        </w:rPr>
        <w:tab/>
        <w:t>As concerns the author</w:t>
      </w:r>
      <w:r w:rsidR="00F60712">
        <w:rPr>
          <w:lang w:eastAsia="de-DE"/>
        </w:rPr>
        <w:t>’</w:t>
      </w:r>
      <w:r w:rsidRPr="00635E07">
        <w:rPr>
          <w:lang w:eastAsia="de-DE"/>
        </w:rPr>
        <w:t xml:space="preserve">s claims under article 18 of the Covenant, the State party contests that the financial burden </w:t>
      </w:r>
      <w:r>
        <w:rPr>
          <w:lang w:eastAsia="de-DE"/>
        </w:rPr>
        <w:t xml:space="preserve">imposed on the author may impair her </w:t>
      </w:r>
      <w:r w:rsidRPr="00635E07">
        <w:rPr>
          <w:lang w:eastAsia="de-DE"/>
        </w:rPr>
        <w:t xml:space="preserve">right to manifest her religion. The State party recalls the jurisprudence of the European Court of Human Rights </w:t>
      </w:r>
      <w:r>
        <w:rPr>
          <w:lang w:eastAsia="de-DE"/>
        </w:rPr>
        <w:t>establishing that a</w:t>
      </w:r>
      <w:r w:rsidRPr="00635E07">
        <w:rPr>
          <w:lang w:eastAsia="de-DE"/>
        </w:rPr>
        <w:t xml:space="preserve">rticle 9 of the European Convention on Human Rights does not </w:t>
      </w:r>
      <w:r>
        <w:rPr>
          <w:lang w:eastAsia="de-DE"/>
        </w:rPr>
        <w:t xml:space="preserve">guarantee </w:t>
      </w:r>
      <w:r w:rsidRPr="00635E07">
        <w:rPr>
          <w:lang w:eastAsia="de-DE"/>
        </w:rPr>
        <w:t xml:space="preserve">a different tax status for churches or their members compared </w:t>
      </w:r>
      <w:r>
        <w:rPr>
          <w:lang w:eastAsia="de-DE"/>
        </w:rPr>
        <w:t>with</w:t>
      </w:r>
      <w:r w:rsidRPr="00635E07">
        <w:rPr>
          <w:lang w:eastAsia="de-DE"/>
        </w:rPr>
        <w:t xml:space="preserve"> other taxpayers. Furthermore, as there is no consensus at the European level </w:t>
      </w:r>
      <w:r>
        <w:rPr>
          <w:lang w:eastAsia="de-DE"/>
        </w:rPr>
        <w:t>concerning</w:t>
      </w:r>
      <w:r w:rsidRPr="00635E07">
        <w:rPr>
          <w:lang w:eastAsia="de-DE"/>
        </w:rPr>
        <w:t xml:space="preserve"> tax matters in the context of churches or religious communities, and </w:t>
      </w:r>
      <w:r>
        <w:rPr>
          <w:lang w:eastAsia="de-DE"/>
        </w:rPr>
        <w:t>this</w:t>
      </w:r>
      <w:r w:rsidRPr="00635E07">
        <w:rPr>
          <w:lang w:eastAsia="de-DE"/>
        </w:rPr>
        <w:t xml:space="preserve"> issue is closely linked to the history and traditions of </w:t>
      </w:r>
      <w:r>
        <w:rPr>
          <w:lang w:eastAsia="de-DE"/>
        </w:rPr>
        <w:t>European Union m</w:t>
      </w:r>
      <w:r w:rsidRPr="00635E07">
        <w:rPr>
          <w:lang w:eastAsia="de-DE"/>
        </w:rPr>
        <w:t xml:space="preserve">ember States, they should therefore benefit from a particularly wide margin of appreciation. </w:t>
      </w:r>
      <w:r>
        <w:rPr>
          <w:lang w:eastAsia="de-DE"/>
        </w:rPr>
        <w:t>The only</w:t>
      </w:r>
      <w:r w:rsidRPr="00635E07">
        <w:rPr>
          <w:lang w:eastAsia="de-DE"/>
        </w:rPr>
        <w:t xml:space="preserve"> exception would be when a fiscal measure has had the effect of cutting off a religious association</w:t>
      </w:r>
      <w:r w:rsidR="00F60712">
        <w:rPr>
          <w:lang w:eastAsia="de-DE"/>
        </w:rPr>
        <w:t>’</w:t>
      </w:r>
      <w:r w:rsidRPr="00635E07">
        <w:rPr>
          <w:lang w:eastAsia="de-DE"/>
        </w:rPr>
        <w:t xml:space="preserve">s vital resources and therefore </w:t>
      </w:r>
      <w:r>
        <w:rPr>
          <w:lang w:eastAsia="de-DE"/>
        </w:rPr>
        <w:t xml:space="preserve">has </w:t>
      </w:r>
      <w:r w:rsidRPr="00635E07">
        <w:rPr>
          <w:lang w:eastAsia="de-DE"/>
        </w:rPr>
        <w:t>threaten</w:t>
      </w:r>
      <w:r>
        <w:rPr>
          <w:lang w:eastAsia="de-DE"/>
        </w:rPr>
        <w:t>ed the association</w:t>
      </w:r>
      <w:r w:rsidR="00F60712">
        <w:rPr>
          <w:lang w:eastAsia="de-DE"/>
        </w:rPr>
        <w:t>’</w:t>
      </w:r>
      <w:r>
        <w:rPr>
          <w:lang w:eastAsia="de-DE"/>
        </w:rPr>
        <w:t>s durability</w:t>
      </w:r>
      <w:r w:rsidRPr="00635E07">
        <w:rPr>
          <w:lang w:eastAsia="de-DE"/>
        </w:rPr>
        <w:t>.</w:t>
      </w:r>
      <w:r w:rsidRPr="00635E07">
        <w:rPr>
          <w:rStyle w:val="FootnoteReference"/>
          <w:lang w:eastAsia="de-DE"/>
        </w:rPr>
        <w:footnoteReference w:id="18"/>
      </w:r>
      <w:r w:rsidR="00F60712">
        <w:rPr>
          <w:color w:val="000000"/>
          <w:sz w:val="23"/>
          <w:szCs w:val="23"/>
          <w:lang w:eastAsia="de-DE"/>
        </w:rPr>
        <w:t xml:space="preserve"> </w:t>
      </w:r>
    </w:p>
    <w:p w14:paraId="47ED83A7" w14:textId="5A181977" w:rsidR="00AD110A" w:rsidRPr="00635E07" w:rsidRDefault="00AD110A" w:rsidP="00AD110A">
      <w:pPr>
        <w:pStyle w:val="SingleTxtG"/>
        <w:rPr>
          <w:lang w:eastAsia="de-DE"/>
        </w:rPr>
      </w:pPr>
      <w:r w:rsidRPr="005216F2">
        <w:rPr>
          <w:lang w:eastAsia="de-DE"/>
        </w:rPr>
        <w:t>6</w:t>
      </w:r>
      <w:r>
        <w:rPr>
          <w:lang w:eastAsia="de-DE"/>
        </w:rPr>
        <w:t>.16</w:t>
      </w:r>
      <w:r w:rsidRPr="00635E07">
        <w:rPr>
          <w:lang w:eastAsia="de-DE"/>
        </w:rPr>
        <w:tab/>
        <w:t>In the present case, the author has not demonstrated that the payment of income tax has had any effect on her right to manifest her religion. Should the Committee come to a different conclusion, the State party maintains that the interference was prescribed by law and was necessary to protect public safety, order, health and the fundamental rights and freedoms of others. In this regard, the State part</w:t>
      </w:r>
      <w:r>
        <w:rPr>
          <w:lang w:eastAsia="de-DE"/>
        </w:rPr>
        <w:t>y reiterates that the relevant</w:t>
      </w:r>
      <w:r w:rsidRPr="00635E07">
        <w:rPr>
          <w:lang w:eastAsia="de-DE"/>
        </w:rPr>
        <w:t xml:space="preserve"> laws are neut</w:t>
      </w:r>
      <w:r>
        <w:rPr>
          <w:lang w:eastAsia="de-DE"/>
        </w:rPr>
        <w:t>ral and must be considered to have been</w:t>
      </w:r>
      <w:r w:rsidRPr="00635E07">
        <w:rPr>
          <w:lang w:eastAsia="de-DE"/>
        </w:rPr>
        <w:t xml:space="preserve"> formulated with sufficient precision to enable an individual to regulate</w:t>
      </w:r>
      <w:r>
        <w:rPr>
          <w:lang w:eastAsia="de-DE"/>
        </w:rPr>
        <w:t xml:space="preserve"> his or her conduct accordingly, especially considering that t</w:t>
      </w:r>
      <w:r w:rsidRPr="00635E07">
        <w:rPr>
          <w:lang w:eastAsia="de-DE"/>
        </w:rPr>
        <w:t xml:space="preserve">he definition of </w:t>
      </w:r>
      <w:r w:rsidR="00F60712">
        <w:rPr>
          <w:lang w:eastAsia="de-DE"/>
        </w:rPr>
        <w:t>“</w:t>
      </w:r>
      <w:r w:rsidRPr="00635E07">
        <w:rPr>
          <w:lang w:eastAsia="de-DE"/>
        </w:rPr>
        <w:t>employment</w:t>
      </w:r>
      <w:r w:rsidR="00F60712">
        <w:rPr>
          <w:lang w:eastAsia="de-DE"/>
        </w:rPr>
        <w:t>”</w:t>
      </w:r>
      <w:r w:rsidRPr="00635E07">
        <w:rPr>
          <w:lang w:eastAsia="de-DE"/>
        </w:rPr>
        <w:t xml:space="preserve"> does not imply that</w:t>
      </w:r>
      <w:r>
        <w:rPr>
          <w:lang w:eastAsia="de-DE"/>
        </w:rPr>
        <w:t xml:space="preserve"> the allowance in question should</w:t>
      </w:r>
      <w:r w:rsidRPr="00635E07">
        <w:rPr>
          <w:lang w:eastAsia="de-DE"/>
        </w:rPr>
        <w:t xml:space="preserve"> be exempt from taxation. Furthermore, the tax system </w:t>
      </w:r>
      <w:r>
        <w:rPr>
          <w:lang w:eastAsia="de-DE"/>
        </w:rPr>
        <w:t>ex</w:t>
      </w:r>
      <w:r w:rsidRPr="00635E07">
        <w:rPr>
          <w:lang w:eastAsia="de-DE"/>
        </w:rPr>
        <w:t>is</w:t>
      </w:r>
      <w:r>
        <w:rPr>
          <w:lang w:eastAsia="de-DE"/>
        </w:rPr>
        <w:t>ts</w:t>
      </w:r>
      <w:r w:rsidRPr="00635E07">
        <w:rPr>
          <w:lang w:eastAsia="de-DE"/>
        </w:rPr>
        <w:t xml:space="preserve"> to benefit the </w:t>
      </w:r>
      <w:proofErr w:type="gramStart"/>
      <w:r w:rsidRPr="00635E07">
        <w:rPr>
          <w:lang w:eastAsia="de-DE"/>
        </w:rPr>
        <w:t xml:space="preserve">population as a whole, </w:t>
      </w:r>
      <w:r>
        <w:rPr>
          <w:lang w:eastAsia="de-DE"/>
        </w:rPr>
        <w:t>as</w:t>
      </w:r>
      <w:proofErr w:type="gramEnd"/>
      <w:r>
        <w:rPr>
          <w:lang w:eastAsia="de-DE"/>
        </w:rPr>
        <w:t xml:space="preserve"> it</w:t>
      </w:r>
      <w:r w:rsidRPr="00635E07">
        <w:rPr>
          <w:lang w:eastAsia="de-DE"/>
        </w:rPr>
        <w:t xml:space="preserve"> provides funds for the health</w:t>
      </w:r>
      <w:r>
        <w:rPr>
          <w:lang w:eastAsia="de-DE"/>
        </w:rPr>
        <w:t>-</w:t>
      </w:r>
      <w:r w:rsidRPr="00635E07">
        <w:rPr>
          <w:lang w:eastAsia="de-DE"/>
        </w:rPr>
        <w:t xml:space="preserve">care system, the law enforcement agencies and the judicial system. Given the relatively small amount of tax levied on the author, the interference must </w:t>
      </w:r>
      <w:r>
        <w:rPr>
          <w:lang w:eastAsia="de-DE"/>
        </w:rPr>
        <w:t xml:space="preserve">also </w:t>
      </w:r>
      <w:r w:rsidRPr="00635E07">
        <w:rPr>
          <w:lang w:eastAsia="de-DE"/>
        </w:rPr>
        <w:t>be regarded as proportionate.</w:t>
      </w:r>
    </w:p>
    <w:p w14:paraId="7DE06A8A" w14:textId="2F5ABB4D" w:rsidR="00AD110A" w:rsidRPr="006E168E" w:rsidRDefault="00AD110A" w:rsidP="00AD110A">
      <w:pPr>
        <w:pStyle w:val="SingleTxtG"/>
      </w:pPr>
      <w:r>
        <w:t>6.17</w:t>
      </w:r>
      <w:r w:rsidRPr="00635E07">
        <w:tab/>
      </w:r>
      <w:r>
        <w:rPr>
          <w:lang w:eastAsia="de-DE"/>
        </w:rPr>
        <w:t>As regards</w:t>
      </w:r>
      <w:r w:rsidRPr="00635E07">
        <w:rPr>
          <w:lang w:eastAsia="de-DE"/>
        </w:rPr>
        <w:t xml:space="preserve"> the author</w:t>
      </w:r>
      <w:r w:rsidR="00F60712">
        <w:rPr>
          <w:lang w:eastAsia="de-DE"/>
        </w:rPr>
        <w:t>’</w:t>
      </w:r>
      <w:r w:rsidRPr="00635E07">
        <w:rPr>
          <w:lang w:eastAsia="de-DE"/>
        </w:rPr>
        <w:t xml:space="preserve">s claim under article 14 </w:t>
      </w:r>
      <w:r>
        <w:rPr>
          <w:lang w:eastAsia="de-DE"/>
        </w:rPr>
        <w:t xml:space="preserve">(1) </w:t>
      </w:r>
      <w:r w:rsidRPr="00635E07">
        <w:rPr>
          <w:lang w:eastAsia="de-DE"/>
        </w:rPr>
        <w:t xml:space="preserve">of the Covenant, the State party recalls that </w:t>
      </w:r>
      <w:r>
        <w:rPr>
          <w:lang w:eastAsia="de-DE"/>
        </w:rPr>
        <w:t>the cited article</w:t>
      </w:r>
      <w:r w:rsidRPr="00635E07">
        <w:rPr>
          <w:lang w:eastAsia="de-DE"/>
        </w:rPr>
        <w:t xml:space="preserve"> should </w:t>
      </w:r>
      <w:r>
        <w:rPr>
          <w:lang w:eastAsia="de-DE"/>
        </w:rPr>
        <w:t xml:space="preserve">not </w:t>
      </w:r>
      <w:r w:rsidRPr="00635E07">
        <w:rPr>
          <w:lang w:eastAsia="de-DE"/>
        </w:rPr>
        <w:t xml:space="preserve">be interpreted as requiring </w:t>
      </w:r>
      <w:r>
        <w:rPr>
          <w:lang w:eastAsia="de-DE"/>
        </w:rPr>
        <w:t>States parties to address in detail all arguments advanced by a party</w:t>
      </w:r>
      <w:r w:rsidRPr="00635E07">
        <w:rPr>
          <w:lang w:eastAsia="de-DE"/>
        </w:rPr>
        <w:t>, and the need to ensure the effective operat</w:t>
      </w:r>
      <w:r>
        <w:rPr>
          <w:lang w:eastAsia="de-DE"/>
        </w:rPr>
        <w:t>ion of the judiciary may allow</w:t>
      </w:r>
      <w:r w:rsidRPr="00635E07">
        <w:rPr>
          <w:lang w:eastAsia="de-DE"/>
        </w:rPr>
        <w:t xml:space="preserve"> courts, especially the highest courts, to merely endorse the reasons </w:t>
      </w:r>
      <w:r>
        <w:rPr>
          <w:lang w:eastAsia="de-DE"/>
        </w:rPr>
        <w:t xml:space="preserve">set out in </w:t>
      </w:r>
      <w:r w:rsidRPr="00635E07">
        <w:rPr>
          <w:lang w:eastAsia="de-DE"/>
        </w:rPr>
        <w:t>the lower court</w:t>
      </w:r>
      <w:r w:rsidR="00F60712">
        <w:rPr>
          <w:lang w:eastAsia="de-DE"/>
        </w:rPr>
        <w:t>’</w:t>
      </w:r>
      <w:r w:rsidRPr="00635E07">
        <w:rPr>
          <w:lang w:eastAsia="de-DE"/>
        </w:rPr>
        <w:t>s d</w:t>
      </w:r>
      <w:r>
        <w:rPr>
          <w:lang w:eastAsia="de-DE"/>
        </w:rPr>
        <w:t>ecision in dismissing an appeal in the interest of timely case management</w:t>
      </w:r>
      <w:r w:rsidRPr="00635E07">
        <w:rPr>
          <w:lang w:eastAsia="de-DE"/>
        </w:rPr>
        <w:t>.</w:t>
      </w:r>
      <w:r w:rsidRPr="00635E07">
        <w:rPr>
          <w:vertAlign w:val="superscript"/>
        </w:rPr>
        <w:footnoteReference w:id="19"/>
      </w:r>
      <w:r w:rsidRPr="00635E07">
        <w:rPr>
          <w:color w:val="000000"/>
          <w:sz w:val="23"/>
          <w:szCs w:val="23"/>
          <w:vertAlign w:val="superscript"/>
          <w:lang w:eastAsia="de-DE"/>
        </w:rPr>
        <w:t xml:space="preserve"> </w:t>
      </w:r>
    </w:p>
    <w:p w14:paraId="25643E46" w14:textId="057344A3" w:rsidR="00AD110A" w:rsidRPr="00635E07" w:rsidRDefault="00AD110A" w:rsidP="00AD110A">
      <w:pPr>
        <w:pStyle w:val="SingleTxtG"/>
        <w:rPr>
          <w:color w:val="000000"/>
          <w:sz w:val="23"/>
          <w:szCs w:val="23"/>
          <w:lang w:eastAsia="de-DE"/>
        </w:rPr>
      </w:pPr>
      <w:r>
        <w:rPr>
          <w:lang w:eastAsia="de-DE"/>
        </w:rPr>
        <w:t>6.18</w:t>
      </w:r>
      <w:r w:rsidRPr="00635E07">
        <w:rPr>
          <w:lang w:eastAsia="de-DE"/>
        </w:rPr>
        <w:tab/>
        <w:t>In the present case, the State party is of the view t</w:t>
      </w:r>
      <w:r>
        <w:rPr>
          <w:lang w:eastAsia="de-DE"/>
        </w:rPr>
        <w:t xml:space="preserve">hat the challenged decisions provided </w:t>
      </w:r>
      <w:proofErr w:type="gramStart"/>
      <w:r>
        <w:rPr>
          <w:lang w:eastAsia="de-DE"/>
        </w:rPr>
        <w:t>sufficient</w:t>
      </w:r>
      <w:proofErr w:type="gramEnd"/>
      <w:r>
        <w:rPr>
          <w:lang w:eastAsia="de-DE"/>
        </w:rPr>
        <w:t xml:space="preserve"> reasoning</w:t>
      </w:r>
      <w:r w:rsidRPr="00635E07">
        <w:rPr>
          <w:lang w:eastAsia="de-DE"/>
        </w:rPr>
        <w:t xml:space="preserve">. The </w:t>
      </w:r>
      <w:r>
        <w:rPr>
          <w:lang w:eastAsia="de-DE"/>
        </w:rPr>
        <w:t>decisions</w:t>
      </w:r>
      <w:r w:rsidRPr="00635E07">
        <w:rPr>
          <w:lang w:eastAsia="de-DE"/>
        </w:rPr>
        <w:t xml:space="preserve"> r</w:t>
      </w:r>
      <w:r>
        <w:rPr>
          <w:lang w:eastAsia="de-DE"/>
        </w:rPr>
        <w:t>ecount the facts of the case as well as</w:t>
      </w:r>
      <w:r w:rsidRPr="00635E07">
        <w:rPr>
          <w:lang w:eastAsia="de-DE"/>
        </w:rPr>
        <w:t xml:space="preserve"> the author</w:t>
      </w:r>
      <w:r w:rsidR="00F60712">
        <w:rPr>
          <w:lang w:eastAsia="de-DE"/>
        </w:rPr>
        <w:t>’</w:t>
      </w:r>
      <w:r w:rsidRPr="00635E07">
        <w:rPr>
          <w:lang w:eastAsia="de-DE"/>
        </w:rPr>
        <w:t>s claims and</w:t>
      </w:r>
      <w:r>
        <w:rPr>
          <w:lang w:eastAsia="de-DE"/>
        </w:rPr>
        <w:t xml:space="preserve"> the reasons for the conclusion reached</w:t>
      </w:r>
      <w:r w:rsidRPr="00635E07">
        <w:rPr>
          <w:lang w:eastAsia="de-DE"/>
        </w:rPr>
        <w:t>. By referring to the decision of the Council for Advance Tax Rulings</w:t>
      </w:r>
      <w:r>
        <w:rPr>
          <w:lang w:eastAsia="de-DE"/>
        </w:rPr>
        <w:t xml:space="preserve"> that was</w:t>
      </w:r>
      <w:r w:rsidRPr="00635E07">
        <w:rPr>
          <w:lang w:eastAsia="de-DE"/>
        </w:rPr>
        <w:t xml:space="preserve"> upheld by the Supreme Administrative Court, the Administrative </w:t>
      </w:r>
      <w:r>
        <w:rPr>
          <w:lang w:eastAsia="de-DE"/>
        </w:rPr>
        <w:t xml:space="preserve">Court and the </w:t>
      </w:r>
      <w:r w:rsidRPr="00635E07">
        <w:rPr>
          <w:lang w:eastAsia="de-DE"/>
        </w:rPr>
        <w:t xml:space="preserve">Administrative </w:t>
      </w:r>
      <w:r>
        <w:rPr>
          <w:lang w:eastAsia="de-DE"/>
        </w:rPr>
        <w:t>Court of Appeal made it clear to</w:t>
      </w:r>
      <w:r w:rsidRPr="00635E07">
        <w:rPr>
          <w:lang w:eastAsia="de-DE"/>
        </w:rPr>
        <w:t xml:space="preserve"> the </w:t>
      </w:r>
      <w:r>
        <w:rPr>
          <w:lang w:eastAsia="de-DE"/>
        </w:rPr>
        <w:t>author</w:t>
      </w:r>
      <w:r w:rsidRPr="00635E07">
        <w:rPr>
          <w:lang w:eastAsia="de-DE"/>
        </w:rPr>
        <w:t xml:space="preserve"> why her all</w:t>
      </w:r>
      <w:r>
        <w:rPr>
          <w:lang w:eastAsia="de-DE"/>
        </w:rPr>
        <w:t xml:space="preserve">owance had been subject to taxation. </w:t>
      </w:r>
      <w:r w:rsidRPr="00635E07">
        <w:rPr>
          <w:lang w:eastAsia="de-DE"/>
        </w:rPr>
        <w:t>The author</w:t>
      </w:r>
      <w:r w:rsidR="00F60712">
        <w:rPr>
          <w:lang w:eastAsia="de-DE"/>
        </w:rPr>
        <w:t>’</w:t>
      </w:r>
      <w:r>
        <w:rPr>
          <w:lang w:eastAsia="de-DE"/>
        </w:rPr>
        <w:t>s claims were thoroughly examined</w:t>
      </w:r>
      <w:r w:rsidRPr="00635E07">
        <w:rPr>
          <w:lang w:eastAsia="de-DE"/>
        </w:rPr>
        <w:t xml:space="preserve"> and comprehensively elucidated in the referenced decision of the Council</w:t>
      </w:r>
      <w:r>
        <w:rPr>
          <w:lang w:eastAsia="de-DE"/>
        </w:rPr>
        <w:t xml:space="preserve"> </w:t>
      </w:r>
      <w:r w:rsidRPr="00635E07">
        <w:rPr>
          <w:lang w:eastAsia="de-DE"/>
        </w:rPr>
        <w:t xml:space="preserve">for Advance Tax Rulings, </w:t>
      </w:r>
      <w:r>
        <w:rPr>
          <w:lang w:eastAsia="de-DE"/>
        </w:rPr>
        <w:t>and that decision</w:t>
      </w:r>
      <w:r w:rsidRPr="00635E07">
        <w:rPr>
          <w:lang w:eastAsia="de-DE"/>
        </w:rPr>
        <w:t xml:space="preserve"> </w:t>
      </w:r>
      <w:r>
        <w:rPr>
          <w:lang w:eastAsia="de-DE"/>
        </w:rPr>
        <w:t>was accessible</w:t>
      </w:r>
      <w:r w:rsidRPr="00635E07">
        <w:rPr>
          <w:lang w:eastAsia="de-DE"/>
        </w:rPr>
        <w:t xml:space="preserve"> </w:t>
      </w:r>
      <w:r>
        <w:rPr>
          <w:lang w:eastAsia="de-DE"/>
        </w:rPr>
        <w:t>to</w:t>
      </w:r>
      <w:r w:rsidRPr="00635E07">
        <w:rPr>
          <w:lang w:eastAsia="de-DE"/>
        </w:rPr>
        <w:t xml:space="preserve"> the author</w:t>
      </w:r>
      <w:r>
        <w:rPr>
          <w:lang w:eastAsia="de-DE"/>
        </w:rPr>
        <w:t>,</w:t>
      </w:r>
      <w:r w:rsidRPr="00635E07">
        <w:rPr>
          <w:lang w:eastAsia="de-DE"/>
        </w:rPr>
        <w:t xml:space="preserve"> who was represented by counsel. </w:t>
      </w:r>
      <w:r>
        <w:rPr>
          <w:lang w:eastAsia="de-DE"/>
        </w:rPr>
        <w:t>T</w:t>
      </w:r>
      <w:r w:rsidRPr="00635E07">
        <w:rPr>
          <w:lang w:eastAsia="de-DE"/>
        </w:rPr>
        <w:t>he author</w:t>
      </w:r>
      <w:r>
        <w:rPr>
          <w:lang w:eastAsia="de-DE"/>
        </w:rPr>
        <w:t>, however,</w:t>
      </w:r>
      <w:r w:rsidRPr="00635E07">
        <w:rPr>
          <w:lang w:eastAsia="de-DE"/>
        </w:rPr>
        <w:t xml:space="preserve"> </w:t>
      </w:r>
      <w:r>
        <w:rPr>
          <w:lang w:eastAsia="de-DE"/>
        </w:rPr>
        <w:t xml:space="preserve">as pointed out in the decision, </w:t>
      </w:r>
      <w:r w:rsidRPr="00635E07">
        <w:rPr>
          <w:lang w:eastAsia="de-DE"/>
        </w:rPr>
        <w:t xml:space="preserve">failed to describe in what way her case </w:t>
      </w:r>
      <w:r>
        <w:rPr>
          <w:lang w:eastAsia="de-DE"/>
        </w:rPr>
        <w:t xml:space="preserve">had </w:t>
      </w:r>
      <w:r w:rsidRPr="00635E07">
        <w:rPr>
          <w:lang w:eastAsia="de-DE"/>
        </w:rPr>
        <w:t>dif</w:t>
      </w:r>
      <w:r>
        <w:rPr>
          <w:lang w:eastAsia="de-DE"/>
        </w:rPr>
        <w:t xml:space="preserve">fered from the one examined by </w:t>
      </w:r>
      <w:r w:rsidRPr="00635E07">
        <w:rPr>
          <w:lang w:eastAsia="de-DE"/>
        </w:rPr>
        <w:t>the Council</w:t>
      </w:r>
      <w:r>
        <w:rPr>
          <w:lang w:eastAsia="de-DE"/>
        </w:rPr>
        <w:t xml:space="preserve"> </w:t>
      </w:r>
      <w:r w:rsidRPr="00635E07">
        <w:rPr>
          <w:lang w:eastAsia="de-DE"/>
        </w:rPr>
        <w:t>for Advance Tax Rulings</w:t>
      </w:r>
      <w:r>
        <w:rPr>
          <w:lang w:eastAsia="de-DE"/>
        </w:rPr>
        <w:t xml:space="preserve">. </w:t>
      </w:r>
      <w:r w:rsidRPr="00635E07">
        <w:rPr>
          <w:lang w:eastAsia="de-DE"/>
        </w:rPr>
        <w:t>The Administrative Court of Appeal</w:t>
      </w:r>
      <w:r>
        <w:rPr>
          <w:lang w:eastAsia="de-DE"/>
        </w:rPr>
        <w:t>, by stating that there was no reason to change the decision of the Administrative Court, at least implicitly considered that the facts of the author</w:t>
      </w:r>
      <w:r w:rsidR="00F60712">
        <w:rPr>
          <w:lang w:eastAsia="de-DE"/>
        </w:rPr>
        <w:t>’</w:t>
      </w:r>
      <w:r>
        <w:rPr>
          <w:lang w:eastAsia="de-DE"/>
        </w:rPr>
        <w:t xml:space="preserve">s case had not given rise to a violation </w:t>
      </w:r>
      <w:r w:rsidRPr="00635E07">
        <w:rPr>
          <w:lang w:eastAsia="de-DE"/>
        </w:rPr>
        <w:t>of the European Convention on Human Rights</w:t>
      </w:r>
      <w:r>
        <w:rPr>
          <w:lang w:eastAsia="de-DE"/>
        </w:rPr>
        <w:t>.</w:t>
      </w:r>
      <w:r w:rsidR="00F60712">
        <w:rPr>
          <w:lang w:eastAsia="de-DE"/>
        </w:rPr>
        <w:t xml:space="preserve"> </w:t>
      </w:r>
    </w:p>
    <w:p w14:paraId="11B5CCF0" w14:textId="4CA9A1B1" w:rsidR="00AD110A" w:rsidRPr="00635E07" w:rsidRDefault="00AD110A" w:rsidP="00AD110A">
      <w:pPr>
        <w:pStyle w:val="SingleTxtG"/>
        <w:rPr>
          <w:lang w:eastAsia="de-DE"/>
        </w:rPr>
      </w:pPr>
      <w:r w:rsidRPr="00016F90">
        <w:rPr>
          <w:color w:val="000000"/>
          <w:lang w:eastAsia="de-DE"/>
        </w:rPr>
        <w:t>6</w:t>
      </w:r>
      <w:r w:rsidRPr="00016F90">
        <w:rPr>
          <w:lang w:eastAsia="de-DE"/>
        </w:rPr>
        <w:t>.</w:t>
      </w:r>
      <w:r>
        <w:rPr>
          <w:lang w:eastAsia="de-DE"/>
        </w:rPr>
        <w:t>19</w:t>
      </w:r>
      <w:r w:rsidRPr="00016F90">
        <w:rPr>
          <w:lang w:eastAsia="de-DE"/>
        </w:rPr>
        <w:tab/>
      </w:r>
      <w:r>
        <w:rPr>
          <w:lang w:eastAsia="de-DE"/>
        </w:rPr>
        <w:t>In the light of the foregoing, t</w:t>
      </w:r>
      <w:r w:rsidRPr="00635E07">
        <w:rPr>
          <w:lang w:eastAsia="de-DE"/>
        </w:rPr>
        <w:t>he State party concludes that</w:t>
      </w:r>
      <w:r>
        <w:rPr>
          <w:lang w:eastAsia="de-DE"/>
        </w:rPr>
        <w:t>,</w:t>
      </w:r>
      <w:r w:rsidRPr="00635E07">
        <w:rPr>
          <w:lang w:eastAsia="de-DE"/>
        </w:rPr>
        <w:t xml:space="preserve"> </w:t>
      </w:r>
      <w:r>
        <w:rPr>
          <w:lang w:eastAsia="de-DE"/>
        </w:rPr>
        <w:t>should</w:t>
      </w:r>
      <w:r w:rsidRPr="00635E07">
        <w:rPr>
          <w:lang w:eastAsia="de-DE"/>
        </w:rPr>
        <w:t xml:space="preserve"> the author</w:t>
      </w:r>
      <w:r w:rsidR="00F60712">
        <w:rPr>
          <w:lang w:eastAsia="de-DE"/>
        </w:rPr>
        <w:t>’</w:t>
      </w:r>
      <w:r w:rsidRPr="00635E07">
        <w:rPr>
          <w:lang w:eastAsia="de-DE"/>
        </w:rPr>
        <w:t xml:space="preserve">s claims </w:t>
      </w:r>
      <w:r>
        <w:rPr>
          <w:lang w:eastAsia="de-DE"/>
        </w:rPr>
        <w:t>be</w:t>
      </w:r>
      <w:r w:rsidRPr="00635E07">
        <w:rPr>
          <w:lang w:eastAsia="de-DE"/>
        </w:rPr>
        <w:t xml:space="preserve"> considered admissible, they do not reveal a violation of her rights under article</w:t>
      </w:r>
      <w:r>
        <w:rPr>
          <w:lang w:eastAsia="de-DE"/>
        </w:rPr>
        <w:t>s</w:t>
      </w:r>
      <w:r w:rsidRPr="00635E07">
        <w:rPr>
          <w:lang w:eastAsia="de-DE"/>
        </w:rPr>
        <w:t xml:space="preserve"> 14, 18 and 26 of the Covenant.</w:t>
      </w:r>
    </w:p>
    <w:p w14:paraId="0683CDEF" w14:textId="77777777" w:rsidR="00AD110A" w:rsidRPr="00635E07" w:rsidRDefault="00AD110A" w:rsidP="00AD110A">
      <w:pPr>
        <w:pStyle w:val="H23G"/>
      </w:pPr>
      <w:r>
        <w:tab/>
      </w:r>
      <w:r>
        <w:tab/>
      </w:r>
      <w:r w:rsidRPr="00635E07">
        <w:t>Further submissions</w:t>
      </w:r>
    </w:p>
    <w:p w14:paraId="09800CE4" w14:textId="77777777" w:rsidR="00AD110A" w:rsidRPr="00635E07" w:rsidRDefault="00AD110A" w:rsidP="00AD110A">
      <w:pPr>
        <w:pStyle w:val="H4G"/>
      </w:pPr>
      <w:r>
        <w:tab/>
      </w:r>
      <w:r>
        <w:tab/>
      </w:r>
      <w:r w:rsidRPr="00635E07">
        <w:t>From the author</w:t>
      </w:r>
    </w:p>
    <w:p w14:paraId="107B29BF" w14:textId="32E9846B" w:rsidR="00AD110A" w:rsidRPr="00635E07" w:rsidRDefault="00AD110A" w:rsidP="00AD110A">
      <w:pPr>
        <w:pStyle w:val="SingleTxtG"/>
        <w:rPr>
          <w:lang w:eastAsia="de-DE"/>
        </w:rPr>
      </w:pPr>
      <w:r w:rsidRPr="00635E07">
        <w:t>7.1</w:t>
      </w:r>
      <w:r w:rsidRPr="00635E07">
        <w:tab/>
        <w:t>On 19 June 2018, the author replied to the State party</w:t>
      </w:r>
      <w:r w:rsidR="00F60712">
        <w:t>’</w:t>
      </w:r>
      <w:r w:rsidRPr="00635E07">
        <w:t xml:space="preserve">s observations. The author first reflects on the assertions of the State party concerning the applicable laws and puts an emphasis on the provision establishing that </w:t>
      </w:r>
      <w:r w:rsidRPr="00635E07">
        <w:rPr>
          <w:lang w:eastAsia="de-DE"/>
        </w:rPr>
        <w:t>for an income to be considered taxable as</w:t>
      </w:r>
      <w:r w:rsidRPr="00635E07">
        <w:t xml:space="preserve"> </w:t>
      </w:r>
      <w:r w:rsidRPr="00635E07">
        <w:rPr>
          <w:lang w:eastAsia="de-DE"/>
        </w:rPr>
        <w:t xml:space="preserve">income from employment, it must be remuneration for performance. She further highlights that it is not disputed by the State party that none of the indicators of an employee-employer relationship are present </w:t>
      </w:r>
      <w:r>
        <w:rPr>
          <w:lang w:eastAsia="de-DE"/>
        </w:rPr>
        <w:t xml:space="preserve">in her case – </w:t>
      </w:r>
      <w:r w:rsidRPr="00635E07">
        <w:rPr>
          <w:lang w:eastAsia="de-DE"/>
        </w:rPr>
        <w:t>i.e.</w:t>
      </w:r>
      <w:r>
        <w:rPr>
          <w:lang w:eastAsia="de-DE"/>
        </w:rPr>
        <w:t>,</w:t>
      </w:r>
      <w:r w:rsidRPr="00635E07">
        <w:rPr>
          <w:lang w:eastAsia="de-DE"/>
        </w:rPr>
        <w:t xml:space="preserve"> there is no expectation of pecuniary gain, no payment based on achievement and no right to demand remuneration of</w:t>
      </w:r>
      <w:r w:rsidRPr="00635E07">
        <w:t xml:space="preserve"> </w:t>
      </w:r>
      <w:r w:rsidRPr="00635E07">
        <w:rPr>
          <w:lang w:eastAsia="de-DE"/>
        </w:rPr>
        <w:t>any sort. Bearing in mind the State party</w:t>
      </w:r>
      <w:r w:rsidR="00F60712">
        <w:rPr>
          <w:lang w:eastAsia="de-DE"/>
        </w:rPr>
        <w:t>’</w:t>
      </w:r>
      <w:r w:rsidRPr="00635E07">
        <w:rPr>
          <w:lang w:eastAsia="de-DE"/>
        </w:rPr>
        <w:t>s own statement that there could be cases sufficiently similar to those warranting an</w:t>
      </w:r>
      <w:r w:rsidRPr="00635E07">
        <w:t xml:space="preserve"> </w:t>
      </w:r>
      <w:r w:rsidRPr="00635E07">
        <w:rPr>
          <w:lang w:eastAsia="de-DE"/>
        </w:rPr>
        <w:t>exemption from taxation</w:t>
      </w:r>
      <w:r>
        <w:rPr>
          <w:lang w:eastAsia="de-DE"/>
        </w:rPr>
        <w:t xml:space="preserve"> according to common sense</w:t>
      </w:r>
      <w:r w:rsidRPr="00635E07">
        <w:rPr>
          <w:lang w:eastAsia="de-DE"/>
        </w:rPr>
        <w:t xml:space="preserve"> </w:t>
      </w:r>
      <w:r>
        <w:rPr>
          <w:lang w:eastAsia="de-DE"/>
        </w:rPr>
        <w:t xml:space="preserve">– </w:t>
      </w:r>
      <w:r w:rsidRPr="00635E07">
        <w:rPr>
          <w:lang w:eastAsia="de-DE"/>
        </w:rPr>
        <w:t>e.g.</w:t>
      </w:r>
      <w:r>
        <w:rPr>
          <w:lang w:eastAsia="de-DE"/>
        </w:rPr>
        <w:t>,</w:t>
      </w:r>
      <w:r w:rsidRPr="00635E07">
        <w:rPr>
          <w:lang w:eastAsia="de-DE"/>
        </w:rPr>
        <w:t xml:space="preserve"> support within a household </w:t>
      </w:r>
      <w:r>
        <w:rPr>
          <w:lang w:eastAsia="de-DE"/>
        </w:rPr>
        <w:t xml:space="preserve">– </w:t>
      </w:r>
      <w:r w:rsidRPr="00635E07">
        <w:rPr>
          <w:lang w:eastAsia="de-DE"/>
        </w:rPr>
        <w:t xml:space="preserve">it should be </w:t>
      </w:r>
      <w:r>
        <w:rPr>
          <w:lang w:eastAsia="de-DE"/>
        </w:rPr>
        <w:t>evident</w:t>
      </w:r>
      <w:r w:rsidRPr="00635E07">
        <w:rPr>
          <w:lang w:eastAsia="de-DE"/>
        </w:rPr>
        <w:t xml:space="preserve"> that it is exactly the author</w:t>
      </w:r>
      <w:r w:rsidR="00F60712">
        <w:rPr>
          <w:lang w:eastAsia="de-DE"/>
        </w:rPr>
        <w:t>’</w:t>
      </w:r>
      <w:r w:rsidRPr="00635E07">
        <w:rPr>
          <w:lang w:eastAsia="de-DE"/>
        </w:rPr>
        <w:t>s case that should fall within this category on account of her advanced age and the restraints that come with it.</w:t>
      </w:r>
    </w:p>
    <w:p w14:paraId="5FFD5096" w14:textId="18528910" w:rsidR="00AD110A" w:rsidRPr="00635E07" w:rsidRDefault="00AD110A" w:rsidP="00AD110A">
      <w:pPr>
        <w:pStyle w:val="SingleTxtG"/>
        <w:rPr>
          <w:lang w:eastAsia="de-DE"/>
        </w:rPr>
      </w:pPr>
      <w:r w:rsidRPr="00635E07">
        <w:rPr>
          <w:lang w:eastAsia="de-DE"/>
        </w:rPr>
        <w:t>7.2</w:t>
      </w:r>
      <w:r w:rsidRPr="00635E07">
        <w:rPr>
          <w:lang w:eastAsia="de-DE"/>
        </w:rPr>
        <w:tab/>
        <w:t xml:space="preserve">In response to the </w:t>
      </w:r>
      <w:r>
        <w:rPr>
          <w:lang w:eastAsia="de-DE"/>
        </w:rPr>
        <w:t xml:space="preserve">newly raised </w:t>
      </w:r>
      <w:r w:rsidRPr="00635E07">
        <w:rPr>
          <w:lang w:eastAsia="de-DE"/>
        </w:rPr>
        <w:t xml:space="preserve">admissibility arguments in </w:t>
      </w:r>
      <w:r>
        <w:rPr>
          <w:lang w:eastAsia="de-DE"/>
        </w:rPr>
        <w:t xml:space="preserve">the </w:t>
      </w:r>
      <w:r w:rsidRPr="00635E07">
        <w:rPr>
          <w:lang w:eastAsia="de-DE"/>
        </w:rPr>
        <w:t>State party</w:t>
      </w:r>
      <w:r w:rsidR="00F60712">
        <w:rPr>
          <w:lang w:eastAsia="de-DE"/>
        </w:rPr>
        <w:t>’</w:t>
      </w:r>
      <w:r w:rsidRPr="00635E07">
        <w:rPr>
          <w:lang w:eastAsia="de-DE"/>
        </w:rPr>
        <w:t xml:space="preserve">s observations, the author submits that </w:t>
      </w:r>
      <w:r>
        <w:rPr>
          <w:lang w:eastAsia="de-DE"/>
        </w:rPr>
        <w:t>her</w:t>
      </w:r>
      <w:r w:rsidRPr="00635E07">
        <w:rPr>
          <w:lang w:eastAsia="de-DE"/>
        </w:rPr>
        <w:t xml:space="preserve"> advanced age was well-known </w:t>
      </w:r>
      <w:r>
        <w:rPr>
          <w:lang w:eastAsia="de-DE"/>
        </w:rPr>
        <w:t>to</w:t>
      </w:r>
      <w:r w:rsidRPr="00635E07">
        <w:rPr>
          <w:lang w:eastAsia="de-DE"/>
        </w:rPr>
        <w:t xml:space="preserve"> the State party</w:t>
      </w:r>
      <w:r>
        <w:rPr>
          <w:lang w:eastAsia="de-DE"/>
        </w:rPr>
        <w:t xml:space="preserve"> from her written request for an oral hearing, her oral testimony and her appeal to the Administrative Court of Appeal. </w:t>
      </w:r>
    </w:p>
    <w:p w14:paraId="14098048" w14:textId="4F42861C" w:rsidR="00AD110A" w:rsidRPr="00635E07" w:rsidRDefault="00AD110A" w:rsidP="00AD110A">
      <w:pPr>
        <w:pStyle w:val="SingleTxtG"/>
      </w:pPr>
      <w:r w:rsidRPr="00635E07">
        <w:rPr>
          <w:lang w:eastAsia="de-DE"/>
        </w:rPr>
        <w:t>7.</w:t>
      </w:r>
      <w:r>
        <w:rPr>
          <w:lang w:eastAsia="de-DE"/>
        </w:rPr>
        <w:t>3</w:t>
      </w:r>
      <w:r w:rsidRPr="00635E07">
        <w:rPr>
          <w:lang w:eastAsia="de-DE"/>
        </w:rPr>
        <w:tab/>
        <w:t xml:space="preserve">She further refutes that her complaint under article 14 (1) is incompatible </w:t>
      </w:r>
      <w:r w:rsidRPr="00AB596A">
        <w:rPr>
          <w:i/>
          <w:iCs/>
          <w:lang w:eastAsia="de-DE"/>
        </w:rPr>
        <w:t xml:space="preserve">ratione materiae </w:t>
      </w:r>
      <w:r w:rsidRPr="00635E07">
        <w:rPr>
          <w:lang w:eastAsia="de-DE"/>
        </w:rPr>
        <w:t xml:space="preserve">with the provisions of the Covenant. </w:t>
      </w:r>
      <w:r>
        <w:rPr>
          <w:lang w:eastAsia="de-DE"/>
        </w:rPr>
        <w:t>In response to the State party</w:t>
      </w:r>
      <w:r w:rsidR="00F60712">
        <w:rPr>
          <w:lang w:eastAsia="de-DE"/>
        </w:rPr>
        <w:t>’</w:t>
      </w:r>
      <w:r>
        <w:rPr>
          <w:lang w:eastAsia="de-DE"/>
        </w:rPr>
        <w:t>s arguments, she submits that t</w:t>
      </w:r>
      <w:r w:rsidRPr="00635E07">
        <w:rPr>
          <w:lang w:eastAsia="de-DE"/>
        </w:rPr>
        <w:t xml:space="preserve">he European Court </w:t>
      </w:r>
      <w:r>
        <w:rPr>
          <w:lang w:eastAsia="de-DE"/>
        </w:rPr>
        <w:t xml:space="preserve">of Human Rights </w:t>
      </w:r>
      <w:r w:rsidRPr="00635E07">
        <w:rPr>
          <w:lang w:eastAsia="de-DE"/>
        </w:rPr>
        <w:t xml:space="preserve">has further developed its jurisprudence since </w:t>
      </w:r>
      <w:r w:rsidRPr="00635E07">
        <w:rPr>
          <w:i/>
          <w:iCs/>
          <w:lang w:eastAsia="de-DE"/>
        </w:rPr>
        <w:t>Ferrazzini v. Italy</w:t>
      </w:r>
      <w:r w:rsidRPr="009E7D21">
        <w:rPr>
          <w:lang w:eastAsia="de-DE"/>
        </w:rPr>
        <w:t>,</w:t>
      </w:r>
      <w:r w:rsidRPr="00635E07">
        <w:rPr>
          <w:i/>
          <w:iCs/>
          <w:lang w:eastAsia="de-DE"/>
        </w:rPr>
        <w:t xml:space="preserve"> </w:t>
      </w:r>
      <w:r w:rsidRPr="00635E07">
        <w:rPr>
          <w:iCs/>
          <w:lang w:eastAsia="de-DE"/>
        </w:rPr>
        <w:t>and ruled that a</w:t>
      </w:r>
      <w:r w:rsidRPr="00635E07">
        <w:rPr>
          <w:i/>
          <w:iCs/>
          <w:lang w:eastAsia="de-DE"/>
        </w:rPr>
        <w:t xml:space="preserve"> </w:t>
      </w:r>
      <w:r w:rsidRPr="00635E07">
        <w:rPr>
          <w:lang w:eastAsia="de-DE"/>
        </w:rPr>
        <w:t xml:space="preserve">tax dispute may be admissible under the civil head of article 6 of the </w:t>
      </w:r>
      <w:r>
        <w:rPr>
          <w:lang w:eastAsia="de-DE"/>
        </w:rPr>
        <w:t xml:space="preserve">European </w:t>
      </w:r>
      <w:r w:rsidRPr="00635E07">
        <w:rPr>
          <w:lang w:eastAsia="de-DE"/>
        </w:rPr>
        <w:t xml:space="preserve">Convention </w:t>
      </w:r>
      <w:r>
        <w:rPr>
          <w:lang w:eastAsia="de-DE"/>
        </w:rPr>
        <w:t xml:space="preserve">on Human Rights </w:t>
      </w:r>
      <w:r w:rsidRPr="00635E07">
        <w:rPr>
          <w:lang w:eastAsia="de-DE"/>
        </w:rPr>
        <w:t>if it can be characterized as one relating to social benefits.</w:t>
      </w:r>
      <w:r w:rsidRPr="00635E07">
        <w:rPr>
          <w:rStyle w:val="FootnoteReference"/>
          <w:lang w:eastAsia="de-DE"/>
        </w:rPr>
        <w:footnoteReference w:id="20"/>
      </w:r>
      <w:r>
        <w:rPr>
          <w:lang w:eastAsia="de-DE"/>
        </w:rPr>
        <w:t xml:space="preserve"> </w:t>
      </w:r>
      <w:r w:rsidRPr="00635E07">
        <w:rPr>
          <w:lang w:eastAsia="de-DE"/>
        </w:rPr>
        <w:t xml:space="preserve">More importantly, article 14 (1) of the Covenant is worded differently from article 6 of the Convention. In relation to the first sentence of the former, which reads </w:t>
      </w:r>
      <w:r w:rsidR="00F60712">
        <w:rPr>
          <w:lang w:eastAsia="de-DE"/>
        </w:rPr>
        <w:t>“</w:t>
      </w:r>
      <w:r w:rsidRPr="00583F7F">
        <w:rPr>
          <w:iCs/>
          <w:lang w:eastAsia="de-DE"/>
        </w:rPr>
        <w:t>All persons shall be equal before the courts and tribunals</w:t>
      </w:r>
      <w:r w:rsidR="00F60712">
        <w:rPr>
          <w:iCs/>
          <w:lang w:eastAsia="de-DE"/>
        </w:rPr>
        <w:t>”</w:t>
      </w:r>
      <w:r w:rsidRPr="00583F7F">
        <w:rPr>
          <w:iCs/>
          <w:lang w:eastAsia="de-DE"/>
        </w:rPr>
        <w:t xml:space="preserve">, the Committee explained that </w:t>
      </w:r>
      <w:r>
        <w:rPr>
          <w:iCs/>
          <w:lang w:eastAsia="de-DE"/>
        </w:rPr>
        <w:t>the</w:t>
      </w:r>
      <w:r w:rsidRPr="00583F7F">
        <w:rPr>
          <w:iCs/>
          <w:lang w:eastAsia="de-DE"/>
        </w:rPr>
        <w:t xml:space="preserve"> guarantee not only applies to courts and tribunals addressed in the second sentence of article 14</w:t>
      </w:r>
      <w:r>
        <w:rPr>
          <w:iCs/>
          <w:lang w:eastAsia="de-DE"/>
        </w:rPr>
        <w:t xml:space="preserve"> (1)</w:t>
      </w:r>
      <w:r w:rsidRPr="00583F7F">
        <w:rPr>
          <w:iCs/>
          <w:lang w:eastAsia="de-DE"/>
        </w:rPr>
        <w:t>, but must also be respected whenever domestic law entrusts a judicial body with a judicial task</w:t>
      </w:r>
      <w:r w:rsidRPr="00635E07">
        <w:rPr>
          <w:lang w:eastAsia="de-DE"/>
        </w:rPr>
        <w:t>.</w:t>
      </w:r>
      <w:r>
        <w:rPr>
          <w:rStyle w:val="FootnoteReference"/>
          <w:lang w:eastAsia="de-DE"/>
        </w:rPr>
        <w:footnoteReference w:id="21"/>
      </w:r>
      <w:r>
        <w:rPr>
          <w:lang w:eastAsia="de-DE"/>
        </w:rPr>
        <w:t xml:space="preserve"> Since the State party assigned </w:t>
      </w:r>
      <w:r w:rsidRPr="00635E07">
        <w:rPr>
          <w:lang w:eastAsia="de-DE"/>
        </w:rPr>
        <w:t xml:space="preserve">administrative courts </w:t>
      </w:r>
      <w:r>
        <w:rPr>
          <w:lang w:eastAsia="de-DE"/>
        </w:rPr>
        <w:t xml:space="preserve">to deal with tax-related matters, </w:t>
      </w:r>
      <w:r w:rsidRPr="00635E07">
        <w:rPr>
          <w:lang w:eastAsia="de-DE"/>
        </w:rPr>
        <w:t>this</w:t>
      </w:r>
      <w:r>
        <w:rPr>
          <w:lang w:eastAsia="de-DE"/>
        </w:rPr>
        <w:t xml:space="preserve"> guarantee remains applicable in</w:t>
      </w:r>
      <w:r w:rsidRPr="00635E07">
        <w:rPr>
          <w:lang w:eastAsia="de-DE"/>
        </w:rPr>
        <w:t xml:space="preserve"> the author</w:t>
      </w:r>
      <w:r w:rsidR="00F60712">
        <w:rPr>
          <w:lang w:eastAsia="de-DE"/>
        </w:rPr>
        <w:t>’</w:t>
      </w:r>
      <w:r w:rsidRPr="00635E07">
        <w:rPr>
          <w:lang w:eastAsia="de-DE"/>
        </w:rPr>
        <w:t xml:space="preserve">s case. </w:t>
      </w:r>
      <w:r>
        <w:rPr>
          <w:lang w:eastAsia="de-DE"/>
        </w:rPr>
        <w:t xml:space="preserve">Furthermore, even though she </w:t>
      </w:r>
      <w:r w:rsidRPr="00635E07">
        <w:rPr>
          <w:lang w:eastAsia="de-DE"/>
        </w:rPr>
        <w:t xml:space="preserve">acknowledges that </w:t>
      </w:r>
      <w:r w:rsidRPr="001F550D">
        <w:rPr>
          <w:iCs/>
          <w:lang w:eastAsia="de-DE"/>
        </w:rPr>
        <w:t>the right to access a court or tribunal as provided for by the second sentence of article 14 (1) does not apply where domestic law does not grant any entitlement to the person concerned</w:t>
      </w:r>
      <w:r w:rsidRPr="00635E07">
        <w:rPr>
          <w:lang w:eastAsia="de-DE"/>
        </w:rPr>
        <w:t>,</w:t>
      </w:r>
      <w:r w:rsidRPr="00635E07">
        <w:rPr>
          <w:rStyle w:val="FootnoteReference"/>
          <w:lang w:eastAsia="de-DE"/>
        </w:rPr>
        <w:footnoteReference w:id="22"/>
      </w:r>
      <w:r w:rsidRPr="00635E07">
        <w:rPr>
          <w:lang w:eastAsia="de-DE"/>
        </w:rPr>
        <w:t xml:space="preserve"> her case </w:t>
      </w:r>
      <w:r>
        <w:rPr>
          <w:lang w:eastAsia="de-DE"/>
        </w:rPr>
        <w:t>concerns</w:t>
      </w:r>
      <w:r w:rsidRPr="00635E07">
        <w:rPr>
          <w:lang w:eastAsia="de-DE"/>
        </w:rPr>
        <w:t xml:space="preserve"> the determination of her entitlement to an existing tax </w:t>
      </w:r>
      <w:r>
        <w:rPr>
          <w:lang w:eastAsia="de-DE"/>
        </w:rPr>
        <w:t>ex</w:t>
      </w:r>
      <w:r w:rsidRPr="00635E07">
        <w:rPr>
          <w:lang w:eastAsia="de-DE"/>
        </w:rPr>
        <w:t xml:space="preserve">emption that is granted by the State </w:t>
      </w:r>
      <w:r>
        <w:rPr>
          <w:lang w:eastAsia="de-DE"/>
        </w:rPr>
        <w:t xml:space="preserve">party </w:t>
      </w:r>
      <w:r w:rsidRPr="00635E07">
        <w:rPr>
          <w:lang w:eastAsia="de-DE"/>
        </w:rPr>
        <w:t xml:space="preserve">to members of other religious orders. </w:t>
      </w:r>
      <w:r>
        <w:rPr>
          <w:lang w:eastAsia="de-DE"/>
        </w:rPr>
        <w:t>T</w:t>
      </w:r>
      <w:r w:rsidRPr="00635E07">
        <w:rPr>
          <w:lang w:eastAsia="de-DE"/>
        </w:rPr>
        <w:t>he State party</w:t>
      </w:r>
      <w:r w:rsidR="00F60712">
        <w:rPr>
          <w:lang w:eastAsia="de-DE"/>
        </w:rPr>
        <w:t>’</w:t>
      </w:r>
      <w:r w:rsidRPr="00635E07">
        <w:rPr>
          <w:lang w:eastAsia="de-DE"/>
        </w:rPr>
        <w:t xml:space="preserve">s objections to admissibility should </w:t>
      </w:r>
      <w:r>
        <w:rPr>
          <w:lang w:eastAsia="de-DE"/>
        </w:rPr>
        <w:t xml:space="preserve">therefore </w:t>
      </w:r>
      <w:r w:rsidRPr="00635E07">
        <w:rPr>
          <w:lang w:eastAsia="de-DE"/>
        </w:rPr>
        <w:t>be rejected.</w:t>
      </w:r>
    </w:p>
    <w:p w14:paraId="4B8B1250" w14:textId="77777777" w:rsidR="00AD110A" w:rsidRPr="00635E07" w:rsidRDefault="00AD110A" w:rsidP="00AD110A">
      <w:pPr>
        <w:pStyle w:val="SingleTxtG"/>
        <w:rPr>
          <w:lang w:eastAsia="de-DE"/>
        </w:rPr>
      </w:pPr>
      <w:r w:rsidRPr="00635E07">
        <w:t>7.</w:t>
      </w:r>
      <w:r>
        <w:t>4</w:t>
      </w:r>
      <w:r w:rsidRPr="00635E07">
        <w:tab/>
        <w:t xml:space="preserve">Regarding her claims under article 26 of the Covenant, the author submits that </w:t>
      </w:r>
      <w:r>
        <w:t xml:space="preserve">she did submit court decisions supporting her claim that, </w:t>
      </w:r>
      <w:r w:rsidRPr="00635E07">
        <w:rPr>
          <w:lang w:eastAsia="de-DE"/>
        </w:rPr>
        <w:t>for many years</w:t>
      </w:r>
      <w:r>
        <w:rPr>
          <w:lang w:eastAsia="de-DE"/>
        </w:rPr>
        <w:t>,</w:t>
      </w:r>
      <w:r w:rsidRPr="00635E07">
        <w:rPr>
          <w:lang w:eastAsia="de-DE"/>
        </w:rPr>
        <w:t xml:space="preserve"> the Tax Agency exempted members of other religious orders from taxation on the financial support they receive from their respective orders</w:t>
      </w:r>
      <w:r>
        <w:rPr>
          <w:lang w:eastAsia="de-DE"/>
        </w:rPr>
        <w:t xml:space="preserve">. </w:t>
      </w:r>
      <w:r>
        <w:t>It lies with the</w:t>
      </w:r>
      <w:r w:rsidRPr="00635E07">
        <w:t xml:space="preserve"> State party</w:t>
      </w:r>
      <w:r>
        <w:t xml:space="preserve"> to prove </w:t>
      </w:r>
      <w:r w:rsidRPr="00635E07">
        <w:rPr>
          <w:lang w:eastAsia="de-DE"/>
        </w:rPr>
        <w:t xml:space="preserve">that there has been a change in that practice after 1990. The evidence she provided to the domestic courts </w:t>
      </w:r>
      <w:r>
        <w:rPr>
          <w:lang w:eastAsia="de-DE"/>
        </w:rPr>
        <w:t>and to</w:t>
      </w:r>
      <w:r w:rsidRPr="00635E07">
        <w:rPr>
          <w:lang w:eastAsia="de-DE"/>
        </w:rPr>
        <w:t xml:space="preserve"> the Committee</w:t>
      </w:r>
      <w:r>
        <w:rPr>
          <w:lang w:eastAsia="de-DE"/>
        </w:rPr>
        <w:t xml:space="preserve"> in appendix 26, which is based on </w:t>
      </w:r>
      <w:r w:rsidRPr="00635E07">
        <w:rPr>
          <w:lang w:eastAsia="de-DE"/>
        </w:rPr>
        <w:t>publicly available tax information</w:t>
      </w:r>
      <w:r>
        <w:rPr>
          <w:lang w:eastAsia="de-DE"/>
        </w:rPr>
        <w:t>,</w:t>
      </w:r>
      <w:r w:rsidRPr="00635E07">
        <w:rPr>
          <w:lang w:eastAsia="de-DE"/>
        </w:rPr>
        <w:t xml:space="preserve"> </w:t>
      </w:r>
      <w:r>
        <w:rPr>
          <w:lang w:eastAsia="de-DE"/>
        </w:rPr>
        <w:t xml:space="preserve">is certainly </w:t>
      </w:r>
      <w:r w:rsidRPr="00635E07">
        <w:rPr>
          <w:lang w:eastAsia="de-DE"/>
        </w:rPr>
        <w:t>pro</w:t>
      </w:r>
      <w:r>
        <w:rPr>
          <w:lang w:eastAsia="de-DE"/>
        </w:rPr>
        <w:t>of</w:t>
      </w:r>
      <w:r w:rsidRPr="00635E07">
        <w:rPr>
          <w:lang w:eastAsia="de-DE"/>
        </w:rPr>
        <w:t xml:space="preserve"> to the contrary. </w:t>
      </w:r>
    </w:p>
    <w:p w14:paraId="314A5DD5" w14:textId="768DE771" w:rsidR="00AD110A" w:rsidRPr="00635E07" w:rsidRDefault="00AD110A" w:rsidP="00AD110A">
      <w:pPr>
        <w:pStyle w:val="SingleTxtG"/>
      </w:pPr>
      <w:r w:rsidRPr="00635E07">
        <w:t>7.</w:t>
      </w:r>
      <w:r>
        <w:t>5</w:t>
      </w:r>
      <w:r w:rsidRPr="00635E07">
        <w:tab/>
        <w:t>The author reiterates that the domestic courts failed to provide justification for the differential treatment</w:t>
      </w:r>
      <w:r>
        <w:t xml:space="preserve">. The fact that the courts merely </w:t>
      </w:r>
      <w:proofErr w:type="gramStart"/>
      <w:r>
        <w:t>made</w:t>
      </w:r>
      <w:r w:rsidRPr="00635E07">
        <w:t xml:space="preserve"> reference</w:t>
      </w:r>
      <w:proofErr w:type="gramEnd"/>
      <w:r w:rsidRPr="00635E07">
        <w:t xml:space="preserve"> to another case</w:t>
      </w:r>
      <w:r>
        <w:t>,</w:t>
      </w:r>
      <w:r w:rsidRPr="00635E07">
        <w:t xml:space="preserve"> without explaining why they consider</w:t>
      </w:r>
      <w:r>
        <w:t>ed</w:t>
      </w:r>
      <w:r w:rsidRPr="00635E07">
        <w:t xml:space="preserve"> the two cases </w:t>
      </w:r>
      <w:r>
        <w:t xml:space="preserve">to be </w:t>
      </w:r>
      <w:r w:rsidRPr="00635E07">
        <w:t>identical</w:t>
      </w:r>
      <w:r>
        <w:t>,</w:t>
      </w:r>
      <w:r w:rsidRPr="00635E07">
        <w:t xml:space="preserve"> does not live up to the guarantees</w:t>
      </w:r>
      <w:r>
        <w:t xml:space="preserve"> enshrined</w:t>
      </w:r>
      <w:r w:rsidRPr="00635E07">
        <w:t xml:space="preserve"> in article 26 of the Covenant. </w:t>
      </w:r>
      <w:r>
        <w:t>This comparison is</w:t>
      </w:r>
      <w:r w:rsidRPr="00635E07">
        <w:t xml:space="preserve"> especially problematic because the domestic courts seem to </w:t>
      </w:r>
      <w:r>
        <w:t xml:space="preserve">have </w:t>
      </w:r>
      <w:r w:rsidRPr="00635E07">
        <w:t>reach</w:t>
      </w:r>
      <w:r>
        <w:t>ed</w:t>
      </w:r>
      <w:r w:rsidRPr="00635E07">
        <w:t xml:space="preserve"> their conclusion </w:t>
      </w:r>
      <w:proofErr w:type="gramStart"/>
      <w:r>
        <w:t>on the basis of</w:t>
      </w:r>
      <w:proofErr w:type="gramEnd"/>
      <w:r>
        <w:t xml:space="preserve"> their assessment that the applicant in the referenced case had </w:t>
      </w:r>
      <w:r w:rsidRPr="00635E07">
        <w:t>engaged in some outreach work</w:t>
      </w:r>
      <w:r>
        <w:t>.</w:t>
      </w:r>
      <w:r w:rsidRPr="00635E07">
        <w:t xml:space="preserve"> </w:t>
      </w:r>
      <w:r>
        <w:t>H</w:t>
      </w:r>
      <w:r w:rsidRPr="00635E07">
        <w:t>owever, this apparently d</w:t>
      </w:r>
      <w:r>
        <w:t>ecisive factor was never argued</w:t>
      </w:r>
      <w:r w:rsidRPr="00635E07">
        <w:t xml:space="preserve"> to be present in the author</w:t>
      </w:r>
      <w:r w:rsidR="00F60712">
        <w:t>’</w:t>
      </w:r>
      <w:r w:rsidRPr="00635E07">
        <w:t>s case.</w:t>
      </w:r>
    </w:p>
    <w:p w14:paraId="0CFE74E5" w14:textId="20CA7101" w:rsidR="00AD110A" w:rsidRPr="00635E07" w:rsidRDefault="00AD110A" w:rsidP="00AD110A">
      <w:pPr>
        <w:pStyle w:val="SingleTxtG"/>
      </w:pPr>
      <w:r w:rsidRPr="00635E07">
        <w:t>7.</w:t>
      </w:r>
      <w:r>
        <w:t>6</w:t>
      </w:r>
      <w:r w:rsidRPr="00635E07">
        <w:tab/>
        <w:t>The author also contests the State party</w:t>
      </w:r>
      <w:r w:rsidR="00F60712">
        <w:t>’</w:t>
      </w:r>
      <w:r w:rsidRPr="00635E07">
        <w:t xml:space="preserve">s observations under article 18 of the Covenant. </w:t>
      </w:r>
      <w:r>
        <w:t xml:space="preserve">She questions the relevance of the cases of the </w:t>
      </w:r>
      <w:r w:rsidRPr="00635E07">
        <w:t>European Court</w:t>
      </w:r>
      <w:r>
        <w:t xml:space="preserve"> of Human Rights cited by the State party as they seem to concern </w:t>
      </w:r>
      <w:r w:rsidRPr="00635E07">
        <w:rPr>
          <w:lang w:eastAsia="de-DE"/>
        </w:rPr>
        <w:t xml:space="preserve">the adverse effect of an otherwise valid piece of tax legislation. In the present case, however, </w:t>
      </w:r>
      <w:r>
        <w:rPr>
          <w:lang w:eastAsia="de-DE"/>
        </w:rPr>
        <w:t xml:space="preserve">she </w:t>
      </w:r>
      <w:r w:rsidRPr="00635E07">
        <w:rPr>
          <w:lang w:eastAsia="de-DE"/>
        </w:rPr>
        <w:t>is challenging the discriminatory refusal of the application of an existing tax privilege granted to members of other religious orders and to volunteers</w:t>
      </w:r>
      <w:r>
        <w:rPr>
          <w:lang w:eastAsia="de-DE"/>
        </w:rPr>
        <w:t xml:space="preserve"> of the European Volunteer Service</w:t>
      </w:r>
      <w:r w:rsidRPr="00635E07">
        <w:rPr>
          <w:lang w:eastAsia="de-DE"/>
        </w:rPr>
        <w:t>.</w:t>
      </w:r>
      <w:r>
        <w:rPr>
          <w:lang w:eastAsia="de-DE"/>
        </w:rPr>
        <w:t xml:space="preserve"> The </w:t>
      </w:r>
      <w:r w:rsidRPr="005C550A">
        <w:rPr>
          <w:lang w:eastAsia="de-DE"/>
        </w:rPr>
        <w:t xml:space="preserve">European Court has </w:t>
      </w:r>
      <w:r>
        <w:rPr>
          <w:lang w:eastAsia="de-DE"/>
        </w:rPr>
        <w:t xml:space="preserve">already </w:t>
      </w:r>
      <w:r w:rsidRPr="005C550A">
        <w:rPr>
          <w:lang w:eastAsia="de-DE"/>
        </w:rPr>
        <w:t xml:space="preserve">held that </w:t>
      </w:r>
      <w:r>
        <w:rPr>
          <w:lang w:eastAsia="de-DE"/>
        </w:rPr>
        <w:t xml:space="preserve">the member </w:t>
      </w:r>
      <w:r w:rsidRPr="005C550A">
        <w:rPr>
          <w:lang w:eastAsia="de-DE"/>
        </w:rPr>
        <w:t>State</w:t>
      </w:r>
      <w:r w:rsidR="00F60712">
        <w:rPr>
          <w:lang w:eastAsia="de-DE"/>
        </w:rPr>
        <w:t>’</w:t>
      </w:r>
      <w:r w:rsidRPr="005C550A">
        <w:rPr>
          <w:lang w:eastAsia="de-DE"/>
        </w:rPr>
        <w:t>s refusal to provide</w:t>
      </w:r>
      <w:r>
        <w:rPr>
          <w:lang w:eastAsia="de-DE"/>
        </w:rPr>
        <w:t xml:space="preserve"> the author with a</w:t>
      </w:r>
      <w:r w:rsidRPr="00635E07">
        <w:rPr>
          <w:lang w:eastAsia="de-DE"/>
        </w:rPr>
        <w:t xml:space="preserve"> tax privilege, while granting it to members of other religious orders</w:t>
      </w:r>
      <w:r>
        <w:rPr>
          <w:lang w:eastAsia="de-DE"/>
        </w:rPr>
        <w:t xml:space="preserve"> </w:t>
      </w:r>
      <w:r w:rsidRPr="00635E07">
        <w:rPr>
          <w:lang w:eastAsia="de-DE"/>
        </w:rPr>
        <w:t>goes to the freedom to manifest one</w:t>
      </w:r>
      <w:r w:rsidR="00F60712">
        <w:rPr>
          <w:lang w:eastAsia="de-DE"/>
        </w:rPr>
        <w:t>’</w:t>
      </w:r>
      <w:r w:rsidRPr="00635E07">
        <w:rPr>
          <w:lang w:eastAsia="de-DE"/>
        </w:rPr>
        <w:t>s religion.</w:t>
      </w:r>
      <w:r w:rsidRPr="00635E07">
        <w:rPr>
          <w:rStyle w:val="FootnoteReference"/>
          <w:lang w:eastAsia="de-DE"/>
        </w:rPr>
        <w:footnoteReference w:id="23"/>
      </w:r>
    </w:p>
    <w:p w14:paraId="18D737BB" w14:textId="5A0EBC0B" w:rsidR="00AD110A" w:rsidRPr="00635E07" w:rsidRDefault="00AD110A" w:rsidP="00AD110A">
      <w:pPr>
        <w:pStyle w:val="SingleTxtG"/>
        <w:rPr>
          <w:lang w:eastAsia="de-DE"/>
        </w:rPr>
      </w:pPr>
      <w:r w:rsidRPr="00635E07">
        <w:rPr>
          <w:lang w:eastAsia="de-DE"/>
        </w:rPr>
        <w:t>7.</w:t>
      </w:r>
      <w:r>
        <w:rPr>
          <w:lang w:eastAsia="de-DE"/>
        </w:rPr>
        <w:t>7</w:t>
      </w:r>
      <w:r w:rsidRPr="00635E07">
        <w:rPr>
          <w:lang w:eastAsia="de-DE"/>
        </w:rPr>
        <w:tab/>
        <w:t>The author maintains that the domestic courts</w:t>
      </w:r>
      <w:r w:rsidR="00F60712">
        <w:rPr>
          <w:lang w:eastAsia="de-DE"/>
        </w:rPr>
        <w:t>’</w:t>
      </w:r>
      <w:r w:rsidRPr="00635E07">
        <w:rPr>
          <w:lang w:eastAsia="de-DE"/>
        </w:rPr>
        <w:t xml:space="preserve"> decisions summarily rejecting her claim </w:t>
      </w:r>
      <w:r>
        <w:rPr>
          <w:lang w:eastAsia="de-DE"/>
        </w:rPr>
        <w:t xml:space="preserve">without addressing her claims raised in her submissions and oral testimony </w:t>
      </w:r>
      <w:r w:rsidRPr="00635E07">
        <w:rPr>
          <w:lang w:eastAsia="de-DE"/>
        </w:rPr>
        <w:t>violate her fair trial rights</w:t>
      </w:r>
      <w:r>
        <w:rPr>
          <w:lang w:eastAsia="de-DE"/>
        </w:rPr>
        <w:t>.</w:t>
      </w:r>
    </w:p>
    <w:p w14:paraId="1381BFCD" w14:textId="77777777" w:rsidR="00AD110A" w:rsidRPr="00635E07" w:rsidRDefault="00AD110A" w:rsidP="00AD110A">
      <w:pPr>
        <w:pStyle w:val="H4G"/>
        <w:rPr>
          <w:lang w:eastAsia="de-DE"/>
        </w:rPr>
      </w:pPr>
      <w:r>
        <w:rPr>
          <w:lang w:eastAsia="de-DE"/>
        </w:rPr>
        <w:tab/>
      </w:r>
      <w:r>
        <w:rPr>
          <w:lang w:eastAsia="de-DE"/>
        </w:rPr>
        <w:tab/>
        <w:t xml:space="preserve">From the </w:t>
      </w:r>
      <w:r w:rsidRPr="00635E07">
        <w:rPr>
          <w:lang w:eastAsia="de-DE"/>
        </w:rPr>
        <w:t>State party</w:t>
      </w:r>
    </w:p>
    <w:p w14:paraId="73A7DE28" w14:textId="63A72987" w:rsidR="00AD110A" w:rsidRPr="00635E07" w:rsidRDefault="00AD110A" w:rsidP="00AD110A">
      <w:pPr>
        <w:pStyle w:val="SingleTxtG"/>
        <w:rPr>
          <w:color w:val="000000"/>
          <w:sz w:val="23"/>
          <w:szCs w:val="23"/>
          <w:lang w:eastAsia="de-DE"/>
        </w:rPr>
      </w:pPr>
      <w:r>
        <w:rPr>
          <w:lang w:eastAsia="de-DE"/>
        </w:rPr>
        <w:t>8.</w:t>
      </w:r>
      <w:r w:rsidRPr="00635E07">
        <w:rPr>
          <w:lang w:eastAsia="de-DE"/>
        </w:rPr>
        <w:tab/>
      </w:r>
      <w:r w:rsidRPr="00B474A0">
        <w:rPr>
          <w:lang w:eastAsia="de-DE"/>
        </w:rPr>
        <w:t>In a note verbale dated 22 February 2019, the State party reiterates</w:t>
      </w:r>
      <w:r w:rsidRPr="00635E07">
        <w:rPr>
          <w:lang w:eastAsia="de-DE"/>
        </w:rPr>
        <w:t xml:space="preserve"> that</w:t>
      </w:r>
      <w:r>
        <w:rPr>
          <w:lang w:eastAsia="de-DE"/>
        </w:rPr>
        <w:t xml:space="preserve"> </w:t>
      </w:r>
      <w:r w:rsidRPr="00635E07">
        <w:rPr>
          <w:lang w:eastAsia="de-DE"/>
        </w:rPr>
        <w:t>no identifiable profit-making pu</w:t>
      </w:r>
      <w:r>
        <w:rPr>
          <w:lang w:eastAsia="de-DE"/>
        </w:rPr>
        <w:t>rpose is necessary for an activity</w:t>
      </w:r>
      <w:r w:rsidRPr="00635E07">
        <w:rPr>
          <w:lang w:eastAsia="de-DE"/>
        </w:rPr>
        <w:t xml:space="preserve"> to be </w:t>
      </w:r>
      <w:r>
        <w:rPr>
          <w:lang w:eastAsia="de-DE"/>
        </w:rPr>
        <w:t xml:space="preserve">considered employment, </w:t>
      </w:r>
      <w:r w:rsidRPr="00635E07">
        <w:rPr>
          <w:lang w:eastAsia="de-DE"/>
        </w:rPr>
        <w:t xml:space="preserve">and as </w:t>
      </w:r>
      <w:r>
        <w:rPr>
          <w:lang w:eastAsia="de-DE"/>
        </w:rPr>
        <w:t>a result, the income originating in it</w:t>
      </w:r>
      <w:r w:rsidRPr="00635E07">
        <w:rPr>
          <w:lang w:eastAsia="de-DE"/>
        </w:rPr>
        <w:t xml:space="preserve"> remains taxable. The State party further reiterates its arguments concerning non-exhaustion of domestic remedies on account of the author</w:t>
      </w:r>
      <w:r w:rsidR="00F60712">
        <w:rPr>
          <w:lang w:eastAsia="de-DE"/>
        </w:rPr>
        <w:t>’</w:t>
      </w:r>
      <w:r w:rsidRPr="00635E07">
        <w:rPr>
          <w:lang w:eastAsia="de-DE"/>
        </w:rPr>
        <w:t xml:space="preserve">s failure to indicate her age and her inability to work </w:t>
      </w:r>
      <w:r>
        <w:rPr>
          <w:lang w:eastAsia="de-DE"/>
        </w:rPr>
        <w:t>throughout the domestic proceedings</w:t>
      </w:r>
      <w:r w:rsidRPr="00635E07">
        <w:rPr>
          <w:lang w:eastAsia="de-DE"/>
        </w:rPr>
        <w:t xml:space="preserve">. In any case, these claims seem to concern the application of domestic law, which </w:t>
      </w:r>
      <w:r>
        <w:rPr>
          <w:lang w:eastAsia="de-DE"/>
        </w:rPr>
        <w:t>falls</w:t>
      </w:r>
      <w:r w:rsidRPr="00635E07">
        <w:rPr>
          <w:lang w:eastAsia="de-DE"/>
        </w:rPr>
        <w:t xml:space="preserve"> within the competence of national courts. With regard to the issue of whether the complaint is compatible </w:t>
      </w:r>
      <w:r w:rsidRPr="007220A9">
        <w:rPr>
          <w:i/>
          <w:iCs/>
          <w:lang w:eastAsia="de-DE"/>
        </w:rPr>
        <w:t>ratione materiae</w:t>
      </w:r>
      <w:r w:rsidRPr="00635E07">
        <w:rPr>
          <w:lang w:eastAsia="de-DE"/>
        </w:rPr>
        <w:t xml:space="preserve"> with the provisions of the Covenant, the State party argues that even if </w:t>
      </w:r>
      <w:r>
        <w:rPr>
          <w:lang w:eastAsia="de-DE"/>
        </w:rPr>
        <w:t xml:space="preserve">one </w:t>
      </w:r>
      <w:r w:rsidRPr="00635E07">
        <w:rPr>
          <w:lang w:eastAsia="de-DE"/>
        </w:rPr>
        <w:t>accept</w:t>
      </w:r>
      <w:r>
        <w:rPr>
          <w:lang w:eastAsia="de-DE"/>
        </w:rPr>
        <w:t>s</w:t>
      </w:r>
      <w:r w:rsidRPr="00635E07">
        <w:rPr>
          <w:lang w:eastAsia="de-DE"/>
        </w:rPr>
        <w:t xml:space="preserve"> that the first sentence of article 14 (1) c</w:t>
      </w:r>
      <w:r>
        <w:rPr>
          <w:lang w:eastAsia="de-DE"/>
        </w:rPr>
        <w:t>overs</w:t>
      </w:r>
      <w:r w:rsidRPr="00635E07">
        <w:rPr>
          <w:lang w:eastAsia="de-DE"/>
        </w:rPr>
        <w:t xml:space="preserve"> proceedings of administrative courts, the claims raised by the author do not fall within the scope of </w:t>
      </w:r>
      <w:r>
        <w:rPr>
          <w:lang w:eastAsia="de-DE"/>
        </w:rPr>
        <w:t xml:space="preserve">the </w:t>
      </w:r>
      <w:r w:rsidRPr="00635E07">
        <w:rPr>
          <w:lang w:eastAsia="de-DE"/>
        </w:rPr>
        <w:t>protection enshrined therein, which is primarily about equality before courts. As regards the second sentence of a</w:t>
      </w:r>
      <w:r>
        <w:rPr>
          <w:lang w:eastAsia="de-DE"/>
        </w:rPr>
        <w:t>rticle 14 (1), the State party stresses</w:t>
      </w:r>
      <w:r w:rsidRPr="00635E07">
        <w:rPr>
          <w:lang w:eastAsia="de-DE"/>
        </w:rPr>
        <w:t xml:space="preserve"> that the domestic proceedings </w:t>
      </w:r>
      <w:r>
        <w:rPr>
          <w:lang w:eastAsia="de-DE"/>
        </w:rPr>
        <w:t>did not concern the author</w:t>
      </w:r>
      <w:r w:rsidR="00F60712">
        <w:rPr>
          <w:lang w:eastAsia="de-DE"/>
        </w:rPr>
        <w:t>’</w:t>
      </w:r>
      <w:r>
        <w:rPr>
          <w:lang w:eastAsia="de-DE"/>
        </w:rPr>
        <w:t>s</w:t>
      </w:r>
      <w:r w:rsidRPr="00635E07">
        <w:rPr>
          <w:lang w:eastAsia="de-DE"/>
        </w:rPr>
        <w:t xml:space="preserve"> entitlement </w:t>
      </w:r>
      <w:r>
        <w:rPr>
          <w:lang w:eastAsia="de-DE"/>
        </w:rPr>
        <w:t xml:space="preserve">to an existing tax exemption, so these claims remain incompatible </w:t>
      </w:r>
      <w:r w:rsidRPr="007220A9">
        <w:rPr>
          <w:i/>
          <w:iCs/>
          <w:lang w:eastAsia="de-DE"/>
        </w:rPr>
        <w:t>ratione materiae</w:t>
      </w:r>
      <w:r>
        <w:rPr>
          <w:lang w:eastAsia="de-DE"/>
        </w:rPr>
        <w:t xml:space="preserve"> with the provisions of the Covenant. </w:t>
      </w:r>
      <w:r w:rsidRPr="00635E07">
        <w:rPr>
          <w:lang w:eastAsia="de-DE"/>
        </w:rPr>
        <w:t>Concerning the merits of the case</w:t>
      </w:r>
      <w:r>
        <w:rPr>
          <w:lang w:eastAsia="de-DE"/>
        </w:rPr>
        <w:t>,</w:t>
      </w:r>
      <w:r w:rsidRPr="00635E07">
        <w:rPr>
          <w:lang w:eastAsia="de-DE"/>
        </w:rPr>
        <w:t xml:space="preserve"> the State party underlines that it is the law and the courts</w:t>
      </w:r>
      <w:r w:rsidR="00F60712">
        <w:rPr>
          <w:lang w:eastAsia="de-DE"/>
        </w:rPr>
        <w:t>’</w:t>
      </w:r>
      <w:r w:rsidRPr="00635E07">
        <w:rPr>
          <w:lang w:eastAsia="de-DE"/>
        </w:rPr>
        <w:t xml:space="preserve"> jurisprudence that should be of relevance when assessing the author</w:t>
      </w:r>
      <w:r w:rsidR="00F60712">
        <w:rPr>
          <w:lang w:eastAsia="de-DE"/>
        </w:rPr>
        <w:t>’</w:t>
      </w:r>
      <w:r w:rsidRPr="00635E07">
        <w:rPr>
          <w:lang w:eastAsia="de-DE"/>
        </w:rPr>
        <w:t>s request to be exempted from taxation</w:t>
      </w:r>
      <w:r>
        <w:rPr>
          <w:lang w:eastAsia="de-DE"/>
        </w:rPr>
        <w:t>. The law and jurisprudence do not</w:t>
      </w:r>
      <w:r w:rsidRPr="00635E07">
        <w:rPr>
          <w:lang w:eastAsia="de-DE"/>
        </w:rPr>
        <w:t>, however, imply that an exemption of a general nature exists. The appendices submitted by the author contain unsupported statements</w:t>
      </w:r>
      <w:r>
        <w:rPr>
          <w:lang w:eastAsia="de-DE"/>
        </w:rPr>
        <w:t>.</w:t>
      </w:r>
      <w:r w:rsidRPr="00635E07">
        <w:rPr>
          <w:lang w:eastAsia="de-DE"/>
        </w:rPr>
        <w:t xml:space="preserve"> </w:t>
      </w:r>
      <w:r>
        <w:rPr>
          <w:lang w:eastAsia="de-DE"/>
        </w:rPr>
        <w:t>E</w:t>
      </w:r>
      <w:r w:rsidRPr="00635E07">
        <w:rPr>
          <w:lang w:eastAsia="de-DE"/>
        </w:rPr>
        <w:t xml:space="preserve">ven </w:t>
      </w:r>
      <w:proofErr w:type="gramStart"/>
      <w:r w:rsidRPr="00635E07">
        <w:rPr>
          <w:lang w:eastAsia="de-DE"/>
        </w:rPr>
        <w:t>assuming that</w:t>
      </w:r>
      <w:proofErr w:type="gramEnd"/>
      <w:r w:rsidRPr="00635E07">
        <w:rPr>
          <w:lang w:eastAsia="de-DE"/>
        </w:rPr>
        <w:t xml:space="preserve"> some religious orders do have members who </w:t>
      </w:r>
      <w:r>
        <w:rPr>
          <w:lang w:eastAsia="de-DE"/>
        </w:rPr>
        <w:t>were</w:t>
      </w:r>
      <w:r w:rsidRPr="00635E07">
        <w:rPr>
          <w:lang w:eastAsia="de-DE"/>
        </w:rPr>
        <w:t xml:space="preserve"> exempted from taxation, these may be sporadic cases </w:t>
      </w:r>
      <w:r>
        <w:rPr>
          <w:lang w:eastAsia="de-DE"/>
        </w:rPr>
        <w:t>that are the</w:t>
      </w:r>
      <w:r w:rsidRPr="00635E07">
        <w:rPr>
          <w:lang w:eastAsia="de-DE"/>
        </w:rPr>
        <w:t xml:space="preserve"> result </w:t>
      </w:r>
      <w:r>
        <w:rPr>
          <w:lang w:eastAsia="de-DE"/>
        </w:rPr>
        <w:t>o</w:t>
      </w:r>
      <w:r w:rsidRPr="00635E07">
        <w:rPr>
          <w:lang w:eastAsia="de-DE"/>
        </w:rPr>
        <w:t>f individual assessment</w:t>
      </w:r>
      <w:r>
        <w:rPr>
          <w:lang w:eastAsia="de-DE"/>
        </w:rPr>
        <w:t>s</w:t>
      </w:r>
      <w:r w:rsidRPr="00635E07">
        <w:rPr>
          <w:lang w:eastAsia="de-DE"/>
        </w:rPr>
        <w:t xml:space="preserve"> based on </w:t>
      </w:r>
      <w:r>
        <w:rPr>
          <w:lang w:eastAsia="de-DE"/>
        </w:rPr>
        <w:t xml:space="preserve">the </w:t>
      </w:r>
      <w:r w:rsidRPr="00635E07">
        <w:rPr>
          <w:lang w:eastAsia="de-DE"/>
        </w:rPr>
        <w:t>objective criteria</w:t>
      </w:r>
      <w:r>
        <w:rPr>
          <w:lang w:eastAsia="de-DE"/>
        </w:rPr>
        <w:t xml:space="preserve"> of the law. </w:t>
      </w:r>
      <w:r w:rsidRPr="00635E07">
        <w:rPr>
          <w:lang w:eastAsia="de-DE"/>
        </w:rPr>
        <w:t>The State party further submits that the author</w:t>
      </w:r>
      <w:r w:rsidR="00F60712">
        <w:rPr>
          <w:lang w:eastAsia="de-DE"/>
        </w:rPr>
        <w:t>’</w:t>
      </w:r>
      <w:r w:rsidRPr="00635E07">
        <w:rPr>
          <w:lang w:eastAsia="de-DE"/>
        </w:rPr>
        <w:t xml:space="preserve">s newly raised claim </w:t>
      </w:r>
      <w:r>
        <w:rPr>
          <w:lang w:eastAsia="de-DE"/>
        </w:rPr>
        <w:t xml:space="preserve">– that is, </w:t>
      </w:r>
      <w:r w:rsidRPr="00635E07">
        <w:rPr>
          <w:lang w:eastAsia="de-DE"/>
        </w:rPr>
        <w:t xml:space="preserve">that her alleged differential treatment </w:t>
      </w:r>
      <w:r>
        <w:rPr>
          <w:lang w:eastAsia="de-DE"/>
        </w:rPr>
        <w:t xml:space="preserve">may impair the image of the </w:t>
      </w:r>
      <w:r w:rsidRPr="00635E07">
        <w:rPr>
          <w:lang w:eastAsia="de-DE"/>
        </w:rPr>
        <w:t xml:space="preserve">Order and therefore results in the impairment of her right to manifest her religion </w:t>
      </w:r>
      <w:r>
        <w:rPr>
          <w:lang w:eastAsia="de-DE"/>
        </w:rPr>
        <w:t xml:space="preserve">– </w:t>
      </w:r>
      <w:r w:rsidRPr="00635E07">
        <w:rPr>
          <w:lang w:eastAsia="de-DE"/>
        </w:rPr>
        <w:t>does not raise a separate issue under article 18</w:t>
      </w:r>
      <w:r>
        <w:rPr>
          <w:lang w:eastAsia="de-DE"/>
        </w:rPr>
        <w:t xml:space="preserve"> of the Covenant</w:t>
      </w:r>
      <w:r w:rsidRPr="00635E07">
        <w:rPr>
          <w:lang w:eastAsia="de-DE"/>
        </w:rPr>
        <w:t>.</w:t>
      </w:r>
      <w:r w:rsidRPr="00635E07">
        <w:t xml:space="preserve"> </w:t>
      </w:r>
    </w:p>
    <w:p w14:paraId="0A0297B3" w14:textId="77777777" w:rsidR="00AD110A" w:rsidRPr="00635E07" w:rsidRDefault="00AD110A" w:rsidP="00AD110A">
      <w:pPr>
        <w:pStyle w:val="H23G"/>
        <w:spacing w:afterLines="120" w:after="288"/>
        <w:rPr>
          <w:lang w:val="en-US"/>
        </w:rPr>
      </w:pPr>
      <w:r w:rsidRPr="00635E07">
        <w:rPr>
          <w:lang w:val="en-US"/>
        </w:rPr>
        <w:tab/>
      </w:r>
      <w:r w:rsidRPr="00635E07">
        <w:rPr>
          <w:lang w:val="en-US"/>
        </w:rPr>
        <w:tab/>
      </w:r>
      <w:r w:rsidRPr="006A66A7">
        <w:rPr>
          <w:lang w:val="en-US"/>
        </w:rPr>
        <w:t>Issues and proceedings before the Committee</w:t>
      </w:r>
    </w:p>
    <w:p w14:paraId="2082688C" w14:textId="77777777" w:rsidR="00AD110A" w:rsidRPr="00635E07" w:rsidRDefault="00AD110A" w:rsidP="00AD110A">
      <w:pPr>
        <w:pStyle w:val="H4G"/>
        <w:rPr>
          <w:lang w:val="en-US"/>
        </w:rPr>
      </w:pPr>
      <w:r w:rsidRPr="00635E07">
        <w:rPr>
          <w:lang w:val="en-US"/>
        </w:rPr>
        <w:tab/>
      </w:r>
      <w:r w:rsidRPr="00635E07">
        <w:rPr>
          <w:lang w:val="en-US"/>
        </w:rPr>
        <w:tab/>
        <w:t>Consideration of admissibility</w:t>
      </w:r>
    </w:p>
    <w:p w14:paraId="45F19761" w14:textId="77777777" w:rsidR="00AD110A" w:rsidRDefault="00AD110A" w:rsidP="00AD110A">
      <w:pPr>
        <w:pStyle w:val="SingleTxtG"/>
        <w:rPr>
          <w:lang w:val="en-US"/>
        </w:rPr>
      </w:pPr>
      <w:r>
        <w:rPr>
          <w:lang w:val="en-US"/>
        </w:rPr>
        <w:t>9</w:t>
      </w:r>
      <w:r w:rsidRPr="00635E07">
        <w:rPr>
          <w:lang w:val="en-US"/>
        </w:rPr>
        <w:t>.1</w:t>
      </w:r>
      <w:r w:rsidRPr="00635E07">
        <w:rPr>
          <w:lang w:val="en-US"/>
        </w:rPr>
        <w:tab/>
        <w:t xml:space="preserve">Before considering any claim contained in a communication, the Committee must decide, in </w:t>
      </w:r>
      <w:r w:rsidRPr="00635E07">
        <w:t>accordance</w:t>
      </w:r>
      <w:r w:rsidRPr="00635E07">
        <w:rPr>
          <w:lang w:val="en-US"/>
        </w:rPr>
        <w:t xml:space="preserve"> with rule 97 of its rules of procedure, whether the communication is admissible under the Optional Protocol.</w:t>
      </w:r>
    </w:p>
    <w:p w14:paraId="604939E1" w14:textId="1F8328AF" w:rsidR="00AD110A" w:rsidRDefault="00AD110A" w:rsidP="00AD110A">
      <w:pPr>
        <w:pStyle w:val="SingleTxtG"/>
      </w:pPr>
      <w:r>
        <w:rPr>
          <w:lang w:val="en-US"/>
        </w:rPr>
        <w:t>9</w:t>
      </w:r>
      <w:r w:rsidRPr="00635E07">
        <w:rPr>
          <w:lang w:val="en-US"/>
        </w:rPr>
        <w:t>.2</w:t>
      </w:r>
      <w:r w:rsidRPr="00635E07">
        <w:rPr>
          <w:lang w:val="en-US"/>
        </w:rPr>
        <w:tab/>
      </w:r>
      <w:r w:rsidRPr="00635E07">
        <w:t>The Committee notes that the a</w:t>
      </w:r>
      <w:r>
        <w:t xml:space="preserve">uthor has submitted two applications </w:t>
      </w:r>
      <w:r w:rsidRPr="00635E07">
        <w:t>to the European Court of</w:t>
      </w:r>
      <w:r>
        <w:t xml:space="preserve"> Human Rights, which declared them</w:t>
      </w:r>
      <w:r w:rsidRPr="00635E07">
        <w:t xml:space="preserve"> inadmissible in 2013</w:t>
      </w:r>
      <w:r>
        <w:t xml:space="preserve"> and 2015. The Committee observes that the author</w:t>
      </w:r>
      <w:r w:rsidR="00F60712">
        <w:t>’</w:t>
      </w:r>
      <w:r>
        <w:t>s 2013 application to the European Court concerned the author</w:t>
      </w:r>
      <w:r w:rsidR="00F60712">
        <w:t>’</w:t>
      </w:r>
      <w:r>
        <w:t>s tax assessment for the period 2004–2011 and the related domestic proceedings</w:t>
      </w:r>
      <w:r w:rsidRPr="00635E07">
        <w:t xml:space="preserve">. </w:t>
      </w:r>
      <w:r>
        <w:t>These concerns, however, do not constitute a part of the present examination by the Committee as per the explicit request of the author. Accordingly, the Committee will limit this part of its consideration to the author</w:t>
      </w:r>
      <w:r w:rsidR="00F60712">
        <w:t>’</w:t>
      </w:r>
      <w:r>
        <w:t xml:space="preserve">s 2015 application to the European Court. The Committee recalls that the State party entered a reservation to article 5 (2) (a) of the Covenant </w:t>
      </w:r>
      <w:r w:rsidRPr="00635E07">
        <w:t xml:space="preserve">to preclude the Committee from examining communications that have been previously considered by another </w:t>
      </w:r>
      <w:r>
        <w:t xml:space="preserve">international </w:t>
      </w:r>
      <w:r w:rsidRPr="00635E07">
        <w:t>body.</w:t>
      </w:r>
      <w:r>
        <w:t xml:space="preserve"> On the other hand, however, the Committee </w:t>
      </w:r>
      <w:r w:rsidRPr="007A4F07">
        <w:t xml:space="preserve">recalls its constant jurisprudence that where a complaint to another international instance, such as the European Court of Human Rights, was dismissed on procedural grounds without examination of the merits, it could not be said to have been </w:t>
      </w:r>
      <w:r w:rsidR="00F60712">
        <w:t>“</w:t>
      </w:r>
      <w:r w:rsidRPr="007A4F07">
        <w:t>examined</w:t>
      </w:r>
      <w:r w:rsidR="00F60712">
        <w:t>”</w:t>
      </w:r>
      <w:r w:rsidRPr="007A4F07">
        <w:t>, so as to exclude the Committee</w:t>
      </w:r>
      <w:r w:rsidR="00F60712">
        <w:t>’</w:t>
      </w:r>
      <w:r w:rsidRPr="007A4F07">
        <w:t>s competence.</w:t>
      </w:r>
      <w:r w:rsidRPr="00233577">
        <w:rPr>
          <w:vertAlign w:val="superscript"/>
        </w:rPr>
        <w:footnoteReference w:id="24"/>
      </w:r>
      <w:r w:rsidRPr="007A4F07">
        <w:t xml:space="preserve"> </w:t>
      </w:r>
    </w:p>
    <w:p w14:paraId="743E5E2D" w14:textId="1D862193" w:rsidR="00AD110A" w:rsidRDefault="00AD110A" w:rsidP="00AD110A">
      <w:pPr>
        <w:pStyle w:val="SingleTxtG"/>
      </w:pPr>
      <w:r>
        <w:t>9.3</w:t>
      </w:r>
      <w:r>
        <w:tab/>
      </w:r>
      <w:r w:rsidRPr="007A4F07">
        <w:t xml:space="preserve">In the present case, the </w:t>
      </w:r>
      <w:r>
        <w:t>author</w:t>
      </w:r>
      <w:r w:rsidR="00F60712">
        <w:t>’</w:t>
      </w:r>
      <w:r>
        <w:t xml:space="preserve">s 2015 </w:t>
      </w:r>
      <w:r w:rsidRPr="007A4F07">
        <w:t>application</w:t>
      </w:r>
      <w:r>
        <w:t xml:space="preserve"> to the European Court of Human Rights was rejected </w:t>
      </w:r>
      <w:r w:rsidRPr="00233577">
        <w:t>in a single</w:t>
      </w:r>
      <w:r>
        <w:t>-</w:t>
      </w:r>
      <w:r w:rsidRPr="00233577">
        <w:t xml:space="preserve">judge formation </w:t>
      </w:r>
      <w:r>
        <w:t>on 1 October 2015</w:t>
      </w:r>
      <w:r w:rsidRPr="00233577">
        <w:t xml:space="preserve"> as the admissibility criteria set out in </w:t>
      </w:r>
      <w:r>
        <w:t>a</w:t>
      </w:r>
      <w:r w:rsidRPr="00233577">
        <w:t xml:space="preserve">rticles 34 and 35 of the </w:t>
      </w:r>
      <w:r>
        <w:t xml:space="preserve">European </w:t>
      </w:r>
      <w:r w:rsidRPr="00233577">
        <w:t xml:space="preserve">Convention </w:t>
      </w:r>
      <w:r>
        <w:t xml:space="preserve">of Human Rights </w:t>
      </w:r>
      <w:r w:rsidRPr="00233577">
        <w:t xml:space="preserve">were found </w:t>
      </w:r>
      <w:r w:rsidRPr="00EA6917">
        <w:t>not to have been met. In this</w:t>
      </w:r>
      <w:r>
        <w:t xml:space="preserve"> respect, the Committee notes the State party</w:t>
      </w:r>
      <w:r w:rsidR="00F60712">
        <w:t>’</w:t>
      </w:r>
      <w:r>
        <w:t xml:space="preserve">s argument that </w:t>
      </w:r>
      <w:r w:rsidRPr="00635E07">
        <w:rPr>
          <w:lang w:val="en-US"/>
        </w:rPr>
        <w:t>t</w:t>
      </w:r>
      <w:r>
        <w:rPr>
          <w:lang w:val="en-US"/>
        </w:rPr>
        <w:t>here is nothing in the author</w:t>
      </w:r>
      <w:r w:rsidR="00F60712">
        <w:rPr>
          <w:lang w:val="en-US"/>
        </w:rPr>
        <w:t>’</w:t>
      </w:r>
      <w:r>
        <w:rPr>
          <w:lang w:val="en-US"/>
        </w:rPr>
        <w:t xml:space="preserve">s </w:t>
      </w:r>
      <w:r w:rsidRPr="00EA6917">
        <w:t xml:space="preserve">communication to the Committee indicating that her 2015 application to the European Court did not fulfil the purely formal criteria </w:t>
      </w:r>
      <w:r>
        <w:t xml:space="preserve">set out </w:t>
      </w:r>
      <w:r w:rsidRPr="00EA6917">
        <w:t xml:space="preserve">in </w:t>
      </w:r>
      <w:r>
        <w:t>a</w:t>
      </w:r>
      <w:r w:rsidRPr="00EA6917">
        <w:t>rticle</w:t>
      </w:r>
      <w:r>
        <w:t>s</w:t>
      </w:r>
      <w:r w:rsidRPr="00EA6917">
        <w:t xml:space="preserve"> 34 and 35 (1) </w:t>
      </w:r>
      <w:r>
        <w:t xml:space="preserve">and </w:t>
      </w:r>
      <w:r w:rsidRPr="00EA6917">
        <w:t xml:space="preserve">(2) of the Convention. Furthermore, the remaining inadmissibility grounds set out in </w:t>
      </w:r>
      <w:r>
        <w:t>a</w:t>
      </w:r>
      <w:r w:rsidRPr="00EA6917">
        <w:t>rticle</w:t>
      </w:r>
      <w:r>
        <w:t>s</w:t>
      </w:r>
      <w:r w:rsidRPr="00EA6917">
        <w:t xml:space="preserve"> 35 (3) (a) and (b) of the Convention must involve, to a certain degree, an examination of the merits of the case. According to the State party</w:t>
      </w:r>
      <w:r>
        <w:t>,</w:t>
      </w:r>
      <w:r w:rsidRPr="00EA6917">
        <w:t xml:space="preserve"> it is therefore evident that there has been an examination of the merits of the author</w:t>
      </w:r>
      <w:r w:rsidR="00F60712">
        <w:t>’</w:t>
      </w:r>
      <w:r w:rsidRPr="00EA6917">
        <w:t xml:space="preserve">s case by another international investigation or settlement. The Committee recalls that when the European Court bases a declaration of inadmissibility not solely on procedural grounds but also on reasons that include a certain consideration of the merits of the case, then the same matter should be deemed to have been </w:t>
      </w:r>
      <w:r w:rsidR="00F60712">
        <w:t>“</w:t>
      </w:r>
      <w:r w:rsidRPr="00EA6917">
        <w:t>examined</w:t>
      </w:r>
      <w:r w:rsidR="00F60712">
        <w:t>”</w:t>
      </w:r>
      <w:r w:rsidRPr="00EA6917">
        <w:t xml:space="preserve"> within the meaning of the respec</w:t>
      </w:r>
      <w:r>
        <w:t>tive reservations to article 5 (2) (a)</w:t>
      </w:r>
      <w:r w:rsidRPr="00EA6917">
        <w:t xml:space="preserve"> of the Optional Protocol. However, in the particular circumstances of this case, the limited reasoning contained in the succinct terms of the Court</w:t>
      </w:r>
      <w:r w:rsidR="00F60712">
        <w:t>’</w:t>
      </w:r>
      <w:r w:rsidRPr="00EA6917">
        <w:t xml:space="preserve">s letter does not allow the Committee to assume that the examination included sufficient consideration of the merits in accordance with the information provided to the Committee by both the author and the State party. Consequently, the Committee considers that there is no obstacle </w:t>
      </w:r>
      <w:r>
        <w:t>to examining</w:t>
      </w:r>
      <w:r w:rsidRPr="00EA6917">
        <w:t xml:space="preserve"> the presen</w:t>
      </w:r>
      <w:r>
        <w:t>t communication under article 5</w:t>
      </w:r>
      <w:r w:rsidRPr="00EA6917">
        <w:t xml:space="preserve"> </w:t>
      </w:r>
      <w:r>
        <w:t>(</w:t>
      </w:r>
      <w:r w:rsidRPr="00EA6917">
        <w:t>2</w:t>
      </w:r>
      <w:r>
        <w:t>) (a)</w:t>
      </w:r>
      <w:r w:rsidRPr="00EA6917">
        <w:t xml:space="preserve"> of the Optional Protocol.</w:t>
      </w:r>
      <w:r w:rsidRPr="00336AB7">
        <w:rPr>
          <w:sz w:val="18"/>
          <w:vertAlign w:val="superscript"/>
        </w:rPr>
        <w:footnoteReference w:id="25"/>
      </w:r>
    </w:p>
    <w:p w14:paraId="17AFE4B4" w14:textId="0376F913" w:rsidR="00AD110A" w:rsidRPr="002547FC" w:rsidRDefault="00AD110A" w:rsidP="00AD110A">
      <w:pPr>
        <w:pStyle w:val="SingleTxtG"/>
      </w:pPr>
      <w:r>
        <w:t>9</w:t>
      </w:r>
      <w:r>
        <w:rPr>
          <w:lang w:val="en-US"/>
        </w:rPr>
        <w:t>.4</w:t>
      </w:r>
      <w:r>
        <w:rPr>
          <w:lang w:val="en-US"/>
        </w:rPr>
        <w:tab/>
        <w:t>The Committee also notes that domestic remedies have been exhausted, as required under article 5 (2) (b) of the Optional Protocol. In this respect, the Committee rejects the State party</w:t>
      </w:r>
      <w:r w:rsidR="00F60712">
        <w:rPr>
          <w:lang w:val="en-US"/>
        </w:rPr>
        <w:t>’</w:t>
      </w:r>
      <w:r>
        <w:rPr>
          <w:lang w:val="en-US"/>
        </w:rPr>
        <w:t>s objections to the admissibility of the author</w:t>
      </w:r>
      <w:r w:rsidR="00F60712">
        <w:rPr>
          <w:lang w:val="en-US"/>
        </w:rPr>
        <w:t>’</w:t>
      </w:r>
      <w:r>
        <w:rPr>
          <w:lang w:val="en-US"/>
        </w:rPr>
        <w:t xml:space="preserve">s complaint, namely that the author had failed to raise at the domestic level the issue of her inability </w:t>
      </w:r>
      <w:r w:rsidRPr="00635E07">
        <w:rPr>
          <w:lang w:eastAsia="de-DE"/>
        </w:rPr>
        <w:t xml:space="preserve">to work </w:t>
      </w:r>
      <w:r>
        <w:rPr>
          <w:lang w:eastAsia="de-DE"/>
        </w:rPr>
        <w:t>because of her age. The Committee considers that the author</w:t>
      </w:r>
      <w:r w:rsidR="00F60712">
        <w:rPr>
          <w:lang w:eastAsia="de-DE"/>
        </w:rPr>
        <w:t>’</w:t>
      </w:r>
      <w:r>
        <w:rPr>
          <w:lang w:eastAsia="de-DE"/>
        </w:rPr>
        <w:t xml:space="preserve">s claims under articles 14 (1), 18 and 26 of the Covenant seem to have been raised at least in substance before the domestic authorities. </w:t>
      </w:r>
    </w:p>
    <w:p w14:paraId="51E586B6" w14:textId="6321A98A" w:rsidR="00AD110A" w:rsidRDefault="00AD110A" w:rsidP="00AD110A">
      <w:pPr>
        <w:pStyle w:val="SingleTxtG"/>
        <w:rPr>
          <w:lang w:val="en-US"/>
        </w:rPr>
      </w:pPr>
      <w:r>
        <w:rPr>
          <w:lang w:val="en-US"/>
        </w:rPr>
        <w:t>9</w:t>
      </w:r>
      <w:r>
        <w:t>.5</w:t>
      </w:r>
      <w:r>
        <w:tab/>
        <w:t>Furthermore, the Committee notes the author</w:t>
      </w:r>
      <w:r w:rsidR="00F60712">
        <w:t>’</w:t>
      </w:r>
      <w:r>
        <w:t xml:space="preserve">s claim under </w:t>
      </w:r>
      <w:r w:rsidRPr="00635E07">
        <w:rPr>
          <w:lang w:val="en-US"/>
        </w:rPr>
        <w:t>article 14 (1) of the Covenant</w:t>
      </w:r>
      <w:r>
        <w:rPr>
          <w:lang w:val="en-US"/>
        </w:rPr>
        <w:t xml:space="preserve"> that the decisions of the domestic authorities were not duly reasoned. The Committee is mindful of the State party</w:t>
      </w:r>
      <w:r w:rsidR="00F60712">
        <w:rPr>
          <w:lang w:val="en-US"/>
        </w:rPr>
        <w:t>’</w:t>
      </w:r>
      <w:r>
        <w:rPr>
          <w:lang w:val="en-US"/>
        </w:rPr>
        <w:t>s position that this part of the author</w:t>
      </w:r>
      <w:r w:rsidR="00F60712">
        <w:rPr>
          <w:lang w:val="en-US"/>
        </w:rPr>
        <w:t>’</w:t>
      </w:r>
      <w:r>
        <w:rPr>
          <w:lang w:val="en-US"/>
        </w:rPr>
        <w:t xml:space="preserve">s complaint should be declared inadmissible for being incompatible </w:t>
      </w:r>
      <w:r w:rsidRPr="0056734D">
        <w:rPr>
          <w:i/>
          <w:iCs/>
          <w:lang w:val="en-US"/>
        </w:rPr>
        <w:t>ratione materiae</w:t>
      </w:r>
      <w:r>
        <w:rPr>
          <w:lang w:val="en-US"/>
        </w:rPr>
        <w:t xml:space="preserve"> with the provisions of the Covenant. </w:t>
      </w:r>
    </w:p>
    <w:p w14:paraId="6D6DCC3B" w14:textId="46D46116" w:rsidR="00AD110A" w:rsidRDefault="00AD110A" w:rsidP="00AD110A">
      <w:pPr>
        <w:pStyle w:val="SingleTxtG"/>
        <w:rPr>
          <w:lang w:val="en-US"/>
        </w:rPr>
      </w:pPr>
      <w:r>
        <w:rPr>
          <w:lang w:val="en-US"/>
        </w:rPr>
        <w:t>9.6</w:t>
      </w:r>
      <w:r>
        <w:rPr>
          <w:lang w:val="en-US"/>
        </w:rPr>
        <w:tab/>
        <w:t>The Committee recalls that a</w:t>
      </w:r>
      <w:r w:rsidRPr="00C443F6">
        <w:rPr>
          <w:lang w:val="en-US"/>
        </w:rPr>
        <w:t xml:space="preserve">rticle 14 is of a particularly complex nature, combining various guarantees </w:t>
      </w:r>
      <w:r w:rsidRPr="004160CE">
        <w:rPr>
          <w:lang w:val="en-US"/>
        </w:rPr>
        <w:t>with different scopes of application. The first sentence of paragraph 1 sets out a general guarantee of equality before courts and tribunals that applies regardless of the nature of proceedings before such bodies.</w:t>
      </w:r>
      <w:r w:rsidR="00BB664E">
        <w:rPr>
          <w:lang w:val="en-US"/>
        </w:rPr>
        <w:t xml:space="preserve"> </w:t>
      </w:r>
      <w:r w:rsidRPr="004160CE">
        <w:rPr>
          <w:lang w:val="en-US"/>
        </w:rPr>
        <w:t xml:space="preserve">The right to equality before courts and tribunals, in general terms, guarantees, in addition to the principles mentioned in the second sentence of </w:t>
      </w:r>
      <w:r>
        <w:rPr>
          <w:lang w:val="en-US"/>
        </w:rPr>
        <w:t>a</w:t>
      </w:r>
      <w:r w:rsidRPr="004160CE">
        <w:rPr>
          <w:lang w:val="en-US"/>
        </w:rPr>
        <w:t xml:space="preserve">rticle 14 </w:t>
      </w:r>
      <w:r>
        <w:rPr>
          <w:lang w:val="en-US"/>
        </w:rPr>
        <w:t>(</w:t>
      </w:r>
      <w:r w:rsidRPr="004160CE">
        <w:rPr>
          <w:lang w:val="en-US"/>
        </w:rPr>
        <w:t>1</w:t>
      </w:r>
      <w:r>
        <w:rPr>
          <w:lang w:val="en-US"/>
        </w:rPr>
        <w:t>)</w:t>
      </w:r>
      <w:r w:rsidRPr="004160CE">
        <w:rPr>
          <w:lang w:val="en-US"/>
        </w:rPr>
        <w:t>, those of equal access and equality of arms, and ensures that the parties to the proceedings in question are treated without any discrimination.</w:t>
      </w:r>
      <w:r w:rsidRPr="004160CE">
        <w:rPr>
          <w:vertAlign w:val="superscript"/>
          <w:lang w:val="en-US"/>
        </w:rPr>
        <w:footnoteReference w:id="26"/>
      </w:r>
      <w:r w:rsidRPr="004160CE">
        <w:rPr>
          <w:lang w:val="en-US"/>
        </w:rPr>
        <w:t xml:space="preserve"> </w:t>
      </w:r>
    </w:p>
    <w:p w14:paraId="2840E4A7" w14:textId="7ABFDA99" w:rsidR="00AD110A" w:rsidRDefault="00AD110A" w:rsidP="00AD110A">
      <w:pPr>
        <w:pStyle w:val="SingleTxtG"/>
      </w:pPr>
      <w:r>
        <w:rPr>
          <w:lang w:val="en-US"/>
        </w:rPr>
        <w:t>9.7</w:t>
      </w:r>
      <w:r>
        <w:rPr>
          <w:lang w:val="en-US"/>
        </w:rPr>
        <w:tab/>
        <w:t>In addition</w:t>
      </w:r>
      <w:r w:rsidRPr="004160CE">
        <w:rPr>
          <w:lang w:val="en-US"/>
        </w:rPr>
        <w:t>, with regard to the author</w:t>
      </w:r>
      <w:r w:rsidR="00F60712">
        <w:rPr>
          <w:lang w:val="en-US"/>
        </w:rPr>
        <w:t>’</w:t>
      </w:r>
      <w:r w:rsidRPr="004160CE">
        <w:rPr>
          <w:lang w:val="en-US"/>
        </w:rPr>
        <w:t>s claim</w:t>
      </w:r>
      <w:r>
        <w:rPr>
          <w:lang w:val="en-US"/>
        </w:rPr>
        <w:t>s</w:t>
      </w:r>
      <w:r w:rsidRPr="004160CE">
        <w:rPr>
          <w:lang w:val="en-US"/>
        </w:rPr>
        <w:t xml:space="preserve"> </w:t>
      </w:r>
      <w:r>
        <w:rPr>
          <w:lang w:val="en-US"/>
        </w:rPr>
        <w:t xml:space="preserve">insofar as they have been presented </w:t>
      </w:r>
      <w:r w:rsidRPr="004160CE">
        <w:rPr>
          <w:lang w:val="en-US"/>
        </w:rPr>
        <w:t>under the second sentence of article 14 (1) of the Covenant</w:t>
      </w:r>
      <w:r>
        <w:rPr>
          <w:lang w:val="en-US"/>
        </w:rPr>
        <w:t xml:space="preserve">, </w:t>
      </w:r>
      <w:r>
        <w:t xml:space="preserve">the Committee recalls that the right to a fair and </w:t>
      </w:r>
      <w:r w:rsidRPr="00AE1403">
        <w:rPr>
          <w:lang w:val="en-US"/>
        </w:rPr>
        <w:t xml:space="preserve">public hearing by a competent, independent and impartial tribunal is guaranteed in cases regarding the determination of criminal charges against individuals or of their rights and obligations in a suit at law. The concept of determination of rights and obligations </w:t>
      </w:r>
      <w:r w:rsidR="00F60712">
        <w:rPr>
          <w:lang w:val="en-US"/>
        </w:rPr>
        <w:t>“</w:t>
      </w:r>
      <w:r w:rsidRPr="00AE1403">
        <w:rPr>
          <w:lang w:val="en-US"/>
        </w:rPr>
        <w:t>in a suit at law</w:t>
      </w:r>
      <w:r w:rsidR="00F60712">
        <w:rPr>
          <w:lang w:val="en-US"/>
        </w:rPr>
        <w:t>”</w:t>
      </w:r>
      <w:r w:rsidRPr="00AE1403">
        <w:rPr>
          <w:lang w:val="en-US"/>
        </w:rPr>
        <w:t xml:space="preserve"> encompasses (a) judicial procedures aimed at determining rights and obligations pertaining to the areas of contract, property and torts in the area of private law, as well as (b) equivalent notions in the area of administrative law such as the termination of employment of civil servants for other than disciplinary reasons, the determination of social security benefits or</w:t>
      </w:r>
      <w:r>
        <w:rPr>
          <w:lang w:val="en-US"/>
        </w:rPr>
        <w:t xml:space="preserve"> the pension rights of soldiers,</w:t>
      </w:r>
      <w:r w:rsidRPr="00AE1403">
        <w:rPr>
          <w:lang w:val="en-US"/>
        </w:rPr>
        <w:t xml:space="preserve"> or procedures regarding the use of public land or the taking of private property. In addition, it may (c) cover other procedures which, however, must be assessed on a case</w:t>
      </w:r>
      <w:r w:rsidR="00B340BC">
        <w:rPr>
          <w:lang w:val="en-US"/>
        </w:rPr>
        <w:t>-</w:t>
      </w:r>
      <w:r w:rsidRPr="00AE1403">
        <w:rPr>
          <w:lang w:val="en-US"/>
        </w:rPr>
        <w:t>by</w:t>
      </w:r>
      <w:r w:rsidR="00B340BC">
        <w:rPr>
          <w:lang w:val="en-US"/>
        </w:rPr>
        <w:t>-</w:t>
      </w:r>
      <w:r w:rsidRPr="00AE1403">
        <w:rPr>
          <w:lang w:val="en-US"/>
        </w:rPr>
        <w:t>case basis in the light of the nature of the right in questio</w:t>
      </w:r>
      <w:r w:rsidRPr="00B9592F">
        <w:rPr>
          <w:lang w:val="en-US"/>
        </w:rPr>
        <w:t>n.</w:t>
      </w:r>
      <w:r w:rsidRPr="00B9592F">
        <w:rPr>
          <w:rStyle w:val="FootnoteReference"/>
          <w:lang w:val="en-US"/>
        </w:rPr>
        <w:footnoteReference w:id="27"/>
      </w:r>
      <w:r w:rsidRPr="00B9592F">
        <w:rPr>
          <w:bCs/>
          <w:sz w:val="24"/>
        </w:rPr>
        <w:t xml:space="preserve"> </w:t>
      </w:r>
    </w:p>
    <w:p w14:paraId="5C909FD3" w14:textId="7177EB6D" w:rsidR="00AD110A" w:rsidRDefault="00AD110A" w:rsidP="00AD110A">
      <w:pPr>
        <w:pStyle w:val="SingleTxtG"/>
        <w:rPr>
          <w:lang w:val="en-US"/>
        </w:rPr>
      </w:pPr>
      <w:r>
        <w:t>9</w:t>
      </w:r>
      <w:r w:rsidRPr="0003076A">
        <w:rPr>
          <w:lang w:val="en-US"/>
        </w:rPr>
        <w:t>.8</w:t>
      </w:r>
      <w:r w:rsidRPr="0003076A">
        <w:rPr>
          <w:lang w:val="en-US"/>
        </w:rPr>
        <w:tab/>
      </w:r>
      <w:r>
        <w:rPr>
          <w:lang w:val="en-US"/>
        </w:rPr>
        <w:t>In applying these principles to the present case, t</w:t>
      </w:r>
      <w:r w:rsidRPr="00B9592F">
        <w:rPr>
          <w:lang w:val="en-US"/>
        </w:rPr>
        <w:t xml:space="preserve">he </w:t>
      </w:r>
      <w:r>
        <w:rPr>
          <w:lang w:val="en-US"/>
        </w:rPr>
        <w:t>Committee observes the State party</w:t>
      </w:r>
      <w:r w:rsidR="00F60712">
        <w:rPr>
          <w:lang w:val="en-US"/>
        </w:rPr>
        <w:t>’</w:t>
      </w:r>
      <w:r>
        <w:rPr>
          <w:lang w:val="en-US"/>
        </w:rPr>
        <w:t xml:space="preserve">s </w:t>
      </w:r>
      <w:r w:rsidRPr="00D31785">
        <w:rPr>
          <w:lang w:val="en-US"/>
        </w:rPr>
        <w:t>argument that tax disputes cannot be considered to relate to a determination of rights and obligations in a suit at law</w:t>
      </w:r>
      <w:r>
        <w:rPr>
          <w:lang w:val="en-US"/>
        </w:rPr>
        <w:t>.</w:t>
      </w:r>
      <w:r w:rsidRPr="00D31785">
        <w:rPr>
          <w:lang w:val="en-US"/>
        </w:rPr>
        <w:t xml:space="preserve"> </w:t>
      </w:r>
      <w:r w:rsidRPr="00F21B70">
        <w:rPr>
          <w:lang w:val="en-US"/>
        </w:rPr>
        <w:t xml:space="preserve">In this respect, the Committee </w:t>
      </w:r>
      <w:r>
        <w:rPr>
          <w:lang w:val="en-US"/>
        </w:rPr>
        <w:t xml:space="preserve">does not deem it necessary </w:t>
      </w:r>
      <w:r>
        <w:t>to determine in the present case whether or not matters relating to the imposition of taxes are rights or obligations in a suit at law as, in any event, the author</w:t>
      </w:r>
      <w:r w:rsidR="00F60712">
        <w:t>’</w:t>
      </w:r>
      <w:r>
        <w:t>s claims are not sufficiently substantiated for the purposes of article 2 of the Optional Protocol. As to the author</w:t>
      </w:r>
      <w:r w:rsidR="00F60712">
        <w:t>’</w:t>
      </w:r>
      <w:r>
        <w:t>s claim about the insufficient reasoning in the domestic decisions, the Committee is mindful of the State party</w:t>
      </w:r>
      <w:r w:rsidR="00F60712">
        <w:t>’</w:t>
      </w:r>
      <w:r>
        <w:t xml:space="preserve">s argument that </w:t>
      </w:r>
      <w:r>
        <w:rPr>
          <w:lang w:eastAsia="de-DE"/>
        </w:rPr>
        <w:t>t</w:t>
      </w:r>
      <w:r w:rsidRPr="00635E07">
        <w:rPr>
          <w:lang w:eastAsia="de-DE"/>
        </w:rPr>
        <w:t xml:space="preserve">he </w:t>
      </w:r>
      <w:r>
        <w:rPr>
          <w:lang w:eastAsia="de-DE"/>
        </w:rPr>
        <w:t xml:space="preserve">domestic </w:t>
      </w:r>
      <w:r w:rsidRPr="00570086">
        <w:t>decisions</w:t>
      </w:r>
      <w:r w:rsidRPr="00635E07">
        <w:rPr>
          <w:lang w:eastAsia="de-DE"/>
        </w:rPr>
        <w:t xml:space="preserve"> r</w:t>
      </w:r>
      <w:r>
        <w:rPr>
          <w:lang w:eastAsia="de-DE"/>
        </w:rPr>
        <w:t xml:space="preserve">ecount the facts of the case and </w:t>
      </w:r>
      <w:r w:rsidRPr="00635E07">
        <w:rPr>
          <w:lang w:eastAsia="de-DE"/>
        </w:rPr>
        <w:t>the author</w:t>
      </w:r>
      <w:r w:rsidR="00F60712">
        <w:rPr>
          <w:lang w:eastAsia="de-DE"/>
        </w:rPr>
        <w:t>’</w:t>
      </w:r>
      <w:r w:rsidRPr="00635E07">
        <w:rPr>
          <w:lang w:eastAsia="de-DE"/>
        </w:rPr>
        <w:t>s claims</w:t>
      </w:r>
      <w:r>
        <w:rPr>
          <w:lang w:eastAsia="de-DE"/>
        </w:rPr>
        <w:t>,</w:t>
      </w:r>
      <w:r w:rsidRPr="00635E07">
        <w:rPr>
          <w:lang w:eastAsia="de-DE"/>
        </w:rPr>
        <w:t xml:space="preserve"> and</w:t>
      </w:r>
      <w:r>
        <w:rPr>
          <w:lang w:eastAsia="de-DE"/>
        </w:rPr>
        <w:t xml:space="preserve"> that they also contain the reasons for the conclusion reached by the authorities by</w:t>
      </w:r>
      <w:r w:rsidRPr="00635E07">
        <w:rPr>
          <w:lang w:eastAsia="de-DE"/>
        </w:rPr>
        <w:t xml:space="preserve"> referring</w:t>
      </w:r>
      <w:r>
        <w:rPr>
          <w:lang w:eastAsia="de-DE"/>
        </w:rPr>
        <w:t xml:space="preserve"> to other relevant decisions that had been accessible to the author. The Committee further observes that </w:t>
      </w:r>
      <w:r>
        <w:rPr>
          <w:lang w:val="en-US"/>
        </w:rPr>
        <w:t xml:space="preserve">it seems to be common ground that </w:t>
      </w:r>
      <w:r w:rsidRPr="00513C56">
        <w:rPr>
          <w:lang w:val="en-US"/>
        </w:rPr>
        <w:t xml:space="preserve">a criminal charge was not </w:t>
      </w:r>
      <w:r>
        <w:rPr>
          <w:lang w:val="en-US"/>
        </w:rPr>
        <w:t>a</w:t>
      </w:r>
      <w:r w:rsidRPr="00513C56">
        <w:rPr>
          <w:lang w:val="en-US"/>
        </w:rPr>
        <w:t>n issue, and the Committee</w:t>
      </w:r>
      <w:r>
        <w:rPr>
          <w:lang w:val="en-US"/>
        </w:rPr>
        <w:t xml:space="preserve"> </w:t>
      </w:r>
      <w:r w:rsidRPr="00513C56">
        <w:rPr>
          <w:lang w:val="en-US"/>
        </w:rPr>
        <w:t xml:space="preserve">does not perceive any criminal connotation in the </w:t>
      </w:r>
      <w:r>
        <w:rPr>
          <w:lang w:val="en-US"/>
        </w:rPr>
        <w:t>prese</w:t>
      </w:r>
      <w:r w:rsidRPr="00513C56">
        <w:rPr>
          <w:lang w:val="en-US"/>
        </w:rPr>
        <w:t>nt case</w:t>
      </w:r>
      <w:r>
        <w:rPr>
          <w:lang w:val="en-US"/>
        </w:rPr>
        <w:t xml:space="preserve">, which could have required stronger guarantees. In the light of these circumstances, </w:t>
      </w:r>
      <w:r w:rsidRPr="004160CE">
        <w:rPr>
          <w:lang w:val="en-US"/>
        </w:rPr>
        <w:t>the Committee considers that nothing has been brought before it to allow it to conclude that the author had not been provided the same procedural rights as the opponent party or that similar cases are not dealt with in si</w:t>
      </w:r>
      <w:r>
        <w:rPr>
          <w:lang w:val="en-US"/>
        </w:rPr>
        <w:t xml:space="preserve">milar proceedings, or that the domestic proceedings had otherwise infringed her right to equality before the courts. </w:t>
      </w:r>
      <w:r>
        <w:t>The author</w:t>
      </w:r>
      <w:r w:rsidR="00F60712">
        <w:t>’</w:t>
      </w:r>
      <w:r>
        <w:t xml:space="preserve">s claims under article 14 (1) are therefore inadmissible under article 2 of the Optional Protocol. </w:t>
      </w:r>
    </w:p>
    <w:p w14:paraId="33505498" w14:textId="4396941D" w:rsidR="00AD110A" w:rsidRDefault="00AD110A" w:rsidP="00AD110A">
      <w:pPr>
        <w:pStyle w:val="SingleTxtG"/>
        <w:rPr>
          <w:lang w:eastAsia="de-DE"/>
        </w:rPr>
      </w:pPr>
      <w:r>
        <w:rPr>
          <w:lang w:val="en-US"/>
        </w:rPr>
        <w:t>9.9</w:t>
      </w:r>
      <w:r>
        <w:rPr>
          <w:lang w:val="en-US"/>
        </w:rPr>
        <w:tab/>
      </w:r>
      <w:r>
        <w:t>With regard to article 26</w:t>
      </w:r>
      <w:r w:rsidRPr="00635E07">
        <w:t xml:space="preserve"> of the Covenant, the Committee notes</w:t>
      </w:r>
      <w:r>
        <w:t xml:space="preserve"> the author</w:t>
      </w:r>
      <w:r w:rsidR="00F60712">
        <w:t>’</w:t>
      </w:r>
      <w:r>
        <w:t xml:space="preserve">s argument that even though </w:t>
      </w:r>
      <w:r w:rsidRPr="00635E07">
        <w:t xml:space="preserve">the State party </w:t>
      </w:r>
      <w:r w:rsidRPr="00635E07">
        <w:rPr>
          <w:lang w:eastAsia="de-DE"/>
        </w:rPr>
        <w:t>has long exempted members of other religious orders from paying an income tax on the financial support received</w:t>
      </w:r>
      <w:r>
        <w:rPr>
          <w:lang w:eastAsia="de-DE"/>
        </w:rPr>
        <w:t xml:space="preserve"> from their respective orders, her request for exemption has been denied. She argues that</w:t>
      </w:r>
      <w:r>
        <w:t xml:space="preserve"> </w:t>
      </w:r>
      <w:r>
        <w:rPr>
          <w:lang w:eastAsia="de-DE"/>
        </w:rPr>
        <w:t>t</w:t>
      </w:r>
      <w:r w:rsidRPr="00635E07">
        <w:rPr>
          <w:lang w:eastAsia="de-DE"/>
        </w:rPr>
        <w:t xml:space="preserve">his exemption is </w:t>
      </w:r>
      <w:proofErr w:type="gramStart"/>
      <w:r w:rsidRPr="00635E07">
        <w:rPr>
          <w:lang w:eastAsia="de-DE"/>
        </w:rPr>
        <w:t>based on the fact that</w:t>
      </w:r>
      <w:proofErr w:type="gramEnd"/>
      <w:r w:rsidRPr="00635E07">
        <w:rPr>
          <w:lang w:eastAsia="de-DE"/>
        </w:rPr>
        <w:t xml:space="preserve"> members of those orders are not to be considered employees as they do not serve for pecuniary gain. </w:t>
      </w:r>
      <w:r>
        <w:rPr>
          <w:lang w:eastAsia="de-DE"/>
        </w:rPr>
        <w:t>Despite</w:t>
      </w:r>
      <w:r w:rsidRPr="00635E07">
        <w:rPr>
          <w:lang w:eastAsia="de-DE"/>
        </w:rPr>
        <w:t xml:space="preserve"> the realities of her situation,</w:t>
      </w:r>
      <w:r>
        <w:rPr>
          <w:lang w:eastAsia="de-DE"/>
        </w:rPr>
        <w:t xml:space="preserve"> especially her advanced age, </w:t>
      </w:r>
      <w:r w:rsidRPr="00635E07">
        <w:rPr>
          <w:lang w:eastAsia="de-DE"/>
        </w:rPr>
        <w:t xml:space="preserve">her membership with the Order </w:t>
      </w:r>
      <w:r>
        <w:rPr>
          <w:lang w:eastAsia="de-DE"/>
        </w:rPr>
        <w:t xml:space="preserve">had been </w:t>
      </w:r>
      <w:r w:rsidRPr="00635E07">
        <w:rPr>
          <w:lang w:eastAsia="de-DE"/>
        </w:rPr>
        <w:t>presumed to be based on an employment relationship.</w:t>
      </w:r>
    </w:p>
    <w:p w14:paraId="2BCA171F" w14:textId="2755A643" w:rsidR="00AD110A" w:rsidRDefault="00AD110A" w:rsidP="00AD110A">
      <w:pPr>
        <w:pStyle w:val="SingleTxtG"/>
        <w:rPr>
          <w:lang w:eastAsia="de-DE"/>
        </w:rPr>
      </w:pPr>
      <w:r>
        <w:rPr>
          <w:lang w:eastAsia="de-DE"/>
        </w:rPr>
        <w:t>9.10</w:t>
      </w:r>
      <w:r>
        <w:rPr>
          <w:lang w:eastAsia="de-DE"/>
        </w:rPr>
        <w:tab/>
        <w:t>On the other hand, the Committee takes note of the State party</w:t>
      </w:r>
      <w:r w:rsidR="00F60712">
        <w:rPr>
          <w:lang w:eastAsia="de-DE"/>
        </w:rPr>
        <w:t>’</w:t>
      </w:r>
      <w:r>
        <w:rPr>
          <w:lang w:eastAsia="de-DE"/>
        </w:rPr>
        <w:t xml:space="preserve">s observations asserting that </w:t>
      </w:r>
      <w:r w:rsidRPr="00635E07">
        <w:rPr>
          <w:lang w:eastAsia="de-DE"/>
        </w:rPr>
        <w:t>there is no provision in Swedish law</w:t>
      </w:r>
      <w:r>
        <w:rPr>
          <w:lang w:eastAsia="de-DE"/>
        </w:rPr>
        <w:t xml:space="preserve"> guaranteeing a general tax exemption status for </w:t>
      </w:r>
      <w:r w:rsidRPr="00635E07">
        <w:rPr>
          <w:lang w:eastAsia="de-DE"/>
        </w:rPr>
        <w:t xml:space="preserve">members of </w:t>
      </w:r>
      <w:r>
        <w:rPr>
          <w:lang w:eastAsia="de-DE"/>
        </w:rPr>
        <w:t>certain</w:t>
      </w:r>
      <w:r w:rsidRPr="00635E07">
        <w:rPr>
          <w:lang w:eastAsia="de-DE"/>
        </w:rPr>
        <w:t xml:space="preserve"> religious communities.</w:t>
      </w:r>
      <w:r>
        <w:rPr>
          <w:lang w:eastAsia="de-DE"/>
        </w:rPr>
        <w:t xml:space="preserve"> Apart from a few sporadic cases dating back to an era before the tax reform of 1990 had occurred, there is in fact no jurisprudence that would indicate that members of orders other than that of the author should be exempt from taxation </w:t>
      </w:r>
      <w:proofErr w:type="gramStart"/>
      <w:r>
        <w:rPr>
          <w:lang w:eastAsia="de-DE"/>
        </w:rPr>
        <w:t>as a general rule</w:t>
      </w:r>
      <w:proofErr w:type="gramEnd"/>
      <w:r>
        <w:rPr>
          <w:lang w:eastAsia="de-DE"/>
        </w:rPr>
        <w:t>. Although no evidence has been put forward in this regard, the State party acknowledges that there may be a few cases where such an exemption has been granted, but these decisions must have been based on</w:t>
      </w:r>
      <w:r w:rsidRPr="00635E07">
        <w:rPr>
          <w:lang w:eastAsia="de-DE"/>
        </w:rPr>
        <w:t xml:space="preserve"> individual assessment</w:t>
      </w:r>
      <w:r>
        <w:rPr>
          <w:lang w:eastAsia="de-DE"/>
        </w:rPr>
        <w:t>s</w:t>
      </w:r>
      <w:r w:rsidRPr="00635E07">
        <w:rPr>
          <w:lang w:eastAsia="de-DE"/>
        </w:rPr>
        <w:t xml:space="preserve"> </w:t>
      </w:r>
      <w:r>
        <w:rPr>
          <w:lang w:eastAsia="de-DE"/>
        </w:rPr>
        <w:t xml:space="preserve">in compliance with the </w:t>
      </w:r>
      <w:r w:rsidRPr="00635E07">
        <w:rPr>
          <w:lang w:eastAsia="de-DE"/>
        </w:rPr>
        <w:t>objective criteria</w:t>
      </w:r>
      <w:r>
        <w:rPr>
          <w:lang w:eastAsia="de-DE"/>
        </w:rPr>
        <w:t xml:space="preserve"> of the law.</w:t>
      </w:r>
    </w:p>
    <w:p w14:paraId="02E5DA2E" w14:textId="1F7BE935" w:rsidR="00AD110A" w:rsidRDefault="00AD110A" w:rsidP="00AD110A">
      <w:pPr>
        <w:pStyle w:val="SingleTxtG"/>
      </w:pPr>
      <w:r>
        <w:rPr>
          <w:lang w:eastAsia="de-DE"/>
        </w:rPr>
        <w:t>9.11</w:t>
      </w:r>
      <w:r>
        <w:rPr>
          <w:lang w:eastAsia="de-DE"/>
        </w:rPr>
        <w:tab/>
        <w:t>In the consideration of the present case, t</w:t>
      </w:r>
      <w:r w:rsidRPr="00967B5D">
        <w:t xml:space="preserve">he Committee recalls that </w:t>
      </w:r>
      <w:r>
        <w:rPr>
          <w:lang w:val="en-US"/>
        </w:rPr>
        <w:t>article 26</w:t>
      </w:r>
      <w:r>
        <w:t xml:space="preserve"> prohibits discrimination in law or in fact in any field regulated and protected by public authorities. Article 26 is therefore concerned with the obligations imposed on States parties </w:t>
      </w:r>
      <w:proofErr w:type="gramStart"/>
      <w:r>
        <w:t>with regard to</w:t>
      </w:r>
      <w:proofErr w:type="gramEnd"/>
      <w:r>
        <w:t xml:space="preserve"> their legislation and the application thereof. Thus, when legislation is adopted by a State party, it must comply with the requirement of article</w:t>
      </w:r>
      <w:r w:rsidR="00BB664E">
        <w:t xml:space="preserve"> </w:t>
      </w:r>
      <w:r>
        <w:t>26 that its content should not be discriminatory.</w:t>
      </w:r>
      <w:r>
        <w:rPr>
          <w:rStyle w:val="FootnoteReference"/>
        </w:rPr>
        <w:footnoteReference w:id="28"/>
      </w:r>
      <w:r>
        <w:t xml:space="preserve"> On the other hand, not every differentiation of treatment will constitute discrimination.</w:t>
      </w:r>
      <w:r>
        <w:rPr>
          <w:rStyle w:val="FootnoteReference"/>
        </w:rPr>
        <w:footnoteReference w:id="29"/>
      </w:r>
      <w:r>
        <w:t xml:space="preserve"> </w:t>
      </w:r>
    </w:p>
    <w:p w14:paraId="46EFC8FD" w14:textId="77777777" w:rsidR="00AD110A" w:rsidRPr="00F35E30" w:rsidRDefault="00AD110A" w:rsidP="00AD110A">
      <w:pPr>
        <w:pStyle w:val="SingleTxtG"/>
      </w:pPr>
      <w:r>
        <w:t>9.12</w:t>
      </w:r>
      <w:r>
        <w:tab/>
        <w:t>In the present case, t</w:t>
      </w:r>
      <w:r w:rsidRPr="005F79C4">
        <w:rPr>
          <w:lang w:val="en-US"/>
        </w:rPr>
        <w:t xml:space="preserve">he </w:t>
      </w:r>
      <w:r>
        <w:rPr>
          <w:lang w:val="en-US"/>
        </w:rPr>
        <w:t xml:space="preserve">Committee observes that </w:t>
      </w:r>
      <w:r w:rsidRPr="005F79C4">
        <w:rPr>
          <w:lang w:val="en-US"/>
        </w:rPr>
        <w:t>the impugned law does</w:t>
      </w:r>
      <w:r>
        <w:rPr>
          <w:lang w:val="en-US"/>
        </w:rPr>
        <w:t xml:space="preserve"> not prescribe for the exemption</w:t>
      </w:r>
      <w:r w:rsidRPr="005F79C4">
        <w:rPr>
          <w:lang w:val="en-US"/>
        </w:rPr>
        <w:t xml:space="preserve"> of certain individuals from t</w:t>
      </w:r>
      <w:r>
        <w:rPr>
          <w:lang w:val="en-US"/>
        </w:rPr>
        <w:t xml:space="preserve">axation </w:t>
      </w:r>
      <w:proofErr w:type="gramStart"/>
      <w:r w:rsidRPr="005F79C4">
        <w:rPr>
          <w:lang w:val="en-US"/>
        </w:rPr>
        <w:t>o</w:t>
      </w:r>
      <w:r>
        <w:rPr>
          <w:lang w:val="en-US"/>
        </w:rPr>
        <w:t>n the basis of</w:t>
      </w:r>
      <w:proofErr w:type="gramEnd"/>
      <w:r>
        <w:rPr>
          <w:lang w:val="en-US"/>
        </w:rPr>
        <w:t xml:space="preserve"> their religion. Even though it has already been established that </w:t>
      </w:r>
      <w:r w:rsidRPr="00262C8A">
        <w:rPr>
          <w:lang w:val="en-US"/>
        </w:rPr>
        <w:t>a violation of article 26 may result from the discriminatory effect of a rule or measure that is neutral at face value or without intent to discriminate</w:t>
      </w:r>
      <w:r>
        <w:rPr>
          <w:lang w:val="en-US"/>
        </w:rPr>
        <w:t>,</w:t>
      </w:r>
      <w:r>
        <w:rPr>
          <w:rStyle w:val="FootnoteReference"/>
          <w:lang w:val="en-US"/>
        </w:rPr>
        <w:footnoteReference w:id="30"/>
      </w:r>
      <w:r>
        <w:rPr>
          <w:lang w:val="en-US"/>
        </w:rPr>
        <w:t xml:space="preserve"> i</w:t>
      </w:r>
      <w:r w:rsidRPr="00262C8A">
        <w:rPr>
          <w:lang w:val="en-US"/>
        </w:rPr>
        <w:t>n the circumstances of the present case, the Committee notes that the relevant laws affect all individuals equally, including members of other religious organizations</w:t>
      </w:r>
      <w:r>
        <w:rPr>
          <w:lang w:val="en-US"/>
        </w:rPr>
        <w:t xml:space="preserve">. In this respect, the Committee observes that the author bases her discrimination claim on court cases dating back to </w:t>
      </w:r>
      <w:r>
        <w:rPr>
          <w:lang w:eastAsia="de-DE"/>
        </w:rPr>
        <w:t xml:space="preserve">1957, 1968 and 1986, which all long precede </w:t>
      </w:r>
      <w:r w:rsidRPr="00635E07">
        <w:rPr>
          <w:lang w:eastAsia="de-DE"/>
        </w:rPr>
        <w:t xml:space="preserve">the tax reform </w:t>
      </w:r>
      <w:r>
        <w:rPr>
          <w:lang w:eastAsia="de-DE"/>
        </w:rPr>
        <w:t>of</w:t>
      </w:r>
      <w:r w:rsidRPr="00635E07">
        <w:rPr>
          <w:lang w:eastAsia="de-DE"/>
        </w:rPr>
        <w:t xml:space="preserve"> 1990 and the entry into force of th</w:t>
      </w:r>
      <w:r>
        <w:rPr>
          <w:lang w:eastAsia="de-DE"/>
        </w:rPr>
        <w:t xml:space="preserve">e Income Tax Act on 1 January 2000 that served as a basis for the domestic proceedings in her case. The Committee further considers that taking into account the specificities of the European Volunteer Service programme, it has not been substantiated that </w:t>
      </w:r>
      <w:r w:rsidRPr="00635E07">
        <w:rPr>
          <w:lang w:eastAsia="de-DE"/>
        </w:rPr>
        <w:t xml:space="preserve">volunteers </w:t>
      </w:r>
      <w:r>
        <w:rPr>
          <w:lang w:eastAsia="de-DE"/>
        </w:rPr>
        <w:t xml:space="preserve">of the European Volunteer Service </w:t>
      </w:r>
      <w:r w:rsidRPr="00635E07">
        <w:rPr>
          <w:lang w:eastAsia="de-DE"/>
        </w:rPr>
        <w:t xml:space="preserve">are </w:t>
      </w:r>
      <w:r>
        <w:rPr>
          <w:lang w:eastAsia="de-DE"/>
        </w:rPr>
        <w:t>similarly situated to</w:t>
      </w:r>
      <w:r w:rsidRPr="00635E07">
        <w:rPr>
          <w:lang w:eastAsia="de-DE"/>
        </w:rPr>
        <w:t xml:space="preserve"> members of the Order</w:t>
      </w:r>
      <w:r>
        <w:rPr>
          <w:lang w:eastAsia="de-DE"/>
        </w:rPr>
        <w:t xml:space="preserve"> for the purposes of its examination under article 26 of the Covenant</w:t>
      </w:r>
      <w:r w:rsidRPr="00635E07">
        <w:rPr>
          <w:lang w:eastAsia="de-DE"/>
        </w:rPr>
        <w:t>.</w:t>
      </w:r>
    </w:p>
    <w:p w14:paraId="77FE672E" w14:textId="4ECAE5BE" w:rsidR="00AD110A" w:rsidRPr="00262C8A" w:rsidRDefault="00AD110A" w:rsidP="00AD110A">
      <w:pPr>
        <w:pStyle w:val="SingleTxtG"/>
        <w:rPr>
          <w:lang w:val="en-US"/>
        </w:rPr>
      </w:pPr>
      <w:r>
        <w:t>9</w:t>
      </w:r>
      <w:r>
        <w:rPr>
          <w:lang w:val="en-US"/>
        </w:rPr>
        <w:t>.13</w:t>
      </w:r>
      <w:r>
        <w:rPr>
          <w:lang w:val="en-US"/>
        </w:rPr>
        <w:tab/>
        <w:t>Furthermore, in the Committee</w:t>
      </w:r>
      <w:r w:rsidR="00F60712">
        <w:rPr>
          <w:lang w:val="en-US"/>
        </w:rPr>
        <w:t>’</w:t>
      </w:r>
      <w:r>
        <w:rPr>
          <w:lang w:val="en-US"/>
        </w:rPr>
        <w:t xml:space="preserve">s view </w:t>
      </w:r>
      <w:r w:rsidRPr="00262C8A">
        <w:rPr>
          <w:lang w:val="en-US"/>
        </w:rPr>
        <w:t>determining whether the situation of those subject</w:t>
      </w:r>
      <w:r>
        <w:rPr>
          <w:lang w:val="en-US"/>
        </w:rPr>
        <w:t>ed to</w:t>
      </w:r>
      <w:r w:rsidRPr="00262C8A">
        <w:rPr>
          <w:lang w:val="en-US"/>
        </w:rPr>
        <w:t xml:space="preserve"> and exempt from taxation is de facto the same or different</w:t>
      </w:r>
      <w:r>
        <w:rPr>
          <w:lang w:val="en-US"/>
        </w:rPr>
        <w:t>,</w:t>
      </w:r>
      <w:r w:rsidRPr="00262C8A">
        <w:rPr>
          <w:lang w:val="en-US"/>
        </w:rPr>
        <w:t xml:space="preserve"> basically requires </w:t>
      </w:r>
      <w:r>
        <w:rPr>
          <w:lang w:val="en-US"/>
        </w:rPr>
        <w:t xml:space="preserve">an </w:t>
      </w:r>
      <w:r w:rsidRPr="00262C8A">
        <w:rPr>
          <w:lang w:val="en-US"/>
        </w:rPr>
        <w:t>assess</w:t>
      </w:r>
      <w:r>
        <w:rPr>
          <w:lang w:val="en-US"/>
        </w:rPr>
        <w:t>ment</w:t>
      </w:r>
      <w:r w:rsidRPr="00262C8A">
        <w:rPr>
          <w:lang w:val="en-US"/>
        </w:rPr>
        <w:t xml:space="preserve"> </w:t>
      </w:r>
      <w:r>
        <w:rPr>
          <w:lang w:val="en-US"/>
        </w:rPr>
        <w:t xml:space="preserve">of </w:t>
      </w:r>
      <w:r w:rsidRPr="00262C8A">
        <w:rPr>
          <w:lang w:val="en-US"/>
        </w:rPr>
        <w:t>the facts,</w:t>
      </w:r>
      <w:r>
        <w:rPr>
          <w:lang w:val="en-US"/>
        </w:rPr>
        <w:t xml:space="preserve"> in particular, </w:t>
      </w:r>
      <w:r w:rsidRPr="00635E07">
        <w:rPr>
          <w:lang w:eastAsia="de-DE"/>
        </w:rPr>
        <w:t xml:space="preserve">whether </w:t>
      </w:r>
      <w:r>
        <w:rPr>
          <w:lang w:eastAsia="de-DE"/>
        </w:rPr>
        <w:t xml:space="preserve">a certain kind of </w:t>
      </w:r>
      <w:r w:rsidRPr="00635E07">
        <w:rPr>
          <w:lang w:eastAsia="de-DE"/>
        </w:rPr>
        <w:t>remuneration is to be regarded as income from employment for the purposes of the relevant provision</w:t>
      </w:r>
      <w:r>
        <w:rPr>
          <w:lang w:eastAsia="de-DE"/>
        </w:rPr>
        <w:t>s</w:t>
      </w:r>
      <w:r w:rsidRPr="00635E07">
        <w:rPr>
          <w:lang w:eastAsia="de-DE"/>
        </w:rPr>
        <w:t xml:space="preserve"> of the Income Tax Act</w:t>
      </w:r>
      <w:r>
        <w:rPr>
          <w:lang w:eastAsia="de-DE"/>
        </w:rPr>
        <w:t>,</w:t>
      </w:r>
      <w:r w:rsidRPr="00262C8A">
        <w:rPr>
          <w:lang w:val="en-US"/>
        </w:rPr>
        <w:t xml:space="preserve"> which is a matter for the domestic courts.</w:t>
      </w:r>
    </w:p>
    <w:p w14:paraId="75C93550" w14:textId="77777777" w:rsidR="00AD110A" w:rsidRDefault="00AD110A" w:rsidP="00AD110A">
      <w:pPr>
        <w:pStyle w:val="SingleTxtG"/>
      </w:pPr>
      <w:r>
        <w:rPr>
          <w:lang w:val="en-US"/>
        </w:rPr>
        <w:t>9</w:t>
      </w:r>
      <w:r>
        <w:t>.14</w:t>
      </w:r>
      <w:r>
        <w:tab/>
        <w:t xml:space="preserve">At this juncture, the Committee recalls that it is generally for the organs of States parties to the Covenant to review and evaluate facts and evidence, unless it can be established that such evaluation was clearly arbitrary or otherwise amounted to a denial of justice. In such circumstances and in view of the fact that nothing has been brought before it to conclude otherwise, the Committee considers that the author failed to demonstrate that, as regards her eligibility to tax exemption under the relevant laws, the evaluation of the domestic authorities was clearly arbitrary or otherwise amounted to a denial of justice in a way constituting differential treatment contrary to article 26 of the Covenant. </w:t>
      </w:r>
    </w:p>
    <w:p w14:paraId="430F2397" w14:textId="77777777" w:rsidR="00AD110A" w:rsidRDefault="00AD110A" w:rsidP="00AD110A">
      <w:pPr>
        <w:pStyle w:val="SingleTxtG"/>
      </w:pPr>
      <w:r>
        <w:t>9.15</w:t>
      </w:r>
      <w:r>
        <w:tab/>
        <w:t>The Committee thus declares this part of the communication inadmissible for lack of substantiation as per article 2 of the Optional Protocol.</w:t>
      </w:r>
    </w:p>
    <w:p w14:paraId="36D5367E" w14:textId="412B7542" w:rsidR="00AD110A" w:rsidRDefault="00AD110A" w:rsidP="00AD110A">
      <w:pPr>
        <w:pStyle w:val="SingleTxtG"/>
        <w:rPr>
          <w:lang w:eastAsia="de-DE"/>
        </w:rPr>
      </w:pPr>
      <w:r>
        <w:t>9.16</w:t>
      </w:r>
      <w:r>
        <w:tab/>
      </w:r>
      <w:r w:rsidRPr="00635E07">
        <w:rPr>
          <w:lang w:eastAsia="de-DE"/>
        </w:rPr>
        <w:t xml:space="preserve">The </w:t>
      </w:r>
      <w:r>
        <w:rPr>
          <w:lang w:eastAsia="de-DE"/>
        </w:rPr>
        <w:t>Committee further notes</w:t>
      </w:r>
      <w:r w:rsidRPr="00635E07">
        <w:rPr>
          <w:lang w:eastAsia="de-DE"/>
        </w:rPr>
        <w:t xml:space="preserve"> the author</w:t>
      </w:r>
      <w:r w:rsidR="00F60712">
        <w:rPr>
          <w:lang w:eastAsia="de-DE"/>
        </w:rPr>
        <w:t>’</w:t>
      </w:r>
      <w:r w:rsidRPr="00635E07">
        <w:rPr>
          <w:lang w:eastAsia="de-DE"/>
        </w:rPr>
        <w:t xml:space="preserve">s claim that her alleged differential treatment </w:t>
      </w:r>
      <w:r>
        <w:rPr>
          <w:lang w:eastAsia="de-DE"/>
        </w:rPr>
        <w:t xml:space="preserve">could impair the image of the </w:t>
      </w:r>
      <w:r w:rsidRPr="00635E07">
        <w:rPr>
          <w:lang w:eastAsia="de-DE"/>
        </w:rPr>
        <w:t>Order</w:t>
      </w:r>
      <w:r>
        <w:rPr>
          <w:lang w:eastAsia="de-DE"/>
        </w:rPr>
        <w:t>,</w:t>
      </w:r>
      <w:r w:rsidRPr="00635E07">
        <w:rPr>
          <w:lang w:eastAsia="de-DE"/>
        </w:rPr>
        <w:t xml:space="preserve"> therefore result</w:t>
      </w:r>
      <w:r>
        <w:rPr>
          <w:lang w:eastAsia="de-DE"/>
        </w:rPr>
        <w:t>ing</w:t>
      </w:r>
      <w:r w:rsidRPr="00635E07">
        <w:rPr>
          <w:lang w:eastAsia="de-DE"/>
        </w:rPr>
        <w:t xml:space="preserve"> in the impairment of her right to manifest her religion under article 18</w:t>
      </w:r>
      <w:r>
        <w:rPr>
          <w:lang w:eastAsia="de-DE"/>
        </w:rPr>
        <w:t xml:space="preserve"> of the Covenant</w:t>
      </w:r>
      <w:r w:rsidRPr="00635E07">
        <w:rPr>
          <w:lang w:eastAsia="de-DE"/>
        </w:rPr>
        <w:t>.</w:t>
      </w:r>
      <w:r w:rsidRPr="00635E07">
        <w:t xml:space="preserve"> </w:t>
      </w:r>
      <w:r>
        <w:t>The Committee also notes the author</w:t>
      </w:r>
      <w:r w:rsidR="00F60712">
        <w:t>’</w:t>
      </w:r>
      <w:r>
        <w:t xml:space="preserve">s claim that the </w:t>
      </w:r>
      <w:r w:rsidRPr="00635E07">
        <w:rPr>
          <w:lang w:eastAsia="de-DE"/>
        </w:rPr>
        <w:t>imposed tax burden</w:t>
      </w:r>
      <w:r>
        <w:rPr>
          <w:lang w:eastAsia="de-DE"/>
        </w:rPr>
        <w:t>, irrespective of its discriminatory nature,</w:t>
      </w:r>
      <w:r w:rsidRPr="00635E07">
        <w:rPr>
          <w:lang w:eastAsia="de-DE"/>
        </w:rPr>
        <w:t xml:space="preserve"> is disproportionate</w:t>
      </w:r>
      <w:r>
        <w:rPr>
          <w:lang w:eastAsia="de-DE"/>
        </w:rPr>
        <w:t>,</w:t>
      </w:r>
      <w:r w:rsidRPr="00635E07">
        <w:rPr>
          <w:lang w:eastAsia="de-DE"/>
        </w:rPr>
        <w:t xml:space="preserve"> and </w:t>
      </w:r>
      <w:r>
        <w:rPr>
          <w:lang w:eastAsia="de-DE"/>
        </w:rPr>
        <w:t xml:space="preserve">that </w:t>
      </w:r>
      <w:r w:rsidRPr="00635E07">
        <w:rPr>
          <w:lang w:eastAsia="de-DE"/>
        </w:rPr>
        <w:t xml:space="preserve">it has a detrimental effect on the manifestation of </w:t>
      </w:r>
      <w:r>
        <w:rPr>
          <w:lang w:eastAsia="de-DE"/>
        </w:rPr>
        <w:t>her</w:t>
      </w:r>
      <w:r w:rsidRPr="00635E07">
        <w:rPr>
          <w:lang w:eastAsia="de-DE"/>
        </w:rPr>
        <w:t xml:space="preserve"> religious belief</w:t>
      </w:r>
      <w:r>
        <w:rPr>
          <w:lang w:eastAsia="de-DE"/>
        </w:rPr>
        <w:t xml:space="preserve">. The Committee notes that the State party rejects these claims primarily because they do not raise a separate issue under article 18 of the Covenant, and because even if there had been an interference, this was prescribed by law, pursued a legitimate aim and was proportionate to the aim pursued. </w:t>
      </w:r>
    </w:p>
    <w:p w14:paraId="2C984310" w14:textId="04CE58AC" w:rsidR="00AD110A" w:rsidRDefault="00AD110A" w:rsidP="00AD110A">
      <w:pPr>
        <w:pStyle w:val="SingleTxtG"/>
      </w:pPr>
      <w:r>
        <w:rPr>
          <w:lang w:eastAsia="de-DE"/>
        </w:rPr>
        <w:t>9.17</w:t>
      </w:r>
      <w:r>
        <w:rPr>
          <w:lang w:eastAsia="de-DE"/>
        </w:rPr>
        <w:tab/>
        <w:t xml:space="preserve">In the assessment of these claims, the Committee first recalls its jurisprudence, applicable mutatis mutandis to the present case, establishing that </w:t>
      </w:r>
      <w:r>
        <w:t>the Covenant does not oblige States parties to fund schools that are established on a religious basis.</w:t>
      </w:r>
      <w:r w:rsidRPr="00FE0042">
        <w:t xml:space="preserve"> </w:t>
      </w:r>
      <w:r>
        <w:t>However, if a State party chooses to provide public funding to religious schools, it should make this funding available without discrimination.</w:t>
      </w:r>
      <w:r>
        <w:rPr>
          <w:rStyle w:val="FootnoteReference"/>
        </w:rPr>
        <w:footnoteReference w:id="31"/>
      </w:r>
      <w:r>
        <w:t xml:space="preserve"> Similarly, the Committee considers that the Covenant does not oblige States parties to grant tax exemptions on a religious basis. Therefore, and in the light of the fact that the author</w:t>
      </w:r>
      <w:r w:rsidR="00F60712">
        <w:t>’</w:t>
      </w:r>
      <w:r>
        <w:t>s discrimination claims were found not to have been sufficiently substantiated</w:t>
      </w:r>
      <w:r w:rsidRPr="009D54A5">
        <w:t xml:space="preserve"> </w:t>
      </w:r>
      <w:r>
        <w:t>under article 26 of the Covenant, and further considering that it has not been demonstrated how the author</w:t>
      </w:r>
      <w:r w:rsidR="00F60712">
        <w:t>’</w:t>
      </w:r>
      <w:r>
        <w:t>s tax payment obligation interfered with her right to manifest her religion, the Committee considers that the author</w:t>
      </w:r>
      <w:r w:rsidR="00F60712">
        <w:t>’</w:t>
      </w:r>
      <w:r>
        <w:t>s claims lack sufficient substantiation under article 18 of the Covenant.</w:t>
      </w:r>
    </w:p>
    <w:p w14:paraId="685174A2" w14:textId="72E33E9F" w:rsidR="00AD110A" w:rsidRDefault="00AD110A" w:rsidP="00AD110A">
      <w:pPr>
        <w:pStyle w:val="SingleTxtG"/>
        <w:rPr>
          <w:lang w:eastAsia="de-DE"/>
        </w:rPr>
      </w:pPr>
      <w:r>
        <w:t>9.18</w:t>
      </w:r>
      <w:r>
        <w:tab/>
        <w:t>The Committee is further mindful of the author</w:t>
      </w:r>
      <w:r w:rsidR="00F60712">
        <w:t>’</w:t>
      </w:r>
      <w:r>
        <w:t xml:space="preserve">s claim that </w:t>
      </w:r>
      <w:r w:rsidRPr="00635E07">
        <w:rPr>
          <w:lang w:eastAsia="de-DE"/>
        </w:rPr>
        <w:t>labelling her as an employee working for pecuniary gain is deeply offensive to her religious beliefs</w:t>
      </w:r>
      <w:r>
        <w:rPr>
          <w:lang w:eastAsia="de-DE"/>
        </w:rPr>
        <w:t>. In that regard, the Committee observes that the author failed to show how the secular, legal categorization of her allowance that applied to everyone affected her adversely or caused her disadvantage to an extent that impaired her right to manifest her religion.</w:t>
      </w:r>
    </w:p>
    <w:p w14:paraId="17F4510E" w14:textId="77777777" w:rsidR="00AD110A" w:rsidRDefault="00AD110A" w:rsidP="00AD110A">
      <w:pPr>
        <w:pStyle w:val="SingleTxtG"/>
        <w:rPr>
          <w:lang w:eastAsia="de-DE"/>
        </w:rPr>
      </w:pPr>
      <w:r>
        <w:rPr>
          <w:lang w:eastAsia="de-DE"/>
        </w:rPr>
        <w:t>10.</w:t>
      </w:r>
      <w:r>
        <w:rPr>
          <w:lang w:eastAsia="de-DE"/>
        </w:rPr>
        <w:tab/>
      </w:r>
      <w:r>
        <w:t>The Committee therefore decides:</w:t>
      </w:r>
    </w:p>
    <w:p w14:paraId="12D656A3" w14:textId="50F3C149" w:rsidR="00AD110A" w:rsidRDefault="00851F16" w:rsidP="00851F16">
      <w:pPr>
        <w:pStyle w:val="SingleTxtG"/>
      </w:pPr>
      <w:r>
        <w:tab/>
      </w:r>
      <w:r w:rsidR="00AD110A">
        <w:t>(a)</w:t>
      </w:r>
      <w:r w:rsidR="00AD110A">
        <w:tab/>
        <w:t>That the communication is inadmissible under articles 2, 3 and 5 (2) (a) of the Optional Protocol;</w:t>
      </w:r>
    </w:p>
    <w:p w14:paraId="43C668CE" w14:textId="324AE184" w:rsidR="00AD110A" w:rsidRDefault="00851F16" w:rsidP="00851F16">
      <w:pPr>
        <w:pStyle w:val="SingleTxtG"/>
      </w:pPr>
      <w:r>
        <w:tab/>
      </w:r>
      <w:r w:rsidR="00AD110A">
        <w:t>(b)</w:t>
      </w:r>
      <w:r w:rsidR="00AD110A">
        <w:tab/>
        <w:t>That the present decision shall be transmitted to the State party and to the author.</w:t>
      </w:r>
    </w:p>
    <w:p w14:paraId="2DAF8C84" w14:textId="77777777" w:rsidR="00AD110A" w:rsidRDefault="00AD110A" w:rsidP="00AD110A">
      <w:pPr>
        <w:pStyle w:val="SingleTxtG"/>
        <w:spacing w:before="240" w:after="0"/>
        <w:jc w:val="center"/>
        <w:rPr>
          <w:u w:val="single"/>
        </w:rPr>
      </w:pPr>
      <w:r>
        <w:rPr>
          <w:u w:val="single"/>
        </w:rPr>
        <w:tab/>
      </w:r>
      <w:r>
        <w:rPr>
          <w:u w:val="single"/>
        </w:rPr>
        <w:tab/>
      </w:r>
      <w:r>
        <w:rPr>
          <w:u w:val="single"/>
        </w:rPr>
        <w:tab/>
      </w:r>
      <w:r>
        <w:rPr>
          <w:u w:val="single"/>
        </w:rPr>
        <w:tab/>
      </w:r>
    </w:p>
    <w:sectPr w:rsidR="00AD110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18FC" w14:textId="77777777" w:rsidR="00F32C5E" w:rsidRPr="00B903E5" w:rsidRDefault="00F32C5E" w:rsidP="00B903E5">
      <w:pPr>
        <w:pStyle w:val="Footer"/>
      </w:pPr>
    </w:p>
  </w:endnote>
  <w:endnote w:type="continuationSeparator" w:id="0">
    <w:p w14:paraId="4B50ADE2" w14:textId="77777777" w:rsidR="00F32C5E" w:rsidRPr="00B903E5" w:rsidRDefault="00F32C5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57E5" w14:textId="26842AA6" w:rsidR="00B1164C" w:rsidRDefault="00B1164C" w:rsidP="00112A6C">
    <w:pPr>
      <w:pStyle w:val="Footer"/>
      <w:tabs>
        <w:tab w:val="right" w:pos="9638"/>
      </w:tabs>
    </w:pPr>
    <w:r w:rsidRPr="00B1164C">
      <w:rPr>
        <w:b/>
        <w:bCs/>
        <w:sz w:val="18"/>
      </w:rPr>
      <w:fldChar w:fldCharType="begin"/>
    </w:r>
    <w:r w:rsidRPr="00B1164C">
      <w:rPr>
        <w:b/>
        <w:bCs/>
        <w:sz w:val="18"/>
      </w:rPr>
      <w:instrText xml:space="preserve"> PAGE  \* MERGEFORMAT </w:instrText>
    </w:r>
    <w:r w:rsidRPr="00B1164C">
      <w:rPr>
        <w:b/>
        <w:bCs/>
        <w:sz w:val="18"/>
      </w:rPr>
      <w:fldChar w:fldCharType="separate"/>
    </w:r>
    <w:r w:rsidR="00C3035A">
      <w:rPr>
        <w:b/>
        <w:bCs/>
        <w:noProof/>
        <w:sz w:val="18"/>
      </w:rPr>
      <w:t>14</w:t>
    </w:r>
    <w:r w:rsidRPr="00B116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A4C2" w14:textId="11737826" w:rsidR="00B1164C" w:rsidRDefault="00B1164C" w:rsidP="00B1164C">
    <w:pPr>
      <w:pStyle w:val="Footer"/>
      <w:tabs>
        <w:tab w:val="right" w:pos="9638"/>
      </w:tabs>
    </w:pPr>
    <w:r>
      <w:tab/>
    </w:r>
    <w:r w:rsidRPr="00B1164C">
      <w:rPr>
        <w:b/>
        <w:bCs/>
        <w:sz w:val="18"/>
      </w:rPr>
      <w:fldChar w:fldCharType="begin"/>
    </w:r>
    <w:r w:rsidRPr="00B1164C">
      <w:rPr>
        <w:b/>
        <w:bCs/>
        <w:sz w:val="18"/>
      </w:rPr>
      <w:instrText xml:space="preserve"> PAGE  \* MERGEFORMAT </w:instrText>
    </w:r>
    <w:r w:rsidRPr="00B1164C">
      <w:rPr>
        <w:b/>
        <w:bCs/>
        <w:sz w:val="18"/>
      </w:rPr>
      <w:fldChar w:fldCharType="separate"/>
    </w:r>
    <w:r w:rsidR="00C3035A">
      <w:rPr>
        <w:b/>
        <w:bCs/>
        <w:noProof/>
        <w:sz w:val="18"/>
      </w:rPr>
      <w:t>13</w:t>
    </w:r>
    <w:r w:rsidRPr="00B116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2597" w14:textId="04CBDBC6" w:rsidR="00140DB4" w:rsidRDefault="00140DB4" w:rsidP="00140DB4">
    <w:pPr>
      <w:pStyle w:val="Footer"/>
    </w:pPr>
    <w:r w:rsidRPr="0027112F">
      <w:rPr>
        <w:noProof/>
        <w:lang w:val="en-US"/>
      </w:rPr>
      <w:drawing>
        <wp:anchor distT="0" distB="0" distL="114300" distR="114300" simplePos="0" relativeHeight="251659264" behindDoc="0" locked="1" layoutInCell="1" allowOverlap="1" wp14:anchorId="61EF1A10" wp14:editId="2CC7B7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BAEFE8" w14:textId="69749806" w:rsidR="00140DB4" w:rsidRPr="00140DB4" w:rsidRDefault="00140DB4" w:rsidP="00140DB4">
    <w:pPr>
      <w:pStyle w:val="Footer"/>
      <w:ind w:right="1134"/>
      <w:rPr>
        <w:sz w:val="20"/>
      </w:rPr>
    </w:pPr>
    <w:r>
      <w:rPr>
        <w:sz w:val="20"/>
      </w:rPr>
      <w:t>GE.21-01383(E)</w:t>
    </w:r>
    <w:r>
      <w:rPr>
        <w:noProof/>
        <w:sz w:val="20"/>
      </w:rPr>
      <w:drawing>
        <wp:anchor distT="0" distB="0" distL="114300" distR="114300" simplePos="0" relativeHeight="251660288" behindDoc="0" locked="0" layoutInCell="1" allowOverlap="1" wp14:anchorId="32AB371F" wp14:editId="51FBC58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9443" w14:textId="77777777" w:rsidR="00F32C5E" w:rsidRPr="00B903E5" w:rsidRDefault="00F32C5E" w:rsidP="00B903E5">
      <w:pPr>
        <w:tabs>
          <w:tab w:val="right" w:pos="2155"/>
        </w:tabs>
        <w:spacing w:after="80" w:line="240" w:lineRule="auto"/>
        <w:ind w:left="680"/>
      </w:pPr>
      <w:r>
        <w:rPr>
          <w:u w:val="single"/>
        </w:rPr>
        <w:tab/>
      </w:r>
    </w:p>
  </w:footnote>
  <w:footnote w:type="continuationSeparator" w:id="0">
    <w:p w14:paraId="73360C68" w14:textId="77777777" w:rsidR="00F32C5E" w:rsidRPr="00B903E5" w:rsidRDefault="00F32C5E" w:rsidP="00B903E5">
      <w:pPr>
        <w:tabs>
          <w:tab w:val="right" w:pos="2155"/>
        </w:tabs>
        <w:spacing w:after="80" w:line="240" w:lineRule="auto"/>
        <w:ind w:left="680"/>
      </w:pPr>
      <w:r>
        <w:rPr>
          <w:u w:val="single"/>
        </w:rPr>
        <w:tab/>
      </w:r>
    </w:p>
  </w:footnote>
  <w:footnote w:id="1">
    <w:p w14:paraId="42AE6A16" w14:textId="77777777" w:rsidR="00AD110A" w:rsidRPr="00E81059" w:rsidRDefault="00AD110A" w:rsidP="00AD110A">
      <w:pPr>
        <w:pStyle w:val="FootnoteText"/>
      </w:pPr>
      <w:r w:rsidRPr="00E81059">
        <w:rPr>
          <w:rStyle w:val="FootnoteReference"/>
          <w:sz w:val="20"/>
          <w:vertAlign w:val="baseline"/>
        </w:rPr>
        <w:tab/>
        <w:t>*</w:t>
      </w:r>
      <w:r w:rsidRPr="00E81059">
        <w:rPr>
          <w:rStyle w:val="FootnoteReference"/>
        </w:rPr>
        <w:tab/>
      </w:r>
      <w:r w:rsidRPr="00E81059">
        <w:rPr>
          <w:szCs w:val="18"/>
        </w:rPr>
        <w:t>Adopted by the Committee at its 129th session (29 June–24 July 2020).</w:t>
      </w:r>
    </w:p>
  </w:footnote>
  <w:footnote w:id="2">
    <w:p w14:paraId="3828A86E" w14:textId="77777777" w:rsidR="00AD110A" w:rsidRPr="00E81059" w:rsidRDefault="00AD110A" w:rsidP="00AD110A">
      <w:pPr>
        <w:pStyle w:val="FootnoteText"/>
      </w:pPr>
      <w:r w:rsidRPr="00E81059">
        <w:rPr>
          <w:rStyle w:val="FootnoteReference"/>
          <w:sz w:val="20"/>
          <w:vertAlign w:val="baseline"/>
        </w:rPr>
        <w:tab/>
        <w:t>**</w:t>
      </w:r>
      <w:r w:rsidRPr="00E81059">
        <w:rPr>
          <w:rStyle w:val="FootnoteReference"/>
          <w:sz w:val="20"/>
          <w:vertAlign w:val="baseline"/>
        </w:rPr>
        <w:tab/>
      </w:r>
      <w:r w:rsidRPr="00E81059">
        <w:rPr>
          <w:szCs w:val="18"/>
        </w:rPr>
        <w:t>The following members of the Committee participated in the examination of the communication: Tania María Abdo Rocholl, Yadh Ben Achour, Arif Bulkan, Ahmed Amin Fathalla, Furuya Shuichi, Bamariam Koita, Marcia V.J. Kran, Duncan Laki Muhumuza, Photini Pazartzis, Hernán Quezada Cabrera, Vasilka Sancin, José Manuel Santos Pais, Yuval Shany, Hélène Tigroudja, Andreas Zimmermann and Gentian Zyberi</w:t>
      </w:r>
      <w:r w:rsidRPr="00E81059">
        <w:rPr>
          <w:bCs/>
          <w:szCs w:val="18"/>
        </w:rPr>
        <w:t>.</w:t>
      </w:r>
    </w:p>
  </w:footnote>
  <w:footnote w:id="3">
    <w:p w14:paraId="0AD26705" w14:textId="46F44B4E" w:rsidR="00AD110A" w:rsidRPr="00E81059" w:rsidRDefault="00AD110A" w:rsidP="00AD110A">
      <w:pPr>
        <w:pStyle w:val="FootnoteText"/>
      </w:pPr>
      <w:r w:rsidRPr="00E81059">
        <w:rPr>
          <w:sz w:val="20"/>
        </w:rPr>
        <w:tab/>
      </w:r>
      <w:r w:rsidRPr="00E81059">
        <w:rPr>
          <w:rStyle w:val="FootnoteReference"/>
        </w:rPr>
        <w:footnoteRef/>
      </w:r>
      <w:r w:rsidRPr="00E81059">
        <w:tab/>
      </w:r>
      <w:r w:rsidRPr="00E81059">
        <w:tab/>
      </w:r>
      <w:r w:rsidRPr="00E81059">
        <w:rPr>
          <w:lang w:eastAsia="de-DE"/>
        </w:rPr>
        <w:t xml:space="preserve">In Sweden, the Order is administered by the registered religious organization </w:t>
      </w:r>
      <w:r w:rsidRPr="00E81059">
        <w:rPr>
          <w:i/>
          <w:iCs/>
          <w:lang w:eastAsia="de-DE"/>
        </w:rPr>
        <w:t>Jehovas Vittnen</w:t>
      </w:r>
      <w:r w:rsidRPr="00E81059">
        <w:rPr>
          <w:lang w:eastAsia="de-DE"/>
        </w:rPr>
        <w:t xml:space="preserve"> (Jehovah</w:t>
      </w:r>
      <w:r w:rsidR="00F60712" w:rsidRPr="00E81059">
        <w:rPr>
          <w:lang w:eastAsia="de-DE"/>
        </w:rPr>
        <w:t>’</w:t>
      </w:r>
      <w:r w:rsidRPr="00E81059">
        <w:rPr>
          <w:lang w:eastAsia="de-DE"/>
        </w:rPr>
        <w:t>s Witnesses). Only a tiny fraction of Jehovah</w:t>
      </w:r>
      <w:r w:rsidR="00F60712" w:rsidRPr="00E81059">
        <w:rPr>
          <w:lang w:eastAsia="de-DE"/>
        </w:rPr>
        <w:t>’</w:t>
      </w:r>
      <w:r w:rsidRPr="00E81059">
        <w:rPr>
          <w:lang w:eastAsia="de-DE"/>
        </w:rPr>
        <w:t>s Witnesses are members of the Order. In 2012, out of 22,000 Jehovah</w:t>
      </w:r>
      <w:r w:rsidR="00F60712" w:rsidRPr="00E81059">
        <w:rPr>
          <w:lang w:eastAsia="de-DE"/>
        </w:rPr>
        <w:t>’</w:t>
      </w:r>
      <w:r w:rsidRPr="00E81059">
        <w:rPr>
          <w:lang w:eastAsia="de-DE"/>
        </w:rPr>
        <w:t>s Witnesses, only 75 were members of the Order living at the Bethel.</w:t>
      </w:r>
    </w:p>
  </w:footnote>
  <w:footnote w:id="4">
    <w:p w14:paraId="44C6E33D" w14:textId="77777777" w:rsidR="00AD110A" w:rsidRPr="00E81059" w:rsidRDefault="00AD110A" w:rsidP="00AD110A">
      <w:pPr>
        <w:pStyle w:val="FootnoteText"/>
      </w:pPr>
      <w:r w:rsidRPr="00E81059">
        <w:rPr>
          <w:lang w:eastAsia="de-DE"/>
        </w:rPr>
        <w:tab/>
      </w:r>
      <w:r w:rsidRPr="00E81059">
        <w:rPr>
          <w:vertAlign w:val="superscript"/>
          <w:lang w:eastAsia="de-DE"/>
        </w:rPr>
        <w:footnoteRef/>
      </w:r>
      <w:r w:rsidRPr="00E81059">
        <w:rPr>
          <w:vertAlign w:val="superscript"/>
          <w:lang w:eastAsia="de-DE"/>
        </w:rPr>
        <w:t xml:space="preserve"> </w:t>
      </w:r>
      <w:r w:rsidRPr="00E81059">
        <w:rPr>
          <w:vertAlign w:val="superscript"/>
          <w:lang w:eastAsia="de-DE"/>
        </w:rPr>
        <w:tab/>
      </w:r>
      <w:r w:rsidRPr="00E81059">
        <w:rPr>
          <w:lang w:eastAsia="de-DE"/>
        </w:rPr>
        <w:tab/>
        <w:t>Equivalent to approximately $11,021 on 17 December 2015. In its observations of 22 February 2018, the State party submits that in fact, the Tax Agency valued the allowance afforded to the author at 87,001 Swedish kronor ($10,170).</w:t>
      </w:r>
    </w:p>
  </w:footnote>
  <w:footnote w:id="5">
    <w:p w14:paraId="1D086C63" w14:textId="77777777" w:rsidR="00AD110A" w:rsidRPr="00E81059" w:rsidRDefault="00AD110A" w:rsidP="00AD110A">
      <w:pPr>
        <w:pStyle w:val="FootnoteText"/>
      </w:pPr>
      <w:r w:rsidRPr="00E81059">
        <w:tab/>
      </w:r>
      <w:r w:rsidRPr="00E81059">
        <w:rPr>
          <w:rStyle w:val="FootnoteReference"/>
        </w:rPr>
        <w:footnoteRef/>
      </w:r>
      <w:r w:rsidRPr="00E81059">
        <w:tab/>
        <w:t xml:space="preserve">The author refers to </w:t>
      </w:r>
      <w:r w:rsidRPr="00E81059">
        <w:rPr>
          <w:i/>
          <w:lang w:eastAsia="de-DE"/>
        </w:rPr>
        <w:t>M.A. v. the Swedish Tax Agency</w:t>
      </w:r>
      <w:r w:rsidRPr="00E81059">
        <w:rPr>
          <w:iCs/>
          <w:lang w:eastAsia="de-DE"/>
        </w:rPr>
        <w:t>,</w:t>
      </w:r>
      <w:r w:rsidRPr="00E81059">
        <w:rPr>
          <w:lang w:eastAsia="de-DE"/>
        </w:rPr>
        <w:t xml:space="preserve"> decision No. 123-10/D, dated 10 May 2011.</w:t>
      </w:r>
    </w:p>
  </w:footnote>
  <w:footnote w:id="6">
    <w:p w14:paraId="6732C18B" w14:textId="5CBC7DF8" w:rsidR="00AD110A" w:rsidRPr="00E81059" w:rsidRDefault="00AD110A" w:rsidP="00AD110A">
      <w:pPr>
        <w:pStyle w:val="FootnoteText"/>
      </w:pPr>
      <w:r w:rsidRPr="00E81059">
        <w:tab/>
      </w:r>
      <w:r w:rsidRPr="00E81059">
        <w:rPr>
          <w:rStyle w:val="FootnoteReference"/>
        </w:rPr>
        <w:footnoteRef/>
      </w:r>
      <w:r w:rsidRPr="00E81059">
        <w:tab/>
        <w:t xml:space="preserve">The author </w:t>
      </w:r>
      <w:proofErr w:type="gramStart"/>
      <w:r w:rsidRPr="00E81059">
        <w:t>makes reference</w:t>
      </w:r>
      <w:proofErr w:type="gramEnd"/>
      <w:r w:rsidRPr="00E81059">
        <w:t xml:space="preserve"> to several judgments of the European Court of Human Rights. </w:t>
      </w:r>
      <w:r w:rsidRPr="00140DB4">
        <w:rPr>
          <w:lang w:val="fr-CH"/>
        </w:rPr>
        <w:t xml:space="preserve">See, inter alia, </w:t>
      </w:r>
      <w:r w:rsidRPr="00140DB4">
        <w:rPr>
          <w:i/>
          <w:lang w:val="fr-CH"/>
        </w:rPr>
        <w:t>Association Les Témoins de Jéhovah v. France</w:t>
      </w:r>
      <w:r w:rsidRPr="00140DB4">
        <w:rPr>
          <w:lang w:val="fr-CH"/>
        </w:rPr>
        <w:t xml:space="preserve"> (application No. 8916/05), judgment of 30 June 2011, para. </w:t>
      </w:r>
      <w:r w:rsidRPr="00E81059">
        <w:t xml:space="preserve">66 (in French); </w:t>
      </w:r>
      <w:r w:rsidRPr="00E81059">
        <w:rPr>
          <w:i/>
        </w:rPr>
        <w:t>Maestri v. Italy</w:t>
      </w:r>
      <w:r w:rsidRPr="00E81059">
        <w:t xml:space="preserve"> (application No. 39748/98), judgment of 17 February 2004, para. 30.</w:t>
      </w:r>
    </w:p>
  </w:footnote>
  <w:footnote w:id="7">
    <w:p w14:paraId="2137D873" w14:textId="6C3BF3E7" w:rsidR="00AD110A" w:rsidRPr="00E81059" w:rsidRDefault="00AD110A" w:rsidP="00AD110A">
      <w:pPr>
        <w:pStyle w:val="FootnoteText"/>
      </w:pPr>
      <w:r w:rsidRPr="00E81059">
        <w:rPr>
          <w:vertAlign w:val="superscript"/>
        </w:rPr>
        <w:tab/>
      </w:r>
      <w:r w:rsidRPr="00E81059">
        <w:rPr>
          <w:vertAlign w:val="superscript"/>
        </w:rPr>
        <w:footnoteRef/>
      </w:r>
      <w:r w:rsidRPr="00E81059">
        <w:tab/>
        <w:t>The author indicates that the European Court of Human Rights concluded that Jehovah</w:t>
      </w:r>
      <w:r w:rsidR="00F60712" w:rsidRPr="00E81059">
        <w:t>’</w:t>
      </w:r>
      <w:r w:rsidRPr="00E81059">
        <w:t>s Witnesses who had carried out religious service at the Bethel community centre were not employees of the centre but unpaid volunteers and that they did not work there for material gain (application No.</w:t>
      </w:r>
      <w:r w:rsidR="003B014F">
        <w:t xml:space="preserve"> </w:t>
      </w:r>
      <w:r w:rsidRPr="00E81059">
        <w:t xml:space="preserve">8916/05, judgment of 30 June 2011). </w:t>
      </w:r>
    </w:p>
  </w:footnote>
  <w:footnote w:id="8">
    <w:p w14:paraId="76777D47" w14:textId="77777777" w:rsidR="00AD110A" w:rsidRPr="00C3035A" w:rsidRDefault="00AD110A" w:rsidP="00AD110A">
      <w:pPr>
        <w:pStyle w:val="FootnoteText"/>
        <w:rPr>
          <w:lang w:val="es-ES"/>
        </w:rPr>
      </w:pPr>
      <w:r w:rsidRPr="00E81059">
        <w:tab/>
      </w:r>
      <w:r w:rsidRPr="00E81059">
        <w:rPr>
          <w:rStyle w:val="FootnoteReference"/>
          <w:szCs w:val="18"/>
        </w:rPr>
        <w:footnoteRef/>
      </w:r>
      <w:r w:rsidRPr="00E81059">
        <w:tab/>
        <w:t xml:space="preserve">The author refers to the cases of </w:t>
      </w:r>
      <w:r w:rsidRPr="00E81059">
        <w:rPr>
          <w:i/>
          <w:iCs/>
        </w:rPr>
        <w:t>Puertas v. Spain</w:t>
      </w:r>
      <w:r w:rsidRPr="00E81059">
        <w:t xml:space="preserve"> (CCPR/C/107/D/1945/2010), para. </w:t>
      </w:r>
      <w:r w:rsidRPr="00C3035A">
        <w:rPr>
          <w:lang w:val="es-ES"/>
        </w:rPr>
        <w:t xml:space="preserve">7.3; and </w:t>
      </w:r>
      <w:r w:rsidRPr="00C3035A">
        <w:rPr>
          <w:i/>
          <w:iCs/>
          <w:lang w:val="es-ES"/>
        </w:rPr>
        <w:t>Mahabir v. Austria</w:t>
      </w:r>
      <w:r w:rsidRPr="00C3035A">
        <w:rPr>
          <w:lang w:val="es-ES"/>
        </w:rPr>
        <w:t xml:space="preserve"> (CCPR/C/82/D/944/2000), para. 8.3. </w:t>
      </w:r>
    </w:p>
  </w:footnote>
  <w:footnote w:id="9">
    <w:p w14:paraId="610E1443" w14:textId="4F2F511F" w:rsidR="00AD110A" w:rsidRPr="00E81059" w:rsidRDefault="00AD110A" w:rsidP="00AD110A">
      <w:pPr>
        <w:pStyle w:val="FootnoteText"/>
      </w:pPr>
      <w:r w:rsidRPr="00C3035A">
        <w:rPr>
          <w:lang w:val="es-ES"/>
        </w:rPr>
        <w:tab/>
      </w:r>
      <w:r w:rsidRPr="00E81059">
        <w:rPr>
          <w:rStyle w:val="FootnoteReference"/>
        </w:rPr>
        <w:footnoteRef/>
      </w:r>
      <w:r w:rsidRPr="00C3035A">
        <w:rPr>
          <w:lang w:val="es-ES"/>
        </w:rPr>
        <w:tab/>
      </w:r>
      <w:r w:rsidRPr="00C3035A">
        <w:rPr>
          <w:i/>
          <w:iCs/>
          <w:lang w:val="es-ES"/>
        </w:rPr>
        <w:t>Puertas v. Spain</w:t>
      </w:r>
      <w:r w:rsidRPr="00C3035A">
        <w:rPr>
          <w:lang w:val="es-ES"/>
        </w:rPr>
        <w:t xml:space="preserve"> (CCPR/C/107/D/1945/2010), para. </w:t>
      </w:r>
      <w:r w:rsidRPr="00E81059">
        <w:t>7.3.</w:t>
      </w:r>
      <w:r w:rsidR="00F60712" w:rsidRPr="00E81059">
        <w:t xml:space="preserve"> </w:t>
      </w:r>
    </w:p>
  </w:footnote>
  <w:footnote w:id="10">
    <w:p w14:paraId="742C37C3" w14:textId="72443C08" w:rsidR="00AD110A" w:rsidRPr="00E81059" w:rsidRDefault="00AD110A" w:rsidP="00AD110A">
      <w:pPr>
        <w:pStyle w:val="FootnoteText"/>
      </w:pPr>
      <w:r w:rsidRPr="00E81059">
        <w:tab/>
      </w:r>
      <w:r w:rsidRPr="00E81059">
        <w:rPr>
          <w:vertAlign w:val="superscript"/>
        </w:rPr>
        <w:footnoteRef/>
      </w:r>
      <w:r w:rsidRPr="00E81059">
        <w:tab/>
        <w:t>Chapters 8, 10 and 11 of the Income Tax Act of Sweden of 1999, which entered into force on 1 January 2000.</w:t>
      </w:r>
    </w:p>
  </w:footnote>
  <w:footnote w:id="11">
    <w:p w14:paraId="5F64237B" w14:textId="6AAAF68E" w:rsidR="00AD110A" w:rsidRPr="00E81059" w:rsidRDefault="00AD110A" w:rsidP="00AD110A">
      <w:pPr>
        <w:pStyle w:val="FootnoteText"/>
      </w:pPr>
      <w:r w:rsidRPr="00E81059">
        <w:tab/>
      </w:r>
      <w:r w:rsidRPr="00E81059">
        <w:rPr>
          <w:rStyle w:val="FootnoteReference"/>
        </w:rPr>
        <w:footnoteRef/>
      </w:r>
      <w:r w:rsidRPr="00E81059">
        <w:tab/>
      </w:r>
      <w:r w:rsidRPr="00E81059">
        <w:rPr>
          <w:lang w:eastAsia="de-DE"/>
        </w:rPr>
        <w:t xml:space="preserve">It is noted that the Swedish word </w:t>
      </w:r>
      <w:r w:rsidRPr="00E81059">
        <w:rPr>
          <w:i/>
          <w:iCs/>
          <w:lang w:eastAsia="de-DE"/>
        </w:rPr>
        <w:t>tjänst</w:t>
      </w:r>
      <w:r w:rsidRPr="00E81059">
        <w:rPr>
          <w:lang w:eastAsia="de-DE"/>
        </w:rPr>
        <w:t xml:space="preserve"> is translated as </w:t>
      </w:r>
      <w:r w:rsidR="00F60712" w:rsidRPr="00E81059">
        <w:rPr>
          <w:lang w:eastAsia="de-DE"/>
        </w:rPr>
        <w:t>“</w:t>
      </w:r>
      <w:r w:rsidRPr="00E81059">
        <w:rPr>
          <w:lang w:eastAsia="de-DE"/>
        </w:rPr>
        <w:t>employment</w:t>
      </w:r>
      <w:r w:rsidR="00F60712" w:rsidRPr="00E81059">
        <w:rPr>
          <w:lang w:eastAsia="de-DE"/>
        </w:rPr>
        <w:t>”</w:t>
      </w:r>
      <w:r w:rsidRPr="00E81059">
        <w:rPr>
          <w:lang w:eastAsia="de-DE"/>
        </w:rPr>
        <w:t xml:space="preserve"> in English, but that in Swedish it has a broader meaning, which according to the Swedish National Encyclopedia includes </w:t>
      </w:r>
      <w:r w:rsidR="00F60712" w:rsidRPr="00E81059">
        <w:rPr>
          <w:lang w:eastAsia="de-DE"/>
        </w:rPr>
        <w:t>“</w:t>
      </w:r>
      <w:r w:rsidRPr="00E81059">
        <w:rPr>
          <w:lang w:eastAsia="de-DE"/>
        </w:rPr>
        <w:t>action that is of use to someone else</w:t>
      </w:r>
      <w:r w:rsidR="00F60712" w:rsidRPr="00E81059">
        <w:rPr>
          <w:lang w:eastAsia="de-DE"/>
        </w:rPr>
        <w:t>”</w:t>
      </w:r>
      <w:r w:rsidRPr="00E81059">
        <w:rPr>
          <w:lang w:eastAsia="de-DE"/>
        </w:rPr>
        <w:t>.</w:t>
      </w:r>
    </w:p>
  </w:footnote>
  <w:footnote w:id="12">
    <w:p w14:paraId="1FB21867" w14:textId="78A5A260" w:rsidR="00AD110A" w:rsidRPr="00E81059" w:rsidRDefault="00AD110A" w:rsidP="00AD110A">
      <w:pPr>
        <w:pStyle w:val="FootnoteText"/>
      </w:pPr>
      <w:r w:rsidRPr="00E81059">
        <w:tab/>
      </w:r>
      <w:r w:rsidRPr="00E81059">
        <w:rPr>
          <w:rStyle w:val="FootnoteReference"/>
        </w:rPr>
        <w:footnoteRef/>
      </w:r>
      <w:r w:rsidRPr="00E81059">
        <w:tab/>
        <w:t xml:space="preserve">The decision underlines that if remuneration was provided on the basis of </w:t>
      </w:r>
      <w:r w:rsidR="00F60712" w:rsidRPr="00E81059">
        <w:t>“</w:t>
      </w:r>
      <w:r w:rsidRPr="00E81059">
        <w:t>preaching activity</w:t>
      </w:r>
      <w:r w:rsidR="00F60712" w:rsidRPr="00E81059">
        <w:t>”</w:t>
      </w:r>
      <w:r w:rsidRPr="00E81059">
        <w:t xml:space="preserve"> instead of some kind of work performed within the community</w:t>
      </w:r>
      <w:r w:rsidR="00F60712" w:rsidRPr="00E81059">
        <w:t>’</w:t>
      </w:r>
      <w:r w:rsidRPr="00E81059">
        <w:t xml:space="preserve">s </w:t>
      </w:r>
      <w:r w:rsidR="00F60712" w:rsidRPr="00E81059">
        <w:t>“</w:t>
      </w:r>
      <w:r w:rsidRPr="00E81059">
        <w:t>household</w:t>
      </w:r>
      <w:r w:rsidR="00F60712" w:rsidRPr="00E81059">
        <w:t>”</w:t>
      </w:r>
      <w:r w:rsidRPr="00E81059">
        <w:t>, the allowance remained taxable, as it had been under the rules of the old tax system of Sweden.</w:t>
      </w:r>
    </w:p>
  </w:footnote>
  <w:footnote w:id="13">
    <w:p w14:paraId="0E5EDE6B" w14:textId="737C33CE" w:rsidR="00AD110A" w:rsidRPr="00E81059" w:rsidRDefault="00AD110A" w:rsidP="00AD110A">
      <w:pPr>
        <w:pStyle w:val="FootnoteText"/>
      </w:pPr>
      <w:r w:rsidRPr="00E81059">
        <w:tab/>
      </w:r>
      <w:r w:rsidRPr="00E81059">
        <w:rPr>
          <w:rStyle w:val="FootnoteReference"/>
        </w:rPr>
        <w:footnoteRef/>
      </w:r>
      <w:r w:rsidRPr="00E81059">
        <w:tab/>
        <w:t>The Chancellor of Justice has the power, as the Government</w:t>
      </w:r>
      <w:r w:rsidR="00F60712" w:rsidRPr="00E81059">
        <w:t>’</w:t>
      </w:r>
      <w:r w:rsidRPr="00E81059">
        <w:t xml:space="preserve">s general legal representative, to receive complaints and claims for damages directed against Sweden. The decision of the Chancellor is binding on the State and may not be appealed. However, in case of a negative decision, the claimant is not prevented from instituting civil proceedings for damages before the ordinary courts. </w:t>
      </w:r>
    </w:p>
  </w:footnote>
  <w:footnote w:id="14">
    <w:p w14:paraId="68876EC8" w14:textId="77777777" w:rsidR="00AD110A" w:rsidRPr="00C3035A" w:rsidRDefault="00AD110A" w:rsidP="00AD110A">
      <w:pPr>
        <w:pStyle w:val="FootnoteText"/>
        <w:rPr>
          <w:lang w:val="es-ES"/>
        </w:rPr>
      </w:pPr>
      <w:r w:rsidRPr="00E81059">
        <w:tab/>
      </w:r>
      <w:r w:rsidRPr="00E81059">
        <w:rPr>
          <w:rStyle w:val="FootnoteReference"/>
        </w:rPr>
        <w:footnoteRef/>
      </w:r>
      <w:r w:rsidRPr="00E81059">
        <w:tab/>
      </w:r>
      <w:r w:rsidRPr="00E81059">
        <w:tab/>
        <w:t xml:space="preserve">Human Rights Committee, </w:t>
      </w:r>
      <w:r w:rsidRPr="00E81059">
        <w:rPr>
          <w:lang w:eastAsia="de-DE"/>
        </w:rPr>
        <w:t xml:space="preserve">general comment No. 32 (2007), para. </w:t>
      </w:r>
      <w:r w:rsidRPr="00C3035A">
        <w:rPr>
          <w:lang w:val="es-ES" w:eastAsia="de-DE"/>
        </w:rPr>
        <w:t>16.</w:t>
      </w:r>
    </w:p>
  </w:footnote>
  <w:footnote w:id="15">
    <w:p w14:paraId="2EB1EC8A" w14:textId="77777777" w:rsidR="00AD110A" w:rsidRPr="00E81059" w:rsidRDefault="00AD110A" w:rsidP="00AD110A">
      <w:pPr>
        <w:pStyle w:val="FootnoteText"/>
      </w:pPr>
      <w:r w:rsidRPr="00C3035A">
        <w:rPr>
          <w:lang w:val="es-ES"/>
        </w:rPr>
        <w:tab/>
      </w:r>
      <w:r w:rsidRPr="00E81059">
        <w:rPr>
          <w:szCs w:val="18"/>
          <w:vertAlign w:val="superscript"/>
        </w:rPr>
        <w:footnoteRef/>
      </w:r>
      <w:r w:rsidRPr="00C3035A">
        <w:rPr>
          <w:lang w:val="es-ES"/>
        </w:rPr>
        <w:tab/>
      </w:r>
      <w:r w:rsidRPr="00C3035A">
        <w:rPr>
          <w:i/>
          <w:lang w:val="es-ES"/>
        </w:rPr>
        <w:t>Kollar v. Austria</w:t>
      </w:r>
      <w:r w:rsidRPr="00C3035A">
        <w:rPr>
          <w:lang w:val="es-ES"/>
        </w:rPr>
        <w:t xml:space="preserve"> (CCPR/C/78/D/989/2001), para. 8.6; and </w:t>
      </w:r>
      <w:r w:rsidRPr="00C3035A">
        <w:rPr>
          <w:i/>
          <w:iCs/>
          <w:lang w:val="es-ES"/>
        </w:rPr>
        <w:t>Pronina v. France</w:t>
      </w:r>
      <w:r w:rsidRPr="00C3035A">
        <w:rPr>
          <w:lang w:val="es-ES"/>
        </w:rPr>
        <w:t xml:space="preserve"> (CCPR/C/111/D/2390/2014), para. </w:t>
      </w:r>
      <w:r w:rsidRPr="00E81059">
        <w:t>4.4.</w:t>
      </w:r>
    </w:p>
  </w:footnote>
  <w:footnote w:id="16">
    <w:p w14:paraId="7ACC2399" w14:textId="77777777" w:rsidR="00AD110A" w:rsidRPr="00E81059" w:rsidRDefault="00AD110A" w:rsidP="00AD110A">
      <w:pPr>
        <w:pStyle w:val="FootnoteText"/>
      </w:pPr>
      <w:r w:rsidRPr="00E81059">
        <w:tab/>
      </w:r>
      <w:r w:rsidRPr="00E81059">
        <w:rPr>
          <w:rStyle w:val="FootnoteReference"/>
        </w:rPr>
        <w:footnoteRef/>
      </w:r>
      <w:r w:rsidRPr="00E81059">
        <w:tab/>
        <w:t>European Court of Human Rights</w:t>
      </w:r>
      <w:r w:rsidRPr="00E81059">
        <w:rPr>
          <w:lang w:eastAsia="de-DE"/>
        </w:rPr>
        <w:t xml:space="preserve">, </w:t>
      </w:r>
      <w:r w:rsidRPr="00E81059">
        <w:rPr>
          <w:i/>
          <w:lang w:eastAsia="de-DE"/>
        </w:rPr>
        <w:t>Ferrazzini v. Italy</w:t>
      </w:r>
      <w:r w:rsidRPr="00E81059">
        <w:rPr>
          <w:lang w:eastAsia="de-DE"/>
        </w:rPr>
        <w:t xml:space="preserve"> (application No. 44759/98), judgment of 12 July 2001, para. 29.</w:t>
      </w:r>
      <w:r w:rsidRPr="00E81059">
        <w:rPr>
          <w:rFonts w:ascii="Garamond" w:hAnsi="Garamond" w:cs="Garamond"/>
          <w:color w:val="000000"/>
          <w:sz w:val="23"/>
          <w:szCs w:val="23"/>
          <w:lang w:eastAsia="de-DE"/>
        </w:rPr>
        <w:t xml:space="preserve"> </w:t>
      </w:r>
    </w:p>
  </w:footnote>
  <w:footnote w:id="17">
    <w:p w14:paraId="047EB100" w14:textId="77777777" w:rsidR="00AD110A" w:rsidRPr="00E81059" w:rsidRDefault="00AD110A" w:rsidP="00AD110A">
      <w:pPr>
        <w:pStyle w:val="FootnoteText"/>
      </w:pPr>
      <w:r w:rsidRPr="00E81059">
        <w:tab/>
      </w:r>
      <w:r w:rsidRPr="00E81059">
        <w:rPr>
          <w:rStyle w:val="FootnoteReference"/>
        </w:rPr>
        <w:footnoteRef/>
      </w:r>
      <w:r w:rsidRPr="00E81059">
        <w:tab/>
      </w:r>
      <w:r w:rsidRPr="00E81059">
        <w:rPr>
          <w:lang w:eastAsia="de-DE"/>
        </w:rPr>
        <w:t>The European Volunteer Service programme is within the framework of the Youth in Action Programme of the European Union. The objective of the European Volunteer Service programme is to provide young people, for a limited period of time, with non-formal, intercultural and educational experiences that promote their integration and active participation in society, in order to enhance their employability and give them opportunities to show solidarity with others.</w:t>
      </w:r>
    </w:p>
  </w:footnote>
  <w:footnote w:id="18">
    <w:p w14:paraId="0B590FC4" w14:textId="77777777" w:rsidR="00AD110A" w:rsidRPr="00E81059" w:rsidRDefault="00AD110A" w:rsidP="00AD110A">
      <w:pPr>
        <w:pStyle w:val="FootnoteText"/>
      </w:pPr>
      <w:r w:rsidRPr="00E81059">
        <w:tab/>
      </w:r>
      <w:r w:rsidRPr="00E81059">
        <w:rPr>
          <w:rStyle w:val="FootnoteReference"/>
        </w:rPr>
        <w:footnoteRef/>
      </w:r>
      <w:r w:rsidRPr="00E81059">
        <w:tab/>
        <w:t xml:space="preserve">European Court of Human Rights, </w:t>
      </w:r>
      <w:r w:rsidRPr="00E81059">
        <w:rPr>
          <w:i/>
        </w:rPr>
        <w:t xml:space="preserve">Association Les Témoins de Jéhovah v. France </w:t>
      </w:r>
      <w:r w:rsidRPr="00E81059">
        <w:t>(application No. 8916/05)</w:t>
      </w:r>
      <w:r w:rsidRPr="007A127D">
        <w:rPr>
          <w:iCs/>
        </w:rPr>
        <w:t>,</w:t>
      </w:r>
      <w:r w:rsidRPr="00E81059">
        <w:rPr>
          <w:i/>
        </w:rPr>
        <w:t xml:space="preserve"> </w:t>
      </w:r>
      <w:r w:rsidRPr="00E81059">
        <w:t xml:space="preserve">para. 53 (in French). </w:t>
      </w:r>
    </w:p>
  </w:footnote>
  <w:footnote w:id="19">
    <w:p w14:paraId="72BE7F9B" w14:textId="77777777" w:rsidR="00AD110A" w:rsidRPr="00E81059" w:rsidRDefault="00AD110A" w:rsidP="00AD110A">
      <w:pPr>
        <w:pStyle w:val="FootnoteText"/>
      </w:pPr>
      <w:r w:rsidRPr="00E81059">
        <w:tab/>
      </w:r>
      <w:r w:rsidRPr="00E81059">
        <w:rPr>
          <w:rStyle w:val="FootnoteReference"/>
        </w:rPr>
        <w:footnoteRef/>
      </w:r>
      <w:r w:rsidRPr="00E81059">
        <w:tab/>
      </w:r>
      <w:r w:rsidRPr="00E81059">
        <w:rPr>
          <w:i/>
          <w:iCs/>
          <w:color w:val="000000"/>
          <w:szCs w:val="18"/>
          <w:lang w:eastAsia="de-DE"/>
        </w:rPr>
        <w:t xml:space="preserve">Verlinden v. Netherlands </w:t>
      </w:r>
      <w:r w:rsidRPr="00E81059">
        <w:rPr>
          <w:iCs/>
          <w:color w:val="000000"/>
          <w:szCs w:val="18"/>
          <w:lang w:eastAsia="de-DE"/>
        </w:rPr>
        <w:t xml:space="preserve">(CCPR/C/88/D/1187/2003), </w:t>
      </w:r>
      <w:r w:rsidRPr="00E81059">
        <w:rPr>
          <w:color w:val="000000"/>
          <w:szCs w:val="18"/>
          <w:lang w:eastAsia="de-DE"/>
        </w:rPr>
        <w:t>para. 7.7</w:t>
      </w:r>
      <w:r w:rsidRPr="00E81059">
        <w:rPr>
          <w:rFonts w:ascii="Garamond" w:hAnsi="Garamond" w:cs="Garamond"/>
          <w:color w:val="000000"/>
          <w:sz w:val="23"/>
          <w:szCs w:val="23"/>
          <w:lang w:eastAsia="de-DE"/>
        </w:rPr>
        <w:t>.</w:t>
      </w:r>
    </w:p>
  </w:footnote>
  <w:footnote w:id="20">
    <w:p w14:paraId="1132605D" w14:textId="77777777" w:rsidR="00AD110A" w:rsidRPr="00E81059" w:rsidRDefault="00AD110A" w:rsidP="00AD110A">
      <w:pPr>
        <w:pStyle w:val="FootnoteText"/>
      </w:pPr>
      <w:r w:rsidRPr="00E81059">
        <w:tab/>
      </w:r>
      <w:r w:rsidRPr="00E81059">
        <w:rPr>
          <w:rStyle w:val="FootnoteReference"/>
        </w:rPr>
        <w:footnoteRef/>
      </w:r>
      <w:r w:rsidRPr="00E81059">
        <w:tab/>
      </w:r>
      <w:r w:rsidRPr="00E81059">
        <w:tab/>
        <w:t>European Court of Human Rights,</w:t>
      </w:r>
      <w:r w:rsidRPr="00E81059">
        <w:rPr>
          <w:i/>
          <w:iCs/>
          <w:szCs w:val="18"/>
          <w:lang w:eastAsia="de-DE"/>
        </w:rPr>
        <w:t xml:space="preserve"> Niedzwiecki v. Germany (no. 2)</w:t>
      </w:r>
      <w:r w:rsidRPr="00E81059">
        <w:rPr>
          <w:szCs w:val="18"/>
          <w:lang w:eastAsia="de-DE"/>
        </w:rPr>
        <w:t xml:space="preserve"> (application No. 12852/08) judgment of 1 April 2010, paras. 31–32.</w:t>
      </w:r>
    </w:p>
  </w:footnote>
  <w:footnote w:id="21">
    <w:p w14:paraId="54A7776C" w14:textId="77777777" w:rsidR="00AD110A" w:rsidRPr="00E81059" w:rsidRDefault="00AD110A" w:rsidP="00AD110A">
      <w:pPr>
        <w:pStyle w:val="FootnoteText"/>
      </w:pPr>
      <w:r w:rsidRPr="00E81059">
        <w:tab/>
      </w:r>
      <w:r w:rsidRPr="00E81059">
        <w:rPr>
          <w:rStyle w:val="FootnoteReference"/>
        </w:rPr>
        <w:footnoteRef/>
      </w:r>
      <w:r w:rsidRPr="00E81059">
        <w:tab/>
        <w:t xml:space="preserve">Human Rights Committee, general comment No. 32, para. 24. </w:t>
      </w:r>
    </w:p>
  </w:footnote>
  <w:footnote w:id="22">
    <w:p w14:paraId="379D4772" w14:textId="77777777" w:rsidR="00AD110A" w:rsidRPr="00E81059" w:rsidRDefault="00AD110A" w:rsidP="00AD110A">
      <w:pPr>
        <w:pStyle w:val="FootnoteText"/>
      </w:pPr>
      <w:r w:rsidRPr="00E81059">
        <w:tab/>
      </w:r>
      <w:r w:rsidRPr="00E81059">
        <w:rPr>
          <w:rStyle w:val="FootnoteReference"/>
        </w:rPr>
        <w:footnoteRef/>
      </w:r>
      <w:r w:rsidRPr="00E81059">
        <w:tab/>
        <w:t>Ibid., paras. 16–17.</w:t>
      </w:r>
    </w:p>
  </w:footnote>
  <w:footnote w:id="23">
    <w:p w14:paraId="27CAB8C2" w14:textId="77777777" w:rsidR="00AD110A" w:rsidRPr="00140DB4" w:rsidRDefault="00AD110A" w:rsidP="00AD110A">
      <w:pPr>
        <w:pStyle w:val="FootnoteText"/>
        <w:rPr>
          <w:lang w:val="es-ES"/>
        </w:rPr>
      </w:pPr>
      <w:r w:rsidRPr="00E81059">
        <w:tab/>
      </w:r>
      <w:r w:rsidRPr="00E81059">
        <w:rPr>
          <w:rStyle w:val="FootnoteReference"/>
        </w:rPr>
        <w:footnoteRef/>
      </w:r>
      <w:r w:rsidRPr="00E81059">
        <w:tab/>
      </w:r>
      <w:r w:rsidRPr="00E81059">
        <w:tab/>
        <w:t>European Court of Human Rights,</w:t>
      </w:r>
      <w:r w:rsidRPr="00E81059">
        <w:rPr>
          <w:i/>
          <w:iCs/>
          <w:szCs w:val="18"/>
          <w:lang w:eastAsia="de-DE"/>
        </w:rPr>
        <w:t xml:space="preserve"> Magyar Keresztény Mennonita Egyház and Others v. Hungary</w:t>
      </w:r>
      <w:r w:rsidRPr="00E81059">
        <w:rPr>
          <w:iCs/>
          <w:szCs w:val="18"/>
          <w:lang w:eastAsia="de-DE"/>
        </w:rPr>
        <w:t xml:space="preserve"> (</w:t>
      </w:r>
      <w:r w:rsidRPr="00E81059">
        <w:rPr>
          <w:szCs w:val="18"/>
          <w:lang w:eastAsia="de-DE"/>
        </w:rPr>
        <w:t xml:space="preserve">application No. 70945/11 et al.), judgment of 8 April 2014, paras. </w:t>
      </w:r>
      <w:r w:rsidRPr="00140DB4">
        <w:rPr>
          <w:szCs w:val="18"/>
          <w:lang w:val="es-ES" w:eastAsia="de-DE"/>
        </w:rPr>
        <w:t>92 and 94.</w:t>
      </w:r>
    </w:p>
  </w:footnote>
  <w:footnote w:id="24">
    <w:p w14:paraId="271EA3E0" w14:textId="77777777" w:rsidR="00AD110A" w:rsidRPr="00140DB4" w:rsidRDefault="00AD110A" w:rsidP="00AD110A">
      <w:pPr>
        <w:pStyle w:val="FootnoteText"/>
        <w:rPr>
          <w:lang w:val="es-ES"/>
        </w:rPr>
      </w:pPr>
      <w:r w:rsidRPr="00140DB4">
        <w:rPr>
          <w:lang w:val="es-ES"/>
        </w:rPr>
        <w:tab/>
      </w:r>
      <w:r w:rsidRPr="00E81059">
        <w:rPr>
          <w:rStyle w:val="FootnoteReference"/>
        </w:rPr>
        <w:footnoteRef/>
      </w:r>
      <w:r w:rsidRPr="00140DB4">
        <w:rPr>
          <w:lang w:val="es-ES"/>
        </w:rPr>
        <w:t xml:space="preserve"> </w:t>
      </w:r>
      <w:r w:rsidRPr="00140DB4">
        <w:rPr>
          <w:lang w:val="es-ES"/>
        </w:rPr>
        <w:tab/>
      </w:r>
      <w:r w:rsidRPr="00140DB4">
        <w:rPr>
          <w:i/>
          <w:lang w:val="es-ES"/>
        </w:rPr>
        <w:t>Alzery v. Sweden</w:t>
      </w:r>
      <w:r w:rsidRPr="00140DB4">
        <w:rPr>
          <w:lang w:val="es-ES"/>
        </w:rPr>
        <w:t xml:space="preserve"> (CCPR/C/88/D/1416/2005), para. 8.1.</w:t>
      </w:r>
    </w:p>
  </w:footnote>
  <w:footnote w:id="25">
    <w:p w14:paraId="5D818118" w14:textId="56CD4146" w:rsidR="00AD110A" w:rsidRPr="00E81059" w:rsidRDefault="00AD110A" w:rsidP="00AD110A">
      <w:pPr>
        <w:pStyle w:val="FootnoteText"/>
      </w:pPr>
      <w:r w:rsidRPr="00140DB4">
        <w:rPr>
          <w:lang w:val="es-ES"/>
        </w:rPr>
        <w:tab/>
      </w:r>
      <w:r w:rsidRPr="00E81059">
        <w:rPr>
          <w:rStyle w:val="FootnoteReference"/>
        </w:rPr>
        <w:footnoteRef/>
      </w:r>
      <w:r w:rsidRPr="00140DB4">
        <w:rPr>
          <w:lang w:val="es-ES"/>
        </w:rPr>
        <w:tab/>
      </w:r>
      <w:r w:rsidRPr="00140DB4">
        <w:rPr>
          <w:i/>
          <w:lang w:val="es-ES"/>
        </w:rPr>
        <w:t>Puertas v. Spain</w:t>
      </w:r>
      <w:r w:rsidRPr="00140DB4">
        <w:rPr>
          <w:lang w:val="es-ES"/>
        </w:rPr>
        <w:t xml:space="preserve"> (CCPR/C/107/D/1945/2010), para. </w:t>
      </w:r>
      <w:r w:rsidRPr="00E81059">
        <w:t>7.3.</w:t>
      </w:r>
    </w:p>
  </w:footnote>
  <w:footnote w:id="26">
    <w:p w14:paraId="4C4262D0" w14:textId="1B4E0EF2" w:rsidR="00AD110A" w:rsidRPr="00E81059" w:rsidRDefault="00AD110A" w:rsidP="00AD110A">
      <w:pPr>
        <w:pStyle w:val="FootnoteText"/>
      </w:pPr>
      <w:r w:rsidRPr="00E81059">
        <w:tab/>
      </w:r>
      <w:r w:rsidRPr="00E81059">
        <w:rPr>
          <w:rStyle w:val="FootnoteReference"/>
        </w:rPr>
        <w:footnoteRef/>
      </w:r>
      <w:r w:rsidRPr="00E81059">
        <w:tab/>
        <w:t xml:space="preserve">Human Rights Committee, </w:t>
      </w:r>
      <w:r w:rsidRPr="00E81059">
        <w:rPr>
          <w:lang w:eastAsia="de-DE"/>
        </w:rPr>
        <w:t>general comment No. 32, paras. 7–8 and 13–14.</w:t>
      </w:r>
    </w:p>
  </w:footnote>
  <w:footnote w:id="27">
    <w:p w14:paraId="29D5B163" w14:textId="77777777" w:rsidR="00AD110A" w:rsidRPr="00E81059" w:rsidRDefault="00AD110A" w:rsidP="00AD110A">
      <w:pPr>
        <w:pStyle w:val="FootnoteText"/>
      </w:pPr>
      <w:r w:rsidRPr="00E81059">
        <w:tab/>
      </w:r>
      <w:r w:rsidRPr="00E81059">
        <w:rPr>
          <w:rStyle w:val="FootnoteReference"/>
        </w:rPr>
        <w:footnoteRef/>
      </w:r>
      <w:r w:rsidRPr="00E81059">
        <w:tab/>
        <w:t>Ibid.</w:t>
      </w:r>
      <w:r w:rsidRPr="00E81059">
        <w:rPr>
          <w:lang w:eastAsia="de-DE"/>
        </w:rPr>
        <w:t>, para. 16.</w:t>
      </w:r>
    </w:p>
  </w:footnote>
  <w:footnote w:id="28">
    <w:p w14:paraId="0602E50E" w14:textId="77777777" w:rsidR="00AD110A" w:rsidRPr="00140DB4" w:rsidRDefault="00AD110A" w:rsidP="00AD110A">
      <w:pPr>
        <w:pStyle w:val="FootnoteText"/>
        <w:rPr>
          <w:lang w:val="es-ES"/>
        </w:rPr>
      </w:pPr>
      <w:r w:rsidRPr="00E81059">
        <w:tab/>
      </w:r>
      <w:r w:rsidRPr="00E81059">
        <w:rPr>
          <w:rStyle w:val="FootnoteReference"/>
        </w:rPr>
        <w:footnoteRef/>
      </w:r>
      <w:r w:rsidRPr="00E81059">
        <w:tab/>
        <w:t xml:space="preserve">Human Rights Committee, general comment No. 18 (1989), para. </w:t>
      </w:r>
      <w:r w:rsidRPr="00140DB4">
        <w:rPr>
          <w:lang w:val="es-ES"/>
        </w:rPr>
        <w:t>12.</w:t>
      </w:r>
    </w:p>
  </w:footnote>
  <w:footnote w:id="29">
    <w:p w14:paraId="381A0581" w14:textId="77777777" w:rsidR="00AD110A" w:rsidRPr="00140DB4" w:rsidRDefault="00AD110A" w:rsidP="00AD110A">
      <w:pPr>
        <w:pStyle w:val="FootnoteText"/>
        <w:rPr>
          <w:lang w:val="es-ES"/>
        </w:rPr>
      </w:pPr>
      <w:r w:rsidRPr="00140DB4">
        <w:rPr>
          <w:lang w:val="es-ES"/>
        </w:rPr>
        <w:tab/>
      </w:r>
      <w:r w:rsidRPr="00E81059">
        <w:rPr>
          <w:rStyle w:val="FootnoteReference"/>
        </w:rPr>
        <w:footnoteRef/>
      </w:r>
      <w:r w:rsidRPr="00140DB4">
        <w:rPr>
          <w:lang w:val="es-ES"/>
        </w:rPr>
        <w:tab/>
        <w:t>Ibid., para. 13.</w:t>
      </w:r>
    </w:p>
  </w:footnote>
  <w:footnote w:id="30">
    <w:p w14:paraId="59520146" w14:textId="77777777" w:rsidR="00AD110A" w:rsidRPr="00140DB4" w:rsidRDefault="00AD110A" w:rsidP="00AD110A">
      <w:pPr>
        <w:pStyle w:val="FootnoteText"/>
        <w:rPr>
          <w:lang w:val="es-ES"/>
        </w:rPr>
      </w:pPr>
      <w:r w:rsidRPr="00140DB4">
        <w:rPr>
          <w:lang w:val="es-ES"/>
        </w:rPr>
        <w:tab/>
      </w:r>
      <w:r w:rsidRPr="00E81059">
        <w:rPr>
          <w:rStyle w:val="FootnoteReference"/>
        </w:rPr>
        <w:footnoteRef/>
      </w:r>
      <w:r w:rsidRPr="00140DB4">
        <w:rPr>
          <w:lang w:val="es-ES"/>
        </w:rPr>
        <w:tab/>
      </w:r>
      <w:r w:rsidRPr="00140DB4">
        <w:rPr>
          <w:i/>
          <w:lang w:val="es-ES"/>
        </w:rPr>
        <w:t>Prince v. South Africa</w:t>
      </w:r>
      <w:r w:rsidRPr="00140DB4">
        <w:rPr>
          <w:lang w:val="es-ES"/>
        </w:rPr>
        <w:t xml:space="preserve"> (CCPR/C/91/D/1474/2006), para. </w:t>
      </w:r>
      <w:r w:rsidRPr="00140DB4">
        <w:rPr>
          <w:lang w:val="es-ES"/>
        </w:rPr>
        <w:t>7.5.</w:t>
      </w:r>
    </w:p>
  </w:footnote>
  <w:footnote w:id="31">
    <w:p w14:paraId="3A07CB59" w14:textId="77777777" w:rsidR="00AD110A" w:rsidRPr="00E81059" w:rsidRDefault="00AD110A" w:rsidP="00AD110A">
      <w:pPr>
        <w:pStyle w:val="FootnoteText"/>
      </w:pPr>
      <w:r w:rsidRPr="00140DB4">
        <w:rPr>
          <w:lang w:val="es-ES"/>
        </w:rPr>
        <w:tab/>
      </w:r>
      <w:r w:rsidRPr="00E81059">
        <w:rPr>
          <w:rStyle w:val="FootnoteReference"/>
        </w:rPr>
        <w:footnoteRef/>
      </w:r>
      <w:r w:rsidRPr="00140DB4">
        <w:rPr>
          <w:lang w:val="es-ES"/>
        </w:rPr>
        <w:tab/>
      </w:r>
      <w:r w:rsidRPr="00140DB4">
        <w:rPr>
          <w:i/>
          <w:lang w:val="es-ES"/>
        </w:rPr>
        <w:t>Waldman v. Canada</w:t>
      </w:r>
      <w:r w:rsidRPr="00140DB4">
        <w:rPr>
          <w:lang w:val="es-ES"/>
        </w:rPr>
        <w:t xml:space="preserve"> (CCPR/C/67/D/694/1996), para. </w:t>
      </w:r>
      <w:r w:rsidRPr="00E81059">
        <w:t>10.6.</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C3E1" w14:textId="77777777" w:rsidR="00B1164C" w:rsidRDefault="00B1164C" w:rsidP="00B1164C">
    <w:pPr>
      <w:pStyle w:val="Header"/>
    </w:pPr>
    <w:r>
      <w:t>CCPR/C/129/D/2742/2016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D0BF" w14:textId="77777777" w:rsidR="00B1164C" w:rsidRDefault="00B1164C" w:rsidP="00B1164C">
    <w:pPr>
      <w:pStyle w:val="Header"/>
      <w:jc w:val="right"/>
    </w:pPr>
    <w:r>
      <w:t>CCPR/C/129/D/2742/2016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82B69"/>
    <w:multiLevelType w:val="multilevel"/>
    <w:tmpl w:val="525A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C054F"/>
    <w:multiLevelType w:val="hybridMultilevel"/>
    <w:tmpl w:val="017C5D3E"/>
    <w:lvl w:ilvl="0" w:tplc="9AC0218A">
      <w:start w:val="1"/>
      <w:numFmt w:val="decimal"/>
      <w:lvlText w:val="%1."/>
      <w:lvlJc w:val="left"/>
      <w:pPr>
        <w:tabs>
          <w:tab w:val="num" w:pos="1065"/>
        </w:tabs>
        <w:ind w:left="1065" w:hanging="705"/>
      </w:pPr>
      <w:rPr>
        <w:b w:val="0"/>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0"/>
  </w:num>
  <w:num w:numId="4">
    <w:abstractNumId w:val="10"/>
  </w:num>
  <w:num w:numId="5">
    <w:abstractNumId w:val="11"/>
  </w:num>
  <w:num w:numId="6">
    <w:abstractNumId w:val="15"/>
  </w:num>
  <w:num w:numId="7">
    <w:abstractNumId w:val="3"/>
  </w:num>
  <w:num w:numId="8">
    <w:abstractNumId w:val="1"/>
  </w:num>
  <w:num w:numId="9">
    <w:abstractNumId w:val="14"/>
  </w:num>
  <w:num w:numId="10">
    <w:abstractNumId w:val="12"/>
  </w:num>
  <w:num w:numId="11">
    <w:abstractNumId w:val="2"/>
  </w:num>
  <w:num w:numId="12">
    <w:abstractNumId w:val="13"/>
  </w:num>
  <w:num w:numId="13">
    <w:abstractNumId w:val="16"/>
  </w:num>
  <w:num w:numId="14">
    <w:abstractNumId w:val="4"/>
  </w:num>
  <w:num w:numId="15">
    <w:abstractNumId w:val="9"/>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5E"/>
    <w:rsid w:val="00046E92"/>
    <w:rsid w:val="0006523D"/>
    <w:rsid w:val="000820E8"/>
    <w:rsid w:val="000A1F86"/>
    <w:rsid w:val="00112A6C"/>
    <w:rsid w:val="00131D7A"/>
    <w:rsid w:val="00140DB4"/>
    <w:rsid w:val="00165C15"/>
    <w:rsid w:val="00167706"/>
    <w:rsid w:val="00167B95"/>
    <w:rsid w:val="00247E2C"/>
    <w:rsid w:val="00261785"/>
    <w:rsid w:val="00265CEE"/>
    <w:rsid w:val="002D6C53"/>
    <w:rsid w:val="002F5595"/>
    <w:rsid w:val="00334F6A"/>
    <w:rsid w:val="00342AC8"/>
    <w:rsid w:val="003B014F"/>
    <w:rsid w:val="003B4550"/>
    <w:rsid w:val="00461253"/>
    <w:rsid w:val="00472FED"/>
    <w:rsid w:val="005042C2"/>
    <w:rsid w:val="005A2811"/>
    <w:rsid w:val="005D65FD"/>
    <w:rsid w:val="00671529"/>
    <w:rsid w:val="006E168E"/>
    <w:rsid w:val="007268F9"/>
    <w:rsid w:val="007327A0"/>
    <w:rsid w:val="0075386E"/>
    <w:rsid w:val="007A127D"/>
    <w:rsid w:val="007C52B0"/>
    <w:rsid w:val="00817E57"/>
    <w:rsid w:val="00851F16"/>
    <w:rsid w:val="0088585E"/>
    <w:rsid w:val="00892361"/>
    <w:rsid w:val="008D3450"/>
    <w:rsid w:val="0091012A"/>
    <w:rsid w:val="009411B4"/>
    <w:rsid w:val="009D0139"/>
    <w:rsid w:val="009E7D21"/>
    <w:rsid w:val="009F5CDC"/>
    <w:rsid w:val="00A23459"/>
    <w:rsid w:val="00A775CF"/>
    <w:rsid w:val="00AD110A"/>
    <w:rsid w:val="00B06045"/>
    <w:rsid w:val="00B1164C"/>
    <w:rsid w:val="00B340BC"/>
    <w:rsid w:val="00B53AA5"/>
    <w:rsid w:val="00B903E5"/>
    <w:rsid w:val="00BB664E"/>
    <w:rsid w:val="00BD7FFB"/>
    <w:rsid w:val="00BF572B"/>
    <w:rsid w:val="00C3035A"/>
    <w:rsid w:val="00C35A27"/>
    <w:rsid w:val="00CA1AEA"/>
    <w:rsid w:val="00D14099"/>
    <w:rsid w:val="00D327D6"/>
    <w:rsid w:val="00DB065A"/>
    <w:rsid w:val="00E02C2B"/>
    <w:rsid w:val="00E05879"/>
    <w:rsid w:val="00E81059"/>
    <w:rsid w:val="00ED6C48"/>
    <w:rsid w:val="00F32C5E"/>
    <w:rsid w:val="00F41F0F"/>
    <w:rsid w:val="00F6071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38720AE"/>
  <w15:docId w15:val="{F9540B44-A4E3-4CDA-81A6-9BDAE21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5C15"/>
    <w:rPr>
      <w:rFonts w:ascii="Tahoma" w:eastAsia="Times New Roman" w:hAnsi="Tahoma" w:cs="Tahoma"/>
      <w:sz w:val="16"/>
      <w:szCs w:val="16"/>
      <w:lang w:eastAsia="en-US"/>
    </w:rPr>
  </w:style>
  <w:style w:type="character" w:styleId="Hyperlink">
    <w:name w:val="Hyperlink"/>
    <w:basedOn w:val="DefaultParagraphFont"/>
    <w:uiPriority w:val="99"/>
    <w:semiHidden/>
    <w:rsid w:val="00AD110A"/>
    <w:rPr>
      <w:rFonts w:cs="Times New Roman"/>
      <w:color w:val="auto"/>
      <w:u w:val="none"/>
    </w:rPr>
  </w:style>
  <w:style w:type="character" w:styleId="FollowedHyperlink">
    <w:name w:val="FollowedHyperlink"/>
    <w:basedOn w:val="DefaultParagraphFont"/>
    <w:uiPriority w:val="99"/>
    <w:semiHidden/>
    <w:rsid w:val="00AD110A"/>
    <w:rPr>
      <w:rFonts w:cs="Times New Roman"/>
      <w:color w:val="auto"/>
      <w:u w:val="none"/>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AD110A"/>
    <w:rPr>
      <w:rFonts w:eastAsia="SimSun"/>
      <w:sz w:val="18"/>
      <w:szCs w:val="20"/>
      <w:lang w:val="en-US" w:eastAsia="zh-CN"/>
    </w:rPr>
  </w:style>
  <w:style w:type="paragraph" w:customStyle="1" w:styleId="Default">
    <w:name w:val="Default"/>
    <w:rsid w:val="00AD110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ingleTxtGChar">
    <w:name w:val="_ Single Txt_G Char"/>
    <w:link w:val="SingleTxtG"/>
    <w:locked/>
    <w:rsid w:val="00AD110A"/>
    <w:rPr>
      <w:rFonts w:ascii="Times New Roman" w:hAnsi="Times New Roman" w:cs="Times New Roman"/>
      <w:sz w:val="20"/>
      <w:szCs w:val="20"/>
    </w:rPr>
  </w:style>
  <w:style w:type="character" w:styleId="CommentReference">
    <w:name w:val="annotation reference"/>
    <w:basedOn w:val="DefaultParagraphFont"/>
    <w:uiPriority w:val="99"/>
    <w:rsid w:val="00AD110A"/>
    <w:rPr>
      <w:rFonts w:cs="Times New Roman"/>
      <w:sz w:val="16"/>
    </w:rPr>
  </w:style>
  <w:style w:type="paragraph" w:styleId="CommentText">
    <w:name w:val="annotation text"/>
    <w:basedOn w:val="Normal"/>
    <w:link w:val="CommentTextChar"/>
    <w:uiPriority w:val="99"/>
    <w:rsid w:val="00AD110A"/>
    <w:rPr>
      <w:rFonts w:eastAsia="SimSun"/>
      <w:lang w:eastAsia="zh-CN"/>
    </w:rPr>
  </w:style>
  <w:style w:type="character" w:customStyle="1" w:styleId="CommentTextChar">
    <w:name w:val="Comment Text Char"/>
    <w:basedOn w:val="DefaultParagraphFont"/>
    <w:link w:val="CommentText"/>
    <w:uiPriority w:val="99"/>
    <w:rsid w:val="00AD11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AD110A"/>
    <w:rPr>
      <w:b/>
      <w:bCs/>
    </w:rPr>
  </w:style>
  <w:style w:type="character" w:customStyle="1" w:styleId="CommentSubjectChar">
    <w:name w:val="Comment Subject Char"/>
    <w:basedOn w:val="CommentTextChar"/>
    <w:link w:val="CommentSubject"/>
    <w:uiPriority w:val="99"/>
    <w:rsid w:val="00AD110A"/>
    <w:rPr>
      <w:rFonts w:ascii="Times New Roman" w:hAnsi="Times New Roman" w:cs="Times New Roman"/>
      <w:b/>
      <w:bCs/>
      <w:sz w:val="20"/>
      <w:szCs w:val="20"/>
    </w:rPr>
  </w:style>
  <w:style w:type="paragraph" w:customStyle="1" w:styleId="SingleTxt">
    <w:name w:val="__Single Txt"/>
    <w:basedOn w:val="Normal"/>
    <w:rsid w:val="00AD11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D110A"/>
    <w:pPr>
      <w:spacing w:after="0" w:line="240" w:lineRule="auto"/>
    </w:pPr>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AD110A"/>
    <w:rPr>
      <w:i/>
      <w:iCs/>
    </w:rPr>
  </w:style>
  <w:style w:type="paragraph" w:styleId="NormalWeb">
    <w:name w:val="Normal (Web)"/>
    <w:basedOn w:val="Normal"/>
    <w:uiPriority w:val="99"/>
    <w:semiHidden/>
    <w:unhideWhenUsed/>
    <w:rsid w:val="00AD110A"/>
    <w:pPr>
      <w:suppressAutoHyphens w:val="0"/>
      <w:spacing w:before="100" w:beforeAutospacing="1" w:after="100" w:afterAutospacing="1" w:line="240" w:lineRule="auto"/>
    </w:pPr>
    <w:rPr>
      <w:rFonts w:eastAsia="SimSun"/>
      <w:lang w:eastAsia="en-GB"/>
    </w:rPr>
  </w:style>
  <w:style w:type="character" w:customStyle="1" w:styleId="BalloonTextChar1">
    <w:name w:val="Balloon Text Char1"/>
    <w:basedOn w:val="DefaultParagraphFont"/>
    <w:uiPriority w:val="99"/>
    <w:locked/>
    <w:rsid w:val="00AD110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90BE-FA67-4575-9FE1-C197A05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8908</Words>
  <Characters>45911</Characters>
  <Application>Microsoft Office Word</Application>
  <DocSecurity>0</DocSecurity>
  <Lines>667</Lines>
  <Paragraphs>100</Paragraphs>
  <ScaleCrop>false</ScaleCrop>
  <HeadingPairs>
    <vt:vector size="2" baseType="variant">
      <vt:variant>
        <vt:lpstr>Title</vt:lpstr>
      </vt:variant>
      <vt:variant>
        <vt:i4>1</vt:i4>
      </vt:variant>
    </vt:vector>
  </HeadingPairs>
  <TitlesOfParts>
    <vt:vector size="1" baseType="lpstr">
      <vt:lpstr>CCPR/C/129/D/2742/2016</vt:lpstr>
    </vt:vector>
  </TitlesOfParts>
  <Company>DCM</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CCPR/C/129/D/2742/2016</dc:title>
  <dc:subject>2101383</dc:subject>
  <dc:creator>pae</dc:creator>
  <cp:keywords/>
  <dc:description>formatted text</dc:description>
  <cp:lastModifiedBy>Don MARTIN</cp:lastModifiedBy>
  <cp:revision>2</cp:revision>
  <dcterms:created xsi:type="dcterms:W3CDTF">2021-02-03T08:54:00Z</dcterms:created>
  <dcterms:modified xsi:type="dcterms:W3CDTF">2021-02-03T08:54:00Z</dcterms:modified>
</cp:coreProperties>
</file>