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C23B00" w:rsidP="00C23B00">
            <w:pPr>
              <w:suppressAutoHyphens w:val="0"/>
              <w:spacing w:after="20"/>
              <w:jc w:val="right"/>
            </w:pPr>
            <w:r w:rsidRPr="00C23B00">
              <w:rPr>
                <w:sz w:val="40"/>
              </w:rPr>
              <w:t>CCPR</w:t>
            </w:r>
            <w:r>
              <w:t>/C/125/D/2556/2015</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C23B00" w:rsidP="00C23B00">
            <w:pPr>
              <w:suppressAutoHyphens w:val="0"/>
              <w:spacing w:before="240"/>
            </w:pPr>
            <w:r>
              <w:t>Distr.: General</w:t>
            </w:r>
          </w:p>
          <w:p w:rsidR="00C23B00" w:rsidRDefault="00C23B00" w:rsidP="00C23B00">
            <w:pPr>
              <w:suppressAutoHyphens w:val="0"/>
            </w:pPr>
            <w:r>
              <w:t>11 June 2019</w:t>
            </w:r>
          </w:p>
          <w:p w:rsidR="00C23B00" w:rsidRDefault="00C23B00" w:rsidP="00C23B00">
            <w:pPr>
              <w:suppressAutoHyphens w:val="0"/>
            </w:pPr>
          </w:p>
          <w:p w:rsidR="00C23B00" w:rsidRDefault="00C23B00" w:rsidP="00C23B00">
            <w:pPr>
              <w:suppressAutoHyphens w:val="0"/>
            </w:pPr>
            <w:r>
              <w:t>Original: English</w:t>
            </w:r>
          </w:p>
        </w:tc>
      </w:tr>
    </w:tbl>
    <w:p w:rsidR="00C23B00" w:rsidRPr="00916599" w:rsidRDefault="00C23B00" w:rsidP="00C23B00">
      <w:pPr>
        <w:spacing w:before="120"/>
        <w:rPr>
          <w:b/>
          <w:sz w:val="24"/>
          <w:szCs w:val="24"/>
        </w:rPr>
      </w:pPr>
      <w:r w:rsidRPr="00916599">
        <w:rPr>
          <w:b/>
          <w:sz w:val="24"/>
          <w:szCs w:val="24"/>
        </w:rPr>
        <w:t>Human Rights Committee</w:t>
      </w:r>
    </w:p>
    <w:p w:rsidR="00C23B00" w:rsidRPr="00916599" w:rsidRDefault="00C23B00" w:rsidP="00711AC7">
      <w:pPr>
        <w:pStyle w:val="HChG"/>
        <w:rPr>
          <w:b w:val="0"/>
          <w:bCs/>
          <w:sz w:val="20"/>
        </w:rPr>
      </w:pPr>
      <w:r w:rsidRPr="00916599">
        <w:tab/>
      </w:r>
      <w:r w:rsidRPr="00916599">
        <w:tab/>
        <w:t>Views adopted by the Committee under article 5 (4) of</w:t>
      </w:r>
      <w:r w:rsidR="00711AC7" w:rsidRPr="00916599">
        <w:br/>
      </w:r>
      <w:r w:rsidRPr="00916599">
        <w:t>the Optional Protocol, concerning communication No. 2556/2015</w:t>
      </w:r>
      <w:r w:rsidRPr="00916599">
        <w:rPr>
          <w:b w:val="0"/>
          <w:bCs/>
          <w:sz w:val="20"/>
        </w:rPr>
        <w:footnoteReference w:customMarkFollows="1" w:id="1"/>
        <w:t>*</w:t>
      </w:r>
      <w:r w:rsidRPr="00916599">
        <w:rPr>
          <w:b w:val="0"/>
          <w:bCs/>
          <w:position w:val="8"/>
          <w:sz w:val="20"/>
        </w:rPr>
        <w:t>,</w:t>
      </w:r>
      <w:r w:rsidRPr="00916599">
        <w:rPr>
          <w:b w:val="0"/>
          <w:bCs/>
          <w:sz w:val="20"/>
        </w:rPr>
        <w:t xml:space="preserve"> </w:t>
      </w:r>
      <w:r w:rsidRPr="00916599">
        <w:rPr>
          <w:b w:val="0"/>
          <w:bCs/>
          <w:sz w:val="20"/>
        </w:rPr>
        <w:footnoteReference w:customMarkFollows="1" w:id="2"/>
        <w:t>**</w:t>
      </w:r>
      <w:r w:rsidRPr="00916599">
        <w:rPr>
          <w:b w:val="0"/>
          <w:bCs/>
          <w:position w:val="8"/>
          <w:sz w:val="20"/>
        </w:rPr>
        <w:t>,</w:t>
      </w:r>
      <w:r w:rsidRPr="00916599">
        <w:rPr>
          <w:b w:val="0"/>
          <w:bCs/>
          <w:sz w:val="20"/>
        </w:rPr>
        <w:t xml:space="preserve"> </w:t>
      </w:r>
      <w:r w:rsidRPr="00916599">
        <w:rPr>
          <w:b w:val="0"/>
          <w:bCs/>
          <w:sz w:val="20"/>
        </w:rPr>
        <w:footnoteReference w:customMarkFollows="1" w:id="3"/>
        <w:t>***</w:t>
      </w:r>
    </w:p>
    <w:p w:rsidR="00812D42" w:rsidRPr="00916599" w:rsidRDefault="00812D42" w:rsidP="00812D42">
      <w:pPr>
        <w:pStyle w:val="SingleTxtG"/>
        <w:tabs>
          <w:tab w:val="left" w:pos="4820"/>
        </w:tabs>
        <w:ind w:left="4536" w:hanging="3402"/>
        <w:jc w:val="left"/>
      </w:pPr>
      <w:r w:rsidRPr="00916599">
        <w:rPr>
          <w:i/>
        </w:rPr>
        <w:t>Submitted by:</w:t>
      </w:r>
      <w:r w:rsidRPr="00916599">
        <w:rPr>
          <w:i/>
        </w:rPr>
        <w:tab/>
      </w:r>
      <w:proofErr w:type="spellStart"/>
      <w:r w:rsidRPr="00916599">
        <w:t>Fulmati</w:t>
      </w:r>
      <w:proofErr w:type="spellEnd"/>
      <w:r w:rsidRPr="00916599">
        <w:t xml:space="preserve"> Nyaya (represented by TRIAL International)</w:t>
      </w:r>
    </w:p>
    <w:p w:rsidR="00812D42" w:rsidRPr="00916599" w:rsidRDefault="00812D42" w:rsidP="00812D42">
      <w:pPr>
        <w:pStyle w:val="SingleTxtG"/>
        <w:tabs>
          <w:tab w:val="left" w:pos="4820"/>
        </w:tabs>
        <w:ind w:left="4536" w:hanging="3402"/>
        <w:jc w:val="left"/>
      </w:pPr>
      <w:r w:rsidRPr="00916599">
        <w:rPr>
          <w:i/>
        </w:rPr>
        <w:t>Alleged victim:</w:t>
      </w:r>
      <w:r w:rsidRPr="00916599">
        <w:rPr>
          <w:i/>
        </w:rPr>
        <w:tab/>
      </w:r>
      <w:r w:rsidRPr="00916599">
        <w:t>The author</w:t>
      </w:r>
    </w:p>
    <w:p w:rsidR="00812D42" w:rsidRPr="00916599" w:rsidRDefault="00812D42" w:rsidP="00812D42">
      <w:pPr>
        <w:pStyle w:val="SingleTxtG"/>
        <w:tabs>
          <w:tab w:val="left" w:pos="4820"/>
        </w:tabs>
        <w:ind w:left="4536" w:hanging="3402"/>
        <w:jc w:val="left"/>
      </w:pPr>
      <w:r w:rsidRPr="00916599">
        <w:rPr>
          <w:i/>
        </w:rPr>
        <w:t>State party:</w:t>
      </w:r>
      <w:r w:rsidRPr="00916599">
        <w:rPr>
          <w:i/>
        </w:rPr>
        <w:tab/>
      </w:r>
      <w:r w:rsidRPr="00916599">
        <w:rPr>
          <w:iCs/>
        </w:rPr>
        <w:t>Nepal</w:t>
      </w:r>
    </w:p>
    <w:p w:rsidR="00812D42" w:rsidRPr="00916599" w:rsidRDefault="00812D42" w:rsidP="00812D42">
      <w:pPr>
        <w:pStyle w:val="SingleTxtG"/>
        <w:tabs>
          <w:tab w:val="left" w:pos="4820"/>
        </w:tabs>
        <w:ind w:left="4536" w:hanging="3402"/>
        <w:jc w:val="left"/>
      </w:pPr>
      <w:r w:rsidRPr="00916599">
        <w:rPr>
          <w:i/>
        </w:rPr>
        <w:t>Date of communication:</w:t>
      </w:r>
      <w:r w:rsidRPr="00916599">
        <w:rPr>
          <w:i/>
        </w:rPr>
        <w:tab/>
      </w:r>
      <w:r w:rsidRPr="00916599">
        <w:rPr>
          <w:iCs/>
        </w:rPr>
        <w:t>20 June 2014</w:t>
      </w:r>
      <w:r w:rsidRPr="00916599">
        <w:t xml:space="preserve"> (initial submission)</w:t>
      </w:r>
    </w:p>
    <w:p w:rsidR="00812D42" w:rsidRPr="00916599" w:rsidRDefault="00812D42" w:rsidP="00812D42">
      <w:pPr>
        <w:pStyle w:val="SingleTxtG"/>
        <w:tabs>
          <w:tab w:val="left" w:pos="4820"/>
        </w:tabs>
        <w:ind w:left="4536" w:hanging="3402"/>
        <w:jc w:val="left"/>
      </w:pPr>
      <w:r w:rsidRPr="00916599">
        <w:rPr>
          <w:i/>
        </w:rPr>
        <w:t>Document references:</w:t>
      </w:r>
      <w:r w:rsidRPr="00916599">
        <w:rPr>
          <w:i/>
        </w:rPr>
        <w:tab/>
      </w:r>
      <w:r w:rsidRPr="00916599">
        <w:t>Decision taken pursuant to rule 97 of the Committee</w:t>
      </w:r>
      <w:r w:rsidR="00210B97">
        <w:t>’</w:t>
      </w:r>
      <w:r w:rsidRPr="00916599">
        <w:t>s rules of procedure, transmitted to the State party on 27 January 2015 (not issued in document form)</w:t>
      </w:r>
    </w:p>
    <w:p w:rsidR="00812D42" w:rsidRPr="00916599" w:rsidRDefault="00812D42" w:rsidP="000859A3">
      <w:pPr>
        <w:pStyle w:val="SingleTxtG"/>
        <w:tabs>
          <w:tab w:val="left" w:pos="4820"/>
        </w:tabs>
        <w:ind w:left="4536" w:hanging="3402"/>
        <w:jc w:val="left"/>
      </w:pPr>
      <w:r w:rsidRPr="00916599">
        <w:rPr>
          <w:i/>
        </w:rPr>
        <w:t>Date of adoption of Views:</w:t>
      </w:r>
      <w:r w:rsidRPr="00916599">
        <w:rPr>
          <w:i/>
        </w:rPr>
        <w:tab/>
      </w:r>
      <w:r w:rsidR="000859A3" w:rsidRPr="00916599">
        <w:rPr>
          <w:iCs/>
        </w:rPr>
        <w:t>18 March 2019</w:t>
      </w:r>
    </w:p>
    <w:p w:rsidR="00812D42" w:rsidRPr="00916599" w:rsidRDefault="00812D42" w:rsidP="000859A3">
      <w:pPr>
        <w:pStyle w:val="SingleTxtG"/>
        <w:tabs>
          <w:tab w:val="left" w:pos="4820"/>
        </w:tabs>
        <w:ind w:left="4536" w:hanging="3402"/>
        <w:jc w:val="left"/>
      </w:pPr>
      <w:r w:rsidRPr="00916599">
        <w:rPr>
          <w:i/>
          <w:iCs/>
        </w:rPr>
        <w:t>Subject matter:</w:t>
      </w:r>
      <w:r w:rsidRPr="00916599">
        <w:rPr>
          <w:i/>
        </w:rPr>
        <w:tab/>
      </w:r>
      <w:r w:rsidR="000859A3" w:rsidRPr="00916599">
        <w:t>Arbitrary arrest; torture; forced labour of suspected Maoist child supporter by army and police officers</w:t>
      </w:r>
    </w:p>
    <w:p w:rsidR="00812D42" w:rsidRPr="00916599" w:rsidRDefault="00812D42" w:rsidP="000859A3">
      <w:pPr>
        <w:pStyle w:val="SingleTxtG"/>
        <w:tabs>
          <w:tab w:val="left" w:pos="4820"/>
        </w:tabs>
        <w:ind w:left="4536" w:hanging="3402"/>
        <w:jc w:val="left"/>
      </w:pPr>
      <w:r w:rsidRPr="00916599">
        <w:rPr>
          <w:i/>
          <w:iCs/>
        </w:rPr>
        <w:t>Procedural issues</w:t>
      </w:r>
      <w:r w:rsidRPr="00916599">
        <w:rPr>
          <w:i/>
        </w:rPr>
        <w:t>:</w:t>
      </w:r>
      <w:r w:rsidRPr="00916599">
        <w:rPr>
          <w:i/>
          <w:iCs/>
        </w:rPr>
        <w:tab/>
      </w:r>
      <w:r w:rsidRPr="00916599">
        <w:t>Exhaustion of domestic remedies</w:t>
      </w:r>
    </w:p>
    <w:p w:rsidR="00812D42" w:rsidRPr="00916599" w:rsidRDefault="00812D42" w:rsidP="000859A3">
      <w:pPr>
        <w:pStyle w:val="SingleTxtG"/>
        <w:tabs>
          <w:tab w:val="left" w:pos="4820"/>
        </w:tabs>
        <w:ind w:left="4536" w:hanging="3402"/>
        <w:jc w:val="left"/>
      </w:pPr>
      <w:proofErr w:type="gramStart"/>
      <w:r w:rsidRPr="00916599">
        <w:rPr>
          <w:i/>
          <w:iCs/>
        </w:rPr>
        <w:t>Substantive issues:</w:t>
      </w:r>
      <w:r w:rsidRPr="00916599">
        <w:rPr>
          <w:i/>
          <w:iCs/>
        </w:rPr>
        <w:tab/>
      </w:r>
      <w:r w:rsidR="000859A3" w:rsidRPr="00916599">
        <w:t>Prohibition of torture and cruel, inhuman or degrading treatment; prohibition of forced labour; right to liberty and security of person; respect for the inherent dignity of the human person; non-discrimination; recognition as a person before the law; right not to be subjected to arbitrary or unlawful interference with one</w:t>
      </w:r>
      <w:r w:rsidR="00210B97">
        <w:t>’</w:t>
      </w:r>
      <w:r w:rsidR="000859A3" w:rsidRPr="00916599">
        <w:t>s privacy and family life; right to special protection as a child; right to an effective remedy</w:t>
      </w:r>
      <w:proofErr w:type="gramEnd"/>
    </w:p>
    <w:p w:rsidR="00812D42" w:rsidRPr="00916599" w:rsidRDefault="00812D42" w:rsidP="00693DB8">
      <w:pPr>
        <w:pStyle w:val="SingleTxtG"/>
        <w:tabs>
          <w:tab w:val="left" w:pos="4820"/>
        </w:tabs>
        <w:ind w:left="4536" w:hanging="3402"/>
        <w:jc w:val="left"/>
      </w:pPr>
      <w:r w:rsidRPr="00916599">
        <w:rPr>
          <w:i/>
          <w:iCs/>
        </w:rPr>
        <w:t>Articles of the Covenant</w:t>
      </w:r>
      <w:r w:rsidRPr="00916599">
        <w:rPr>
          <w:i/>
        </w:rPr>
        <w:t>:</w:t>
      </w:r>
      <w:r w:rsidRPr="00916599">
        <w:rPr>
          <w:i/>
          <w:iCs/>
        </w:rPr>
        <w:tab/>
      </w:r>
      <w:r w:rsidR="00693DB8" w:rsidRPr="00916599">
        <w:t>2, 3, 7, 8 (3) (a), 9, 10 (1), 17, 23 (1), 24 (1) and 26</w:t>
      </w:r>
      <w:bookmarkStart w:id="0" w:name="_GoBack"/>
      <w:bookmarkEnd w:id="0"/>
    </w:p>
    <w:p w:rsidR="00812D42" w:rsidRPr="00916599" w:rsidRDefault="00693DB8" w:rsidP="00693DB8">
      <w:pPr>
        <w:pStyle w:val="SingleTxtG"/>
        <w:tabs>
          <w:tab w:val="left" w:pos="4820"/>
        </w:tabs>
        <w:ind w:left="4536" w:hanging="3402"/>
        <w:jc w:val="left"/>
      </w:pPr>
      <w:r w:rsidRPr="00916599">
        <w:rPr>
          <w:i/>
          <w:iCs/>
        </w:rPr>
        <w:lastRenderedPageBreak/>
        <w:t>Article</w:t>
      </w:r>
      <w:r w:rsidR="00812D42" w:rsidRPr="00916599">
        <w:rPr>
          <w:i/>
          <w:iCs/>
        </w:rPr>
        <w:t xml:space="preserve"> of the Optional Protocol:</w:t>
      </w:r>
      <w:r w:rsidR="00812D42" w:rsidRPr="00916599">
        <w:rPr>
          <w:i/>
          <w:iCs/>
        </w:rPr>
        <w:tab/>
      </w:r>
      <w:r w:rsidRPr="00916599">
        <w:t>5 (2) (b)</w:t>
      </w:r>
    </w:p>
    <w:p w:rsidR="00C23B00" w:rsidRPr="00916599" w:rsidRDefault="00C23B00" w:rsidP="00C23B00">
      <w:pPr>
        <w:pStyle w:val="SingleTxtG"/>
      </w:pPr>
      <w:r w:rsidRPr="00916599">
        <w:t>1.1</w:t>
      </w:r>
      <w:r w:rsidRPr="00916599">
        <w:tab/>
        <w:t xml:space="preserve">The author of the communication is </w:t>
      </w:r>
      <w:proofErr w:type="spellStart"/>
      <w:r w:rsidRPr="00916599">
        <w:t>Fulmati</w:t>
      </w:r>
      <w:proofErr w:type="spellEnd"/>
      <w:r w:rsidRPr="00916599">
        <w:t xml:space="preserve"> Nyaya,</w:t>
      </w:r>
      <w:r w:rsidRPr="00916599">
        <w:rPr>
          <w:rStyle w:val="FootnoteReference"/>
        </w:rPr>
        <w:footnoteReference w:id="4"/>
      </w:r>
      <w:r w:rsidRPr="00916599">
        <w:t xml:space="preserve"> a national of Nepal, born in 1987, and a member of the indigenous </w:t>
      </w:r>
      <w:proofErr w:type="spellStart"/>
      <w:r w:rsidRPr="00916599">
        <w:t>Tharu</w:t>
      </w:r>
      <w:proofErr w:type="spellEnd"/>
      <w:r w:rsidRPr="00916599">
        <w:t xml:space="preserve"> community. She claims that the State party has violated her rights under articles 2, 3, 7, 8 (3) (a), 9, 10 (1), 17, 23 (1), 24 (1) and 26 of the Covenant. The Optional Protocol entered into force for the State on 14 August 1991. </w:t>
      </w:r>
    </w:p>
    <w:p w:rsidR="00C23B00" w:rsidRPr="00916599" w:rsidRDefault="00C23B00" w:rsidP="00C23B00">
      <w:pPr>
        <w:pStyle w:val="SingleTxtG"/>
      </w:pPr>
      <w:r w:rsidRPr="00916599">
        <w:t>1.2</w:t>
      </w:r>
      <w:r w:rsidRPr="00916599">
        <w:tab/>
        <w:t>On 27 January 2015, pursuant to rule 97 of its rules of procedure, the Committee, acting through its Special Rapporteur on new communications and interim measures, decided to examine the admissibility of the communication together with the merits.</w:t>
      </w:r>
    </w:p>
    <w:p w:rsidR="00C23B00" w:rsidRPr="00916599" w:rsidRDefault="00C23B00" w:rsidP="008F740C">
      <w:pPr>
        <w:pStyle w:val="H23G"/>
      </w:pPr>
      <w:r w:rsidRPr="00916599">
        <w:tab/>
      </w:r>
      <w:r w:rsidRPr="00916599">
        <w:tab/>
        <w:t>The facts as presented by the author</w:t>
      </w:r>
    </w:p>
    <w:p w:rsidR="00C23B00" w:rsidRPr="00916599" w:rsidRDefault="00C23B00" w:rsidP="00C23B00">
      <w:pPr>
        <w:pStyle w:val="SingleTxtG"/>
      </w:pPr>
      <w:r w:rsidRPr="00916599">
        <w:t>2.1</w:t>
      </w:r>
      <w:r w:rsidRPr="00916599">
        <w:tab/>
        <w:t xml:space="preserve">The author notes that the facts of the present communication </w:t>
      </w:r>
      <w:proofErr w:type="gramStart"/>
      <w:r w:rsidRPr="00916599">
        <w:t>must be read</w:t>
      </w:r>
      <w:proofErr w:type="gramEnd"/>
      <w:r w:rsidRPr="00916599">
        <w:t xml:space="preserve"> in the context of the decade-long armed conflict in Nepal (1996 to 2006). </w:t>
      </w:r>
    </w:p>
    <w:p w:rsidR="00C23B00" w:rsidRPr="00916599" w:rsidRDefault="00C23B00" w:rsidP="00C23B00">
      <w:pPr>
        <w:pStyle w:val="SingleTxtG"/>
      </w:pPr>
      <w:r w:rsidRPr="00916599">
        <w:t>2.2</w:t>
      </w:r>
      <w:r w:rsidRPr="00916599">
        <w:tab/>
        <w:t xml:space="preserve">The author was born in the </w:t>
      </w:r>
      <w:proofErr w:type="spellStart"/>
      <w:r w:rsidRPr="00916599">
        <w:t>Kailali</w:t>
      </w:r>
      <w:proofErr w:type="spellEnd"/>
      <w:r w:rsidRPr="00916599">
        <w:t xml:space="preserve"> District in far-western Nepal. On 2 April 2002, when the author was 14 years old,</w:t>
      </w:r>
      <w:r w:rsidRPr="00916599">
        <w:rPr>
          <w:rStyle w:val="FootnoteReference"/>
        </w:rPr>
        <w:footnoteReference w:id="5"/>
      </w:r>
      <w:r w:rsidRPr="00916599">
        <w:t xml:space="preserve"> 300 members of the Royal Nepalese Army and the Armed Police Force</w:t>
      </w:r>
      <w:r w:rsidRPr="00916599">
        <w:rPr>
          <w:rStyle w:val="FootnoteReference"/>
        </w:rPr>
        <w:footnoteReference w:id="6"/>
      </w:r>
      <w:r w:rsidRPr="00916599">
        <w:t xml:space="preserve"> entered her village allegedly looking for Maoists. Soldiers mistook the author for her elder sister – Ms. </w:t>
      </w:r>
      <w:proofErr w:type="spellStart"/>
      <w:r w:rsidRPr="00916599">
        <w:t>Kantimati</w:t>
      </w:r>
      <w:proofErr w:type="spellEnd"/>
      <w:r w:rsidRPr="00916599">
        <w:t>,</w:t>
      </w:r>
      <w:r w:rsidRPr="00916599">
        <w:rPr>
          <w:rStyle w:val="FootnoteReference"/>
        </w:rPr>
        <w:footnoteReference w:id="7"/>
      </w:r>
      <w:r w:rsidRPr="00916599">
        <w:t xml:space="preserve"> who had joined the Maoist party the previous year – and arrested her. She </w:t>
      </w:r>
      <w:proofErr w:type="gramStart"/>
      <w:r w:rsidRPr="00916599">
        <w:t>was dragged</w:t>
      </w:r>
      <w:proofErr w:type="gramEnd"/>
      <w:r w:rsidRPr="00916599">
        <w:t xml:space="preserve"> into a truck, blindfolded, handcuffed and taken to the </w:t>
      </w:r>
      <w:proofErr w:type="spellStart"/>
      <w:r w:rsidRPr="00916599">
        <w:t>Bakimalika</w:t>
      </w:r>
      <w:proofErr w:type="spellEnd"/>
      <w:r w:rsidRPr="00916599">
        <w:t xml:space="preserve"> Battalion of the Armed Police Force in </w:t>
      </w:r>
      <w:proofErr w:type="spellStart"/>
      <w:r w:rsidRPr="00916599">
        <w:t>Banbehda</w:t>
      </w:r>
      <w:proofErr w:type="spellEnd"/>
      <w:r w:rsidRPr="00916599">
        <w:t xml:space="preserve">, </w:t>
      </w:r>
      <w:proofErr w:type="spellStart"/>
      <w:r w:rsidRPr="00916599">
        <w:t>Kailali</w:t>
      </w:r>
      <w:proofErr w:type="spellEnd"/>
      <w:r w:rsidRPr="00916599">
        <w:t xml:space="preserve"> District. In the truck, </w:t>
      </w:r>
      <w:proofErr w:type="gramStart"/>
      <w:r w:rsidRPr="00916599">
        <w:t>the author was sexually assaulted by a group of six to seven soldiers, who touched various parts of her body, including her breast, thighs and bottom</w:t>
      </w:r>
      <w:proofErr w:type="gramEnd"/>
      <w:r w:rsidRPr="00916599">
        <w:t xml:space="preserve">. On the same day, the security forces also arrested her friend, Ms. </w:t>
      </w:r>
      <w:proofErr w:type="spellStart"/>
      <w:r w:rsidRPr="00916599">
        <w:t>Junkiri</w:t>
      </w:r>
      <w:proofErr w:type="spellEnd"/>
      <w:r w:rsidRPr="00916599">
        <w:t>.</w:t>
      </w:r>
      <w:r w:rsidRPr="00916599">
        <w:rPr>
          <w:rStyle w:val="FootnoteReference"/>
        </w:rPr>
        <w:footnoteReference w:id="8"/>
      </w:r>
    </w:p>
    <w:p w:rsidR="00C23B00" w:rsidRPr="00916599" w:rsidRDefault="00C23B00" w:rsidP="00C23B00">
      <w:pPr>
        <w:pStyle w:val="SingleTxtG"/>
      </w:pPr>
      <w:r w:rsidRPr="00916599">
        <w:t>2.3</w:t>
      </w:r>
      <w:r w:rsidRPr="00916599">
        <w:tab/>
        <w:t xml:space="preserve">Later that day, the author and other detainees </w:t>
      </w:r>
      <w:proofErr w:type="gramStart"/>
      <w:r w:rsidRPr="00916599">
        <w:t>were taken</w:t>
      </w:r>
      <w:proofErr w:type="gramEnd"/>
      <w:r w:rsidRPr="00916599">
        <w:t xml:space="preserve"> to the army barracks in </w:t>
      </w:r>
      <w:proofErr w:type="spellStart"/>
      <w:r w:rsidRPr="00916599">
        <w:t>Teghari</w:t>
      </w:r>
      <w:proofErr w:type="spellEnd"/>
      <w:r w:rsidRPr="00916599">
        <w:t xml:space="preserve">. The author </w:t>
      </w:r>
      <w:proofErr w:type="gramStart"/>
      <w:r w:rsidRPr="00916599">
        <w:t>was detained</w:t>
      </w:r>
      <w:proofErr w:type="gramEnd"/>
      <w:r w:rsidRPr="00916599">
        <w:t xml:space="preserve"> incommunicado. During the first nine days of her detention, she </w:t>
      </w:r>
      <w:proofErr w:type="gramStart"/>
      <w:r w:rsidRPr="00916599">
        <w:t>was held</w:t>
      </w:r>
      <w:proofErr w:type="gramEnd"/>
      <w:r w:rsidRPr="00916599">
        <w:t xml:space="preserve"> in a large hall with 80 to 90 other detainees, both men and women, in very poor hygienic conditions. She hardly had anything to eat. A major asked the soldiers to bring the detainees to his office one by one for interviews. For four days, she </w:t>
      </w:r>
      <w:proofErr w:type="gramStart"/>
      <w:r w:rsidRPr="00916599">
        <w:t>was regularly taken</w:t>
      </w:r>
      <w:proofErr w:type="gramEnd"/>
      <w:r w:rsidRPr="00916599">
        <w:t xml:space="preserve"> from the hall for such interviews. The interrogations took place two or three times a day, generally in the evenings, and she </w:t>
      </w:r>
      <w:proofErr w:type="gramStart"/>
      <w:r w:rsidRPr="00916599">
        <w:t>was blindfolded</w:t>
      </w:r>
      <w:proofErr w:type="gramEnd"/>
      <w:r w:rsidRPr="00916599">
        <w:t xml:space="preserve"> most of the time.</w:t>
      </w:r>
    </w:p>
    <w:p w:rsidR="00C23B00" w:rsidRPr="00916599" w:rsidRDefault="00C23B00" w:rsidP="00C23B00">
      <w:pPr>
        <w:pStyle w:val="SingleTxtG"/>
      </w:pPr>
      <w:r w:rsidRPr="00916599">
        <w:t>2.4</w:t>
      </w:r>
      <w:r w:rsidRPr="00916599">
        <w:tab/>
        <w:t xml:space="preserve">During her detention, the author </w:t>
      </w:r>
      <w:proofErr w:type="gramStart"/>
      <w:r w:rsidRPr="00916599">
        <w:t>was raped and subjected to other forms of sexual violence, including forced nudity, insertion of objects into her vagina and other sexual assaults</w:t>
      </w:r>
      <w:proofErr w:type="gramEnd"/>
      <w:r w:rsidRPr="00916599">
        <w:t xml:space="preserve">. She </w:t>
      </w:r>
      <w:proofErr w:type="gramStart"/>
      <w:r w:rsidRPr="00916599">
        <w:t>was also subjected</w:t>
      </w:r>
      <w:proofErr w:type="gramEnd"/>
      <w:r w:rsidRPr="00916599">
        <w:t xml:space="preserve"> to beatings, kicking, punching, prolonged blindfolding and handcuffing, threats, insulting and denigrating language and coerced extraction of confessions. </w:t>
      </w:r>
      <w:proofErr w:type="gramStart"/>
      <w:r w:rsidRPr="00916599">
        <w:t>Following the rape, she was not able to urinate and was bleeding profusely.</w:t>
      </w:r>
      <w:proofErr w:type="gramEnd"/>
      <w:r w:rsidRPr="00916599">
        <w:t xml:space="preserve"> The bleeding lasted for a week and she did not receive any medical assistance or treatment. The Major who raped her threatened to kill her if she told anybody about what had happened.</w:t>
      </w:r>
    </w:p>
    <w:p w:rsidR="00C23B00" w:rsidRPr="00916599" w:rsidRDefault="00C23B00" w:rsidP="00C23B00">
      <w:pPr>
        <w:pStyle w:val="SingleTxtG"/>
      </w:pPr>
      <w:r w:rsidRPr="00916599">
        <w:t>2.5</w:t>
      </w:r>
      <w:r w:rsidRPr="00916599">
        <w:tab/>
        <w:t xml:space="preserve">The author was detained at the army barracks in </w:t>
      </w:r>
      <w:proofErr w:type="spellStart"/>
      <w:r w:rsidRPr="00916599">
        <w:t>Teghari</w:t>
      </w:r>
      <w:proofErr w:type="spellEnd"/>
      <w:r w:rsidRPr="00916599">
        <w:t xml:space="preserve"> from </w:t>
      </w:r>
      <w:proofErr w:type="gramStart"/>
      <w:r w:rsidRPr="00916599">
        <w:t>2</w:t>
      </w:r>
      <w:proofErr w:type="gramEnd"/>
      <w:r w:rsidRPr="00916599">
        <w:t xml:space="preserve"> to 11 April 2002. Then she </w:t>
      </w:r>
      <w:proofErr w:type="gramStart"/>
      <w:r w:rsidRPr="00916599">
        <w:t>was transferred</w:t>
      </w:r>
      <w:proofErr w:type="gramEnd"/>
      <w:r w:rsidRPr="00916599">
        <w:t xml:space="preserve"> back to the </w:t>
      </w:r>
      <w:proofErr w:type="spellStart"/>
      <w:r w:rsidRPr="00916599">
        <w:t>Bakimalika</w:t>
      </w:r>
      <w:proofErr w:type="spellEnd"/>
      <w:r w:rsidRPr="00916599">
        <w:t xml:space="preserve"> Battalion of the Armed Police Force in </w:t>
      </w:r>
      <w:proofErr w:type="spellStart"/>
      <w:r w:rsidRPr="00916599">
        <w:t>Banbehda</w:t>
      </w:r>
      <w:proofErr w:type="spellEnd"/>
      <w:r w:rsidRPr="00916599">
        <w:t xml:space="preserve"> together with Ms. </w:t>
      </w:r>
      <w:proofErr w:type="spellStart"/>
      <w:r w:rsidRPr="00916599">
        <w:t>Junkiri</w:t>
      </w:r>
      <w:proofErr w:type="spellEnd"/>
      <w:r w:rsidRPr="00916599">
        <w:t xml:space="preserve">. They </w:t>
      </w:r>
      <w:proofErr w:type="gramStart"/>
      <w:r w:rsidRPr="00916599">
        <w:t>were detained</w:t>
      </w:r>
      <w:proofErr w:type="gramEnd"/>
      <w:r w:rsidRPr="00916599">
        <w:t xml:space="preserve"> in a very small dark room without windows, mattresses, blankets or beds. During that period, she </w:t>
      </w:r>
      <w:proofErr w:type="gramStart"/>
      <w:r w:rsidRPr="00916599">
        <w:t>was again raped and subjected to other forms of sexual violence</w:t>
      </w:r>
      <w:proofErr w:type="gramEnd"/>
      <w:r w:rsidRPr="00916599">
        <w:t xml:space="preserve">. The Superintendent of the Police always called her for interrogation during the day; after three or four days, he asked for the removal of her blindfold. Moreover, the female detainees, including the author, </w:t>
      </w:r>
      <w:proofErr w:type="gramStart"/>
      <w:r w:rsidRPr="00916599">
        <w:t>were verbally abused and forced to do work in the barracks, such as carrying bricks and sand, making cement for the construction of a temple and watering the garden</w:t>
      </w:r>
      <w:proofErr w:type="gramEnd"/>
      <w:r w:rsidRPr="00916599">
        <w:t>.</w:t>
      </w:r>
    </w:p>
    <w:p w:rsidR="00C23B00" w:rsidRPr="00916599" w:rsidRDefault="00C23B00" w:rsidP="00C23B00">
      <w:pPr>
        <w:pStyle w:val="SingleTxtG"/>
        <w:rPr>
          <w:highlight w:val="yellow"/>
        </w:rPr>
      </w:pPr>
      <w:r w:rsidRPr="00916599">
        <w:t>2.6</w:t>
      </w:r>
      <w:r w:rsidRPr="00916599">
        <w:tab/>
        <w:t>Over a month and a half after her detention, the author</w:t>
      </w:r>
      <w:r w:rsidR="00210B97">
        <w:t>’</w:t>
      </w:r>
      <w:r w:rsidRPr="00916599">
        <w:t>s father, Hira Bahadur,</w:t>
      </w:r>
      <w:r w:rsidRPr="00916599">
        <w:rPr>
          <w:rStyle w:val="FootnoteReference"/>
        </w:rPr>
        <w:footnoteReference w:id="9"/>
      </w:r>
      <w:r w:rsidRPr="00916599">
        <w:t xml:space="preserve"> went to the barracks of the Armed Police Force and finally found the author after having </w:t>
      </w:r>
      <w:r w:rsidRPr="00916599">
        <w:lastRenderedPageBreak/>
        <w:t xml:space="preserve">searched for her in many places of detention. He had to deposit </w:t>
      </w:r>
      <w:proofErr w:type="spellStart"/>
      <w:r w:rsidRPr="00916599">
        <w:t>Nr</w:t>
      </w:r>
      <w:proofErr w:type="spellEnd"/>
      <w:r w:rsidRPr="00916599">
        <w:t xml:space="preserve"> 50,000 (approximately €500) to secure her release. On 13 or 14 June 2002, the author and Ms. </w:t>
      </w:r>
      <w:proofErr w:type="spellStart"/>
      <w:r w:rsidRPr="00916599">
        <w:t>Junkiri</w:t>
      </w:r>
      <w:proofErr w:type="spellEnd"/>
      <w:r w:rsidRPr="00916599">
        <w:t xml:space="preserve"> were released but were requested to </w:t>
      </w:r>
      <w:proofErr w:type="gramStart"/>
      <w:r w:rsidRPr="00916599">
        <w:t>report back</w:t>
      </w:r>
      <w:proofErr w:type="gramEnd"/>
      <w:r w:rsidRPr="00916599">
        <w:t xml:space="preserve"> on certain dates about Maoists activities. They reported periodically for about nine months, until March 2003. Sometimes, police officers recording their reports ill-treated them, touching their bodies and using vulgar language. At some point, the beating stopped but they </w:t>
      </w:r>
      <w:proofErr w:type="gramStart"/>
      <w:r w:rsidRPr="00916599">
        <w:t>were sometimes asked</w:t>
      </w:r>
      <w:proofErr w:type="gramEnd"/>
      <w:r w:rsidRPr="00916599">
        <w:t xml:space="preserve"> to water the garden. The police threatened to kill them if they missed any reporting day. After the initial dates, the reporting dates were set for every 7 days, then every 15 days and, at an unspecified date, the author and her friend </w:t>
      </w:r>
      <w:proofErr w:type="gramStart"/>
      <w:r w:rsidRPr="00916599">
        <w:t>were no longer requested</w:t>
      </w:r>
      <w:proofErr w:type="gramEnd"/>
      <w:r w:rsidRPr="00916599">
        <w:t xml:space="preserve"> to report.</w:t>
      </w:r>
    </w:p>
    <w:p w:rsidR="00C23B00" w:rsidRPr="00916599" w:rsidRDefault="00C23B00" w:rsidP="00C23B00">
      <w:pPr>
        <w:pStyle w:val="SingleTxtG"/>
      </w:pPr>
      <w:r w:rsidRPr="00916599">
        <w:t>2.7</w:t>
      </w:r>
      <w:r w:rsidRPr="00916599">
        <w:tab/>
        <w:t xml:space="preserve">In June 2002, the author returned to her village and found out that she had become a social outcast. Aware of the behaviour of security forces towards female detainees, the villagers assumed that she </w:t>
      </w:r>
      <w:proofErr w:type="gramStart"/>
      <w:r w:rsidRPr="00916599">
        <w:t>had been raped</w:t>
      </w:r>
      <w:proofErr w:type="gramEnd"/>
      <w:r w:rsidRPr="00916599">
        <w:t xml:space="preserve"> and thus bore </w:t>
      </w:r>
      <w:r w:rsidR="00210B97">
        <w:t>“</w:t>
      </w:r>
      <w:r w:rsidRPr="00916599">
        <w:t>impurities</w:t>
      </w:r>
      <w:r w:rsidR="00210B97">
        <w:t>”</w:t>
      </w:r>
      <w:r w:rsidRPr="00916599">
        <w:t xml:space="preserve">. Her friends in the village avoided her. She was not able to leave her house for about a month due to the shame and humiliation and she stopped going to school. Therefore, her formal education </w:t>
      </w:r>
      <w:proofErr w:type="gramStart"/>
      <w:r w:rsidRPr="00916599">
        <w:t>was interrupted</w:t>
      </w:r>
      <w:proofErr w:type="gramEnd"/>
      <w:r w:rsidRPr="00916599">
        <w:t xml:space="preserve"> for two years. She went back to school in 2004, where she </w:t>
      </w:r>
      <w:proofErr w:type="gramStart"/>
      <w:r w:rsidRPr="00916599">
        <w:t>was often ridiculed</w:t>
      </w:r>
      <w:proofErr w:type="gramEnd"/>
      <w:r w:rsidRPr="00916599">
        <w:t xml:space="preserve"> as an </w:t>
      </w:r>
      <w:r w:rsidR="00210B97">
        <w:t>“</w:t>
      </w:r>
      <w:r w:rsidRPr="00916599">
        <w:t>impure girl</w:t>
      </w:r>
      <w:r w:rsidR="00210B97">
        <w:t>”</w:t>
      </w:r>
      <w:r w:rsidRPr="00916599">
        <w:t xml:space="preserve">. </w:t>
      </w:r>
    </w:p>
    <w:p w:rsidR="00C23B00" w:rsidRPr="00916599" w:rsidRDefault="00C23B00" w:rsidP="00C23B00">
      <w:pPr>
        <w:pStyle w:val="SingleTxtG"/>
      </w:pPr>
      <w:r w:rsidRPr="00916599">
        <w:t>2.8</w:t>
      </w:r>
      <w:r w:rsidRPr="00916599">
        <w:tab/>
        <w:t xml:space="preserve">In February 2009, the author got married. A week after her marriage, her husband heard about her rape. When he asked her about it, she told him the truth. As a result, her husband and in-laws rejected her. The author was deeply humiliated and had to return to her maternal home. She stayed there for two years before her husband finally reconciled with her. </w:t>
      </w:r>
    </w:p>
    <w:p w:rsidR="00C23B00" w:rsidRPr="00916599" w:rsidRDefault="00C23B00" w:rsidP="00C23B00">
      <w:pPr>
        <w:pStyle w:val="SingleTxtG"/>
      </w:pPr>
      <w:r w:rsidRPr="00916599">
        <w:t>2.9</w:t>
      </w:r>
      <w:r w:rsidRPr="00916599">
        <w:tab/>
        <w:t xml:space="preserve">The trauma provoked by the sexual violence and torture endured, and the subsequent stigmatization and rejection left the author with severe psychological sequelae. She suffers from post-traumatic stress disorder and has ongoing anxiety, nightmares and suicidal thoughts. She also suffers from various grave physical ailments, including pains in her chest and problems with her backbone and ribs. </w:t>
      </w:r>
      <w:proofErr w:type="gramStart"/>
      <w:r w:rsidRPr="00916599">
        <w:t>She was examined by a physician in Kathmandu</w:t>
      </w:r>
      <w:proofErr w:type="gramEnd"/>
      <w:r w:rsidRPr="00916599">
        <w:t xml:space="preserve"> in March 2013 and the doctor advised her to undergo therapy and take medication on a long-term basis to avoid further damage to her backbone, as she is at risk of paralysis.</w:t>
      </w:r>
      <w:r w:rsidRPr="00916599">
        <w:rPr>
          <w:rStyle w:val="FootnoteReference"/>
        </w:rPr>
        <w:footnoteReference w:id="10"/>
      </w:r>
      <w:r w:rsidRPr="00916599">
        <w:t xml:space="preserve"> The forensic doctor who examined the author on 24 March 2014 found scars on her body and a nail deformity that were </w:t>
      </w:r>
      <w:proofErr w:type="gramStart"/>
      <w:r w:rsidRPr="00916599">
        <w:t xml:space="preserve">considered to be </w:t>
      </w:r>
      <w:r w:rsidR="00210B97">
        <w:t>“</w:t>
      </w:r>
      <w:proofErr w:type="gramEnd"/>
      <w:r w:rsidRPr="00916599">
        <w:t>consistent with the history provided by the examinee</w:t>
      </w:r>
      <w:r w:rsidR="00210B97">
        <w:t>”</w:t>
      </w:r>
      <w:r w:rsidRPr="00916599">
        <w:t>.</w:t>
      </w:r>
      <w:r w:rsidRPr="00916599">
        <w:rPr>
          <w:rStyle w:val="FootnoteReference"/>
        </w:rPr>
        <w:footnoteReference w:id="11"/>
      </w:r>
    </w:p>
    <w:p w:rsidR="00C23B00" w:rsidRPr="00916599" w:rsidRDefault="00C23B00" w:rsidP="00C23B00">
      <w:pPr>
        <w:pStyle w:val="SingleTxtG"/>
      </w:pPr>
      <w:r w:rsidRPr="00916599">
        <w:t>2.10</w:t>
      </w:r>
      <w:r w:rsidRPr="00916599">
        <w:tab/>
        <w:t xml:space="preserve">Although many years had passed since the author was subjected to rape, torture and forced labour, she never complained about these crimes to any authority, doctor or even her own family. Given the social stigma attached to sexual violence in Nepalese society, including within the indigenous community she belonged to, it was impossible for her to seek support in the community, as it would have led to further victimization rather than to a remedy. Moreover, the author was only a 14-year-old girl and she did not understand the avenues of </w:t>
      </w:r>
      <w:proofErr w:type="gramStart"/>
      <w:r w:rsidRPr="00916599">
        <w:t>justice or how to follow them</w:t>
      </w:r>
      <w:proofErr w:type="gramEnd"/>
      <w:r w:rsidRPr="00916599">
        <w:t xml:space="preserve">. She would have needed to </w:t>
      </w:r>
      <w:proofErr w:type="gramStart"/>
      <w:r w:rsidRPr="00916599">
        <w:t>be represented</w:t>
      </w:r>
      <w:proofErr w:type="gramEnd"/>
      <w:r w:rsidRPr="00916599">
        <w:t xml:space="preserve"> by her parents in legal proceedings, but she was too as</w:t>
      </w:r>
      <w:r w:rsidR="008F740C" w:rsidRPr="00916599">
        <w:t>hamed to ask for their support.</w:t>
      </w:r>
    </w:p>
    <w:p w:rsidR="00C23B00" w:rsidRPr="00916599" w:rsidRDefault="00C23B00" w:rsidP="00C23B00">
      <w:pPr>
        <w:pStyle w:val="SingleTxtG"/>
      </w:pPr>
      <w:r w:rsidRPr="00916599">
        <w:t>2.11</w:t>
      </w:r>
      <w:r w:rsidRPr="00916599">
        <w:tab/>
        <w:t xml:space="preserve">In 2011, the author learned about the possibility of applying for interim relief as a victim of the conflict before the District Administration Office. </w:t>
      </w:r>
      <w:proofErr w:type="gramStart"/>
      <w:r w:rsidRPr="00916599">
        <w:t>In January 2011, she complained about her arbitrary detention and ill-treatment before the Chief District Officer, but has not received any interim relief to date.</w:t>
      </w:r>
      <w:proofErr w:type="gramEnd"/>
      <w:r w:rsidRPr="00916599">
        <w:t xml:space="preserve"> In fact, the interim relief excludes from its scope victims of rape or other forms of sexual violence.</w:t>
      </w:r>
      <w:r w:rsidRPr="00916599">
        <w:rPr>
          <w:rStyle w:val="FootnoteReference"/>
        </w:rPr>
        <w:footnoteReference w:id="12"/>
      </w:r>
    </w:p>
    <w:p w:rsidR="00C23B00" w:rsidRPr="00916599" w:rsidRDefault="00C23B00" w:rsidP="00C23B00">
      <w:pPr>
        <w:pStyle w:val="SingleTxtG"/>
      </w:pPr>
      <w:r w:rsidRPr="00916599">
        <w:t>2.12</w:t>
      </w:r>
      <w:r w:rsidRPr="00916599">
        <w:tab/>
        <w:t xml:space="preserve">On 17 February 2014, a lawyer filed a complaint (first information report) on behalf of the author. The Deputy Superintendent of the Police at the </w:t>
      </w:r>
      <w:proofErr w:type="spellStart"/>
      <w:r w:rsidRPr="00916599">
        <w:t>Kailali</w:t>
      </w:r>
      <w:proofErr w:type="spellEnd"/>
      <w:r w:rsidRPr="00916599">
        <w:t xml:space="preserve"> District police office </w:t>
      </w:r>
      <w:r w:rsidRPr="00916599">
        <w:lastRenderedPageBreak/>
        <w:t>refused to register the author</w:t>
      </w:r>
      <w:r w:rsidR="00210B97">
        <w:t>’</w:t>
      </w:r>
      <w:r w:rsidRPr="00916599">
        <w:t xml:space="preserve">s first information report, as it allegedly did not comply with the 35-day statute of limitations for reporting the crime of rape established pursuant to section 11 of the Nepalese criminal code. The lawyer also tried to file a claim for compensation before the </w:t>
      </w:r>
      <w:proofErr w:type="spellStart"/>
      <w:r w:rsidRPr="00916599">
        <w:t>Kailali</w:t>
      </w:r>
      <w:proofErr w:type="spellEnd"/>
      <w:r w:rsidRPr="00916599">
        <w:t xml:space="preserve"> District Court, pursuant to the torture compensation act of 1996, but the Court refused to register the claim.</w:t>
      </w:r>
    </w:p>
    <w:p w:rsidR="00C23B00" w:rsidRPr="00916599" w:rsidRDefault="00C23B00" w:rsidP="00C23B00">
      <w:pPr>
        <w:pStyle w:val="SingleTxtG"/>
      </w:pPr>
      <w:r w:rsidRPr="00916599">
        <w:t>2.13</w:t>
      </w:r>
      <w:r w:rsidRPr="00916599">
        <w:tab/>
        <w:t xml:space="preserve">The author notes that section 3 (5) of the Government Cases Act (1992) allows complainants to lodge their first information report with the Chief District Officer or the police office superior to the police office that initially refused to file the report. Accordingly, on 29 March 2014, the author requested the Assistant Chief District Officer in </w:t>
      </w:r>
      <w:proofErr w:type="spellStart"/>
      <w:r w:rsidRPr="00916599">
        <w:t>Dhangadhi</w:t>
      </w:r>
      <w:proofErr w:type="spellEnd"/>
      <w:r w:rsidRPr="00916599">
        <w:t xml:space="preserve">, the District Headquarters of </w:t>
      </w:r>
      <w:proofErr w:type="spellStart"/>
      <w:r w:rsidRPr="00916599">
        <w:t>Kailali</w:t>
      </w:r>
      <w:proofErr w:type="spellEnd"/>
      <w:r w:rsidRPr="00916599">
        <w:t xml:space="preserve">, to register a first information report, but he refused to do so alleging that it was not possible for conflict-related cases to be registered and that the author should wait for the establishment of transitional justice mechanisms. </w:t>
      </w:r>
    </w:p>
    <w:p w:rsidR="00C23B00" w:rsidRPr="00916599" w:rsidRDefault="00C23B00" w:rsidP="00C23B00">
      <w:pPr>
        <w:pStyle w:val="SingleTxtG"/>
      </w:pPr>
      <w:r w:rsidRPr="00916599">
        <w:t>2.14</w:t>
      </w:r>
      <w:r w:rsidRPr="00916599">
        <w:tab/>
        <w:t xml:space="preserve">On 11 April 2014, the author filed a writ of mandamus before the Supreme Court of Nepal, which </w:t>
      </w:r>
      <w:proofErr w:type="gramStart"/>
      <w:r w:rsidRPr="00916599">
        <w:t>was registered</w:t>
      </w:r>
      <w:proofErr w:type="gramEnd"/>
      <w:r w:rsidRPr="00916599">
        <w:t xml:space="preserve"> on the same date, requesting the non-application of the 35-day statute of limitations. However, the author notes that the Supreme Court has never admitted requests concerning the non-application of the 35-day statute of limitation in individual cases, so the chances that her petition will succeed are null. </w:t>
      </w:r>
      <w:proofErr w:type="gramStart"/>
      <w:r w:rsidRPr="00916599">
        <w:t>The author notes that the only exception was made regarding a specific case not related to the conflict, in which the Supreme Court highlighted the need to remove provisions on prescription, noting that they were a barrier to effective remedy and reparations for victims and directed the Government to amend the relevant legislation to remove the 35-day statutory limitation on rape.</w:t>
      </w:r>
      <w:proofErr w:type="gramEnd"/>
      <w:r w:rsidRPr="00916599">
        <w:t xml:space="preserve"> However, this has remained unimplemented since 2008.</w:t>
      </w:r>
      <w:r w:rsidRPr="00916599">
        <w:rPr>
          <w:rStyle w:val="FootnoteReference"/>
        </w:rPr>
        <w:footnoteReference w:id="13"/>
      </w:r>
    </w:p>
    <w:p w:rsidR="00C23B00" w:rsidRPr="00916599" w:rsidRDefault="00C23B00" w:rsidP="00C23B00">
      <w:pPr>
        <w:pStyle w:val="SingleTxtG"/>
      </w:pPr>
      <w:r w:rsidRPr="00916599">
        <w:t>2.15</w:t>
      </w:r>
      <w:r w:rsidRPr="00916599">
        <w:tab/>
        <w:t xml:space="preserve">On 17 April 2014, the Supreme Court issued a show cause order, asking the Ministry of Home Affairs, Nepal Police Headquarters in </w:t>
      </w:r>
      <w:proofErr w:type="spellStart"/>
      <w:r w:rsidRPr="00916599">
        <w:t>Naxal</w:t>
      </w:r>
      <w:proofErr w:type="spellEnd"/>
      <w:r w:rsidRPr="00916599">
        <w:t xml:space="preserve">, the District Police Office in </w:t>
      </w:r>
      <w:proofErr w:type="spellStart"/>
      <w:r w:rsidRPr="00916599">
        <w:t>Kailali</w:t>
      </w:r>
      <w:proofErr w:type="spellEnd"/>
      <w:r w:rsidRPr="00916599">
        <w:t xml:space="preserve"> and the District Administration Office in </w:t>
      </w:r>
      <w:proofErr w:type="spellStart"/>
      <w:r w:rsidRPr="00916599">
        <w:t>Kailali</w:t>
      </w:r>
      <w:proofErr w:type="spellEnd"/>
      <w:r w:rsidRPr="00916599">
        <w:t xml:space="preserve"> to provide a reply within 15 days (by 2 May 2014). None of the respondents respected the deadline and the Supreme Court fixed a second deadline for 2 June 2014. </w:t>
      </w:r>
    </w:p>
    <w:p w:rsidR="00C23B00" w:rsidRPr="00916599" w:rsidRDefault="00C23B00" w:rsidP="00C23B00">
      <w:pPr>
        <w:pStyle w:val="SingleTxtG"/>
      </w:pPr>
      <w:r w:rsidRPr="00916599">
        <w:t>2.16</w:t>
      </w:r>
      <w:r w:rsidRPr="00916599">
        <w:tab/>
        <w:t xml:space="preserve">Nepal Police Headquarters and the Ministry of Home Affairs submitted rejoinders on </w:t>
      </w:r>
      <w:proofErr w:type="gramStart"/>
      <w:r w:rsidRPr="00916599">
        <w:t>5</w:t>
      </w:r>
      <w:proofErr w:type="gramEnd"/>
      <w:r w:rsidRPr="00916599">
        <w:t xml:space="preserve"> and 19 May 2014, respectively, challenging the admissibility of the claims on the basis of the 35-day statute of limitations, which precludes any investigations.</w:t>
      </w:r>
      <w:r w:rsidRPr="00916599">
        <w:rPr>
          <w:rStyle w:val="FootnoteReference"/>
        </w:rPr>
        <w:footnoteReference w:id="14"/>
      </w:r>
      <w:r w:rsidRPr="00916599">
        <w:t xml:space="preserve"> In June 2014, the District Police Office in </w:t>
      </w:r>
      <w:proofErr w:type="spellStart"/>
      <w:r w:rsidRPr="00916599">
        <w:t>Kailali</w:t>
      </w:r>
      <w:proofErr w:type="spellEnd"/>
      <w:r w:rsidRPr="00916599">
        <w:t xml:space="preserve"> and the District Administration Office in </w:t>
      </w:r>
      <w:proofErr w:type="spellStart"/>
      <w:r w:rsidRPr="00916599">
        <w:t>Kailali</w:t>
      </w:r>
      <w:proofErr w:type="spellEnd"/>
      <w:r w:rsidRPr="00916599">
        <w:t xml:space="preserve"> submitted similar replies. </w:t>
      </w:r>
      <w:proofErr w:type="gramStart"/>
      <w:r w:rsidRPr="00916599">
        <w:t>The case is still pending, while the author</w:t>
      </w:r>
      <w:r w:rsidR="00210B97">
        <w:t>’</w:t>
      </w:r>
      <w:r w:rsidRPr="00916599">
        <w:t>s overall health situation is critical and requires prompt intervention.</w:t>
      </w:r>
      <w:proofErr w:type="gramEnd"/>
    </w:p>
    <w:p w:rsidR="00C23B00" w:rsidRPr="00916599" w:rsidRDefault="00C23B00" w:rsidP="00C23B00">
      <w:pPr>
        <w:pStyle w:val="SingleTxtG"/>
      </w:pPr>
      <w:r w:rsidRPr="00916599">
        <w:t>2.17</w:t>
      </w:r>
      <w:r w:rsidRPr="00916599">
        <w:tab/>
        <w:t xml:space="preserve">The author claims that she tried, unsuccessfully, to have a first information report registered and to submit a complaint for compensation pursuant to the torture compensation act of 1996. </w:t>
      </w:r>
      <w:proofErr w:type="gramStart"/>
      <w:r w:rsidRPr="00916599">
        <w:t>She contends that she had no effective remedies available and cites the Committee</w:t>
      </w:r>
      <w:r w:rsidR="00210B97">
        <w:t>’</w:t>
      </w:r>
      <w:r w:rsidRPr="00916599">
        <w:t>s jurisprudence, according to which the exhaustion of local remedies can only be required insofar as such remedies appear to be effective in the given case and are de facto available to the author;</w:t>
      </w:r>
      <w:r w:rsidRPr="00916599">
        <w:rPr>
          <w:rStyle w:val="FootnoteReference"/>
        </w:rPr>
        <w:footnoteReference w:id="15"/>
      </w:r>
      <w:r w:rsidRPr="00916599">
        <w:t xml:space="preserve"> and that domestic remedies do not need to be exhausted where the author has objectively no prospect of success.</w:t>
      </w:r>
      <w:r w:rsidRPr="00916599">
        <w:rPr>
          <w:rStyle w:val="FootnoteReference"/>
        </w:rPr>
        <w:footnoteReference w:id="16"/>
      </w:r>
      <w:proofErr w:type="gramEnd"/>
      <w:r w:rsidRPr="00916599">
        <w:t xml:space="preserve"> </w:t>
      </w:r>
    </w:p>
    <w:p w:rsidR="00C23B00" w:rsidRPr="00916599" w:rsidRDefault="00C23B00" w:rsidP="00C23B00">
      <w:pPr>
        <w:pStyle w:val="SingleTxtG"/>
      </w:pPr>
      <w:r w:rsidRPr="00916599">
        <w:t>2.18</w:t>
      </w:r>
      <w:r w:rsidRPr="00916599">
        <w:tab/>
        <w:t>The author further refers to a case against Nepal where the Committee held that the filing of first information reports with the police rarely led to any investigation and thus declared the case admissible.</w:t>
      </w:r>
      <w:r w:rsidRPr="00916599">
        <w:rPr>
          <w:rStyle w:val="FootnoteReference"/>
        </w:rPr>
        <w:footnoteReference w:id="17"/>
      </w:r>
      <w:r w:rsidRPr="00916599">
        <w:t xml:space="preserve"> The author adds that in other cases the Committee expressly </w:t>
      </w:r>
      <w:r w:rsidRPr="00916599">
        <w:lastRenderedPageBreak/>
        <w:t>referred to the 35-day statute of limitations as strict</w:t>
      </w:r>
      <w:r w:rsidRPr="00916599">
        <w:rPr>
          <w:rStyle w:val="FootnoteReference"/>
        </w:rPr>
        <w:footnoteReference w:id="18"/>
      </w:r>
      <w:r w:rsidRPr="00916599">
        <w:t xml:space="preserve"> and flagrantly inconsistent with the gravity of the crime of torture.</w:t>
      </w:r>
      <w:r w:rsidRPr="00916599">
        <w:rPr>
          <w:rStyle w:val="FootnoteReference"/>
        </w:rPr>
        <w:footnoteReference w:id="19"/>
      </w:r>
    </w:p>
    <w:p w:rsidR="00C23B00" w:rsidRPr="00916599" w:rsidRDefault="00C23B00" w:rsidP="00B73607">
      <w:pPr>
        <w:pStyle w:val="H23G"/>
      </w:pPr>
      <w:r w:rsidRPr="00916599">
        <w:tab/>
      </w:r>
      <w:r w:rsidRPr="00916599">
        <w:tab/>
        <w:t>The complaint</w:t>
      </w:r>
    </w:p>
    <w:p w:rsidR="00C23B00" w:rsidRPr="00916599" w:rsidRDefault="00C23B00" w:rsidP="00C23B00">
      <w:pPr>
        <w:pStyle w:val="SingleTxtG"/>
      </w:pPr>
      <w:proofErr w:type="gramStart"/>
      <w:r w:rsidRPr="00916599">
        <w:t>3.1</w:t>
      </w:r>
      <w:r w:rsidRPr="00916599">
        <w:tab/>
        <w:t xml:space="preserve">The author claims that the State party has violated articles 7, 8 (3) (a) and 10 (1) of the Covenant, read alone and in conjunction with articles 2 (1)–(3), 3, 24 (1) and 26 of the Covenant, given the </w:t>
      </w:r>
      <w:bookmarkStart w:id="1" w:name="_Hlk531535004"/>
      <w:r w:rsidRPr="00916599">
        <w:t xml:space="preserve">rape, sexual abuse, torture, ill-treatment, inhumane conditions of detention and forced labour </w:t>
      </w:r>
      <w:bookmarkEnd w:id="1"/>
      <w:r w:rsidRPr="00916599">
        <w:t>that she was subjected to and the subsequent failure by the State party to provide an effective remedy and to carry out an ex officio, prompt, effective, independent, impartial and thorough investigation into her allegations, and to prosecute and sanction those responsible.</w:t>
      </w:r>
      <w:proofErr w:type="gramEnd"/>
      <w:r w:rsidRPr="00916599">
        <w:t xml:space="preserve"> The author submits that the violations </w:t>
      </w:r>
      <w:proofErr w:type="gramStart"/>
      <w:r w:rsidRPr="00916599">
        <w:t>are aggravated</w:t>
      </w:r>
      <w:proofErr w:type="gramEnd"/>
      <w:r w:rsidRPr="00916599">
        <w:t xml:space="preserve"> by the fact that, at the time of the events, she was a young indigenous girl and, as such, she was entitled to special protection from the State party. The author adds that the rape and sexual abuse that she endured were committed as part of a systematic practice existing during the conflict in Nepal. Moreover, she claims that Nepal has failed to adopt effective legislative measures to give effect to the rights enshrined in the Covenant and has failed to remove obstacles in the existing legal framework that have disproportionately prejudicial effects on women. According to Nepalese law, no complaint can be entertained regarding rape unless filed within 35 days after the commission or occurrence thereof.</w:t>
      </w:r>
      <w:r w:rsidRPr="00916599">
        <w:rPr>
          <w:rStyle w:val="FootnoteReference"/>
        </w:rPr>
        <w:footnoteReference w:id="20"/>
      </w:r>
      <w:r w:rsidRPr="00916599">
        <w:t xml:space="preserve"> Filing a complaint would have been materially impossible for her as she </w:t>
      </w:r>
      <w:proofErr w:type="gramStart"/>
      <w:r w:rsidRPr="00916599">
        <w:t>was being held</w:t>
      </w:r>
      <w:proofErr w:type="gramEnd"/>
      <w:r w:rsidRPr="00916599">
        <w:t xml:space="preserve"> in arbitrary detention at the time. The author further claims that she was a victim of discrimination based on her gender and ethnicity because of the attitude shown by domestic authorities.</w:t>
      </w:r>
      <w:r w:rsidRPr="00916599">
        <w:rPr>
          <w:rStyle w:val="FootnoteReference"/>
        </w:rPr>
        <w:footnoteReference w:id="21"/>
      </w:r>
    </w:p>
    <w:p w:rsidR="00C23B00" w:rsidRPr="00916599" w:rsidRDefault="00C23B00" w:rsidP="00B73607">
      <w:pPr>
        <w:pStyle w:val="SingleTxtG"/>
      </w:pPr>
      <w:proofErr w:type="gramStart"/>
      <w:r w:rsidRPr="00916599">
        <w:t>3.2</w:t>
      </w:r>
      <w:r w:rsidRPr="00916599">
        <w:tab/>
      </w:r>
      <w:bookmarkStart w:id="2" w:name="_Hlk532215621"/>
      <w:r w:rsidRPr="00916599">
        <w:t xml:space="preserve">The author further claims to be </w:t>
      </w:r>
      <w:r w:rsidR="00172F25">
        <w:t xml:space="preserve">a </w:t>
      </w:r>
      <w:r w:rsidRPr="00916599">
        <w:t>victim of a violation of article 9 (1–3) of the Covenant, read alone and in conjunction with articles 2 (3) and 24 (1) of the Covenant, because she was subjected to arbitrary arrest and detention and because she was not informed, at the time of arrest, of the reasons for her arrest, or promptly informed of the charges against her.</w:t>
      </w:r>
      <w:proofErr w:type="gramEnd"/>
      <w:r w:rsidRPr="00916599">
        <w:t xml:space="preserve"> Nepalese authorities did not conduct any effective investigation into these claims of violations, and they did not identify, prosecute and sanction those responsible, or provide her </w:t>
      </w:r>
      <w:r w:rsidR="00172F25">
        <w:t xml:space="preserve">with </w:t>
      </w:r>
      <w:r w:rsidRPr="00916599">
        <w:t>special protection due to her as a child.</w:t>
      </w:r>
      <w:bookmarkEnd w:id="2"/>
    </w:p>
    <w:p w:rsidR="00C23B00" w:rsidRPr="00916599" w:rsidRDefault="00C23B00" w:rsidP="00C23B00">
      <w:pPr>
        <w:pStyle w:val="SingleTxtG"/>
      </w:pPr>
      <w:proofErr w:type="gramStart"/>
      <w:r w:rsidRPr="00916599">
        <w:t>3.3</w:t>
      </w:r>
      <w:r w:rsidRPr="00916599">
        <w:tab/>
      </w:r>
      <w:bookmarkStart w:id="3" w:name="_Hlk532219677"/>
      <w:r w:rsidRPr="00916599">
        <w:t>The author finally alleges a violation of articles 17 and 23 (1), read alone and in conjunction with articles 2 (1) and (3), 24 (1) and 26 of the Covenant, due to the arbitrary interference with her privacy and her sexual life as a woman,</w:t>
      </w:r>
      <w:r w:rsidRPr="00916599">
        <w:rPr>
          <w:rStyle w:val="FootnoteReference"/>
        </w:rPr>
        <w:footnoteReference w:id="22"/>
      </w:r>
      <w:r w:rsidRPr="00916599">
        <w:t xml:space="preserve"> the disruption of her family life, and the unlawful attacks on her honour and reputation.</w:t>
      </w:r>
      <w:proofErr w:type="gramEnd"/>
      <w:r w:rsidRPr="00916599">
        <w:t xml:space="preserve"> Moreover, Nepalese authorities failed to adopt measures of protection for the author</w:t>
      </w:r>
      <w:r w:rsidR="00210B97">
        <w:t>’</w:t>
      </w:r>
      <w:r w:rsidRPr="00916599">
        <w:t>s family, leaving the author to endure stigmatization and marginalization. The author claims she was a victim of triple discrimination: as a child, as a woman and as an indigenous person.</w:t>
      </w:r>
    </w:p>
    <w:bookmarkEnd w:id="3"/>
    <w:p w:rsidR="00C23B00" w:rsidRPr="00916599" w:rsidRDefault="00C23B00" w:rsidP="00C23B00">
      <w:pPr>
        <w:pStyle w:val="SingleTxtG"/>
      </w:pPr>
      <w:proofErr w:type="gramStart"/>
      <w:r w:rsidRPr="00916599">
        <w:t>3.4</w:t>
      </w:r>
      <w:r w:rsidRPr="00916599">
        <w:tab/>
        <w:t>With respect to reparation, the author requests that the Committee call on the State party to adopt the following specific measures: (a) undertake prompt and effective investigations of the crimes alleged by the author and bring the perpetrators to justice; (b) provide an official apology to the author on the occasion of a private ceremony, acknowledging the State</w:t>
      </w:r>
      <w:r w:rsidR="00210B97">
        <w:t>’</w:t>
      </w:r>
      <w:r w:rsidRPr="00916599">
        <w:t>s international responsibility; (c) provide prompt, fair and adequate compensation to the author for the material and moral damage caused; and (d) provide free-of-charge medical and psychological care for the author.</w:t>
      </w:r>
      <w:proofErr w:type="gramEnd"/>
      <w:r w:rsidRPr="00916599">
        <w:t xml:space="preserve"> </w:t>
      </w:r>
      <w:proofErr w:type="gramStart"/>
      <w:r w:rsidRPr="00916599">
        <w:t xml:space="preserve">The author also requests that the Committee call upon the State party to implement the following general measures: (a) criminalize torture; (b) adapt the definition of rape and other forms of sexual violence in accordance with international standards and codify rape as a crime against humanity; (c) amend the 35-day statute of limitations for the crime of rape and bring it into line with international human rights law; (d) amend Nepalese law to make it mandatory to </w:t>
      </w:r>
      <w:r w:rsidRPr="00916599">
        <w:lastRenderedPageBreak/>
        <w:t>provide an arrest warrant at the time of arrest, including the grounds for arrest; (e) ensure that all fundamental legal safeguards for detainees are provided; (f) ensure that investigations and forensic analyses, mainly with regard to rape and other forms of sexual violence, follow international standards, in particular the Manual on the Effective Investigation and Documentation of Torture and Other Cruel, Inhuman or Degrading Treatment or Punishment (Istanbul Protocol) and the Guidelines for Medico-Legal Care for Victims of Sexual Violence issued by the World Health Organization; and (g) establish capacity-building and educational programmes and training on diligent investigations of cases of sexual abuse of women, the Istanbul Protocol, international human rights law and international humanitarian law for the judiciary, army, security forces and all persons who may be involved in dealing with persons deprived of their liberty.</w:t>
      </w:r>
      <w:proofErr w:type="gramEnd"/>
      <w:r w:rsidRPr="00916599">
        <w:t xml:space="preserve"> </w:t>
      </w:r>
    </w:p>
    <w:p w:rsidR="00C23B00" w:rsidRPr="00916599" w:rsidRDefault="00C23B00" w:rsidP="00B73607">
      <w:pPr>
        <w:pStyle w:val="H23G"/>
      </w:pPr>
      <w:r w:rsidRPr="00916599">
        <w:tab/>
      </w:r>
      <w:r w:rsidRPr="00916599">
        <w:tab/>
        <w:t>State party</w:t>
      </w:r>
      <w:r w:rsidR="00210B97">
        <w:t>’</w:t>
      </w:r>
      <w:r w:rsidRPr="00916599">
        <w:t>s observations on admissibility and the merits</w:t>
      </w:r>
    </w:p>
    <w:p w:rsidR="00C23B00" w:rsidRPr="00916599" w:rsidRDefault="00C23B00" w:rsidP="00C23B00">
      <w:pPr>
        <w:pStyle w:val="SingleTxtG"/>
      </w:pPr>
      <w:r w:rsidRPr="00916599">
        <w:t>4.1</w:t>
      </w:r>
      <w:r w:rsidRPr="00916599">
        <w:tab/>
        <w:t xml:space="preserve">In its observations dated 4 September 2015, the State party argues that the author has failed to exhaust domestic remedies available both in the criminal justice system as well as through the transitional justice mechanism, which is the appropriate avenue for </w:t>
      </w:r>
      <w:proofErr w:type="gramStart"/>
      <w:r w:rsidRPr="00916599">
        <w:t>truth-seeking</w:t>
      </w:r>
      <w:proofErr w:type="gramEnd"/>
      <w:r w:rsidRPr="00916599">
        <w:t xml:space="preserve"> for crimes committed during the armed conflict.</w:t>
      </w:r>
    </w:p>
    <w:p w:rsidR="00C23B00" w:rsidRPr="00916599" w:rsidRDefault="00C23B00" w:rsidP="00C23B00">
      <w:pPr>
        <w:pStyle w:val="SingleTxtG"/>
      </w:pPr>
      <w:r w:rsidRPr="00916599">
        <w:t>4.2</w:t>
      </w:r>
      <w:r w:rsidRPr="00916599">
        <w:tab/>
        <w:t>As regards the ordinary criminal justice system, the State party notes that the author</w:t>
      </w:r>
      <w:r w:rsidR="00210B97">
        <w:t>’</w:t>
      </w:r>
      <w:r w:rsidRPr="00916599">
        <w:t>s writ of mandamus is still pending before the Supreme Court of Nepal and that, according to article 107 of the Interim Constitution of Nepal, the Supreme Court can issue an appropriate order to provide full justice to the writ petitioner. The State party adds that domestic legislation can provide specific statutes of limitations to file first information reports, depending on the nature of the case.</w:t>
      </w:r>
    </w:p>
    <w:p w:rsidR="00C23B00" w:rsidRPr="00916599" w:rsidRDefault="00C23B00" w:rsidP="00C23B00">
      <w:pPr>
        <w:pStyle w:val="SingleTxtG"/>
      </w:pPr>
      <w:r w:rsidRPr="00916599">
        <w:t>4.3</w:t>
      </w:r>
      <w:r w:rsidRPr="00916599">
        <w:tab/>
        <w:t xml:space="preserve">As regards the transitional justice system, the State party notes that the author still has the possibility to file a complaint before the Truth and Reconciliation Commission. The Commission </w:t>
      </w:r>
      <w:proofErr w:type="gramStart"/>
      <w:r w:rsidRPr="00916599">
        <w:t>is mandated</w:t>
      </w:r>
      <w:proofErr w:type="gramEnd"/>
      <w:r w:rsidRPr="00916599">
        <w:t xml:space="preserve"> to investigate conflict-related cases, recommend that the Government prosecute alleged offenders, and provide reparation to victims. The State party considers that the regular justice system cannot be enough for truth-seeking, prosecution of perpetrators, reparations or rehabilitation to victims. The State party notes that </w:t>
      </w:r>
      <w:proofErr w:type="gramStart"/>
      <w:r w:rsidRPr="00916599">
        <w:t>truth-seeking</w:t>
      </w:r>
      <w:proofErr w:type="gramEnd"/>
      <w:r w:rsidRPr="00916599">
        <w:t xml:space="preserve"> is at the centre of transitional justice mechanisms. It claims, therefore, that the author should go to the Commission in order to record the violation of her rights and to be eligible for reparation, restitution and other possible services and benefits.</w:t>
      </w:r>
    </w:p>
    <w:p w:rsidR="00C23B00" w:rsidRPr="00916599" w:rsidRDefault="00C23B00" w:rsidP="00036365">
      <w:pPr>
        <w:pStyle w:val="SingleTxtG"/>
      </w:pPr>
      <w:r w:rsidRPr="00916599">
        <w:t>4.4</w:t>
      </w:r>
      <w:r w:rsidRPr="00916599">
        <w:tab/>
        <w:t xml:space="preserve">The State party notes that offences related to sexual violence, including rape, violence against women and torture, </w:t>
      </w:r>
      <w:proofErr w:type="gramStart"/>
      <w:r w:rsidRPr="00916599">
        <w:t>are criminalized</w:t>
      </w:r>
      <w:proofErr w:type="gramEnd"/>
      <w:r w:rsidRPr="00916599">
        <w:t xml:space="preserve"> under domestic law. It claims, therefore, that the Government is committed to conducting prompt and impartial investigations and bringing perpetrators of sexual violence to justice. The State party informs the Committee that, to enhance access to justice for victims of rape, the committees concerned</w:t>
      </w:r>
      <w:r w:rsidRPr="00916599" w:rsidDel="005B5FD7">
        <w:t xml:space="preserve"> </w:t>
      </w:r>
      <w:r w:rsidRPr="00916599">
        <w:t xml:space="preserve">in the Legislature Parliament approved an amendment bill to extend the 35-day statute of limitation on rape to </w:t>
      </w:r>
      <w:r w:rsidR="00036365">
        <w:t>6</w:t>
      </w:r>
      <w:r w:rsidRPr="00916599">
        <w:t xml:space="preserve"> months. The State party also informs the Committee that a new bill </w:t>
      </w:r>
      <w:proofErr w:type="gramStart"/>
      <w:r w:rsidRPr="00916599">
        <w:t>to fully criminalize</w:t>
      </w:r>
      <w:proofErr w:type="gramEnd"/>
      <w:r w:rsidRPr="00916599">
        <w:t xml:space="preserve"> all forms of torture and ill-treatment, pursuant to the Convention against Torture and Other Cruel, Inhuman or Degrading Treatment or Punishment, is under consideration by the Legislature Parliament. </w:t>
      </w:r>
    </w:p>
    <w:p w:rsidR="00C23B00" w:rsidRPr="00916599" w:rsidRDefault="00C23B00" w:rsidP="00C23B00">
      <w:pPr>
        <w:pStyle w:val="SingleTxtG"/>
      </w:pPr>
      <w:r w:rsidRPr="00916599">
        <w:t>4.5</w:t>
      </w:r>
      <w:r w:rsidRPr="00916599">
        <w:tab/>
        <w:t>The State party finally adds that the army, the Armed Police Force and Nepal Police had no record of the author</w:t>
      </w:r>
      <w:r w:rsidR="00210B97">
        <w:t>’</w:t>
      </w:r>
      <w:r w:rsidRPr="00916599">
        <w:t>s arrest or her subsequent release as claimed</w:t>
      </w:r>
      <w:r w:rsidR="00123DD4" w:rsidRPr="00916599">
        <w:t xml:space="preserve"> in the present communication.</w:t>
      </w:r>
    </w:p>
    <w:p w:rsidR="00C23B00" w:rsidRPr="00916599" w:rsidRDefault="00C23B00" w:rsidP="00123DD4">
      <w:pPr>
        <w:pStyle w:val="H23G"/>
      </w:pPr>
      <w:r w:rsidRPr="00916599">
        <w:tab/>
      </w:r>
      <w:r w:rsidRPr="00916599">
        <w:tab/>
        <w:t>Author</w:t>
      </w:r>
      <w:r w:rsidR="00210B97">
        <w:t>’</w:t>
      </w:r>
      <w:r w:rsidRPr="00916599">
        <w:t>s comments on the State party</w:t>
      </w:r>
      <w:r w:rsidR="00210B97">
        <w:t>’</w:t>
      </w:r>
      <w:r w:rsidRPr="00916599">
        <w:t>s observations on admissibility and the merits</w:t>
      </w:r>
    </w:p>
    <w:p w:rsidR="00C23B00" w:rsidRPr="00916599" w:rsidRDefault="00C23B00" w:rsidP="00C23B00">
      <w:pPr>
        <w:pStyle w:val="SingleTxtG"/>
      </w:pPr>
      <w:r w:rsidRPr="00916599">
        <w:t>5.1</w:t>
      </w:r>
      <w:r w:rsidRPr="00916599">
        <w:tab/>
        <w:t xml:space="preserve">In comments dated 16 November 2015, the author reiterates her allegations on </w:t>
      </w:r>
      <w:proofErr w:type="gramStart"/>
      <w:r w:rsidRPr="00916599">
        <w:t>admissibility and the merits</w:t>
      </w:r>
      <w:proofErr w:type="gramEnd"/>
      <w:r w:rsidRPr="00916599">
        <w:t xml:space="preserve"> and the requested measures of reparation.</w:t>
      </w:r>
    </w:p>
    <w:p w:rsidR="00C23B00" w:rsidRPr="00916599" w:rsidRDefault="00C23B00" w:rsidP="00C23B00">
      <w:pPr>
        <w:pStyle w:val="SingleTxtG"/>
      </w:pPr>
      <w:proofErr w:type="gramStart"/>
      <w:r w:rsidRPr="00916599">
        <w:t>5.2</w:t>
      </w:r>
      <w:r w:rsidRPr="00916599">
        <w:tab/>
        <w:t xml:space="preserve">The author notes that, although her writ of mandamus is still pending before the Supreme Court, it is unlikely to produce any meaningful result and she does not consider it to be an effective remedy in her case, and the procedure before the Supreme Court has been </w:t>
      </w:r>
      <w:r w:rsidRPr="00916599">
        <w:lastRenderedPageBreak/>
        <w:t>slow and plagued by delays, cancellation of hearings and lack of answers from some respondents.</w:t>
      </w:r>
      <w:r w:rsidRPr="00916599">
        <w:rPr>
          <w:rStyle w:val="FootnoteReference"/>
        </w:rPr>
        <w:footnoteReference w:id="23"/>
      </w:r>
      <w:proofErr w:type="gramEnd"/>
    </w:p>
    <w:p w:rsidR="00C23B00" w:rsidRPr="00916599" w:rsidRDefault="00C23B00" w:rsidP="00036365">
      <w:pPr>
        <w:pStyle w:val="SingleTxtG"/>
      </w:pPr>
      <w:r w:rsidRPr="00916599">
        <w:t>5.3</w:t>
      </w:r>
      <w:r w:rsidRPr="00916599">
        <w:tab/>
        <w:t xml:space="preserve">The author interprets that, when the State party notes that domestic legislation can provide specific statutes of limitation for filing a first information report, it claims that the author failed to comply with the 35-day statute of limitations to file her complaint. At the same time, the State party refers to an amendment to extend the 35-day statute of limitations to </w:t>
      </w:r>
      <w:r w:rsidR="00036365">
        <w:t>6</w:t>
      </w:r>
      <w:r w:rsidRPr="00916599">
        <w:t xml:space="preserve"> months. The author claims, thus, that Nepal is aware of the overly restrictive nature of the 35-day statute of limitations as it is trying to modify it. She also notes that this amendment </w:t>
      </w:r>
      <w:proofErr w:type="gramStart"/>
      <w:r w:rsidRPr="00916599">
        <w:t>has not yet been signed</w:t>
      </w:r>
      <w:proofErr w:type="gramEnd"/>
      <w:r w:rsidRPr="00916599">
        <w:t xml:space="preserve"> into law. Hence, it is not yet applicable and, even if it becomes applicable law, it would not cover her case, as she </w:t>
      </w:r>
      <w:proofErr w:type="gramStart"/>
      <w:r w:rsidRPr="00916599">
        <w:t>was raped</w:t>
      </w:r>
      <w:proofErr w:type="gramEnd"/>
      <w:r w:rsidRPr="00916599">
        <w:t xml:space="preserve"> in 2002. </w:t>
      </w:r>
    </w:p>
    <w:p w:rsidR="00C23B00" w:rsidRPr="00916599" w:rsidRDefault="00C23B00" w:rsidP="00C23B00">
      <w:pPr>
        <w:pStyle w:val="SingleTxtG"/>
      </w:pPr>
      <w:r w:rsidRPr="00916599">
        <w:t>5.4</w:t>
      </w:r>
      <w:r w:rsidRPr="00916599">
        <w:tab/>
        <w:t xml:space="preserve">The author further claims that the registration of her case before the Truth and Reconciliation Commission, a non-judicial body, </w:t>
      </w:r>
      <w:proofErr w:type="gramStart"/>
      <w:r w:rsidRPr="00916599">
        <w:t>cannot be considered</w:t>
      </w:r>
      <w:proofErr w:type="gramEnd"/>
      <w:r w:rsidRPr="00916599">
        <w:t xml:space="preserve"> as an effective remedy she should have exhausted before submitting a communication before the Committee.</w:t>
      </w:r>
      <w:r w:rsidRPr="00916599">
        <w:rPr>
          <w:rStyle w:val="FootnoteReference"/>
        </w:rPr>
        <w:footnoteReference w:id="24"/>
      </w:r>
    </w:p>
    <w:p w:rsidR="00C23B00" w:rsidRPr="00916599" w:rsidRDefault="00C23B00" w:rsidP="00C23B00">
      <w:pPr>
        <w:pStyle w:val="SingleTxtG"/>
      </w:pPr>
      <w:r w:rsidRPr="00916599">
        <w:t>5.5</w:t>
      </w:r>
      <w:r w:rsidRPr="00916599">
        <w:tab/>
        <w:t xml:space="preserve">The author claims that the mere fact that Nepalese authorities failed to record her arbitrary deprivation of liberty (arrest and detention) amounts per se to a violation of article 9 of the Covenant. She notes that making a record of an arrest is one of the legal safeguards that </w:t>
      </w:r>
      <w:proofErr w:type="gramStart"/>
      <w:r w:rsidRPr="00916599">
        <w:t>must be provided</w:t>
      </w:r>
      <w:proofErr w:type="gramEnd"/>
      <w:r w:rsidRPr="00916599">
        <w:t xml:space="preserve"> to detainees in accordance with article 9 of the Covenant.</w:t>
      </w:r>
      <w:r w:rsidRPr="00916599">
        <w:rPr>
          <w:rStyle w:val="FootnoteReference"/>
        </w:rPr>
        <w:footnoteReference w:id="25"/>
      </w:r>
      <w:r w:rsidRPr="00916599">
        <w:t xml:space="preserve"> The author adds that, as she </w:t>
      </w:r>
      <w:proofErr w:type="gramStart"/>
      <w:r w:rsidRPr="00916599">
        <w:t>was raped</w:t>
      </w:r>
      <w:proofErr w:type="gramEnd"/>
      <w:r w:rsidRPr="00916599">
        <w:t xml:space="preserve"> while in custody, the burden of the proof to rebut the author</w:t>
      </w:r>
      <w:r w:rsidR="00210B97">
        <w:t>’</w:t>
      </w:r>
      <w:r w:rsidRPr="00916599">
        <w:t>s allegations falls on the State party and it is not enough to allege that the deprivation of liberty has not been formally recorded.</w:t>
      </w:r>
      <w:r w:rsidRPr="00916599">
        <w:rPr>
          <w:rStyle w:val="FootnoteReference"/>
        </w:rPr>
        <w:footnoteReference w:id="26"/>
      </w:r>
      <w:r w:rsidRPr="00916599">
        <w:t xml:space="preserve"> The author claims, therefore, that the State party failed to provide any evidence to rebut the author</w:t>
      </w:r>
      <w:r w:rsidR="00210B97">
        <w:t>’</w:t>
      </w:r>
      <w:r w:rsidRPr="00916599">
        <w:t xml:space="preserve">s assertions concerning her arbitrary deprivation of liberty, rape, </w:t>
      </w:r>
      <w:proofErr w:type="gramStart"/>
      <w:r w:rsidRPr="00916599">
        <w:t>other</w:t>
      </w:r>
      <w:proofErr w:type="gramEnd"/>
      <w:r w:rsidRPr="00916599">
        <w:t xml:space="preserve"> forms of ill-treatment, sexual violence and subsequent forced labour. </w:t>
      </w:r>
    </w:p>
    <w:p w:rsidR="00C23B00" w:rsidRPr="00916599" w:rsidRDefault="00C23B00" w:rsidP="00123DD4">
      <w:pPr>
        <w:pStyle w:val="H23G"/>
      </w:pPr>
      <w:r w:rsidRPr="00916599">
        <w:tab/>
      </w:r>
      <w:r w:rsidRPr="00916599">
        <w:tab/>
        <w:t>Issues and proceedings before the Committee</w:t>
      </w:r>
    </w:p>
    <w:p w:rsidR="00C23B00" w:rsidRPr="00916599" w:rsidRDefault="00C23B00" w:rsidP="00123DD4">
      <w:pPr>
        <w:pStyle w:val="H4G"/>
      </w:pPr>
      <w:r w:rsidRPr="00916599">
        <w:tab/>
      </w:r>
      <w:r w:rsidRPr="00916599">
        <w:tab/>
        <w:t>Consideration of admissibility</w:t>
      </w:r>
    </w:p>
    <w:p w:rsidR="00C23B00" w:rsidRPr="00916599" w:rsidRDefault="00C23B00" w:rsidP="00C23B00">
      <w:pPr>
        <w:pStyle w:val="SingleTxtG"/>
      </w:pPr>
      <w:r w:rsidRPr="00916599">
        <w:t>6.1</w:t>
      </w:r>
      <w:r w:rsidRPr="00916599">
        <w:tab/>
        <w:t>Before considering any claim contained in a communication, the Committee must decide, in accordance with rule 93 of its rules of procedure, whether it is admissible under the Optional Protocol.</w:t>
      </w:r>
    </w:p>
    <w:p w:rsidR="00C23B00" w:rsidRPr="00916599" w:rsidRDefault="00C23B00" w:rsidP="00C23B00">
      <w:pPr>
        <w:pStyle w:val="SingleTxtG"/>
      </w:pPr>
      <w:r w:rsidRPr="00916599">
        <w:t>6.2</w:t>
      </w:r>
      <w:r w:rsidRPr="00916599">
        <w:tab/>
        <w:t xml:space="preserve">The Committee has ascertained, as required under article 5 (2) (a) of the Optional Protocol, that the same matter is not being examined under any other procedure of international investigation or settlement. </w:t>
      </w:r>
    </w:p>
    <w:p w:rsidR="00C23B00" w:rsidRPr="00916599" w:rsidRDefault="00C23B00" w:rsidP="00C23B00">
      <w:pPr>
        <w:pStyle w:val="SingleTxtG"/>
      </w:pPr>
      <w:r w:rsidRPr="00916599">
        <w:t>6.3</w:t>
      </w:r>
      <w:r w:rsidRPr="00916599">
        <w:tab/>
        <w:t>The Committee notes the State party</w:t>
      </w:r>
      <w:r w:rsidR="00210B97">
        <w:t>’</w:t>
      </w:r>
      <w:r w:rsidRPr="00916599">
        <w:t>s claim that domestic remedies have not been exhausted because, on the one hand, the author</w:t>
      </w:r>
      <w:r w:rsidR="00210B97">
        <w:t>’</w:t>
      </w:r>
      <w:r w:rsidRPr="00916599">
        <w:t>s writ of mandamus is still pending before the Supreme Court of Nepal and, on the other hand, she still has the possibility to file a complaint before the Truth and Reconciliation Commission.</w:t>
      </w:r>
    </w:p>
    <w:p w:rsidR="00C23B00" w:rsidRPr="00916599" w:rsidRDefault="00C23B00" w:rsidP="00C23B00">
      <w:pPr>
        <w:pStyle w:val="SingleTxtG"/>
      </w:pPr>
      <w:proofErr w:type="gramStart"/>
      <w:r w:rsidRPr="00916599">
        <w:t>6.4</w:t>
      </w:r>
      <w:r w:rsidRPr="00916599">
        <w:tab/>
        <w:t>The Committee notes, however, that the author: (a) filed two first information reports concerning the crime of rape and other inhumane and degrading acts with the District Police Office, which were rejected on the basis of the 35-day statute of limitations for the crime of rape; (b) filed a claim for compensation, pursuant to the torture compensation act of 1996, which was also rejected; and (c) filed a writ of mandamus before the Supreme Court of Nepal requesting the non-application of the 35-day statute of limitations for conflict-related individual claims, and that it is still pending.</w:t>
      </w:r>
      <w:proofErr w:type="gramEnd"/>
      <w:r w:rsidRPr="00916599">
        <w:t xml:space="preserve"> The Committee </w:t>
      </w:r>
      <w:r w:rsidRPr="00916599">
        <w:lastRenderedPageBreak/>
        <w:t>notes the author</w:t>
      </w:r>
      <w:r w:rsidR="00210B97">
        <w:t>’</w:t>
      </w:r>
      <w:r w:rsidRPr="00916599">
        <w:t xml:space="preserve">s uncontested allegations that she was unable to file a first information report within the legally established 35-day period, given that, during that time, she </w:t>
      </w:r>
      <w:proofErr w:type="gramStart"/>
      <w:r w:rsidRPr="00916599">
        <w:t>was still being arbitrar</w:t>
      </w:r>
      <w:r w:rsidR="00036365">
        <w:t>il</w:t>
      </w:r>
      <w:r w:rsidRPr="00916599">
        <w:t>y detained</w:t>
      </w:r>
      <w:proofErr w:type="gramEnd"/>
      <w:r w:rsidRPr="00916599">
        <w:t xml:space="preserve"> with no access to legal assistance. The author has also argued that, even after her release, she </w:t>
      </w:r>
      <w:proofErr w:type="gramStart"/>
      <w:r w:rsidRPr="00916599">
        <w:t>was precluded</w:t>
      </w:r>
      <w:proofErr w:type="gramEnd"/>
      <w:r w:rsidRPr="00916599">
        <w:t xml:space="preserve"> from seeking support in her community and family due to the social stigma attached to victims of sexual violence. The Committee considers that the proceedings before the Supreme Court regarding the author</w:t>
      </w:r>
      <w:r w:rsidR="00210B97">
        <w:t>’</w:t>
      </w:r>
      <w:r w:rsidRPr="00916599">
        <w:t>s writ of mandamus filed in April 2014 are unduly prolonged, particularly considering the gravity of the crimes alleged. It further notes the author</w:t>
      </w:r>
      <w:r w:rsidR="00210B97">
        <w:t>’</w:t>
      </w:r>
      <w:r w:rsidRPr="00916599">
        <w:t>s statement that such proceedings are unlikely to bring relief given the long-standing jurisprudence of the Supreme Court on this issue. Therefore, in view of the legal and practical limitations on filing a complaint for rape in the State party, and the unduly prolonged proceedings before the Supreme Court and the unlikelihood of a successful outcome, the Committee considers that the remedies in the criminal justice system were both ineffective and unavailable to the author.</w:t>
      </w:r>
      <w:r w:rsidRPr="00916599">
        <w:rPr>
          <w:rStyle w:val="FootnoteReference"/>
        </w:rPr>
        <w:footnoteReference w:id="27"/>
      </w:r>
    </w:p>
    <w:p w:rsidR="00C23B00" w:rsidRPr="00916599" w:rsidRDefault="00C23B00" w:rsidP="00C23B00">
      <w:pPr>
        <w:pStyle w:val="SingleTxtG"/>
      </w:pPr>
      <w:r w:rsidRPr="00916599">
        <w:t>6.5</w:t>
      </w:r>
      <w:r w:rsidRPr="00916599">
        <w:tab/>
        <w:t>With regard to the transitional justice system, the Committee notes the author</w:t>
      </w:r>
      <w:r w:rsidR="00210B97">
        <w:t>’</w:t>
      </w:r>
      <w:r w:rsidRPr="00916599">
        <w:t>s argument that the registration of her case before the Truth and Reconciliation Commission is not an effective remedy, considering the Commission</w:t>
      </w:r>
      <w:r w:rsidR="00210B97">
        <w:t>’</w:t>
      </w:r>
      <w:r w:rsidRPr="00916599">
        <w:t>s non-judicial nature. In this vein, the Committee recalls its jurisprudence that it is not necessary to exhaust avenues before non-judicial bodies to fulfil the requirements of article</w:t>
      </w:r>
      <w:r w:rsidR="00916599" w:rsidRPr="00916599">
        <w:t xml:space="preserve"> </w:t>
      </w:r>
      <w:r w:rsidRPr="00916599">
        <w:t>5 (2) (b) of the Optional Protocol,</w:t>
      </w:r>
      <w:r w:rsidRPr="00916599">
        <w:rPr>
          <w:rStyle w:val="FootnoteReference"/>
        </w:rPr>
        <w:footnoteReference w:id="28"/>
      </w:r>
      <w:r w:rsidRPr="00916599">
        <w:t xml:space="preserve"> and that transitional justice mechanisms cannot serve to dispense with the criminal prosecution of serious human rights violations.</w:t>
      </w:r>
      <w:r w:rsidRPr="00916599">
        <w:rPr>
          <w:rStyle w:val="FootnoteReference"/>
        </w:rPr>
        <w:footnoteReference w:id="29"/>
      </w:r>
      <w:r w:rsidRPr="00916599">
        <w:t xml:space="preserve"> The Committee therefore considers that resorting to the Truth and Reconciliation Commission would not constitute an effective remedy for the author.</w:t>
      </w:r>
    </w:p>
    <w:p w:rsidR="00C23B00" w:rsidRPr="00916599" w:rsidRDefault="00C23B00" w:rsidP="00C23B00">
      <w:pPr>
        <w:pStyle w:val="SingleTxtG"/>
      </w:pPr>
      <w:r w:rsidRPr="00916599">
        <w:t>6.6</w:t>
      </w:r>
      <w:r w:rsidRPr="00916599">
        <w:tab/>
        <w:t>In light of the foregoing, the Committee concludes that it is not precluded by article 5 (2) (b) of the Optional Protocol from examining the present communication.</w:t>
      </w:r>
    </w:p>
    <w:p w:rsidR="00C23B00" w:rsidRPr="00916599" w:rsidRDefault="00C23B00" w:rsidP="00C23B00">
      <w:pPr>
        <w:pStyle w:val="SingleTxtG"/>
      </w:pPr>
      <w:r w:rsidRPr="00916599">
        <w:t>6.7</w:t>
      </w:r>
      <w:r w:rsidRPr="00916599">
        <w:tab/>
        <w:t xml:space="preserve">As all other admissibility criteria </w:t>
      </w:r>
      <w:proofErr w:type="gramStart"/>
      <w:r w:rsidRPr="00916599">
        <w:t>have been met</w:t>
      </w:r>
      <w:proofErr w:type="gramEnd"/>
      <w:r w:rsidRPr="00916599">
        <w:t>, the Committee declares the communication admissible and proceeds with its consideration of the merits.</w:t>
      </w:r>
    </w:p>
    <w:p w:rsidR="00C23B00" w:rsidRPr="00916599" w:rsidRDefault="00C23B00" w:rsidP="00434B85">
      <w:pPr>
        <w:pStyle w:val="H4G"/>
      </w:pPr>
      <w:r w:rsidRPr="00916599">
        <w:tab/>
      </w:r>
      <w:r w:rsidRPr="00916599">
        <w:tab/>
        <w:t>Consideration of the merits</w:t>
      </w:r>
    </w:p>
    <w:p w:rsidR="00C23B00" w:rsidRPr="00916599" w:rsidRDefault="00C23B00" w:rsidP="00C23B00">
      <w:pPr>
        <w:pStyle w:val="SingleTxtG"/>
      </w:pPr>
      <w:r w:rsidRPr="00916599">
        <w:t>7.1</w:t>
      </w:r>
      <w:r w:rsidRPr="00916599">
        <w:tab/>
        <w:t>The Committee has considered the communication in the light of all the information made available to it by the parties, as required under article 5 (1) of the Optional Protocol.</w:t>
      </w:r>
    </w:p>
    <w:p w:rsidR="00C23B00" w:rsidRPr="00916599" w:rsidRDefault="00C23B00" w:rsidP="00C23B00">
      <w:pPr>
        <w:pStyle w:val="SingleTxtG"/>
      </w:pPr>
      <w:proofErr w:type="gramStart"/>
      <w:r w:rsidRPr="00916599">
        <w:t>7.2</w:t>
      </w:r>
      <w:r w:rsidRPr="00916599">
        <w:tab/>
        <w:t>The Committee notes the author</w:t>
      </w:r>
      <w:r w:rsidR="00210B97">
        <w:t>’</w:t>
      </w:r>
      <w:r w:rsidRPr="00916599">
        <w:t>s uncontested allegations that, since 2 April 2002 and, for a period of over a month and a half, she was subjected to rape and other forms of sexual violence and torture by members of the Royal Nepalese Army and of the Armed Police Force, in order to extract information about her alleged support for the Maoists.</w:t>
      </w:r>
      <w:proofErr w:type="gramEnd"/>
      <w:r w:rsidRPr="00916599">
        <w:t xml:space="preserve"> The Committee considers that the rape and other acts of sexual violence inflicted by the Royal Nepalese Army and the Armed Police Force upon the author, who is indigenous and who was a 14-year-old girl at the time of the events, violated the author</w:t>
      </w:r>
      <w:r w:rsidR="00210B97">
        <w:t>’</w:t>
      </w:r>
      <w:r w:rsidRPr="00916599">
        <w:t>s rights under articles 7 and 24 (1) of the Covenant.</w:t>
      </w:r>
    </w:p>
    <w:p w:rsidR="00C23B00" w:rsidRPr="00916599" w:rsidRDefault="00C23B00" w:rsidP="00434B85">
      <w:pPr>
        <w:pStyle w:val="SingleTxtG"/>
      </w:pPr>
      <w:proofErr w:type="gramStart"/>
      <w:r w:rsidRPr="00916599">
        <w:t>7.3</w:t>
      </w:r>
      <w:r w:rsidRPr="00916599">
        <w:tab/>
        <w:t>The Committee also notes the author</w:t>
      </w:r>
      <w:r w:rsidR="00210B97">
        <w:t>’</w:t>
      </w:r>
      <w:r w:rsidRPr="00916599">
        <w:t xml:space="preserve">s uncontested argument that the rape and other acts of sexual violence </w:t>
      </w:r>
      <w:bookmarkStart w:id="4" w:name="_Hlk531893048"/>
      <w:r w:rsidRPr="00916599">
        <w:t xml:space="preserve">to which she was subjected to had a discriminatory effect, as demonstrated by the fashion in which she was treated, </w:t>
      </w:r>
      <w:bookmarkEnd w:id="4"/>
      <w:r w:rsidRPr="00916599">
        <w:t>and also notes the generalized use of rape against girls and women during the conflict, owing to the particularly serious discriminatory consequences for girls and women victims of rape in the Nepalese society.</w:t>
      </w:r>
      <w:proofErr w:type="gramEnd"/>
      <w:r w:rsidRPr="00916599">
        <w:t xml:space="preserve"> The Committee recalls that women are particularly vulnerable in times of internal or international armed conflict and considers that this applies equally to girls. States must take all measures to protect girls and women from rape, abduction and other forms of gender-based violence.</w:t>
      </w:r>
      <w:r w:rsidRPr="00916599">
        <w:rPr>
          <w:rStyle w:val="FootnoteReference"/>
        </w:rPr>
        <w:footnoteReference w:id="30"/>
      </w:r>
      <w:r w:rsidRPr="00916599">
        <w:t xml:space="preserve"> </w:t>
      </w:r>
      <w:proofErr w:type="gramStart"/>
      <w:r w:rsidRPr="00916599">
        <w:t>In light of the context surrounding the rape and other forms of sexual violence to which the author was subjected to (see paras. 2.2–2.5 above),</w:t>
      </w:r>
      <w:r w:rsidRPr="00916599">
        <w:rPr>
          <w:rStyle w:val="FootnoteReference"/>
        </w:rPr>
        <w:footnoteReference w:id="31"/>
      </w:r>
      <w:r w:rsidRPr="00916599">
        <w:t xml:space="preserve"> as well as the State party</w:t>
      </w:r>
      <w:r w:rsidR="00210B97">
        <w:t>’</w:t>
      </w:r>
      <w:r w:rsidRPr="00916599">
        <w:t>s general failure to investigate and establish accountability for such crimes, the Committee considers that the State party has violated the author</w:t>
      </w:r>
      <w:r w:rsidR="00210B97">
        <w:t>’</w:t>
      </w:r>
      <w:r w:rsidRPr="00916599">
        <w:t xml:space="preserve">s right not to be subjected </w:t>
      </w:r>
      <w:r w:rsidRPr="00916599">
        <w:lastRenderedPageBreak/>
        <w:t xml:space="preserve">to gender discrimination under </w:t>
      </w:r>
      <w:bookmarkStart w:id="6" w:name="_Hlk532218630"/>
      <w:r w:rsidRPr="00916599">
        <w:t>articles 2 (1) and 3 of the Covenant, read alone in conjunction with articles 7, 24 (1) and 26 of the Covenant.</w:t>
      </w:r>
      <w:proofErr w:type="gramEnd"/>
    </w:p>
    <w:bookmarkEnd w:id="6"/>
    <w:p w:rsidR="00C23B00" w:rsidRPr="00916599" w:rsidRDefault="00C23B00" w:rsidP="00C23B00">
      <w:pPr>
        <w:pStyle w:val="SingleTxtG"/>
      </w:pPr>
      <w:r w:rsidRPr="00916599">
        <w:t>7.4</w:t>
      </w:r>
      <w:r w:rsidRPr="00916599">
        <w:tab/>
        <w:t>The Committee notes the author</w:t>
      </w:r>
      <w:r w:rsidR="00210B97">
        <w:t>’</w:t>
      </w:r>
      <w:r w:rsidRPr="00916599">
        <w:t>s allegations that, while in detention, Armed Police Force officers forced her to work in the barracks, carrying bricks and sand, making cement for the construction of a temple and watering the garden, while also verbally abusing her. The State party has not contested these allegations. Therefore, considering the author</w:t>
      </w:r>
      <w:r w:rsidR="00210B97">
        <w:t>’</w:t>
      </w:r>
      <w:r w:rsidRPr="00916599">
        <w:t>s description and the fact that forced labour has been found as a factor in the cruel treatment of detainees during the internal conflict in Nepal,</w:t>
      </w:r>
      <w:r w:rsidRPr="00916599">
        <w:rPr>
          <w:rStyle w:val="FootnoteReference"/>
        </w:rPr>
        <w:footnoteReference w:id="32"/>
      </w:r>
      <w:r w:rsidRPr="00916599">
        <w:t xml:space="preserve"> due weight must be given to the author</w:t>
      </w:r>
      <w:r w:rsidR="00210B97">
        <w:t>’</w:t>
      </w:r>
      <w:r w:rsidRPr="00916599">
        <w:t xml:space="preserve">s allegations in this regard. </w:t>
      </w:r>
    </w:p>
    <w:p w:rsidR="00C23B00" w:rsidRPr="00916599" w:rsidRDefault="00C23B00" w:rsidP="00C23B00">
      <w:pPr>
        <w:pStyle w:val="SingleTxtG"/>
      </w:pPr>
      <w:r w:rsidRPr="00916599">
        <w:t>7.5</w:t>
      </w:r>
      <w:r w:rsidRPr="00916599">
        <w:tab/>
        <w:t xml:space="preserve">The Committee has considered that for labour not to be forced or compulsory, it must, at a minimum, not be an exceptional measure; it must not possess a punitive purpose or effect; and </w:t>
      </w:r>
      <w:proofErr w:type="gramStart"/>
      <w:r w:rsidRPr="00916599">
        <w:t>it must be provided for by law</w:t>
      </w:r>
      <w:proofErr w:type="gramEnd"/>
      <w:r w:rsidRPr="00916599">
        <w:t xml:space="preserve"> in order to serve a legitimate purpose under the Covenant.</w:t>
      </w:r>
      <w:r w:rsidRPr="00916599">
        <w:rPr>
          <w:rStyle w:val="FootnoteReference"/>
        </w:rPr>
        <w:footnoteReference w:id="33"/>
      </w:r>
      <w:r w:rsidRPr="00916599">
        <w:t xml:space="preserve"> </w:t>
      </w:r>
      <w:proofErr w:type="gramStart"/>
      <w:r w:rsidRPr="00916599">
        <w:t>In light of these considerations, the Committee is of the view that forcing the author to work, while exercising authority over her as a child in arbitrary detention, includes a degrading and discriminatory purpose in that specific context, falls within the scope of the proscriptions set out in article 8 of the Covenant and, therefo</w:t>
      </w:r>
      <w:bookmarkStart w:id="7" w:name="_Hlk532219419"/>
      <w:r w:rsidRPr="00916599">
        <w:t xml:space="preserve">re, constitutes a violation of article 8 (3), read alone and in conjunction with articles 7 and 24 (1) </w:t>
      </w:r>
      <w:bookmarkEnd w:id="7"/>
      <w:r w:rsidRPr="00916599">
        <w:t>of the Covenant.</w:t>
      </w:r>
      <w:proofErr w:type="gramEnd"/>
    </w:p>
    <w:p w:rsidR="00C23B00" w:rsidRPr="00916599" w:rsidRDefault="00C23B00" w:rsidP="00C23B00">
      <w:pPr>
        <w:pStyle w:val="SingleTxtG"/>
      </w:pPr>
      <w:r w:rsidRPr="00916599">
        <w:t>7.6</w:t>
      </w:r>
      <w:r w:rsidRPr="00916599">
        <w:tab/>
        <w:t>In light of the foregoing, the Committee decides not to examine separately the author</w:t>
      </w:r>
      <w:r w:rsidR="00210B97">
        <w:t>’</w:t>
      </w:r>
      <w:r w:rsidRPr="00916599">
        <w:t>s claims under article 10 (1) of the Covenant.</w:t>
      </w:r>
    </w:p>
    <w:p w:rsidR="00C23B00" w:rsidRPr="00916599" w:rsidRDefault="00C23B00" w:rsidP="00C23B00">
      <w:pPr>
        <w:pStyle w:val="SingleTxtG"/>
      </w:pPr>
      <w:proofErr w:type="gramStart"/>
      <w:r w:rsidRPr="00916599">
        <w:t>7.7</w:t>
      </w:r>
      <w:r w:rsidRPr="00916599">
        <w:tab/>
        <w:t>The Committee notes the author</w:t>
      </w:r>
      <w:r w:rsidR="00210B97">
        <w:t>’</w:t>
      </w:r>
      <w:r w:rsidRPr="00916599">
        <w:t>s claims under article 9 of the Covenant that she was arrested by a large military and police contingent without a warrant and without being informed of any charges against her, that she was detained in military and police barracks for more than one and a half months, and that she was never compensated for that detention despite the numerous avenues that she pursued in that regard.</w:t>
      </w:r>
      <w:proofErr w:type="gramEnd"/>
      <w:r w:rsidRPr="00916599">
        <w:t xml:space="preserve"> The State party refers to the lack of records of the author</w:t>
      </w:r>
      <w:r w:rsidR="00210B97">
        <w:t>’</w:t>
      </w:r>
      <w:r w:rsidRPr="00916599">
        <w:t>s detention; however, it has not provided any explanations to the contrary nor conducted the necessary investigations into the author</w:t>
      </w:r>
      <w:r w:rsidR="00210B97">
        <w:t>’</w:t>
      </w:r>
      <w:r w:rsidRPr="00916599">
        <w:t xml:space="preserve">s allegations. The Committee is of the view that the author has presented a credible case as to her detention and requiring victims of arbitrary and illegal arrest and detention to provide records thereof would amount to a </w:t>
      </w:r>
      <w:proofErr w:type="spellStart"/>
      <w:r w:rsidRPr="00916599">
        <w:rPr>
          <w:i/>
          <w:iCs/>
        </w:rPr>
        <w:t>probatio</w:t>
      </w:r>
      <w:proofErr w:type="spellEnd"/>
      <w:r w:rsidRPr="00916599">
        <w:rPr>
          <w:i/>
          <w:iCs/>
        </w:rPr>
        <w:t xml:space="preserve"> </w:t>
      </w:r>
      <w:proofErr w:type="spellStart"/>
      <w:r w:rsidRPr="00916599">
        <w:rPr>
          <w:i/>
          <w:iCs/>
        </w:rPr>
        <w:t>diabolica</w:t>
      </w:r>
      <w:proofErr w:type="spellEnd"/>
      <w:r w:rsidRPr="00916599">
        <w:t>.</w:t>
      </w:r>
      <w:r w:rsidRPr="00916599">
        <w:rPr>
          <w:rStyle w:val="FootnoteReference"/>
        </w:rPr>
        <w:footnoteReference w:id="34"/>
      </w:r>
      <w:r w:rsidRPr="00916599">
        <w:t xml:space="preserve"> It considers that the burden of proof to rebut the author</w:t>
      </w:r>
      <w:r w:rsidR="00210B97">
        <w:t>’</w:t>
      </w:r>
      <w:r w:rsidRPr="00916599">
        <w:t>s evidence clearly lies with the State party. Therefore, the Committee considers that the author</w:t>
      </w:r>
      <w:r w:rsidR="00210B97">
        <w:t>’</w:t>
      </w:r>
      <w:r w:rsidRPr="00916599">
        <w:t xml:space="preserve">s arrest and detention by members of the Royal Nepalese Army and the Armed Police Force in the context of the internal conflict constitutes a violation of her rights under </w:t>
      </w:r>
      <w:bookmarkStart w:id="8" w:name="_Hlk532219446"/>
      <w:r w:rsidRPr="00916599">
        <w:t xml:space="preserve">article 9 </w:t>
      </w:r>
      <w:bookmarkEnd w:id="8"/>
      <w:r w:rsidRPr="00916599">
        <w:t>of the Covenant.</w:t>
      </w:r>
    </w:p>
    <w:p w:rsidR="00C23B00" w:rsidRPr="00916599" w:rsidRDefault="00C23B00" w:rsidP="00C23B00">
      <w:pPr>
        <w:pStyle w:val="SingleTxtG"/>
      </w:pPr>
      <w:proofErr w:type="gramStart"/>
      <w:r w:rsidRPr="00916599">
        <w:t>7.8</w:t>
      </w:r>
      <w:r w:rsidRPr="00916599">
        <w:tab/>
        <w:t>Regarding the author</w:t>
      </w:r>
      <w:r w:rsidR="00210B97">
        <w:t>’</w:t>
      </w:r>
      <w:r w:rsidRPr="00916599">
        <w:t>s complaint related to article 17 of the Covenant, the Committee considers that the rape of the author constitutes an arbitrary interference with her privacy and her sexual autonomy as it forced her to enter into sexual intercourse against her will as a girl; all the more so because due to her rape she endured stigmatization and marginalization and the State party did not adopt measures to protect the author in any regard.</w:t>
      </w:r>
      <w:proofErr w:type="gramEnd"/>
      <w:r w:rsidRPr="00916599">
        <w:t xml:space="preserve"> The Committee considers, moreover, that the stigmatization, marginalization and shame endured by the author as a victim of sexual violence</w:t>
      </w:r>
      <w:r w:rsidRPr="00916599">
        <w:rPr>
          <w:rStyle w:val="FootnoteReference"/>
        </w:rPr>
        <w:footnoteReference w:id="35"/>
      </w:r>
      <w:r w:rsidRPr="00916599">
        <w:t xml:space="preserve"> from her community, family and husband amounts to a disruption of her family life and marriage. In view of the above, the Committee finds a violation of articles 17 and 23 (1) of the Covenant.</w:t>
      </w:r>
    </w:p>
    <w:p w:rsidR="00C23B00" w:rsidRPr="00916599" w:rsidRDefault="00C23B00" w:rsidP="00036365">
      <w:pPr>
        <w:pStyle w:val="SingleTxtG"/>
      </w:pPr>
      <w:r w:rsidRPr="00916599">
        <w:t>7.9</w:t>
      </w:r>
      <w:r w:rsidRPr="00916599">
        <w:tab/>
        <w:t>The Committee notes the author</w:t>
      </w:r>
      <w:r w:rsidR="00210B97">
        <w:t>’</w:t>
      </w:r>
      <w:r w:rsidRPr="00916599">
        <w:t>s allegations concerning the lack of investigation of the violations sustained during her arrest and detention, despite the numerous avenues pursued. It further notes that the grounds alleged by the Nepalese authorities for refusing to register the author</w:t>
      </w:r>
      <w:r w:rsidR="00210B97">
        <w:t>’</w:t>
      </w:r>
      <w:r w:rsidRPr="00916599">
        <w:t xml:space="preserve">s complaints </w:t>
      </w:r>
      <w:proofErr w:type="gramStart"/>
      <w:r w:rsidRPr="00916599">
        <w:t>were based</w:t>
      </w:r>
      <w:proofErr w:type="gramEnd"/>
      <w:r w:rsidRPr="00916599">
        <w:t xml:space="preserve"> on the 35-day statute of limitations applicable to the crime of rape under domestic legislation. The Committee recalls its jurisprudence according to which such an unreasonably short statutory period for bringing complaints for rape is flagrantly inconsistent with the gravity and nature of the crime and that it has a </w:t>
      </w:r>
      <w:r w:rsidRPr="00916599">
        <w:lastRenderedPageBreak/>
        <w:t>disproportionately negative effect on girls and women, who are predominantly the victims of rape.</w:t>
      </w:r>
      <w:r w:rsidRPr="00916599">
        <w:rPr>
          <w:rStyle w:val="FootnoteReference"/>
        </w:rPr>
        <w:footnoteReference w:id="36"/>
      </w:r>
      <w:r w:rsidRPr="00916599">
        <w:t xml:space="preserve"> In the present case, due to the trauma endured, the social shame and stigmatization of victims of sexual violence in the author</w:t>
      </w:r>
      <w:r w:rsidR="00210B97">
        <w:t>’</w:t>
      </w:r>
      <w:r w:rsidRPr="00916599">
        <w:t xml:space="preserve">s community and the lack of access to information on possible available legal avenues, nine years passed before the author was able to attempt to seek justice for the violations she </w:t>
      </w:r>
      <w:proofErr w:type="gramStart"/>
      <w:r w:rsidRPr="00916599">
        <w:t>was subjected</w:t>
      </w:r>
      <w:proofErr w:type="gramEnd"/>
      <w:r w:rsidRPr="00916599">
        <w:t xml:space="preserve"> to (see paras. 2.9–2.10 above). The Committee takes note that the State party has committed to enhance access to justice for victims of rape (see para. 4.4 above) </w:t>
      </w:r>
      <w:proofErr w:type="gramStart"/>
      <w:r w:rsidRPr="00916599">
        <w:t>and also</w:t>
      </w:r>
      <w:proofErr w:type="gramEnd"/>
      <w:r w:rsidRPr="00916599">
        <w:t xml:space="preserve"> takes note that, in 2018, the State party amended its criminal code, extending the statute of limitations for filing complaints for the crime of rape and other sexual offences from 35 days to </w:t>
      </w:r>
      <w:r w:rsidR="00036365">
        <w:t>1</w:t>
      </w:r>
      <w:r w:rsidRPr="00916599">
        <w:t xml:space="preserve"> year.</w:t>
      </w:r>
      <w:r w:rsidRPr="00916599">
        <w:rPr>
          <w:rStyle w:val="FootnoteReference"/>
        </w:rPr>
        <w:footnoteReference w:id="37"/>
      </w:r>
      <w:r w:rsidRPr="00916599">
        <w:t xml:space="preserve"> The Committee notes, however, that even this new statute of limitations is not commensurate with the gravity of such crimes. </w:t>
      </w:r>
    </w:p>
    <w:p w:rsidR="00C23B00" w:rsidRPr="00916599" w:rsidRDefault="00C23B00" w:rsidP="00C23B00">
      <w:pPr>
        <w:pStyle w:val="SingleTxtG"/>
      </w:pPr>
      <w:r w:rsidRPr="00916599">
        <w:t>7.10</w:t>
      </w:r>
      <w:r w:rsidRPr="00916599">
        <w:tab/>
        <w:t>In light of the above, the Committee concludes that the statute of limitations for the crime of rape under Nepalese law in force at the time of the events prevented the author from accessing justice and violated her rights under article 2 (3), read alone and in conjunction with articles 3, 7, 9, 24 and 26 of the Covenant.</w:t>
      </w:r>
      <w:bookmarkStart w:id="9" w:name="_msocom_1"/>
      <w:bookmarkEnd w:id="9"/>
    </w:p>
    <w:p w:rsidR="00C23B00" w:rsidRPr="00916599" w:rsidRDefault="00C23B00" w:rsidP="00C23B00">
      <w:pPr>
        <w:pStyle w:val="SingleTxtG"/>
      </w:pPr>
      <w:proofErr w:type="gramStart"/>
      <w:r w:rsidRPr="00916599">
        <w:t>8.</w:t>
      </w:r>
      <w:r w:rsidRPr="00916599">
        <w:tab/>
        <w:t>The Committee, acting under article 5 (4) of the Optional Protocol, is of the view that the facts before it disclose violations by the State party of articles 7 and 24 (1); articles 2 (1) and 3, read alone and in conjunction with articles 7, 24 (1) and 26; article 8 (3), read alone and in conjunction with articles 7 and 24 (1); article 9, read alone and in conjunction with articles 2 (3) and 24 (1); articles 17 and 23 (1); and article 2 (3), read alone and in conjunction with articles 3, 7, 9, 24 and 26.</w:t>
      </w:r>
      <w:proofErr w:type="gramEnd"/>
    </w:p>
    <w:p w:rsidR="00C23B00" w:rsidRPr="00916599" w:rsidRDefault="00C23B00" w:rsidP="00036365">
      <w:pPr>
        <w:pStyle w:val="SingleTxtG"/>
        <w:rPr>
          <w:highlight w:val="yellow"/>
        </w:rPr>
      </w:pPr>
      <w:r w:rsidRPr="00916599">
        <w:t>9.</w:t>
      </w:r>
      <w:r w:rsidRPr="00916599">
        <w:tab/>
        <w:t>Pursuant to article 2</w:t>
      </w:r>
      <w:r w:rsidR="00916599" w:rsidRPr="00916599">
        <w:t xml:space="preserve"> </w:t>
      </w:r>
      <w:r w:rsidRPr="00916599">
        <w:t>(3)</w:t>
      </w:r>
      <w:r w:rsidR="00916599" w:rsidRPr="00916599">
        <w:t xml:space="preserve"> </w:t>
      </w:r>
      <w:r w:rsidRPr="00916599">
        <w:t xml:space="preserve">(a) of the Covenant, the State party is under an obligation to provide the author with an effective remedy. This requires it to make full reparation to individuals whose Covenant rights </w:t>
      </w:r>
      <w:proofErr w:type="gramStart"/>
      <w:r w:rsidRPr="00916599">
        <w:t>have been violated</w:t>
      </w:r>
      <w:proofErr w:type="gramEnd"/>
      <w:r w:rsidRPr="00916599">
        <w:t xml:space="preserve">. </w:t>
      </w:r>
      <w:proofErr w:type="gramStart"/>
      <w:r w:rsidRPr="00916599">
        <w:t>Accordingly, the State party is obligated, inter alia, to: (a)</w:t>
      </w:r>
      <w:r w:rsidR="00916599" w:rsidRPr="00916599">
        <w:t xml:space="preserve"> </w:t>
      </w:r>
      <w:r w:rsidRPr="00916599">
        <w:t>conduct a thorough and effective investigation into the facts surrounding the arrest, detention and rape of Ms. Nyaya and the treatment she suffered in detention; (b)</w:t>
      </w:r>
      <w:r w:rsidR="00916599" w:rsidRPr="00916599">
        <w:t xml:space="preserve"> </w:t>
      </w:r>
      <w:r w:rsidRPr="00916599">
        <w:t>prosecute, try and punish those responsible for the violations committed; (c)</w:t>
      </w:r>
      <w:r w:rsidR="00916599" w:rsidRPr="00916599">
        <w:t xml:space="preserve"> </w:t>
      </w:r>
      <w:r w:rsidRPr="00916599">
        <w:t>provide the author with detailed information about the results of the investigation; (d)</w:t>
      </w:r>
      <w:r w:rsidR="00916599" w:rsidRPr="00916599">
        <w:t xml:space="preserve"> </w:t>
      </w:r>
      <w:r w:rsidRPr="00916599">
        <w:t>ensure that any necessary and adequate psychological rehabilitation and medical treatment is provided to the author free of charge; and (e)</w:t>
      </w:r>
      <w:r w:rsidR="00916599" w:rsidRPr="00916599">
        <w:t xml:space="preserve"> </w:t>
      </w:r>
      <w:r w:rsidRPr="00916599">
        <w:t>provide effective reparation, adequate compensation and appropriate measures of satisfaction to the author for the violations suffered, including arranging an official apology in a private ceremony.</w:t>
      </w:r>
      <w:proofErr w:type="gramEnd"/>
      <w:r w:rsidRPr="00916599">
        <w:t xml:space="preserve"> The State party is also under an obligation to take steps to prevent the occurrence of similar violations in the future. </w:t>
      </w:r>
      <w:proofErr w:type="gramStart"/>
      <w:r w:rsidRPr="00916599">
        <w:t>In particular, the State party should ensure that its legislation: (a) criminalize torture and provide for appropriate sanctions and remedies commensurate with the gravity of the crime; (b) adapt the definition of rape and other forms of sexual violence in accordance with international standards; (c) guarantee that cases of rape, other forms of sexual violence and torture give rise to a prompt, impartial and effective investigation; (d) allow for criminal prosecution of those responsible for such crimes; and (e) remove obstacles that hinder the filing of complaints and effective access to justice and compensation for victims of rape and other forms of sexual violence against women and girls in the context of the Nepali armed conflict, as forms of torture, including by significantly increasing the statute of limitations commensurate with the gravity of such crimes.</w:t>
      </w:r>
      <w:r w:rsidRPr="00916599">
        <w:rPr>
          <w:rStyle w:val="FootnoteReference"/>
        </w:rPr>
        <w:footnoteReference w:id="38"/>
      </w:r>
      <w:proofErr w:type="gramEnd"/>
    </w:p>
    <w:p w:rsidR="00C23B00" w:rsidRPr="00916599" w:rsidRDefault="00C23B00" w:rsidP="00C23B00">
      <w:pPr>
        <w:pStyle w:val="SingleTxtG"/>
      </w:pPr>
      <w:proofErr w:type="gramStart"/>
      <w:r w:rsidRPr="00916599">
        <w:t>10.</w:t>
      </w:r>
      <w:r w:rsidRPr="00916599">
        <w:tab/>
        <w:t xml:space="preserve">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for all individuals within its territory or subject to its jurisdiction the rights recognized in the Covenant and to provide an effective and enforceable remedy when a violation has been established, the Committee wishes to receive from the State party, </w:t>
      </w:r>
      <w:r w:rsidRPr="00916599">
        <w:lastRenderedPageBreak/>
        <w:t>within 180 days, information about the measures taken to give effect to the Committee</w:t>
      </w:r>
      <w:r w:rsidR="00210B97">
        <w:t>’</w:t>
      </w:r>
      <w:r w:rsidRPr="00916599">
        <w:t>s Views.</w:t>
      </w:r>
      <w:proofErr w:type="gramEnd"/>
      <w:r w:rsidRPr="00916599">
        <w:t xml:space="preserve"> The State party </w:t>
      </w:r>
      <w:proofErr w:type="gramStart"/>
      <w:r w:rsidRPr="00916599">
        <w:t>is also requested</w:t>
      </w:r>
      <w:proofErr w:type="gramEnd"/>
      <w:r w:rsidRPr="00916599">
        <w:t xml:space="preserve"> to publish the present Views and disseminate them widely in the official languages of the State party.</w:t>
      </w:r>
    </w:p>
    <w:p w:rsidR="00C23B00" w:rsidRPr="00916599" w:rsidRDefault="0066751C" w:rsidP="003B5EA8">
      <w:pPr>
        <w:pStyle w:val="HChG"/>
      </w:pPr>
      <w:r w:rsidRPr="00916599">
        <w:br w:type="page"/>
      </w:r>
      <w:r w:rsidR="00C23B00" w:rsidRPr="00916599">
        <w:lastRenderedPageBreak/>
        <w:t>Annex</w:t>
      </w:r>
    </w:p>
    <w:p w:rsidR="00C23B00" w:rsidRPr="00916599" w:rsidRDefault="00C23B00" w:rsidP="003B5EA8">
      <w:pPr>
        <w:pStyle w:val="HChG"/>
      </w:pPr>
      <w:r w:rsidRPr="00916599">
        <w:tab/>
      </w:r>
      <w:r w:rsidRPr="00916599">
        <w:tab/>
        <w:t xml:space="preserve">Individual opinion of Committee member José Manuel Santos </w:t>
      </w:r>
      <w:proofErr w:type="spellStart"/>
      <w:r w:rsidRPr="00916599">
        <w:t>Pais</w:t>
      </w:r>
      <w:proofErr w:type="spellEnd"/>
      <w:r w:rsidRPr="00916599">
        <w:t xml:space="preserve"> (partly concurring)</w:t>
      </w:r>
    </w:p>
    <w:p w:rsidR="00C23B00" w:rsidRPr="00916599" w:rsidRDefault="00C23B00" w:rsidP="00C23B00">
      <w:pPr>
        <w:pStyle w:val="SingleTxtG"/>
      </w:pPr>
      <w:r w:rsidRPr="00916599">
        <w:t>1.</w:t>
      </w:r>
      <w:r w:rsidRPr="00916599">
        <w:tab/>
        <w:t>I fully concur with the Committee that the State party violated several articles of the Covenant, although not with the conclusion that Nepal is responsible for a disruption in the author</w:t>
      </w:r>
      <w:r w:rsidR="00210B97">
        <w:t>’</w:t>
      </w:r>
      <w:r w:rsidRPr="00916599">
        <w:t>s family life and marriage (see paras. 7.8 and 8 of the Views above).</w:t>
      </w:r>
    </w:p>
    <w:p w:rsidR="00C23B00" w:rsidRPr="00916599" w:rsidRDefault="00C23B00" w:rsidP="00C23B00">
      <w:pPr>
        <w:pStyle w:val="SingleTxtG"/>
      </w:pPr>
      <w:r w:rsidRPr="00916599">
        <w:t>2.</w:t>
      </w:r>
      <w:r w:rsidRPr="00916599">
        <w:tab/>
        <w:t xml:space="preserve">The author was born in the </w:t>
      </w:r>
      <w:proofErr w:type="spellStart"/>
      <w:r w:rsidRPr="00916599">
        <w:t>Kailali</w:t>
      </w:r>
      <w:proofErr w:type="spellEnd"/>
      <w:r w:rsidRPr="00916599">
        <w:t xml:space="preserve"> District in far-western Nepal. On 2 April 2002, when the author was 14 years old, members of the Royal Nepalese Army and the Armed Police Force entered her village and arrested her. She </w:t>
      </w:r>
      <w:proofErr w:type="gramStart"/>
      <w:r w:rsidRPr="00916599">
        <w:t>was dragged</w:t>
      </w:r>
      <w:proofErr w:type="gramEnd"/>
      <w:r w:rsidRPr="00916599">
        <w:t xml:space="preserve"> into a truck and was sexually assaulted by a group of soldiers, who touched various parts of her body, including her breast, thighs and bottom (para. 2.2). Later that day, the author </w:t>
      </w:r>
      <w:proofErr w:type="gramStart"/>
      <w:r w:rsidRPr="00916599">
        <w:t>was taken</w:t>
      </w:r>
      <w:proofErr w:type="gramEnd"/>
      <w:r w:rsidRPr="00916599">
        <w:t xml:space="preserve"> to the Army barracks in </w:t>
      </w:r>
      <w:proofErr w:type="spellStart"/>
      <w:r w:rsidRPr="00916599">
        <w:t>Teghari</w:t>
      </w:r>
      <w:proofErr w:type="spellEnd"/>
      <w:r w:rsidRPr="00916599">
        <w:t xml:space="preserve"> (para. 2.3).</w:t>
      </w:r>
    </w:p>
    <w:p w:rsidR="00C23B00" w:rsidRPr="00916599" w:rsidRDefault="00C23B00" w:rsidP="00C23B00">
      <w:pPr>
        <w:pStyle w:val="SingleTxtG"/>
      </w:pPr>
      <w:r w:rsidRPr="00916599">
        <w:t>3.</w:t>
      </w:r>
      <w:r w:rsidRPr="00916599">
        <w:tab/>
        <w:t xml:space="preserve">During her detention, she </w:t>
      </w:r>
      <w:proofErr w:type="gramStart"/>
      <w:r w:rsidRPr="00916599">
        <w:t>was raped and subjected to other forms of sexual violence</w:t>
      </w:r>
      <w:proofErr w:type="gramEnd"/>
      <w:r w:rsidRPr="00916599">
        <w:t xml:space="preserve">. </w:t>
      </w:r>
      <w:proofErr w:type="gramStart"/>
      <w:r w:rsidRPr="00916599">
        <w:t>Following the rape, she was not able to urinate and was bleeding profusely.</w:t>
      </w:r>
      <w:proofErr w:type="gramEnd"/>
      <w:r w:rsidRPr="00916599">
        <w:t xml:space="preserve"> However, she did not receive any medical assistance or treatment (para. 2.4).</w:t>
      </w:r>
    </w:p>
    <w:p w:rsidR="00C23B00" w:rsidRPr="00916599" w:rsidRDefault="00C23B00" w:rsidP="00C23B00">
      <w:pPr>
        <w:pStyle w:val="SingleTxtG"/>
      </w:pPr>
      <w:r w:rsidRPr="00916599">
        <w:t>4.</w:t>
      </w:r>
      <w:r w:rsidRPr="00916599">
        <w:tab/>
        <w:t xml:space="preserve">In June 2002, the author returned to her village and found out that she had become a social outcast. Aware of the behaviour of security forces towards female detainees, villagers assumed that she </w:t>
      </w:r>
      <w:proofErr w:type="gramStart"/>
      <w:r w:rsidRPr="00916599">
        <w:t>had been raped</w:t>
      </w:r>
      <w:proofErr w:type="gramEnd"/>
      <w:r w:rsidRPr="00916599">
        <w:t xml:space="preserve"> and thus bore </w:t>
      </w:r>
      <w:r w:rsidR="00210B97">
        <w:t>“</w:t>
      </w:r>
      <w:r w:rsidRPr="00916599">
        <w:t>impurities</w:t>
      </w:r>
      <w:r w:rsidR="00210B97">
        <w:t>”</w:t>
      </w:r>
      <w:r w:rsidRPr="00916599">
        <w:t>. Her friends in the village avoided her. She was not able to leave her house for about a month due to the shame and humiliation and she stopped going to school (para</w:t>
      </w:r>
      <w:r w:rsidR="00036365">
        <w:t>.</w:t>
      </w:r>
      <w:r w:rsidRPr="00916599">
        <w:t xml:space="preserve"> 2.7). </w:t>
      </w:r>
    </w:p>
    <w:p w:rsidR="00C23B00" w:rsidRPr="00916599" w:rsidRDefault="00C23B00" w:rsidP="00C23B00">
      <w:pPr>
        <w:pStyle w:val="SingleTxtG"/>
      </w:pPr>
      <w:r w:rsidRPr="00916599">
        <w:t>5.</w:t>
      </w:r>
      <w:r w:rsidRPr="00916599">
        <w:tab/>
        <w:t xml:space="preserve">In February 2009, the author got married. A week after her marriage, her husband heard about the rape. When he asked her about it, she told him the truth. As a result, her husband and in-laws rejected her. The author was deeply humiliated and had to return to her maternal home. She stayed there for two years before her husband finally reconciled with her (para. 2.8). </w:t>
      </w:r>
    </w:p>
    <w:p w:rsidR="00C23B00" w:rsidRPr="00916599" w:rsidRDefault="00C23B00" w:rsidP="00C23B00">
      <w:pPr>
        <w:pStyle w:val="SingleTxtG"/>
      </w:pPr>
      <w:r w:rsidRPr="00916599">
        <w:t>6.</w:t>
      </w:r>
      <w:r w:rsidRPr="00916599">
        <w:tab/>
        <w:t>The trauma provoked by the sexual violence endured and the subsequent stigmatization and rejection left the author with severe psychological sequelae. She suffers from post-traumatic stress disorder and has ongoing anxiety, nightmares and suicidal thoughts (para. 2.9).</w:t>
      </w:r>
    </w:p>
    <w:p w:rsidR="00C23B00" w:rsidRPr="00916599" w:rsidRDefault="00C23B00" w:rsidP="00C23B00">
      <w:pPr>
        <w:pStyle w:val="SingleTxtG"/>
      </w:pPr>
      <w:r w:rsidRPr="00916599">
        <w:t>7.</w:t>
      </w:r>
      <w:r w:rsidRPr="00916599">
        <w:tab/>
        <w:t>Notwithstanding, for several years after the author had been subjected to rape, she did not complain about it to any authority, doctor or even her own family. Given the social stigma attached to sexual violence in Nepalese society, including within the indigenous community she belonged to, she found it impossible to seek support in the community as it would have led to further victimization rather than to a remedy, and she was too ashamed to ask for her parents</w:t>
      </w:r>
      <w:r w:rsidR="00210B97">
        <w:t>’</w:t>
      </w:r>
      <w:r w:rsidRPr="00916599">
        <w:t xml:space="preserve"> support (para. 2.10). </w:t>
      </w:r>
    </w:p>
    <w:p w:rsidR="00C23B00" w:rsidRPr="00916599" w:rsidRDefault="00C23B00" w:rsidP="00C23B00">
      <w:pPr>
        <w:pStyle w:val="SingleTxtG"/>
      </w:pPr>
      <w:r w:rsidRPr="00916599">
        <w:t>8.</w:t>
      </w:r>
      <w:r w:rsidRPr="00916599">
        <w:tab/>
        <w:t>The author alleges a violation of articles 17 and 23 (1) of the Covenant, due to the arbitrary interference with her privacy and her sexual life as a woman, the disruption of her family life, and the unlawful attacks on her honour and reputation (para. 3.3).</w:t>
      </w:r>
    </w:p>
    <w:p w:rsidR="00C23B00" w:rsidRPr="00916599" w:rsidRDefault="00C23B00" w:rsidP="00C23B00">
      <w:pPr>
        <w:pStyle w:val="SingleTxtG"/>
      </w:pPr>
      <w:r w:rsidRPr="00916599">
        <w:t>9.</w:t>
      </w:r>
      <w:r w:rsidRPr="00916599">
        <w:tab/>
        <w:t>In this regard, due account should be given to the author</w:t>
      </w:r>
      <w:r w:rsidR="00210B97">
        <w:t>’</w:t>
      </w:r>
      <w:r w:rsidRPr="00916599">
        <w:t>s uncontested allegations that, since 2 April 2002 and, for a period of over a month and a half, she was subjected to rape and other forms of sexual violence by members of the Royal Nepalese Army and of the Armed Police Force. I therefore concur with the Committee that these crimes, inflicted upon the author, an indigenous woman who was a 14-year-old girl at the time of the events, violated the author</w:t>
      </w:r>
      <w:r w:rsidR="00210B97">
        <w:t>’</w:t>
      </w:r>
      <w:r w:rsidRPr="00916599">
        <w:t>s rights under articles 7 and 24 (1) of the Covenant (para</w:t>
      </w:r>
      <w:r w:rsidR="00036365">
        <w:t>.</w:t>
      </w:r>
      <w:r w:rsidRPr="00916599">
        <w:t xml:space="preserve"> 7.2).</w:t>
      </w:r>
    </w:p>
    <w:p w:rsidR="00C23B00" w:rsidRPr="00916599" w:rsidRDefault="00C23B00" w:rsidP="00C23B00">
      <w:pPr>
        <w:pStyle w:val="SingleTxtG"/>
      </w:pPr>
      <w:proofErr w:type="gramStart"/>
      <w:r w:rsidRPr="00916599">
        <w:t>10.</w:t>
      </w:r>
      <w:r w:rsidRPr="00916599">
        <w:tab/>
        <w:t>Regarding the author</w:t>
      </w:r>
      <w:r w:rsidR="00210B97">
        <w:t>’</w:t>
      </w:r>
      <w:r w:rsidRPr="00916599">
        <w:t>s complaint under article 17 of the Covenant, I also concur with the Committee, that the rape of the author constitutes an arbitrary interference with her privacy and her sexual autonomy in that it forced her to enter into sexual intercourse against her will as a girl; all the more so because due to her rape she endured stigmatization, shame and marginalization from her community (para. 7.8).</w:t>
      </w:r>
      <w:proofErr w:type="gramEnd"/>
    </w:p>
    <w:p w:rsidR="00C23B00" w:rsidRPr="00916599" w:rsidRDefault="00C23B00" w:rsidP="00C23B00">
      <w:pPr>
        <w:pStyle w:val="SingleTxtG"/>
      </w:pPr>
      <w:r w:rsidRPr="00916599">
        <w:lastRenderedPageBreak/>
        <w:t>11.</w:t>
      </w:r>
      <w:r w:rsidRPr="00916599">
        <w:tab/>
        <w:t xml:space="preserve">However, unlike the Committee, I fail to see how the State party is to </w:t>
      </w:r>
      <w:proofErr w:type="gramStart"/>
      <w:r w:rsidRPr="00916599">
        <w:t>be held</w:t>
      </w:r>
      <w:proofErr w:type="gramEnd"/>
      <w:r w:rsidRPr="00916599">
        <w:t xml:space="preserve"> accountable for the alleged disruption of the author</w:t>
      </w:r>
      <w:r w:rsidR="00210B97">
        <w:t>’</w:t>
      </w:r>
      <w:r w:rsidRPr="00916599">
        <w:t xml:space="preserve">s family life or of her future marriage. </w:t>
      </w:r>
    </w:p>
    <w:p w:rsidR="00C23B00" w:rsidRPr="00916599" w:rsidRDefault="00C23B00" w:rsidP="00C23B00">
      <w:pPr>
        <w:pStyle w:val="SingleTxtG"/>
      </w:pPr>
      <w:r w:rsidRPr="00916599">
        <w:t>12.</w:t>
      </w:r>
      <w:r w:rsidRPr="00916599">
        <w:tab/>
        <w:t>Regarding family life, the author herself acknowledges she did not complain about her rape to her own family and that she felt too ashamed to ask for her parents</w:t>
      </w:r>
      <w:r w:rsidR="00210B97">
        <w:t>’</w:t>
      </w:r>
      <w:r w:rsidRPr="00916599">
        <w:t xml:space="preserve"> support (para. 7 of the opinion above and para 2.10 of the Views). Moreover, her family received her after the events, cared for her and gave her shelter and understanding. Therefore, the author did not face a situation of family disruption.</w:t>
      </w:r>
    </w:p>
    <w:p w:rsidR="00C23B00" w:rsidRPr="00916599" w:rsidRDefault="00C23B00" w:rsidP="00C23B00">
      <w:pPr>
        <w:pStyle w:val="SingleTxtG"/>
      </w:pPr>
      <w:proofErr w:type="gramStart"/>
      <w:r w:rsidRPr="00916599">
        <w:t>13.</w:t>
      </w:r>
      <w:r w:rsidRPr="00916599">
        <w:tab/>
        <w:t>As for the author</w:t>
      </w:r>
      <w:r w:rsidR="00210B97">
        <w:t>’</w:t>
      </w:r>
      <w:r w:rsidRPr="00916599">
        <w:t>s marriage, it was entered into seven years after the events, and the causal link between the sexual crimes endured and the initial disruption of the marriage intermingle with several other factors (husband</w:t>
      </w:r>
      <w:r w:rsidR="00210B97">
        <w:t>’</w:t>
      </w:r>
      <w:r w:rsidRPr="00916599">
        <w:t>s and in-laws</w:t>
      </w:r>
      <w:r w:rsidR="00210B97">
        <w:t>’</w:t>
      </w:r>
      <w:r w:rsidRPr="00916599">
        <w:t xml:space="preserve"> perception of the author as a victim of sexual violence, perceptions of the community on the same issue, social prejudices and bias and many others).</w:t>
      </w:r>
      <w:proofErr w:type="gramEnd"/>
      <w:r w:rsidRPr="00916599">
        <w:t xml:space="preserve"> I therefore fail to see how the State party is to </w:t>
      </w:r>
      <w:proofErr w:type="gramStart"/>
      <w:r w:rsidRPr="00916599">
        <w:t>be held</w:t>
      </w:r>
      <w:proofErr w:type="gramEnd"/>
      <w:r w:rsidRPr="00916599">
        <w:t xml:space="preserve"> responsible for the author</w:t>
      </w:r>
      <w:r w:rsidR="00210B97">
        <w:t>’</w:t>
      </w:r>
      <w:r w:rsidRPr="00916599">
        <w:t>s disrupted marriage, particularly since the spouses later reconciled with each other.</w:t>
      </w:r>
    </w:p>
    <w:p w:rsidR="00C23B00" w:rsidRPr="00916599" w:rsidRDefault="00C23B00" w:rsidP="00C23B00">
      <w:pPr>
        <w:pStyle w:val="SingleTxtG"/>
      </w:pPr>
      <w:r w:rsidRPr="00916599">
        <w:t>14.</w:t>
      </w:r>
      <w:r w:rsidRPr="00916599">
        <w:tab/>
        <w:t>By concluding with a violation of the author</w:t>
      </w:r>
      <w:r w:rsidR="00210B97">
        <w:t>’</w:t>
      </w:r>
      <w:r w:rsidRPr="00916599">
        <w:t>s rights under articles 17 and 23 (1) of the Covenant for the above reasons, the Committee opens up an avenue for State responsibility that will have hardly any boundaries, both in terms of the number of years to take into account after the events and of the extent of such responsibility.</w:t>
      </w:r>
    </w:p>
    <w:p w:rsidR="00C23B00" w:rsidRPr="00916599" w:rsidRDefault="00C23B00" w:rsidP="00C23B00">
      <w:pPr>
        <w:pStyle w:val="SingleTxtG"/>
      </w:pPr>
      <w:r w:rsidRPr="00916599">
        <w:t>15.</w:t>
      </w:r>
      <w:r w:rsidRPr="00916599">
        <w:tab/>
        <w:t>I would therefore have concluded that Nepal was not responsible, in the present case, for a disruption of the author</w:t>
      </w:r>
      <w:r w:rsidR="00210B97">
        <w:t>’</w:t>
      </w:r>
      <w:r w:rsidRPr="00916599">
        <w:t>s family life and marriage and therefore had not violated, on those grounds, articles 17 and 23 (1) of the Covenant.</w:t>
      </w:r>
    </w:p>
    <w:p w:rsidR="003B5EA8" w:rsidRPr="00916599" w:rsidRDefault="003B5EA8" w:rsidP="003B5EA8">
      <w:pPr>
        <w:pStyle w:val="SingleTxtG"/>
        <w:spacing w:before="240"/>
        <w:jc w:val="center"/>
      </w:pPr>
      <w:r w:rsidRPr="00916599">
        <w:rPr>
          <w:u w:val="single"/>
        </w:rPr>
        <w:tab/>
      </w:r>
      <w:r w:rsidRPr="00916599">
        <w:rPr>
          <w:u w:val="single"/>
        </w:rPr>
        <w:tab/>
      </w:r>
      <w:r w:rsidRPr="00916599">
        <w:rPr>
          <w:u w:val="single"/>
        </w:rPr>
        <w:tab/>
      </w:r>
    </w:p>
    <w:sectPr w:rsidR="003B5EA8" w:rsidRPr="00916599"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459" w:rsidRPr="00B903E5" w:rsidRDefault="00295459" w:rsidP="00B903E5">
      <w:pPr>
        <w:pStyle w:val="Footer"/>
      </w:pPr>
    </w:p>
  </w:endnote>
  <w:endnote w:type="continuationSeparator" w:id="0">
    <w:p w:rsidR="00295459" w:rsidRPr="00B903E5" w:rsidRDefault="00295459"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00" w:rsidRDefault="00C23B00" w:rsidP="0066751C">
    <w:pPr>
      <w:pStyle w:val="Footer"/>
      <w:tabs>
        <w:tab w:val="right" w:pos="9638"/>
      </w:tabs>
    </w:pPr>
    <w:r w:rsidRPr="00C23B00">
      <w:rPr>
        <w:b/>
        <w:bCs/>
        <w:sz w:val="18"/>
      </w:rPr>
      <w:fldChar w:fldCharType="begin"/>
    </w:r>
    <w:r w:rsidRPr="00C23B00">
      <w:rPr>
        <w:b/>
        <w:bCs/>
        <w:sz w:val="18"/>
      </w:rPr>
      <w:instrText xml:space="preserve"> PAGE  \* MERGEFORMAT </w:instrText>
    </w:r>
    <w:r w:rsidRPr="00C23B00">
      <w:rPr>
        <w:b/>
        <w:bCs/>
        <w:sz w:val="18"/>
      </w:rPr>
      <w:fldChar w:fldCharType="separate"/>
    </w:r>
    <w:r w:rsidR="00461716">
      <w:rPr>
        <w:b/>
        <w:bCs/>
        <w:noProof/>
        <w:sz w:val="18"/>
      </w:rPr>
      <w:t>12</w:t>
    </w:r>
    <w:r w:rsidRPr="00C23B0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00" w:rsidRDefault="00C23B00" w:rsidP="00C23B00">
    <w:pPr>
      <w:pStyle w:val="Footer"/>
      <w:tabs>
        <w:tab w:val="right" w:pos="9638"/>
      </w:tabs>
    </w:pPr>
    <w:r>
      <w:tab/>
    </w:r>
    <w:r w:rsidRPr="00C23B00">
      <w:rPr>
        <w:b/>
        <w:bCs/>
        <w:sz w:val="18"/>
      </w:rPr>
      <w:fldChar w:fldCharType="begin"/>
    </w:r>
    <w:r w:rsidRPr="00C23B00">
      <w:rPr>
        <w:b/>
        <w:bCs/>
        <w:sz w:val="18"/>
      </w:rPr>
      <w:instrText xml:space="preserve"> PAGE  \* MERGEFORMAT </w:instrText>
    </w:r>
    <w:r w:rsidRPr="00C23B00">
      <w:rPr>
        <w:b/>
        <w:bCs/>
        <w:sz w:val="18"/>
      </w:rPr>
      <w:fldChar w:fldCharType="separate"/>
    </w:r>
    <w:r w:rsidR="00461716">
      <w:rPr>
        <w:b/>
        <w:bCs/>
        <w:noProof/>
        <w:sz w:val="18"/>
      </w:rPr>
      <w:t>13</w:t>
    </w:r>
    <w:r w:rsidRPr="00C23B0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716" w:rsidRDefault="00461716" w:rsidP="00461716">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61716" w:rsidRDefault="00461716" w:rsidP="00461716">
    <w:pPr>
      <w:pStyle w:val="Footer"/>
      <w:ind w:right="1134"/>
      <w:rPr>
        <w:sz w:val="20"/>
      </w:rPr>
    </w:pPr>
    <w:r>
      <w:rPr>
        <w:sz w:val="20"/>
      </w:rPr>
      <w:t>GE.19-09373(E)</w:t>
    </w:r>
  </w:p>
  <w:p w:rsidR="00461716" w:rsidRPr="00461716" w:rsidRDefault="00461716" w:rsidP="0046171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5/D/2556/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556/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459" w:rsidRPr="00B903E5" w:rsidRDefault="00295459" w:rsidP="00B903E5">
      <w:pPr>
        <w:tabs>
          <w:tab w:val="right" w:pos="2155"/>
        </w:tabs>
        <w:spacing w:after="80" w:line="240" w:lineRule="auto"/>
        <w:ind w:left="680"/>
      </w:pPr>
      <w:r>
        <w:rPr>
          <w:u w:val="single"/>
        </w:rPr>
        <w:tab/>
      </w:r>
    </w:p>
  </w:footnote>
  <w:footnote w:type="continuationSeparator" w:id="0">
    <w:p w:rsidR="00295459" w:rsidRPr="00B903E5" w:rsidRDefault="00295459" w:rsidP="00B903E5">
      <w:pPr>
        <w:tabs>
          <w:tab w:val="right" w:pos="2155"/>
        </w:tabs>
        <w:spacing w:after="80" w:line="240" w:lineRule="auto"/>
        <w:ind w:left="680"/>
      </w:pPr>
      <w:r>
        <w:rPr>
          <w:u w:val="single"/>
        </w:rPr>
        <w:tab/>
      </w:r>
    </w:p>
  </w:footnote>
  <w:footnote w:id="1">
    <w:p w:rsidR="00C23B00" w:rsidRPr="003E778B" w:rsidRDefault="00C23B00" w:rsidP="00C23B00">
      <w:pPr>
        <w:pStyle w:val="FootnoteText"/>
      </w:pPr>
      <w:r w:rsidRPr="00693DB8">
        <w:rPr>
          <w:rStyle w:val="FootnoteReference"/>
          <w:sz w:val="20"/>
          <w:vertAlign w:val="baseline"/>
        </w:rPr>
        <w:tab/>
        <w:t>*</w:t>
      </w:r>
      <w:r w:rsidRPr="00693DB8">
        <w:rPr>
          <w:rStyle w:val="FootnoteReference"/>
          <w:sz w:val="20"/>
          <w:vertAlign w:val="baseline"/>
        </w:rPr>
        <w:tab/>
      </w:r>
      <w:r w:rsidRPr="003E778B">
        <w:t>Adopted by the Committee at its 125</w:t>
      </w:r>
      <w:r w:rsidRPr="00B21A0F">
        <w:t>th</w:t>
      </w:r>
      <w:r w:rsidRPr="003E778B">
        <w:t xml:space="preserve"> session (4</w:t>
      </w:r>
      <w:r>
        <w:t>–</w:t>
      </w:r>
      <w:r w:rsidRPr="003E778B">
        <w:t>29 March 2019).</w:t>
      </w:r>
    </w:p>
  </w:footnote>
  <w:footnote w:id="2">
    <w:p w:rsidR="00C23B00" w:rsidRPr="003E778B" w:rsidRDefault="00C23B00" w:rsidP="00C23B00">
      <w:pPr>
        <w:pStyle w:val="FootnoteText"/>
      </w:pPr>
      <w:r w:rsidRPr="00693DB8">
        <w:rPr>
          <w:rStyle w:val="FootnoteReference"/>
          <w:sz w:val="20"/>
          <w:vertAlign w:val="baseline"/>
        </w:rPr>
        <w:tab/>
        <w:t>**</w:t>
      </w:r>
      <w:r w:rsidRPr="00693DB8">
        <w:rPr>
          <w:rStyle w:val="FootnoteReference"/>
          <w:sz w:val="20"/>
          <w:vertAlign w:val="baseline"/>
        </w:rPr>
        <w:tab/>
      </w:r>
      <w:proofErr w:type="gramStart"/>
      <w:r w:rsidRPr="003E778B">
        <w:t>The following members of the Committee participated in the examination of the communication:</w:t>
      </w:r>
      <w:r w:rsidRPr="002D0C51">
        <w:rPr>
          <w:lang w:val="en-US"/>
        </w:rPr>
        <w:t xml:space="preserve"> </w:t>
      </w:r>
      <w:r>
        <w:rPr>
          <w:lang w:val="en-US"/>
        </w:rPr>
        <w:t xml:space="preserve">Tania </w:t>
      </w:r>
      <w:proofErr w:type="spellStart"/>
      <w:r>
        <w:rPr>
          <w:lang w:val="en-US"/>
        </w:rPr>
        <w:t>María</w:t>
      </w:r>
      <w:proofErr w:type="spellEnd"/>
      <w:r>
        <w:rPr>
          <w:lang w:val="en-US"/>
        </w:rPr>
        <w:t xml:space="preserve"> </w:t>
      </w:r>
      <w:proofErr w:type="spellStart"/>
      <w:r>
        <w:rPr>
          <w:lang w:val="en-US"/>
        </w:rPr>
        <w:t>Abdo</w:t>
      </w:r>
      <w:proofErr w:type="spellEnd"/>
      <w:r>
        <w:rPr>
          <w:lang w:val="en-US"/>
        </w:rPr>
        <w:t xml:space="preserve"> </w:t>
      </w:r>
      <w:proofErr w:type="spellStart"/>
      <w:r>
        <w:rPr>
          <w:lang w:val="en-US"/>
        </w:rPr>
        <w:t>Rocholl</w:t>
      </w:r>
      <w:proofErr w:type="spellEnd"/>
      <w:r>
        <w:rPr>
          <w:lang w:val="en-US"/>
        </w:rPr>
        <w:t xml:space="preserve">, </w:t>
      </w:r>
      <w:proofErr w:type="spellStart"/>
      <w:r w:rsidRPr="004D2D9C">
        <w:rPr>
          <w:lang w:val="en-US"/>
        </w:rPr>
        <w:t>Yadh</w:t>
      </w:r>
      <w:proofErr w:type="spellEnd"/>
      <w:r w:rsidRPr="004D2D9C">
        <w:rPr>
          <w:lang w:val="en-US"/>
        </w:rPr>
        <w:t xml:space="preserve"> Ben </w:t>
      </w:r>
      <w:proofErr w:type="spellStart"/>
      <w:r w:rsidRPr="004D2D9C">
        <w:rPr>
          <w:lang w:val="en-US"/>
        </w:rPr>
        <w:t>Achour</w:t>
      </w:r>
      <w:proofErr w:type="spellEnd"/>
      <w:r w:rsidRPr="004D2D9C">
        <w:rPr>
          <w:lang w:val="en-US"/>
        </w:rPr>
        <w:t>,</w:t>
      </w:r>
      <w:r w:rsidRPr="002A686A">
        <w:rPr>
          <w:lang w:val="en-US"/>
        </w:rPr>
        <w:t xml:space="preserve"> </w:t>
      </w:r>
      <w:proofErr w:type="spellStart"/>
      <w:r>
        <w:rPr>
          <w:lang w:val="en-US"/>
        </w:rPr>
        <w:t>Ilze</w:t>
      </w:r>
      <w:proofErr w:type="spellEnd"/>
      <w:r>
        <w:rPr>
          <w:lang w:val="en-US"/>
        </w:rPr>
        <w:t xml:space="preserve"> Brands </w:t>
      </w:r>
      <w:proofErr w:type="spellStart"/>
      <w:r>
        <w:rPr>
          <w:lang w:val="en-US"/>
        </w:rPr>
        <w:t>Kehris</w:t>
      </w:r>
      <w:proofErr w:type="spellEnd"/>
      <w:r>
        <w:rPr>
          <w:lang w:val="en-US"/>
        </w:rPr>
        <w:t>,</w:t>
      </w:r>
      <w:r w:rsidRPr="004D2D9C">
        <w:rPr>
          <w:lang w:val="en-US"/>
        </w:rPr>
        <w:t xml:space="preserve"> </w:t>
      </w:r>
      <w:r>
        <w:rPr>
          <w:lang w:val="en-US"/>
        </w:rPr>
        <w:t xml:space="preserve">Christopher </w:t>
      </w:r>
      <w:proofErr w:type="spellStart"/>
      <w:r>
        <w:rPr>
          <w:lang w:val="en-US"/>
        </w:rPr>
        <w:t>Arif</w:t>
      </w:r>
      <w:proofErr w:type="spellEnd"/>
      <w:r>
        <w:rPr>
          <w:lang w:val="en-US"/>
        </w:rPr>
        <w:t xml:space="preserve"> </w:t>
      </w:r>
      <w:proofErr w:type="spellStart"/>
      <w:r>
        <w:rPr>
          <w:lang w:val="en-US"/>
        </w:rPr>
        <w:t>Bulkan</w:t>
      </w:r>
      <w:proofErr w:type="spellEnd"/>
      <w:r w:rsidRPr="002100B2">
        <w:rPr>
          <w:lang w:val="en-US"/>
        </w:rPr>
        <w:t>,</w:t>
      </w:r>
      <w:r>
        <w:rPr>
          <w:lang w:val="en-US"/>
        </w:rPr>
        <w:t xml:space="preserve"> </w:t>
      </w:r>
      <w:r w:rsidRPr="004D2D9C">
        <w:rPr>
          <w:lang w:val="en-US"/>
        </w:rPr>
        <w:t>Ahme</w:t>
      </w:r>
      <w:r>
        <w:rPr>
          <w:lang w:val="en-US"/>
        </w:rPr>
        <w:t>d</w:t>
      </w:r>
      <w:r w:rsidRPr="004D2D9C">
        <w:rPr>
          <w:lang w:val="en-US"/>
        </w:rPr>
        <w:t xml:space="preserve"> Amin </w:t>
      </w:r>
      <w:proofErr w:type="spellStart"/>
      <w:r w:rsidRPr="004D2D9C">
        <w:rPr>
          <w:lang w:val="en-US"/>
        </w:rPr>
        <w:t>Fathalla</w:t>
      </w:r>
      <w:proofErr w:type="spellEnd"/>
      <w:r>
        <w:rPr>
          <w:lang w:val="en-US"/>
        </w:rPr>
        <w:t xml:space="preserve">, Shuichi </w:t>
      </w:r>
      <w:proofErr w:type="spellStart"/>
      <w:r>
        <w:rPr>
          <w:lang w:val="en-US"/>
        </w:rPr>
        <w:t>Furuya</w:t>
      </w:r>
      <w:proofErr w:type="spellEnd"/>
      <w:r w:rsidRPr="004D2D9C">
        <w:rPr>
          <w:lang w:val="en-US"/>
        </w:rPr>
        <w:t xml:space="preserve">, </w:t>
      </w:r>
      <w:proofErr w:type="spellStart"/>
      <w:r>
        <w:rPr>
          <w:lang w:val="en-US"/>
        </w:rPr>
        <w:t>Christof</w:t>
      </w:r>
      <w:proofErr w:type="spellEnd"/>
      <w:r>
        <w:rPr>
          <w:lang w:val="en-US"/>
        </w:rPr>
        <w:t xml:space="preserve"> </w:t>
      </w:r>
      <w:proofErr w:type="spellStart"/>
      <w:r>
        <w:rPr>
          <w:lang w:val="en-US"/>
        </w:rPr>
        <w:t>Heyns</w:t>
      </w:r>
      <w:proofErr w:type="spellEnd"/>
      <w:r>
        <w:rPr>
          <w:lang w:val="en-US"/>
        </w:rPr>
        <w:t xml:space="preserve">, </w:t>
      </w:r>
      <w:proofErr w:type="spellStart"/>
      <w:r>
        <w:rPr>
          <w:lang w:val="en-US"/>
        </w:rPr>
        <w:t>Bamariam</w:t>
      </w:r>
      <w:proofErr w:type="spellEnd"/>
      <w:r>
        <w:rPr>
          <w:lang w:val="en-US"/>
        </w:rPr>
        <w:t xml:space="preserve"> </w:t>
      </w:r>
      <w:proofErr w:type="spellStart"/>
      <w:r>
        <w:rPr>
          <w:lang w:val="en-US"/>
        </w:rPr>
        <w:t>Koita</w:t>
      </w:r>
      <w:proofErr w:type="spellEnd"/>
      <w:r>
        <w:rPr>
          <w:lang w:val="en-US"/>
        </w:rPr>
        <w:t xml:space="preserve">, Marcia V.J. </w:t>
      </w:r>
      <w:proofErr w:type="spellStart"/>
      <w:r>
        <w:rPr>
          <w:lang w:val="en-US"/>
        </w:rPr>
        <w:t>Kran</w:t>
      </w:r>
      <w:proofErr w:type="spellEnd"/>
      <w:r>
        <w:rPr>
          <w:lang w:val="en-US"/>
        </w:rPr>
        <w:t xml:space="preserve">, </w:t>
      </w:r>
      <w:r w:rsidRPr="004D2D9C">
        <w:rPr>
          <w:lang w:val="en-US"/>
        </w:rPr>
        <w:t xml:space="preserve">Duncan </w:t>
      </w:r>
      <w:proofErr w:type="spellStart"/>
      <w:r w:rsidRPr="004D2D9C">
        <w:rPr>
          <w:lang w:val="en-US"/>
        </w:rPr>
        <w:t>Laki</w:t>
      </w:r>
      <w:proofErr w:type="spellEnd"/>
      <w:r w:rsidRPr="004D2D9C">
        <w:rPr>
          <w:lang w:val="en-US"/>
        </w:rPr>
        <w:t xml:space="preserve"> </w:t>
      </w:r>
      <w:proofErr w:type="spellStart"/>
      <w:r w:rsidRPr="004D2D9C">
        <w:rPr>
          <w:lang w:val="en-US"/>
        </w:rPr>
        <w:t>Muhumuza</w:t>
      </w:r>
      <w:proofErr w:type="spellEnd"/>
      <w:r w:rsidRPr="004D2D9C">
        <w:rPr>
          <w:lang w:val="en-US"/>
        </w:rPr>
        <w:t xml:space="preserve">, </w:t>
      </w:r>
      <w:proofErr w:type="spellStart"/>
      <w:r w:rsidRPr="004D2D9C">
        <w:rPr>
          <w:lang w:val="en-US"/>
        </w:rPr>
        <w:t>Photini</w:t>
      </w:r>
      <w:proofErr w:type="spellEnd"/>
      <w:r w:rsidRPr="004D2D9C">
        <w:rPr>
          <w:lang w:val="en-US"/>
        </w:rPr>
        <w:t xml:space="preserve"> </w:t>
      </w:r>
      <w:proofErr w:type="spellStart"/>
      <w:r w:rsidRPr="004D2D9C">
        <w:rPr>
          <w:lang w:val="en-US"/>
        </w:rPr>
        <w:t>Pazartzis</w:t>
      </w:r>
      <w:proofErr w:type="spellEnd"/>
      <w:r w:rsidRPr="004D2D9C">
        <w:rPr>
          <w:lang w:val="en-US"/>
        </w:rPr>
        <w:t xml:space="preserve">, </w:t>
      </w:r>
      <w:proofErr w:type="spellStart"/>
      <w:r>
        <w:rPr>
          <w:lang w:val="en-US"/>
        </w:rPr>
        <w:t>Hernán</w:t>
      </w:r>
      <w:proofErr w:type="spellEnd"/>
      <w:r>
        <w:rPr>
          <w:lang w:val="en-US"/>
        </w:rPr>
        <w:t xml:space="preserve"> Quezada Cabrera</w:t>
      </w:r>
      <w:r w:rsidRPr="004D2D9C">
        <w:rPr>
          <w:lang w:val="en-US"/>
        </w:rPr>
        <w:t xml:space="preserve">, </w:t>
      </w:r>
      <w:proofErr w:type="spellStart"/>
      <w:r>
        <w:rPr>
          <w:lang w:val="en-US"/>
        </w:rPr>
        <w:t>Vasilka</w:t>
      </w:r>
      <w:proofErr w:type="spellEnd"/>
      <w:r>
        <w:rPr>
          <w:lang w:val="en-US"/>
        </w:rPr>
        <w:t xml:space="preserve"> </w:t>
      </w:r>
      <w:proofErr w:type="spellStart"/>
      <w:r>
        <w:rPr>
          <w:lang w:val="en-US"/>
        </w:rPr>
        <w:t>Sancin</w:t>
      </w:r>
      <w:proofErr w:type="spellEnd"/>
      <w:r>
        <w:rPr>
          <w:lang w:val="en-US"/>
        </w:rPr>
        <w:t xml:space="preserve">, José Manuel Santos </w:t>
      </w:r>
      <w:proofErr w:type="spellStart"/>
      <w:r>
        <w:rPr>
          <w:lang w:val="en-US"/>
        </w:rPr>
        <w:t>Pais</w:t>
      </w:r>
      <w:proofErr w:type="spellEnd"/>
      <w:r>
        <w:rPr>
          <w:lang w:val="en-US"/>
        </w:rPr>
        <w:t xml:space="preserve">, Yuval </w:t>
      </w:r>
      <w:proofErr w:type="spellStart"/>
      <w:r>
        <w:rPr>
          <w:lang w:val="en-US"/>
        </w:rPr>
        <w:t>Shany</w:t>
      </w:r>
      <w:proofErr w:type="spellEnd"/>
      <w:r>
        <w:rPr>
          <w:lang w:val="en-US"/>
        </w:rPr>
        <w:t xml:space="preserve">, Hélène </w:t>
      </w:r>
      <w:proofErr w:type="spellStart"/>
      <w:r>
        <w:rPr>
          <w:lang w:val="en-US"/>
        </w:rPr>
        <w:t>Tigroudja</w:t>
      </w:r>
      <w:proofErr w:type="spellEnd"/>
      <w:r>
        <w:rPr>
          <w:lang w:val="en-US"/>
        </w:rPr>
        <w:t xml:space="preserve">, Andreas Zimmermann </w:t>
      </w:r>
      <w:r w:rsidRPr="004D2D9C">
        <w:rPr>
          <w:lang w:val="en-US"/>
        </w:rPr>
        <w:t xml:space="preserve">and </w:t>
      </w:r>
      <w:r>
        <w:rPr>
          <w:lang w:val="en-US"/>
        </w:rPr>
        <w:t xml:space="preserve">Gentian </w:t>
      </w:r>
      <w:proofErr w:type="spellStart"/>
      <w:r>
        <w:rPr>
          <w:lang w:val="en-US"/>
        </w:rPr>
        <w:t>Zyberi</w:t>
      </w:r>
      <w:proofErr w:type="spellEnd"/>
      <w:r w:rsidRPr="004D2D9C">
        <w:rPr>
          <w:lang w:val="en-US"/>
        </w:rPr>
        <w:t>.</w:t>
      </w:r>
      <w:proofErr w:type="gramEnd"/>
    </w:p>
  </w:footnote>
  <w:footnote w:id="3">
    <w:p w:rsidR="00C23B00" w:rsidRPr="003E778B" w:rsidRDefault="00C23B00" w:rsidP="00C23B00">
      <w:pPr>
        <w:pStyle w:val="FootnoteText"/>
      </w:pPr>
      <w:r w:rsidRPr="00693DB8">
        <w:rPr>
          <w:rStyle w:val="FootnoteReference"/>
          <w:sz w:val="20"/>
          <w:vertAlign w:val="baseline"/>
        </w:rPr>
        <w:tab/>
        <w:t>***</w:t>
      </w:r>
      <w:r w:rsidRPr="00693DB8">
        <w:rPr>
          <w:rStyle w:val="FootnoteReference"/>
          <w:sz w:val="20"/>
          <w:vertAlign w:val="baseline"/>
        </w:rPr>
        <w:tab/>
      </w:r>
      <w:r w:rsidRPr="00B21A0F">
        <w:rPr>
          <w:szCs w:val="18"/>
        </w:rPr>
        <w:t xml:space="preserve">An individual opinion by Committee member José Manuel Santos </w:t>
      </w:r>
      <w:proofErr w:type="spellStart"/>
      <w:r w:rsidRPr="00B21A0F">
        <w:rPr>
          <w:szCs w:val="18"/>
        </w:rPr>
        <w:t>Pais</w:t>
      </w:r>
      <w:proofErr w:type="spellEnd"/>
      <w:r>
        <w:rPr>
          <w:szCs w:val="18"/>
        </w:rPr>
        <w:t xml:space="preserve"> </w:t>
      </w:r>
      <w:r w:rsidRPr="000F0E31">
        <w:rPr>
          <w:szCs w:val="18"/>
        </w:rPr>
        <w:t>(partially concurring)</w:t>
      </w:r>
      <w:r w:rsidRPr="00B21A0F">
        <w:rPr>
          <w:szCs w:val="18"/>
        </w:rPr>
        <w:t xml:space="preserve"> </w:t>
      </w:r>
      <w:proofErr w:type="gramStart"/>
      <w:r w:rsidRPr="00B21A0F">
        <w:rPr>
          <w:szCs w:val="18"/>
        </w:rPr>
        <w:t>is annexed</w:t>
      </w:r>
      <w:proofErr w:type="gramEnd"/>
      <w:r w:rsidRPr="00B21A0F">
        <w:rPr>
          <w:szCs w:val="18"/>
        </w:rPr>
        <w:t xml:space="preserve"> to the present </w:t>
      </w:r>
      <w:r>
        <w:rPr>
          <w:szCs w:val="18"/>
        </w:rPr>
        <w:t>V</w:t>
      </w:r>
      <w:r w:rsidRPr="00B21A0F">
        <w:rPr>
          <w:szCs w:val="18"/>
        </w:rPr>
        <w:t>iews.</w:t>
      </w:r>
    </w:p>
  </w:footnote>
  <w:footnote w:id="4">
    <w:p w:rsidR="00C23B00" w:rsidRPr="003E778B" w:rsidRDefault="00C23B00" w:rsidP="00B73607">
      <w:pPr>
        <w:pStyle w:val="FootnoteText"/>
      </w:pPr>
      <w:r w:rsidRPr="003E778B">
        <w:tab/>
      </w:r>
      <w:r w:rsidRPr="00A84D0B">
        <w:rPr>
          <w:rStyle w:val="FootnoteReference"/>
        </w:rPr>
        <w:footnoteRef/>
      </w:r>
      <w:r w:rsidRPr="00CC6E5E">
        <w:tab/>
        <w:t>The author is using a pseudonym for the communication.</w:t>
      </w:r>
      <w:r w:rsidRPr="003E778B">
        <w:t xml:space="preserve"> </w:t>
      </w:r>
    </w:p>
  </w:footnote>
  <w:footnote w:id="5">
    <w:p w:rsidR="00C23B00" w:rsidRPr="003E778B" w:rsidRDefault="00C23B00" w:rsidP="00B73607">
      <w:pPr>
        <w:pStyle w:val="FootnoteText"/>
      </w:pPr>
      <w:r w:rsidRPr="003E778B">
        <w:tab/>
      </w:r>
      <w:r w:rsidRPr="00A84D0B">
        <w:rPr>
          <w:rStyle w:val="FootnoteReference"/>
        </w:rPr>
        <w:footnoteRef/>
      </w:r>
      <w:r w:rsidRPr="003E778B">
        <w:tab/>
      </w:r>
      <w:r>
        <w:t>At</w:t>
      </w:r>
      <w:r w:rsidRPr="003E778B">
        <w:t xml:space="preserve"> that time, the author was attending school </w:t>
      </w:r>
      <w:r>
        <w:t>(eighth</w:t>
      </w:r>
      <w:r w:rsidRPr="003E778B">
        <w:t xml:space="preserve"> grade</w:t>
      </w:r>
      <w:r>
        <w:t>)</w:t>
      </w:r>
      <w:r w:rsidRPr="003E778B">
        <w:t>.</w:t>
      </w:r>
    </w:p>
  </w:footnote>
  <w:footnote w:id="6">
    <w:p w:rsidR="00C23B00" w:rsidRPr="003E778B" w:rsidRDefault="00C23B00" w:rsidP="00B73607">
      <w:pPr>
        <w:pStyle w:val="FootnoteText"/>
      </w:pPr>
      <w:r w:rsidRPr="003E778B">
        <w:tab/>
      </w:r>
      <w:r w:rsidRPr="00A84D0B">
        <w:rPr>
          <w:rStyle w:val="FootnoteReference"/>
        </w:rPr>
        <w:footnoteRef/>
      </w:r>
      <w:r w:rsidRPr="003E778B">
        <w:tab/>
      </w:r>
      <w:r>
        <w:t>The Armed Police Force</w:t>
      </w:r>
      <w:r w:rsidRPr="003E778B">
        <w:t xml:space="preserve"> was a paramilitary police force established by the Government by way of </w:t>
      </w:r>
      <w:r>
        <w:t>o</w:t>
      </w:r>
      <w:r w:rsidRPr="003E778B">
        <w:t>rdinance, under the operational control of the R</w:t>
      </w:r>
      <w:r>
        <w:t xml:space="preserve">oyal </w:t>
      </w:r>
      <w:r w:rsidRPr="003E778B">
        <w:t>N</w:t>
      </w:r>
      <w:r>
        <w:t xml:space="preserve">epalese </w:t>
      </w:r>
      <w:r w:rsidRPr="003E778B">
        <w:t>A</w:t>
      </w:r>
      <w:r>
        <w:t>rmy</w:t>
      </w:r>
      <w:r w:rsidRPr="003E778B">
        <w:t xml:space="preserve">. </w:t>
      </w:r>
    </w:p>
  </w:footnote>
  <w:footnote w:id="7">
    <w:p w:rsidR="00C23B00" w:rsidRPr="003E778B" w:rsidRDefault="00C23B00" w:rsidP="00B73607">
      <w:pPr>
        <w:pStyle w:val="FootnoteText"/>
      </w:pPr>
      <w:r w:rsidRPr="003E778B">
        <w:tab/>
      </w:r>
      <w:r w:rsidRPr="00A84D0B">
        <w:rPr>
          <w:rStyle w:val="FootnoteReference"/>
        </w:rPr>
        <w:footnoteRef/>
      </w:r>
      <w:r w:rsidRPr="008F740C">
        <w:rPr>
          <w:rStyle w:val="FootnoteReference"/>
          <w:vertAlign w:val="baseline"/>
        </w:rPr>
        <w:tab/>
      </w:r>
      <w:r w:rsidRPr="003E778B">
        <w:t>Pseudonym.</w:t>
      </w:r>
    </w:p>
  </w:footnote>
  <w:footnote w:id="8">
    <w:p w:rsidR="00C23B00" w:rsidRPr="003E778B" w:rsidRDefault="00C23B00" w:rsidP="00B73607">
      <w:pPr>
        <w:pStyle w:val="FootnoteText"/>
      </w:pPr>
      <w:r w:rsidRPr="003E778B">
        <w:tab/>
      </w:r>
      <w:r w:rsidRPr="00A84D0B">
        <w:rPr>
          <w:rStyle w:val="FootnoteReference"/>
        </w:rPr>
        <w:footnoteRef/>
      </w:r>
      <w:r w:rsidRPr="003E778B">
        <w:tab/>
        <w:t>Pseudonym.</w:t>
      </w:r>
    </w:p>
  </w:footnote>
  <w:footnote w:id="9">
    <w:p w:rsidR="00C23B00" w:rsidRPr="003E778B" w:rsidRDefault="00C23B00" w:rsidP="00B73607">
      <w:pPr>
        <w:pStyle w:val="FootnoteText"/>
      </w:pPr>
      <w:r w:rsidRPr="003E778B">
        <w:tab/>
      </w:r>
      <w:r w:rsidRPr="00A84D0B">
        <w:rPr>
          <w:rStyle w:val="FootnoteReference"/>
        </w:rPr>
        <w:footnoteRef/>
      </w:r>
      <w:r w:rsidRPr="003E778B">
        <w:tab/>
        <w:t>Pseudonym.</w:t>
      </w:r>
    </w:p>
  </w:footnote>
  <w:footnote w:id="10">
    <w:p w:rsidR="00C23B00" w:rsidRPr="003E778B" w:rsidRDefault="00C23B00" w:rsidP="00B73607">
      <w:pPr>
        <w:pStyle w:val="FootnoteText"/>
        <w:rPr>
          <w:highlight w:val="cyan"/>
        </w:rPr>
      </w:pPr>
      <w:r w:rsidRPr="003E778B">
        <w:tab/>
      </w:r>
      <w:r w:rsidRPr="00A84D0B">
        <w:rPr>
          <w:rStyle w:val="FootnoteReference"/>
        </w:rPr>
        <w:footnoteRef/>
      </w:r>
      <w:r w:rsidRPr="003E778B">
        <w:tab/>
        <w:t xml:space="preserve">The author provides a medical certificate and medicine prescription from </w:t>
      </w:r>
      <w:proofErr w:type="spellStart"/>
      <w:r w:rsidRPr="003E778B">
        <w:t>Sahid</w:t>
      </w:r>
      <w:proofErr w:type="spellEnd"/>
      <w:r w:rsidRPr="003E778B">
        <w:t xml:space="preserve"> Memorial Hospital, with no specified date.</w:t>
      </w:r>
    </w:p>
  </w:footnote>
  <w:footnote w:id="11">
    <w:p w:rsidR="00C23B00" w:rsidRPr="003E778B" w:rsidRDefault="00C23B00" w:rsidP="00B73607">
      <w:pPr>
        <w:pStyle w:val="FootnoteText"/>
        <w:rPr>
          <w:highlight w:val="cyan"/>
        </w:rPr>
      </w:pPr>
      <w:r w:rsidRPr="003E778B">
        <w:tab/>
      </w:r>
      <w:r w:rsidRPr="00A84D0B">
        <w:rPr>
          <w:rStyle w:val="FootnoteReference"/>
        </w:rPr>
        <w:footnoteRef/>
      </w:r>
      <w:r w:rsidRPr="003E778B">
        <w:tab/>
      </w:r>
      <w:proofErr w:type="gramStart"/>
      <w:r w:rsidRPr="003E778B">
        <w:t xml:space="preserve">The author provides copies of a medical certificate dated 25 March 2014 attesting </w:t>
      </w:r>
      <w:r>
        <w:t xml:space="preserve">to </w:t>
      </w:r>
      <w:r w:rsidRPr="003E778B">
        <w:t xml:space="preserve">the grave physical and psychological harm suffered by her and of a certificate dated 24 March 2014 issued by the </w:t>
      </w:r>
      <w:r w:rsidRPr="000A22E4">
        <w:t xml:space="preserve">Department of Forensic Medicine of the </w:t>
      </w:r>
      <w:proofErr w:type="spellStart"/>
      <w:r w:rsidRPr="000A22E4">
        <w:t>Tribhuvan</w:t>
      </w:r>
      <w:proofErr w:type="spellEnd"/>
      <w:r w:rsidRPr="000A22E4">
        <w:t xml:space="preserve"> University</w:t>
      </w:r>
      <w:r w:rsidRPr="003E778B">
        <w:t xml:space="preserve"> </w:t>
      </w:r>
      <w:r>
        <w:t>indicating that</w:t>
      </w:r>
      <w:r w:rsidRPr="003E778B">
        <w:t xml:space="preserve"> the author suffers from post-traumatic stress disorder and that her physical injuries match her allegations of physical and sexual assault.</w:t>
      </w:r>
      <w:proofErr w:type="gramEnd"/>
    </w:p>
  </w:footnote>
  <w:footnote w:id="12">
    <w:p w:rsidR="00C23B00" w:rsidRPr="00C3099D" w:rsidRDefault="00C23B00" w:rsidP="00B73607">
      <w:pPr>
        <w:pStyle w:val="FootnoteText"/>
        <w:rPr>
          <w:lang w:val="en-US"/>
        </w:rPr>
      </w:pPr>
      <w:r w:rsidRPr="003E778B">
        <w:tab/>
      </w:r>
      <w:r w:rsidRPr="00A84D0B">
        <w:rPr>
          <w:rStyle w:val="FootnoteReference"/>
        </w:rPr>
        <w:footnoteRef/>
      </w:r>
      <w:r w:rsidRPr="00C3099D">
        <w:rPr>
          <w:lang w:val="en-US"/>
        </w:rPr>
        <w:tab/>
        <w:t xml:space="preserve">The author refers to Advocacy Forum, </w:t>
      </w:r>
      <w:r w:rsidR="00210B97">
        <w:rPr>
          <w:lang w:val="en-US"/>
        </w:rPr>
        <w:t>“</w:t>
      </w:r>
      <w:r w:rsidRPr="00C3099D">
        <w:rPr>
          <w:lang w:val="en-US"/>
        </w:rPr>
        <w:t xml:space="preserve">Discrimination and </w:t>
      </w:r>
      <w:r>
        <w:rPr>
          <w:lang w:val="en-US"/>
        </w:rPr>
        <w:t>i</w:t>
      </w:r>
      <w:r w:rsidRPr="00C3099D">
        <w:rPr>
          <w:lang w:val="en-US"/>
        </w:rPr>
        <w:t xml:space="preserve">rregularities: </w:t>
      </w:r>
      <w:r>
        <w:rPr>
          <w:lang w:val="en-US"/>
        </w:rPr>
        <w:t>t</w:t>
      </w:r>
      <w:r w:rsidRPr="00C3099D">
        <w:rPr>
          <w:lang w:val="en-US"/>
        </w:rPr>
        <w:t xml:space="preserve">he </w:t>
      </w:r>
      <w:r>
        <w:rPr>
          <w:lang w:val="en-US"/>
        </w:rPr>
        <w:t>p</w:t>
      </w:r>
      <w:r w:rsidRPr="00C3099D">
        <w:rPr>
          <w:lang w:val="en-US"/>
        </w:rPr>
        <w:t xml:space="preserve">ainful </w:t>
      </w:r>
      <w:r>
        <w:rPr>
          <w:lang w:val="en-US"/>
        </w:rPr>
        <w:t>t</w:t>
      </w:r>
      <w:r w:rsidRPr="00C3099D">
        <w:rPr>
          <w:lang w:val="en-US"/>
        </w:rPr>
        <w:t xml:space="preserve">ale of </w:t>
      </w:r>
      <w:r>
        <w:rPr>
          <w:lang w:val="en-US"/>
        </w:rPr>
        <w:t>i</w:t>
      </w:r>
      <w:r w:rsidRPr="00C3099D">
        <w:rPr>
          <w:lang w:val="en-US"/>
        </w:rPr>
        <w:t xml:space="preserve">nterim </w:t>
      </w:r>
      <w:r>
        <w:rPr>
          <w:lang w:val="en-US"/>
        </w:rPr>
        <w:t>r</w:t>
      </w:r>
      <w:r w:rsidRPr="00C3099D">
        <w:rPr>
          <w:lang w:val="en-US"/>
        </w:rPr>
        <w:t>elief in Nepal</w:t>
      </w:r>
      <w:r w:rsidR="00210B97">
        <w:rPr>
          <w:lang w:val="en-US"/>
        </w:rPr>
        <w:t>”</w:t>
      </w:r>
      <w:r w:rsidRPr="00C3099D">
        <w:rPr>
          <w:lang w:val="en-US"/>
        </w:rPr>
        <w:t xml:space="preserve"> </w:t>
      </w:r>
      <w:r>
        <w:rPr>
          <w:lang w:val="en-US"/>
        </w:rPr>
        <w:t>(</w:t>
      </w:r>
      <w:r w:rsidRPr="00C3099D">
        <w:rPr>
          <w:lang w:val="en-US"/>
        </w:rPr>
        <w:t>2010</w:t>
      </w:r>
      <w:r>
        <w:rPr>
          <w:lang w:val="en-US"/>
        </w:rPr>
        <w:t>)</w:t>
      </w:r>
      <w:r w:rsidRPr="00C3099D">
        <w:rPr>
          <w:lang w:val="en-US"/>
        </w:rPr>
        <w:t>, p</w:t>
      </w:r>
      <w:r>
        <w:rPr>
          <w:lang w:val="en-US"/>
        </w:rPr>
        <w:t>p</w:t>
      </w:r>
      <w:r w:rsidRPr="00C3099D">
        <w:rPr>
          <w:lang w:val="en-US"/>
        </w:rPr>
        <w:t>. 12, 14 and 28</w:t>
      </w:r>
      <w:r>
        <w:rPr>
          <w:lang w:val="en-US"/>
        </w:rPr>
        <w:t>,</w:t>
      </w:r>
      <w:r w:rsidRPr="00C3099D">
        <w:rPr>
          <w:lang w:val="en-US"/>
        </w:rPr>
        <w:t xml:space="preserve"> and CCPR/C/NPL/CO/2, para. </w:t>
      </w:r>
      <w:proofErr w:type="gramStart"/>
      <w:r w:rsidRPr="00C3099D">
        <w:rPr>
          <w:lang w:val="en-US"/>
        </w:rPr>
        <w:t>5</w:t>
      </w:r>
      <w:proofErr w:type="gramEnd"/>
      <w:r w:rsidRPr="00C3099D">
        <w:rPr>
          <w:lang w:val="en-US"/>
        </w:rPr>
        <w:t xml:space="preserve"> </w:t>
      </w:r>
      <w:r>
        <w:rPr>
          <w:lang w:val="en-US"/>
        </w:rPr>
        <w:t>(</w:t>
      </w:r>
      <w:r w:rsidRPr="00C3099D">
        <w:rPr>
          <w:lang w:val="en-US"/>
        </w:rPr>
        <w:t>b</w:t>
      </w:r>
      <w:r>
        <w:rPr>
          <w:lang w:val="en-US"/>
        </w:rPr>
        <w:t>)</w:t>
      </w:r>
      <w:r w:rsidRPr="00C3099D">
        <w:rPr>
          <w:lang w:val="en-US"/>
        </w:rPr>
        <w:t>.</w:t>
      </w:r>
    </w:p>
  </w:footnote>
  <w:footnote w:id="13">
    <w:p w:rsidR="00C23B00" w:rsidRPr="00C3099D" w:rsidRDefault="00C23B00" w:rsidP="00B73607">
      <w:pPr>
        <w:pStyle w:val="FootnoteText"/>
        <w:rPr>
          <w:lang w:val="en-US"/>
        </w:rPr>
      </w:pPr>
      <w:r w:rsidRPr="00C3099D">
        <w:rPr>
          <w:lang w:val="en-US"/>
        </w:rPr>
        <w:tab/>
      </w:r>
      <w:r w:rsidRPr="00A84D0B">
        <w:rPr>
          <w:rStyle w:val="FootnoteReference"/>
        </w:rPr>
        <w:footnoteRef/>
      </w:r>
      <w:r>
        <w:rPr>
          <w:lang w:val="en-US"/>
        </w:rPr>
        <w:tab/>
      </w:r>
      <w:r w:rsidRPr="00CC6E5E">
        <w:rPr>
          <w:lang w:val="en-US"/>
        </w:rPr>
        <w:t xml:space="preserve">The author refers to Supreme Court of Nepal, </w:t>
      </w:r>
      <w:proofErr w:type="spellStart"/>
      <w:r w:rsidRPr="00B21A0F">
        <w:rPr>
          <w:i/>
          <w:iCs/>
          <w:lang w:val="en-US"/>
        </w:rPr>
        <w:t>Sapana</w:t>
      </w:r>
      <w:proofErr w:type="spellEnd"/>
      <w:r w:rsidRPr="00B21A0F">
        <w:rPr>
          <w:i/>
          <w:iCs/>
          <w:lang w:val="en-US"/>
        </w:rPr>
        <w:t xml:space="preserve"> </w:t>
      </w:r>
      <w:proofErr w:type="spellStart"/>
      <w:r w:rsidRPr="00B21A0F">
        <w:rPr>
          <w:i/>
          <w:iCs/>
          <w:lang w:val="en-US"/>
        </w:rPr>
        <w:t>Pardhan</w:t>
      </w:r>
      <w:proofErr w:type="spellEnd"/>
      <w:r w:rsidRPr="00B21A0F">
        <w:rPr>
          <w:i/>
          <w:iCs/>
          <w:lang w:val="en-US"/>
        </w:rPr>
        <w:t xml:space="preserve"> </w:t>
      </w:r>
      <w:proofErr w:type="spellStart"/>
      <w:r w:rsidRPr="00B21A0F">
        <w:rPr>
          <w:i/>
          <w:iCs/>
          <w:lang w:val="en-US"/>
        </w:rPr>
        <w:t>Malla</w:t>
      </w:r>
      <w:proofErr w:type="spellEnd"/>
      <w:r w:rsidRPr="00B21A0F">
        <w:rPr>
          <w:i/>
          <w:iCs/>
          <w:lang w:val="en-US"/>
        </w:rPr>
        <w:t xml:space="preserve"> v. the Government of Nepal</w:t>
      </w:r>
      <w:r>
        <w:rPr>
          <w:lang w:val="en-US"/>
        </w:rPr>
        <w:t>,</w:t>
      </w:r>
      <w:r w:rsidRPr="00B21A0F">
        <w:rPr>
          <w:i/>
          <w:iCs/>
          <w:lang w:val="en-US"/>
        </w:rPr>
        <w:t xml:space="preserve"> </w:t>
      </w:r>
      <w:r w:rsidRPr="00CC6E5E">
        <w:rPr>
          <w:lang w:val="en-US"/>
        </w:rPr>
        <w:t>case No. 3393/2061, decision of 11 July 2008.</w:t>
      </w:r>
    </w:p>
  </w:footnote>
  <w:footnote w:id="14">
    <w:p w:rsidR="00C23B00" w:rsidRPr="00C3099D" w:rsidRDefault="00C23B00" w:rsidP="00B73607">
      <w:pPr>
        <w:pStyle w:val="FootnoteText"/>
        <w:rPr>
          <w:lang w:val="en-US"/>
        </w:rPr>
      </w:pPr>
      <w:r>
        <w:rPr>
          <w:lang w:val="en-US"/>
        </w:rPr>
        <w:tab/>
      </w:r>
      <w:r w:rsidRPr="00A84D0B">
        <w:rPr>
          <w:rStyle w:val="FootnoteReference"/>
        </w:rPr>
        <w:footnoteRef/>
      </w:r>
      <w:r>
        <w:rPr>
          <w:lang w:val="en-US"/>
        </w:rPr>
        <w:tab/>
      </w:r>
      <w:r w:rsidRPr="00C3099D">
        <w:rPr>
          <w:lang w:val="en-US"/>
        </w:rPr>
        <w:t xml:space="preserve">The author provides copies of the rejoinders submitted to the Supreme Court by the </w:t>
      </w:r>
      <w:r>
        <w:rPr>
          <w:lang w:val="en-US"/>
        </w:rPr>
        <w:t>p</w:t>
      </w:r>
      <w:r w:rsidRPr="00C3099D">
        <w:rPr>
          <w:lang w:val="en-US"/>
        </w:rPr>
        <w:t>olice and by the Ministry of Home Affairs</w:t>
      </w:r>
      <w:r>
        <w:rPr>
          <w:lang w:val="en-US"/>
        </w:rPr>
        <w:t>.</w:t>
      </w:r>
    </w:p>
  </w:footnote>
  <w:footnote w:id="15">
    <w:p w:rsidR="00C23B00" w:rsidRPr="00C3099D" w:rsidRDefault="00C23B00" w:rsidP="00B73607">
      <w:pPr>
        <w:pStyle w:val="FootnoteText"/>
        <w:rPr>
          <w:lang w:val="en-US"/>
        </w:rPr>
      </w:pPr>
      <w:r>
        <w:rPr>
          <w:lang w:val="en-US"/>
        </w:rPr>
        <w:tab/>
      </w:r>
      <w:r w:rsidRPr="00A84D0B">
        <w:rPr>
          <w:rStyle w:val="FootnoteReference"/>
        </w:rPr>
        <w:footnoteRef/>
      </w:r>
      <w:r>
        <w:rPr>
          <w:lang w:val="en-US"/>
        </w:rPr>
        <w:tab/>
      </w:r>
      <w:r w:rsidRPr="00C3099D">
        <w:rPr>
          <w:lang w:val="en-US"/>
        </w:rPr>
        <w:t xml:space="preserve">The author refers </w:t>
      </w:r>
      <w:proofErr w:type="gramStart"/>
      <w:r w:rsidRPr="00C3099D">
        <w:rPr>
          <w:lang w:val="en-US"/>
        </w:rPr>
        <w:t>to,</w:t>
      </w:r>
      <w:proofErr w:type="gramEnd"/>
      <w:r w:rsidRPr="00C3099D">
        <w:rPr>
          <w:lang w:val="en-US"/>
        </w:rPr>
        <w:t xml:space="preserve"> inter alia, </w:t>
      </w:r>
      <w:proofErr w:type="spellStart"/>
      <w:r>
        <w:rPr>
          <w:i/>
          <w:iCs/>
          <w:lang w:val="en-US"/>
        </w:rPr>
        <w:t>Ondracka</w:t>
      </w:r>
      <w:proofErr w:type="spellEnd"/>
      <w:r>
        <w:rPr>
          <w:i/>
          <w:iCs/>
          <w:lang w:val="en-US"/>
        </w:rPr>
        <w:t xml:space="preserve"> and</w:t>
      </w:r>
      <w:r w:rsidRPr="00B21A0F">
        <w:rPr>
          <w:i/>
          <w:iCs/>
          <w:lang w:val="en-US"/>
        </w:rPr>
        <w:t xml:space="preserve"> </w:t>
      </w:r>
      <w:proofErr w:type="spellStart"/>
      <w:r w:rsidRPr="00B21A0F">
        <w:rPr>
          <w:i/>
          <w:iCs/>
          <w:lang w:val="en-US"/>
        </w:rPr>
        <w:t>Ondracka</w:t>
      </w:r>
      <w:proofErr w:type="spellEnd"/>
      <w:r w:rsidRPr="00B21A0F">
        <w:rPr>
          <w:i/>
          <w:iCs/>
          <w:lang w:val="en-US"/>
        </w:rPr>
        <w:t xml:space="preserve"> v. Czech Republic</w:t>
      </w:r>
      <w:r>
        <w:rPr>
          <w:i/>
          <w:iCs/>
          <w:lang w:val="en-US"/>
        </w:rPr>
        <w:t xml:space="preserve"> </w:t>
      </w:r>
      <w:r>
        <w:rPr>
          <w:lang w:val="en-US"/>
        </w:rPr>
        <w:t>(</w:t>
      </w:r>
      <w:r w:rsidRPr="00B21A0F">
        <w:rPr>
          <w:lang w:val="en-US"/>
        </w:rPr>
        <w:t>CCPR/C/91/D/1533/2006)</w:t>
      </w:r>
      <w:r w:rsidRPr="00C3099D">
        <w:rPr>
          <w:lang w:val="en-US"/>
        </w:rPr>
        <w:t xml:space="preserve">, para. 6.3 </w:t>
      </w:r>
      <w:proofErr w:type="gramStart"/>
      <w:r w:rsidRPr="00C3099D">
        <w:rPr>
          <w:lang w:val="en-US"/>
        </w:rPr>
        <w:t>and</w:t>
      </w:r>
      <w:proofErr w:type="gramEnd"/>
      <w:r w:rsidRPr="00C3099D">
        <w:rPr>
          <w:lang w:val="en-US"/>
        </w:rPr>
        <w:t xml:space="preserve"> </w:t>
      </w:r>
      <w:proofErr w:type="spellStart"/>
      <w:r w:rsidRPr="00B21A0F">
        <w:rPr>
          <w:i/>
          <w:iCs/>
          <w:lang w:val="en-US"/>
        </w:rPr>
        <w:t>Baboeram</w:t>
      </w:r>
      <w:r>
        <w:rPr>
          <w:i/>
          <w:iCs/>
          <w:lang w:val="en-US"/>
        </w:rPr>
        <w:t>-Adhin</w:t>
      </w:r>
      <w:proofErr w:type="spellEnd"/>
      <w:r w:rsidRPr="00B21A0F">
        <w:rPr>
          <w:i/>
          <w:iCs/>
          <w:lang w:val="en-US"/>
        </w:rPr>
        <w:t xml:space="preserve"> et al. v. Suriname</w:t>
      </w:r>
      <w:r w:rsidRPr="00C3099D">
        <w:rPr>
          <w:lang w:val="en-US"/>
        </w:rPr>
        <w:t xml:space="preserve">, </w:t>
      </w:r>
      <w:r>
        <w:rPr>
          <w:lang w:val="en-US"/>
        </w:rPr>
        <w:t>communication No. 146/1983 and Nos. 148–154/1983</w:t>
      </w:r>
      <w:r w:rsidRPr="00C3099D">
        <w:rPr>
          <w:lang w:val="en-US"/>
        </w:rPr>
        <w:t>, para. 9.2.</w:t>
      </w:r>
    </w:p>
  </w:footnote>
  <w:footnote w:id="16">
    <w:p w:rsidR="00C23B00" w:rsidRPr="00C3099D" w:rsidRDefault="00C23B00" w:rsidP="00B73607">
      <w:pPr>
        <w:pStyle w:val="FootnoteText"/>
        <w:rPr>
          <w:lang w:val="en-US"/>
        </w:rPr>
      </w:pPr>
      <w:r>
        <w:rPr>
          <w:lang w:val="en-US"/>
        </w:rPr>
        <w:tab/>
      </w:r>
      <w:r w:rsidRPr="00A84D0B">
        <w:rPr>
          <w:rStyle w:val="FootnoteReference"/>
        </w:rPr>
        <w:footnoteRef/>
      </w:r>
      <w:r>
        <w:rPr>
          <w:lang w:val="en-US"/>
        </w:rPr>
        <w:tab/>
      </w:r>
      <w:r w:rsidRPr="00C3099D">
        <w:rPr>
          <w:lang w:val="en-US"/>
        </w:rPr>
        <w:t xml:space="preserve">The author refers to </w:t>
      </w:r>
      <w:proofErr w:type="spellStart"/>
      <w:r w:rsidRPr="00B21A0F">
        <w:rPr>
          <w:i/>
          <w:iCs/>
          <w:lang w:val="en-US"/>
        </w:rPr>
        <w:t>Länsman</w:t>
      </w:r>
      <w:proofErr w:type="spellEnd"/>
      <w:r w:rsidRPr="00B21A0F">
        <w:rPr>
          <w:i/>
          <w:iCs/>
          <w:lang w:val="en-US"/>
        </w:rPr>
        <w:t xml:space="preserve"> et al. v. Finland</w:t>
      </w:r>
      <w:r>
        <w:rPr>
          <w:i/>
          <w:iCs/>
          <w:lang w:val="en-US"/>
        </w:rPr>
        <w:t xml:space="preserve"> </w:t>
      </w:r>
      <w:r>
        <w:rPr>
          <w:lang w:val="en-US"/>
        </w:rPr>
        <w:t>(</w:t>
      </w:r>
      <w:r w:rsidRPr="00B21A0F">
        <w:rPr>
          <w:lang w:val="en-US"/>
        </w:rPr>
        <w:t>CCPR/C/52/D/511/1992)</w:t>
      </w:r>
      <w:r w:rsidRPr="00C3099D">
        <w:rPr>
          <w:lang w:val="en-US"/>
        </w:rPr>
        <w:t xml:space="preserve">, para. 6.2 </w:t>
      </w:r>
      <w:proofErr w:type="gramStart"/>
      <w:r w:rsidRPr="00C3099D">
        <w:rPr>
          <w:lang w:val="en-US"/>
        </w:rPr>
        <w:t>and</w:t>
      </w:r>
      <w:proofErr w:type="gramEnd"/>
      <w:r w:rsidRPr="00C3099D">
        <w:rPr>
          <w:lang w:val="en-US"/>
        </w:rPr>
        <w:t xml:space="preserve"> </w:t>
      </w:r>
      <w:r w:rsidRPr="00B21A0F">
        <w:rPr>
          <w:i/>
          <w:iCs/>
          <w:lang w:val="en-US"/>
        </w:rPr>
        <w:t>Pratt and Morgan v. Jamaica</w:t>
      </w:r>
      <w:r>
        <w:rPr>
          <w:lang w:val="en-US"/>
        </w:rPr>
        <w:t>,</w:t>
      </w:r>
      <w:r>
        <w:rPr>
          <w:i/>
          <w:iCs/>
          <w:lang w:val="en-US"/>
        </w:rPr>
        <w:t xml:space="preserve"> </w:t>
      </w:r>
      <w:r>
        <w:rPr>
          <w:lang w:val="en-US"/>
        </w:rPr>
        <w:t>communications No. 210/1986 and No. 225/1987</w:t>
      </w:r>
      <w:r w:rsidRPr="00C3099D">
        <w:rPr>
          <w:lang w:val="en-US"/>
        </w:rPr>
        <w:t>, para. 12.3.</w:t>
      </w:r>
    </w:p>
  </w:footnote>
  <w:footnote w:id="17">
    <w:p w:rsidR="00C23B00" w:rsidRPr="003E778B" w:rsidRDefault="00C23B00" w:rsidP="00B73607">
      <w:pPr>
        <w:pStyle w:val="FootnoteText"/>
      </w:pPr>
      <w:r w:rsidRPr="003E778B">
        <w:tab/>
      </w:r>
      <w:r w:rsidRPr="00A84D0B">
        <w:rPr>
          <w:rStyle w:val="FootnoteReference"/>
        </w:rPr>
        <w:footnoteRef/>
      </w:r>
      <w:r w:rsidRPr="003E778B">
        <w:tab/>
        <w:t xml:space="preserve">The author refers to </w:t>
      </w:r>
      <w:r w:rsidRPr="00B21A0F">
        <w:rPr>
          <w:i/>
          <w:iCs/>
        </w:rPr>
        <w:t>Sharma v. Nepal</w:t>
      </w:r>
      <w:r>
        <w:t xml:space="preserve"> (</w:t>
      </w:r>
      <w:r w:rsidRPr="00B21A0F">
        <w:t>CCPR/C/94/D/1469/2006)</w:t>
      </w:r>
      <w:r w:rsidRPr="003E778B">
        <w:t>, para. 6.3.</w:t>
      </w:r>
    </w:p>
  </w:footnote>
  <w:footnote w:id="18">
    <w:p w:rsidR="00C23B00" w:rsidRPr="003E778B" w:rsidRDefault="00C23B00" w:rsidP="00B73607">
      <w:pPr>
        <w:pStyle w:val="FootnoteText"/>
      </w:pPr>
      <w:r w:rsidRPr="003E778B">
        <w:tab/>
      </w:r>
      <w:r w:rsidRPr="00A84D0B">
        <w:rPr>
          <w:rStyle w:val="FootnoteReference"/>
        </w:rPr>
        <w:footnoteRef/>
      </w:r>
      <w:r w:rsidRPr="003E778B">
        <w:tab/>
      </w:r>
      <w:r w:rsidRPr="003E778B">
        <w:rPr>
          <w:spacing w:val="-3"/>
        </w:rPr>
        <w:t xml:space="preserve">The author refers to </w:t>
      </w:r>
      <w:proofErr w:type="spellStart"/>
      <w:r w:rsidRPr="00B21A0F">
        <w:rPr>
          <w:i/>
          <w:iCs/>
          <w:spacing w:val="-3"/>
        </w:rPr>
        <w:t>Giri</w:t>
      </w:r>
      <w:proofErr w:type="spellEnd"/>
      <w:r w:rsidRPr="00B21A0F">
        <w:rPr>
          <w:i/>
          <w:iCs/>
          <w:spacing w:val="-3"/>
        </w:rPr>
        <w:t xml:space="preserve"> v. Nepal</w:t>
      </w:r>
      <w:r>
        <w:rPr>
          <w:i/>
          <w:iCs/>
          <w:spacing w:val="-3"/>
        </w:rPr>
        <w:t xml:space="preserve"> </w:t>
      </w:r>
      <w:r>
        <w:rPr>
          <w:spacing w:val="-3"/>
        </w:rPr>
        <w:t>(</w:t>
      </w:r>
      <w:r w:rsidRPr="00B21A0F">
        <w:rPr>
          <w:lang w:val="en-US"/>
        </w:rPr>
        <w:t>CCPR/C/101/D/1761/2008</w:t>
      </w:r>
      <w:r>
        <w:rPr>
          <w:lang w:val="en-US"/>
        </w:rPr>
        <w:t xml:space="preserve"> and Corr.1</w:t>
      </w:r>
      <w:r w:rsidRPr="00B21A0F">
        <w:rPr>
          <w:lang w:val="en-US"/>
        </w:rPr>
        <w:t>)</w:t>
      </w:r>
      <w:r w:rsidRPr="003E778B">
        <w:rPr>
          <w:spacing w:val="-3"/>
        </w:rPr>
        <w:t>, para. 6.3.</w:t>
      </w:r>
    </w:p>
  </w:footnote>
  <w:footnote w:id="19">
    <w:p w:rsidR="00C23B00" w:rsidRPr="003E778B" w:rsidRDefault="00C23B00" w:rsidP="00B73607">
      <w:pPr>
        <w:pStyle w:val="FootnoteText"/>
      </w:pPr>
      <w:r w:rsidRPr="003E778B">
        <w:tab/>
      </w:r>
      <w:r w:rsidRPr="00A84D0B">
        <w:rPr>
          <w:rStyle w:val="FootnoteReference"/>
        </w:rPr>
        <w:footnoteRef/>
      </w:r>
      <w:r w:rsidRPr="003E778B">
        <w:tab/>
        <w:t xml:space="preserve">The author refers to </w:t>
      </w:r>
      <w:proofErr w:type="spellStart"/>
      <w:r w:rsidRPr="00B21A0F">
        <w:rPr>
          <w:i/>
          <w:iCs/>
        </w:rPr>
        <w:t>Maharjan</w:t>
      </w:r>
      <w:proofErr w:type="spellEnd"/>
      <w:r>
        <w:rPr>
          <w:i/>
          <w:iCs/>
        </w:rPr>
        <w:t xml:space="preserve"> et al</w:t>
      </w:r>
      <w:r w:rsidRPr="00B21A0F">
        <w:rPr>
          <w:i/>
          <w:iCs/>
        </w:rPr>
        <w:t xml:space="preserve"> v. Nepal</w:t>
      </w:r>
      <w:r>
        <w:rPr>
          <w:i/>
          <w:iCs/>
        </w:rPr>
        <w:t xml:space="preserve"> </w:t>
      </w:r>
      <w:r>
        <w:t>(</w:t>
      </w:r>
      <w:r w:rsidRPr="00DB6ACC">
        <w:rPr>
          <w:lang w:val="en-US"/>
        </w:rPr>
        <w:t>CCPR/C/105/D/1863/2009)</w:t>
      </w:r>
      <w:r w:rsidRPr="003E778B">
        <w:t>, para. 7.</w:t>
      </w:r>
      <w:r>
        <w:t>6</w:t>
      </w:r>
      <w:r w:rsidRPr="00CC6E5E">
        <w:t xml:space="preserve">. </w:t>
      </w:r>
      <w:r>
        <w:t>She</w:t>
      </w:r>
      <w:r w:rsidRPr="003E778B">
        <w:t xml:space="preserve"> also refers to </w:t>
      </w:r>
      <w:r w:rsidRPr="00C3099D">
        <w:rPr>
          <w:lang w:val="en-US"/>
        </w:rPr>
        <w:t>CCPR/C/NPL/CO/2</w:t>
      </w:r>
      <w:r w:rsidRPr="003E778B">
        <w:t xml:space="preserve"> and to </w:t>
      </w:r>
      <w:r>
        <w:t>several of the</w:t>
      </w:r>
      <w:r w:rsidRPr="003E778B">
        <w:t xml:space="preserve"> Committee</w:t>
      </w:r>
      <w:r w:rsidR="00210B97">
        <w:t>’</w:t>
      </w:r>
      <w:r w:rsidRPr="003E778B">
        <w:t xml:space="preserve">s </w:t>
      </w:r>
      <w:r>
        <w:t>g</w:t>
      </w:r>
      <w:r w:rsidRPr="003E778B">
        <w:t xml:space="preserve">eneral </w:t>
      </w:r>
      <w:r>
        <w:t>c</w:t>
      </w:r>
      <w:r w:rsidRPr="003E778B">
        <w:t xml:space="preserve">omments (No. </w:t>
      </w:r>
      <w:r>
        <w:t xml:space="preserve">17, No. 18, No. 20, No. 28, No. 31 and No. </w:t>
      </w:r>
      <w:r w:rsidRPr="003E778B">
        <w:t>35).</w:t>
      </w:r>
    </w:p>
  </w:footnote>
  <w:footnote w:id="20">
    <w:p w:rsidR="00C23B00" w:rsidRPr="00620F0F" w:rsidRDefault="00C23B00" w:rsidP="00B73607">
      <w:pPr>
        <w:pStyle w:val="FootnoteText"/>
      </w:pPr>
      <w:r w:rsidRPr="003E778B">
        <w:tab/>
      </w:r>
      <w:r w:rsidRPr="00A84D0B">
        <w:rPr>
          <w:rStyle w:val="FootnoteReference"/>
        </w:rPr>
        <w:footnoteRef/>
      </w:r>
      <w:r w:rsidRPr="003E778B">
        <w:tab/>
        <w:t xml:space="preserve">The author refers to the </w:t>
      </w:r>
      <w:r>
        <w:t>c</w:t>
      </w:r>
      <w:r w:rsidRPr="003E778B">
        <w:t xml:space="preserve">riminal </w:t>
      </w:r>
      <w:r>
        <w:t>c</w:t>
      </w:r>
      <w:r w:rsidRPr="003E778B">
        <w:t xml:space="preserve">ode </w:t>
      </w:r>
      <w:r w:rsidRPr="00620F0F">
        <w:t>(</w:t>
      </w:r>
      <w:proofErr w:type="spellStart"/>
      <w:r w:rsidRPr="00620F0F">
        <w:t>Muluki</w:t>
      </w:r>
      <w:proofErr w:type="spellEnd"/>
      <w:r w:rsidRPr="00620F0F">
        <w:t xml:space="preserve"> Ain), chapter on rape, section 11.</w:t>
      </w:r>
    </w:p>
  </w:footnote>
  <w:footnote w:id="21">
    <w:p w:rsidR="00C23B00" w:rsidRPr="003E778B" w:rsidRDefault="00C23B00" w:rsidP="00B73607">
      <w:pPr>
        <w:pStyle w:val="FootnoteText"/>
      </w:pPr>
      <w:r w:rsidRPr="00620F0F">
        <w:tab/>
      </w:r>
      <w:r w:rsidRPr="00A84D0B">
        <w:rPr>
          <w:rStyle w:val="FootnoteReference"/>
        </w:rPr>
        <w:footnoteRef/>
      </w:r>
      <w:r w:rsidRPr="00620F0F">
        <w:tab/>
        <w:t xml:space="preserve">The author refers to </w:t>
      </w:r>
      <w:r w:rsidRPr="00B21A0F">
        <w:rPr>
          <w:i/>
          <w:iCs/>
        </w:rPr>
        <w:t>L.N.P v. Argentina</w:t>
      </w:r>
      <w:r>
        <w:rPr>
          <w:i/>
          <w:iCs/>
        </w:rPr>
        <w:t xml:space="preserve"> </w:t>
      </w:r>
      <w:r>
        <w:t>(</w:t>
      </w:r>
      <w:r w:rsidRPr="00B21A0F">
        <w:rPr>
          <w:lang w:val="en-US"/>
        </w:rPr>
        <w:t>CCPR/C/102/D/1610/2007)</w:t>
      </w:r>
      <w:r w:rsidRPr="003E778B">
        <w:t>, para. 13.3.</w:t>
      </w:r>
    </w:p>
  </w:footnote>
  <w:footnote w:id="22">
    <w:p w:rsidR="00C23B00" w:rsidRPr="003E778B" w:rsidRDefault="00C23B00" w:rsidP="00B73607">
      <w:pPr>
        <w:pStyle w:val="FootnoteText"/>
      </w:pPr>
      <w:r w:rsidRPr="003E778B">
        <w:tab/>
      </w:r>
      <w:r w:rsidRPr="00A84D0B">
        <w:rPr>
          <w:rStyle w:val="FootnoteReference"/>
        </w:rPr>
        <w:footnoteRef/>
      </w:r>
      <w:r w:rsidRPr="003E778B">
        <w:tab/>
        <w:t>The author refers to the</w:t>
      </w:r>
      <w:r>
        <w:t xml:space="preserve"> Committee</w:t>
      </w:r>
      <w:r w:rsidR="00210B97">
        <w:t>’</w:t>
      </w:r>
      <w:r>
        <w:t>s</w:t>
      </w:r>
      <w:r w:rsidRPr="003E778B">
        <w:t xml:space="preserve"> </w:t>
      </w:r>
      <w:r>
        <w:t>g</w:t>
      </w:r>
      <w:r w:rsidRPr="003E778B">
        <w:t xml:space="preserve">eneral </w:t>
      </w:r>
      <w:r>
        <w:t>c</w:t>
      </w:r>
      <w:r w:rsidRPr="003E778B">
        <w:t>omment No. 28</w:t>
      </w:r>
      <w:r>
        <w:t xml:space="preserve"> (2000) on the equality of rights between men and women</w:t>
      </w:r>
      <w:r w:rsidRPr="003E778B">
        <w:t>, paras. 11 and 20.</w:t>
      </w:r>
    </w:p>
  </w:footnote>
  <w:footnote w:id="23">
    <w:p w:rsidR="00C23B00" w:rsidRPr="003E778B" w:rsidRDefault="00C23B00" w:rsidP="00123DD4">
      <w:pPr>
        <w:pStyle w:val="FootnoteText"/>
      </w:pPr>
      <w:r w:rsidRPr="003E778B">
        <w:tab/>
      </w:r>
      <w:r w:rsidRPr="00A84D0B">
        <w:rPr>
          <w:rStyle w:val="FootnoteReference"/>
        </w:rPr>
        <w:footnoteRef/>
      </w:r>
      <w:r w:rsidRPr="003E778B">
        <w:tab/>
        <w:t xml:space="preserve">The author refers to </w:t>
      </w:r>
      <w:proofErr w:type="spellStart"/>
      <w:r w:rsidRPr="00B21A0F">
        <w:rPr>
          <w:i/>
          <w:iCs/>
        </w:rPr>
        <w:t>Katwal</w:t>
      </w:r>
      <w:proofErr w:type="spellEnd"/>
      <w:r w:rsidRPr="00B21A0F">
        <w:rPr>
          <w:i/>
          <w:iCs/>
        </w:rPr>
        <w:t xml:space="preserve"> v. Nepal </w:t>
      </w:r>
      <w:r w:rsidRPr="00CC6E5E">
        <w:t>(</w:t>
      </w:r>
      <w:r w:rsidRPr="00B21A0F">
        <w:rPr>
          <w:lang w:val="en-US"/>
        </w:rPr>
        <w:t>CCPR/C/113/D/2000/2010)</w:t>
      </w:r>
      <w:r w:rsidRPr="00CC6E5E">
        <w:t xml:space="preserve">, para. 6.3 </w:t>
      </w:r>
      <w:proofErr w:type="gramStart"/>
      <w:r w:rsidRPr="00CC6E5E">
        <w:t>and</w:t>
      </w:r>
      <w:proofErr w:type="gramEnd"/>
      <w:r w:rsidRPr="00CC6E5E">
        <w:t xml:space="preserve"> to</w:t>
      </w:r>
      <w:r w:rsidRPr="003E778B">
        <w:t xml:space="preserve">, inter alia, </w:t>
      </w:r>
      <w:proofErr w:type="spellStart"/>
      <w:r w:rsidRPr="00B21A0F">
        <w:rPr>
          <w:i/>
          <w:iCs/>
        </w:rPr>
        <w:t>Maharjan</w:t>
      </w:r>
      <w:proofErr w:type="spellEnd"/>
      <w:r w:rsidRPr="00B21A0F">
        <w:rPr>
          <w:i/>
          <w:iCs/>
        </w:rPr>
        <w:t xml:space="preserve"> </w:t>
      </w:r>
      <w:r w:rsidRPr="006F5490">
        <w:rPr>
          <w:i/>
          <w:iCs/>
        </w:rPr>
        <w:t xml:space="preserve">et al </w:t>
      </w:r>
      <w:r w:rsidRPr="00B21A0F">
        <w:rPr>
          <w:i/>
          <w:iCs/>
        </w:rPr>
        <w:t>v. Nepal</w:t>
      </w:r>
      <w:r w:rsidRPr="006F5490">
        <w:t>, para. 7.4.</w:t>
      </w:r>
    </w:p>
  </w:footnote>
  <w:footnote w:id="24">
    <w:p w:rsidR="00C23B00" w:rsidRPr="003E778B" w:rsidRDefault="00C23B00" w:rsidP="00123DD4">
      <w:pPr>
        <w:pStyle w:val="FootnoteText"/>
      </w:pPr>
      <w:r w:rsidRPr="003E778B">
        <w:tab/>
      </w:r>
      <w:r w:rsidRPr="00A84D0B">
        <w:rPr>
          <w:rStyle w:val="FootnoteReference"/>
        </w:rPr>
        <w:footnoteRef/>
      </w:r>
      <w:r w:rsidRPr="003E778B">
        <w:tab/>
        <w:t xml:space="preserve">The author refers to </w:t>
      </w:r>
      <w:proofErr w:type="spellStart"/>
      <w:r w:rsidRPr="00B21A0F">
        <w:rPr>
          <w:i/>
          <w:iCs/>
        </w:rPr>
        <w:t>Katwal</w:t>
      </w:r>
      <w:proofErr w:type="spellEnd"/>
      <w:r w:rsidRPr="00B21A0F">
        <w:rPr>
          <w:i/>
          <w:iCs/>
        </w:rPr>
        <w:t xml:space="preserve"> v. Nepal</w:t>
      </w:r>
      <w:r w:rsidRPr="003E778B">
        <w:t xml:space="preserve">, para. </w:t>
      </w:r>
      <w:proofErr w:type="gramStart"/>
      <w:r w:rsidRPr="00CC6E5E">
        <w:t>6.3</w:t>
      </w:r>
      <w:proofErr w:type="gramEnd"/>
      <w:r w:rsidRPr="00CC6E5E">
        <w:t xml:space="preserve">; </w:t>
      </w:r>
      <w:proofErr w:type="spellStart"/>
      <w:r w:rsidRPr="00B21A0F">
        <w:rPr>
          <w:i/>
          <w:iCs/>
        </w:rPr>
        <w:t>Sedhai</w:t>
      </w:r>
      <w:proofErr w:type="spellEnd"/>
      <w:r w:rsidRPr="00B21A0F">
        <w:rPr>
          <w:i/>
          <w:iCs/>
        </w:rPr>
        <w:t xml:space="preserve"> </w:t>
      </w:r>
      <w:r w:rsidRPr="00CC6E5E">
        <w:rPr>
          <w:i/>
          <w:iCs/>
        </w:rPr>
        <w:t xml:space="preserve">et al. </w:t>
      </w:r>
      <w:r w:rsidRPr="00B21A0F">
        <w:rPr>
          <w:i/>
          <w:iCs/>
        </w:rPr>
        <w:t>v. Nepal</w:t>
      </w:r>
      <w:r w:rsidRPr="00CC6E5E">
        <w:rPr>
          <w:i/>
          <w:iCs/>
        </w:rPr>
        <w:t xml:space="preserve"> </w:t>
      </w:r>
      <w:r w:rsidRPr="00CC6E5E">
        <w:t>(</w:t>
      </w:r>
      <w:r w:rsidRPr="00B21A0F">
        <w:t>CCPR/C/108/D/1865/2009)</w:t>
      </w:r>
      <w:r w:rsidRPr="00CC6E5E">
        <w:t xml:space="preserve">, para. </w:t>
      </w:r>
      <w:proofErr w:type="gramStart"/>
      <w:r w:rsidRPr="00CC6E5E">
        <w:t>7.5</w:t>
      </w:r>
      <w:proofErr w:type="gramEnd"/>
      <w:r w:rsidRPr="00CC6E5E">
        <w:t xml:space="preserve">; </w:t>
      </w:r>
      <w:proofErr w:type="spellStart"/>
      <w:r w:rsidRPr="00B21A0F">
        <w:rPr>
          <w:i/>
          <w:iCs/>
        </w:rPr>
        <w:t>Tripathi</w:t>
      </w:r>
      <w:proofErr w:type="spellEnd"/>
      <w:r w:rsidRPr="00B21A0F">
        <w:rPr>
          <w:i/>
          <w:iCs/>
        </w:rPr>
        <w:t xml:space="preserve"> </w:t>
      </w:r>
      <w:r w:rsidRPr="00CC6E5E">
        <w:rPr>
          <w:i/>
          <w:iCs/>
        </w:rPr>
        <w:t xml:space="preserve">et al. </w:t>
      </w:r>
      <w:r w:rsidRPr="00B21A0F">
        <w:rPr>
          <w:i/>
          <w:iCs/>
        </w:rPr>
        <w:t>v. Nepal</w:t>
      </w:r>
      <w:r w:rsidRPr="00B21A0F">
        <w:t xml:space="preserve"> (CCPR/C/112/D/2111/2011)</w:t>
      </w:r>
      <w:r w:rsidRPr="00CC6E5E">
        <w:t xml:space="preserve">, para. </w:t>
      </w:r>
      <w:proofErr w:type="gramStart"/>
      <w:r w:rsidRPr="003E778B">
        <w:t>6.3</w:t>
      </w:r>
      <w:proofErr w:type="gramEnd"/>
      <w:r w:rsidRPr="003E778B">
        <w:t xml:space="preserve">; and </w:t>
      </w:r>
      <w:r w:rsidRPr="00B21A0F">
        <w:rPr>
          <w:i/>
          <w:iCs/>
        </w:rPr>
        <w:t>Basnet</w:t>
      </w:r>
      <w:r>
        <w:rPr>
          <w:i/>
          <w:iCs/>
        </w:rPr>
        <w:t xml:space="preserve"> and Basnet</w:t>
      </w:r>
      <w:r w:rsidRPr="00B21A0F">
        <w:rPr>
          <w:i/>
          <w:iCs/>
        </w:rPr>
        <w:t xml:space="preserve"> v. Nepal</w:t>
      </w:r>
      <w:r w:rsidRPr="00B21A0F">
        <w:t xml:space="preserve"> (CCPR/C/112/D/2051/2011)</w:t>
      </w:r>
      <w:r w:rsidRPr="003E778B">
        <w:t>, para. 7.4.</w:t>
      </w:r>
    </w:p>
  </w:footnote>
  <w:footnote w:id="25">
    <w:p w:rsidR="00C23B00" w:rsidRPr="003E778B" w:rsidRDefault="00C23B00" w:rsidP="00123DD4">
      <w:pPr>
        <w:pStyle w:val="FootnoteText"/>
      </w:pPr>
      <w:r w:rsidRPr="003E778B">
        <w:tab/>
      </w:r>
      <w:r w:rsidRPr="00A84D0B">
        <w:rPr>
          <w:rStyle w:val="FootnoteReference"/>
        </w:rPr>
        <w:footnoteRef/>
      </w:r>
      <w:r w:rsidRPr="003E778B">
        <w:tab/>
        <w:t xml:space="preserve">The author refers to </w:t>
      </w:r>
      <w:r>
        <w:t>the Committee</w:t>
      </w:r>
      <w:r w:rsidR="00210B97">
        <w:t>’</w:t>
      </w:r>
      <w:r>
        <w:t>s g</w:t>
      </w:r>
      <w:r w:rsidRPr="003E778B">
        <w:t xml:space="preserve">eneral </w:t>
      </w:r>
      <w:r w:rsidRPr="00CC6E5E">
        <w:t>comment No. 35 (2014) on liberty and security of</w:t>
      </w:r>
      <w:r>
        <w:t xml:space="preserve"> person</w:t>
      </w:r>
      <w:r w:rsidRPr="003E778B">
        <w:t xml:space="preserve">, para. </w:t>
      </w:r>
      <w:proofErr w:type="gramStart"/>
      <w:r w:rsidRPr="003E778B">
        <w:t>23</w:t>
      </w:r>
      <w:proofErr w:type="gramEnd"/>
      <w:r w:rsidRPr="003E778B">
        <w:t xml:space="preserve"> and, inter alia, </w:t>
      </w:r>
      <w:proofErr w:type="spellStart"/>
      <w:r w:rsidRPr="00B21A0F">
        <w:rPr>
          <w:i/>
          <w:iCs/>
        </w:rPr>
        <w:t>Kurbonov</w:t>
      </w:r>
      <w:proofErr w:type="spellEnd"/>
      <w:r w:rsidRPr="00B21A0F">
        <w:rPr>
          <w:i/>
          <w:iCs/>
        </w:rPr>
        <w:t xml:space="preserve"> v. Tajikistan</w:t>
      </w:r>
      <w:r>
        <w:rPr>
          <w:i/>
          <w:iCs/>
        </w:rPr>
        <w:t xml:space="preserve"> </w:t>
      </w:r>
      <w:r>
        <w:t>(</w:t>
      </w:r>
      <w:r w:rsidRPr="00B21A0F">
        <w:rPr>
          <w:lang w:val="en-US"/>
        </w:rPr>
        <w:t>CCPR/C/86/D/1208/2003)</w:t>
      </w:r>
      <w:r w:rsidRPr="003E778B">
        <w:t>, para. 6.5.</w:t>
      </w:r>
    </w:p>
  </w:footnote>
  <w:footnote w:id="26">
    <w:p w:rsidR="00C23B00" w:rsidRPr="00B21A0F" w:rsidRDefault="00C23B00" w:rsidP="00123DD4">
      <w:pPr>
        <w:pStyle w:val="FootnoteText"/>
        <w:rPr>
          <w:lang w:val="es-AR"/>
        </w:rPr>
      </w:pPr>
      <w:r w:rsidRPr="003E778B">
        <w:tab/>
      </w:r>
      <w:r w:rsidRPr="00A84D0B">
        <w:rPr>
          <w:rStyle w:val="FootnoteReference"/>
        </w:rPr>
        <w:footnoteRef/>
      </w:r>
      <w:r w:rsidRPr="003E778B">
        <w:tab/>
        <w:t xml:space="preserve">The author refers to European Court of Human Rights, </w:t>
      </w:r>
      <w:r w:rsidRPr="00B21A0F">
        <w:rPr>
          <w:i/>
          <w:iCs/>
        </w:rPr>
        <w:t>Aydin v. Turkey</w:t>
      </w:r>
      <w:r w:rsidRPr="003E778B">
        <w:t xml:space="preserve">, judgment of 25 September 1997, </w:t>
      </w:r>
      <w:proofErr w:type="gramStart"/>
      <w:r w:rsidRPr="003E778B">
        <w:t>para</w:t>
      </w:r>
      <w:proofErr w:type="gramEnd"/>
      <w:r w:rsidRPr="003E778B">
        <w:t xml:space="preserve">. </w:t>
      </w:r>
      <w:r w:rsidRPr="00B21A0F">
        <w:rPr>
          <w:lang w:val="es-AR"/>
        </w:rPr>
        <w:t xml:space="preserve">73. </w:t>
      </w:r>
    </w:p>
  </w:footnote>
  <w:footnote w:id="27">
    <w:p w:rsidR="00C23B00" w:rsidRPr="00B21A0F" w:rsidRDefault="00C23B00" w:rsidP="005B50F6">
      <w:pPr>
        <w:pStyle w:val="FootnoteText"/>
        <w:rPr>
          <w:lang w:val="es-AR"/>
        </w:rPr>
      </w:pPr>
      <w:r w:rsidRPr="00B21A0F">
        <w:rPr>
          <w:lang w:val="es-AR"/>
        </w:rPr>
        <w:tab/>
      </w:r>
      <w:r w:rsidRPr="00A84D0B">
        <w:rPr>
          <w:rStyle w:val="FootnoteReference"/>
        </w:rPr>
        <w:footnoteRef/>
      </w:r>
      <w:r w:rsidRPr="005B50F6">
        <w:rPr>
          <w:rStyle w:val="FootnoteReference"/>
          <w:vertAlign w:val="baseline"/>
          <w:lang w:val="es-ES"/>
        </w:rPr>
        <w:tab/>
      </w:r>
      <w:r w:rsidRPr="00B21A0F">
        <w:rPr>
          <w:i/>
          <w:iCs/>
          <w:lang w:val="es-ES"/>
        </w:rPr>
        <w:t xml:space="preserve">Maya v. Nepal </w:t>
      </w:r>
      <w:r w:rsidRPr="00B21A0F">
        <w:rPr>
          <w:lang w:val="es-ES"/>
        </w:rPr>
        <w:t xml:space="preserve">(CCPR/C/119/D/2245/2013), para. </w:t>
      </w:r>
      <w:r w:rsidRPr="00B21A0F">
        <w:rPr>
          <w:lang w:val="es-AR"/>
        </w:rPr>
        <w:t>11.5.</w:t>
      </w:r>
    </w:p>
  </w:footnote>
  <w:footnote w:id="28">
    <w:p w:rsidR="00C23B00" w:rsidRPr="003E778B" w:rsidRDefault="00C23B00" w:rsidP="005B50F6">
      <w:pPr>
        <w:pStyle w:val="FootnoteText"/>
      </w:pPr>
      <w:r w:rsidRPr="00B21A0F">
        <w:rPr>
          <w:lang w:val="es-AR"/>
        </w:rPr>
        <w:tab/>
      </w:r>
      <w:r w:rsidRPr="00A84D0B">
        <w:rPr>
          <w:rStyle w:val="FootnoteReference"/>
        </w:rPr>
        <w:footnoteRef/>
      </w:r>
      <w:r w:rsidRPr="005B50F6">
        <w:rPr>
          <w:rStyle w:val="FootnoteReference"/>
          <w:vertAlign w:val="baseline"/>
          <w:lang w:val="es-ES"/>
        </w:rPr>
        <w:tab/>
      </w:r>
      <w:proofErr w:type="spellStart"/>
      <w:r w:rsidRPr="00B21A0F">
        <w:rPr>
          <w:i/>
          <w:iCs/>
          <w:lang w:val="es-ES"/>
        </w:rPr>
        <w:t>Katwal</w:t>
      </w:r>
      <w:proofErr w:type="spellEnd"/>
      <w:r w:rsidRPr="00B21A0F">
        <w:rPr>
          <w:i/>
          <w:iCs/>
          <w:lang w:val="es-ES"/>
        </w:rPr>
        <w:t xml:space="preserve"> v. Nepal</w:t>
      </w:r>
      <w:r w:rsidRPr="00B21A0F">
        <w:rPr>
          <w:lang w:val="es-ES"/>
        </w:rPr>
        <w:t xml:space="preserve">, para. </w:t>
      </w:r>
      <w:r w:rsidRPr="00A62243">
        <w:t>6.3.</w:t>
      </w:r>
    </w:p>
  </w:footnote>
  <w:footnote w:id="29">
    <w:p w:rsidR="00C23B00" w:rsidRPr="003E778B" w:rsidRDefault="00C23B00" w:rsidP="005B50F6">
      <w:pPr>
        <w:pStyle w:val="FootnoteText"/>
      </w:pPr>
      <w:r w:rsidRPr="003E778B">
        <w:tab/>
      </w:r>
      <w:r w:rsidRPr="00A84D0B">
        <w:rPr>
          <w:rStyle w:val="FootnoteReference"/>
        </w:rPr>
        <w:footnoteRef/>
      </w:r>
      <w:r w:rsidRPr="005B50F6">
        <w:rPr>
          <w:rStyle w:val="FootnoteReference"/>
          <w:vertAlign w:val="baseline"/>
        </w:rPr>
        <w:tab/>
      </w:r>
      <w:r w:rsidRPr="003E778B">
        <w:t xml:space="preserve">See CCPR/C/NPL/CO/2, </w:t>
      </w:r>
      <w:r>
        <w:t xml:space="preserve">recommendation (b) in </w:t>
      </w:r>
      <w:r w:rsidRPr="003E778B">
        <w:t>para</w:t>
      </w:r>
      <w:r>
        <w:t>graph</w:t>
      </w:r>
      <w:r w:rsidRPr="003E778B">
        <w:t xml:space="preserve"> 5.</w:t>
      </w:r>
    </w:p>
  </w:footnote>
  <w:footnote w:id="30">
    <w:p w:rsidR="00C23B00" w:rsidRPr="00B21A0F" w:rsidRDefault="00C23B00" w:rsidP="005B50F6">
      <w:pPr>
        <w:pStyle w:val="FootnoteText"/>
        <w:rPr>
          <w:lang w:val="es-AR"/>
        </w:rPr>
      </w:pPr>
      <w:r w:rsidRPr="003E778B">
        <w:tab/>
      </w:r>
      <w:r w:rsidRPr="00A84D0B">
        <w:rPr>
          <w:rStyle w:val="FootnoteReference"/>
        </w:rPr>
        <w:footnoteRef/>
      </w:r>
      <w:r w:rsidRPr="005B50F6">
        <w:rPr>
          <w:rStyle w:val="FootnoteReference"/>
          <w:vertAlign w:val="baseline"/>
        </w:rPr>
        <w:tab/>
      </w:r>
      <w:r w:rsidRPr="003E778B">
        <w:t xml:space="preserve">See </w:t>
      </w:r>
      <w:r>
        <w:t>g</w:t>
      </w:r>
      <w:r w:rsidRPr="003E778B">
        <w:t xml:space="preserve">eneral comment No. 28, para. </w:t>
      </w:r>
      <w:r w:rsidRPr="00B21A0F">
        <w:rPr>
          <w:lang w:val="es-AR"/>
        </w:rPr>
        <w:t xml:space="preserve">8. </w:t>
      </w:r>
    </w:p>
  </w:footnote>
  <w:footnote w:id="31">
    <w:p w:rsidR="00C23B00" w:rsidRPr="003E778B" w:rsidRDefault="00C23B00" w:rsidP="005B50F6">
      <w:pPr>
        <w:pStyle w:val="FootnoteText"/>
      </w:pPr>
      <w:r w:rsidRPr="00B21A0F">
        <w:rPr>
          <w:lang w:val="es-AR"/>
        </w:rPr>
        <w:tab/>
      </w:r>
      <w:r w:rsidRPr="00A84D0B">
        <w:rPr>
          <w:rStyle w:val="FootnoteReference"/>
        </w:rPr>
        <w:footnoteRef/>
      </w:r>
      <w:r w:rsidRPr="00B21A0F">
        <w:rPr>
          <w:lang w:val="es-ES"/>
        </w:rPr>
        <w:tab/>
      </w:r>
      <w:bookmarkStart w:id="5" w:name="_Hlk532221203"/>
      <w:r w:rsidRPr="00B21A0F">
        <w:rPr>
          <w:i/>
          <w:iCs/>
          <w:lang w:val="es-ES"/>
        </w:rPr>
        <w:t>L.N.P. v. Argentina</w:t>
      </w:r>
      <w:r w:rsidRPr="00B21A0F">
        <w:rPr>
          <w:lang w:val="es-ES"/>
        </w:rPr>
        <w:t xml:space="preserve">, para. </w:t>
      </w:r>
      <w:r w:rsidRPr="00B21A0F">
        <w:rPr>
          <w:lang w:val="es-AR"/>
        </w:rPr>
        <w:t>13.</w:t>
      </w:r>
      <w:bookmarkEnd w:id="5"/>
      <w:r w:rsidRPr="00B21A0F">
        <w:rPr>
          <w:lang w:val="es-AR"/>
        </w:rPr>
        <w:t xml:space="preserve">3; </w:t>
      </w:r>
      <w:r w:rsidRPr="00B21A0F">
        <w:rPr>
          <w:i/>
          <w:iCs/>
          <w:lang w:val="es-AR"/>
        </w:rPr>
        <w:t xml:space="preserve">M.T. v. </w:t>
      </w:r>
      <w:proofErr w:type="spellStart"/>
      <w:r w:rsidRPr="00B21A0F">
        <w:rPr>
          <w:i/>
          <w:iCs/>
          <w:lang w:val="es-AR"/>
        </w:rPr>
        <w:t>Uzbekistan</w:t>
      </w:r>
      <w:proofErr w:type="spellEnd"/>
      <w:r w:rsidRPr="00B21A0F">
        <w:rPr>
          <w:lang w:val="es-AR"/>
        </w:rPr>
        <w:t xml:space="preserve">, para. </w:t>
      </w:r>
      <w:r w:rsidRPr="00B21A0F">
        <w:rPr>
          <w:lang w:val="es-ES"/>
        </w:rPr>
        <w:t xml:space="preserve">7.6; and </w:t>
      </w:r>
      <w:r w:rsidRPr="00B21A0F">
        <w:rPr>
          <w:i/>
          <w:iCs/>
          <w:lang w:val="es-ES"/>
        </w:rPr>
        <w:t>Maya v. Nepal</w:t>
      </w:r>
      <w:r w:rsidRPr="00B21A0F">
        <w:rPr>
          <w:lang w:val="es-ES"/>
        </w:rPr>
        <w:t xml:space="preserve">, para. </w:t>
      </w:r>
      <w:r w:rsidRPr="00993363">
        <w:t>12.4.</w:t>
      </w:r>
    </w:p>
  </w:footnote>
  <w:footnote w:id="32">
    <w:p w:rsidR="00C23B00" w:rsidRPr="003E778B" w:rsidRDefault="00C23B00" w:rsidP="00DC5E30">
      <w:pPr>
        <w:pStyle w:val="FootnoteText"/>
      </w:pPr>
      <w:r w:rsidRPr="003E778B">
        <w:tab/>
      </w:r>
      <w:r w:rsidRPr="00A84D0B">
        <w:rPr>
          <w:rStyle w:val="FootnoteReference"/>
        </w:rPr>
        <w:footnoteRef/>
      </w:r>
      <w:r w:rsidRPr="003E778B">
        <w:tab/>
        <w:t xml:space="preserve">See </w:t>
      </w:r>
      <w:r>
        <w:t xml:space="preserve">Office of the United Nations High Commissioner for Human Rights (OHCHR), </w:t>
      </w:r>
      <w:r w:rsidRPr="00B21A0F">
        <w:rPr>
          <w:i/>
          <w:iCs/>
        </w:rPr>
        <w:t>Nepal Conflict Report</w:t>
      </w:r>
      <w:r w:rsidRPr="003E778B">
        <w:t xml:space="preserve"> (2012), p. 131.</w:t>
      </w:r>
    </w:p>
  </w:footnote>
  <w:footnote w:id="33">
    <w:p w:rsidR="00C23B00" w:rsidRPr="00B21A0F" w:rsidRDefault="00C23B00" w:rsidP="00DC5E30">
      <w:pPr>
        <w:pStyle w:val="FootnoteText"/>
        <w:rPr>
          <w:lang w:val="es-AR"/>
        </w:rPr>
      </w:pPr>
      <w:r w:rsidRPr="003E778B">
        <w:tab/>
      </w:r>
      <w:r w:rsidRPr="00A84D0B">
        <w:rPr>
          <w:rStyle w:val="FootnoteReference"/>
        </w:rPr>
        <w:footnoteRef/>
      </w:r>
      <w:r w:rsidRPr="00B21A0F">
        <w:rPr>
          <w:lang w:val="es-AR"/>
        </w:rPr>
        <w:tab/>
      </w:r>
      <w:proofErr w:type="spellStart"/>
      <w:r w:rsidRPr="00B21A0F">
        <w:rPr>
          <w:i/>
          <w:iCs/>
          <w:lang w:val="es-AR"/>
        </w:rPr>
        <w:t>Faure</w:t>
      </w:r>
      <w:proofErr w:type="spellEnd"/>
      <w:r w:rsidRPr="00B21A0F">
        <w:rPr>
          <w:i/>
          <w:iCs/>
          <w:lang w:val="es-AR"/>
        </w:rPr>
        <w:t xml:space="preserve"> v. Australia</w:t>
      </w:r>
      <w:r w:rsidRPr="00B21A0F">
        <w:rPr>
          <w:lang w:val="es-AR"/>
        </w:rPr>
        <w:t>, para. 7.5.</w:t>
      </w:r>
    </w:p>
  </w:footnote>
  <w:footnote w:id="34">
    <w:p w:rsidR="00C23B00" w:rsidRPr="003E778B" w:rsidRDefault="00C23B00" w:rsidP="00DC5E30">
      <w:pPr>
        <w:pStyle w:val="FootnoteText"/>
      </w:pPr>
      <w:r w:rsidRPr="00B21A0F">
        <w:rPr>
          <w:rStyle w:val="FootnoteReference"/>
          <w:lang w:val="es-AR"/>
        </w:rPr>
        <w:tab/>
      </w:r>
      <w:r w:rsidRPr="00A84D0B">
        <w:rPr>
          <w:rStyle w:val="FootnoteReference"/>
        </w:rPr>
        <w:footnoteRef/>
      </w:r>
      <w:r w:rsidRPr="00B21A0F">
        <w:rPr>
          <w:lang w:val="es-AR"/>
        </w:rPr>
        <w:tab/>
      </w:r>
      <w:r w:rsidRPr="00B21A0F">
        <w:rPr>
          <w:i/>
          <w:iCs/>
          <w:lang w:val="es-AR"/>
        </w:rPr>
        <w:t>Maya v. Nepal</w:t>
      </w:r>
      <w:r w:rsidRPr="00B21A0F">
        <w:rPr>
          <w:lang w:val="es-AR"/>
        </w:rPr>
        <w:t xml:space="preserve">, para. </w:t>
      </w:r>
      <w:r w:rsidRPr="00D71F43">
        <w:t>12.7.</w:t>
      </w:r>
    </w:p>
  </w:footnote>
  <w:footnote w:id="35">
    <w:p w:rsidR="00C23B00" w:rsidRPr="003E778B" w:rsidRDefault="00C23B00" w:rsidP="00DC5E30">
      <w:pPr>
        <w:pStyle w:val="FootnoteText"/>
      </w:pPr>
      <w:r w:rsidRPr="003E778B">
        <w:tab/>
      </w:r>
      <w:r w:rsidRPr="00A84D0B">
        <w:rPr>
          <w:rStyle w:val="FootnoteReference"/>
        </w:rPr>
        <w:footnoteRef/>
      </w:r>
      <w:r w:rsidRPr="003E778B">
        <w:tab/>
        <w:t xml:space="preserve">See, for instance, </w:t>
      </w:r>
      <w:r>
        <w:t xml:space="preserve">OHCHR, </w:t>
      </w:r>
      <w:r w:rsidRPr="00B21A0F">
        <w:rPr>
          <w:i/>
          <w:iCs/>
        </w:rPr>
        <w:t>Nepal Conflict Report</w:t>
      </w:r>
      <w:r w:rsidRPr="003E778B">
        <w:t>, p. 165.</w:t>
      </w:r>
    </w:p>
  </w:footnote>
  <w:footnote w:id="36">
    <w:p w:rsidR="00C23B00" w:rsidRPr="003E778B" w:rsidRDefault="00C23B00" w:rsidP="00DC5E30">
      <w:pPr>
        <w:pStyle w:val="FootnoteText"/>
      </w:pPr>
      <w:r w:rsidRPr="003E778B">
        <w:tab/>
      </w:r>
      <w:r w:rsidRPr="00A84D0B">
        <w:rPr>
          <w:rStyle w:val="FootnoteReference"/>
        </w:rPr>
        <w:footnoteRef/>
      </w:r>
      <w:r w:rsidRPr="00DC5E30">
        <w:rPr>
          <w:rStyle w:val="FootnoteReference"/>
          <w:vertAlign w:val="baseline"/>
        </w:rPr>
        <w:tab/>
      </w:r>
      <w:r w:rsidRPr="003E778B">
        <w:t xml:space="preserve">See CCPR/C/NPL/CO/2, para. 13, in which the Committee expressed concern at the lack of progress in abolishing the 35-day limitation period for filing complaints of rape; </w:t>
      </w:r>
      <w:proofErr w:type="spellStart"/>
      <w:r w:rsidRPr="00B21A0F">
        <w:rPr>
          <w:i/>
          <w:iCs/>
        </w:rPr>
        <w:t>Maharjan</w:t>
      </w:r>
      <w:proofErr w:type="spellEnd"/>
      <w:r w:rsidRPr="00B21A0F">
        <w:rPr>
          <w:i/>
          <w:iCs/>
        </w:rPr>
        <w:t xml:space="preserve"> et al v. Nepal</w:t>
      </w:r>
      <w:r w:rsidRPr="00E03EB6">
        <w:t xml:space="preserve">, para. </w:t>
      </w:r>
      <w:proofErr w:type="gramStart"/>
      <w:r w:rsidRPr="00E03EB6">
        <w:t>7.6</w:t>
      </w:r>
      <w:proofErr w:type="gramEnd"/>
      <w:r>
        <w:t>;</w:t>
      </w:r>
      <w:r w:rsidRPr="00E03EB6">
        <w:t xml:space="preserve"> and </w:t>
      </w:r>
      <w:r w:rsidRPr="00B21A0F">
        <w:rPr>
          <w:i/>
          <w:iCs/>
        </w:rPr>
        <w:t>Maya v. Nepal</w:t>
      </w:r>
      <w:r w:rsidRPr="00E03EB6">
        <w:t>, para. 12.5.</w:t>
      </w:r>
    </w:p>
  </w:footnote>
  <w:footnote w:id="37">
    <w:p w:rsidR="00C23B00" w:rsidRPr="003E778B" w:rsidRDefault="00C23B00" w:rsidP="00DC5E30">
      <w:pPr>
        <w:pStyle w:val="FootnoteText"/>
        <w:rPr>
          <w:rStyle w:val="FootnoteReference"/>
        </w:rPr>
      </w:pPr>
      <w:r w:rsidRPr="003E778B">
        <w:tab/>
      </w:r>
      <w:r w:rsidRPr="00A84D0B">
        <w:rPr>
          <w:rStyle w:val="FootnoteReference"/>
        </w:rPr>
        <w:footnoteRef/>
      </w:r>
      <w:r w:rsidRPr="003E778B">
        <w:tab/>
        <w:t xml:space="preserve">Chapter 18, </w:t>
      </w:r>
      <w:r>
        <w:t>s</w:t>
      </w:r>
      <w:r w:rsidRPr="003E778B">
        <w:t xml:space="preserve">ection 229 (2) of the new </w:t>
      </w:r>
      <w:r w:rsidRPr="00CC6E5E">
        <w:t xml:space="preserve">Nepalese </w:t>
      </w:r>
      <w:r>
        <w:t>c</w:t>
      </w:r>
      <w:r w:rsidRPr="00CC6E5E">
        <w:t xml:space="preserve">riminal </w:t>
      </w:r>
      <w:r>
        <w:t>c</w:t>
      </w:r>
      <w:r w:rsidRPr="00CC6E5E">
        <w:t xml:space="preserve">ode </w:t>
      </w:r>
      <w:r>
        <w:t>a</w:t>
      </w:r>
      <w:r w:rsidRPr="00CC6E5E">
        <w:t xml:space="preserve">ct </w:t>
      </w:r>
      <w:r>
        <w:t xml:space="preserve">of </w:t>
      </w:r>
      <w:r w:rsidRPr="00CC6E5E">
        <w:t>2017,</w:t>
      </w:r>
      <w:r>
        <w:t xml:space="preserve"> which</w:t>
      </w:r>
      <w:r w:rsidRPr="003E778B">
        <w:t xml:space="preserve"> entered into force in August 2018.</w:t>
      </w:r>
    </w:p>
  </w:footnote>
  <w:footnote w:id="38">
    <w:p w:rsidR="00C23B00" w:rsidRPr="00B21A0F" w:rsidRDefault="00C23B00" w:rsidP="00DC5E30">
      <w:pPr>
        <w:pStyle w:val="FootnoteText"/>
        <w:rPr>
          <w:lang w:val="en-US"/>
        </w:rPr>
      </w:pPr>
      <w:r w:rsidRPr="003E778B">
        <w:tab/>
      </w:r>
      <w:r w:rsidRPr="00A84D0B">
        <w:rPr>
          <w:rStyle w:val="FootnoteReference"/>
        </w:rPr>
        <w:footnoteRef/>
      </w:r>
      <w:r w:rsidRPr="003E778B">
        <w:tab/>
        <w:t>See CCPR/C/NPL/CO/2, para. 13. See also International Criminal Tribunal for the former Yugoslavia</w:t>
      </w:r>
      <w:r>
        <w:t xml:space="preserve">, </w:t>
      </w:r>
      <w:r w:rsidRPr="003E778B">
        <w:rPr>
          <w:i/>
          <w:iCs/>
        </w:rPr>
        <w:t xml:space="preserve">Prosecutor v. </w:t>
      </w:r>
      <w:proofErr w:type="spellStart"/>
      <w:r w:rsidRPr="003E778B">
        <w:rPr>
          <w:i/>
          <w:iCs/>
        </w:rPr>
        <w:t>Furundzija</w:t>
      </w:r>
      <w:proofErr w:type="spellEnd"/>
      <w:r w:rsidRPr="003E778B">
        <w:rPr>
          <w:i/>
          <w:iCs/>
        </w:rPr>
        <w:t xml:space="preserve">, </w:t>
      </w:r>
      <w:r>
        <w:t xml:space="preserve">case </w:t>
      </w:r>
      <w:proofErr w:type="gramStart"/>
      <w:r>
        <w:t>No</w:t>
      </w:r>
      <w:proofErr w:type="gramEnd"/>
      <w:r>
        <w:t>.</w:t>
      </w:r>
      <w:r w:rsidRPr="003E778B">
        <w:t xml:space="preserve"> IT-95-17/1</w:t>
      </w:r>
      <w:r>
        <w:t>-T</w:t>
      </w:r>
      <w:r w:rsidRPr="003E778B">
        <w:t xml:space="preserve"> </w:t>
      </w:r>
      <w:r>
        <w:t xml:space="preserve">judgment of </w:t>
      </w:r>
      <w:r w:rsidRPr="003E778B">
        <w:t xml:space="preserve">10 December 1998, para. </w:t>
      </w:r>
      <w:r w:rsidRPr="00B21A0F">
        <w:rPr>
          <w:lang w:val="en-US"/>
        </w:rPr>
        <w:t>155.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00" w:rsidRDefault="00C23B00" w:rsidP="00C23B00">
    <w:pPr>
      <w:pStyle w:val="Header"/>
    </w:pPr>
    <w:r>
      <w:t>CCPR/C/125/D/2556/2015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00" w:rsidRDefault="00C23B00" w:rsidP="00C23B00">
    <w:pPr>
      <w:pStyle w:val="Header"/>
      <w:jc w:val="right"/>
    </w:pPr>
    <w:r>
      <w:t>CCPR/C/125/D/2556/2015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95459"/>
    <w:rsid w:val="00036365"/>
    <w:rsid w:val="00046E92"/>
    <w:rsid w:val="0006523D"/>
    <w:rsid w:val="000859A3"/>
    <w:rsid w:val="00123DD4"/>
    <w:rsid w:val="00131D7A"/>
    <w:rsid w:val="00165C15"/>
    <w:rsid w:val="00172F25"/>
    <w:rsid w:val="00210B97"/>
    <w:rsid w:val="00247E2C"/>
    <w:rsid w:val="00295459"/>
    <w:rsid w:val="002D6C53"/>
    <w:rsid w:val="002F5595"/>
    <w:rsid w:val="00334F6A"/>
    <w:rsid w:val="00342AC8"/>
    <w:rsid w:val="003B4550"/>
    <w:rsid w:val="003B5EA8"/>
    <w:rsid w:val="00434B85"/>
    <w:rsid w:val="00461253"/>
    <w:rsid w:val="00461716"/>
    <w:rsid w:val="00472FED"/>
    <w:rsid w:val="005042C2"/>
    <w:rsid w:val="005B50F6"/>
    <w:rsid w:val="0066751C"/>
    <w:rsid w:val="00671529"/>
    <w:rsid w:val="00693DB8"/>
    <w:rsid w:val="00711AC7"/>
    <w:rsid w:val="007268F9"/>
    <w:rsid w:val="007327A0"/>
    <w:rsid w:val="00744785"/>
    <w:rsid w:val="007C52B0"/>
    <w:rsid w:val="00812D42"/>
    <w:rsid w:val="00817E57"/>
    <w:rsid w:val="008D3450"/>
    <w:rsid w:val="008F740C"/>
    <w:rsid w:val="00916599"/>
    <w:rsid w:val="009411B4"/>
    <w:rsid w:val="00945B5B"/>
    <w:rsid w:val="009D0139"/>
    <w:rsid w:val="009F5CDC"/>
    <w:rsid w:val="00A23459"/>
    <w:rsid w:val="00A775CF"/>
    <w:rsid w:val="00A84D0B"/>
    <w:rsid w:val="00B06045"/>
    <w:rsid w:val="00B6228A"/>
    <w:rsid w:val="00B73607"/>
    <w:rsid w:val="00B903E5"/>
    <w:rsid w:val="00C23B00"/>
    <w:rsid w:val="00C35A27"/>
    <w:rsid w:val="00CA1AEA"/>
    <w:rsid w:val="00DC5E30"/>
    <w:rsid w:val="00E02C2B"/>
    <w:rsid w:val="00ED6C48"/>
    <w:rsid w:val="00F41F0F"/>
    <w:rsid w:val="00F44E04"/>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E3556038-857E-451E-BDE7-DDB75DEA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A84D0B"/>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A84D0B"/>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A84D0B"/>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1FA18-5717-46B9-8791-97D68D5EF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13</Pages>
  <Words>6977</Words>
  <Characters>35639</Characters>
  <Application>Microsoft Office Word</Application>
  <DocSecurity>0</DocSecurity>
  <Lines>538</Lines>
  <Paragraphs>97</Paragraphs>
  <ScaleCrop>false</ScaleCrop>
  <HeadingPairs>
    <vt:vector size="2" baseType="variant">
      <vt:variant>
        <vt:lpstr>Title</vt:lpstr>
      </vt:variant>
      <vt:variant>
        <vt:i4>1</vt:i4>
      </vt:variant>
    </vt:vector>
  </HeadingPairs>
  <TitlesOfParts>
    <vt:vector size="1" baseType="lpstr">
      <vt:lpstr>CCPR/C/125/D/2556/2015</vt:lpstr>
    </vt:vector>
  </TitlesOfParts>
  <Company>DCM</Company>
  <LinksUpToDate>false</LinksUpToDate>
  <CharactersWithSpaces>42556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CCPR/C/125/D/2556/2015</dc:title>
  <dc:subject>1909373</dc:subject>
  <dc:creator>Giltsoff</dc:creator>
  <cp:keywords/>
  <dc:description/>
  <cp:lastModifiedBy>Generic Desk Anglais</cp:lastModifiedBy>
  <cp:revision>2</cp:revision>
  <dcterms:created xsi:type="dcterms:W3CDTF">2019-06-11T12:27:00Z</dcterms:created>
  <dcterms:modified xsi:type="dcterms:W3CDTF">2019-06-11T12:27:00Z</dcterms:modified>
</cp:coreProperties>
</file>