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B205B8" w:rsidRDefault="006B3E27" w:rsidP="009867A8">
            <w:pPr>
              <w:jc w:val="center"/>
              <w:rPr>
                <w:rFonts w:hint="cs"/>
                <w:sz w:val="56"/>
                <w:szCs w:val="56"/>
                <w:rtl/>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B205B8" w:rsidP="00E30F6E">
            <w:pPr>
              <w:bidi w:val="0"/>
              <w:spacing w:after="20"/>
              <w:jc w:val="left"/>
              <w:rPr>
                <w:szCs w:val="20"/>
              </w:rPr>
            </w:pPr>
            <w:r w:rsidRPr="00B205B8">
              <w:rPr>
                <w:sz w:val="40"/>
                <w:szCs w:val="20"/>
              </w:rPr>
              <w:t>CCPR</w:t>
            </w:r>
            <w:r>
              <w:rPr>
                <w:szCs w:val="20"/>
              </w:rPr>
              <w:t>/C/125/D/2524/2015</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E30F6E" w:rsidP="00E30F6E">
            <w:pPr>
              <w:bidi w:val="0"/>
              <w:spacing w:before="240"/>
              <w:jc w:val="left"/>
              <w:rPr>
                <w:szCs w:val="20"/>
              </w:rPr>
            </w:pPr>
            <w:r>
              <w:rPr>
                <w:szCs w:val="20"/>
              </w:rPr>
              <w:t>Distr.: General</w:t>
            </w:r>
          </w:p>
          <w:p w:rsidR="00E30F6E" w:rsidRDefault="00E30F6E" w:rsidP="00E30F6E">
            <w:pPr>
              <w:bidi w:val="0"/>
              <w:jc w:val="left"/>
              <w:rPr>
                <w:szCs w:val="20"/>
              </w:rPr>
            </w:pPr>
            <w:r>
              <w:rPr>
                <w:szCs w:val="20"/>
              </w:rPr>
              <w:t>17 May 2019</w:t>
            </w:r>
          </w:p>
          <w:p w:rsidR="00E30F6E" w:rsidRDefault="00E30F6E" w:rsidP="00E30F6E">
            <w:pPr>
              <w:bidi w:val="0"/>
              <w:jc w:val="left"/>
              <w:rPr>
                <w:szCs w:val="20"/>
              </w:rPr>
            </w:pPr>
            <w:r>
              <w:rPr>
                <w:szCs w:val="20"/>
              </w:rPr>
              <w:t>Arabic</w:t>
            </w:r>
          </w:p>
          <w:p w:rsidR="00E30F6E" w:rsidRPr="00CB6622" w:rsidRDefault="00E30F6E" w:rsidP="00E30F6E">
            <w:pPr>
              <w:bidi w:val="0"/>
              <w:jc w:val="left"/>
              <w:rPr>
                <w:szCs w:val="20"/>
              </w:rPr>
            </w:pPr>
            <w:r>
              <w:rPr>
                <w:szCs w:val="20"/>
              </w:rPr>
              <w:t>Original: English</w:t>
            </w:r>
          </w:p>
        </w:tc>
      </w:tr>
    </w:tbl>
    <w:p w:rsidR="00E30F6E" w:rsidRPr="00E30F6E" w:rsidRDefault="00E30F6E" w:rsidP="00E30F6E">
      <w:pPr>
        <w:spacing w:before="120" w:line="380" w:lineRule="exact"/>
        <w:rPr>
          <w:b/>
          <w:bCs/>
          <w:sz w:val="36"/>
          <w:szCs w:val="36"/>
          <w:rtl/>
          <w:lang w:eastAsia="zh-TW"/>
        </w:rPr>
      </w:pPr>
      <w:bookmarkStart w:id="0" w:name="bookmark_9"/>
      <w:r w:rsidRPr="00E30F6E">
        <w:rPr>
          <w:b/>
          <w:bCs/>
          <w:sz w:val="26"/>
          <w:szCs w:val="36"/>
          <w:rtl/>
          <w:lang w:eastAsia="zh-TW"/>
        </w:rPr>
        <w:t>اللجنة المعنية بحقوق الإنسان</w:t>
      </w:r>
      <w:bookmarkEnd w:id="0"/>
    </w:p>
    <w:p w:rsidR="00E30F6E" w:rsidRPr="00302314" w:rsidRDefault="00E30F6E" w:rsidP="00E30F6E">
      <w:pPr>
        <w:pStyle w:val="HChGA"/>
        <w:rPr>
          <w:rtl/>
          <w:lang w:eastAsia="zh-TW" w:bidi="ar-DZ"/>
        </w:rPr>
      </w:pPr>
      <w:bookmarkStart w:id="1" w:name="bookmark_10"/>
      <w:r>
        <w:rPr>
          <w:rtl/>
          <w:lang w:eastAsia="zh-TW"/>
        </w:rPr>
        <w:tab/>
      </w:r>
      <w:r>
        <w:rPr>
          <w:rtl/>
          <w:lang w:eastAsia="zh-TW"/>
        </w:rPr>
        <w:tab/>
      </w:r>
      <w:r w:rsidRPr="004D6710">
        <w:rPr>
          <w:rtl/>
          <w:lang w:eastAsia="zh-TW"/>
        </w:rPr>
        <w:t>الآراء التي اعتمدتها اللجنة بموجب المادة ٥(4) من البروتوكول الاختياري، بشأن البلاغ رقم 2</w:t>
      </w:r>
      <w:r>
        <w:rPr>
          <w:rFonts w:hint="cs"/>
          <w:rtl/>
          <w:lang w:eastAsia="zh-TW"/>
        </w:rPr>
        <w:t>524</w:t>
      </w:r>
      <w:r w:rsidRPr="004D6710">
        <w:rPr>
          <w:rtl/>
          <w:lang w:eastAsia="zh-TW"/>
        </w:rPr>
        <w:t>/٢٠١</w:t>
      </w:r>
      <w:r>
        <w:rPr>
          <w:rFonts w:hint="cs"/>
          <w:rtl/>
          <w:lang w:eastAsia="zh-TW"/>
        </w:rPr>
        <w:t>5</w:t>
      </w:r>
      <w:r w:rsidRPr="008A2F1A">
        <w:rPr>
          <w:rStyle w:val="FootnoteReference"/>
          <w:bCs w:val="0"/>
          <w:sz w:val="30"/>
          <w:szCs w:val="30"/>
          <w:vertAlign w:val="baseline"/>
          <w:rtl/>
          <w:lang w:eastAsia="zh-TW"/>
        </w:rPr>
        <w:footnoteReference w:customMarkFollows="1" w:id="1"/>
        <w:t>*</w:t>
      </w:r>
      <w:r w:rsidRPr="008A2F1A">
        <w:rPr>
          <w:rFonts w:hint="cs"/>
          <w:sz w:val="30"/>
          <w:szCs w:val="30"/>
          <w:rtl/>
          <w:lang w:eastAsia="zh-TW"/>
        </w:rPr>
        <w:t xml:space="preserve"> </w:t>
      </w:r>
      <w:r w:rsidRPr="008A2F1A">
        <w:rPr>
          <w:rStyle w:val="FootnoteReference"/>
          <w:bCs w:val="0"/>
          <w:sz w:val="30"/>
          <w:szCs w:val="30"/>
          <w:vertAlign w:val="baseline"/>
          <w:rtl/>
          <w:lang w:eastAsia="zh-TW"/>
        </w:rPr>
        <w:footnoteReference w:customMarkFollows="1" w:id="2"/>
        <w:t>**</w:t>
      </w:r>
      <w:bookmarkEnd w:id="1"/>
      <w:r w:rsidRPr="008A2F1A">
        <w:rPr>
          <w:sz w:val="30"/>
          <w:szCs w:val="30"/>
          <w:rtl/>
          <w:lang w:eastAsia="zh-TW" w:bidi="ar-DZ"/>
        </w:rPr>
        <w:t xml:space="preserve"> </w:t>
      </w:r>
    </w:p>
    <w:p w:rsidR="00E30F6E" w:rsidRPr="009235F0" w:rsidRDefault="00E30F6E" w:rsidP="00E30F6E">
      <w:pPr>
        <w:pStyle w:val="SingleTxtG"/>
        <w:bidi/>
        <w:spacing w:line="380" w:lineRule="exact"/>
        <w:ind w:left="4723" w:right="1247" w:hanging="2795"/>
        <w:jc w:val="lowKashida"/>
        <w:textDirection w:val="tbRlV"/>
        <w:rPr>
          <w:rFonts w:ascii="Traditional Arabic" w:hAnsi="Traditional Arabic" w:hint="default"/>
          <w:sz w:val="30"/>
          <w:rtl/>
          <w:lang w:eastAsia="zh-TW"/>
        </w:rPr>
      </w:pPr>
      <w:bookmarkStart w:id="4" w:name="bookmark_14"/>
      <w:r w:rsidRPr="009235F0">
        <w:rPr>
          <w:rFonts w:ascii="Traditional Arabic" w:hAnsi="Traditional Arabic" w:hint="default"/>
          <w:i/>
          <w:iCs/>
          <w:sz w:val="30"/>
          <w:rtl/>
          <w:lang w:eastAsia="zh-TW"/>
        </w:rPr>
        <w:t>بلاغ مقدم من:</w:t>
      </w:r>
      <w:r w:rsidRPr="009235F0">
        <w:rPr>
          <w:rFonts w:ascii="Traditional Arabic" w:hAnsi="Traditional Arabic" w:hint="default"/>
          <w:sz w:val="30"/>
          <w:rtl/>
          <w:lang w:eastAsia="zh-TW"/>
        </w:rPr>
        <w:tab/>
      </w:r>
      <w:r>
        <w:rPr>
          <w:rFonts w:ascii="Traditional Arabic" w:hAnsi="Traditional Arabic"/>
          <w:sz w:val="30"/>
          <w:rtl/>
          <w:lang w:eastAsia="zh-TW"/>
        </w:rPr>
        <w:t xml:space="preserve">مدينة </w:t>
      </w:r>
      <w:proofErr w:type="spellStart"/>
      <w:r>
        <w:rPr>
          <w:rFonts w:ascii="Traditional Arabic" w:hAnsi="Traditional Arabic"/>
          <w:sz w:val="30"/>
          <w:rtl/>
          <w:lang w:eastAsia="zh-TW"/>
        </w:rPr>
        <w:t>ماغومادوفا</w:t>
      </w:r>
      <w:proofErr w:type="spellEnd"/>
      <w:r w:rsidRPr="009235F0">
        <w:rPr>
          <w:rFonts w:ascii="Traditional Arabic" w:hAnsi="Traditional Arabic" w:hint="default"/>
          <w:sz w:val="30"/>
          <w:rtl/>
          <w:lang w:eastAsia="zh-TW"/>
        </w:rPr>
        <w:t xml:space="preserve"> (</w:t>
      </w:r>
      <w:r>
        <w:rPr>
          <w:rFonts w:ascii="Traditional Arabic" w:hAnsi="Traditional Arabic"/>
          <w:sz w:val="30"/>
          <w:rtl/>
          <w:lang w:eastAsia="zh-TW"/>
        </w:rPr>
        <w:t>لا يمثّلها</w:t>
      </w:r>
      <w:r w:rsidRPr="009235F0">
        <w:rPr>
          <w:rFonts w:ascii="Traditional Arabic" w:hAnsi="Traditional Arabic" w:hint="default"/>
          <w:sz w:val="30"/>
          <w:rtl/>
          <w:lang w:eastAsia="zh-TW"/>
        </w:rPr>
        <w:t xml:space="preserve"> </w:t>
      </w:r>
      <w:r>
        <w:rPr>
          <w:rFonts w:ascii="Traditional Arabic" w:hAnsi="Traditional Arabic"/>
          <w:sz w:val="30"/>
          <w:rtl/>
          <w:lang w:eastAsia="zh-TW"/>
        </w:rPr>
        <w:t>المحامي</w:t>
      </w:r>
      <w:r w:rsidRPr="009235F0">
        <w:rPr>
          <w:rFonts w:ascii="Traditional Arabic" w:hAnsi="Traditional Arabic" w:hint="default"/>
          <w:sz w:val="30"/>
          <w:rtl/>
          <w:lang w:eastAsia="zh-TW"/>
        </w:rPr>
        <w:t>)</w:t>
      </w:r>
      <w:bookmarkEnd w:id="4"/>
    </w:p>
    <w:p w:rsidR="00E30F6E" w:rsidRPr="0068387E" w:rsidRDefault="00E30F6E" w:rsidP="00E30F6E">
      <w:pPr>
        <w:pStyle w:val="SingleTxtG"/>
        <w:bidi/>
        <w:spacing w:line="380" w:lineRule="exact"/>
        <w:ind w:left="4723" w:right="1247" w:hanging="2795"/>
        <w:jc w:val="lowKashida"/>
        <w:textDirection w:val="tbRlV"/>
        <w:rPr>
          <w:rFonts w:ascii="Traditional Arabic" w:hAnsi="Traditional Arabic" w:hint="default"/>
          <w:sz w:val="30"/>
          <w:rtl/>
          <w:lang w:eastAsia="zh-TW"/>
        </w:rPr>
      </w:pPr>
      <w:bookmarkStart w:id="5" w:name="bookmark_15"/>
      <w:r>
        <w:rPr>
          <w:rFonts w:ascii="Traditional Arabic" w:hAnsi="Traditional Arabic"/>
          <w:i/>
          <w:iCs/>
          <w:sz w:val="30"/>
          <w:rtl/>
          <w:lang w:eastAsia="zh-TW"/>
        </w:rPr>
        <w:t>الشخص</w:t>
      </w:r>
      <w:r w:rsidRPr="009235F0">
        <w:rPr>
          <w:rFonts w:ascii="Traditional Arabic" w:hAnsi="Traditional Arabic" w:hint="default"/>
          <w:i/>
          <w:iCs/>
          <w:sz w:val="30"/>
          <w:rtl/>
          <w:lang w:eastAsia="zh-TW"/>
        </w:rPr>
        <w:t xml:space="preserve"> المدعى أنه ضحي</w:t>
      </w:r>
      <w:r>
        <w:rPr>
          <w:rFonts w:ascii="Traditional Arabic" w:hAnsi="Traditional Arabic"/>
          <w:i/>
          <w:iCs/>
          <w:sz w:val="30"/>
          <w:rtl/>
          <w:lang w:eastAsia="zh-TW"/>
        </w:rPr>
        <w:t>ة</w:t>
      </w:r>
      <w:r w:rsidRPr="009235F0">
        <w:rPr>
          <w:rFonts w:ascii="Traditional Arabic" w:hAnsi="Traditional Arabic" w:hint="default"/>
          <w:i/>
          <w:iCs/>
          <w:sz w:val="30"/>
          <w:rtl/>
          <w:lang w:eastAsia="zh-TW"/>
        </w:rPr>
        <w:t>:</w:t>
      </w:r>
      <w:r>
        <w:rPr>
          <w:rFonts w:ascii="Traditional Arabic" w:hAnsi="Traditional Arabic" w:hint="default"/>
          <w:sz w:val="30"/>
          <w:rtl/>
          <w:lang w:eastAsia="zh-TW"/>
        </w:rPr>
        <w:tab/>
        <w:t>صاحب</w:t>
      </w:r>
      <w:r>
        <w:rPr>
          <w:rFonts w:ascii="Traditional Arabic" w:hAnsi="Traditional Arabic"/>
          <w:sz w:val="30"/>
          <w:rtl/>
          <w:lang w:eastAsia="zh-TW"/>
        </w:rPr>
        <w:t>ة</w:t>
      </w:r>
      <w:r w:rsidRPr="009235F0">
        <w:rPr>
          <w:rFonts w:ascii="Traditional Arabic" w:hAnsi="Traditional Arabic" w:hint="default"/>
          <w:sz w:val="30"/>
          <w:rtl/>
          <w:lang w:eastAsia="zh-TW"/>
        </w:rPr>
        <w:t xml:space="preserve"> البلاغ </w:t>
      </w:r>
      <w:bookmarkEnd w:id="5"/>
      <w:r w:rsidRPr="009235F0">
        <w:rPr>
          <w:rFonts w:hAnsi="Times New Roman" w:cs="Times New Roman" w:hint="default"/>
          <w:sz w:val="30"/>
        </w:rPr>
        <w:t>‬</w:t>
      </w:r>
      <w:r w:rsidRPr="009235F0">
        <w:rPr>
          <w:rFonts w:hAnsi="Times New Roman" w:cs="Times New Roman" w:hint="default"/>
          <w:sz w:val="30"/>
        </w:rPr>
        <w:t>‬</w:t>
      </w:r>
      <w:r>
        <w:rPr>
          <w:rFonts w:ascii="Traditional Arabic" w:hAnsi="Traditional Arabic"/>
          <w:sz w:val="30"/>
          <w:rtl/>
          <w:lang w:eastAsia="zh-TW"/>
        </w:rPr>
        <w:t xml:space="preserve">وشقيقها، شمسي </w:t>
      </w:r>
      <w:proofErr w:type="spellStart"/>
      <w:r>
        <w:rPr>
          <w:rFonts w:ascii="Traditional Arabic" w:hAnsi="Traditional Arabic"/>
          <w:sz w:val="30"/>
          <w:rtl/>
          <w:lang w:eastAsia="zh-TW"/>
        </w:rPr>
        <w:t>ماغومادوف</w:t>
      </w:r>
      <w:proofErr w:type="spellEnd"/>
    </w:p>
    <w:p w:rsidR="00E30F6E" w:rsidRPr="009235F0" w:rsidRDefault="00E30F6E" w:rsidP="00E30F6E">
      <w:pPr>
        <w:pStyle w:val="SingleTxtG"/>
        <w:bidi/>
        <w:spacing w:line="380" w:lineRule="exact"/>
        <w:ind w:left="4723" w:right="1247" w:hanging="2795"/>
        <w:jc w:val="lowKashida"/>
        <w:textDirection w:val="tbRlV"/>
        <w:rPr>
          <w:rFonts w:ascii="Traditional Arabic" w:hAnsi="Traditional Arabic" w:hint="default"/>
          <w:sz w:val="30"/>
          <w:rtl/>
          <w:lang w:eastAsia="zh-TW"/>
        </w:rPr>
      </w:pPr>
      <w:bookmarkStart w:id="6" w:name="bookmark_16"/>
      <w:r w:rsidRPr="009235F0">
        <w:rPr>
          <w:rFonts w:ascii="Traditional Arabic" w:hAnsi="Traditional Arabic" w:hint="default"/>
          <w:i/>
          <w:iCs/>
          <w:sz w:val="30"/>
          <w:rtl/>
          <w:lang w:eastAsia="zh-TW"/>
        </w:rPr>
        <w:t>الدولة الطرف:</w:t>
      </w:r>
      <w:r w:rsidRPr="009235F0">
        <w:rPr>
          <w:rFonts w:ascii="Traditional Arabic" w:hAnsi="Traditional Arabic" w:hint="default"/>
          <w:sz w:val="30"/>
          <w:rtl/>
          <w:lang w:eastAsia="zh-TW"/>
        </w:rPr>
        <w:tab/>
      </w:r>
      <w:bookmarkEnd w:id="6"/>
      <w:r>
        <w:rPr>
          <w:rFonts w:ascii="Traditional Arabic" w:hAnsi="Traditional Arabic"/>
          <w:sz w:val="30"/>
          <w:rtl/>
          <w:lang w:eastAsia="zh-TW"/>
        </w:rPr>
        <w:t>الاتحاد الروسي</w:t>
      </w:r>
    </w:p>
    <w:p w:rsidR="00E30F6E" w:rsidRPr="009235F0" w:rsidRDefault="00E30F6E" w:rsidP="00E30F6E">
      <w:pPr>
        <w:pStyle w:val="SingleTxtG"/>
        <w:bidi/>
        <w:spacing w:line="380" w:lineRule="exact"/>
        <w:ind w:left="4723" w:right="1247" w:hanging="2795"/>
        <w:jc w:val="lowKashida"/>
        <w:textDirection w:val="tbRlV"/>
        <w:rPr>
          <w:rFonts w:ascii="Traditional Arabic" w:hAnsi="Traditional Arabic" w:hint="default"/>
          <w:sz w:val="30"/>
          <w:rtl/>
          <w:lang w:eastAsia="zh-TW"/>
        </w:rPr>
      </w:pPr>
      <w:bookmarkStart w:id="7" w:name="bookmark_17"/>
      <w:r w:rsidRPr="009235F0">
        <w:rPr>
          <w:rFonts w:ascii="Traditional Arabic" w:hAnsi="Traditional Arabic" w:hint="default"/>
          <w:i/>
          <w:iCs/>
          <w:sz w:val="30"/>
          <w:rtl/>
          <w:lang w:eastAsia="zh-TW"/>
        </w:rPr>
        <w:t>تاريخ تقديم البلاغ:</w:t>
      </w:r>
      <w:r w:rsidRPr="009235F0">
        <w:rPr>
          <w:rFonts w:ascii="Traditional Arabic" w:hAnsi="Traditional Arabic" w:hint="default"/>
          <w:sz w:val="30"/>
          <w:rtl/>
          <w:lang w:eastAsia="zh-TW"/>
        </w:rPr>
        <w:tab/>
      </w:r>
      <w:r>
        <w:rPr>
          <w:rFonts w:ascii="Traditional Arabic" w:hAnsi="Traditional Arabic"/>
          <w:sz w:val="30"/>
          <w:rtl/>
          <w:lang w:eastAsia="zh-TW"/>
        </w:rPr>
        <w:t>16 أيار/مايو</w:t>
      </w:r>
      <w:r w:rsidRPr="009235F0">
        <w:rPr>
          <w:rFonts w:ascii="Traditional Arabic" w:hAnsi="Traditional Arabic" w:hint="default"/>
          <w:sz w:val="30"/>
          <w:rtl/>
          <w:lang w:eastAsia="zh-TW"/>
        </w:rPr>
        <w:t xml:space="preserve"> </w:t>
      </w:r>
      <w:r>
        <w:rPr>
          <w:rFonts w:ascii="Traditional Arabic" w:hAnsi="Traditional Arabic"/>
          <w:sz w:val="30"/>
          <w:rtl/>
          <w:lang w:eastAsia="zh-TW"/>
        </w:rPr>
        <w:t xml:space="preserve">2014 </w:t>
      </w:r>
      <w:r w:rsidRPr="009235F0">
        <w:rPr>
          <w:rFonts w:ascii="Traditional Arabic" w:hAnsi="Traditional Arabic" w:hint="default"/>
          <w:sz w:val="30"/>
          <w:rtl/>
          <w:lang w:eastAsia="zh-TW"/>
        </w:rPr>
        <w:t>(تاريخ الرسالة الأولى)</w:t>
      </w:r>
      <w:bookmarkEnd w:id="7"/>
    </w:p>
    <w:p w:rsidR="00E30F6E" w:rsidRPr="007030F5" w:rsidRDefault="00E30F6E" w:rsidP="00E30F6E">
      <w:pPr>
        <w:pStyle w:val="SingleTxtG"/>
        <w:bidi/>
        <w:spacing w:line="380" w:lineRule="exact"/>
        <w:ind w:left="4723" w:right="1247" w:hanging="2795"/>
        <w:jc w:val="lowKashida"/>
        <w:textDirection w:val="tbRlV"/>
        <w:rPr>
          <w:rFonts w:ascii="Traditional Arabic" w:hAnsi="Traditional Arabic" w:hint="default"/>
          <w:spacing w:val="-4"/>
          <w:sz w:val="30"/>
          <w:rtl/>
          <w:lang w:eastAsia="zh-TW"/>
        </w:rPr>
      </w:pPr>
      <w:bookmarkStart w:id="8" w:name="bookmark_18"/>
      <w:r w:rsidRPr="007030F5">
        <w:rPr>
          <w:rFonts w:ascii="Traditional Arabic" w:hAnsi="Traditional Arabic" w:hint="default"/>
          <w:i/>
          <w:iCs/>
          <w:spacing w:val="-4"/>
          <w:sz w:val="30"/>
          <w:rtl/>
          <w:lang w:eastAsia="zh-TW"/>
        </w:rPr>
        <w:t>الوثائق المرجعية:</w:t>
      </w:r>
      <w:r w:rsidRPr="007030F5">
        <w:rPr>
          <w:rFonts w:ascii="Traditional Arabic" w:hAnsi="Traditional Arabic" w:hint="default"/>
          <w:spacing w:val="-4"/>
          <w:sz w:val="30"/>
          <w:rtl/>
          <w:lang w:eastAsia="zh-TW"/>
        </w:rPr>
        <w:tab/>
        <w:t xml:space="preserve">القرار المتخذ بموجب المادة 97 من النظام الداخلي للجنة، والمحال إلى </w:t>
      </w:r>
      <w:bookmarkStart w:id="9" w:name="_GoBack"/>
      <w:bookmarkEnd w:id="9"/>
      <w:r w:rsidRPr="007030F5">
        <w:rPr>
          <w:rFonts w:ascii="Traditional Arabic" w:hAnsi="Traditional Arabic" w:hint="default"/>
          <w:spacing w:val="-4"/>
          <w:sz w:val="30"/>
          <w:rtl/>
          <w:lang w:eastAsia="zh-TW"/>
        </w:rPr>
        <w:t xml:space="preserve">الدولة الطرف في </w:t>
      </w:r>
      <w:r w:rsidRPr="007030F5">
        <w:rPr>
          <w:rFonts w:ascii="Traditional Arabic" w:hAnsi="Traditional Arabic"/>
          <w:spacing w:val="-4"/>
          <w:sz w:val="30"/>
          <w:rtl/>
          <w:lang w:eastAsia="zh-TW"/>
        </w:rPr>
        <w:t xml:space="preserve">12 كانون الثاني/يناير 2015 </w:t>
      </w:r>
      <w:r w:rsidRPr="007030F5">
        <w:rPr>
          <w:rFonts w:ascii="Traditional Arabic" w:hAnsi="Traditional Arabic" w:hint="default"/>
          <w:spacing w:val="-4"/>
          <w:sz w:val="30"/>
          <w:rtl/>
          <w:lang w:eastAsia="zh-TW"/>
        </w:rPr>
        <w:t>(لم يصدر في شكل وثيقة)</w:t>
      </w:r>
      <w:bookmarkEnd w:id="8"/>
    </w:p>
    <w:p w:rsidR="00E30F6E" w:rsidRPr="009235F0" w:rsidRDefault="00E30F6E" w:rsidP="00E30F6E">
      <w:pPr>
        <w:pStyle w:val="SingleTxtG"/>
        <w:bidi/>
        <w:spacing w:line="380" w:lineRule="exact"/>
        <w:ind w:left="4723" w:right="1247" w:hanging="2795"/>
        <w:jc w:val="lowKashida"/>
        <w:textDirection w:val="tbRlV"/>
        <w:rPr>
          <w:rFonts w:ascii="Traditional Arabic" w:hAnsi="Traditional Arabic" w:hint="default"/>
          <w:sz w:val="30"/>
          <w:rtl/>
          <w:lang w:eastAsia="zh-TW"/>
        </w:rPr>
      </w:pPr>
      <w:bookmarkStart w:id="10" w:name="bookmark_19"/>
      <w:r w:rsidRPr="009235F0">
        <w:rPr>
          <w:rFonts w:ascii="Traditional Arabic" w:hAnsi="Traditional Arabic" w:hint="default"/>
          <w:i/>
          <w:iCs/>
          <w:sz w:val="30"/>
          <w:rtl/>
          <w:lang w:eastAsia="zh-TW"/>
        </w:rPr>
        <w:t>تاريخ اعتماد الآراء:</w:t>
      </w:r>
      <w:r w:rsidRPr="009235F0">
        <w:rPr>
          <w:rFonts w:ascii="Traditional Arabic" w:hAnsi="Traditional Arabic" w:hint="default"/>
          <w:sz w:val="30"/>
          <w:rtl/>
          <w:lang w:eastAsia="zh-TW"/>
        </w:rPr>
        <w:tab/>
      </w:r>
      <w:bookmarkEnd w:id="10"/>
      <w:r>
        <w:rPr>
          <w:rFonts w:ascii="Traditional Arabic" w:hAnsi="Traditional Arabic"/>
          <w:sz w:val="30"/>
          <w:rtl/>
          <w:lang w:eastAsia="zh-TW"/>
        </w:rPr>
        <w:t>19 آذار/مارس 2019</w:t>
      </w:r>
    </w:p>
    <w:p w:rsidR="00E30F6E" w:rsidRPr="009235F0" w:rsidRDefault="00E30F6E" w:rsidP="00E30F6E">
      <w:pPr>
        <w:pStyle w:val="SingleTxtG"/>
        <w:bidi/>
        <w:spacing w:line="380" w:lineRule="exact"/>
        <w:ind w:left="4723" w:right="1247" w:hanging="2795"/>
        <w:jc w:val="lowKashida"/>
        <w:textDirection w:val="tbRlV"/>
        <w:rPr>
          <w:rFonts w:ascii="Traditional Arabic" w:hAnsi="Traditional Arabic" w:hint="default"/>
          <w:sz w:val="30"/>
          <w:rtl/>
          <w:lang w:eastAsia="zh-TW"/>
        </w:rPr>
      </w:pPr>
      <w:bookmarkStart w:id="11" w:name="bookmark_20"/>
      <w:r w:rsidRPr="009235F0">
        <w:rPr>
          <w:rFonts w:ascii="Traditional Arabic" w:hAnsi="Traditional Arabic" w:hint="default"/>
          <w:i/>
          <w:iCs/>
          <w:sz w:val="30"/>
          <w:rtl/>
          <w:lang w:eastAsia="zh-TW"/>
        </w:rPr>
        <w:t>الموضوع:</w:t>
      </w:r>
      <w:r>
        <w:rPr>
          <w:rFonts w:ascii="Traditional Arabic" w:hAnsi="Traditional Arabic" w:hint="default"/>
          <w:sz w:val="30"/>
          <w:rtl/>
          <w:lang w:eastAsia="zh-TW"/>
        </w:rPr>
        <w:tab/>
      </w:r>
      <w:r>
        <w:rPr>
          <w:rFonts w:ascii="Traditional Arabic" w:hAnsi="Traditional Arabic"/>
          <w:sz w:val="30"/>
          <w:rtl/>
          <w:lang w:eastAsia="zh-TW"/>
        </w:rPr>
        <w:t>احتجاز</w:t>
      </w:r>
      <w:r w:rsidRPr="009235F0">
        <w:rPr>
          <w:rFonts w:ascii="Traditional Arabic" w:hAnsi="Traditional Arabic" w:hint="default"/>
          <w:sz w:val="30"/>
          <w:rtl/>
          <w:lang w:eastAsia="zh-TW"/>
        </w:rPr>
        <w:t xml:space="preserve"> </w:t>
      </w:r>
      <w:r>
        <w:rPr>
          <w:rFonts w:ascii="Traditional Arabic" w:hAnsi="Traditional Arabic"/>
          <w:sz w:val="30"/>
          <w:rtl/>
          <w:lang w:eastAsia="zh-TW"/>
        </w:rPr>
        <w:t xml:space="preserve">صاحب البلاغ </w:t>
      </w:r>
      <w:bookmarkEnd w:id="11"/>
      <w:r>
        <w:rPr>
          <w:rFonts w:ascii="Traditional Arabic" w:hAnsi="Traditional Arabic"/>
          <w:sz w:val="30"/>
          <w:rtl/>
          <w:lang w:eastAsia="zh-TW"/>
        </w:rPr>
        <w:t>وإساءة معاملته</w:t>
      </w:r>
    </w:p>
    <w:p w:rsidR="00E30F6E" w:rsidRPr="009235F0" w:rsidRDefault="00E30F6E" w:rsidP="00E30F6E">
      <w:pPr>
        <w:pStyle w:val="SingleTxtG"/>
        <w:bidi/>
        <w:spacing w:line="380" w:lineRule="exact"/>
        <w:ind w:left="4723" w:right="1247" w:hanging="2795"/>
        <w:jc w:val="lowKashida"/>
        <w:textDirection w:val="tbRlV"/>
        <w:rPr>
          <w:rFonts w:ascii="Traditional Arabic" w:hAnsi="Traditional Arabic" w:hint="default"/>
          <w:sz w:val="30"/>
          <w:rtl/>
          <w:lang w:eastAsia="zh-TW"/>
        </w:rPr>
      </w:pPr>
      <w:bookmarkStart w:id="12" w:name="bookmark_21"/>
      <w:r w:rsidRPr="009235F0">
        <w:rPr>
          <w:rFonts w:ascii="Traditional Arabic" w:hAnsi="Traditional Arabic" w:hint="default"/>
          <w:i/>
          <w:iCs/>
          <w:sz w:val="30"/>
          <w:rtl/>
          <w:lang w:eastAsia="zh-TW"/>
        </w:rPr>
        <w:t>المسائل الإجرائية:</w:t>
      </w:r>
      <w:r w:rsidRPr="009235F0">
        <w:rPr>
          <w:rFonts w:ascii="Traditional Arabic" w:hAnsi="Traditional Arabic" w:hint="default"/>
          <w:sz w:val="30"/>
          <w:rtl/>
          <w:lang w:eastAsia="zh-TW"/>
        </w:rPr>
        <w:tab/>
      </w:r>
      <w:r>
        <w:rPr>
          <w:rFonts w:ascii="Traditional Arabic" w:hAnsi="Traditional Arabic"/>
          <w:sz w:val="30"/>
          <w:rtl/>
          <w:lang w:eastAsia="zh-TW"/>
        </w:rPr>
        <w:t xml:space="preserve">عدم </w:t>
      </w:r>
      <w:r w:rsidRPr="009235F0">
        <w:rPr>
          <w:rFonts w:ascii="Traditional Arabic" w:hAnsi="Traditional Arabic" w:hint="default"/>
          <w:sz w:val="30"/>
          <w:rtl/>
          <w:lang w:eastAsia="zh-TW"/>
        </w:rPr>
        <w:t>إثبات الادعاءات</w:t>
      </w:r>
      <w:bookmarkEnd w:id="12"/>
    </w:p>
    <w:p w:rsidR="00E30F6E" w:rsidRPr="009235F0" w:rsidRDefault="00E30F6E" w:rsidP="00E30F6E">
      <w:pPr>
        <w:pStyle w:val="SingleTxtG"/>
        <w:keepNext/>
        <w:bidi/>
        <w:spacing w:after="140" w:line="380" w:lineRule="exact"/>
        <w:ind w:left="4723" w:right="1247" w:hanging="2795"/>
        <w:jc w:val="lowKashida"/>
        <w:textDirection w:val="tbRlV"/>
        <w:rPr>
          <w:rFonts w:ascii="Traditional Arabic" w:hAnsi="Traditional Arabic" w:hint="default"/>
          <w:sz w:val="30"/>
          <w:rtl/>
          <w:lang w:eastAsia="zh-TW" w:bidi="ar-DZ"/>
        </w:rPr>
      </w:pPr>
      <w:bookmarkStart w:id="13" w:name="bookmark_22"/>
      <w:r w:rsidRPr="009235F0">
        <w:rPr>
          <w:rFonts w:ascii="Traditional Arabic" w:hAnsi="Traditional Arabic" w:hint="default"/>
          <w:i/>
          <w:iCs/>
          <w:sz w:val="30"/>
          <w:rtl/>
          <w:lang w:eastAsia="zh-TW"/>
        </w:rPr>
        <w:t>المسائل الموضوعية:</w:t>
      </w:r>
      <w:r w:rsidRPr="009235F0">
        <w:rPr>
          <w:rFonts w:ascii="Traditional Arabic" w:hAnsi="Traditional Arabic" w:hint="default"/>
          <w:sz w:val="30"/>
          <w:rtl/>
          <w:lang w:eastAsia="zh-TW"/>
        </w:rPr>
        <w:tab/>
      </w:r>
      <w:r>
        <w:rPr>
          <w:rFonts w:ascii="Traditional Arabic" w:hAnsi="Traditional Arabic"/>
          <w:sz w:val="30"/>
          <w:rtl/>
          <w:lang w:eastAsia="zh-TW"/>
        </w:rPr>
        <w:t>ا</w:t>
      </w:r>
      <w:r w:rsidRPr="009235F0">
        <w:rPr>
          <w:rFonts w:ascii="Traditional Arabic" w:hAnsi="Traditional Arabic" w:hint="default"/>
          <w:sz w:val="30"/>
          <w:rtl/>
          <w:lang w:eastAsia="zh-TW"/>
        </w:rPr>
        <w:t>لتعذيب</w:t>
      </w:r>
      <w:r>
        <w:rPr>
          <w:rFonts w:ascii="Traditional Arabic" w:hAnsi="Traditional Arabic"/>
          <w:sz w:val="30"/>
          <w:rtl/>
          <w:lang w:eastAsia="zh-TW"/>
        </w:rPr>
        <w:t>،</w:t>
      </w:r>
      <w:r w:rsidRPr="009235F0">
        <w:rPr>
          <w:rFonts w:ascii="Traditional Arabic" w:hAnsi="Traditional Arabic" w:hint="default"/>
          <w:sz w:val="30"/>
          <w:rtl/>
          <w:lang w:eastAsia="zh-TW"/>
        </w:rPr>
        <w:t xml:space="preserve"> </w:t>
      </w:r>
      <w:r>
        <w:rPr>
          <w:rFonts w:ascii="Traditional Arabic" w:hAnsi="Traditional Arabic"/>
          <w:sz w:val="30"/>
          <w:rtl/>
          <w:lang w:eastAsia="zh-TW"/>
        </w:rPr>
        <w:t>والتوقيف/الاحتجاز تعسفا</w:t>
      </w:r>
      <w:r w:rsidR="000231FD">
        <w:rPr>
          <w:rFonts w:ascii="Traditional Arabic" w:hAnsi="Traditional Arabic"/>
          <w:sz w:val="30"/>
          <w:rtl/>
          <w:lang w:eastAsia="zh-TW"/>
        </w:rPr>
        <w:t>ً</w:t>
      </w:r>
      <w:r>
        <w:rPr>
          <w:rFonts w:ascii="Traditional Arabic" w:hAnsi="Traditional Arabic"/>
          <w:sz w:val="30"/>
          <w:rtl/>
          <w:lang w:eastAsia="zh-TW"/>
        </w:rPr>
        <w:t>، والحق في الانتصاف</w:t>
      </w:r>
      <w:r w:rsidRPr="009235F0">
        <w:rPr>
          <w:rFonts w:ascii="Traditional Arabic" w:hAnsi="Traditional Arabic" w:hint="default"/>
          <w:sz w:val="30"/>
          <w:rtl/>
          <w:lang w:eastAsia="zh-TW"/>
        </w:rPr>
        <w:t xml:space="preserve">؛ </w:t>
      </w:r>
      <w:bookmarkEnd w:id="13"/>
      <w:r>
        <w:rPr>
          <w:rFonts w:ascii="Traditional Arabic" w:hAnsi="Traditional Arabic"/>
          <w:sz w:val="30"/>
          <w:rtl/>
          <w:lang w:eastAsia="zh-TW"/>
        </w:rPr>
        <w:t>الحق في الحياة</w:t>
      </w:r>
    </w:p>
    <w:p w:rsidR="00E30F6E" w:rsidRPr="009235F0" w:rsidRDefault="00E30F6E" w:rsidP="00E30F6E">
      <w:pPr>
        <w:pStyle w:val="SingleTxtG"/>
        <w:keepNext/>
        <w:bidi/>
        <w:spacing w:after="140" w:line="380" w:lineRule="exact"/>
        <w:ind w:left="4723" w:right="1247" w:hanging="2795"/>
        <w:jc w:val="lowKashida"/>
        <w:textDirection w:val="tbRlV"/>
        <w:rPr>
          <w:rFonts w:ascii="Traditional Arabic" w:hAnsi="Traditional Arabic" w:hint="default"/>
          <w:rtl/>
          <w:lang w:eastAsia="zh-TW"/>
        </w:rPr>
      </w:pPr>
      <w:bookmarkStart w:id="14" w:name="bookmark_23"/>
      <w:r w:rsidRPr="009235F0">
        <w:rPr>
          <w:rFonts w:ascii="Traditional Arabic" w:hAnsi="Traditional Arabic" w:hint="default"/>
          <w:i/>
          <w:iCs/>
          <w:rtl/>
          <w:lang w:eastAsia="zh-TW"/>
        </w:rPr>
        <w:t>مواد العهد:</w:t>
      </w:r>
      <w:r w:rsidRPr="009235F0">
        <w:rPr>
          <w:rFonts w:ascii="Traditional Arabic" w:hAnsi="Traditional Arabic" w:hint="default"/>
          <w:rtl/>
          <w:lang w:eastAsia="zh-TW"/>
        </w:rPr>
        <w:tab/>
      </w:r>
      <w:bookmarkEnd w:id="14"/>
      <w:r>
        <w:rPr>
          <w:rFonts w:ascii="Traditional Arabic" w:hAnsi="Traditional Arabic"/>
          <w:rtl/>
          <w:lang w:eastAsia="zh-TW"/>
        </w:rPr>
        <w:t xml:space="preserve">2(3) </w:t>
      </w:r>
      <w:proofErr w:type="spellStart"/>
      <w:r>
        <w:rPr>
          <w:rFonts w:ascii="Traditional Arabic" w:hAnsi="Traditional Arabic"/>
          <w:rtl/>
          <w:lang w:eastAsia="zh-TW"/>
        </w:rPr>
        <w:t>و6</w:t>
      </w:r>
      <w:proofErr w:type="spellEnd"/>
      <w:r>
        <w:rPr>
          <w:rFonts w:ascii="Traditional Arabic" w:hAnsi="Traditional Arabic"/>
          <w:rtl/>
          <w:lang w:eastAsia="zh-TW"/>
        </w:rPr>
        <w:t xml:space="preserve">(1) </w:t>
      </w:r>
      <w:proofErr w:type="spellStart"/>
      <w:r>
        <w:rPr>
          <w:rFonts w:ascii="Traditional Arabic" w:hAnsi="Traditional Arabic"/>
          <w:rtl/>
          <w:lang w:eastAsia="zh-TW"/>
        </w:rPr>
        <w:t>و7</w:t>
      </w:r>
      <w:proofErr w:type="spellEnd"/>
      <w:r>
        <w:rPr>
          <w:rFonts w:ascii="Traditional Arabic" w:hAnsi="Traditional Arabic"/>
          <w:rtl/>
          <w:lang w:eastAsia="zh-TW"/>
        </w:rPr>
        <w:t xml:space="preserve"> </w:t>
      </w:r>
      <w:proofErr w:type="spellStart"/>
      <w:r>
        <w:rPr>
          <w:rFonts w:ascii="Traditional Arabic" w:hAnsi="Traditional Arabic"/>
          <w:rtl/>
          <w:lang w:eastAsia="zh-TW"/>
        </w:rPr>
        <w:t>و9</w:t>
      </w:r>
      <w:proofErr w:type="spellEnd"/>
      <w:r>
        <w:rPr>
          <w:rFonts w:ascii="Traditional Arabic" w:hAnsi="Traditional Arabic"/>
          <w:rtl/>
          <w:lang w:eastAsia="zh-TW"/>
        </w:rPr>
        <w:t>(1) و(2)</w:t>
      </w:r>
    </w:p>
    <w:p w:rsidR="00E30F6E" w:rsidRPr="009235F0" w:rsidRDefault="00E30F6E" w:rsidP="00E30F6E">
      <w:pPr>
        <w:pStyle w:val="SingleTxtG"/>
        <w:bidi/>
        <w:spacing w:after="140" w:line="380" w:lineRule="exact"/>
        <w:ind w:left="4725" w:right="1247" w:hanging="2797"/>
        <w:jc w:val="lowKashida"/>
        <w:textDirection w:val="tbRlV"/>
        <w:rPr>
          <w:rFonts w:ascii="Traditional Arabic" w:hAnsi="Traditional Arabic" w:hint="default"/>
          <w:rtl/>
          <w:lang w:eastAsia="zh-TW"/>
        </w:rPr>
      </w:pPr>
      <w:bookmarkStart w:id="15" w:name="bookmark_24"/>
      <w:r w:rsidRPr="009235F0">
        <w:rPr>
          <w:rFonts w:ascii="Traditional Arabic" w:hAnsi="Traditional Arabic" w:hint="default"/>
          <w:i/>
          <w:iCs/>
          <w:rtl/>
          <w:lang w:eastAsia="zh-TW"/>
        </w:rPr>
        <w:t>مواد البروتوكول الاختياري:</w:t>
      </w:r>
      <w:r w:rsidRPr="009235F0">
        <w:rPr>
          <w:rFonts w:hAnsi="Times New Roman" w:cs="Times New Roman"/>
          <w:i/>
          <w:iCs/>
          <w:rtl/>
          <w:lang w:eastAsia="zh-TW"/>
        </w:rPr>
        <w:t>‬</w:t>
      </w:r>
      <w:r w:rsidRPr="009235F0">
        <w:rPr>
          <w:rFonts w:ascii="Traditional Arabic" w:hAnsi="Traditional Arabic" w:hint="default"/>
          <w:rtl/>
          <w:lang w:eastAsia="zh-TW"/>
        </w:rPr>
        <w:tab/>
      </w:r>
      <w:bookmarkEnd w:id="15"/>
      <w:r>
        <w:rPr>
          <w:rFonts w:ascii="Traditional Arabic" w:hAnsi="Traditional Arabic"/>
          <w:rtl/>
          <w:lang w:eastAsia="zh-TW"/>
        </w:rPr>
        <w:t>5(2)(ب)</w:t>
      </w:r>
    </w:p>
    <w:p w:rsidR="00E30F6E" w:rsidRPr="007030F5" w:rsidRDefault="00E30F6E" w:rsidP="0033414A">
      <w:pPr>
        <w:pStyle w:val="SingleTxtGA"/>
        <w:spacing w:after="140"/>
        <w:rPr>
          <w:rtl/>
          <w:lang w:eastAsia="zh-TW" w:bidi="ar-DZ"/>
        </w:rPr>
      </w:pPr>
      <w:bookmarkStart w:id="16" w:name="bookmark_25"/>
      <w:r>
        <w:rPr>
          <w:rtl/>
          <w:lang w:eastAsia="zh-TW"/>
        </w:rPr>
        <w:t>١-</w:t>
      </w:r>
      <w:r>
        <w:rPr>
          <w:rtl/>
          <w:lang w:eastAsia="zh-TW"/>
        </w:rPr>
        <w:tab/>
        <w:t>صاحب</w:t>
      </w:r>
      <w:r>
        <w:rPr>
          <w:rFonts w:hint="cs"/>
          <w:rtl/>
          <w:lang w:eastAsia="zh-TW"/>
        </w:rPr>
        <w:t>ة</w:t>
      </w:r>
      <w:r>
        <w:rPr>
          <w:rtl/>
          <w:lang w:eastAsia="zh-TW"/>
        </w:rPr>
        <w:t xml:space="preserve"> البلاغ ه</w:t>
      </w:r>
      <w:r>
        <w:rPr>
          <w:rFonts w:hint="cs"/>
          <w:rtl/>
          <w:lang w:eastAsia="zh-TW"/>
        </w:rPr>
        <w:t>ي</w:t>
      </w:r>
      <w:r>
        <w:rPr>
          <w:rtl/>
          <w:lang w:eastAsia="zh-TW"/>
        </w:rPr>
        <w:t xml:space="preserve"> </w:t>
      </w:r>
      <w:r>
        <w:rPr>
          <w:rFonts w:ascii="Traditional Arabic" w:hAnsi="Traditional Arabic"/>
          <w:sz w:val="30"/>
          <w:rtl/>
          <w:lang w:eastAsia="zh-TW"/>
        </w:rPr>
        <w:t xml:space="preserve">مدينة </w:t>
      </w:r>
      <w:proofErr w:type="spellStart"/>
      <w:r>
        <w:rPr>
          <w:rFonts w:ascii="Traditional Arabic" w:hAnsi="Traditional Arabic"/>
          <w:sz w:val="30"/>
          <w:rtl/>
          <w:lang w:eastAsia="zh-TW"/>
        </w:rPr>
        <w:t>ماغومادوفا</w:t>
      </w:r>
      <w:proofErr w:type="spellEnd"/>
      <w:r>
        <w:rPr>
          <w:rFonts w:hint="cs"/>
          <w:rtl/>
          <w:lang w:eastAsia="zh-TW"/>
        </w:rPr>
        <w:t>،</w:t>
      </w:r>
      <w:r>
        <w:rPr>
          <w:rtl/>
          <w:lang w:eastAsia="zh-TW"/>
        </w:rPr>
        <w:t xml:space="preserve"> </w:t>
      </w:r>
      <w:r>
        <w:rPr>
          <w:rFonts w:hint="cs"/>
          <w:rtl/>
          <w:lang w:eastAsia="zh-TW"/>
        </w:rPr>
        <w:t xml:space="preserve">وهي مواطنة روسية ولدت في عام 1954. </w:t>
      </w:r>
      <w:bookmarkEnd w:id="16"/>
      <w:r>
        <w:rPr>
          <w:rFonts w:hint="cs"/>
          <w:rtl/>
          <w:lang w:eastAsia="zh-TW"/>
        </w:rPr>
        <w:t xml:space="preserve">وتقدّم البلاغ باسمها وباسم شقيقها، </w:t>
      </w:r>
      <w:r>
        <w:rPr>
          <w:rFonts w:ascii="Traditional Arabic" w:hAnsi="Traditional Arabic"/>
          <w:sz w:val="30"/>
          <w:rtl/>
          <w:lang w:eastAsia="zh-TW"/>
        </w:rPr>
        <w:t xml:space="preserve">شمسي </w:t>
      </w:r>
      <w:proofErr w:type="spellStart"/>
      <w:r>
        <w:rPr>
          <w:rFonts w:ascii="Traditional Arabic" w:hAnsi="Traditional Arabic"/>
          <w:sz w:val="30"/>
          <w:rtl/>
          <w:lang w:eastAsia="zh-TW"/>
        </w:rPr>
        <w:t>ماغومادوف</w:t>
      </w:r>
      <w:proofErr w:type="spellEnd"/>
      <w:r>
        <w:rPr>
          <w:rFonts w:hint="cs"/>
          <w:rtl/>
          <w:lang w:eastAsia="zh-TW" w:bidi="ar-DZ"/>
        </w:rPr>
        <w:t>، وهو مواطن روسي ولد في عام</w:t>
      </w:r>
      <w:r w:rsidR="007030F5">
        <w:rPr>
          <w:rFonts w:hint="eastAsia"/>
          <w:rtl/>
          <w:lang w:eastAsia="zh-TW" w:bidi="ar-DZ"/>
        </w:rPr>
        <w:t> </w:t>
      </w:r>
      <w:r>
        <w:rPr>
          <w:rFonts w:hint="cs"/>
          <w:rtl/>
          <w:lang w:eastAsia="zh-TW" w:bidi="ar-DZ"/>
        </w:rPr>
        <w:t>1957. وتدعي صاحبة البلاغ أن الدولة الطرف انتهكت حقوقها بموجب المادة 7، وحقوق شقيقها بموجب المادة 6 والمادة 9(1) و(5) من العهد الدولي الخاص بالحقوق المدنية والسياسية. وقد دخل البروتوكول الاختياري حيز التنفيذ بالنسبة للاتحاد الروسي في 1 كانون الثاني/يناير 1992. وصاحبة البلاغ غير ممثّلة بمحامٍ</w:t>
      </w:r>
      <w:r w:rsidR="00C454CF" w:rsidRPr="00C454CF">
        <w:rPr>
          <w:rFonts w:hint="cs"/>
          <w:rtl/>
          <w:lang w:eastAsia="zh-TW" w:bidi="ar-DZ"/>
        </w:rPr>
        <w:t>.</w:t>
      </w:r>
    </w:p>
    <w:p w:rsidR="00E30F6E" w:rsidRPr="00302314" w:rsidRDefault="00E30F6E" w:rsidP="007030F5">
      <w:pPr>
        <w:pStyle w:val="H23GA"/>
        <w:rPr>
          <w:rtl/>
        </w:rPr>
      </w:pPr>
      <w:bookmarkStart w:id="17" w:name="bookmark_27"/>
      <w:r>
        <w:tab/>
      </w:r>
      <w:r>
        <w:tab/>
      </w:r>
      <w:r w:rsidRPr="004D6710">
        <w:rPr>
          <w:rtl/>
        </w:rPr>
        <w:t>الوقائع كما عرض</w:t>
      </w:r>
      <w:r>
        <w:rPr>
          <w:rFonts w:hint="cs"/>
          <w:rtl/>
        </w:rPr>
        <w:t>ت</w:t>
      </w:r>
      <w:r w:rsidRPr="004D6710">
        <w:rPr>
          <w:rtl/>
        </w:rPr>
        <w:t>ها صاحب</w:t>
      </w:r>
      <w:r>
        <w:rPr>
          <w:rFonts w:hint="cs"/>
          <w:rtl/>
        </w:rPr>
        <w:t>ة</w:t>
      </w:r>
      <w:r w:rsidRPr="004D6710">
        <w:rPr>
          <w:rtl/>
        </w:rPr>
        <w:t xml:space="preserve"> البلاغ</w:t>
      </w:r>
      <w:r>
        <w:rPr>
          <w:rFonts w:cs="Times New Roman" w:hint="cs"/>
          <w:rtl/>
        </w:rPr>
        <w:t>‬</w:t>
      </w:r>
      <w:bookmarkEnd w:id="17"/>
      <w:r>
        <w:t>‬</w:t>
      </w:r>
      <w:r>
        <w:t>‬</w:t>
      </w:r>
    </w:p>
    <w:p w:rsidR="00E30F6E" w:rsidRPr="00302314" w:rsidRDefault="00E30F6E" w:rsidP="0033414A">
      <w:pPr>
        <w:pStyle w:val="SingleTxtGA"/>
        <w:rPr>
          <w:rtl/>
          <w:lang w:eastAsia="zh-TW"/>
        </w:rPr>
      </w:pPr>
      <w:bookmarkStart w:id="18" w:name="bookmark_28"/>
      <w:r>
        <w:rPr>
          <w:rtl/>
          <w:lang w:eastAsia="zh-TW"/>
        </w:rPr>
        <w:t>٢-١</w:t>
      </w:r>
      <w:r>
        <w:rPr>
          <w:rtl/>
          <w:lang w:eastAsia="zh-TW"/>
        </w:rPr>
        <w:tab/>
      </w:r>
      <w:bookmarkEnd w:id="18"/>
      <w:r>
        <w:rPr>
          <w:rFonts w:hint="cs"/>
          <w:rtl/>
          <w:lang w:eastAsia="zh-TW"/>
        </w:rPr>
        <w:t xml:space="preserve">في 9 كانون الثاني/يناير 1995، أُلقي القبض على شقيق صاحبة البلاغ في مدينة غروزني، بجمهورية الشيشان، على أيدي القوات العسكرية الروسية. وراحت صاحبة البلاغ وأمها، من عام 1995 إلى عام 2004، تطلبان معلومات من مختلف السلطات المعنية بإنفاذ القانون والهيئات العمومية من أجل تحديد مكان وجود السيد </w:t>
      </w:r>
      <w:proofErr w:type="spellStart"/>
      <w:r>
        <w:rPr>
          <w:rFonts w:hint="cs"/>
          <w:rtl/>
          <w:lang w:eastAsia="zh-TW"/>
        </w:rPr>
        <w:t>ماغومادوف</w:t>
      </w:r>
      <w:proofErr w:type="spellEnd"/>
      <w:r>
        <w:rPr>
          <w:rFonts w:hint="cs"/>
          <w:rtl/>
          <w:lang w:eastAsia="zh-TW"/>
        </w:rPr>
        <w:t xml:space="preserve">، لكن بدون جدوى. </w:t>
      </w:r>
    </w:p>
    <w:p w:rsidR="00E30F6E" w:rsidRPr="009577FE" w:rsidRDefault="00E30F6E" w:rsidP="0033414A">
      <w:pPr>
        <w:pStyle w:val="SingleTxtGA"/>
        <w:rPr>
          <w:rFonts w:hint="cs"/>
          <w:rtl/>
          <w:lang w:eastAsia="zh-TW"/>
        </w:rPr>
      </w:pPr>
      <w:bookmarkStart w:id="19" w:name="bookmark_29"/>
      <w:r w:rsidRPr="0033414A">
        <w:rPr>
          <w:spacing w:val="-2"/>
          <w:rtl/>
          <w:lang w:eastAsia="zh-TW"/>
        </w:rPr>
        <w:t>٢-٢</w:t>
      </w:r>
      <w:r w:rsidRPr="0033414A">
        <w:rPr>
          <w:spacing w:val="-2"/>
          <w:rtl/>
          <w:lang w:eastAsia="zh-TW"/>
        </w:rPr>
        <w:tab/>
      </w:r>
      <w:bookmarkEnd w:id="19"/>
      <w:r w:rsidRPr="0033414A">
        <w:rPr>
          <w:rFonts w:hint="cs"/>
          <w:spacing w:val="-2"/>
          <w:rtl/>
          <w:lang w:eastAsia="zh-TW"/>
        </w:rPr>
        <w:t>وعلمت صاحبة البلاغ في وقت ما من عام 1995 أن شقيقها كان محتجزا</w:t>
      </w:r>
      <w:r w:rsidR="00AE6F1D">
        <w:rPr>
          <w:rFonts w:hint="cs"/>
          <w:spacing w:val="-2"/>
          <w:rtl/>
          <w:lang w:eastAsia="zh-TW"/>
        </w:rPr>
        <w:t>ً</w:t>
      </w:r>
      <w:r w:rsidRPr="0033414A">
        <w:rPr>
          <w:rFonts w:hint="cs"/>
          <w:spacing w:val="-2"/>
          <w:rtl/>
          <w:lang w:eastAsia="zh-TW"/>
        </w:rPr>
        <w:t xml:space="preserve"> في السجن رقم 5 في </w:t>
      </w:r>
      <w:proofErr w:type="spellStart"/>
      <w:r w:rsidRPr="0033414A">
        <w:rPr>
          <w:rFonts w:hint="cs"/>
          <w:spacing w:val="-2"/>
          <w:rtl/>
          <w:lang w:eastAsia="zh-TW"/>
        </w:rPr>
        <w:t>ستافروبول</w:t>
      </w:r>
      <w:proofErr w:type="spellEnd"/>
      <w:r w:rsidRPr="0033414A">
        <w:rPr>
          <w:rFonts w:hint="cs"/>
          <w:spacing w:val="-2"/>
          <w:rtl/>
          <w:lang w:eastAsia="zh-TW"/>
        </w:rPr>
        <w:t>، بالاتحاد الروسي</w:t>
      </w:r>
      <w:r w:rsidR="00C454CF" w:rsidRPr="00AE6F1D">
        <w:rPr>
          <w:rStyle w:val="FootnoteReference"/>
          <w:spacing w:val="-2"/>
          <w:sz w:val="20"/>
          <w:szCs w:val="30"/>
          <w:rtl/>
          <w:lang w:eastAsia="zh-TW"/>
        </w:rPr>
        <w:t>(</w:t>
      </w:r>
      <w:r w:rsidR="00C454CF" w:rsidRPr="00AE6F1D">
        <w:rPr>
          <w:rStyle w:val="FootnoteReference"/>
          <w:spacing w:val="-2"/>
          <w:sz w:val="20"/>
          <w:szCs w:val="30"/>
          <w:rtl/>
          <w:lang w:eastAsia="zh-TW"/>
        </w:rPr>
        <w:footnoteReference w:id="3"/>
      </w:r>
      <w:r w:rsidR="00C454CF" w:rsidRPr="00AE6F1D">
        <w:rPr>
          <w:rStyle w:val="FootnoteReference"/>
          <w:spacing w:val="-2"/>
          <w:sz w:val="20"/>
          <w:szCs w:val="30"/>
          <w:rtl/>
          <w:lang w:eastAsia="zh-TW"/>
        </w:rPr>
        <w:t>)</w:t>
      </w:r>
      <w:r w:rsidR="00C454CF" w:rsidRPr="0033414A">
        <w:rPr>
          <w:rFonts w:hint="cs"/>
          <w:spacing w:val="-2"/>
          <w:rtl/>
          <w:lang w:eastAsia="zh-TW"/>
        </w:rPr>
        <w:t xml:space="preserve">. </w:t>
      </w:r>
      <w:r w:rsidRPr="0033414A">
        <w:rPr>
          <w:rFonts w:hint="cs"/>
          <w:spacing w:val="-2"/>
          <w:rtl/>
          <w:lang w:eastAsia="zh-TW"/>
        </w:rPr>
        <w:t>وأبلغت لجنة البحث والتبادل في مقر القوات العسكرية الروسية في غروزني صاحبة الباغ أن أخاها حُكم عليه بالسجن 14 عاما</w:t>
      </w:r>
      <w:r w:rsidR="00AE6F1D">
        <w:rPr>
          <w:rFonts w:hint="cs"/>
          <w:spacing w:val="-2"/>
          <w:rtl/>
          <w:lang w:eastAsia="zh-TW"/>
        </w:rPr>
        <w:t>ً</w:t>
      </w:r>
      <w:r w:rsidRPr="0033414A">
        <w:rPr>
          <w:rFonts w:hint="cs"/>
          <w:spacing w:val="-2"/>
          <w:rtl/>
          <w:lang w:eastAsia="zh-TW"/>
        </w:rPr>
        <w:t xml:space="preserve"> لكنه لم يصل قط إلى المكان الذي كان من المفترض أن يقضي فيه عقوبته. وفي 13 كانون الثاني/يناير 1997، تلقت صاحبة البلاغ رسالة من مكتب المدعي العام الإقليمي لمنطقة القوقاز لإحاطتها علما</w:t>
      </w:r>
      <w:r w:rsidR="00AE6F1D">
        <w:rPr>
          <w:rFonts w:hint="cs"/>
          <w:spacing w:val="-2"/>
          <w:rtl/>
          <w:lang w:eastAsia="zh-TW"/>
        </w:rPr>
        <w:t>ً</w:t>
      </w:r>
      <w:r w:rsidRPr="0033414A">
        <w:rPr>
          <w:rFonts w:hint="cs"/>
          <w:spacing w:val="-2"/>
          <w:rtl/>
          <w:lang w:eastAsia="zh-TW"/>
        </w:rPr>
        <w:t xml:space="preserve"> بفتح قضية جنائية تتعلق بالقبض على مواطنين شيشانيين واحتجازهم بصورة غير قانونية</w:t>
      </w:r>
      <w:r w:rsidR="00C454CF" w:rsidRPr="00AE6F1D">
        <w:rPr>
          <w:rStyle w:val="FootnoteReference"/>
          <w:spacing w:val="-2"/>
          <w:sz w:val="20"/>
          <w:szCs w:val="30"/>
          <w:rtl/>
          <w:lang w:eastAsia="zh-TW"/>
        </w:rPr>
        <w:t>(</w:t>
      </w:r>
      <w:r w:rsidR="00C454CF" w:rsidRPr="00AE6F1D">
        <w:rPr>
          <w:rStyle w:val="FootnoteReference"/>
          <w:spacing w:val="-2"/>
          <w:sz w:val="20"/>
          <w:szCs w:val="30"/>
          <w:rtl/>
          <w:lang w:eastAsia="zh-TW"/>
        </w:rPr>
        <w:footnoteReference w:id="4"/>
      </w:r>
      <w:r w:rsidR="00C454CF" w:rsidRPr="00AE6F1D">
        <w:rPr>
          <w:rStyle w:val="FootnoteReference"/>
          <w:spacing w:val="-2"/>
          <w:sz w:val="20"/>
          <w:szCs w:val="30"/>
          <w:rtl/>
          <w:lang w:eastAsia="zh-TW"/>
        </w:rPr>
        <w:t>)</w:t>
      </w:r>
      <w:r w:rsidR="0033414A" w:rsidRPr="0033414A">
        <w:rPr>
          <w:rFonts w:hint="cs"/>
          <w:spacing w:val="-2"/>
          <w:rtl/>
          <w:lang w:eastAsia="zh-TW"/>
        </w:rPr>
        <w:t xml:space="preserve">. </w:t>
      </w:r>
      <w:r w:rsidRPr="0033414A">
        <w:rPr>
          <w:rFonts w:hint="cs"/>
          <w:spacing w:val="-2"/>
          <w:rtl/>
          <w:lang w:eastAsia="zh-TW"/>
        </w:rPr>
        <w:t xml:space="preserve">وفي 10 </w:t>
      </w:r>
      <w:r w:rsidRPr="009577FE">
        <w:rPr>
          <w:rFonts w:hint="cs"/>
          <w:rtl/>
          <w:lang w:eastAsia="zh-TW"/>
        </w:rPr>
        <w:t>آذار/مارس 1997، أحاط مكتب المدعي العام الإقليمي لمنطقة القوقاز صاحبة البلاغ علما</w:t>
      </w:r>
      <w:r w:rsidR="00AE6F1D">
        <w:rPr>
          <w:rFonts w:hint="cs"/>
          <w:rtl/>
          <w:lang w:eastAsia="zh-TW"/>
        </w:rPr>
        <w:t>ً</w:t>
      </w:r>
      <w:r w:rsidRPr="009577FE">
        <w:rPr>
          <w:rFonts w:hint="cs"/>
          <w:rtl/>
          <w:lang w:eastAsia="zh-TW"/>
        </w:rPr>
        <w:t xml:space="preserve"> أن شقيقها ألقي عليه القبض في غروزني في 9 كانون الثاني/يناير 1995 على أيدي القوات العسكرية الاتحادية واحتُجز في سجن مدينة </w:t>
      </w:r>
      <w:proofErr w:type="spellStart"/>
      <w:r w:rsidRPr="009577FE">
        <w:rPr>
          <w:rFonts w:hint="cs"/>
          <w:rtl/>
          <w:lang w:eastAsia="zh-TW"/>
        </w:rPr>
        <w:t>موزدوك</w:t>
      </w:r>
      <w:proofErr w:type="spellEnd"/>
      <w:r w:rsidRPr="009577FE">
        <w:rPr>
          <w:rFonts w:hint="cs"/>
          <w:rtl/>
          <w:lang w:eastAsia="zh-TW"/>
        </w:rPr>
        <w:t xml:space="preserve">، شمال </w:t>
      </w:r>
      <w:proofErr w:type="spellStart"/>
      <w:r w:rsidRPr="009577FE">
        <w:rPr>
          <w:rFonts w:hint="cs"/>
          <w:rtl/>
          <w:lang w:eastAsia="zh-TW"/>
        </w:rPr>
        <w:t>أوسيتيا</w:t>
      </w:r>
      <w:proofErr w:type="spellEnd"/>
      <w:r w:rsidR="009577FE" w:rsidRPr="009577FE">
        <w:rPr>
          <w:rFonts w:hint="cs"/>
          <w:rtl/>
          <w:lang w:eastAsia="zh-TW"/>
        </w:rPr>
        <w:t xml:space="preserve"> </w:t>
      </w:r>
      <w:r w:rsidRPr="009577FE">
        <w:rPr>
          <w:rFonts w:hint="cs"/>
          <w:rtl/>
          <w:lang w:eastAsia="zh-TW"/>
        </w:rPr>
        <w:t>-</w:t>
      </w:r>
      <w:r w:rsidR="009577FE" w:rsidRPr="009577FE">
        <w:rPr>
          <w:rFonts w:hint="cs"/>
          <w:rtl/>
          <w:lang w:eastAsia="zh-TW"/>
        </w:rPr>
        <w:t xml:space="preserve"> </w:t>
      </w:r>
      <w:r w:rsidRPr="009577FE">
        <w:rPr>
          <w:rFonts w:hint="cs"/>
          <w:rtl/>
          <w:lang w:eastAsia="zh-TW"/>
        </w:rPr>
        <w:t>ألانيا، إلى غاية 3 شباط/فبراير 1995 حين أُفرج عنه.</w:t>
      </w:r>
    </w:p>
    <w:p w:rsidR="00E30F6E" w:rsidRPr="00302314" w:rsidRDefault="00E30F6E" w:rsidP="0033414A">
      <w:pPr>
        <w:pStyle w:val="SingleTxtGA"/>
        <w:rPr>
          <w:rFonts w:hint="cs"/>
          <w:rtl/>
          <w:lang w:eastAsia="zh-TW"/>
        </w:rPr>
      </w:pPr>
      <w:bookmarkStart w:id="20" w:name="bookmark_34"/>
      <w:r>
        <w:rPr>
          <w:rtl/>
          <w:lang w:eastAsia="zh-TW"/>
        </w:rPr>
        <w:t>٢-٣</w:t>
      </w:r>
      <w:r>
        <w:rPr>
          <w:rtl/>
          <w:lang w:eastAsia="zh-TW"/>
        </w:rPr>
        <w:tab/>
      </w:r>
      <w:bookmarkEnd w:id="20"/>
      <w:r>
        <w:rPr>
          <w:rFonts w:hint="cs"/>
          <w:rtl/>
          <w:lang w:eastAsia="zh-TW"/>
        </w:rPr>
        <w:t xml:space="preserve">وفي 4 تموز/يوليه 2000، تلقت صاحبة البلاغ رداً من وحدة التحقيقات الجنائية التابعة لشرطة منطقة </w:t>
      </w:r>
      <w:proofErr w:type="spellStart"/>
      <w:r>
        <w:rPr>
          <w:rFonts w:hint="cs"/>
          <w:rtl/>
          <w:lang w:eastAsia="zh-TW"/>
        </w:rPr>
        <w:t>تشيليابينسكي</w:t>
      </w:r>
      <w:proofErr w:type="spellEnd"/>
      <w:r>
        <w:rPr>
          <w:rFonts w:hint="cs"/>
          <w:rtl/>
          <w:lang w:eastAsia="zh-TW"/>
        </w:rPr>
        <w:t xml:space="preserve"> مؤداه أن شقيقها لم يكن محتجزا</w:t>
      </w:r>
      <w:r w:rsidR="00AE6F1D">
        <w:rPr>
          <w:rFonts w:hint="cs"/>
          <w:rtl/>
          <w:lang w:eastAsia="zh-TW"/>
        </w:rPr>
        <w:t>ً</w:t>
      </w:r>
      <w:r>
        <w:rPr>
          <w:rFonts w:hint="cs"/>
          <w:rtl/>
          <w:lang w:eastAsia="zh-TW"/>
        </w:rPr>
        <w:t xml:space="preserve"> في أيٍّ من سجون تلك المنطقة من الاتحاد الروسي. وفي 12 تشرين الأول/أكتوبر 2004، تلقت صاحبة البلاغ رسالة من برلمان الاتحاد الروسي (الدوما) جاء فيها أن طلبها للحصول على معلومات قد أُرسل إلى وزارة العدل في الاتحاد الروسي</w:t>
      </w:r>
      <w:r w:rsidR="00C454CF" w:rsidRPr="00AE6F1D">
        <w:rPr>
          <w:rStyle w:val="FootnoteReference"/>
          <w:sz w:val="20"/>
          <w:szCs w:val="30"/>
          <w:rtl/>
          <w:lang w:eastAsia="zh-TW"/>
        </w:rPr>
        <w:t>(</w:t>
      </w:r>
      <w:r w:rsidR="00C454CF" w:rsidRPr="00AE6F1D">
        <w:rPr>
          <w:rStyle w:val="FootnoteReference"/>
          <w:sz w:val="20"/>
          <w:szCs w:val="30"/>
          <w:rtl/>
          <w:lang w:eastAsia="zh-TW"/>
        </w:rPr>
        <w:footnoteReference w:id="5"/>
      </w:r>
      <w:r w:rsidR="00C454CF" w:rsidRPr="00AE6F1D">
        <w:rPr>
          <w:rStyle w:val="FootnoteReference"/>
          <w:sz w:val="20"/>
          <w:szCs w:val="30"/>
          <w:rtl/>
          <w:lang w:eastAsia="zh-TW"/>
        </w:rPr>
        <w:t>)</w:t>
      </w:r>
      <w:r w:rsidR="00C454CF">
        <w:rPr>
          <w:rFonts w:hint="cs"/>
          <w:rtl/>
          <w:lang w:eastAsia="zh-TW"/>
        </w:rPr>
        <w:t xml:space="preserve">. </w:t>
      </w:r>
    </w:p>
    <w:p w:rsidR="00E30F6E" w:rsidRPr="00302314" w:rsidRDefault="00E30F6E" w:rsidP="0033414A">
      <w:pPr>
        <w:pStyle w:val="SingleTxtGA"/>
        <w:pageBreakBefore/>
        <w:rPr>
          <w:rtl/>
          <w:lang w:eastAsia="zh-TW"/>
        </w:rPr>
      </w:pPr>
      <w:bookmarkStart w:id="21" w:name="bookmark_35"/>
      <w:r>
        <w:rPr>
          <w:rtl/>
          <w:lang w:eastAsia="zh-TW"/>
        </w:rPr>
        <w:t>٢-٤</w:t>
      </w:r>
      <w:r>
        <w:rPr>
          <w:rtl/>
          <w:lang w:eastAsia="zh-TW"/>
        </w:rPr>
        <w:tab/>
      </w:r>
      <w:bookmarkEnd w:id="21"/>
      <w:r>
        <w:rPr>
          <w:rFonts w:hint="cs"/>
          <w:rtl/>
          <w:lang w:eastAsia="zh-TW"/>
        </w:rPr>
        <w:t>وفي 2 تموز/يوليه 2010، قدمت صاحب البلاغ التماسا</w:t>
      </w:r>
      <w:r w:rsidR="009577FE">
        <w:rPr>
          <w:rFonts w:hint="cs"/>
          <w:rtl/>
          <w:lang w:eastAsia="zh-TW"/>
        </w:rPr>
        <w:t>ً</w:t>
      </w:r>
      <w:r>
        <w:rPr>
          <w:rFonts w:hint="cs"/>
          <w:rtl/>
          <w:lang w:eastAsia="zh-TW"/>
        </w:rPr>
        <w:t xml:space="preserve"> إلى مكتب المدعي العام في</w:t>
      </w:r>
      <w:r w:rsidR="0033414A">
        <w:rPr>
          <w:rFonts w:hint="eastAsia"/>
          <w:rtl/>
          <w:lang w:eastAsia="zh-TW"/>
        </w:rPr>
        <w:t> </w:t>
      </w:r>
      <w:r>
        <w:rPr>
          <w:rFonts w:hint="cs"/>
          <w:rtl/>
          <w:lang w:eastAsia="zh-TW"/>
        </w:rPr>
        <w:t>غروزني تطلب فيه إعادة فتح التحقيق الجنائي الخاص بادعاء قتل شقيقها. وفي 15 أيار/</w:t>
      </w:r>
      <w:r w:rsidR="0033414A">
        <w:rPr>
          <w:rFonts w:hint="cs"/>
          <w:rtl/>
          <w:lang w:eastAsia="zh-TW"/>
        </w:rPr>
        <w:t xml:space="preserve"> </w:t>
      </w:r>
      <w:r>
        <w:rPr>
          <w:rFonts w:hint="cs"/>
          <w:rtl/>
          <w:lang w:eastAsia="zh-TW"/>
        </w:rPr>
        <w:t>مايو</w:t>
      </w:r>
      <w:r w:rsidR="0033414A">
        <w:rPr>
          <w:rFonts w:hint="eastAsia"/>
          <w:rtl/>
          <w:lang w:eastAsia="zh-TW"/>
        </w:rPr>
        <w:t> </w:t>
      </w:r>
      <w:r>
        <w:rPr>
          <w:rFonts w:hint="cs"/>
          <w:rtl/>
          <w:lang w:eastAsia="zh-TW"/>
        </w:rPr>
        <w:t xml:space="preserve">2011، رفض مكتب المدعي العام الطلب، على أساس أن المهلة لفتح تحقيق في عملية قتل قد انقضت في كانون الثاني/يناير 2010.  </w:t>
      </w:r>
    </w:p>
    <w:p w:rsidR="00E30F6E" w:rsidRPr="00302314" w:rsidRDefault="00E30F6E" w:rsidP="00E30F6E">
      <w:pPr>
        <w:pStyle w:val="SingleTxtGA"/>
        <w:rPr>
          <w:rtl/>
          <w:lang w:eastAsia="zh-TW"/>
        </w:rPr>
      </w:pPr>
      <w:bookmarkStart w:id="22" w:name="bookmark_36"/>
      <w:r>
        <w:rPr>
          <w:rtl/>
          <w:lang w:eastAsia="zh-TW"/>
        </w:rPr>
        <w:t>٢-٥</w:t>
      </w:r>
      <w:r>
        <w:rPr>
          <w:rtl/>
          <w:lang w:eastAsia="zh-TW"/>
        </w:rPr>
        <w:tab/>
      </w:r>
      <w:bookmarkEnd w:id="22"/>
      <w:r>
        <w:rPr>
          <w:rFonts w:hint="cs"/>
          <w:rtl/>
          <w:lang w:eastAsia="zh-TW"/>
        </w:rPr>
        <w:t xml:space="preserve">وطعنت صاحبة البلاغ في قرار مكتب المدعي العام في غروزني أمام المحكمة. وفي 9 أيلول/سبتمبر 2011، أكّدت محكمة </w:t>
      </w:r>
      <w:proofErr w:type="spellStart"/>
      <w:r>
        <w:rPr>
          <w:rFonts w:hint="cs"/>
          <w:rtl/>
          <w:lang w:eastAsia="zh-TW"/>
        </w:rPr>
        <w:t>ستاروبروميسلوفسكي</w:t>
      </w:r>
      <w:proofErr w:type="spellEnd"/>
      <w:r>
        <w:rPr>
          <w:rFonts w:hint="cs"/>
          <w:rtl/>
          <w:lang w:eastAsia="zh-TW"/>
        </w:rPr>
        <w:t xml:space="preserve"> المحلية في غروزني قرار مكتب المدعي العام. وجادلت صاحبة البلاغ أنها متأكدة من أن التحقيق الجنائي قد فُتح في عام</w:t>
      </w:r>
      <w:r w:rsidR="0033414A">
        <w:rPr>
          <w:rFonts w:hint="eastAsia"/>
          <w:rtl/>
          <w:lang w:eastAsia="zh-TW"/>
        </w:rPr>
        <w:t> </w:t>
      </w:r>
      <w:r>
        <w:rPr>
          <w:rFonts w:hint="cs"/>
          <w:rtl/>
          <w:lang w:eastAsia="zh-TW"/>
        </w:rPr>
        <w:t>1995 عندما قدمت التماسها الأول إلى مكتب المدعي العام بشأن اختفاء شقيقها</w:t>
      </w:r>
      <w:r w:rsidR="00C454CF">
        <w:rPr>
          <w:rStyle w:val="FootnoteReference"/>
          <w:rtl/>
          <w:lang w:eastAsia="zh-TW"/>
        </w:rPr>
        <w:t>(</w:t>
      </w:r>
      <w:r w:rsidR="00C454CF">
        <w:rPr>
          <w:rStyle w:val="FootnoteReference"/>
          <w:rtl/>
          <w:lang w:eastAsia="zh-TW"/>
        </w:rPr>
        <w:footnoteReference w:id="6"/>
      </w:r>
      <w:r w:rsidR="00C454CF">
        <w:rPr>
          <w:rStyle w:val="FootnoteReference"/>
          <w:rtl/>
          <w:lang w:eastAsia="zh-TW"/>
        </w:rPr>
        <w:t>)</w:t>
      </w:r>
      <w:r w:rsidR="00C454CF">
        <w:rPr>
          <w:rFonts w:hint="cs"/>
          <w:rtl/>
          <w:lang w:eastAsia="zh-TW"/>
        </w:rPr>
        <w:t xml:space="preserve">. </w:t>
      </w:r>
      <w:r>
        <w:rPr>
          <w:rFonts w:hint="cs"/>
          <w:rtl/>
          <w:lang w:eastAsia="zh-TW"/>
        </w:rPr>
        <w:t xml:space="preserve">واستأنفت صاحبة البلاغ على قرار المحكمة أمام المحكمة العليا لجمهورية الشيشان. وفي 19 تشرين الأول/أكتوبر 2011، رُفض استئنافها. </w:t>
      </w:r>
    </w:p>
    <w:p w:rsidR="00E30F6E" w:rsidRPr="00CD4B99" w:rsidRDefault="00E30F6E" w:rsidP="00E30F6E">
      <w:pPr>
        <w:pStyle w:val="H23GA"/>
        <w:rPr>
          <w:rtl/>
        </w:rPr>
      </w:pPr>
      <w:bookmarkStart w:id="23" w:name="bookmark_43"/>
      <w:r>
        <w:tab/>
      </w:r>
      <w:r>
        <w:tab/>
      </w:r>
      <w:r w:rsidRPr="00CD4B99">
        <w:rPr>
          <w:rtl/>
        </w:rPr>
        <w:t>الشكوى</w:t>
      </w:r>
      <w:bookmarkEnd w:id="23"/>
    </w:p>
    <w:p w:rsidR="00E30F6E" w:rsidRPr="00302314" w:rsidRDefault="00E30F6E" w:rsidP="00E30F6E">
      <w:pPr>
        <w:pStyle w:val="SingleTxtGA"/>
        <w:rPr>
          <w:rFonts w:hint="cs"/>
          <w:rtl/>
          <w:lang w:eastAsia="zh-TW"/>
        </w:rPr>
      </w:pPr>
      <w:bookmarkStart w:id="24" w:name="bookmark_44"/>
      <w:r>
        <w:rPr>
          <w:rtl/>
          <w:lang w:eastAsia="zh-TW"/>
        </w:rPr>
        <w:t>٣-١</w:t>
      </w:r>
      <w:r>
        <w:rPr>
          <w:rtl/>
          <w:lang w:eastAsia="zh-TW"/>
        </w:rPr>
        <w:tab/>
      </w:r>
      <w:bookmarkEnd w:id="24"/>
      <w:r>
        <w:rPr>
          <w:rFonts w:hint="cs"/>
          <w:rtl/>
          <w:lang w:eastAsia="zh-TW"/>
        </w:rPr>
        <w:t>تدّعي صاحبة البلاغ أن ملابسات احتجاز شقيقها واختفائه تتيح أسسا</w:t>
      </w:r>
      <w:r w:rsidR="009577FE">
        <w:rPr>
          <w:rFonts w:hint="cs"/>
          <w:rtl/>
          <w:lang w:eastAsia="zh-TW"/>
        </w:rPr>
        <w:t>ً</w:t>
      </w:r>
      <w:r>
        <w:rPr>
          <w:rFonts w:hint="cs"/>
          <w:rtl/>
          <w:lang w:eastAsia="zh-TW"/>
        </w:rPr>
        <w:t xml:space="preserve"> معقولة تحمل على الاعتقاد أن القوات العسكرية الروسية قتلته عمدا</w:t>
      </w:r>
      <w:r w:rsidR="009577FE">
        <w:rPr>
          <w:rFonts w:hint="cs"/>
          <w:rtl/>
          <w:lang w:eastAsia="zh-TW"/>
        </w:rPr>
        <w:t>ً</w:t>
      </w:r>
      <w:r>
        <w:rPr>
          <w:rFonts w:hint="cs"/>
          <w:rtl/>
          <w:lang w:eastAsia="zh-TW"/>
        </w:rPr>
        <w:t xml:space="preserve"> وبغير وجه حق، وهو ما يشكل انتهاكا</w:t>
      </w:r>
      <w:r w:rsidR="00411587">
        <w:rPr>
          <w:rFonts w:hint="cs"/>
          <w:rtl/>
          <w:lang w:eastAsia="zh-TW"/>
        </w:rPr>
        <w:t>ً</w:t>
      </w:r>
      <w:r>
        <w:rPr>
          <w:rFonts w:hint="cs"/>
          <w:rtl/>
          <w:lang w:eastAsia="zh-TW"/>
        </w:rPr>
        <w:t xml:space="preserve"> للمادة 6(1) من العهد.</w:t>
      </w:r>
    </w:p>
    <w:p w:rsidR="00E30F6E" w:rsidRPr="00302314" w:rsidRDefault="00E30F6E" w:rsidP="00E30F6E">
      <w:pPr>
        <w:pStyle w:val="SingleTxtGA"/>
        <w:rPr>
          <w:lang w:eastAsia="zh-TW"/>
        </w:rPr>
      </w:pPr>
      <w:bookmarkStart w:id="25" w:name="bookmark_45"/>
      <w:r>
        <w:rPr>
          <w:rtl/>
          <w:lang w:eastAsia="zh-TW"/>
        </w:rPr>
        <w:t>٣-٢</w:t>
      </w:r>
      <w:r>
        <w:rPr>
          <w:rtl/>
          <w:lang w:eastAsia="zh-TW"/>
        </w:rPr>
        <w:tab/>
      </w:r>
      <w:bookmarkEnd w:id="25"/>
      <w:r>
        <w:rPr>
          <w:rFonts w:hint="cs"/>
          <w:rtl/>
          <w:lang w:eastAsia="zh-TW"/>
        </w:rPr>
        <w:t>وتذكر صاحبة البلاغ أن شقيقها كان محتجزا</w:t>
      </w:r>
      <w:r w:rsidR="0033414A">
        <w:rPr>
          <w:rFonts w:hint="cs"/>
          <w:rtl/>
          <w:lang w:eastAsia="zh-TW"/>
        </w:rPr>
        <w:t>ً</w:t>
      </w:r>
      <w:r>
        <w:rPr>
          <w:rFonts w:hint="cs"/>
          <w:rtl/>
          <w:lang w:eastAsia="zh-TW"/>
        </w:rPr>
        <w:t xml:space="preserve"> واختطف في إقليم يقع فعليا</w:t>
      </w:r>
      <w:r w:rsidR="0033414A">
        <w:rPr>
          <w:rFonts w:hint="cs"/>
          <w:rtl/>
          <w:lang w:eastAsia="zh-TW"/>
        </w:rPr>
        <w:t>ً</w:t>
      </w:r>
      <w:r>
        <w:rPr>
          <w:rFonts w:hint="cs"/>
          <w:rtl/>
          <w:lang w:eastAsia="zh-TW"/>
        </w:rPr>
        <w:t xml:space="preserve"> تحت سيطرة الدولة الطرف وأن مصيره لا يزال مجهولا</w:t>
      </w:r>
      <w:r w:rsidR="0033414A">
        <w:rPr>
          <w:rFonts w:hint="cs"/>
          <w:rtl/>
          <w:lang w:eastAsia="zh-TW"/>
        </w:rPr>
        <w:t>ً</w:t>
      </w:r>
      <w:r>
        <w:rPr>
          <w:rFonts w:hint="cs"/>
          <w:rtl/>
          <w:lang w:eastAsia="zh-TW"/>
        </w:rPr>
        <w:t>. وتدّعي وقوع انتهاكات للمادة 9(1) والمادة 9(5) من العهد في هذا الصدد.</w:t>
      </w:r>
    </w:p>
    <w:p w:rsidR="00E30F6E" w:rsidRPr="00302314" w:rsidRDefault="00E30F6E" w:rsidP="00E30F6E">
      <w:pPr>
        <w:pStyle w:val="SingleTxtGA"/>
        <w:rPr>
          <w:lang w:eastAsia="zh-TW"/>
        </w:rPr>
      </w:pPr>
      <w:bookmarkStart w:id="26" w:name="bookmark_50"/>
      <w:r>
        <w:rPr>
          <w:rtl/>
          <w:lang w:eastAsia="zh-TW"/>
        </w:rPr>
        <w:t>٣-٣</w:t>
      </w:r>
      <w:r>
        <w:rPr>
          <w:rtl/>
          <w:lang w:eastAsia="zh-TW"/>
        </w:rPr>
        <w:tab/>
      </w:r>
      <w:bookmarkEnd w:id="26"/>
      <w:r>
        <w:rPr>
          <w:rFonts w:hint="cs"/>
          <w:rtl/>
          <w:lang w:eastAsia="zh-TW"/>
        </w:rPr>
        <w:t>وقد أدى عدم اكتراث سلطات الدولة الطرف الواضح باختفاء شقيق صاحبة البلاغ إلى إلحاق الألم والمعاناة النفسية بها مما يمكن أن يوصف بأنه سوء معاملة، وفي ذلك انتهاك للمادة 7 من العهد.</w:t>
      </w:r>
    </w:p>
    <w:p w:rsidR="00E30F6E" w:rsidRPr="00302314" w:rsidRDefault="00E30F6E" w:rsidP="00E30F6E">
      <w:pPr>
        <w:pStyle w:val="SingleTxtGA"/>
        <w:rPr>
          <w:rFonts w:hint="cs"/>
          <w:rtl/>
          <w:lang w:eastAsia="zh-TW"/>
        </w:rPr>
      </w:pPr>
      <w:bookmarkStart w:id="27" w:name="bookmark_53"/>
      <w:r>
        <w:rPr>
          <w:rtl/>
          <w:lang w:eastAsia="zh-TW"/>
        </w:rPr>
        <w:t>٣-٤</w:t>
      </w:r>
      <w:r>
        <w:rPr>
          <w:rtl/>
          <w:lang w:eastAsia="zh-TW"/>
        </w:rPr>
        <w:tab/>
      </w:r>
      <w:bookmarkEnd w:id="27"/>
      <w:r>
        <w:rPr>
          <w:rFonts w:hint="cs"/>
          <w:rtl/>
          <w:lang w:eastAsia="zh-TW"/>
        </w:rPr>
        <w:t>وتلتمس صاحبة البلاغ إجراء تحقيق فعلي في اختفاء شقيقها، وتطلب التعويض على الضرر المعنوي الذي لحقها، وتطلب من اللجنة أن تقرر أن العهد قد انتهك، على النحو المذكور أعلاه.</w:t>
      </w:r>
    </w:p>
    <w:p w:rsidR="00E30F6E" w:rsidRPr="00302314" w:rsidRDefault="00E30F6E" w:rsidP="00C454CF">
      <w:pPr>
        <w:pStyle w:val="H23GA"/>
        <w:rPr>
          <w:rtl/>
        </w:rPr>
      </w:pPr>
      <w:bookmarkStart w:id="28" w:name="bookmark_66"/>
      <w:r>
        <w:tab/>
      </w:r>
      <w:r>
        <w:tab/>
      </w:r>
      <w:r w:rsidRPr="009220E5">
        <w:rPr>
          <w:rtl/>
        </w:rPr>
        <w:t>ملاحظات الدولة الطرف بشأن المقبولية والأسس الموضوعية</w:t>
      </w:r>
      <w:r>
        <w:rPr>
          <w:rFonts w:cs="Times New Roman" w:hint="cs"/>
          <w:rtl/>
        </w:rPr>
        <w:t>‬</w:t>
      </w:r>
      <w:bookmarkEnd w:id="28"/>
      <w:r>
        <w:t>‬</w:t>
      </w:r>
      <w:r>
        <w:t>‬</w:t>
      </w:r>
    </w:p>
    <w:p w:rsidR="00E30F6E" w:rsidRPr="0033414A" w:rsidRDefault="00E30F6E" w:rsidP="00E30F6E">
      <w:pPr>
        <w:pStyle w:val="SingleTxtGA"/>
        <w:rPr>
          <w:spacing w:val="-2"/>
          <w:rtl/>
          <w:lang w:eastAsia="zh-TW"/>
        </w:rPr>
      </w:pPr>
      <w:bookmarkStart w:id="29" w:name="bookmark_67"/>
      <w:r w:rsidRPr="0033414A">
        <w:rPr>
          <w:spacing w:val="-2"/>
          <w:rtl/>
          <w:lang w:eastAsia="zh-TW"/>
        </w:rPr>
        <w:t>٤-١</w:t>
      </w:r>
      <w:r w:rsidRPr="0033414A">
        <w:rPr>
          <w:spacing w:val="-2"/>
          <w:rtl/>
          <w:lang w:eastAsia="zh-TW"/>
        </w:rPr>
        <w:tab/>
      </w:r>
      <w:bookmarkEnd w:id="29"/>
      <w:r w:rsidRPr="0033414A">
        <w:rPr>
          <w:rFonts w:hint="cs"/>
          <w:spacing w:val="-2"/>
          <w:rtl/>
          <w:lang w:eastAsia="zh-TW"/>
        </w:rPr>
        <w:t>في مذكرة مؤرخة 31 آذار/مارس 2015، اعترضت الدولة الطرف على مقبولية البلاغ. فوفقا</w:t>
      </w:r>
      <w:r w:rsidR="00C454CF" w:rsidRPr="0033414A">
        <w:rPr>
          <w:rFonts w:hint="cs"/>
          <w:spacing w:val="-2"/>
          <w:rtl/>
          <w:lang w:eastAsia="zh-TW"/>
        </w:rPr>
        <w:t>ً</w:t>
      </w:r>
      <w:r w:rsidRPr="0033414A">
        <w:rPr>
          <w:rFonts w:hint="cs"/>
          <w:spacing w:val="-2"/>
          <w:rtl/>
          <w:lang w:eastAsia="zh-TW"/>
        </w:rPr>
        <w:t xml:space="preserve"> للمادة 402(1) من قانون الإجراءات الجنائية للاتحاد الروسي، يحق لأي شخص مشتبه فيه أو متهم أو مدان أو مفرج عنه الطعن في قرار محكمة </w:t>
      </w:r>
      <w:r w:rsidR="0033414A" w:rsidRPr="0033414A">
        <w:rPr>
          <w:rFonts w:hint="cs"/>
          <w:spacing w:val="-2"/>
          <w:rtl/>
          <w:lang w:eastAsia="zh-TW"/>
        </w:rPr>
        <w:t>-</w:t>
      </w:r>
      <w:r w:rsidRPr="0033414A">
        <w:rPr>
          <w:rFonts w:hint="cs"/>
          <w:spacing w:val="-2"/>
          <w:rtl/>
          <w:lang w:eastAsia="zh-TW"/>
        </w:rPr>
        <w:t xml:space="preserve"> وهو في هذه الحالة قرار النقض الصادر عن المحكمة العليا في جمهورية الشيشان بتاريخ 19 تشرين الأول/أكتوبر 2011. ووفقا</w:t>
      </w:r>
      <w:r w:rsidR="00C454CF" w:rsidRPr="0033414A">
        <w:rPr>
          <w:rFonts w:hint="cs"/>
          <w:spacing w:val="-2"/>
          <w:rtl/>
          <w:lang w:eastAsia="zh-TW"/>
        </w:rPr>
        <w:t>ً</w:t>
      </w:r>
      <w:r w:rsidRPr="0033414A">
        <w:rPr>
          <w:rFonts w:hint="cs"/>
          <w:spacing w:val="-2"/>
          <w:rtl/>
          <w:lang w:eastAsia="zh-TW"/>
        </w:rPr>
        <w:t xml:space="preserve"> للمادة</w:t>
      </w:r>
      <w:r w:rsidR="0033414A">
        <w:rPr>
          <w:rFonts w:hint="eastAsia"/>
          <w:spacing w:val="-2"/>
          <w:rtl/>
          <w:lang w:eastAsia="zh-TW"/>
        </w:rPr>
        <w:t> </w:t>
      </w:r>
      <w:r w:rsidRPr="0033414A">
        <w:rPr>
          <w:rFonts w:hint="cs"/>
          <w:spacing w:val="-2"/>
          <w:rtl/>
          <w:lang w:eastAsia="zh-TW"/>
        </w:rPr>
        <w:t xml:space="preserve">403(1) من قانون الإجراءات الجنائية، يمكن الطعن في القرارات التي تصدر على مستوى النقض مرة أخرى في إطار إجراء المراجعة القضائية. </w:t>
      </w:r>
    </w:p>
    <w:p w:rsidR="00E30F6E" w:rsidRPr="00302314" w:rsidRDefault="00E30F6E" w:rsidP="0033414A">
      <w:pPr>
        <w:pStyle w:val="SingleTxtGA"/>
        <w:spacing w:line="370" w:lineRule="exact"/>
        <w:rPr>
          <w:rtl/>
          <w:lang w:eastAsia="zh-TW"/>
        </w:rPr>
      </w:pPr>
      <w:bookmarkStart w:id="30" w:name="bookmark_68"/>
      <w:r w:rsidRPr="00C454CF">
        <w:rPr>
          <w:spacing w:val="-4"/>
          <w:w w:val="99"/>
          <w:rtl/>
          <w:lang w:eastAsia="zh-TW"/>
        </w:rPr>
        <w:t>٤-٢</w:t>
      </w:r>
      <w:r w:rsidRPr="00C454CF">
        <w:rPr>
          <w:spacing w:val="-4"/>
          <w:w w:val="99"/>
          <w:rtl/>
          <w:lang w:eastAsia="zh-TW"/>
        </w:rPr>
        <w:tab/>
      </w:r>
      <w:bookmarkEnd w:id="30"/>
      <w:r w:rsidRPr="00C454CF">
        <w:rPr>
          <w:rFonts w:hint="cs"/>
          <w:spacing w:val="-4"/>
          <w:w w:val="99"/>
          <w:rtl/>
          <w:lang w:eastAsia="zh-TW"/>
        </w:rPr>
        <w:t xml:space="preserve">وبموجب القانون الاتحادي رقم </w:t>
      </w:r>
      <w:r w:rsidRPr="00C454CF">
        <w:rPr>
          <w:spacing w:val="-4"/>
          <w:w w:val="99"/>
        </w:rPr>
        <w:t>518-FZ</w:t>
      </w:r>
      <w:r w:rsidRPr="00C454CF">
        <w:rPr>
          <w:rFonts w:hint="cs"/>
          <w:spacing w:val="-4"/>
          <w:w w:val="99"/>
          <w:rtl/>
          <w:lang w:eastAsia="zh-TW"/>
        </w:rPr>
        <w:t>، الصادر بتاريخ 31 كانون الأول/ديسمبر 2014،</w:t>
      </w:r>
      <w:r>
        <w:rPr>
          <w:rFonts w:hint="cs"/>
          <w:rtl/>
          <w:lang w:eastAsia="zh-TW"/>
        </w:rPr>
        <w:t xml:space="preserve"> يحتفظ الأشخاص الذين لم يقدموا استئنافا</w:t>
      </w:r>
      <w:r w:rsidR="00411587">
        <w:rPr>
          <w:rFonts w:hint="cs"/>
          <w:rtl/>
          <w:lang w:eastAsia="zh-TW"/>
        </w:rPr>
        <w:t>ً</w:t>
      </w:r>
      <w:r>
        <w:rPr>
          <w:rFonts w:hint="cs"/>
          <w:rtl/>
          <w:lang w:eastAsia="zh-TW"/>
        </w:rPr>
        <w:t xml:space="preserve"> في إطار المراجعة القضائية للاعتراض على أحكام وقرارات أصبحت نافذة قبل 1 كانون الثاني/يناير 2013 بحقهم في تقديم هذا الاستئناف في إطار المراجعة القضائية إلى غاية 1 كانون الثاني/يناير 2014. وقد دخل هذا التعديل حيز التنفيذ في 11 كانون الثاني/يناير 2015 ومنذ ذلك التاريخ، بات يتعين تقديم جميع الطلبات في إطار المراجعة القضائية بخصوص أحكام وقرارات المحاكم التي أصبحت نافذة قبل 1 كانون الثاني/يناير 2013 في إطار المادتين 47 </w:t>
      </w:r>
      <w:proofErr w:type="spellStart"/>
      <w:r>
        <w:rPr>
          <w:rFonts w:hint="cs"/>
          <w:rtl/>
          <w:lang w:eastAsia="zh-TW"/>
        </w:rPr>
        <w:t>و48</w:t>
      </w:r>
      <w:proofErr w:type="spellEnd"/>
      <w:r>
        <w:rPr>
          <w:rFonts w:hint="cs"/>
          <w:rtl/>
          <w:lang w:eastAsia="zh-TW"/>
        </w:rPr>
        <w:t xml:space="preserve"> من قانون الإجراءات الجنائية، ويكون ذلك فقط من طرف الأشخاص الذين لم يلجؤوا من قبل إلى إجراء المراجعة القضائية. وفي هذه الحالات، تقدم الاستئنافات إما في إطار الاستئناف في مرحلة النقض أو في إطار إجراء المراجعة القضائية. ويتضح من أقوال صاحبة البلاغ أنها لم تقدم أي استئناف في إطار المادتين 47 </w:t>
      </w:r>
      <w:proofErr w:type="spellStart"/>
      <w:r>
        <w:rPr>
          <w:rFonts w:hint="cs"/>
          <w:rtl/>
          <w:lang w:eastAsia="zh-TW"/>
        </w:rPr>
        <w:t>و48</w:t>
      </w:r>
      <w:proofErr w:type="spellEnd"/>
      <w:r>
        <w:rPr>
          <w:rFonts w:hint="cs"/>
          <w:rtl/>
          <w:lang w:eastAsia="zh-TW"/>
        </w:rPr>
        <w:t xml:space="preserve"> من قانون</w:t>
      </w:r>
      <w:r w:rsidR="00C454CF">
        <w:rPr>
          <w:rFonts w:hint="eastAsia"/>
          <w:rtl/>
          <w:lang w:eastAsia="zh-TW"/>
        </w:rPr>
        <w:t> </w:t>
      </w:r>
      <w:r>
        <w:rPr>
          <w:rFonts w:hint="cs"/>
          <w:rtl/>
          <w:lang w:eastAsia="zh-TW"/>
        </w:rPr>
        <w:t xml:space="preserve">الإجراءات الجنائية بخصوص القرارين الصادرين في 9 أيلول/سبتمبر </w:t>
      </w:r>
      <w:proofErr w:type="spellStart"/>
      <w:r>
        <w:rPr>
          <w:rFonts w:hint="cs"/>
          <w:rtl/>
          <w:lang w:eastAsia="zh-TW"/>
        </w:rPr>
        <w:t>و19</w:t>
      </w:r>
      <w:proofErr w:type="spellEnd"/>
      <w:r>
        <w:rPr>
          <w:rFonts w:hint="cs"/>
          <w:rtl/>
          <w:lang w:eastAsia="zh-TW"/>
        </w:rPr>
        <w:t xml:space="preserve"> تشرين الأول/</w:t>
      </w:r>
      <w:r w:rsidR="00C454CF">
        <w:rPr>
          <w:rFonts w:hint="cs"/>
          <w:rtl/>
          <w:lang w:eastAsia="zh-TW"/>
        </w:rPr>
        <w:t xml:space="preserve"> </w:t>
      </w:r>
      <w:r>
        <w:rPr>
          <w:rFonts w:hint="cs"/>
          <w:rtl/>
          <w:lang w:eastAsia="zh-TW"/>
        </w:rPr>
        <w:t xml:space="preserve">أكتوبر 2011. ويحق للسيدة </w:t>
      </w:r>
      <w:proofErr w:type="spellStart"/>
      <w:r>
        <w:rPr>
          <w:rFonts w:hint="cs"/>
          <w:rtl/>
          <w:lang w:eastAsia="zh-TW"/>
        </w:rPr>
        <w:t>ماغومادوفا</w:t>
      </w:r>
      <w:proofErr w:type="spellEnd"/>
      <w:r>
        <w:rPr>
          <w:rFonts w:hint="cs"/>
          <w:rtl/>
          <w:lang w:eastAsia="zh-TW"/>
        </w:rPr>
        <w:t xml:space="preserve"> حاليا</w:t>
      </w:r>
      <w:r w:rsidR="00C454CF">
        <w:rPr>
          <w:rFonts w:hint="cs"/>
          <w:rtl/>
          <w:lang w:eastAsia="zh-TW"/>
        </w:rPr>
        <w:t>ً</w:t>
      </w:r>
      <w:r>
        <w:rPr>
          <w:rFonts w:hint="cs"/>
          <w:rtl/>
          <w:lang w:eastAsia="zh-TW"/>
        </w:rPr>
        <w:t xml:space="preserve"> تقديم مثل هذه الاستئنافات. وعليه، تدفع الدولة الطرف بأن صاحبة البلاغ لم تستنفد جميع سبل الانتصاف المتاحة، ومن ثم ينبغي اعتبار بلاغها غير مقبول. </w:t>
      </w:r>
    </w:p>
    <w:p w:rsidR="00E30F6E" w:rsidRPr="00302314" w:rsidRDefault="00E30F6E" w:rsidP="0033414A">
      <w:pPr>
        <w:pStyle w:val="SingleTxtGA"/>
        <w:spacing w:line="370" w:lineRule="exact"/>
        <w:rPr>
          <w:rtl/>
          <w:lang w:eastAsia="zh-TW"/>
        </w:rPr>
      </w:pPr>
      <w:bookmarkStart w:id="31" w:name="bookmark_71"/>
      <w:r>
        <w:rPr>
          <w:rtl/>
          <w:lang w:eastAsia="zh-TW"/>
        </w:rPr>
        <w:t>٤-٣</w:t>
      </w:r>
      <w:r>
        <w:rPr>
          <w:rtl/>
          <w:lang w:eastAsia="zh-TW"/>
        </w:rPr>
        <w:tab/>
      </w:r>
      <w:bookmarkEnd w:id="31"/>
      <w:r>
        <w:rPr>
          <w:rFonts w:hint="cs"/>
          <w:rtl/>
          <w:lang w:eastAsia="zh-TW"/>
        </w:rPr>
        <w:t>وفي مذكرة مؤرخة 16 نيسان/أبريل 2015، قدمت الدولة الطرف أيضا</w:t>
      </w:r>
      <w:r w:rsidR="00C454CF">
        <w:rPr>
          <w:rFonts w:hint="cs"/>
          <w:rtl/>
          <w:lang w:eastAsia="zh-TW"/>
        </w:rPr>
        <w:t>ً</w:t>
      </w:r>
      <w:r>
        <w:rPr>
          <w:rFonts w:hint="cs"/>
          <w:rtl/>
          <w:lang w:eastAsia="zh-TW"/>
        </w:rPr>
        <w:t xml:space="preserve"> ملاحظاتها بشأن الأسس الموضوعية للبلاغ. ففي 2 تموز/يوليه 2010، تلقت السلطات شكوى بشأن فقدان شخص، هو السيد </w:t>
      </w:r>
      <w:proofErr w:type="spellStart"/>
      <w:r>
        <w:rPr>
          <w:rFonts w:hint="cs"/>
          <w:rtl/>
          <w:lang w:eastAsia="zh-TW"/>
        </w:rPr>
        <w:t>ماغومادوف</w:t>
      </w:r>
      <w:proofErr w:type="spellEnd"/>
      <w:r>
        <w:rPr>
          <w:rFonts w:hint="cs"/>
          <w:rtl/>
          <w:lang w:eastAsia="zh-TW"/>
        </w:rPr>
        <w:t>. وأجرت لجنة التحقيقات في الاتحاد الروسي تقييما</w:t>
      </w:r>
      <w:r w:rsidR="00C454CF">
        <w:rPr>
          <w:rFonts w:hint="cs"/>
          <w:rtl/>
          <w:lang w:eastAsia="zh-TW"/>
        </w:rPr>
        <w:t>ً</w:t>
      </w:r>
      <w:r>
        <w:rPr>
          <w:rFonts w:hint="cs"/>
          <w:rtl/>
          <w:lang w:eastAsia="zh-TW"/>
        </w:rPr>
        <w:t xml:space="preserve"> أوليا</w:t>
      </w:r>
      <w:r w:rsidR="00C454CF">
        <w:rPr>
          <w:rFonts w:hint="cs"/>
          <w:rtl/>
          <w:lang w:eastAsia="zh-TW"/>
        </w:rPr>
        <w:t>ً</w:t>
      </w:r>
      <w:r w:rsidR="00C454CF">
        <w:rPr>
          <w:rStyle w:val="FootnoteReference"/>
          <w:rtl/>
          <w:lang w:eastAsia="zh-TW"/>
        </w:rPr>
        <w:t>(</w:t>
      </w:r>
      <w:r w:rsidR="00C454CF">
        <w:rPr>
          <w:rStyle w:val="FootnoteReference"/>
          <w:rtl/>
          <w:lang w:eastAsia="zh-TW"/>
        </w:rPr>
        <w:footnoteReference w:id="7"/>
      </w:r>
      <w:r w:rsidR="00C454CF">
        <w:rPr>
          <w:rStyle w:val="FootnoteReference"/>
          <w:rtl/>
          <w:lang w:eastAsia="zh-TW"/>
        </w:rPr>
        <w:t>)</w:t>
      </w:r>
      <w:r w:rsidR="00C454CF">
        <w:rPr>
          <w:rFonts w:hint="cs"/>
          <w:rtl/>
          <w:lang w:eastAsia="zh-TW"/>
        </w:rPr>
        <w:t xml:space="preserve">. </w:t>
      </w:r>
      <w:r>
        <w:rPr>
          <w:rFonts w:hint="cs"/>
          <w:rtl/>
          <w:lang w:eastAsia="zh-TW"/>
        </w:rPr>
        <w:t>ووفقا</w:t>
      </w:r>
      <w:r w:rsidR="00731471">
        <w:rPr>
          <w:rFonts w:hint="cs"/>
          <w:rtl/>
          <w:lang w:eastAsia="zh-TW"/>
        </w:rPr>
        <w:t>ً</w:t>
      </w:r>
      <w:r>
        <w:rPr>
          <w:rFonts w:hint="cs"/>
          <w:rtl/>
          <w:lang w:eastAsia="zh-TW"/>
        </w:rPr>
        <w:t xml:space="preserve"> لهذا التقييم، اختفى السيد </w:t>
      </w:r>
      <w:proofErr w:type="spellStart"/>
      <w:r>
        <w:rPr>
          <w:rFonts w:hint="cs"/>
          <w:rtl/>
          <w:lang w:eastAsia="zh-TW"/>
        </w:rPr>
        <w:t>ماغومادوف</w:t>
      </w:r>
      <w:proofErr w:type="spellEnd"/>
      <w:r>
        <w:rPr>
          <w:rFonts w:hint="cs"/>
          <w:rtl/>
          <w:lang w:eastAsia="zh-TW"/>
        </w:rPr>
        <w:t xml:space="preserve"> يوم 9 كانون الثاني/يناير 1995 بالقرب من فندق</w:t>
      </w:r>
      <w:proofErr w:type="gramStart"/>
      <w:r>
        <w:rPr>
          <w:rFonts w:hint="cs"/>
          <w:rtl/>
          <w:lang w:eastAsia="zh-TW"/>
        </w:rPr>
        <w:t xml:space="preserve"> ’</w:t>
      </w:r>
      <w:proofErr w:type="spellStart"/>
      <w:r>
        <w:rPr>
          <w:rFonts w:hint="cs"/>
          <w:rtl/>
          <w:lang w:eastAsia="zh-TW"/>
        </w:rPr>
        <w:t>قفقاز</w:t>
      </w:r>
      <w:proofErr w:type="spellEnd"/>
      <w:proofErr w:type="gramEnd"/>
      <w:r>
        <w:rPr>
          <w:rFonts w:hint="cs"/>
          <w:rtl/>
          <w:lang w:eastAsia="zh-TW"/>
        </w:rPr>
        <w:t>‘ في مدينة غروزني وأن مكان وجوده حاليا</w:t>
      </w:r>
      <w:r w:rsidR="0033414A">
        <w:rPr>
          <w:rFonts w:hint="cs"/>
          <w:rtl/>
          <w:lang w:eastAsia="zh-TW"/>
        </w:rPr>
        <w:t>ً</w:t>
      </w:r>
      <w:r>
        <w:rPr>
          <w:rFonts w:hint="cs"/>
          <w:rtl/>
          <w:lang w:eastAsia="zh-TW"/>
        </w:rPr>
        <w:t xml:space="preserve"> غير معروف.</w:t>
      </w:r>
    </w:p>
    <w:p w:rsidR="00E30F6E" w:rsidRPr="00302314" w:rsidRDefault="00E30F6E" w:rsidP="0033414A">
      <w:pPr>
        <w:pStyle w:val="SingleTxtGA"/>
        <w:spacing w:line="370" w:lineRule="exact"/>
        <w:rPr>
          <w:rtl/>
          <w:lang w:eastAsia="zh-TW"/>
        </w:rPr>
      </w:pPr>
      <w:bookmarkStart w:id="32" w:name="bookmark_73"/>
      <w:r>
        <w:rPr>
          <w:rtl/>
          <w:lang w:eastAsia="zh-TW"/>
        </w:rPr>
        <w:t>٤-٤</w:t>
      </w:r>
      <w:r>
        <w:rPr>
          <w:rtl/>
          <w:lang w:eastAsia="zh-TW"/>
        </w:rPr>
        <w:tab/>
      </w:r>
      <w:bookmarkEnd w:id="32"/>
      <w:r>
        <w:rPr>
          <w:rFonts w:hint="cs"/>
          <w:rtl/>
          <w:lang w:eastAsia="zh-TW"/>
        </w:rPr>
        <w:t xml:space="preserve">واستُجوب أخٌ للسيد </w:t>
      </w:r>
      <w:proofErr w:type="spellStart"/>
      <w:r>
        <w:rPr>
          <w:rFonts w:hint="cs"/>
          <w:rtl/>
          <w:lang w:eastAsia="zh-TW"/>
        </w:rPr>
        <w:t>ماغومادوف</w:t>
      </w:r>
      <w:proofErr w:type="spellEnd"/>
      <w:r>
        <w:rPr>
          <w:rFonts w:hint="cs"/>
          <w:rtl/>
          <w:lang w:eastAsia="zh-TW"/>
        </w:rPr>
        <w:t>، هو م.</w:t>
      </w:r>
      <w:r w:rsidR="0033414A">
        <w:rPr>
          <w:rFonts w:hint="cs"/>
          <w:rtl/>
          <w:lang w:eastAsia="zh-TW"/>
        </w:rPr>
        <w:t xml:space="preserve"> </w:t>
      </w:r>
      <w:r>
        <w:rPr>
          <w:rFonts w:hint="cs"/>
          <w:rtl/>
          <w:lang w:eastAsia="zh-TW"/>
        </w:rPr>
        <w:t xml:space="preserve">م، في إطار التقييم الأولي. وشهد أنه منذ مولده، كانت أسرته، بما في ذلك أخوه، تعيش في قرية </w:t>
      </w:r>
      <w:proofErr w:type="spellStart"/>
      <w:r>
        <w:rPr>
          <w:rFonts w:hint="cs"/>
          <w:rtl/>
          <w:lang w:eastAsia="zh-TW"/>
        </w:rPr>
        <w:t>شلازي</w:t>
      </w:r>
      <w:proofErr w:type="spellEnd"/>
      <w:r>
        <w:rPr>
          <w:rFonts w:hint="cs"/>
          <w:rtl/>
          <w:lang w:eastAsia="zh-TW"/>
        </w:rPr>
        <w:t xml:space="preserve"> في منطقة </w:t>
      </w:r>
      <w:proofErr w:type="spellStart"/>
      <w:r>
        <w:rPr>
          <w:rFonts w:hint="cs"/>
          <w:rtl/>
          <w:lang w:eastAsia="zh-TW"/>
        </w:rPr>
        <w:t>أوروس</w:t>
      </w:r>
      <w:proofErr w:type="spellEnd"/>
      <w:r w:rsidR="0033414A">
        <w:rPr>
          <w:rFonts w:hint="cs"/>
          <w:rtl/>
          <w:lang w:eastAsia="zh-TW"/>
        </w:rPr>
        <w:t xml:space="preserve"> </w:t>
      </w:r>
      <w:r>
        <w:rPr>
          <w:rFonts w:hint="cs"/>
          <w:rtl/>
          <w:lang w:eastAsia="zh-TW"/>
        </w:rPr>
        <w:t>-</w:t>
      </w:r>
      <w:r w:rsidR="0033414A">
        <w:rPr>
          <w:rFonts w:hint="cs"/>
          <w:rtl/>
          <w:lang w:eastAsia="zh-TW"/>
        </w:rPr>
        <w:t xml:space="preserve"> </w:t>
      </w:r>
      <w:r>
        <w:rPr>
          <w:rFonts w:hint="cs"/>
          <w:rtl/>
          <w:lang w:eastAsia="zh-TW"/>
        </w:rPr>
        <w:t xml:space="preserve">مارتان في جمهورية الشيشان. ومنذ عام 1982، أصبح أخ السيد </w:t>
      </w:r>
      <w:proofErr w:type="spellStart"/>
      <w:r>
        <w:rPr>
          <w:rFonts w:hint="cs"/>
          <w:rtl/>
          <w:lang w:eastAsia="zh-TW"/>
        </w:rPr>
        <w:t>ماغومادوف</w:t>
      </w:r>
      <w:proofErr w:type="spellEnd"/>
      <w:r>
        <w:rPr>
          <w:rFonts w:hint="cs"/>
          <w:rtl/>
          <w:lang w:eastAsia="zh-TW"/>
        </w:rPr>
        <w:t>، م.</w:t>
      </w:r>
      <w:r w:rsidR="00C454CF">
        <w:rPr>
          <w:rFonts w:hint="cs"/>
          <w:rtl/>
          <w:lang w:eastAsia="zh-TW"/>
        </w:rPr>
        <w:t xml:space="preserve"> </w:t>
      </w:r>
      <w:r>
        <w:rPr>
          <w:rFonts w:hint="cs"/>
          <w:rtl/>
          <w:lang w:eastAsia="zh-TW"/>
        </w:rPr>
        <w:t>م.، يقيم في موسكو. وفي 1 كانون الثاني/يناير 1995، علم من والده أن أخاه شمسي ذهب إلى غروزني بسيارته. وكان الهدف من هذا السفر هو أخذ السيد إ.</w:t>
      </w:r>
      <w:r w:rsidR="0033414A">
        <w:rPr>
          <w:rFonts w:hint="cs"/>
          <w:rtl/>
          <w:lang w:eastAsia="zh-TW"/>
        </w:rPr>
        <w:t xml:space="preserve"> </w:t>
      </w:r>
      <w:r>
        <w:rPr>
          <w:rFonts w:hint="cs"/>
          <w:rtl/>
          <w:lang w:eastAsia="zh-TW"/>
        </w:rPr>
        <w:t xml:space="preserve">س. إلى بيته، وكان يسكن في غروزني. ورافق شمسي </w:t>
      </w:r>
      <w:proofErr w:type="spellStart"/>
      <w:r>
        <w:rPr>
          <w:rFonts w:hint="cs"/>
          <w:rtl/>
          <w:lang w:eastAsia="zh-TW"/>
        </w:rPr>
        <w:t>ماغومادوف</w:t>
      </w:r>
      <w:proofErr w:type="spellEnd"/>
      <w:r>
        <w:rPr>
          <w:rFonts w:hint="cs"/>
          <w:rtl/>
          <w:lang w:eastAsia="zh-TW"/>
        </w:rPr>
        <w:t xml:space="preserve"> في سيارته أخٌ آخر له هو م. </w:t>
      </w:r>
      <w:proofErr w:type="spellStart"/>
      <w:r>
        <w:rPr>
          <w:rFonts w:hint="cs"/>
          <w:rtl/>
          <w:lang w:eastAsia="zh-TW"/>
        </w:rPr>
        <w:t>ماغومادوف</w:t>
      </w:r>
      <w:proofErr w:type="spellEnd"/>
      <w:r>
        <w:rPr>
          <w:rFonts w:hint="cs"/>
          <w:rtl/>
          <w:lang w:eastAsia="zh-TW"/>
        </w:rPr>
        <w:t>. وأخبر أب الأسرة ابنه م.</w:t>
      </w:r>
      <w:r w:rsidR="00C454CF">
        <w:rPr>
          <w:rFonts w:hint="cs"/>
          <w:rtl/>
          <w:lang w:eastAsia="zh-TW"/>
        </w:rPr>
        <w:t xml:space="preserve"> </w:t>
      </w:r>
      <w:r>
        <w:rPr>
          <w:rFonts w:hint="cs"/>
          <w:rtl/>
          <w:lang w:eastAsia="zh-TW"/>
        </w:rPr>
        <w:t xml:space="preserve">م. أن الأخوين لم يعودا من ذلك السفر قط. </w:t>
      </w:r>
    </w:p>
    <w:p w:rsidR="00E30F6E" w:rsidRPr="00302314" w:rsidRDefault="00E30F6E" w:rsidP="0033414A">
      <w:pPr>
        <w:pStyle w:val="SingleTxtGA"/>
        <w:spacing w:line="370" w:lineRule="exact"/>
        <w:rPr>
          <w:rtl/>
          <w:lang w:eastAsia="zh-TW"/>
        </w:rPr>
      </w:pPr>
      <w:bookmarkStart w:id="33" w:name="bookmark_74"/>
      <w:r>
        <w:rPr>
          <w:rtl/>
          <w:lang w:eastAsia="zh-TW"/>
        </w:rPr>
        <w:t>٤-٥</w:t>
      </w:r>
      <w:r>
        <w:rPr>
          <w:rtl/>
          <w:lang w:eastAsia="zh-TW"/>
        </w:rPr>
        <w:tab/>
      </w:r>
      <w:bookmarkEnd w:id="33"/>
      <w:r>
        <w:rPr>
          <w:rFonts w:hint="cs"/>
          <w:rtl/>
          <w:lang w:eastAsia="zh-TW"/>
        </w:rPr>
        <w:t xml:space="preserve">وفي النصف الأول من شهر كانون الثاني/يناير 1995، أحضر أناس تربطهم بعائلة </w:t>
      </w:r>
      <w:proofErr w:type="spellStart"/>
      <w:r>
        <w:rPr>
          <w:rFonts w:hint="cs"/>
          <w:rtl/>
          <w:lang w:eastAsia="zh-TW"/>
        </w:rPr>
        <w:t>ماغومادوف</w:t>
      </w:r>
      <w:proofErr w:type="spellEnd"/>
      <w:r>
        <w:rPr>
          <w:rFonts w:hint="cs"/>
          <w:rtl/>
          <w:lang w:eastAsia="zh-TW"/>
        </w:rPr>
        <w:t xml:space="preserve"> قرابة بعيدة إلى القرية جثمان م. </w:t>
      </w:r>
      <w:proofErr w:type="spellStart"/>
      <w:r>
        <w:rPr>
          <w:rFonts w:hint="cs"/>
          <w:rtl/>
          <w:lang w:eastAsia="zh-TW"/>
        </w:rPr>
        <w:t>ماغومادوف</w:t>
      </w:r>
      <w:proofErr w:type="spellEnd"/>
      <w:r>
        <w:rPr>
          <w:rFonts w:hint="cs"/>
          <w:rtl/>
          <w:lang w:eastAsia="zh-TW"/>
        </w:rPr>
        <w:t xml:space="preserve"> يظهر عليها علامات جروح من آثار الشظايا. وذهب م.</w:t>
      </w:r>
      <w:r w:rsidR="0033414A">
        <w:rPr>
          <w:rFonts w:hint="cs"/>
          <w:rtl/>
          <w:lang w:eastAsia="zh-TW"/>
        </w:rPr>
        <w:t xml:space="preserve"> </w:t>
      </w:r>
      <w:r>
        <w:rPr>
          <w:rFonts w:hint="cs"/>
          <w:rtl/>
          <w:lang w:eastAsia="zh-TW"/>
        </w:rPr>
        <w:t xml:space="preserve">م. إلى القرية لحضور الجنازة. وبعد الجنازة، بدأ البحث عن شمسي </w:t>
      </w:r>
      <w:proofErr w:type="spellStart"/>
      <w:r>
        <w:rPr>
          <w:rFonts w:hint="cs"/>
          <w:rtl/>
          <w:lang w:eastAsia="zh-TW"/>
        </w:rPr>
        <w:t>ماغومادوف</w:t>
      </w:r>
      <w:proofErr w:type="spellEnd"/>
      <w:r>
        <w:rPr>
          <w:rFonts w:hint="cs"/>
          <w:rtl/>
          <w:lang w:eastAsia="zh-TW"/>
        </w:rPr>
        <w:t>. وعلِم من السيد إ.</w:t>
      </w:r>
      <w:r w:rsidR="00C454CF">
        <w:rPr>
          <w:rFonts w:hint="cs"/>
          <w:rtl/>
          <w:lang w:eastAsia="zh-TW"/>
        </w:rPr>
        <w:t xml:space="preserve"> </w:t>
      </w:r>
      <w:r>
        <w:rPr>
          <w:rFonts w:hint="cs"/>
          <w:rtl/>
          <w:lang w:eastAsia="zh-TW"/>
        </w:rPr>
        <w:t xml:space="preserve">س. أن الأخوين أخذاه بالفعل إلى بيته في غروزني. وترك </w:t>
      </w:r>
      <w:proofErr w:type="spellStart"/>
      <w:r>
        <w:rPr>
          <w:rFonts w:hint="cs"/>
          <w:rtl/>
          <w:lang w:eastAsia="zh-TW"/>
        </w:rPr>
        <w:t>الأخوان</w:t>
      </w:r>
      <w:proofErr w:type="spellEnd"/>
      <w:r>
        <w:rPr>
          <w:rFonts w:hint="cs"/>
          <w:rtl/>
          <w:lang w:eastAsia="zh-TW"/>
        </w:rPr>
        <w:t xml:space="preserve"> السيارة عند إ.</w:t>
      </w:r>
      <w:r w:rsidR="0033414A">
        <w:rPr>
          <w:rFonts w:hint="cs"/>
          <w:rtl/>
          <w:lang w:eastAsia="zh-TW"/>
        </w:rPr>
        <w:t xml:space="preserve"> </w:t>
      </w:r>
      <w:r>
        <w:rPr>
          <w:rFonts w:hint="cs"/>
          <w:rtl/>
          <w:lang w:eastAsia="zh-TW"/>
        </w:rPr>
        <w:t xml:space="preserve">س. وقالا له أنهما سيحاولان العودة إلى </w:t>
      </w:r>
      <w:proofErr w:type="spellStart"/>
      <w:r>
        <w:rPr>
          <w:rFonts w:hint="cs"/>
          <w:rtl/>
          <w:lang w:eastAsia="zh-TW"/>
        </w:rPr>
        <w:t>شالازي</w:t>
      </w:r>
      <w:proofErr w:type="spellEnd"/>
      <w:r>
        <w:rPr>
          <w:rFonts w:hint="cs"/>
          <w:rtl/>
          <w:lang w:eastAsia="zh-TW"/>
        </w:rPr>
        <w:t xml:space="preserve"> بطرق أخرى</w:t>
      </w:r>
      <w:r w:rsidR="00C454CF">
        <w:rPr>
          <w:rStyle w:val="FootnoteReference"/>
          <w:rtl/>
          <w:lang w:eastAsia="zh-TW"/>
        </w:rPr>
        <w:t>(</w:t>
      </w:r>
      <w:r w:rsidR="00C454CF">
        <w:rPr>
          <w:rStyle w:val="FootnoteReference"/>
          <w:rtl/>
          <w:lang w:eastAsia="zh-TW"/>
        </w:rPr>
        <w:footnoteReference w:id="8"/>
      </w:r>
      <w:r w:rsidR="00C454CF">
        <w:rPr>
          <w:rStyle w:val="FootnoteReference"/>
          <w:rtl/>
          <w:lang w:eastAsia="zh-TW"/>
        </w:rPr>
        <w:t>)</w:t>
      </w:r>
      <w:r w:rsidR="00C454CF">
        <w:rPr>
          <w:rFonts w:hint="cs"/>
          <w:rtl/>
          <w:lang w:eastAsia="zh-TW"/>
        </w:rPr>
        <w:t xml:space="preserve">. </w:t>
      </w:r>
    </w:p>
    <w:p w:rsidR="00E30F6E" w:rsidRPr="00302314" w:rsidRDefault="00E30F6E" w:rsidP="0033414A">
      <w:pPr>
        <w:pStyle w:val="SingleTxtGA"/>
        <w:spacing w:line="370" w:lineRule="exact"/>
        <w:rPr>
          <w:rtl/>
          <w:lang w:eastAsia="zh-TW"/>
        </w:rPr>
      </w:pPr>
      <w:bookmarkStart w:id="34" w:name="bookmark_76"/>
      <w:r>
        <w:rPr>
          <w:rtl/>
          <w:lang w:eastAsia="zh-TW"/>
        </w:rPr>
        <w:t>٤-٦</w:t>
      </w:r>
      <w:r>
        <w:rPr>
          <w:rtl/>
          <w:lang w:eastAsia="zh-TW"/>
        </w:rPr>
        <w:tab/>
      </w:r>
      <w:bookmarkEnd w:id="34"/>
      <w:r>
        <w:rPr>
          <w:rFonts w:hint="cs"/>
          <w:rtl/>
          <w:lang w:eastAsia="zh-TW"/>
        </w:rPr>
        <w:t>واستُجوبت صاحبة البلاغ أيضا</w:t>
      </w:r>
      <w:r w:rsidR="00731471">
        <w:rPr>
          <w:rFonts w:hint="cs"/>
          <w:rtl/>
          <w:lang w:eastAsia="zh-TW"/>
        </w:rPr>
        <w:t>ً</w:t>
      </w:r>
      <w:r>
        <w:rPr>
          <w:rFonts w:hint="cs"/>
          <w:rtl/>
          <w:lang w:eastAsia="zh-TW"/>
        </w:rPr>
        <w:t xml:space="preserve"> في إطار التقييم الأولي. وشهدت هي الأخرى أن شمسي </w:t>
      </w:r>
      <w:proofErr w:type="spellStart"/>
      <w:r>
        <w:rPr>
          <w:rFonts w:hint="cs"/>
          <w:rtl/>
          <w:lang w:eastAsia="zh-TW"/>
        </w:rPr>
        <w:t>ماغومادوف</w:t>
      </w:r>
      <w:proofErr w:type="spellEnd"/>
      <w:r>
        <w:rPr>
          <w:rFonts w:hint="cs"/>
          <w:rtl/>
          <w:lang w:eastAsia="zh-TW"/>
        </w:rPr>
        <w:t xml:space="preserve"> </w:t>
      </w:r>
      <w:proofErr w:type="spellStart"/>
      <w:r>
        <w:rPr>
          <w:rFonts w:hint="cs"/>
          <w:rtl/>
          <w:lang w:eastAsia="zh-TW"/>
        </w:rPr>
        <w:t>وم</w:t>
      </w:r>
      <w:proofErr w:type="spellEnd"/>
      <w:r>
        <w:rPr>
          <w:rFonts w:hint="cs"/>
          <w:rtl/>
          <w:lang w:eastAsia="zh-TW"/>
        </w:rPr>
        <w:t xml:space="preserve">. </w:t>
      </w:r>
      <w:proofErr w:type="spellStart"/>
      <w:r>
        <w:rPr>
          <w:rFonts w:hint="cs"/>
          <w:rtl/>
          <w:lang w:eastAsia="zh-TW"/>
        </w:rPr>
        <w:t>ماغومادوف</w:t>
      </w:r>
      <w:proofErr w:type="spellEnd"/>
      <w:r>
        <w:rPr>
          <w:rFonts w:hint="cs"/>
          <w:rtl/>
          <w:lang w:eastAsia="zh-TW"/>
        </w:rPr>
        <w:t xml:space="preserve"> غادرا بالفعل إلى غروزني وأنهما أخذا السيد إ.</w:t>
      </w:r>
      <w:r w:rsidR="0033414A">
        <w:rPr>
          <w:rFonts w:hint="cs"/>
          <w:rtl/>
          <w:lang w:eastAsia="zh-TW"/>
        </w:rPr>
        <w:t xml:space="preserve"> </w:t>
      </w:r>
      <w:r>
        <w:rPr>
          <w:rFonts w:hint="cs"/>
          <w:rtl/>
          <w:lang w:eastAsia="zh-TW"/>
        </w:rPr>
        <w:t>س. إلى بيته، لكنهما اضطرا إلى المكوث عند أقارب لأسباب متعلقة بسلامتهما. وفي 31 كانون الأول/</w:t>
      </w:r>
      <w:r w:rsidR="0033414A">
        <w:rPr>
          <w:rFonts w:hint="cs"/>
          <w:rtl/>
          <w:lang w:eastAsia="zh-TW"/>
        </w:rPr>
        <w:t xml:space="preserve"> </w:t>
      </w:r>
      <w:r>
        <w:rPr>
          <w:rFonts w:hint="cs"/>
          <w:rtl/>
          <w:lang w:eastAsia="zh-TW"/>
        </w:rPr>
        <w:t>ديسمبر 1994، أطلقت السلطات ما سُمّي بالحملة العسكرية الأولى في الشيشان. وفي</w:t>
      </w:r>
      <w:r w:rsidR="0033414A">
        <w:rPr>
          <w:rFonts w:hint="cs"/>
          <w:rtl/>
          <w:lang w:eastAsia="zh-TW"/>
        </w:rPr>
        <w:t xml:space="preserve"> </w:t>
      </w:r>
      <w:r>
        <w:rPr>
          <w:rFonts w:hint="cs"/>
          <w:rtl/>
          <w:lang w:eastAsia="zh-TW"/>
        </w:rPr>
        <w:t>2 كانون الثاني/يناير 1995، حاول الشقيقان مغادرة غروزني. وفي طرقهما خارج غروزني، أُطلق عليهما النار من مروحية فاضطرا إلى العودة إلى بيت السيد إ.</w:t>
      </w:r>
      <w:r w:rsidR="0033414A">
        <w:rPr>
          <w:rFonts w:hint="cs"/>
          <w:rtl/>
          <w:lang w:eastAsia="zh-TW"/>
        </w:rPr>
        <w:t xml:space="preserve"> </w:t>
      </w:r>
      <w:r>
        <w:rPr>
          <w:rFonts w:hint="cs"/>
          <w:rtl/>
          <w:lang w:eastAsia="zh-TW"/>
        </w:rPr>
        <w:t xml:space="preserve">س. وترك السيارة عنده. وقررا محاولة مغادرة المدينة مرة أخرى في 7 أو 8 كانون الثاني/يناير 1995. وفي طريقهما للخروج من المدينة، توقفا لزيارة صديقة، السيدة </w:t>
      </w:r>
      <w:proofErr w:type="spellStart"/>
      <w:r>
        <w:rPr>
          <w:rFonts w:hint="cs"/>
          <w:rtl/>
          <w:lang w:eastAsia="zh-TW"/>
        </w:rPr>
        <w:t>غونتشارينكو</w:t>
      </w:r>
      <w:proofErr w:type="spellEnd"/>
      <w:r>
        <w:rPr>
          <w:rFonts w:hint="cs"/>
          <w:rtl/>
          <w:lang w:eastAsia="zh-TW"/>
        </w:rPr>
        <w:t>، التي كانت تسكن في شارع مير بغروزني. وقضيا عدة ساعات هناك، ثم قررا في الأخير مغادرة المدينة.</w:t>
      </w:r>
    </w:p>
    <w:p w:rsidR="00E30F6E" w:rsidRPr="00302314" w:rsidRDefault="00E30F6E" w:rsidP="00E30F6E">
      <w:pPr>
        <w:pStyle w:val="SingleTxtGA"/>
        <w:rPr>
          <w:rtl/>
          <w:lang w:eastAsia="zh-TW"/>
        </w:rPr>
      </w:pPr>
      <w:bookmarkStart w:id="35" w:name="bookmark_79"/>
      <w:r>
        <w:rPr>
          <w:rtl/>
          <w:lang w:eastAsia="zh-TW"/>
        </w:rPr>
        <w:t>٤-٧</w:t>
      </w:r>
      <w:r>
        <w:rPr>
          <w:rtl/>
          <w:lang w:eastAsia="zh-TW"/>
        </w:rPr>
        <w:tab/>
      </w:r>
      <w:bookmarkEnd w:id="35"/>
      <w:r>
        <w:rPr>
          <w:rFonts w:hint="cs"/>
          <w:rtl/>
          <w:lang w:eastAsia="zh-TW"/>
        </w:rPr>
        <w:t xml:space="preserve">وكانت صاحبة البلاغ في بيت أهلها في قرية </w:t>
      </w:r>
      <w:proofErr w:type="spellStart"/>
      <w:r>
        <w:rPr>
          <w:rFonts w:hint="cs"/>
          <w:rtl/>
          <w:lang w:eastAsia="zh-TW"/>
        </w:rPr>
        <w:t>شلازي</w:t>
      </w:r>
      <w:proofErr w:type="spellEnd"/>
      <w:r>
        <w:rPr>
          <w:rFonts w:hint="cs"/>
          <w:rtl/>
          <w:lang w:eastAsia="zh-TW"/>
        </w:rPr>
        <w:t xml:space="preserve"> عندما أحضر بعضة أشخاص لا</w:t>
      </w:r>
      <w:r w:rsidR="00C454CF">
        <w:rPr>
          <w:rFonts w:hint="eastAsia"/>
          <w:rtl/>
          <w:lang w:eastAsia="zh-TW"/>
        </w:rPr>
        <w:t> </w:t>
      </w:r>
      <w:r>
        <w:rPr>
          <w:rFonts w:hint="cs"/>
          <w:rtl/>
          <w:lang w:eastAsia="zh-TW"/>
        </w:rPr>
        <w:t xml:space="preserve">تعرفهم جثمان م. </w:t>
      </w:r>
      <w:proofErr w:type="spellStart"/>
      <w:r>
        <w:rPr>
          <w:rFonts w:hint="cs"/>
          <w:rtl/>
          <w:lang w:eastAsia="zh-TW"/>
        </w:rPr>
        <w:t>ماغومادوف</w:t>
      </w:r>
      <w:proofErr w:type="spellEnd"/>
      <w:r>
        <w:rPr>
          <w:rFonts w:hint="cs"/>
          <w:rtl/>
          <w:lang w:eastAsia="zh-TW"/>
        </w:rPr>
        <w:t xml:space="preserve">. وقالوا إنهم لا علم لهم كيف مات، ولا علم لهم بمكان وجود شمسي </w:t>
      </w:r>
      <w:proofErr w:type="spellStart"/>
      <w:r>
        <w:rPr>
          <w:rFonts w:hint="cs"/>
          <w:rtl/>
          <w:lang w:eastAsia="zh-TW"/>
        </w:rPr>
        <w:t>ماغومادوف</w:t>
      </w:r>
      <w:proofErr w:type="spellEnd"/>
      <w:r>
        <w:rPr>
          <w:rFonts w:hint="cs"/>
          <w:rtl/>
          <w:lang w:eastAsia="zh-TW"/>
        </w:rPr>
        <w:t xml:space="preserve">. وأرسلت السلطات طلبات لتقديم المعلومات في جميع أنحاء المدينة ولإدارات مراكز الشرطة المحلية فيما يخص شمسي </w:t>
      </w:r>
      <w:proofErr w:type="spellStart"/>
      <w:r>
        <w:rPr>
          <w:rFonts w:hint="cs"/>
          <w:rtl/>
          <w:lang w:eastAsia="zh-TW"/>
        </w:rPr>
        <w:t>ماغومادوف</w:t>
      </w:r>
      <w:proofErr w:type="spellEnd"/>
      <w:r>
        <w:rPr>
          <w:rFonts w:hint="cs"/>
          <w:rtl/>
          <w:lang w:eastAsia="zh-TW"/>
        </w:rPr>
        <w:t>، لكنها لم تتلق أي معلومات. وبدى عندئذ أنه من المستحيل العثور على مكان وجوده.</w:t>
      </w:r>
    </w:p>
    <w:p w:rsidR="00E30F6E" w:rsidRPr="00302314" w:rsidRDefault="00E30F6E" w:rsidP="00E30F6E">
      <w:pPr>
        <w:pStyle w:val="SingleTxtGA"/>
        <w:rPr>
          <w:rtl/>
          <w:lang w:eastAsia="zh-TW"/>
        </w:rPr>
      </w:pPr>
      <w:bookmarkStart w:id="36" w:name="bookmark_83"/>
      <w:r>
        <w:rPr>
          <w:rtl/>
          <w:lang w:eastAsia="zh-TW"/>
        </w:rPr>
        <w:t>٤-٨</w:t>
      </w:r>
      <w:r>
        <w:rPr>
          <w:rtl/>
          <w:lang w:eastAsia="zh-TW"/>
        </w:rPr>
        <w:tab/>
      </w:r>
      <w:bookmarkEnd w:id="36"/>
      <w:r>
        <w:rPr>
          <w:rFonts w:hint="cs"/>
          <w:rtl/>
          <w:lang w:eastAsia="zh-TW"/>
        </w:rPr>
        <w:t>ورفضت السلطات طلبات فتح تحقيق جنائي رسمي عدة مرات، وذلك استنادا</w:t>
      </w:r>
      <w:r w:rsidR="00C454CF">
        <w:rPr>
          <w:rFonts w:hint="cs"/>
          <w:rtl/>
          <w:lang w:eastAsia="zh-TW"/>
        </w:rPr>
        <w:t>ً</w:t>
      </w:r>
      <w:r>
        <w:rPr>
          <w:rFonts w:hint="cs"/>
          <w:rtl/>
          <w:lang w:eastAsia="zh-TW"/>
        </w:rPr>
        <w:t xml:space="preserve"> إلى المادة 24(1) و(3) من قانون الإجراءات الجنائية للاتحاد الروسي، بسبب انقضاء المهلة المقررة بموجب قاعدة التقادم بمقتضى المادة 103 (القتل) من القانون الجنائي المعمول به في ذلك الوقت. وفي </w:t>
      </w:r>
      <w:r w:rsidR="00625E37">
        <w:rPr>
          <w:rFonts w:hint="cs"/>
          <w:rtl/>
          <w:lang w:eastAsia="zh-TW"/>
        </w:rPr>
        <w:t>15</w:t>
      </w:r>
      <w:r>
        <w:rPr>
          <w:rFonts w:hint="cs"/>
          <w:rtl/>
          <w:lang w:eastAsia="zh-TW"/>
        </w:rPr>
        <w:t xml:space="preserve"> أيار/مايو 2011، رفضت السلطات طلبا</w:t>
      </w:r>
      <w:r w:rsidR="00731471">
        <w:rPr>
          <w:rFonts w:hint="cs"/>
          <w:rtl/>
          <w:lang w:eastAsia="zh-TW"/>
        </w:rPr>
        <w:t>ً</w:t>
      </w:r>
      <w:r>
        <w:rPr>
          <w:rFonts w:hint="cs"/>
          <w:rtl/>
          <w:lang w:eastAsia="zh-TW"/>
        </w:rPr>
        <w:t xml:space="preserve"> آخر مماثلا</w:t>
      </w:r>
      <w:r w:rsidR="00411587">
        <w:rPr>
          <w:rFonts w:hint="cs"/>
          <w:rtl/>
          <w:lang w:eastAsia="zh-TW"/>
        </w:rPr>
        <w:t>ً</w:t>
      </w:r>
      <w:r>
        <w:rPr>
          <w:rFonts w:hint="cs"/>
          <w:rtl/>
          <w:lang w:eastAsia="zh-TW"/>
        </w:rPr>
        <w:t xml:space="preserve"> لفتح تحقيق جنائي.</w:t>
      </w:r>
    </w:p>
    <w:p w:rsidR="00E30F6E" w:rsidRPr="00302314" w:rsidRDefault="00E30F6E" w:rsidP="00E30F6E">
      <w:pPr>
        <w:pStyle w:val="SingleTxtGA"/>
        <w:rPr>
          <w:rtl/>
          <w:lang w:eastAsia="zh-TW"/>
        </w:rPr>
      </w:pPr>
      <w:bookmarkStart w:id="37" w:name="bookmark_85"/>
      <w:r>
        <w:rPr>
          <w:rtl/>
          <w:lang w:eastAsia="zh-TW"/>
        </w:rPr>
        <w:t>٤-٩</w:t>
      </w:r>
      <w:r>
        <w:rPr>
          <w:rtl/>
          <w:lang w:eastAsia="zh-TW"/>
        </w:rPr>
        <w:tab/>
      </w:r>
      <w:bookmarkEnd w:id="37"/>
      <w:r>
        <w:rPr>
          <w:rFonts w:hint="cs"/>
          <w:rtl/>
          <w:lang w:eastAsia="zh-TW"/>
        </w:rPr>
        <w:t>لكن أُلغي هذا القرار في 26 شباط/فبراير 2015؛ وفي 27 شباط/فبراير 2015، أرسلت لجنة التحقيقات التابعة لبلدية مدينة غروزني القضية إلى وحدة التحقيقات العسكرية للمنطقة العسكرية الاتحادية الجنوبية للنظر فيها</w:t>
      </w:r>
      <w:r w:rsidR="00C454CF">
        <w:rPr>
          <w:rStyle w:val="FootnoteReference"/>
          <w:rtl/>
          <w:lang w:eastAsia="zh-TW"/>
        </w:rPr>
        <w:t>(</w:t>
      </w:r>
      <w:r w:rsidR="00C454CF">
        <w:rPr>
          <w:rStyle w:val="FootnoteReference"/>
          <w:rtl/>
          <w:lang w:eastAsia="zh-TW"/>
        </w:rPr>
        <w:footnoteReference w:id="9"/>
      </w:r>
      <w:r w:rsidR="00C454CF">
        <w:rPr>
          <w:rStyle w:val="FootnoteReference"/>
          <w:rtl/>
          <w:lang w:eastAsia="zh-TW"/>
        </w:rPr>
        <w:t>)</w:t>
      </w:r>
      <w:r w:rsidR="00C454CF" w:rsidRPr="00C454CF">
        <w:rPr>
          <w:rStyle w:val="FootnoteReference"/>
          <w:rFonts w:hint="cs"/>
          <w:vertAlign w:val="baseline"/>
          <w:rtl/>
          <w:lang w:eastAsia="zh-TW"/>
        </w:rPr>
        <w:t>.</w:t>
      </w:r>
    </w:p>
    <w:p w:rsidR="00E30F6E" w:rsidRPr="00302314" w:rsidRDefault="00E30F6E" w:rsidP="00E30F6E">
      <w:pPr>
        <w:pStyle w:val="SingleTxtGA"/>
        <w:spacing w:line="360" w:lineRule="exact"/>
        <w:rPr>
          <w:lang w:eastAsia="zh-TW"/>
        </w:rPr>
      </w:pPr>
      <w:bookmarkStart w:id="38" w:name="bookmark_88"/>
      <w:r>
        <w:rPr>
          <w:rtl/>
          <w:lang w:eastAsia="zh-TW"/>
        </w:rPr>
        <w:t>٤-١٠</w:t>
      </w:r>
      <w:r>
        <w:rPr>
          <w:rtl/>
          <w:lang w:eastAsia="zh-TW"/>
        </w:rPr>
        <w:tab/>
      </w:r>
      <w:bookmarkEnd w:id="38"/>
      <w:r>
        <w:rPr>
          <w:rFonts w:hint="cs"/>
          <w:rtl/>
          <w:lang w:eastAsia="zh-TW"/>
        </w:rPr>
        <w:t xml:space="preserve">واشتكت صاحب البلاغ كذلك إلى محكمة منطقة </w:t>
      </w:r>
      <w:proofErr w:type="spellStart"/>
      <w:r>
        <w:rPr>
          <w:rFonts w:hint="cs"/>
          <w:rtl/>
          <w:lang w:eastAsia="zh-TW"/>
        </w:rPr>
        <w:t>ستاروبروميسلوفسكي</w:t>
      </w:r>
      <w:proofErr w:type="spellEnd"/>
      <w:r>
        <w:rPr>
          <w:rFonts w:hint="cs"/>
          <w:rtl/>
          <w:lang w:eastAsia="zh-TW"/>
        </w:rPr>
        <w:t>، للطعن في</w:t>
      </w:r>
      <w:r w:rsidR="0033414A">
        <w:rPr>
          <w:rFonts w:hint="eastAsia"/>
          <w:rtl/>
          <w:lang w:eastAsia="zh-TW"/>
        </w:rPr>
        <w:t> </w:t>
      </w:r>
      <w:r>
        <w:rPr>
          <w:rFonts w:hint="cs"/>
          <w:rtl/>
          <w:lang w:eastAsia="zh-TW"/>
        </w:rPr>
        <w:t>رفض فتح تحقيق جنائي رسمي. ورفضت المحكمة طعن صاحبة البلاغ الذي رُفض ثانية من قبل المحكمة العليا في جمهورية الشيشان. وقدمت صاحبة البلاغ استئنافا</w:t>
      </w:r>
      <w:r w:rsidR="0033414A">
        <w:rPr>
          <w:rFonts w:hint="cs"/>
          <w:rtl/>
          <w:lang w:eastAsia="zh-TW"/>
        </w:rPr>
        <w:t>ً</w:t>
      </w:r>
      <w:r>
        <w:rPr>
          <w:rFonts w:hint="cs"/>
          <w:rtl/>
          <w:lang w:eastAsia="zh-TW"/>
        </w:rPr>
        <w:t xml:space="preserve"> للمحكمة العليا في الاتحاد الروسي.</w:t>
      </w:r>
    </w:p>
    <w:p w:rsidR="00E30F6E" w:rsidRPr="00937F45" w:rsidRDefault="00E30F6E" w:rsidP="00C454CF">
      <w:pPr>
        <w:pStyle w:val="H23GA"/>
        <w:rPr>
          <w:rtl/>
        </w:rPr>
      </w:pPr>
      <w:bookmarkStart w:id="39" w:name="bookmark_96"/>
      <w:r>
        <w:tab/>
      </w:r>
      <w:r>
        <w:tab/>
      </w:r>
      <w:r w:rsidRPr="00937F45">
        <w:rPr>
          <w:rtl/>
        </w:rPr>
        <w:t>تعليقات صاحب</w:t>
      </w:r>
      <w:r>
        <w:rPr>
          <w:rFonts w:hint="cs"/>
          <w:rtl/>
        </w:rPr>
        <w:t>ة</w:t>
      </w:r>
      <w:r w:rsidRPr="00937F45">
        <w:rPr>
          <w:rtl/>
        </w:rPr>
        <w:t xml:space="preserve"> البلاغ على ملاحظات الدولة الطرف</w:t>
      </w:r>
      <w:r>
        <w:rPr>
          <w:rFonts w:hint="cs"/>
          <w:rtl/>
        </w:rPr>
        <w:t xml:space="preserve"> بشأن المقبولية والأسس الموضوعية</w:t>
      </w:r>
      <w:r w:rsidRPr="00937F45">
        <w:rPr>
          <w:rtl/>
        </w:rPr>
        <w:t xml:space="preserve"> </w:t>
      </w:r>
      <w:bookmarkEnd w:id="39"/>
    </w:p>
    <w:p w:rsidR="00E30F6E" w:rsidRPr="0033414A" w:rsidRDefault="00E30F6E" w:rsidP="00E30F6E">
      <w:pPr>
        <w:pStyle w:val="SingleTxtGA"/>
        <w:rPr>
          <w:spacing w:val="-2"/>
          <w:rtl/>
          <w:lang w:eastAsia="zh-TW" w:bidi="ar-DZ"/>
        </w:rPr>
      </w:pPr>
      <w:bookmarkStart w:id="40" w:name="bookmark_97"/>
      <w:r w:rsidRPr="0033414A">
        <w:rPr>
          <w:spacing w:val="-2"/>
          <w:rtl/>
          <w:lang w:eastAsia="zh-TW"/>
        </w:rPr>
        <w:t>٥-١</w:t>
      </w:r>
      <w:r w:rsidRPr="0033414A">
        <w:rPr>
          <w:spacing w:val="-2"/>
          <w:rtl/>
          <w:lang w:eastAsia="zh-TW"/>
        </w:rPr>
        <w:tab/>
      </w:r>
      <w:bookmarkEnd w:id="40"/>
      <w:r w:rsidRPr="0033414A">
        <w:rPr>
          <w:rFonts w:hint="cs"/>
          <w:spacing w:val="-2"/>
          <w:rtl/>
          <w:lang w:eastAsia="zh-TW"/>
        </w:rPr>
        <w:t xml:space="preserve">تلاحظ صاحبة البلاغ أن الدولة الطرف تدّعي أن شمسي </w:t>
      </w:r>
      <w:proofErr w:type="spellStart"/>
      <w:r w:rsidRPr="0033414A">
        <w:rPr>
          <w:rFonts w:hint="cs"/>
          <w:spacing w:val="-2"/>
          <w:rtl/>
          <w:lang w:eastAsia="zh-TW"/>
        </w:rPr>
        <w:t>ماغومادوف</w:t>
      </w:r>
      <w:proofErr w:type="spellEnd"/>
      <w:r w:rsidRPr="0033414A">
        <w:rPr>
          <w:rFonts w:hint="cs"/>
          <w:spacing w:val="-2"/>
          <w:rtl/>
          <w:lang w:eastAsia="zh-TW"/>
        </w:rPr>
        <w:t xml:space="preserve"> اختفى في ظروف غامضة ومن ثم لا ينبغي تحميلها المسؤولية على انتهاك مواد العهد. لكن الأدلة تثبت أن السيد </w:t>
      </w:r>
      <w:proofErr w:type="spellStart"/>
      <w:r w:rsidRPr="0033414A">
        <w:rPr>
          <w:rFonts w:hint="cs"/>
          <w:spacing w:val="-2"/>
          <w:rtl/>
          <w:lang w:eastAsia="zh-TW"/>
        </w:rPr>
        <w:t>ماغومادوف</w:t>
      </w:r>
      <w:proofErr w:type="spellEnd"/>
      <w:r w:rsidRPr="0033414A">
        <w:rPr>
          <w:rFonts w:hint="cs"/>
          <w:spacing w:val="-2"/>
          <w:rtl/>
          <w:lang w:eastAsia="zh-TW"/>
        </w:rPr>
        <w:t xml:space="preserve"> كان، بتاريخ 9 كانون الثاني/يناير 1995، محتجزا</w:t>
      </w:r>
      <w:r w:rsidR="00411587">
        <w:rPr>
          <w:rFonts w:hint="cs"/>
          <w:spacing w:val="-2"/>
          <w:rtl/>
          <w:lang w:eastAsia="zh-TW"/>
        </w:rPr>
        <w:t>ً</w:t>
      </w:r>
      <w:r w:rsidRPr="0033414A">
        <w:rPr>
          <w:rFonts w:hint="cs"/>
          <w:spacing w:val="-2"/>
          <w:rtl/>
          <w:lang w:eastAsia="zh-TW"/>
        </w:rPr>
        <w:t xml:space="preserve"> لدى القوات العسكرية الاتحادية في جمهورية الشيشان، وأنه احتُجز في الحبس الاحتياطي في </w:t>
      </w:r>
      <w:proofErr w:type="spellStart"/>
      <w:r w:rsidRPr="0033414A">
        <w:rPr>
          <w:rFonts w:hint="cs"/>
          <w:spacing w:val="-2"/>
          <w:rtl/>
          <w:lang w:eastAsia="zh-TW"/>
        </w:rPr>
        <w:t>موزدوك</w:t>
      </w:r>
      <w:proofErr w:type="spellEnd"/>
      <w:r w:rsidRPr="0033414A">
        <w:rPr>
          <w:rFonts w:hint="cs"/>
          <w:spacing w:val="-2"/>
          <w:rtl/>
          <w:lang w:eastAsia="zh-TW"/>
        </w:rPr>
        <w:t xml:space="preserve"> (انظر الفقرتين 2-1 </w:t>
      </w:r>
      <w:proofErr w:type="spellStart"/>
      <w:r w:rsidRPr="0033414A">
        <w:rPr>
          <w:rFonts w:hint="cs"/>
          <w:spacing w:val="-2"/>
          <w:rtl/>
          <w:lang w:eastAsia="zh-TW"/>
        </w:rPr>
        <w:t>و2</w:t>
      </w:r>
      <w:proofErr w:type="spellEnd"/>
      <w:r w:rsidRPr="0033414A">
        <w:rPr>
          <w:rFonts w:hint="cs"/>
          <w:spacing w:val="-2"/>
          <w:rtl/>
          <w:lang w:eastAsia="zh-TW"/>
        </w:rPr>
        <w:t>-2 أعلاه)</w:t>
      </w:r>
      <w:r w:rsidR="00C454CF" w:rsidRPr="0033414A">
        <w:rPr>
          <w:rStyle w:val="FootnoteReference"/>
          <w:spacing w:val="-2"/>
          <w:rtl/>
          <w:lang w:eastAsia="zh-TW"/>
        </w:rPr>
        <w:t>(</w:t>
      </w:r>
      <w:r w:rsidR="00C454CF" w:rsidRPr="0033414A">
        <w:rPr>
          <w:rStyle w:val="FootnoteReference"/>
          <w:spacing w:val="-2"/>
          <w:rtl/>
          <w:lang w:eastAsia="zh-TW"/>
        </w:rPr>
        <w:footnoteReference w:id="10"/>
      </w:r>
      <w:r w:rsidR="00C454CF" w:rsidRPr="0033414A">
        <w:rPr>
          <w:rStyle w:val="FootnoteReference"/>
          <w:spacing w:val="-2"/>
          <w:rtl/>
          <w:lang w:eastAsia="zh-TW"/>
        </w:rPr>
        <w:t>)</w:t>
      </w:r>
      <w:r w:rsidR="00C454CF" w:rsidRPr="0033414A">
        <w:rPr>
          <w:rFonts w:hint="cs"/>
          <w:spacing w:val="-2"/>
          <w:rtl/>
          <w:lang w:eastAsia="zh-TW"/>
        </w:rPr>
        <w:t xml:space="preserve">. </w:t>
      </w:r>
      <w:r w:rsidRPr="0033414A">
        <w:rPr>
          <w:rFonts w:hint="cs"/>
          <w:spacing w:val="-2"/>
          <w:rtl/>
          <w:lang w:eastAsia="zh-TW"/>
        </w:rPr>
        <w:t>وثمة رسالة أخرى،</w:t>
      </w:r>
      <w:r w:rsidRPr="0033414A">
        <w:rPr>
          <w:rFonts w:cs="Times New Roman" w:hint="cs"/>
          <w:spacing w:val="-2"/>
          <w:rtl/>
          <w:lang w:eastAsia="zh-TW" w:bidi="ar-DZ"/>
        </w:rPr>
        <w:t xml:space="preserve"> </w:t>
      </w:r>
      <w:r w:rsidRPr="0033414A">
        <w:rPr>
          <w:rFonts w:hint="cs"/>
          <w:spacing w:val="-2"/>
          <w:rtl/>
          <w:lang w:eastAsia="zh-TW" w:bidi="ar-DZ"/>
        </w:rPr>
        <w:t>مؤرخة 12 أيلول/سبتمبر 1996، حررتها اللجنة الدولية للصليب الأحمر، تذكر أيضا</w:t>
      </w:r>
      <w:r w:rsidR="00C454CF" w:rsidRPr="0033414A">
        <w:rPr>
          <w:rFonts w:hint="cs"/>
          <w:spacing w:val="-2"/>
          <w:rtl/>
          <w:lang w:eastAsia="zh-TW" w:bidi="ar-DZ"/>
        </w:rPr>
        <w:t>ً</w:t>
      </w:r>
      <w:r w:rsidRPr="0033414A">
        <w:rPr>
          <w:rFonts w:hint="cs"/>
          <w:spacing w:val="-2"/>
          <w:rtl/>
          <w:lang w:eastAsia="zh-TW" w:bidi="ar-DZ"/>
        </w:rPr>
        <w:t xml:space="preserve"> أن ممثلين عن الصليب الأحمر زاروا السيد </w:t>
      </w:r>
      <w:proofErr w:type="spellStart"/>
      <w:r w:rsidRPr="0033414A">
        <w:rPr>
          <w:rFonts w:hint="cs"/>
          <w:spacing w:val="-2"/>
          <w:rtl/>
          <w:lang w:eastAsia="zh-TW" w:bidi="ar-DZ"/>
        </w:rPr>
        <w:t>ماغومادوف</w:t>
      </w:r>
      <w:proofErr w:type="spellEnd"/>
      <w:r w:rsidRPr="0033414A">
        <w:rPr>
          <w:rFonts w:hint="cs"/>
          <w:spacing w:val="-2"/>
          <w:rtl/>
          <w:lang w:eastAsia="zh-TW" w:bidi="ar-DZ"/>
        </w:rPr>
        <w:t xml:space="preserve"> في مركز الاحتجاز الاحتياطي في </w:t>
      </w:r>
      <w:proofErr w:type="spellStart"/>
      <w:r w:rsidRPr="0033414A">
        <w:rPr>
          <w:rFonts w:hint="cs"/>
          <w:spacing w:val="-2"/>
          <w:rtl/>
          <w:lang w:eastAsia="zh-TW" w:bidi="ar-DZ"/>
        </w:rPr>
        <w:t>موزدوك</w:t>
      </w:r>
      <w:proofErr w:type="spellEnd"/>
      <w:r w:rsidR="00C454CF" w:rsidRPr="0033414A">
        <w:rPr>
          <w:rStyle w:val="FootnoteReference"/>
          <w:spacing w:val="-2"/>
          <w:rtl/>
          <w:lang w:eastAsia="zh-TW" w:bidi="ar-DZ"/>
        </w:rPr>
        <w:t>(</w:t>
      </w:r>
      <w:r w:rsidR="00C454CF" w:rsidRPr="0033414A">
        <w:rPr>
          <w:rStyle w:val="FootnoteReference"/>
          <w:spacing w:val="-2"/>
          <w:rtl/>
          <w:lang w:eastAsia="zh-TW" w:bidi="ar-DZ"/>
        </w:rPr>
        <w:footnoteReference w:id="11"/>
      </w:r>
      <w:r w:rsidR="00C454CF" w:rsidRPr="0033414A">
        <w:rPr>
          <w:rStyle w:val="FootnoteReference"/>
          <w:spacing w:val="-2"/>
          <w:rtl/>
          <w:lang w:eastAsia="zh-TW" w:bidi="ar-DZ"/>
        </w:rPr>
        <w:t>)</w:t>
      </w:r>
      <w:r w:rsidR="00C454CF" w:rsidRPr="0033414A">
        <w:rPr>
          <w:rFonts w:hint="cs"/>
          <w:spacing w:val="-2"/>
          <w:rtl/>
          <w:lang w:eastAsia="zh-TW" w:bidi="ar-DZ"/>
        </w:rPr>
        <w:t xml:space="preserve">. </w:t>
      </w:r>
      <w:r w:rsidRPr="0033414A">
        <w:rPr>
          <w:rFonts w:hint="cs"/>
          <w:spacing w:val="-2"/>
          <w:rtl/>
          <w:lang w:eastAsia="zh-TW" w:bidi="ar-DZ"/>
        </w:rPr>
        <w:t>وأكّد مكتب المدعي العام الإقليمي في القوقاز أيضا</w:t>
      </w:r>
      <w:r w:rsidR="00C454CF" w:rsidRPr="0033414A">
        <w:rPr>
          <w:rFonts w:hint="cs"/>
          <w:spacing w:val="-2"/>
          <w:rtl/>
          <w:lang w:eastAsia="zh-TW" w:bidi="ar-DZ"/>
        </w:rPr>
        <w:t>ً</w:t>
      </w:r>
      <w:r w:rsidRPr="0033414A">
        <w:rPr>
          <w:rFonts w:hint="cs"/>
          <w:spacing w:val="-2"/>
          <w:rtl/>
          <w:lang w:eastAsia="zh-TW" w:bidi="ar-DZ"/>
        </w:rPr>
        <w:t xml:space="preserve"> أن السيد </w:t>
      </w:r>
      <w:proofErr w:type="spellStart"/>
      <w:r w:rsidRPr="0033414A">
        <w:rPr>
          <w:rFonts w:hint="cs"/>
          <w:spacing w:val="-2"/>
          <w:rtl/>
          <w:lang w:eastAsia="zh-TW" w:bidi="ar-DZ"/>
        </w:rPr>
        <w:t>ماغومادوف</w:t>
      </w:r>
      <w:proofErr w:type="spellEnd"/>
      <w:r w:rsidRPr="0033414A">
        <w:rPr>
          <w:rFonts w:hint="cs"/>
          <w:spacing w:val="-2"/>
          <w:rtl/>
          <w:lang w:eastAsia="zh-TW" w:bidi="ar-DZ"/>
        </w:rPr>
        <w:t xml:space="preserve"> كان محتجزا</w:t>
      </w:r>
      <w:r w:rsidR="00C454CF" w:rsidRPr="0033414A">
        <w:rPr>
          <w:rFonts w:hint="cs"/>
          <w:spacing w:val="-2"/>
          <w:rtl/>
          <w:lang w:eastAsia="zh-TW" w:bidi="ar-DZ"/>
        </w:rPr>
        <w:t>ً</w:t>
      </w:r>
      <w:r w:rsidRPr="0033414A">
        <w:rPr>
          <w:rFonts w:hint="cs"/>
          <w:spacing w:val="-2"/>
          <w:rtl/>
          <w:lang w:eastAsia="zh-TW" w:bidi="ar-DZ"/>
        </w:rPr>
        <w:t xml:space="preserve"> إلى غاية 3 شباط/فبراير 1995. </w:t>
      </w:r>
    </w:p>
    <w:p w:rsidR="00E30F6E" w:rsidRPr="00302314" w:rsidRDefault="00E30F6E" w:rsidP="00E30F6E">
      <w:pPr>
        <w:pStyle w:val="SingleTxtGA"/>
        <w:rPr>
          <w:rtl/>
          <w:lang w:eastAsia="zh-TW" w:bidi="ar-DZ"/>
        </w:rPr>
      </w:pPr>
      <w:bookmarkStart w:id="42" w:name="bookmark_98"/>
      <w:r>
        <w:rPr>
          <w:rtl/>
          <w:lang w:eastAsia="zh-TW"/>
        </w:rPr>
        <w:t>٥-٢</w:t>
      </w:r>
      <w:r>
        <w:rPr>
          <w:rtl/>
          <w:lang w:eastAsia="zh-TW"/>
        </w:rPr>
        <w:tab/>
      </w:r>
      <w:bookmarkEnd w:id="42"/>
      <w:r>
        <w:rPr>
          <w:rFonts w:hint="cs"/>
          <w:rtl/>
          <w:lang w:eastAsia="zh-TW" w:bidi="ar-DZ"/>
        </w:rPr>
        <w:t xml:space="preserve">على أن الدولة الطرف تنفي حقيقة أن يكون السيد </w:t>
      </w:r>
      <w:proofErr w:type="spellStart"/>
      <w:r>
        <w:rPr>
          <w:rFonts w:hint="cs"/>
          <w:rtl/>
          <w:lang w:eastAsia="zh-TW" w:bidi="ar-DZ"/>
        </w:rPr>
        <w:t>ماغومادوف</w:t>
      </w:r>
      <w:proofErr w:type="spellEnd"/>
      <w:r>
        <w:rPr>
          <w:rFonts w:hint="cs"/>
          <w:rtl/>
          <w:lang w:eastAsia="zh-TW" w:bidi="ar-DZ"/>
        </w:rPr>
        <w:t xml:space="preserve"> قد احتجز وأنه كان في قبضة السلطات الاتحادية. ولم تقدّم الدولة الطرف أيضا</w:t>
      </w:r>
      <w:r w:rsidR="00411587">
        <w:rPr>
          <w:rFonts w:hint="cs"/>
          <w:rtl/>
          <w:lang w:eastAsia="zh-TW" w:bidi="ar-DZ"/>
        </w:rPr>
        <w:t>ً</w:t>
      </w:r>
      <w:r>
        <w:rPr>
          <w:rFonts w:hint="cs"/>
          <w:rtl/>
          <w:lang w:eastAsia="zh-TW" w:bidi="ar-DZ"/>
        </w:rPr>
        <w:t xml:space="preserve"> أية معلومات تبيّن فيها إن كانت أفرجت عن السيد </w:t>
      </w:r>
      <w:proofErr w:type="spellStart"/>
      <w:r>
        <w:rPr>
          <w:rFonts w:hint="cs"/>
          <w:rtl/>
          <w:lang w:eastAsia="zh-TW" w:bidi="ar-DZ"/>
        </w:rPr>
        <w:t>ماغومادوف</w:t>
      </w:r>
      <w:proofErr w:type="spellEnd"/>
      <w:r>
        <w:rPr>
          <w:rFonts w:hint="cs"/>
          <w:rtl/>
          <w:lang w:eastAsia="zh-TW" w:bidi="ar-DZ"/>
        </w:rPr>
        <w:t xml:space="preserve">، وإذا كان الأمر كذلك فهل شوهد في أي وقت من الأوقات بعد احتجازه. وتدعي صاحبة البلاغ أن هذا يبيّن أن اختفاء السيد </w:t>
      </w:r>
      <w:proofErr w:type="spellStart"/>
      <w:r>
        <w:rPr>
          <w:rFonts w:hint="cs"/>
          <w:rtl/>
          <w:lang w:eastAsia="zh-TW" w:bidi="ar-DZ"/>
        </w:rPr>
        <w:t>ماغومادوف</w:t>
      </w:r>
      <w:proofErr w:type="spellEnd"/>
      <w:r>
        <w:rPr>
          <w:rFonts w:hint="cs"/>
          <w:rtl/>
          <w:lang w:eastAsia="zh-TW" w:bidi="ar-DZ"/>
        </w:rPr>
        <w:t xml:space="preserve"> وقع أثناء وجوده في قبضة السلطات. لقد مضى 23 عاما</w:t>
      </w:r>
      <w:r w:rsidR="00C454CF">
        <w:rPr>
          <w:rFonts w:hint="cs"/>
          <w:rtl/>
          <w:lang w:eastAsia="zh-TW" w:bidi="ar-DZ"/>
        </w:rPr>
        <w:t>ً</w:t>
      </w:r>
      <w:r>
        <w:rPr>
          <w:rFonts w:hint="cs"/>
          <w:rtl/>
          <w:lang w:eastAsia="zh-TW" w:bidi="ar-DZ"/>
        </w:rPr>
        <w:t xml:space="preserve"> على اختفائه دون أن تتمكن صاحبة البلاغ من الحصول على أية معلومات عن مصيره. وتدفع صاحبة البلاغ بأن الدولة الطرف لم تجر تحقيقا</w:t>
      </w:r>
      <w:r w:rsidR="00AE6F1D">
        <w:rPr>
          <w:rFonts w:hint="cs"/>
          <w:rtl/>
          <w:lang w:eastAsia="zh-TW" w:bidi="ar-DZ"/>
        </w:rPr>
        <w:t>ً</w:t>
      </w:r>
      <w:r>
        <w:rPr>
          <w:rFonts w:hint="cs"/>
          <w:rtl/>
          <w:lang w:eastAsia="zh-TW" w:bidi="ar-DZ"/>
        </w:rPr>
        <w:t xml:space="preserve"> في الوقت المناسب ورفضت فتح تحقيق جنائي رسمي. وبذلك تكون الدولة الطرف قد انتهكت حق السيد </w:t>
      </w:r>
      <w:proofErr w:type="spellStart"/>
      <w:r>
        <w:rPr>
          <w:rFonts w:hint="cs"/>
          <w:rtl/>
          <w:lang w:eastAsia="zh-TW" w:bidi="ar-DZ"/>
        </w:rPr>
        <w:t>ماغومادوف</w:t>
      </w:r>
      <w:proofErr w:type="spellEnd"/>
      <w:r>
        <w:rPr>
          <w:rFonts w:hint="cs"/>
          <w:rtl/>
          <w:lang w:eastAsia="zh-TW" w:bidi="ar-DZ"/>
        </w:rPr>
        <w:t xml:space="preserve"> في الحياة، بمقتضى المادة 6 من العهد.</w:t>
      </w:r>
    </w:p>
    <w:p w:rsidR="00E30F6E" w:rsidRPr="00302314" w:rsidRDefault="00E30F6E" w:rsidP="00E30F6E">
      <w:pPr>
        <w:pStyle w:val="SingleTxtGA"/>
        <w:rPr>
          <w:rtl/>
          <w:lang w:eastAsia="zh-TW" w:bidi="ar-DZ"/>
        </w:rPr>
      </w:pPr>
      <w:bookmarkStart w:id="43" w:name="bookmark_99"/>
      <w:r>
        <w:rPr>
          <w:rtl/>
          <w:lang w:eastAsia="zh-TW"/>
        </w:rPr>
        <w:t>٥-٣</w:t>
      </w:r>
      <w:r>
        <w:rPr>
          <w:rtl/>
          <w:lang w:eastAsia="zh-TW"/>
        </w:rPr>
        <w:tab/>
      </w:r>
      <w:bookmarkEnd w:id="43"/>
      <w:r>
        <w:rPr>
          <w:rFonts w:hint="cs"/>
          <w:rtl/>
          <w:lang w:eastAsia="zh-TW" w:bidi="ar-DZ"/>
        </w:rPr>
        <w:t xml:space="preserve">وتكرر صاحبة البلاغ أن سلطات الدولة الطرف مسؤولة عن احتجاز السيد </w:t>
      </w:r>
      <w:proofErr w:type="spellStart"/>
      <w:r>
        <w:rPr>
          <w:rFonts w:hint="cs"/>
          <w:rtl/>
          <w:lang w:eastAsia="zh-TW" w:bidi="ar-DZ"/>
        </w:rPr>
        <w:t>ماغومادوف</w:t>
      </w:r>
      <w:proofErr w:type="spellEnd"/>
      <w:r>
        <w:rPr>
          <w:rFonts w:hint="cs"/>
          <w:rtl/>
          <w:lang w:eastAsia="zh-TW" w:bidi="ar-DZ"/>
        </w:rPr>
        <w:t xml:space="preserve"> بصورة غير قانونية. وقد أخفقت الدولة الطرف في تقديم أي توضيح مقنع عن المصير الذي لقيه أثناء وبعد احتجازه. وبناء عليه، فإن احتجاز السيد </w:t>
      </w:r>
      <w:proofErr w:type="spellStart"/>
      <w:r>
        <w:rPr>
          <w:rFonts w:hint="cs"/>
          <w:rtl/>
          <w:lang w:eastAsia="zh-TW" w:bidi="ar-DZ"/>
        </w:rPr>
        <w:t>ماغومادوف</w:t>
      </w:r>
      <w:proofErr w:type="spellEnd"/>
      <w:r>
        <w:rPr>
          <w:rFonts w:hint="cs"/>
          <w:rtl/>
          <w:lang w:eastAsia="zh-TW" w:bidi="ar-DZ"/>
        </w:rPr>
        <w:t xml:space="preserve"> تعسفي بطبيعته. وثمة معلومات أيضا</w:t>
      </w:r>
      <w:r w:rsidR="00411587">
        <w:rPr>
          <w:rFonts w:hint="cs"/>
          <w:rtl/>
          <w:lang w:eastAsia="zh-TW" w:bidi="ar-DZ"/>
        </w:rPr>
        <w:t>ً</w:t>
      </w:r>
      <w:r>
        <w:rPr>
          <w:rFonts w:hint="cs"/>
          <w:rtl/>
          <w:lang w:eastAsia="zh-TW" w:bidi="ar-DZ"/>
        </w:rPr>
        <w:t>، استنادا</w:t>
      </w:r>
      <w:r w:rsidR="00411587">
        <w:rPr>
          <w:rFonts w:hint="cs"/>
          <w:rtl/>
          <w:lang w:eastAsia="zh-TW" w:bidi="ar-DZ"/>
        </w:rPr>
        <w:t>ً</w:t>
      </w:r>
      <w:r>
        <w:rPr>
          <w:rFonts w:hint="cs"/>
          <w:rtl/>
          <w:lang w:eastAsia="zh-TW" w:bidi="ar-DZ"/>
        </w:rPr>
        <w:t xml:space="preserve"> إلى مقال صحفي، تفيد بأن السيد </w:t>
      </w:r>
      <w:proofErr w:type="spellStart"/>
      <w:r>
        <w:rPr>
          <w:rFonts w:hint="cs"/>
          <w:rtl/>
          <w:lang w:eastAsia="zh-TW" w:bidi="ar-DZ"/>
        </w:rPr>
        <w:t>ماغومادوف</w:t>
      </w:r>
      <w:proofErr w:type="spellEnd"/>
      <w:r>
        <w:rPr>
          <w:rFonts w:hint="cs"/>
          <w:rtl/>
          <w:lang w:eastAsia="zh-TW" w:bidi="ar-DZ"/>
        </w:rPr>
        <w:t xml:space="preserve"> احتجز في وقت ما من عام 1995 في سجن مدينة </w:t>
      </w:r>
      <w:proofErr w:type="spellStart"/>
      <w:r>
        <w:rPr>
          <w:rFonts w:hint="cs"/>
          <w:rtl/>
          <w:lang w:eastAsia="zh-TW" w:bidi="ar-DZ"/>
        </w:rPr>
        <w:t>بياتيغورسك</w:t>
      </w:r>
      <w:proofErr w:type="spellEnd"/>
      <w:r>
        <w:rPr>
          <w:rFonts w:hint="cs"/>
          <w:rtl/>
          <w:lang w:eastAsia="zh-TW" w:bidi="ar-DZ"/>
        </w:rPr>
        <w:t xml:space="preserve"> حيث قضى عقوبة بالسجن 14 عاما</w:t>
      </w:r>
      <w:r w:rsidR="00C454CF">
        <w:rPr>
          <w:rFonts w:hint="cs"/>
          <w:rtl/>
          <w:lang w:eastAsia="zh-TW" w:bidi="ar-DZ"/>
        </w:rPr>
        <w:t>ً</w:t>
      </w:r>
      <w:r>
        <w:rPr>
          <w:rFonts w:hint="cs"/>
          <w:rtl/>
          <w:lang w:eastAsia="zh-TW" w:bidi="ar-DZ"/>
        </w:rPr>
        <w:t xml:space="preserve"> (انظر الفقرة 2-2 أعلاه).</w:t>
      </w:r>
    </w:p>
    <w:p w:rsidR="00E30F6E" w:rsidRPr="00302314" w:rsidRDefault="00E30F6E" w:rsidP="00E30F6E">
      <w:pPr>
        <w:pStyle w:val="SingleTxtGA"/>
        <w:rPr>
          <w:rtl/>
          <w:lang w:eastAsia="zh-TW"/>
        </w:rPr>
      </w:pPr>
      <w:bookmarkStart w:id="44" w:name="bookmark_100"/>
      <w:r>
        <w:rPr>
          <w:rtl/>
          <w:lang w:eastAsia="zh-TW"/>
        </w:rPr>
        <w:t>٥-٤</w:t>
      </w:r>
      <w:r>
        <w:rPr>
          <w:rtl/>
          <w:lang w:eastAsia="zh-TW"/>
        </w:rPr>
        <w:tab/>
      </w:r>
      <w:bookmarkEnd w:id="44"/>
      <w:r>
        <w:rPr>
          <w:rFonts w:hint="cs"/>
          <w:rtl/>
          <w:lang w:eastAsia="zh-TW"/>
        </w:rPr>
        <w:t>والاختفاء القسري يلحق المعاناة بالضحايا وبأفراد أسرهم أيضا</w:t>
      </w:r>
      <w:r w:rsidR="008615E4">
        <w:rPr>
          <w:rFonts w:hint="cs"/>
          <w:rtl/>
          <w:lang w:eastAsia="zh-TW"/>
        </w:rPr>
        <w:t>ً</w:t>
      </w:r>
      <w:r>
        <w:rPr>
          <w:rFonts w:hint="cs"/>
          <w:rtl/>
          <w:lang w:eastAsia="zh-TW"/>
        </w:rPr>
        <w:t>. فالأسر تنتظر سنوات طوال لتأتيها الأخبار عن ذويهم المفقودين وقد لا تأتيهم أبدا</w:t>
      </w:r>
      <w:r w:rsidR="00731471">
        <w:rPr>
          <w:rFonts w:hint="cs"/>
          <w:rtl/>
          <w:lang w:eastAsia="zh-TW"/>
        </w:rPr>
        <w:t>ً</w:t>
      </w:r>
      <w:r>
        <w:rPr>
          <w:rFonts w:hint="cs"/>
          <w:rtl/>
          <w:lang w:eastAsia="zh-TW"/>
        </w:rPr>
        <w:t xml:space="preserve"> على الأرجح. ويشعر أفراد الأسر في الغالب بنفس الشعور الذي يشعر به ضحايا التعذيب أنفسُهم. ومن ذلك على سبيل المثال، فقد أصيبت أم </w:t>
      </w:r>
      <w:r>
        <w:rPr>
          <w:rFonts w:hint="cs"/>
          <w:rtl/>
          <w:lang w:eastAsia="zh-TW" w:bidi="ar-DZ"/>
        </w:rPr>
        <w:t xml:space="preserve">السيد </w:t>
      </w:r>
      <w:proofErr w:type="spellStart"/>
      <w:r>
        <w:rPr>
          <w:rFonts w:hint="cs"/>
          <w:rtl/>
          <w:lang w:eastAsia="zh-TW" w:bidi="ar-DZ"/>
        </w:rPr>
        <w:t>ماغومادوف</w:t>
      </w:r>
      <w:proofErr w:type="spellEnd"/>
      <w:r>
        <w:rPr>
          <w:rFonts w:hint="cs"/>
          <w:rtl/>
          <w:lang w:eastAsia="zh-TW"/>
        </w:rPr>
        <w:t xml:space="preserve"> بعد اختفائه بسكتة دماغية، ولزمت فراشها طوال سبع سنوات وتوفيت بعد عشر سنوات من انتظار أخبار عن ابنها. وعانت صاحبة البلاغ نفسها من عدم اكتراث سلطات الدولة الطرف إزاء مصير شقيقها. وحدوث أعمال القتل والتعذيب وسوء المعاملة على أيدي أجهزة إنفاذ القانون في روسيا أمر معلوم على نطاق واسع.</w:t>
      </w:r>
    </w:p>
    <w:p w:rsidR="00E30F6E" w:rsidRPr="00302314" w:rsidRDefault="00E30F6E" w:rsidP="00E30F6E">
      <w:pPr>
        <w:pStyle w:val="SingleTxtGA"/>
        <w:rPr>
          <w:rtl/>
          <w:lang w:eastAsia="zh-TW"/>
        </w:rPr>
      </w:pPr>
      <w:bookmarkStart w:id="45" w:name="bookmark_104"/>
      <w:r>
        <w:rPr>
          <w:rtl/>
          <w:lang w:eastAsia="zh-TW"/>
        </w:rPr>
        <w:t>٥-٥</w:t>
      </w:r>
      <w:r>
        <w:rPr>
          <w:rtl/>
          <w:lang w:eastAsia="zh-TW"/>
        </w:rPr>
        <w:tab/>
      </w:r>
      <w:bookmarkEnd w:id="45"/>
      <w:r>
        <w:rPr>
          <w:rFonts w:hint="cs"/>
          <w:rtl/>
          <w:lang w:eastAsia="zh-TW"/>
        </w:rPr>
        <w:t>أما فيما يتعلق بمقبولية البلاغ، فتدفع صاحبة البلاغ بأن سبل الانتصاف المتاحة في إطار الإجراءات المحلية غير مجدية. والدليل على ذلك أنه بعد مرور سنوات وسنوات على بدء التحقيق لم يكتمل بعد حتى الآن. وفضلا</w:t>
      </w:r>
      <w:r w:rsidR="008615E4">
        <w:rPr>
          <w:rFonts w:hint="cs"/>
          <w:rtl/>
          <w:lang w:eastAsia="zh-TW"/>
        </w:rPr>
        <w:t>ً</w:t>
      </w:r>
      <w:r>
        <w:rPr>
          <w:rFonts w:hint="cs"/>
          <w:rtl/>
          <w:lang w:eastAsia="zh-TW"/>
        </w:rPr>
        <w:t xml:space="preserve"> عن ذلك، فقد رأت اللجنة منذ فترة طويلة أن شرط استنفاد سبل الانتصاف المحلية لا ينطبق إذا كانت الإجراءات طويلة على نحو غير معقول. ولا</w:t>
      </w:r>
      <w:r w:rsidR="00C454CF">
        <w:rPr>
          <w:rFonts w:hint="eastAsia"/>
          <w:rtl/>
          <w:lang w:eastAsia="zh-TW"/>
        </w:rPr>
        <w:t> </w:t>
      </w:r>
      <w:r>
        <w:rPr>
          <w:rFonts w:hint="cs"/>
          <w:rtl/>
          <w:lang w:eastAsia="zh-TW"/>
        </w:rPr>
        <w:t>تملك صاحبة البلاغ إرغام السلطات على إجراء تحقيق شامل في حالة الاختفاء ولن يجدي تقديم طعن بالنقض أو استئناف في إطار المراجعة القضائية لتصحيح الوضع.</w:t>
      </w:r>
    </w:p>
    <w:p w:rsidR="00E30F6E" w:rsidRPr="00C655F6" w:rsidRDefault="00E30F6E" w:rsidP="00C454CF">
      <w:pPr>
        <w:pStyle w:val="H23GA"/>
        <w:rPr>
          <w:rtl/>
        </w:rPr>
      </w:pPr>
      <w:bookmarkStart w:id="46" w:name="bookmark_115"/>
      <w:r>
        <w:tab/>
      </w:r>
      <w:r>
        <w:tab/>
      </w:r>
      <w:r w:rsidRPr="00C655F6">
        <w:rPr>
          <w:rtl/>
        </w:rPr>
        <w:t>المسائل والإجراءات المعروضة على اللجنة</w:t>
      </w:r>
      <w:bookmarkEnd w:id="46"/>
    </w:p>
    <w:p w:rsidR="00E30F6E" w:rsidRPr="00C655F6" w:rsidRDefault="00E30F6E" w:rsidP="00C454CF">
      <w:pPr>
        <w:pStyle w:val="H4GA"/>
        <w:rPr>
          <w:rtl/>
          <w:lang w:eastAsia="zh-TW"/>
        </w:rPr>
      </w:pPr>
      <w:bookmarkStart w:id="47" w:name="bookmark_116"/>
      <w:r>
        <w:rPr>
          <w:lang w:eastAsia="zh-TW"/>
        </w:rPr>
        <w:tab/>
      </w:r>
      <w:r>
        <w:rPr>
          <w:lang w:eastAsia="zh-TW"/>
        </w:rPr>
        <w:tab/>
      </w:r>
      <w:r w:rsidRPr="00C655F6">
        <w:rPr>
          <w:rtl/>
          <w:lang w:eastAsia="zh-TW"/>
        </w:rPr>
        <w:t>النظر في المقبولية</w:t>
      </w:r>
      <w:bookmarkEnd w:id="47"/>
    </w:p>
    <w:p w:rsidR="00E30F6E" w:rsidRPr="00302314" w:rsidRDefault="00E30F6E" w:rsidP="00E30F6E">
      <w:pPr>
        <w:pStyle w:val="SingleTxtGA"/>
        <w:rPr>
          <w:rtl/>
          <w:lang w:eastAsia="zh-TW"/>
        </w:rPr>
      </w:pPr>
      <w:bookmarkStart w:id="48" w:name="bookmark_117"/>
      <w:r>
        <w:rPr>
          <w:rFonts w:hint="cs"/>
          <w:rtl/>
          <w:lang w:eastAsia="zh-TW"/>
        </w:rPr>
        <w:t>6</w:t>
      </w:r>
      <w:r>
        <w:rPr>
          <w:rtl/>
          <w:lang w:eastAsia="zh-TW"/>
        </w:rPr>
        <w:t>-١</w:t>
      </w:r>
      <w:r>
        <w:rPr>
          <w:rtl/>
          <w:lang w:eastAsia="zh-TW"/>
        </w:rPr>
        <w:tab/>
        <w:t>قبل النظر في أي ادعاء يرد في بلاغ، يجب على لجنة</w:t>
      </w:r>
      <w:r>
        <w:rPr>
          <w:rFonts w:hint="cs"/>
          <w:rtl/>
          <w:lang w:eastAsia="zh-TW"/>
        </w:rPr>
        <w:t xml:space="preserve"> حقوق الإنسان</w:t>
      </w:r>
      <w:r>
        <w:rPr>
          <w:rtl/>
          <w:lang w:eastAsia="zh-TW"/>
        </w:rPr>
        <w:t xml:space="preserve"> أن تقرر، وفقاً للمادة 93 من نظامها الداخلي، ما إذا كان البلاغ مقبولاً أم لا بموجب البروتوكول الاختياري</w:t>
      </w:r>
      <w:r>
        <w:rPr>
          <w:rFonts w:hint="cs"/>
          <w:rtl/>
          <w:lang w:eastAsia="zh-TW"/>
        </w:rPr>
        <w:t xml:space="preserve"> للعهد</w:t>
      </w:r>
      <w:r>
        <w:rPr>
          <w:rtl/>
          <w:lang w:eastAsia="zh-TW"/>
        </w:rPr>
        <w:t>.</w:t>
      </w:r>
      <w:bookmarkEnd w:id="48"/>
    </w:p>
    <w:p w:rsidR="00E30F6E" w:rsidRPr="00302314" w:rsidRDefault="00E30F6E" w:rsidP="00E30F6E">
      <w:pPr>
        <w:pStyle w:val="SingleTxtGA"/>
        <w:rPr>
          <w:rtl/>
          <w:lang w:eastAsia="zh-TW"/>
        </w:rPr>
      </w:pPr>
      <w:bookmarkStart w:id="49" w:name="bookmark_118"/>
      <w:r>
        <w:rPr>
          <w:rFonts w:hint="cs"/>
          <w:rtl/>
          <w:lang w:eastAsia="zh-TW"/>
        </w:rPr>
        <w:t>6</w:t>
      </w:r>
      <w:r>
        <w:rPr>
          <w:rtl/>
          <w:lang w:eastAsia="zh-TW"/>
        </w:rPr>
        <w:t>-٢</w:t>
      </w:r>
      <w:r>
        <w:rPr>
          <w:rtl/>
          <w:lang w:eastAsia="zh-TW"/>
        </w:rPr>
        <w:tab/>
        <w:t>وقد تأكدت اللجنة، وفق ما تقتضيه الفقرة (2)(أ) من المادة 5 من البروتوكول الاختياري، من أن المسألة ذاتها ليست قيد النظر في إطار أي إجراء آخر للتحقيق الدولي أو</w:t>
      </w:r>
      <w:r w:rsidR="00C454CF">
        <w:rPr>
          <w:rFonts w:hint="cs"/>
          <w:rtl/>
          <w:lang w:eastAsia="zh-TW"/>
        </w:rPr>
        <w:t> </w:t>
      </w:r>
      <w:r>
        <w:rPr>
          <w:rtl/>
          <w:lang w:eastAsia="zh-TW"/>
        </w:rPr>
        <w:t>التسوية الدولية.</w:t>
      </w:r>
      <w:bookmarkEnd w:id="49"/>
      <w:r>
        <w:rPr>
          <w:rFonts w:hint="cs"/>
          <w:rtl/>
          <w:lang w:eastAsia="zh-TW"/>
        </w:rPr>
        <w:t xml:space="preserve"> </w:t>
      </w:r>
    </w:p>
    <w:p w:rsidR="00E30F6E" w:rsidRDefault="00E30F6E" w:rsidP="00E30F6E">
      <w:pPr>
        <w:pStyle w:val="SingleTxtGA"/>
        <w:rPr>
          <w:rtl/>
          <w:lang w:eastAsia="zh-TW"/>
        </w:rPr>
      </w:pPr>
      <w:bookmarkStart w:id="50" w:name="bookmark_119"/>
      <w:r>
        <w:rPr>
          <w:rFonts w:hint="cs"/>
          <w:rtl/>
          <w:lang w:eastAsia="zh-TW"/>
        </w:rPr>
        <w:t>6</w:t>
      </w:r>
      <w:r>
        <w:rPr>
          <w:rtl/>
          <w:lang w:eastAsia="zh-TW"/>
        </w:rPr>
        <w:t>-٣</w:t>
      </w:r>
      <w:r>
        <w:rPr>
          <w:rtl/>
          <w:lang w:eastAsia="zh-TW"/>
        </w:rPr>
        <w:tab/>
        <w:t>وت</w:t>
      </w:r>
      <w:r>
        <w:rPr>
          <w:rFonts w:hint="cs"/>
          <w:rtl/>
          <w:lang w:eastAsia="zh-TW"/>
        </w:rPr>
        <w:t>حيط</w:t>
      </w:r>
      <w:r>
        <w:rPr>
          <w:rtl/>
          <w:lang w:eastAsia="zh-TW"/>
        </w:rPr>
        <w:t xml:space="preserve"> اللجنة</w:t>
      </w:r>
      <w:r>
        <w:rPr>
          <w:rFonts w:hint="cs"/>
          <w:rtl/>
          <w:lang w:eastAsia="zh-TW"/>
        </w:rPr>
        <w:t xml:space="preserve"> </w:t>
      </w:r>
      <w:bookmarkEnd w:id="50"/>
      <w:r>
        <w:rPr>
          <w:rFonts w:hint="cs"/>
          <w:rtl/>
          <w:lang w:eastAsia="zh-TW"/>
        </w:rPr>
        <w:t>علما</w:t>
      </w:r>
      <w:r w:rsidR="00C454CF">
        <w:rPr>
          <w:rFonts w:hint="cs"/>
          <w:rtl/>
          <w:lang w:eastAsia="zh-TW"/>
        </w:rPr>
        <w:t>ً</w:t>
      </w:r>
      <w:r>
        <w:rPr>
          <w:rFonts w:hint="cs"/>
          <w:rtl/>
          <w:lang w:eastAsia="zh-TW"/>
        </w:rPr>
        <w:t xml:space="preserve"> بحجة الدولة الطرف بأن صاحبة البلاغ لم تستنفد سبل الانتصاف المحلية إذ لم تطعن بالنقض في القرارين الصادرين يوم 9 أيلول/سبتمبر </w:t>
      </w:r>
      <w:proofErr w:type="spellStart"/>
      <w:r>
        <w:rPr>
          <w:rFonts w:hint="cs"/>
          <w:rtl/>
          <w:lang w:eastAsia="zh-TW"/>
        </w:rPr>
        <w:t>و19</w:t>
      </w:r>
      <w:proofErr w:type="spellEnd"/>
      <w:r>
        <w:rPr>
          <w:rFonts w:hint="cs"/>
          <w:rtl/>
          <w:lang w:eastAsia="zh-TW"/>
        </w:rPr>
        <w:t xml:space="preserve"> تشرين الأول/</w:t>
      </w:r>
      <w:r w:rsidR="0033414A">
        <w:rPr>
          <w:rFonts w:hint="cs"/>
          <w:rtl/>
          <w:lang w:eastAsia="zh-TW"/>
        </w:rPr>
        <w:t xml:space="preserve"> </w:t>
      </w:r>
      <w:r>
        <w:rPr>
          <w:rFonts w:hint="cs"/>
          <w:rtl/>
          <w:lang w:eastAsia="zh-TW"/>
        </w:rPr>
        <w:t>أكتوبر</w:t>
      </w:r>
      <w:r w:rsidR="0033414A">
        <w:rPr>
          <w:rFonts w:hint="eastAsia"/>
          <w:rtl/>
          <w:lang w:eastAsia="zh-TW"/>
        </w:rPr>
        <w:t> </w:t>
      </w:r>
      <w:r>
        <w:rPr>
          <w:rFonts w:hint="cs"/>
          <w:rtl/>
          <w:lang w:eastAsia="zh-TW"/>
        </w:rPr>
        <w:t xml:space="preserve">2011 ولم تستأنف عليهما في إطار المراجعة القضائية (انظر الفقرتين 4-1 </w:t>
      </w:r>
      <w:proofErr w:type="spellStart"/>
      <w:r>
        <w:rPr>
          <w:rFonts w:hint="cs"/>
          <w:rtl/>
          <w:lang w:eastAsia="zh-TW"/>
        </w:rPr>
        <w:t>و4</w:t>
      </w:r>
      <w:proofErr w:type="spellEnd"/>
      <w:r>
        <w:rPr>
          <w:rFonts w:hint="cs"/>
          <w:rtl/>
          <w:lang w:eastAsia="zh-TW"/>
        </w:rPr>
        <w:t>-2 أعلاه). وتلاحظ اللجنة أن إجراءات النقض والمراجعة القضائية تتعلق بمراجعة قرارات المحاكم التي أصبحت نافذة، من حيث المسائل القانونية فقط. والقرارات بإحالة أو عدم إحالة قضية ما لتنظر فيها محكمة النقض أو محكمة المراجعة القضائية تقديرية بطبيعتها، وليست محكومة بمهلة زمنية، ويتخذها قاض منفرد. وهذه الخصائص تقود اللجنة إلى الاعتقاد بأن الطلبات الخاصة بالنقض والمراجعة القضائية تنطوي على عناصر تجعلها من قبيل الانتصاف الاستثنائي. وبناء عليه، يجب على الدولة الطرف أن تبيّن، وفقا</w:t>
      </w:r>
      <w:r w:rsidR="00AE6F1D">
        <w:rPr>
          <w:rFonts w:hint="cs"/>
          <w:rtl/>
          <w:lang w:eastAsia="zh-TW"/>
        </w:rPr>
        <w:t>ً</w:t>
      </w:r>
      <w:r>
        <w:rPr>
          <w:rFonts w:hint="cs"/>
          <w:rtl/>
          <w:lang w:eastAsia="zh-TW"/>
        </w:rPr>
        <w:t xml:space="preserve"> لل</w:t>
      </w:r>
      <w:r w:rsidRPr="00FD7CD8">
        <w:rPr>
          <w:rFonts w:hint="cs"/>
          <w:rtl/>
          <w:lang w:eastAsia="zh-TW"/>
        </w:rPr>
        <w:t>اجتهاد القضائي الراسخ</w:t>
      </w:r>
      <w:r>
        <w:rPr>
          <w:rFonts w:hint="cs"/>
          <w:rtl/>
          <w:lang w:eastAsia="zh-TW"/>
        </w:rPr>
        <w:t xml:space="preserve"> الذي قضت به اللجنة، أن ثمة احتمالا</w:t>
      </w:r>
      <w:r w:rsidR="000B1781">
        <w:rPr>
          <w:rFonts w:hint="cs"/>
          <w:rtl/>
          <w:lang w:eastAsia="zh-TW"/>
        </w:rPr>
        <w:t>ً</w:t>
      </w:r>
      <w:r>
        <w:rPr>
          <w:rFonts w:hint="cs"/>
          <w:rtl/>
          <w:lang w:eastAsia="zh-TW"/>
        </w:rPr>
        <w:t xml:space="preserve"> معقولا</w:t>
      </w:r>
      <w:r w:rsidR="000B1781">
        <w:rPr>
          <w:rFonts w:hint="cs"/>
          <w:rtl/>
          <w:lang w:eastAsia="zh-TW"/>
        </w:rPr>
        <w:t>ً</w:t>
      </w:r>
      <w:r>
        <w:rPr>
          <w:rFonts w:hint="cs"/>
          <w:rtl/>
          <w:lang w:eastAsia="zh-TW"/>
        </w:rPr>
        <w:t xml:space="preserve"> لأن يتيح هذا الإجراء انتصافا</w:t>
      </w:r>
      <w:r w:rsidR="008615E4">
        <w:rPr>
          <w:rFonts w:hint="cs"/>
          <w:rtl/>
          <w:lang w:eastAsia="zh-TW"/>
        </w:rPr>
        <w:t>ً</w:t>
      </w:r>
      <w:r>
        <w:rPr>
          <w:rFonts w:hint="cs"/>
          <w:rtl/>
          <w:lang w:eastAsia="zh-TW"/>
        </w:rPr>
        <w:t xml:space="preserve"> فعالا</w:t>
      </w:r>
      <w:r w:rsidR="008615E4">
        <w:rPr>
          <w:rFonts w:hint="cs"/>
          <w:rtl/>
          <w:lang w:eastAsia="zh-TW"/>
        </w:rPr>
        <w:t>ً</w:t>
      </w:r>
      <w:r>
        <w:rPr>
          <w:rFonts w:hint="cs"/>
          <w:rtl/>
          <w:lang w:eastAsia="zh-TW"/>
        </w:rPr>
        <w:t xml:space="preserve"> في سياق ظروف القضية</w:t>
      </w:r>
      <w:r w:rsidR="00C454CF">
        <w:rPr>
          <w:rStyle w:val="FootnoteReference"/>
          <w:rtl/>
          <w:lang w:eastAsia="zh-TW"/>
        </w:rPr>
        <w:t>(</w:t>
      </w:r>
      <w:r w:rsidR="00C454CF">
        <w:rPr>
          <w:rStyle w:val="FootnoteReference"/>
          <w:rtl/>
          <w:lang w:eastAsia="zh-TW"/>
        </w:rPr>
        <w:footnoteReference w:id="12"/>
      </w:r>
      <w:r w:rsidR="00C454CF">
        <w:rPr>
          <w:rStyle w:val="FootnoteReference"/>
          <w:rtl/>
          <w:lang w:eastAsia="zh-TW"/>
        </w:rPr>
        <w:t>)</w:t>
      </w:r>
      <w:r w:rsidR="000B1781">
        <w:rPr>
          <w:rFonts w:hint="cs"/>
          <w:rtl/>
          <w:lang w:eastAsia="zh-TW"/>
        </w:rPr>
        <w:t xml:space="preserve">. </w:t>
      </w:r>
      <w:r>
        <w:rPr>
          <w:rFonts w:hint="cs"/>
          <w:rtl/>
          <w:lang w:eastAsia="zh-TW"/>
        </w:rPr>
        <w:t xml:space="preserve">وبما أن الدولة الطرف لم تقدم أي توضيح بشأن فعالية إجراء النقض وإجراء المراجعة القضائية في قضايا مماثلة لهذه القضية، ترى اللجنة أن المادة 5(2)(ب) من البروتوكول الاختياري لا تمنعها من النظر في هذا البلاغ لأغراض المقبولية. </w:t>
      </w:r>
    </w:p>
    <w:p w:rsidR="00E30F6E" w:rsidRPr="00302314" w:rsidRDefault="00E30F6E" w:rsidP="00E30F6E">
      <w:pPr>
        <w:pStyle w:val="SingleTxtGA"/>
        <w:rPr>
          <w:rtl/>
          <w:lang w:eastAsia="zh-TW"/>
        </w:rPr>
      </w:pPr>
      <w:r>
        <w:rPr>
          <w:rFonts w:hint="cs"/>
          <w:rtl/>
          <w:lang w:eastAsia="zh-TW"/>
        </w:rPr>
        <w:t>6-4</w:t>
      </w:r>
      <w:r>
        <w:rPr>
          <w:rFonts w:hint="cs"/>
          <w:rtl/>
          <w:lang w:eastAsia="zh-TW"/>
        </w:rPr>
        <w:tab/>
        <w:t>وترى اللجنة أن صاحبة البلاغ قدمت أدلة كافية، لأغراض المقبولية، لإثبات ادعاءاتها بانتهاك حقوقها بموجب المادة 7 وحقوق شقيقها بموجب المادة 6(1) والمادة 9(1) و(5) من العهد. وبناء عليه، تعلن اللجنة أن هذه الادعاءات مقبولة وتنتقل إلى النظر في الأسس الموضوعية. وتلاحظ اللجنة أن الادعاءات التي قدمتها صاحبة البلاغ تثير أيضا</w:t>
      </w:r>
      <w:r w:rsidR="0033414A">
        <w:rPr>
          <w:rFonts w:hint="cs"/>
          <w:rtl/>
          <w:lang w:eastAsia="zh-TW"/>
        </w:rPr>
        <w:t>ً</w:t>
      </w:r>
      <w:r>
        <w:rPr>
          <w:rFonts w:hint="cs"/>
          <w:rtl/>
          <w:lang w:eastAsia="zh-TW"/>
        </w:rPr>
        <w:t xml:space="preserve"> على ما يبدو مسائل في إطار المادة 6(1) مقروءة بالاقتران مع المادة 2(3). </w:t>
      </w:r>
    </w:p>
    <w:p w:rsidR="00E30F6E" w:rsidRPr="00C655F6" w:rsidRDefault="00E30F6E" w:rsidP="000B1781">
      <w:pPr>
        <w:pStyle w:val="H4GA"/>
        <w:rPr>
          <w:rtl/>
          <w:lang w:eastAsia="zh-TW"/>
        </w:rPr>
      </w:pPr>
      <w:bookmarkStart w:id="51" w:name="bookmark_121"/>
      <w:r>
        <w:rPr>
          <w:lang w:eastAsia="zh-TW"/>
        </w:rPr>
        <w:tab/>
      </w:r>
      <w:r>
        <w:rPr>
          <w:lang w:eastAsia="zh-TW"/>
        </w:rPr>
        <w:tab/>
      </w:r>
      <w:r w:rsidRPr="00C655F6">
        <w:rPr>
          <w:rtl/>
          <w:lang w:eastAsia="zh-TW"/>
        </w:rPr>
        <w:t>النظر في الأسس الموضوعية</w:t>
      </w:r>
      <w:bookmarkEnd w:id="51"/>
    </w:p>
    <w:p w:rsidR="00E30F6E" w:rsidRPr="00302314" w:rsidRDefault="00E30F6E" w:rsidP="00E30F6E">
      <w:pPr>
        <w:pStyle w:val="SingleTxtGA"/>
        <w:spacing w:after="100"/>
        <w:rPr>
          <w:rtl/>
          <w:lang w:eastAsia="zh-TW"/>
        </w:rPr>
      </w:pPr>
      <w:bookmarkStart w:id="52" w:name="bookmark_122"/>
      <w:r>
        <w:rPr>
          <w:rFonts w:hint="cs"/>
          <w:rtl/>
          <w:lang w:eastAsia="zh-TW"/>
        </w:rPr>
        <w:t>7</w:t>
      </w:r>
      <w:r>
        <w:rPr>
          <w:rtl/>
          <w:lang w:eastAsia="zh-TW"/>
        </w:rPr>
        <w:t>-١</w:t>
      </w:r>
      <w:r>
        <w:rPr>
          <w:rtl/>
          <w:lang w:eastAsia="zh-TW"/>
        </w:rPr>
        <w:tab/>
        <w:t xml:space="preserve">نظرت اللجنة في </w:t>
      </w:r>
      <w:r>
        <w:rPr>
          <w:rFonts w:hint="cs"/>
          <w:rtl/>
          <w:lang w:eastAsia="zh-TW"/>
        </w:rPr>
        <w:t xml:space="preserve">هذا </w:t>
      </w:r>
      <w:r>
        <w:rPr>
          <w:rtl/>
          <w:lang w:eastAsia="zh-TW"/>
        </w:rPr>
        <w:t>البلاغ في ضوء جميع المعلومات التي أتاحها لها الطرفان، وفقاً لما</w:t>
      </w:r>
      <w:r w:rsidR="008615E4">
        <w:rPr>
          <w:rFonts w:hint="cs"/>
          <w:rtl/>
          <w:lang w:eastAsia="zh-TW"/>
        </w:rPr>
        <w:t> </w:t>
      </w:r>
      <w:r>
        <w:rPr>
          <w:rtl/>
          <w:lang w:eastAsia="zh-TW"/>
        </w:rPr>
        <w:t>تنص عليه الفقرة 1 من المادة 5 من البروتوكول الاختياري</w:t>
      </w:r>
      <w:bookmarkEnd w:id="52"/>
      <w:r>
        <w:rPr>
          <w:rtl/>
          <w:lang w:eastAsia="zh-TW"/>
        </w:rPr>
        <w:t>.</w:t>
      </w:r>
    </w:p>
    <w:p w:rsidR="00E30F6E" w:rsidRDefault="00E30F6E" w:rsidP="00E30F6E">
      <w:pPr>
        <w:pStyle w:val="SingleTxtGA"/>
        <w:spacing w:after="100"/>
        <w:rPr>
          <w:rtl/>
          <w:lang w:eastAsia="zh-TW"/>
        </w:rPr>
      </w:pPr>
      <w:bookmarkStart w:id="53" w:name="bookmark_123"/>
      <w:r>
        <w:rPr>
          <w:rFonts w:hint="cs"/>
          <w:rtl/>
          <w:lang w:eastAsia="zh-TW"/>
        </w:rPr>
        <w:t>7</w:t>
      </w:r>
      <w:r>
        <w:rPr>
          <w:rtl/>
          <w:lang w:eastAsia="zh-TW"/>
        </w:rPr>
        <w:t>-٢</w:t>
      </w:r>
      <w:r>
        <w:rPr>
          <w:rtl/>
          <w:lang w:eastAsia="zh-TW"/>
        </w:rPr>
        <w:tab/>
      </w:r>
      <w:r>
        <w:rPr>
          <w:rFonts w:hint="cs"/>
          <w:rtl/>
          <w:lang w:eastAsia="zh-TW"/>
        </w:rPr>
        <w:t>وتحيط اللجنة علما</w:t>
      </w:r>
      <w:r w:rsidR="0033414A">
        <w:rPr>
          <w:rFonts w:hint="cs"/>
          <w:rtl/>
          <w:lang w:eastAsia="zh-TW"/>
        </w:rPr>
        <w:t>ً</w:t>
      </w:r>
      <w:r>
        <w:rPr>
          <w:rFonts w:hint="cs"/>
          <w:rtl/>
          <w:lang w:eastAsia="zh-TW"/>
        </w:rPr>
        <w:t xml:space="preserve"> ابتداءً بادعاء صاحبة البلاغ بأن شقيقها قُبض عليه في 9 كانون الثاني/يناير 1995 واحتجز في مدينة غروزني في جمهورية الشيشان، وادُّعي أنه قُتل على أيدي القوات العسكرية الروسية (انظر الفقرة 3-1 أعلاه). وتلاحظ اللجنة أن صاحبة البلاغ قدمت، بغية إثبات دعواها، العديد من الوثائق التي تبيّن أن السيد </w:t>
      </w:r>
      <w:proofErr w:type="spellStart"/>
      <w:r>
        <w:rPr>
          <w:rFonts w:hint="cs"/>
          <w:rtl/>
          <w:lang w:eastAsia="zh-TW"/>
        </w:rPr>
        <w:t>ماغومادوف</w:t>
      </w:r>
      <w:proofErr w:type="spellEnd"/>
      <w:r>
        <w:rPr>
          <w:rFonts w:hint="cs"/>
          <w:rtl/>
          <w:lang w:eastAsia="zh-TW"/>
        </w:rPr>
        <w:t xml:space="preserve"> احتُجز بالفعل في مرفق واحد على الأقل للاحتجاز الاحتياطي في </w:t>
      </w:r>
      <w:proofErr w:type="spellStart"/>
      <w:r>
        <w:rPr>
          <w:rFonts w:hint="cs"/>
          <w:rtl/>
          <w:lang w:eastAsia="zh-TW"/>
        </w:rPr>
        <w:t>موزدوك</w:t>
      </w:r>
      <w:proofErr w:type="spellEnd"/>
      <w:r>
        <w:rPr>
          <w:rFonts w:hint="cs"/>
          <w:rtl/>
          <w:lang w:eastAsia="zh-TW"/>
        </w:rPr>
        <w:t xml:space="preserve"> (انظر الفقرة 5-1 أعلاه). وتشمل هذه الوثائق رسالة من وزارة الشؤون الداخلية للاتحاد الروسي ورسالة من اللجنة الدولية للصليب الأحمر تثبتان احتجاز السيد </w:t>
      </w:r>
      <w:proofErr w:type="spellStart"/>
      <w:r>
        <w:rPr>
          <w:rFonts w:hint="cs"/>
          <w:rtl/>
          <w:lang w:eastAsia="zh-TW"/>
        </w:rPr>
        <w:t>ماغومادوف</w:t>
      </w:r>
      <w:bookmarkStart w:id="54" w:name="bookmark_129"/>
      <w:bookmarkEnd w:id="53"/>
      <w:proofErr w:type="spellEnd"/>
      <w:r>
        <w:rPr>
          <w:rFonts w:hint="cs"/>
          <w:rtl/>
          <w:lang w:eastAsia="zh-TW"/>
        </w:rPr>
        <w:t>. على أن الدولة الطرف تنفي احتجازه مطلقا</w:t>
      </w:r>
      <w:r w:rsidR="008615E4">
        <w:rPr>
          <w:rFonts w:hint="cs"/>
          <w:rtl/>
          <w:lang w:eastAsia="zh-TW"/>
        </w:rPr>
        <w:t>ً</w:t>
      </w:r>
      <w:r>
        <w:rPr>
          <w:rFonts w:hint="cs"/>
          <w:rtl/>
          <w:lang w:eastAsia="zh-TW"/>
        </w:rPr>
        <w:t xml:space="preserve">، مدعيةً أن تحقيقها الأولي يفيد بأن السيد </w:t>
      </w:r>
      <w:proofErr w:type="spellStart"/>
      <w:r>
        <w:rPr>
          <w:rFonts w:hint="cs"/>
          <w:rtl/>
          <w:lang w:eastAsia="zh-TW"/>
        </w:rPr>
        <w:t>ماغومادوف</w:t>
      </w:r>
      <w:proofErr w:type="spellEnd"/>
      <w:r>
        <w:rPr>
          <w:rFonts w:hint="cs"/>
          <w:rtl/>
          <w:lang w:eastAsia="zh-TW"/>
        </w:rPr>
        <w:t xml:space="preserve"> اختفى دون أن يكون لسلطات إنفاذ القانون يد في ذلك (انظر الفقرتين 4-7 </w:t>
      </w:r>
      <w:proofErr w:type="spellStart"/>
      <w:r>
        <w:rPr>
          <w:rFonts w:hint="cs"/>
          <w:rtl/>
          <w:lang w:eastAsia="zh-TW"/>
        </w:rPr>
        <w:t>و5</w:t>
      </w:r>
      <w:proofErr w:type="spellEnd"/>
      <w:r>
        <w:rPr>
          <w:rFonts w:hint="cs"/>
          <w:rtl/>
          <w:lang w:eastAsia="zh-TW"/>
        </w:rPr>
        <w:t>-2 أعلاه).</w:t>
      </w:r>
    </w:p>
    <w:p w:rsidR="00E30F6E" w:rsidRDefault="00E30F6E" w:rsidP="00E30F6E">
      <w:pPr>
        <w:pStyle w:val="SingleTxtGA"/>
        <w:spacing w:after="100"/>
        <w:rPr>
          <w:rtl/>
          <w:lang w:eastAsia="zh-TW"/>
        </w:rPr>
      </w:pPr>
      <w:r>
        <w:rPr>
          <w:rFonts w:hint="cs"/>
          <w:rtl/>
          <w:lang w:eastAsia="zh-TW"/>
        </w:rPr>
        <w:t>7-3</w:t>
      </w:r>
      <w:r>
        <w:rPr>
          <w:rFonts w:hint="cs"/>
          <w:rtl/>
          <w:lang w:eastAsia="zh-TW"/>
        </w:rPr>
        <w:tab/>
        <w:t>وتذكّر اللجنة بتعليقها العام رقم 36(2018) بشأن الحق في الحياة، الذي جاء فيه أن الدولة الطرف ملزمة بالتحقيق في جميع المزاعم باحتمال وقوع حرمان من الحياة بصورة غير مشروعة. وينبغي إجراء التحقيقات والمحاكمات في المزاعم باحتمال وقوع حرمان من الحياة بصورة غير مشروعة وفقا</w:t>
      </w:r>
      <w:r w:rsidR="00731471">
        <w:rPr>
          <w:rFonts w:hint="cs"/>
          <w:rtl/>
          <w:lang w:eastAsia="zh-TW"/>
        </w:rPr>
        <w:t>ً</w:t>
      </w:r>
      <w:r>
        <w:rPr>
          <w:rFonts w:hint="cs"/>
          <w:rtl/>
          <w:lang w:eastAsia="zh-TW"/>
        </w:rPr>
        <w:t xml:space="preserve"> للمعايير الدولية ذات الصلة، بما في ذلك وفقا</w:t>
      </w:r>
      <w:r w:rsidR="008615E4">
        <w:rPr>
          <w:rFonts w:hint="cs"/>
          <w:rtl/>
          <w:lang w:eastAsia="zh-TW"/>
        </w:rPr>
        <w:t>ً</w:t>
      </w:r>
      <w:r>
        <w:rPr>
          <w:rFonts w:hint="cs"/>
          <w:rtl/>
          <w:lang w:eastAsia="zh-TW"/>
        </w:rPr>
        <w:t xml:space="preserve"> لأحكام بروتوكول مينيسوتا بشأن التحقيق في احتمال القتل غير المشروع (2016)</w:t>
      </w:r>
      <w:r w:rsidR="00C454CF">
        <w:rPr>
          <w:rStyle w:val="FootnoteReference"/>
          <w:rtl/>
          <w:lang w:eastAsia="zh-TW"/>
        </w:rPr>
        <w:t>(</w:t>
      </w:r>
      <w:r w:rsidR="00C454CF">
        <w:rPr>
          <w:rStyle w:val="FootnoteReference"/>
          <w:rtl/>
          <w:lang w:eastAsia="zh-TW"/>
        </w:rPr>
        <w:footnoteReference w:id="13"/>
      </w:r>
      <w:r w:rsidR="00C454CF">
        <w:rPr>
          <w:rStyle w:val="FootnoteReference"/>
          <w:rtl/>
          <w:lang w:eastAsia="zh-TW"/>
        </w:rPr>
        <w:t>)</w:t>
      </w:r>
      <w:r w:rsidR="000B1781">
        <w:rPr>
          <w:rFonts w:hint="cs"/>
          <w:rtl/>
          <w:lang w:eastAsia="zh-TW"/>
        </w:rPr>
        <w:t xml:space="preserve">، </w:t>
      </w:r>
      <w:r>
        <w:rPr>
          <w:rFonts w:hint="cs"/>
          <w:rtl/>
          <w:lang w:eastAsia="zh-TW"/>
        </w:rPr>
        <w:t>ويجب أن تكون دائما</w:t>
      </w:r>
      <w:r w:rsidR="000B1781">
        <w:rPr>
          <w:rFonts w:hint="cs"/>
          <w:rtl/>
          <w:lang w:eastAsia="zh-TW"/>
        </w:rPr>
        <w:t>ً</w:t>
      </w:r>
      <w:r>
        <w:rPr>
          <w:rFonts w:hint="cs"/>
          <w:rtl/>
          <w:lang w:eastAsia="zh-TW"/>
        </w:rPr>
        <w:t xml:space="preserve"> مستقلة ونزيهة وفورية وشاملة وفعالة وشفافة وذات مصداقية</w:t>
      </w:r>
      <w:r w:rsidR="00C454CF">
        <w:rPr>
          <w:rStyle w:val="FootnoteReference"/>
          <w:rtl/>
          <w:lang w:eastAsia="zh-TW"/>
        </w:rPr>
        <w:t>(</w:t>
      </w:r>
      <w:r w:rsidR="00C454CF">
        <w:rPr>
          <w:rStyle w:val="FootnoteReference"/>
          <w:rtl/>
          <w:lang w:eastAsia="zh-TW"/>
        </w:rPr>
        <w:footnoteReference w:id="14"/>
      </w:r>
      <w:r w:rsidR="00C454CF">
        <w:rPr>
          <w:rStyle w:val="FootnoteReference"/>
          <w:rtl/>
          <w:lang w:eastAsia="zh-TW"/>
        </w:rPr>
        <w:t>)</w:t>
      </w:r>
      <w:r w:rsidR="000B1781" w:rsidRPr="000B1781">
        <w:rPr>
          <w:rStyle w:val="FootnoteReference"/>
          <w:rFonts w:hint="cs"/>
          <w:vertAlign w:val="baseline"/>
          <w:rtl/>
          <w:lang w:eastAsia="zh-TW"/>
        </w:rPr>
        <w:t>.</w:t>
      </w:r>
    </w:p>
    <w:p w:rsidR="00E30F6E" w:rsidRDefault="00E30F6E" w:rsidP="00E30F6E">
      <w:pPr>
        <w:pStyle w:val="SingleTxtGA"/>
        <w:spacing w:after="100"/>
        <w:rPr>
          <w:rtl/>
          <w:lang w:eastAsia="zh-TW"/>
        </w:rPr>
      </w:pPr>
      <w:r>
        <w:rPr>
          <w:rFonts w:hint="cs"/>
          <w:rtl/>
          <w:lang w:eastAsia="zh-TW"/>
        </w:rPr>
        <w:t>7-4</w:t>
      </w:r>
      <w:r>
        <w:rPr>
          <w:rFonts w:hint="cs"/>
          <w:rtl/>
          <w:lang w:eastAsia="zh-TW"/>
        </w:rPr>
        <w:tab/>
        <w:t>وتذكّر اللجنة كذلك بأن حالات فقدان الحياة في السجن ينشأ عنها قرينة الحرمان التعسفي من الحياة على أيدي السلطات الحكومية</w:t>
      </w:r>
      <w:r w:rsidR="00C454CF">
        <w:rPr>
          <w:rStyle w:val="FootnoteReference"/>
          <w:rtl/>
          <w:lang w:eastAsia="zh-TW"/>
        </w:rPr>
        <w:t>(</w:t>
      </w:r>
      <w:r w:rsidR="00C454CF">
        <w:rPr>
          <w:rStyle w:val="FootnoteReference"/>
          <w:rtl/>
          <w:lang w:eastAsia="zh-TW"/>
        </w:rPr>
        <w:footnoteReference w:id="15"/>
      </w:r>
      <w:r w:rsidR="00C454CF">
        <w:rPr>
          <w:rStyle w:val="FootnoteReference"/>
          <w:rtl/>
          <w:lang w:eastAsia="zh-TW"/>
        </w:rPr>
        <w:t>)</w:t>
      </w:r>
      <w:r w:rsidR="000B1781">
        <w:rPr>
          <w:rFonts w:hint="cs"/>
          <w:rtl/>
          <w:lang w:eastAsia="zh-TW"/>
        </w:rPr>
        <w:t xml:space="preserve">، </w:t>
      </w:r>
      <w:r>
        <w:rPr>
          <w:rFonts w:hint="cs"/>
          <w:rtl/>
          <w:lang w:eastAsia="zh-TW"/>
        </w:rPr>
        <w:t>وهو ما لا يمكن دحضه إلا بإجراء تحقيق وفق الأصول على النحو المبيّن أعلاه (الفقرة 7-3). ويقع على عاتق الدولة الطرف أيضا</w:t>
      </w:r>
      <w:r w:rsidR="000B1781">
        <w:rPr>
          <w:rFonts w:hint="cs"/>
          <w:rtl/>
          <w:lang w:eastAsia="zh-TW"/>
        </w:rPr>
        <w:t>ً</w:t>
      </w:r>
      <w:r>
        <w:rPr>
          <w:rFonts w:hint="cs"/>
          <w:rtl/>
          <w:lang w:eastAsia="zh-TW"/>
        </w:rPr>
        <w:t xml:space="preserve"> واجب التحقيق في الادعاءات بانتهاك المادة 6 متى استعملت السلطات الحكومية </w:t>
      </w:r>
      <w:r w:rsidRPr="0033414A">
        <w:rPr>
          <w:rFonts w:hint="cs"/>
          <w:spacing w:val="-2"/>
          <w:rtl/>
          <w:lang w:eastAsia="zh-TW"/>
        </w:rPr>
        <w:t>أو</w:t>
      </w:r>
      <w:r w:rsidR="0033414A" w:rsidRPr="0033414A">
        <w:rPr>
          <w:rFonts w:hint="eastAsia"/>
          <w:spacing w:val="-2"/>
          <w:rtl/>
          <w:lang w:eastAsia="zh-TW"/>
        </w:rPr>
        <w:t> </w:t>
      </w:r>
      <w:r w:rsidRPr="0033414A">
        <w:rPr>
          <w:rFonts w:hint="cs"/>
          <w:spacing w:val="-2"/>
          <w:rtl/>
          <w:lang w:eastAsia="zh-TW"/>
        </w:rPr>
        <w:t>يبدو أنها استعملت أسلحة نارية أو قوة أخرى يمكن أن تكون مميتة خارج السياق المباشر لنزاع مسلح</w:t>
      </w:r>
      <w:r w:rsidR="00C454CF" w:rsidRPr="0033414A">
        <w:rPr>
          <w:rStyle w:val="FootnoteReference"/>
          <w:spacing w:val="-2"/>
          <w:rtl/>
          <w:lang w:eastAsia="zh-TW"/>
        </w:rPr>
        <w:t>(</w:t>
      </w:r>
      <w:r w:rsidR="00C454CF" w:rsidRPr="0033414A">
        <w:rPr>
          <w:rStyle w:val="FootnoteReference"/>
          <w:spacing w:val="-2"/>
          <w:rtl/>
          <w:lang w:eastAsia="zh-TW"/>
        </w:rPr>
        <w:footnoteReference w:id="16"/>
      </w:r>
      <w:r w:rsidR="00C454CF" w:rsidRPr="0033414A">
        <w:rPr>
          <w:rStyle w:val="FootnoteReference"/>
          <w:spacing w:val="-2"/>
          <w:rtl/>
          <w:lang w:eastAsia="zh-TW"/>
        </w:rPr>
        <w:t>)</w:t>
      </w:r>
      <w:r w:rsidR="000B1781" w:rsidRPr="0033414A">
        <w:rPr>
          <w:rFonts w:hint="cs"/>
          <w:spacing w:val="-2"/>
          <w:rtl/>
          <w:lang w:eastAsia="zh-TW"/>
        </w:rPr>
        <w:t xml:space="preserve">. </w:t>
      </w:r>
      <w:r w:rsidRPr="0033414A">
        <w:rPr>
          <w:rFonts w:hint="cs"/>
          <w:spacing w:val="-2"/>
          <w:rtl/>
          <w:lang w:eastAsia="zh-TW"/>
        </w:rPr>
        <w:t>وفي الحالة قيد النظر، وبدلا</w:t>
      </w:r>
      <w:r w:rsidR="000B1781" w:rsidRPr="0033414A">
        <w:rPr>
          <w:rFonts w:hint="cs"/>
          <w:spacing w:val="-2"/>
          <w:rtl/>
          <w:lang w:eastAsia="zh-TW"/>
        </w:rPr>
        <w:t>ً</w:t>
      </w:r>
      <w:r w:rsidRPr="0033414A">
        <w:rPr>
          <w:rFonts w:hint="cs"/>
          <w:spacing w:val="-2"/>
          <w:rtl/>
          <w:lang w:eastAsia="zh-TW"/>
        </w:rPr>
        <w:t xml:space="preserve"> من أن تفتح الدولة الطرف تحقيقا</w:t>
      </w:r>
      <w:r w:rsidR="00AE6F1D">
        <w:rPr>
          <w:rFonts w:hint="cs"/>
          <w:spacing w:val="-2"/>
          <w:rtl/>
          <w:lang w:eastAsia="zh-TW"/>
        </w:rPr>
        <w:t>ً</w:t>
      </w:r>
      <w:r w:rsidRPr="0033414A">
        <w:rPr>
          <w:rFonts w:hint="cs"/>
          <w:spacing w:val="-2"/>
          <w:rtl/>
          <w:lang w:eastAsia="zh-TW"/>
        </w:rPr>
        <w:t xml:space="preserve"> في الادعاءات رفضت ذلك ثم أجرت لاحقا</w:t>
      </w:r>
      <w:r w:rsidR="000B1781" w:rsidRPr="0033414A">
        <w:rPr>
          <w:rFonts w:hint="cs"/>
          <w:spacing w:val="-2"/>
          <w:rtl/>
          <w:lang w:eastAsia="zh-TW"/>
        </w:rPr>
        <w:t>ً</w:t>
      </w:r>
      <w:r w:rsidRPr="0033414A">
        <w:rPr>
          <w:rFonts w:hint="cs"/>
          <w:spacing w:val="-2"/>
          <w:rtl/>
          <w:lang w:eastAsia="zh-TW"/>
        </w:rPr>
        <w:t xml:space="preserve"> تقييما</w:t>
      </w:r>
      <w:r w:rsidR="000B1781" w:rsidRPr="0033414A">
        <w:rPr>
          <w:rFonts w:hint="cs"/>
          <w:spacing w:val="-2"/>
          <w:rtl/>
          <w:lang w:eastAsia="zh-TW"/>
        </w:rPr>
        <w:t>ً</w:t>
      </w:r>
      <w:r w:rsidRPr="0033414A">
        <w:rPr>
          <w:rFonts w:hint="cs"/>
          <w:spacing w:val="-2"/>
          <w:rtl/>
          <w:lang w:eastAsia="zh-TW"/>
        </w:rPr>
        <w:t xml:space="preserve"> </w:t>
      </w:r>
      <w:proofErr w:type="gramStart"/>
      <w:r w:rsidRPr="0033414A">
        <w:rPr>
          <w:rFonts w:hint="cs"/>
          <w:spacing w:val="-2"/>
          <w:rtl/>
          <w:lang w:eastAsia="zh-TW"/>
        </w:rPr>
        <w:t>’’أوليا</w:t>
      </w:r>
      <w:r w:rsidR="000B1781" w:rsidRPr="0033414A">
        <w:rPr>
          <w:rFonts w:hint="cs"/>
          <w:spacing w:val="-2"/>
          <w:rtl/>
          <w:lang w:eastAsia="zh-TW"/>
        </w:rPr>
        <w:t>ً</w:t>
      </w:r>
      <w:proofErr w:type="gramEnd"/>
      <w:r w:rsidRPr="0033414A">
        <w:rPr>
          <w:rFonts w:hint="cs"/>
          <w:spacing w:val="-2"/>
          <w:rtl/>
          <w:lang w:eastAsia="zh-TW"/>
        </w:rPr>
        <w:t>‘‘ فقط ولم تفتح تحقيقا</w:t>
      </w:r>
      <w:r w:rsidR="00AE6F1D">
        <w:rPr>
          <w:rFonts w:hint="cs"/>
          <w:spacing w:val="-2"/>
          <w:rtl/>
          <w:lang w:eastAsia="zh-TW"/>
        </w:rPr>
        <w:t>ً</w:t>
      </w:r>
      <w:r w:rsidRPr="0033414A">
        <w:rPr>
          <w:rFonts w:hint="cs"/>
          <w:spacing w:val="-2"/>
          <w:rtl/>
          <w:lang w:eastAsia="zh-TW"/>
        </w:rPr>
        <w:t xml:space="preserve"> جنائيا</w:t>
      </w:r>
      <w:r w:rsidR="00AE6F1D">
        <w:rPr>
          <w:rFonts w:hint="cs"/>
          <w:spacing w:val="-2"/>
          <w:rtl/>
          <w:lang w:eastAsia="zh-TW"/>
        </w:rPr>
        <w:t>ً</w:t>
      </w:r>
      <w:r w:rsidRPr="0033414A">
        <w:rPr>
          <w:rFonts w:hint="cs"/>
          <w:spacing w:val="-2"/>
          <w:rtl/>
          <w:lang w:eastAsia="zh-TW"/>
        </w:rPr>
        <w:t xml:space="preserve"> رسميا</w:t>
      </w:r>
      <w:r w:rsidR="00AE6F1D">
        <w:rPr>
          <w:rFonts w:hint="cs"/>
          <w:spacing w:val="-2"/>
          <w:rtl/>
          <w:lang w:eastAsia="zh-TW"/>
        </w:rPr>
        <w:t>ً</w:t>
      </w:r>
      <w:r w:rsidRPr="0033414A">
        <w:rPr>
          <w:rFonts w:hint="cs"/>
          <w:spacing w:val="-2"/>
          <w:rtl/>
          <w:lang w:eastAsia="zh-TW"/>
        </w:rPr>
        <w:t xml:space="preserve"> قط، رغم تقديم صاحبة البلاغ عدد من الطلبات والشكاوى إلى السلطات، وكذلك إلى المحاكم. وفي هذه الظروف على نحو ما بيّنته صاحبة البلاغ، وبالنظر إلى الأدلة على احتجاز السيد </w:t>
      </w:r>
      <w:proofErr w:type="spellStart"/>
      <w:r w:rsidRPr="0033414A">
        <w:rPr>
          <w:rFonts w:hint="cs"/>
          <w:spacing w:val="-2"/>
          <w:rtl/>
          <w:lang w:eastAsia="zh-TW"/>
        </w:rPr>
        <w:t>ماغومادوف</w:t>
      </w:r>
      <w:proofErr w:type="spellEnd"/>
      <w:r w:rsidRPr="0033414A">
        <w:rPr>
          <w:rFonts w:hint="cs"/>
          <w:spacing w:val="-2"/>
          <w:rtl/>
          <w:lang w:eastAsia="zh-TW"/>
        </w:rPr>
        <w:t xml:space="preserve"> في قبضة سلطات الدولة الطرف، ونظرا</w:t>
      </w:r>
      <w:r w:rsidR="00AE6F1D">
        <w:rPr>
          <w:rFonts w:hint="cs"/>
          <w:spacing w:val="-2"/>
          <w:rtl/>
          <w:lang w:eastAsia="zh-TW"/>
        </w:rPr>
        <w:t>ً</w:t>
      </w:r>
      <w:r w:rsidRPr="0033414A">
        <w:rPr>
          <w:rFonts w:hint="cs"/>
          <w:spacing w:val="-2"/>
          <w:rtl/>
          <w:lang w:eastAsia="zh-TW"/>
        </w:rPr>
        <w:t xml:space="preserve"> لعدم تقديم السلطات ما يوضح سبب عدم إجرائها تحقيقا</w:t>
      </w:r>
      <w:r w:rsidR="00AE6F1D">
        <w:rPr>
          <w:rFonts w:hint="cs"/>
          <w:spacing w:val="-2"/>
          <w:rtl/>
          <w:lang w:eastAsia="zh-TW"/>
        </w:rPr>
        <w:t>ً</w:t>
      </w:r>
      <w:r w:rsidRPr="0033414A">
        <w:rPr>
          <w:rFonts w:hint="cs"/>
          <w:spacing w:val="-2"/>
          <w:rtl/>
          <w:lang w:eastAsia="zh-TW"/>
        </w:rPr>
        <w:t xml:space="preserve"> وفق الأصول، تخلص اللجنة إلى أن الدولة الطرف انتهكت التزاماتها بموجب المادة 6(1)، مقروءة منفردة وبالاقتران مع المادة 2(3) من العهد.</w:t>
      </w:r>
    </w:p>
    <w:p w:rsidR="00E30F6E" w:rsidRPr="000B1781" w:rsidRDefault="00E30F6E" w:rsidP="00E30F6E">
      <w:pPr>
        <w:pStyle w:val="SingleTxtGA"/>
        <w:spacing w:after="100"/>
        <w:rPr>
          <w:rtl/>
          <w:lang w:eastAsia="zh-TW"/>
        </w:rPr>
      </w:pPr>
      <w:r w:rsidRPr="000B1781">
        <w:rPr>
          <w:rFonts w:hint="cs"/>
          <w:rtl/>
          <w:lang w:eastAsia="zh-TW"/>
        </w:rPr>
        <w:t>7-5</w:t>
      </w:r>
      <w:r w:rsidRPr="000B1781">
        <w:rPr>
          <w:rFonts w:hint="cs"/>
          <w:rtl/>
          <w:lang w:eastAsia="zh-TW"/>
        </w:rPr>
        <w:tab/>
        <w:t>وتأخذ اللجنة أيضا</w:t>
      </w:r>
      <w:r w:rsidR="000B1781" w:rsidRPr="000B1781">
        <w:rPr>
          <w:rFonts w:hint="cs"/>
          <w:rtl/>
          <w:lang w:eastAsia="zh-TW"/>
        </w:rPr>
        <w:t>ً</w:t>
      </w:r>
      <w:r w:rsidRPr="000B1781">
        <w:rPr>
          <w:rFonts w:hint="cs"/>
          <w:rtl/>
          <w:lang w:eastAsia="zh-TW"/>
        </w:rPr>
        <w:t xml:space="preserve"> في الاعتبار ادعاءات صاحبة البلاغ بأن السيد </w:t>
      </w:r>
      <w:proofErr w:type="spellStart"/>
      <w:r w:rsidRPr="000B1781">
        <w:rPr>
          <w:rFonts w:hint="cs"/>
          <w:rtl/>
          <w:lang w:eastAsia="zh-TW"/>
        </w:rPr>
        <w:t>ماغومادوف</w:t>
      </w:r>
      <w:proofErr w:type="spellEnd"/>
      <w:r w:rsidRPr="000B1781">
        <w:rPr>
          <w:rFonts w:hint="cs"/>
          <w:rtl/>
          <w:lang w:eastAsia="zh-TW"/>
        </w:rPr>
        <w:t xml:space="preserve"> احتُجز تعسفيا</w:t>
      </w:r>
      <w:r w:rsidR="0033414A">
        <w:rPr>
          <w:rFonts w:hint="cs"/>
          <w:rtl/>
          <w:lang w:eastAsia="zh-TW"/>
        </w:rPr>
        <w:t>ً</w:t>
      </w:r>
      <w:r w:rsidRPr="000B1781">
        <w:rPr>
          <w:rFonts w:hint="cs"/>
          <w:rtl/>
          <w:lang w:eastAsia="zh-TW"/>
        </w:rPr>
        <w:t xml:space="preserve"> من قبل سلطات الدولة الطرف، بما يمثّل انتهاكا</w:t>
      </w:r>
      <w:r w:rsidR="00AE6F1D">
        <w:rPr>
          <w:rFonts w:hint="cs"/>
          <w:rtl/>
          <w:lang w:eastAsia="zh-TW"/>
        </w:rPr>
        <w:t>ً</w:t>
      </w:r>
      <w:r w:rsidRPr="000B1781">
        <w:rPr>
          <w:rFonts w:hint="cs"/>
          <w:rtl/>
          <w:lang w:eastAsia="zh-TW"/>
        </w:rPr>
        <w:t xml:space="preserve"> لحقوقه بموجب المادة 9(1). وتلاحظ اللجنة أن الدولة الطرف تنفي أنها احتجزت السيد </w:t>
      </w:r>
      <w:proofErr w:type="spellStart"/>
      <w:r w:rsidRPr="000B1781">
        <w:rPr>
          <w:rFonts w:hint="cs"/>
          <w:rtl/>
          <w:lang w:eastAsia="zh-TW"/>
        </w:rPr>
        <w:t>ماغومادوف</w:t>
      </w:r>
      <w:proofErr w:type="spellEnd"/>
      <w:r w:rsidRPr="000B1781">
        <w:rPr>
          <w:rFonts w:hint="cs"/>
          <w:rtl/>
          <w:lang w:eastAsia="zh-TW"/>
        </w:rPr>
        <w:t xml:space="preserve">، مكتفيةً بالادعاء أنه إنما اختفى عن الأنظار في شوارع غروزني ليس إلا. وتلاحظ اللجنة كذلك أن هذا الادعاء </w:t>
      </w:r>
      <w:proofErr w:type="spellStart"/>
      <w:r w:rsidRPr="000B1781">
        <w:rPr>
          <w:rFonts w:hint="cs"/>
          <w:rtl/>
          <w:lang w:eastAsia="zh-TW"/>
        </w:rPr>
        <w:t>تدحضه</w:t>
      </w:r>
      <w:proofErr w:type="spellEnd"/>
      <w:r w:rsidRPr="000B1781">
        <w:rPr>
          <w:rFonts w:hint="cs"/>
          <w:rtl/>
          <w:lang w:eastAsia="zh-TW"/>
        </w:rPr>
        <w:t xml:space="preserve"> أدلة قدمتها صاحبة البلاغ تؤكّد احتجازه في </w:t>
      </w:r>
      <w:proofErr w:type="spellStart"/>
      <w:r w:rsidRPr="000B1781">
        <w:rPr>
          <w:rFonts w:hint="cs"/>
          <w:rtl/>
          <w:lang w:eastAsia="zh-TW"/>
        </w:rPr>
        <w:t>موزدوك</w:t>
      </w:r>
      <w:proofErr w:type="spellEnd"/>
      <w:r w:rsidRPr="000B1781">
        <w:rPr>
          <w:rFonts w:hint="cs"/>
          <w:rtl/>
          <w:lang w:eastAsia="zh-TW"/>
        </w:rPr>
        <w:t xml:space="preserve"> من 9 كانون الثاني/يناير إلى 3 شباط/فبراير 1995 (انظر الفقرة 5-1 أعلاه). ولم تخبر الدولة الطرف اللجنة بأسباب القبض على السيد </w:t>
      </w:r>
      <w:proofErr w:type="spellStart"/>
      <w:r w:rsidRPr="000B1781">
        <w:rPr>
          <w:rFonts w:hint="cs"/>
          <w:rtl/>
          <w:lang w:eastAsia="zh-TW"/>
        </w:rPr>
        <w:t>ماغومادوف</w:t>
      </w:r>
      <w:proofErr w:type="spellEnd"/>
      <w:r w:rsidRPr="000B1781">
        <w:rPr>
          <w:rFonts w:hint="cs"/>
          <w:rtl/>
          <w:lang w:eastAsia="zh-TW"/>
        </w:rPr>
        <w:t xml:space="preserve"> وأي تهم تؤاخذه بها، ولم تخبرها إن كانت نقلته يوم 3 شباط/</w:t>
      </w:r>
      <w:r w:rsidR="000B1781">
        <w:rPr>
          <w:rFonts w:hint="cs"/>
          <w:rtl/>
          <w:lang w:eastAsia="zh-TW"/>
        </w:rPr>
        <w:t xml:space="preserve"> </w:t>
      </w:r>
      <w:r w:rsidRPr="000B1781">
        <w:rPr>
          <w:rFonts w:hint="cs"/>
          <w:rtl/>
          <w:lang w:eastAsia="zh-TW"/>
        </w:rPr>
        <w:t>فبراير</w:t>
      </w:r>
      <w:r w:rsidR="000B1781">
        <w:rPr>
          <w:rFonts w:hint="eastAsia"/>
          <w:rtl/>
          <w:lang w:eastAsia="zh-TW"/>
        </w:rPr>
        <w:t> </w:t>
      </w:r>
      <w:r w:rsidRPr="000B1781">
        <w:rPr>
          <w:rFonts w:hint="cs"/>
          <w:rtl/>
          <w:lang w:eastAsia="zh-TW"/>
        </w:rPr>
        <w:t xml:space="preserve">1995 إلى مرفق آخر. وتذكّر اللجنة بتعليقها العام رقم 35(2014) بشأن </w:t>
      </w:r>
      <w:r w:rsidRPr="000B1781">
        <w:rPr>
          <w:rtl/>
          <w:lang w:eastAsia="zh-TW"/>
        </w:rPr>
        <w:t>حق الفرد في الحرية وفى الأمان على شخصه،</w:t>
      </w:r>
      <w:r w:rsidRPr="000B1781">
        <w:rPr>
          <w:rFonts w:hint="cs"/>
          <w:rtl/>
          <w:lang w:eastAsia="zh-TW"/>
        </w:rPr>
        <w:t xml:space="preserve"> الذي جاء فيه أن القبض على الشخص قد يقع بالمعنى المقصود في المادة 9 دون أن يكون هذا القبض رسميا</w:t>
      </w:r>
      <w:r w:rsidR="0033414A">
        <w:rPr>
          <w:rFonts w:hint="cs"/>
          <w:rtl/>
          <w:lang w:eastAsia="zh-TW"/>
        </w:rPr>
        <w:t>ً</w:t>
      </w:r>
      <w:r w:rsidRPr="000B1781">
        <w:rPr>
          <w:rFonts w:hint="cs"/>
          <w:rtl/>
          <w:lang w:eastAsia="zh-TW"/>
        </w:rPr>
        <w:t xml:space="preserve"> وفقاً للقوانين المحلية. وبمقتضى أحكام هذه المادة من العهد، لا يجوز </w:t>
      </w:r>
      <w:r w:rsidRPr="000B1781">
        <w:rPr>
          <w:rtl/>
          <w:lang w:eastAsia="zh-TW"/>
        </w:rPr>
        <w:t xml:space="preserve">حرمان أحد من حريته إلا </w:t>
      </w:r>
      <w:r w:rsidRPr="000B1781">
        <w:rPr>
          <w:rFonts w:hint="cs"/>
          <w:rtl/>
          <w:lang w:eastAsia="zh-TW"/>
        </w:rPr>
        <w:t>ل</w:t>
      </w:r>
      <w:r w:rsidRPr="000B1781">
        <w:rPr>
          <w:rtl/>
          <w:lang w:eastAsia="zh-TW"/>
        </w:rPr>
        <w:t xml:space="preserve">لأسباب </w:t>
      </w:r>
      <w:r w:rsidRPr="000B1781">
        <w:rPr>
          <w:rFonts w:hint="cs"/>
          <w:rtl/>
          <w:lang w:eastAsia="zh-TW"/>
        </w:rPr>
        <w:t xml:space="preserve">التي </w:t>
      </w:r>
      <w:r w:rsidRPr="000B1781">
        <w:rPr>
          <w:rtl/>
          <w:lang w:eastAsia="zh-TW"/>
        </w:rPr>
        <w:t xml:space="preserve">ينص عليها القانون وطبقاً للإجراء المقرر </w:t>
      </w:r>
      <w:r w:rsidRPr="000B1781">
        <w:rPr>
          <w:rFonts w:hint="cs"/>
          <w:rtl/>
          <w:lang w:eastAsia="zh-TW"/>
        </w:rPr>
        <w:t>بمقتضى القانون. واستنادا</w:t>
      </w:r>
      <w:r w:rsidR="00AE6F1D">
        <w:rPr>
          <w:rFonts w:hint="cs"/>
          <w:rtl/>
          <w:lang w:eastAsia="zh-TW"/>
        </w:rPr>
        <w:t>ً</w:t>
      </w:r>
      <w:r w:rsidRPr="000B1781">
        <w:rPr>
          <w:rFonts w:hint="cs"/>
          <w:rtl/>
          <w:lang w:eastAsia="zh-TW"/>
        </w:rPr>
        <w:t xml:space="preserve"> إلى مواد الملف، ونظرا</w:t>
      </w:r>
      <w:r w:rsidR="00731471">
        <w:rPr>
          <w:rFonts w:hint="cs"/>
          <w:rtl/>
          <w:lang w:eastAsia="zh-TW"/>
        </w:rPr>
        <w:t>ً</w:t>
      </w:r>
      <w:r w:rsidRPr="000B1781">
        <w:rPr>
          <w:rFonts w:hint="cs"/>
          <w:rtl/>
          <w:lang w:eastAsia="zh-TW"/>
        </w:rPr>
        <w:t xml:space="preserve"> لعدم تقديم الدولة الطرف أي توضيح إضافي بهذا الخصوص، فإن اللجنة تعتبر أن الوقائع كما عُرضت عليها تكشف عن انتهاك حقوق السيد </w:t>
      </w:r>
      <w:proofErr w:type="spellStart"/>
      <w:r w:rsidRPr="000B1781">
        <w:rPr>
          <w:rFonts w:hint="cs"/>
          <w:rtl/>
          <w:lang w:eastAsia="zh-TW"/>
        </w:rPr>
        <w:t>ماغومادوف</w:t>
      </w:r>
      <w:proofErr w:type="spellEnd"/>
      <w:r w:rsidRPr="000B1781">
        <w:rPr>
          <w:rFonts w:hint="cs"/>
          <w:rtl/>
          <w:lang w:eastAsia="zh-TW"/>
        </w:rPr>
        <w:t xml:space="preserve"> بموجب المادة 9(1) من العهد.</w:t>
      </w:r>
      <w:r w:rsidR="00625E37">
        <w:rPr>
          <w:rFonts w:hint="cs"/>
          <w:rtl/>
          <w:lang w:eastAsia="zh-TW"/>
        </w:rPr>
        <w:t xml:space="preserve"> </w:t>
      </w:r>
    </w:p>
    <w:p w:rsidR="00E30F6E" w:rsidRDefault="00E30F6E" w:rsidP="00E30F6E">
      <w:pPr>
        <w:pStyle w:val="SingleTxtGA"/>
        <w:spacing w:after="100"/>
        <w:rPr>
          <w:rtl/>
          <w:lang w:eastAsia="zh-TW"/>
        </w:rPr>
      </w:pPr>
      <w:r>
        <w:rPr>
          <w:rFonts w:hint="cs"/>
          <w:rtl/>
          <w:lang w:eastAsia="zh-TW"/>
        </w:rPr>
        <w:t>7-6</w:t>
      </w:r>
      <w:r>
        <w:rPr>
          <w:rFonts w:hint="cs"/>
          <w:rtl/>
          <w:lang w:eastAsia="zh-TW"/>
        </w:rPr>
        <w:tab/>
        <w:t xml:space="preserve">وحيث </w:t>
      </w:r>
      <w:r w:rsidR="00584693">
        <w:rPr>
          <w:rFonts w:hint="cs"/>
          <w:rtl/>
          <w:lang w:eastAsia="zh-TW"/>
        </w:rPr>
        <w:t>إ</w:t>
      </w:r>
      <w:r>
        <w:rPr>
          <w:rFonts w:hint="cs"/>
          <w:rtl/>
          <w:lang w:eastAsia="zh-TW"/>
        </w:rPr>
        <w:t xml:space="preserve">ن اللجنة خلصت إلى الاستنتاج بأن حقوق السيد </w:t>
      </w:r>
      <w:proofErr w:type="spellStart"/>
      <w:r>
        <w:rPr>
          <w:rFonts w:hint="cs"/>
          <w:rtl/>
          <w:lang w:eastAsia="zh-TW"/>
        </w:rPr>
        <w:t>ماغومادوف</w:t>
      </w:r>
      <w:proofErr w:type="spellEnd"/>
      <w:r>
        <w:rPr>
          <w:rFonts w:hint="cs"/>
          <w:rtl/>
          <w:lang w:eastAsia="zh-TW"/>
        </w:rPr>
        <w:t xml:space="preserve"> بموجب المادة</w:t>
      </w:r>
      <w:r w:rsidR="000B1781">
        <w:rPr>
          <w:rFonts w:hint="eastAsia"/>
          <w:rtl/>
          <w:lang w:eastAsia="zh-TW"/>
        </w:rPr>
        <w:t> </w:t>
      </w:r>
      <w:r>
        <w:rPr>
          <w:rFonts w:hint="cs"/>
          <w:rtl/>
          <w:lang w:eastAsia="zh-TW"/>
        </w:rPr>
        <w:t>9(1) انتُهكت، تقرر عدم النظر في الادعاءات بمقتضى المادة 9(5) منفصلة.</w:t>
      </w:r>
    </w:p>
    <w:p w:rsidR="00E30F6E" w:rsidRDefault="00E30F6E" w:rsidP="00E30F6E">
      <w:pPr>
        <w:pStyle w:val="SingleTxtGA"/>
        <w:spacing w:after="100"/>
        <w:rPr>
          <w:rtl/>
          <w:lang w:eastAsia="zh-TW"/>
        </w:rPr>
      </w:pPr>
      <w:r>
        <w:rPr>
          <w:rFonts w:hint="cs"/>
          <w:rtl/>
          <w:lang w:eastAsia="zh-TW"/>
        </w:rPr>
        <w:t>7-7</w:t>
      </w:r>
      <w:r>
        <w:rPr>
          <w:rFonts w:hint="cs"/>
          <w:rtl/>
          <w:lang w:eastAsia="zh-TW"/>
        </w:rPr>
        <w:tab/>
        <w:t>وتلاحظ اللجنة كذلك أنه رغم مرور 23 عاما</w:t>
      </w:r>
      <w:r w:rsidR="00584693">
        <w:rPr>
          <w:rFonts w:hint="cs"/>
          <w:rtl/>
          <w:lang w:eastAsia="zh-TW"/>
        </w:rPr>
        <w:t>ً</w:t>
      </w:r>
      <w:r>
        <w:rPr>
          <w:rFonts w:hint="cs"/>
          <w:rtl/>
          <w:lang w:eastAsia="zh-TW"/>
        </w:rPr>
        <w:t xml:space="preserve"> على اختفاء السيد </w:t>
      </w:r>
      <w:proofErr w:type="spellStart"/>
      <w:r>
        <w:rPr>
          <w:rFonts w:hint="cs"/>
          <w:rtl/>
          <w:lang w:eastAsia="zh-TW"/>
        </w:rPr>
        <w:t>ماغومادوف</w:t>
      </w:r>
      <w:proofErr w:type="spellEnd"/>
      <w:r>
        <w:rPr>
          <w:rFonts w:hint="cs"/>
          <w:rtl/>
          <w:lang w:eastAsia="zh-TW"/>
        </w:rPr>
        <w:t>، ما</w:t>
      </w:r>
      <w:r w:rsidR="000B1781">
        <w:rPr>
          <w:rFonts w:hint="eastAsia"/>
          <w:rtl/>
          <w:lang w:eastAsia="zh-TW"/>
        </w:rPr>
        <w:t> </w:t>
      </w:r>
      <w:r>
        <w:rPr>
          <w:rFonts w:hint="cs"/>
          <w:rtl/>
          <w:lang w:eastAsia="zh-TW"/>
        </w:rPr>
        <w:t>تزال صاحبة البلاغ تجهل الملابسات الدقيقة التي أحاطت باختفاء شقيقها ولا بمكان وجوده حاليا</w:t>
      </w:r>
      <w:r w:rsidR="000B1781">
        <w:rPr>
          <w:rFonts w:hint="cs"/>
          <w:rtl/>
          <w:lang w:eastAsia="zh-TW"/>
        </w:rPr>
        <w:t>ً</w:t>
      </w:r>
      <w:r>
        <w:rPr>
          <w:rFonts w:hint="cs"/>
          <w:rtl/>
          <w:lang w:eastAsia="zh-TW"/>
        </w:rPr>
        <w:t xml:space="preserve"> ولم تتمكن الدولة الطرف أو لم تكن ترغب في إجراء تحقيق فعلي. وتتفهم اللجنة استمرار شعور صاحبة البلاغ بالكرب وبالإجهاد النفسي مما لحقها بوصفها أخت الشخص المختفي، ومفاقمة ذلك بسبب رفض الدولة الطرف الإقرار باحتجاز السيد </w:t>
      </w:r>
      <w:proofErr w:type="spellStart"/>
      <w:r>
        <w:rPr>
          <w:rFonts w:hint="cs"/>
          <w:rtl/>
          <w:lang w:eastAsia="zh-TW"/>
        </w:rPr>
        <w:t>ماغومادوف</w:t>
      </w:r>
      <w:proofErr w:type="spellEnd"/>
      <w:r>
        <w:rPr>
          <w:rFonts w:hint="cs"/>
          <w:rtl/>
          <w:lang w:eastAsia="zh-TW"/>
        </w:rPr>
        <w:t xml:space="preserve"> ورفضها التحقيق لمعرفة مكان وجوده حاليا</w:t>
      </w:r>
      <w:r w:rsidR="000B1781">
        <w:rPr>
          <w:rFonts w:hint="cs"/>
          <w:rtl/>
          <w:lang w:eastAsia="zh-TW"/>
        </w:rPr>
        <w:t>ً</w:t>
      </w:r>
      <w:r>
        <w:rPr>
          <w:rFonts w:hint="cs"/>
          <w:rtl/>
          <w:lang w:eastAsia="zh-TW"/>
        </w:rPr>
        <w:t>، وتعتبر أن ذلك يرقى إلى معاملة صاحبة البلاغ معاملة لا</w:t>
      </w:r>
      <w:r w:rsidR="000B1781">
        <w:rPr>
          <w:rFonts w:hint="cs"/>
          <w:rtl/>
          <w:lang w:eastAsia="zh-TW"/>
        </w:rPr>
        <w:t xml:space="preserve"> </w:t>
      </w:r>
      <w:r>
        <w:rPr>
          <w:rFonts w:hint="cs"/>
          <w:rtl/>
          <w:lang w:eastAsia="zh-TW"/>
        </w:rPr>
        <w:t>إنسانية، وهو ما يمثل انتهاكا</w:t>
      </w:r>
      <w:r w:rsidR="0033414A">
        <w:rPr>
          <w:rFonts w:hint="cs"/>
          <w:rtl/>
          <w:lang w:eastAsia="zh-TW"/>
        </w:rPr>
        <w:t>ً</w:t>
      </w:r>
      <w:r>
        <w:rPr>
          <w:rFonts w:hint="cs"/>
          <w:rtl/>
          <w:lang w:eastAsia="zh-TW"/>
        </w:rPr>
        <w:t xml:space="preserve"> للمادة 7 من العهد.</w:t>
      </w:r>
    </w:p>
    <w:p w:rsidR="00E30F6E" w:rsidRDefault="00E30F6E" w:rsidP="00E30F6E">
      <w:pPr>
        <w:pStyle w:val="SingleTxtGA"/>
        <w:rPr>
          <w:spacing w:val="-2"/>
          <w:rtl/>
          <w:lang w:eastAsia="zh-TW"/>
        </w:rPr>
      </w:pPr>
      <w:bookmarkStart w:id="55" w:name="bookmark_143"/>
      <w:bookmarkEnd w:id="54"/>
      <w:r>
        <w:rPr>
          <w:rFonts w:hint="cs"/>
          <w:spacing w:val="-2"/>
          <w:rtl/>
          <w:lang w:eastAsia="zh-TW"/>
        </w:rPr>
        <w:t>8</w:t>
      </w:r>
      <w:r w:rsidRPr="002C62D9">
        <w:rPr>
          <w:spacing w:val="-2"/>
          <w:rtl/>
          <w:lang w:eastAsia="zh-TW"/>
        </w:rPr>
        <w:t>-</w:t>
      </w:r>
      <w:r w:rsidRPr="002C62D9">
        <w:rPr>
          <w:spacing w:val="-2"/>
          <w:rtl/>
          <w:lang w:eastAsia="zh-TW"/>
        </w:rPr>
        <w:tab/>
        <w:t xml:space="preserve">واللجنة، إذ تتصرف بموجب الفقرة 4 من المادة 5 من البروتوكول الاختياري، ترى أن </w:t>
      </w:r>
      <w:r>
        <w:rPr>
          <w:rFonts w:hint="cs"/>
          <w:spacing w:val="-2"/>
          <w:rtl/>
          <w:lang w:eastAsia="zh-TW"/>
        </w:rPr>
        <w:t xml:space="preserve">الوقائع المعروضة عليها تكشف عن انتهاك حقوق السيد </w:t>
      </w:r>
      <w:proofErr w:type="spellStart"/>
      <w:r>
        <w:rPr>
          <w:rFonts w:hint="cs"/>
          <w:spacing w:val="-2"/>
          <w:rtl/>
          <w:lang w:eastAsia="zh-TW"/>
        </w:rPr>
        <w:t>ماغومادوف</w:t>
      </w:r>
      <w:proofErr w:type="spellEnd"/>
      <w:r>
        <w:rPr>
          <w:rFonts w:hint="cs"/>
          <w:spacing w:val="-2"/>
          <w:rtl/>
          <w:lang w:eastAsia="zh-TW"/>
        </w:rPr>
        <w:t xml:space="preserve"> بموجب المادة 6(1)، مقروءة بمفردها وبالاقتران مع المادة 2(3) والمادة 9(1)، وحقوق صاحبة البلاغ بموجب المادة</w:t>
      </w:r>
      <w:r w:rsidRPr="002C62D9">
        <w:rPr>
          <w:spacing w:val="-2"/>
          <w:rtl/>
          <w:lang w:eastAsia="zh-TW"/>
        </w:rPr>
        <w:t xml:space="preserve"> 7 من العهد.</w:t>
      </w:r>
    </w:p>
    <w:p w:rsidR="00E30F6E" w:rsidRPr="0033414A" w:rsidRDefault="00E30F6E" w:rsidP="00E30F6E">
      <w:pPr>
        <w:pStyle w:val="SingleTxtGA"/>
        <w:rPr>
          <w:rtl/>
          <w:lang w:eastAsia="zh-TW" w:bidi="ar-DZ"/>
        </w:rPr>
      </w:pPr>
      <w:r w:rsidRPr="0033414A">
        <w:rPr>
          <w:rFonts w:hint="cs"/>
          <w:rtl/>
          <w:lang w:eastAsia="zh-TW"/>
        </w:rPr>
        <w:t>9-</w:t>
      </w:r>
      <w:r w:rsidRPr="0033414A">
        <w:rPr>
          <w:rFonts w:hint="cs"/>
          <w:rtl/>
          <w:lang w:eastAsia="zh-TW"/>
        </w:rPr>
        <w:tab/>
      </w:r>
      <w:r w:rsidRPr="0033414A">
        <w:rPr>
          <w:rtl/>
          <w:lang w:eastAsia="zh-TW"/>
        </w:rPr>
        <w:t>ووفقاً للمادة ٢(3)(أ) من العهد،</w:t>
      </w:r>
      <w:r w:rsidRPr="0033414A">
        <w:rPr>
          <w:rFonts w:hint="cs"/>
          <w:rtl/>
          <w:lang w:eastAsia="zh-TW"/>
        </w:rPr>
        <w:t xml:space="preserve"> فإن</w:t>
      </w:r>
      <w:r w:rsidRPr="0033414A">
        <w:rPr>
          <w:rtl/>
          <w:lang w:eastAsia="zh-TW"/>
        </w:rPr>
        <w:t xml:space="preserve"> الدولة الطرف ملزمة بأن تتيح </w:t>
      </w:r>
      <w:r w:rsidRPr="0033414A">
        <w:rPr>
          <w:rFonts w:hint="cs"/>
          <w:rtl/>
          <w:lang w:eastAsia="zh-TW"/>
        </w:rPr>
        <w:t xml:space="preserve">لصاحبة البلاغ سبيل انتصاف </w:t>
      </w:r>
      <w:r w:rsidRPr="0033414A">
        <w:rPr>
          <w:rtl/>
          <w:lang w:eastAsia="zh-TW"/>
        </w:rPr>
        <w:t>فعالاً</w:t>
      </w:r>
      <w:r w:rsidRPr="0033414A">
        <w:rPr>
          <w:rFonts w:hint="cs"/>
          <w:rtl/>
          <w:lang w:eastAsia="zh-TW"/>
        </w:rPr>
        <w:t xml:space="preserve">. ويستلزم ذلك تقديم </w:t>
      </w:r>
      <w:r w:rsidRPr="0033414A">
        <w:rPr>
          <w:rtl/>
          <w:lang w:eastAsia="zh-TW"/>
        </w:rPr>
        <w:t xml:space="preserve">تعويض كامل </w:t>
      </w:r>
      <w:bookmarkEnd w:id="55"/>
      <w:r w:rsidRPr="0033414A">
        <w:rPr>
          <w:rFonts w:hint="cs"/>
          <w:rtl/>
          <w:lang w:eastAsia="zh-TW"/>
        </w:rPr>
        <w:t xml:space="preserve">للأفراد الذين انتهكت حقوقهم بموجب العهد. </w:t>
      </w:r>
      <w:r w:rsidRPr="0033414A">
        <w:rPr>
          <w:rFonts w:hint="cs"/>
          <w:rtl/>
          <w:lang w:eastAsia="zh-TW" w:bidi="ar-DZ"/>
        </w:rPr>
        <w:t>وتبعا</w:t>
      </w:r>
      <w:r w:rsidR="008615E4">
        <w:rPr>
          <w:rFonts w:hint="cs"/>
          <w:rtl/>
          <w:lang w:eastAsia="zh-TW" w:bidi="ar-DZ"/>
        </w:rPr>
        <w:t>ً</w:t>
      </w:r>
      <w:r w:rsidRPr="0033414A">
        <w:rPr>
          <w:rFonts w:hint="cs"/>
          <w:rtl/>
          <w:lang w:eastAsia="zh-TW" w:bidi="ar-DZ"/>
        </w:rPr>
        <w:t xml:space="preserve"> لذلك، فالدولة الطرف ملزمة، في جملة أمور أخرى، باتخاذ خطوات ملائمة منها: (أ) لإجراء تحقيق شامل وفوري ونزيه في اختفاء السيد </w:t>
      </w:r>
      <w:proofErr w:type="spellStart"/>
      <w:r w:rsidRPr="0033414A">
        <w:rPr>
          <w:rFonts w:hint="cs"/>
          <w:rtl/>
          <w:lang w:eastAsia="zh-TW" w:bidi="ar-DZ"/>
        </w:rPr>
        <w:t>ماغومادوف</w:t>
      </w:r>
      <w:proofErr w:type="spellEnd"/>
      <w:r w:rsidRPr="0033414A">
        <w:rPr>
          <w:rFonts w:hint="cs"/>
          <w:rtl/>
          <w:lang w:eastAsia="zh-TW" w:bidi="ar-DZ"/>
        </w:rPr>
        <w:t xml:space="preserve"> ولتحديد مكان وجوده حاليا</w:t>
      </w:r>
      <w:r w:rsidR="0033414A">
        <w:rPr>
          <w:rFonts w:hint="cs"/>
          <w:rtl/>
          <w:lang w:eastAsia="zh-TW" w:bidi="ar-DZ"/>
        </w:rPr>
        <w:t>ً</w:t>
      </w:r>
      <w:r w:rsidRPr="0033414A">
        <w:rPr>
          <w:rFonts w:hint="cs"/>
          <w:rtl/>
          <w:lang w:eastAsia="zh-TW" w:bidi="ar-DZ"/>
        </w:rPr>
        <w:t>؛ (ب) تقديم جميع المعلومات المتعلقة بالتحقيق إلى صاحبة البلاغ؛ (ج) تقديم التعويض المناسب واتخاذ الإجراءات الأخرى الكفيلة بترضية صاحبة البلاغ على الانتهاكات التي حصلت. والدولة الطرف ملزمة أيضا</w:t>
      </w:r>
      <w:r w:rsidR="0033414A">
        <w:rPr>
          <w:rFonts w:hint="cs"/>
          <w:rtl/>
          <w:lang w:eastAsia="zh-TW" w:bidi="ar-DZ"/>
        </w:rPr>
        <w:t>ً</w:t>
      </w:r>
      <w:r w:rsidRPr="0033414A">
        <w:rPr>
          <w:rFonts w:hint="cs"/>
          <w:rtl/>
          <w:lang w:eastAsia="zh-TW" w:bidi="ar-DZ"/>
        </w:rPr>
        <w:t xml:space="preserve"> باتخاذ جميع الخطوات اللازمة لمنع تكرار حصول انتهاكات مماثلة في المستقبل.</w:t>
      </w:r>
    </w:p>
    <w:p w:rsidR="00E30F6E" w:rsidRPr="008615E4" w:rsidRDefault="00E30F6E" w:rsidP="00E30F6E">
      <w:pPr>
        <w:pStyle w:val="SingleTxtGA"/>
        <w:rPr>
          <w:rtl/>
          <w:lang w:bidi="ar-DZ"/>
        </w:rPr>
      </w:pPr>
      <w:r>
        <w:rPr>
          <w:rFonts w:hint="cs"/>
          <w:spacing w:val="-2"/>
          <w:rtl/>
          <w:lang w:eastAsia="zh-TW" w:bidi="ar-DZ"/>
        </w:rPr>
        <w:t>10-</w:t>
      </w:r>
      <w:r>
        <w:rPr>
          <w:rFonts w:hint="cs"/>
          <w:spacing w:val="-2"/>
          <w:rtl/>
          <w:lang w:eastAsia="zh-TW" w:bidi="ar-DZ"/>
        </w:rPr>
        <w:tab/>
      </w:r>
      <w:r w:rsidRPr="00DE7B56">
        <w:rPr>
          <w:spacing w:val="-2"/>
          <w:rtl/>
          <w:lang w:eastAsia="zh-TW" w:bidi="ar-DZ"/>
        </w:rPr>
        <w:t xml:space="preserve">وإذ تأخذ اللجنة في اعتبارها أن الدولة الطرف، بانضمامها إلى البروتوكول الاختياري، قد </w:t>
      </w:r>
      <w:r w:rsidRPr="008615E4">
        <w:rPr>
          <w:spacing w:val="-4"/>
          <w:rtl/>
          <w:lang w:eastAsia="zh-TW" w:bidi="ar-DZ"/>
        </w:rPr>
        <w:t>اعترفت باختصاص اللجنة في تحديد ما إذا كان قد حدث انتهاك للعهد، والتزمت، عملاً بالمادة 2</w:t>
      </w:r>
      <w:r w:rsidRPr="00DE7B56">
        <w:rPr>
          <w:spacing w:val="-2"/>
          <w:rtl/>
          <w:lang w:eastAsia="zh-TW" w:bidi="ar-DZ"/>
        </w:rPr>
        <w:t xml:space="preserve"> </w:t>
      </w:r>
      <w:r w:rsidRPr="008615E4">
        <w:rPr>
          <w:rtl/>
          <w:lang w:eastAsia="zh-TW" w:bidi="ar-DZ"/>
        </w:rPr>
        <w:t xml:space="preserve">من العهد، بأن تكفل لجميع الأفراد الموجودين في إقليميها والخاضعين لولايتها الحقوق المعترف بها في العهد، وأن توفر سبيل انتصاف فعالاً إذا ثبت حدوث انتهاك، فإنها تود أن تتلقى من الدولة الطرف في غضون 180 </w:t>
      </w:r>
      <w:r w:rsidRPr="008615E4">
        <w:rPr>
          <w:rFonts w:hint="cs"/>
          <w:rtl/>
          <w:lang w:eastAsia="zh-TW" w:bidi="ar-DZ"/>
        </w:rPr>
        <w:t xml:space="preserve">يوماً </w:t>
      </w:r>
      <w:r w:rsidRPr="008615E4">
        <w:rPr>
          <w:rtl/>
          <w:lang w:eastAsia="zh-TW" w:bidi="ar-DZ"/>
        </w:rPr>
        <w:t>معلومات عن التدابير التي اتخذتها لوضع آراء اللجنة موضع التنفيذ.</w:t>
      </w:r>
      <w:r w:rsidRPr="008615E4">
        <w:rPr>
          <w:rFonts w:hint="cs"/>
          <w:rtl/>
          <w:lang w:eastAsia="zh-TW" w:bidi="ar-DZ"/>
        </w:rPr>
        <w:t xml:space="preserve"> والدولة الطرف مطالبة أيضا</w:t>
      </w:r>
      <w:r w:rsidR="004E1D34" w:rsidRPr="008615E4">
        <w:rPr>
          <w:rFonts w:hint="cs"/>
          <w:rtl/>
          <w:lang w:eastAsia="zh-TW" w:bidi="ar-DZ"/>
        </w:rPr>
        <w:t>ً</w:t>
      </w:r>
      <w:r w:rsidRPr="008615E4">
        <w:rPr>
          <w:rFonts w:hint="cs"/>
          <w:rtl/>
          <w:lang w:eastAsia="zh-TW" w:bidi="ar-DZ"/>
        </w:rPr>
        <w:t xml:space="preserve"> بنشر هذه الآراء وتعميمها على نطاق واسع باللغات الرسمية للدولة الطرف.</w:t>
      </w:r>
    </w:p>
    <w:p w:rsidR="00E30F6E" w:rsidRPr="00E30F6E" w:rsidRDefault="00E30F6E" w:rsidP="00E30F6E">
      <w:pPr>
        <w:spacing w:before="120"/>
        <w:jc w:val="center"/>
        <w:rPr>
          <w:u w:val="single"/>
          <w:rtl/>
          <w:lang w:bidi="ar-DZ"/>
        </w:rPr>
      </w:pPr>
      <w:r>
        <w:rPr>
          <w:u w:val="single"/>
          <w:rtl/>
          <w:lang w:bidi="ar-DZ"/>
        </w:rPr>
        <w:tab/>
      </w:r>
      <w:r>
        <w:rPr>
          <w:u w:val="single"/>
          <w:rtl/>
          <w:lang w:bidi="ar-DZ"/>
        </w:rPr>
        <w:tab/>
      </w:r>
      <w:r>
        <w:rPr>
          <w:u w:val="single"/>
          <w:rtl/>
          <w:lang w:bidi="ar-DZ"/>
        </w:rPr>
        <w:tab/>
      </w:r>
    </w:p>
    <w:sectPr w:rsidR="00E30F6E" w:rsidRPr="00E30F6E" w:rsidSect="00B205B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A45" w:rsidRPr="002901D9" w:rsidRDefault="007D5A45" w:rsidP="002901D9">
      <w:pPr>
        <w:spacing w:after="60" w:line="240" w:lineRule="auto"/>
        <w:rPr>
          <w:i/>
          <w:iCs/>
        </w:rPr>
      </w:pPr>
      <w:r>
        <w:rPr>
          <w:rFonts w:hint="cs"/>
          <w:i/>
          <w:iCs/>
          <w:rtl/>
        </w:rPr>
        <w:t>الحواشي</w:t>
      </w:r>
    </w:p>
  </w:endnote>
  <w:endnote w:type="continuationSeparator" w:id="0">
    <w:p w:rsidR="007D5A45" w:rsidRDefault="007D5A4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5B8" w:rsidRPr="00E30F6E" w:rsidRDefault="00E30F6E" w:rsidP="00E30F6E">
    <w:pPr>
      <w:pStyle w:val="Footer"/>
      <w:tabs>
        <w:tab w:val="right" w:pos="9598"/>
      </w:tabs>
      <w:rPr>
        <w:sz w:val="17"/>
      </w:rPr>
    </w:pPr>
    <w:r>
      <w:rPr>
        <w:sz w:val="17"/>
      </w:rPr>
      <w:t>GE.19-08115</w:t>
    </w:r>
    <w:r>
      <w:rPr>
        <w:sz w:val="17"/>
      </w:rPr>
      <w:tab/>
    </w:r>
    <w:r w:rsidRPr="00E30F6E">
      <w:rPr>
        <w:b/>
        <w:sz w:val="18"/>
      </w:rPr>
      <w:fldChar w:fldCharType="begin"/>
    </w:r>
    <w:r w:rsidRPr="00E30F6E">
      <w:rPr>
        <w:b/>
        <w:sz w:val="18"/>
      </w:rPr>
      <w:instrText xml:space="preserve"> PAGE  \* MERGEFORMAT </w:instrText>
    </w:r>
    <w:r w:rsidRPr="00E30F6E">
      <w:rPr>
        <w:b/>
        <w:sz w:val="18"/>
      </w:rPr>
      <w:fldChar w:fldCharType="separate"/>
    </w:r>
    <w:r>
      <w:rPr>
        <w:b/>
        <w:sz w:val="18"/>
      </w:rPr>
      <w:t>2</w:t>
    </w:r>
    <w:r w:rsidRPr="00E30F6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E30F6E" w:rsidRDefault="00E30F6E" w:rsidP="006959B0">
    <w:pPr>
      <w:pStyle w:val="Footer"/>
      <w:tabs>
        <w:tab w:val="right" w:pos="9599"/>
      </w:tabs>
      <w:jc w:val="left"/>
      <w:rPr>
        <w:b/>
        <w:sz w:val="18"/>
        <w:lang w:val="en-US"/>
      </w:rPr>
    </w:pPr>
    <w:r w:rsidRPr="00E30F6E">
      <w:rPr>
        <w:b/>
        <w:sz w:val="18"/>
        <w:lang w:val="en-US"/>
      </w:rPr>
      <w:fldChar w:fldCharType="begin"/>
    </w:r>
    <w:r w:rsidRPr="00E30F6E">
      <w:rPr>
        <w:b/>
        <w:sz w:val="18"/>
        <w:lang w:val="en-US"/>
      </w:rPr>
      <w:instrText xml:space="preserve"> PAGE  \* MERGEFORMAT </w:instrText>
    </w:r>
    <w:r w:rsidRPr="00E30F6E">
      <w:rPr>
        <w:b/>
        <w:sz w:val="18"/>
        <w:lang w:val="en-US"/>
      </w:rPr>
      <w:fldChar w:fldCharType="separate"/>
    </w:r>
    <w:r w:rsidRPr="00E30F6E">
      <w:rPr>
        <w:b/>
        <w:noProof/>
        <w:sz w:val="18"/>
        <w:lang w:val="en-US"/>
      </w:rPr>
      <w:t>3</w:t>
    </w:r>
    <w:r w:rsidRPr="00E30F6E">
      <w:rPr>
        <w:b/>
        <w:sz w:val="18"/>
        <w:lang w:val="en-US"/>
      </w:rPr>
      <w:fldChar w:fldCharType="end"/>
    </w:r>
    <w:r>
      <w:rPr>
        <w:b/>
        <w:sz w:val="18"/>
        <w:lang w:val="en-US"/>
      </w:rPr>
      <w:tab/>
    </w:r>
    <w:r>
      <w:rPr>
        <w:sz w:val="17"/>
        <w:lang w:val="en-US"/>
      </w:rPr>
      <w:t>GE.19-08115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B205B8" w:rsidP="00982139">
    <w:pPr>
      <w:pStyle w:val="Footer"/>
      <w:spacing w:before="360"/>
      <w:jc w:val="right"/>
      <w:rPr>
        <w:sz w:val="20"/>
        <w:szCs w:val="20"/>
      </w:rPr>
    </w:pPr>
    <w:r>
      <w:rPr>
        <w:sz w:val="20"/>
        <w:szCs w:val="20"/>
      </w:rPr>
      <w:t>GE.19-08115</w:t>
    </w:r>
    <w:r w:rsidR="00DE50B1">
      <w:rPr>
        <w:noProof/>
        <w:lang w:val="en-US"/>
      </w:rPr>
      <w:drawing>
        <wp:anchor distT="0" distB="0" distL="114300" distR="114300" simplePos="0" relativeHeight="251665408"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B205B8" w:rsidRPr="00B205B8" w:rsidRDefault="00B205B8" w:rsidP="00B205B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A45" w:rsidRDefault="007D5A45" w:rsidP="000437B8">
      <w:pPr>
        <w:pStyle w:val="Footer"/>
        <w:bidi/>
        <w:spacing w:after="80" w:line="200" w:lineRule="exact"/>
        <w:ind w:left="680"/>
      </w:pPr>
      <w:r>
        <w:rPr>
          <w:rtl/>
        </w:rPr>
        <w:t>__________</w:t>
      </w:r>
    </w:p>
  </w:footnote>
  <w:footnote w:type="continuationSeparator" w:id="0">
    <w:p w:rsidR="007D5A45" w:rsidRDefault="007D5A45" w:rsidP="00656392">
      <w:pPr>
        <w:spacing w:line="240" w:lineRule="auto"/>
      </w:pPr>
      <w:r>
        <w:continuationSeparator/>
      </w:r>
    </w:p>
  </w:footnote>
  <w:footnote w:id="1">
    <w:p w:rsidR="00E30F6E" w:rsidRPr="002C126B" w:rsidRDefault="00E30F6E" w:rsidP="00E30F6E">
      <w:pPr>
        <w:pStyle w:val="FootnoteText1"/>
        <w:ind w:left="1268" w:hanging="588"/>
        <w:textDirection w:val="tbRlV"/>
        <w:rPr>
          <w:rtl/>
          <w:lang w:eastAsia="zh-TW"/>
        </w:rPr>
      </w:pPr>
      <w:bookmarkStart w:id="2" w:name="footnoteBookmark_11"/>
      <w:r w:rsidRPr="002C126B">
        <w:rPr>
          <w:rtl/>
          <w:lang w:bidi="ar-DZ"/>
        </w:rPr>
        <w:t>*</w:t>
      </w:r>
      <w:r w:rsidRPr="002C126B">
        <w:rPr>
          <w:rtl/>
          <w:lang w:eastAsia="zh-TW"/>
        </w:rPr>
        <w:tab/>
        <w:t>اعتمدتها اللجنة في دورتها 12</w:t>
      </w:r>
      <w:r>
        <w:rPr>
          <w:rFonts w:hint="cs"/>
          <w:rtl/>
          <w:lang w:eastAsia="zh-TW"/>
        </w:rPr>
        <w:t>5</w:t>
      </w:r>
      <w:r w:rsidRPr="002C126B">
        <w:rPr>
          <w:rtl/>
          <w:lang w:eastAsia="zh-TW"/>
        </w:rPr>
        <w:t xml:space="preserve"> (</w:t>
      </w:r>
      <w:r>
        <w:rPr>
          <w:rFonts w:hint="cs"/>
          <w:rtl/>
          <w:lang w:eastAsia="zh-TW"/>
        </w:rPr>
        <w:t>4-29 آذار/مارس 2019</w:t>
      </w:r>
      <w:r w:rsidRPr="002C126B">
        <w:rPr>
          <w:rtl/>
          <w:lang w:eastAsia="zh-TW"/>
        </w:rPr>
        <w:t>).</w:t>
      </w:r>
      <w:bookmarkEnd w:id="2"/>
      <w:r w:rsidRPr="002C126B">
        <w:rPr>
          <w:rFonts w:hint="cs"/>
          <w:rtl/>
          <w:lang w:eastAsia="zh-TW"/>
        </w:rPr>
        <w:t xml:space="preserve"> </w:t>
      </w:r>
    </w:p>
  </w:footnote>
  <w:footnote w:id="2">
    <w:p w:rsidR="00E30F6E" w:rsidRPr="000719F1" w:rsidRDefault="00E30F6E" w:rsidP="00E30F6E">
      <w:pPr>
        <w:pStyle w:val="FootnoteText1"/>
        <w:ind w:left="1268" w:hanging="588"/>
        <w:textDirection w:val="tbRlV"/>
        <w:rPr>
          <w:bCs/>
          <w:spacing w:val="-2"/>
          <w:rtl/>
          <w:lang w:eastAsia="zh-TW"/>
        </w:rPr>
      </w:pPr>
      <w:bookmarkStart w:id="3" w:name="footnoteBookmark_12"/>
      <w:r w:rsidRPr="00D57E65">
        <w:rPr>
          <w:spacing w:val="-2"/>
          <w:rtl/>
          <w:lang w:bidi="ar-DZ"/>
        </w:rPr>
        <w:t>**</w:t>
      </w:r>
      <w:r w:rsidRPr="00D57E65">
        <w:rPr>
          <w:spacing w:val="-2"/>
          <w:rtl/>
          <w:lang w:eastAsia="zh-TW"/>
        </w:rPr>
        <w:tab/>
        <w:t xml:space="preserve">شارك في دراسة هذا البلاغ أعضاء اللجنة التالية أسماؤهم: </w:t>
      </w:r>
      <w:r>
        <w:rPr>
          <w:rFonts w:hint="cs"/>
          <w:spacing w:val="-2"/>
          <w:rtl/>
          <w:lang w:eastAsia="zh-TW"/>
        </w:rPr>
        <w:t xml:space="preserve">تانيا ماريا أبدو </w:t>
      </w:r>
      <w:proofErr w:type="spellStart"/>
      <w:r>
        <w:rPr>
          <w:rFonts w:hint="cs"/>
          <w:spacing w:val="-2"/>
          <w:rtl/>
          <w:lang w:eastAsia="zh-TW"/>
        </w:rPr>
        <w:t>روشول</w:t>
      </w:r>
      <w:proofErr w:type="spellEnd"/>
      <w:r>
        <w:rPr>
          <w:rFonts w:hint="cs"/>
          <w:spacing w:val="-2"/>
          <w:rtl/>
          <w:lang w:eastAsia="zh-TW"/>
        </w:rPr>
        <w:t>، و</w:t>
      </w:r>
      <w:r w:rsidRPr="00D57E65">
        <w:rPr>
          <w:spacing w:val="-2"/>
          <w:rtl/>
          <w:lang w:eastAsia="zh-TW"/>
        </w:rPr>
        <w:t xml:space="preserve">عياض بن عاشور، </w:t>
      </w:r>
      <w:proofErr w:type="spellStart"/>
      <w:r w:rsidRPr="00D57E65">
        <w:rPr>
          <w:spacing w:val="-2"/>
          <w:rtl/>
          <w:lang w:eastAsia="zh-TW"/>
        </w:rPr>
        <w:t>وإلزي</w:t>
      </w:r>
      <w:proofErr w:type="spellEnd"/>
      <w:r w:rsidRPr="00D57E65">
        <w:rPr>
          <w:spacing w:val="-2"/>
          <w:rtl/>
          <w:lang w:eastAsia="zh-TW"/>
        </w:rPr>
        <w:t xml:space="preserve"> </w:t>
      </w:r>
      <w:proofErr w:type="spellStart"/>
      <w:r w:rsidRPr="00D57E65">
        <w:rPr>
          <w:spacing w:val="-2"/>
          <w:rtl/>
          <w:lang w:eastAsia="zh-TW"/>
        </w:rPr>
        <w:t>براندس</w:t>
      </w:r>
      <w:proofErr w:type="spellEnd"/>
      <w:r w:rsidRPr="00D57E65">
        <w:rPr>
          <w:spacing w:val="-2"/>
          <w:rtl/>
          <w:lang w:eastAsia="zh-TW"/>
        </w:rPr>
        <w:t xml:space="preserve"> كهريس، </w:t>
      </w:r>
      <w:r>
        <w:rPr>
          <w:rFonts w:hint="cs"/>
          <w:spacing w:val="-2"/>
          <w:rtl/>
          <w:lang w:eastAsia="zh-TW"/>
        </w:rPr>
        <w:t xml:space="preserve">وكريستوفر أريف </w:t>
      </w:r>
      <w:proofErr w:type="spellStart"/>
      <w:r>
        <w:rPr>
          <w:rFonts w:hint="cs"/>
          <w:spacing w:val="-2"/>
          <w:rtl/>
          <w:lang w:eastAsia="zh-TW"/>
        </w:rPr>
        <w:t>بولكان</w:t>
      </w:r>
      <w:proofErr w:type="spellEnd"/>
      <w:r w:rsidRPr="00D57E65">
        <w:rPr>
          <w:spacing w:val="-2"/>
          <w:rtl/>
          <w:lang w:eastAsia="zh-TW"/>
        </w:rPr>
        <w:t xml:space="preserve">، </w:t>
      </w:r>
      <w:r>
        <w:rPr>
          <w:rFonts w:hint="cs"/>
          <w:spacing w:val="-2"/>
          <w:rtl/>
          <w:lang w:eastAsia="zh-TW"/>
        </w:rPr>
        <w:t>وأحمد أمين فضل الله</w:t>
      </w:r>
      <w:r w:rsidRPr="00D57E65">
        <w:rPr>
          <w:spacing w:val="-2"/>
          <w:rtl/>
          <w:lang w:eastAsia="zh-TW"/>
        </w:rPr>
        <w:t>،</w:t>
      </w:r>
      <w:r>
        <w:rPr>
          <w:rFonts w:hint="cs"/>
          <w:spacing w:val="-2"/>
          <w:rtl/>
          <w:lang w:eastAsia="zh-TW"/>
        </w:rPr>
        <w:t xml:space="preserve"> </w:t>
      </w:r>
      <w:proofErr w:type="spellStart"/>
      <w:r>
        <w:rPr>
          <w:rFonts w:hint="cs"/>
          <w:spacing w:val="-2"/>
          <w:rtl/>
          <w:lang w:eastAsia="zh-TW"/>
        </w:rPr>
        <w:t>وشويشي</w:t>
      </w:r>
      <w:proofErr w:type="spellEnd"/>
      <w:r>
        <w:rPr>
          <w:rFonts w:hint="cs"/>
          <w:spacing w:val="-2"/>
          <w:rtl/>
          <w:lang w:eastAsia="zh-TW"/>
        </w:rPr>
        <w:t xml:space="preserve"> </w:t>
      </w:r>
      <w:proofErr w:type="spellStart"/>
      <w:r>
        <w:rPr>
          <w:rFonts w:hint="cs"/>
          <w:spacing w:val="-2"/>
          <w:rtl/>
          <w:lang w:eastAsia="zh-TW"/>
        </w:rPr>
        <w:t>فورويا</w:t>
      </w:r>
      <w:proofErr w:type="spellEnd"/>
      <w:r>
        <w:rPr>
          <w:rFonts w:hint="cs"/>
          <w:spacing w:val="-2"/>
          <w:rtl/>
          <w:lang w:eastAsia="zh-TW"/>
        </w:rPr>
        <w:t>،</w:t>
      </w:r>
      <w:r w:rsidRPr="00D57E65">
        <w:rPr>
          <w:spacing w:val="-2"/>
          <w:rtl/>
          <w:lang w:eastAsia="zh-TW"/>
        </w:rPr>
        <w:t xml:space="preserve"> وكريستوف </w:t>
      </w:r>
      <w:proofErr w:type="spellStart"/>
      <w:r w:rsidRPr="00D57E65">
        <w:rPr>
          <w:spacing w:val="-2"/>
          <w:rtl/>
          <w:lang w:eastAsia="zh-TW"/>
        </w:rPr>
        <w:t>هينز</w:t>
      </w:r>
      <w:proofErr w:type="spellEnd"/>
      <w:r w:rsidRPr="00D57E65">
        <w:rPr>
          <w:spacing w:val="-2"/>
          <w:rtl/>
          <w:lang w:eastAsia="zh-TW"/>
        </w:rPr>
        <w:t xml:space="preserve">، </w:t>
      </w:r>
      <w:proofErr w:type="spellStart"/>
      <w:r w:rsidRPr="00D57E65">
        <w:rPr>
          <w:spacing w:val="-2"/>
          <w:rtl/>
          <w:lang w:eastAsia="zh-TW"/>
        </w:rPr>
        <w:t>وبامريم</w:t>
      </w:r>
      <w:proofErr w:type="spellEnd"/>
      <w:r w:rsidRPr="00D57E65">
        <w:rPr>
          <w:spacing w:val="-2"/>
          <w:rtl/>
          <w:lang w:eastAsia="zh-TW"/>
        </w:rPr>
        <w:t xml:space="preserve"> كويتا،</w:t>
      </w:r>
      <w:r>
        <w:rPr>
          <w:rFonts w:hint="cs"/>
          <w:spacing w:val="-2"/>
          <w:rtl/>
          <w:lang w:eastAsia="zh-TW"/>
        </w:rPr>
        <w:t xml:space="preserve"> </w:t>
      </w:r>
      <w:proofErr w:type="spellStart"/>
      <w:r>
        <w:rPr>
          <w:rFonts w:hint="cs"/>
          <w:spacing w:val="-2"/>
          <w:rtl/>
          <w:lang w:eastAsia="zh-TW"/>
        </w:rPr>
        <w:t>ومارسيا</w:t>
      </w:r>
      <w:proofErr w:type="spellEnd"/>
      <w:r>
        <w:rPr>
          <w:rFonts w:hint="cs"/>
          <w:spacing w:val="-2"/>
          <w:rtl/>
          <w:lang w:eastAsia="zh-TW"/>
        </w:rPr>
        <w:t xml:space="preserve"> ف. كران،</w:t>
      </w:r>
      <w:r w:rsidRPr="00D57E65">
        <w:rPr>
          <w:spacing w:val="-2"/>
          <w:rtl/>
          <w:lang w:eastAsia="zh-TW"/>
        </w:rPr>
        <w:t xml:space="preserve"> </w:t>
      </w:r>
      <w:proofErr w:type="spellStart"/>
      <w:r>
        <w:rPr>
          <w:rFonts w:hint="cs"/>
          <w:spacing w:val="-2"/>
          <w:rtl/>
          <w:lang w:eastAsia="zh-TW"/>
        </w:rPr>
        <w:t>ودونكان</w:t>
      </w:r>
      <w:proofErr w:type="spellEnd"/>
      <w:r>
        <w:rPr>
          <w:rFonts w:hint="cs"/>
          <w:spacing w:val="-2"/>
          <w:rtl/>
          <w:lang w:eastAsia="zh-TW"/>
        </w:rPr>
        <w:t xml:space="preserve"> </w:t>
      </w:r>
      <w:proofErr w:type="spellStart"/>
      <w:r>
        <w:rPr>
          <w:rFonts w:hint="cs"/>
          <w:spacing w:val="-2"/>
          <w:rtl/>
          <w:lang w:eastAsia="zh-TW"/>
        </w:rPr>
        <w:t>لاكي</w:t>
      </w:r>
      <w:proofErr w:type="spellEnd"/>
      <w:r>
        <w:rPr>
          <w:rFonts w:hint="cs"/>
          <w:spacing w:val="-2"/>
          <w:rtl/>
          <w:lang w:eastAsia="zh-TW"/>
        </w:rPr>
        <w:t xml:space="preserve"> </w:t>
      </w:r>
      <w:proofErr w:type="spellStart"/>
      <w:r>
        <w:rPr>
          <w:rFonts w:hint="cs"/>
          <w:spacing w:val="-2"/>
          <w:rtl/>
          <w:lang w:eastAsia="zh-TW"/>
        </w:rPr>
        <w:t>موهوموزا</w:t>
      </w:r>
      <w:proofErr w:type="spellEnd"/>
      <w:r w:rsidRPr="00D57E65">
        <w:rPr>
          <w:spacing w:val="-2"/>
          <w:rtl/>
          <w:lang w:eastAsia="zh-TW"/>
        </w:rPr>
        <w:t xml:space="preserve">، وفوتيني </w:t>
      </w:r>
      <w:proofErr w:type="spellStart"/>
      <w:r w:rsidRPr="00D57E65">
        <w:rPr>
          <w:spacing w:val="-2"/>
          <w:rtl/>
          <w:lang w:eastAsia="zh-TW"/>
        </w:rPr>
        <w:t>بازارتزيس</w:t>
      </w:r>
      <w:proofErr w:type="spellEnd"/>
      <w:r w:rsidRPr="00D57E65">
        <w:rPr>
          <w:spacing w:val="-2"/>
          <w:rtl/>
          <w:lang w:eastAsia="zh-TW"/>
        </w:rPr>
        <w:t xml:space="preserve">، </w:t>
      </w:r>
      <w:proofErr w:type="spellStart"/>
      <w:r>
        <w:rPr>
          <w:rFonts w:hint="cs"/>
          <w:spacing w:val="-2"/>
          <w:rtl/>
          <w:lang w:eastAsia="zh-TW"/>
        </w:rPr>
        <w:t>وهيرنان</w:t>
      </w:r>
      <w:proofErr w:type="spellEnd"/>
      <w:r>
        <w:rPr>
          <w:rFonts w:hint="cs"/>
          <w:spacing w:val="-2"/>
          <w:rtl/>
          <w:lang w:eastAsia="zh-TW"/>
        </w:rPr>
        <w:t xml:space="preserve"> </w:t>
      </w:r>
      <w:proofErr w:type="spellStart"/>
      <w:r>
        <w:rPr>
          <w:rFonts w:hint="cs"/>
          <w:spacing w:val="-2"/>
          <w:rtl/>
          <w:lang w:eastAsia="zh-TW"/>
        </w:rPr>
        <w:t>كيزادا</w:t>
      </w:r>
      <w:proofErr w:type="spellEnd"/>
      <w:r w:rsidRPr="00D57E65">
        <w:rPr>
          <w:spacing w:val="-2"/>
          <w:rtl/>
          <w:lang w:eastAsia="zh-TW"/>
        </w:rPr>
        <w:t>،</w:t>
      </w:r>
      <w:r>
        <w:rPr>
          <w:rFonts w:hint="cs"/>
          <w:spacing w:val="-2"/>
          <w:rtl/>
          <w:lang w:eastAsia="zh-TW"/>
        </w:rPr>
        <w:t xml:space="preserve"> </w:t>
      </w:r>
      <w:proofErr w:type="spellStart"/>
      <w:r>
        <w:rPr>
          <w:rFonts w:hint="cs"/>
          <w:spacing w:val="-2"/>
          <w:rtl/>
          <w:lang w:eastAsia="zh-TW"/>
        </w:rPr>
        <w:t>وفاسيلكا</w:t>
      </w:r>
      <w:proofErr w:type="spellEnd"/>
      <w:r>
        <w:rPr>
          <w:rFonts w:hint="cs"/>
          <w:spacing w:val="-2"/>
          <w:rtl/>
          <w:lang w:eastAsia="zh-TW"/>
        </w:rPr>
        <w:t xml:space="preserve"> </w:t>
      </w:r>
      <w:proofErr w:type="spellStart"/>
      <w:r>
        <w:rPr>
          <w:rFonts w:hint="cs"/>
          <w:spacing w:val="-2"/>
          <w:rtl/>
          <w:lang w:eastAsia="zh-TW"/>
        </w:rPr>
        <w:t>سانسين</w:t>
      </w:r>
      <w:proofErr w:type="spellEnd"/>
      <w:r>
        <w:rPr>
          <w:rFonts w:hint="cs"/>
          <w:spacing w:val="-2"/>
          <w:rtl/>
          <w:lang w:eastAsia="zh-TW"/>
        </w:rPr>
        <w:t>،</w:t>
      </w:r>
      <w:r w:rsidRPr="00D57E65">
        <w:rPr>
          <w:spacing w:val="-2"/>
          <w:rtl/>
          <w:lang w:eastAsia="zh-TW"/>
        </w:rPr>
        <w:t xml:space="preserve"> وخوسيه مانويل سانتوس </w:t>
      </w:r>
      <w:proofErr w:type="spellStart"/>
      <w:r w:rsidRPr="00D57E65">
        <w:rPr>
          <w:spacing w:val="-2"/>
          <w:rtl/>
          <w:lang w:eastAsia="zh-TW"/>
        </w:rPr>
        <w:t>باييس</w:t>
      </w:r>
      <w:proofErr w:type="spellEnd"/>
      <w:r w:rsidRPr="00D57E65">
        <w:rPr>
          <w:spacing w:val="-2"/>
          <w:rtl/>
          <w:lang w:eastAsia="zh-TW"/>
        </w:rPr>
        <w:t xml:space="preserve">، ويوفال </w:t>
      </w:r>
      <w:proofErr w:type="spellStart"/>
      <w:r w:rsidRPr="00D57E65">
        <w:rPr>
          <w:spacing w:val="-2"/>
          <w:rtl/>
          <w:lang w:eastAsia="zh-TW"/>
        </w:rPr>
        <w:t>شاني</w:t>
      </w:r>
      <w:proofErr w:type="spellEnd"/>
      <w:r w:rsidRPr="00D57E65">
        <w:rPr>
          <w:spacing w:val="-2"/>
          <w:rtl/>
          <w:lang w:eastAsia="zh-TW"/>
        </w:rPr>
        <w:t xml:space="preserve">، </w:t>
      </w:r>
      <w:r>
        <w:rPr>
          <w:rFonts w:hint="cs"/>
          <w:spacing w:val="-2"/>
          <w:rtl/>
          <w:lang w:eastAsia="zh-TW"/>
        </w:rPr>
        <w:t xml:space="preserve">وهيلين </w:t>
      </w:r>
      <w:proofErr w:type="spellStart"/>
      <w:r>
        <w:rPr>
          <w:rFonts w:hint="cs"/>
          <w:spacing w:val="-2"/>
          <w:rtl/>
          <w:lang w:eastAsia="zh-TW"/>
        </w:rPr>
        <w:t>تيغروجا</w:t>
      </w:r>
      <w:proofErr w:type="spellEnd"/>
      <w:r>
        <w:rPr>
          <w:rFonts w:hint="cs"/>
          <w:spacing w:val="-2"/>
          <w:rtl/>
          <w:lang w:eastAsia="zh-TW"/>
        </w:rPr>
        <w:t xml:space="preserve">، وأندرياس </w:t>
      </w:r>
      <w:proofErr w:type="spellStart"/>
      <w:r>
        <w:rPr>
          <w:rFonts w:hint="cs"/>
          <w:spacing w:val="-2"/>
          <w:rtl/>
          <w:lang w:eastAsia="zh-TW"/>
        </w:rPr>
        <w:t>زيمرمان</w:t>
      </w:r>
      <w:proofErr w:type="spellEnd"/>
      <w:r>
        <w:rPr>
          <w:rFonts w:hint="cs"/>
          <w:spacing w:val="-2"/>
          <w:rtl/>
          <w:lang w:eastAsia="zh-TW"/>
        </w:rPr>
        <w:t xml:space="preserve">، </w:t>
      </w:r>
      <w:proofErr w:type="spellStart"/>
      <w:r>
        <w:rPr>
          <w:rFonts w:hint="cs"/>
          <w:spacing w:val="-2"/>
          <w:rtl/>
          <w:lang w:eastAsia="zh-TW"/>
        </w:rPr>
        <w:t>وجينتيان</w:t>
      </w:r>
      <w:proofErr w:type="spellEnd"/>
      <w:r>
        <w:rPr>
          <w:rFonts w:hint="cs"/>
          <w:spacing w:val="-2"/>
          <w:rtl/>
          <w:lang w:eastAsia="zh-TW"/>
        </w:rPr>
        <w:t xml:space="preserve"> </w:t>
      </w:r>
      <w:proofErr w:type="spellStart"/>
      <w:r>
        <w:rPr>
          <w:rFonts w:hint="cs"/>
          <w:spacing w:val="-2"/>
          <w:rtl/>
          <w:lang w:eastAsia="zh-TW"/>
        </w:rPr>
        <w:t>زيبيري</w:t>
      </w:r>
      <w:proofErr w:type="spellEnd"/>
      <w:r w:rsidRPr="00D57E65">
        <w:rPr>
          <w:spacing w:val="-2"/>
          <w:rtl/>
          <w:lang w:eastAsia="zh-TW"/>
        </w:rPr>
        <w:t>.</w:t>
      </w:r>
      <w:bookmarkEnd w:id="3"/>
      <w:r w:rsidRPr="00D57E65">
        <w:rPr>
          <w:rFonts w:hint="cs"/>
          <w:bCs/>
          <w:spacing w:val="-2"/>
          <w:rtl/>
          <w:lang w:eastAsia="zh-TW"/>
        </w:rPr>
        <w:t xml:space="preserve"> </w:t>
      </w:r>
    </w:p>
  </w:footnote>
  <w:footnote w:id="3">
    <w:p w:rsidR="00C454CF" w:rsidRPr="00C454CF" w:rsidRDefault="00C454CF" w:rsidP="007030F5">
      <w:pPr>
        <w:pStyle w:val="FootnoteText1"/>
      </w:pPr>
      <w:r w:rsidRPr="00C454CF">
        <w:rPr>
          <w:rStyle w:val="FootnoteReference"/>
          <w:szCs w:val="26"/>
          <w:vertAlign w:val="baseline"/>
          <w:rtl/>
        </w:rPr>
        <w:t>(</w:t>
      </w:r>
      <w:r w:rsidRPr="00C454CF">
        <w:rPr>
          <w:rStyle w:val="FootnoteReference"/>
          <w:szCs w:val="26"/>
          <w:vertAlign w:val="baseline"/>
          <w:rtl/>
        </w:rPr>
        <w:footnoteRef/>
      </w:r>
      <w:r w:rsidRPr="00C454CF">
        <w:rPr>
          <w:rStyle w:val="FootnoteReference"/>
          <w:szCs w:val="26"/>
          <w:vertAlign w:val="baseline"/>
          <w:rtl/>
        </w:rPr>
        <w:t>)</w:t>
      </w:r>
      <w:r>
        <w:rPr>
          <w:rtl/>
        </w:rPr>
        <w:tab/>
      </w:r>
      <w:r w:rsidRPr="00C454CF">
        <w:rPr>
          <w:rFonts w:hint="cs"/>
          <w:rtl/>
        </w:rPr>
        <w:t>لم يتضح إن كانت تلقت هذه المعلومات شفهيا</w:t>
      </w:r>
      <w:r w:rsidR="009577FE">
        <w:rPr>
          <w:rFonts w:hint="cs"/>
          <w:rtl/>
        </w:rPr>
        <w:t>ً</w:t>
      </w:r>
      <w:r w:rsidRPr="00C454CF">
        <w:rPr>
          <w:rFonts w:hint="cs"/>
          <w:rtl/>
        </w:rPr>
        <w:t xml:space="preserve"> أم كتابيا</w:t>
      </w:r>
      <w:r w:rsidR="009577FE">
        <w:rPr>
          <w:rFonts w:hint="cs"/>
          <w:rtl/>
        </w:rPr>
        <w:t>ً</w:t>
      </w:r>
      <w:r w:rsidRPr="00C454CF">
        <w:rPr>
          <w:rFonts w:hint="cs"/>
          <w:rtl/>
        </w:rPr>
        <w:t>. وإذا كانت تلقت هذه المعلومات كتابيا</w:t>
      </w:r>
      <w:r w:rsidR="00EE3C53">
        <w:rPr>
          <w:rFonts w:hint="cs"/>
          <w:rtl/>
        </w:rPr>
        <w:t>ً</w:t>
      </w:r>
      <w:r w:rsidRPr="00C454CF">
        <w:rPr>
          <w:rFonts w:hint="cs"/>
          <w:rtl/>
        </w:rPr>
        <w:t>، فلا وجود لهذه الوثيقة ضمن مواد البلاغ.</w:t>
      </w:r>
    </w:p>
  </w:footnote>
  <w:footnote w:id="4">
    <w:p w:rsidR="00C454CF" w:rsidRPr="00C454CF" w:rsidRDefault="00C454CF" w:rsidP="007030F5">
      <w:pPr>
        <w:pStyle w:val="FootnoteText1"/>
      </w:pPr>
      <w:r w:rsidRPr="00C454CF">
        <w:rPr>
          <w:rStyle w:val="FootnoteReference"/>
          <w:szCs w:val="26"/>
          <w:vertAlign w:val="baseline"/>
          <w:rtl/>
        </w:rPr>
        <w:t>(</w:t>
      </w:r>
      <w:r w:rsidRPr="00C454CF">
        <w:rPr>
          <w:rStyle w:val="FootnoteReference"/>
          <w:szCs w:val="26"/>
          <w:vertAlign w:val="baseline"/>
          <w:rtl/>
        </w:rPr>
        <w:footnoteRef/>
      </w:r>
      <w:r w:rsidRPr="00C454CF">
        <w:rPr>
          <w:rStyle w:val="FootnoteReference"/>
          <w:szCs w:val="26"/>
          <w:vertAlign w:val="baseline"/>
          <w:rtl/>
        </w:rPr>
        <w:t>)</w:t>
      </w:r>
      <w:r>
        <w:rPr>
          <w:rtl/>
        </w:rPr>
        <w:tab/>
      </w:r>
      <w:r w:rsidRPr="00C454CF">
        <w:rPr>
          <w:rFonts w:hint="cs"/>
          <w:rtl/>
        </w:rPr>
        <w:t>الشكوى ذاتها غير موجودة ضمن مواد البلاغ، وليس واضحا</w:t>
      </w:r>
      <w:r w:rsidR="009577FE">
        <w:rPr>
          <w:rFonts w:hint="cs"/>
          <w:rtl/>
        </w:rPr>
        <w:t>ً</w:t>
      </w:r>
      <w:r w:rsidRPr="00C454CF">
        <w:rPr>
          <w:rFonts w:hint="cs"/>
          <w:rtl/>
        </w:rPr>
        <w:t xml:space="preserve"> ما إذا كانت صاحبة البلاغ طلبت فتح قضية جنائية على أساس القبض على شقيقها واحتجازه بصورة غير قانونية أم أن الأمر مجرد طلب عام للتحقيق بخصوص جميع مواطني الشيشان. ووجّهت رسالة المدعي العام إلى صاحبة البلاغ بصفتها رئيسة منظمة </w:t>
      </w:r>
      <w:proofErr w:type="gramStart"/>
      <w:r w:rsidRPr="00C454CF">
        <w:rPr>
          <w:rFonts w:hint="cs"/>
          <w:rtl/>
        </w:rPr>
        <w:t>’’أمهات</w:t>
      </w:r>
      <w:proofErr w:type="gramEnd"/>
      <w:r w:rsidRPr="00C454CF">
        <w:rPr>
          <w:rFonts w:hint="cs"/>
          <w:rtl/>
        </w:rPr>
        <w:t xml:space="preserve"> الشيشانيين‘‘.</w:t>
      </w:r>
    </w:p>
  </w:footnote>
  <w:footnote w:id="5">
    <w:p w:rsidR="00C454CF" w:rsidRPr="00C454CF" w:rsidRDefault="00C454CF" w:rsidP="007030F5">
      <w:pPr>
        <w:pStyle w:val="FootnoteText1"/>
        <w:rPr>
          <w:rtl/>
        </w:rPr>
      </w:pPr>
      <w:r w:rsidRPr="00C454CF">
        <w:rPr>
          <w:rStyle w:val="FootnoteReference"/>
          <w:szCs w:val="26"/>
          <w:vertAlign w:val="baseline"/>
          <w:rtl/>
        </w:rPr>
        <w:t>(</w:t>
      </w:r>
      <w:r w:rsidRPr="00C454CF">
        <w:rPr>
          <w:rStyle w:val="FootnoteReference"/>
          <w:szCs w:val="26"/>
          <w:vertAlign w:val="baseline"/>
          <w:rtl/>
        </w:rPr>
        <w:footnoteRef/>
      </w:r>
      <w:r w:rsidRPr="00C454CF">
        <w:rPr>
          <w:rStyle w:val="FootnoteReference"/>
          <w:szCs w:val="26"/>
          <w:vertAlign w:val="baseline"/>
          <w:rtl/>
        </w:rPr>
        <w:t>)</w:t>
      </w:r>
      <w:r>
        <w:rPr>
          <w:rtl/>
        </w:rPr>
        <w:tab/>
      </w:r>
      <w:r w:rsidRPr="00C454CF">
        <w:rPr>
          <w:rFonts w:hint="cs"/>
          <w:rtl/>
        </w:rPr>
        <w:t>لم تقدم صاحبة البلاغ معلومات إضافية بخصوص هذا الطلب.</w:t>
      </w:r>
    </w:p>
  </w:footnote>
  <w:footnote w:id="6">
    <w:p w:rsidR="00C454CF" w:rsidRPr="00C454CF" w:rsidRDefault="00C454CF" w:rsidP="007030F5">
      <w:pPr>
        <w:pStyle w:val="FootnoteText1"/>
      </w:pPr>
      <w:r w:rsidRPr="00C454CF">
        <w:rPr>
          <w:rStyle w:val="FootnoteReference"/>
          <w:szCs w:val="26"/>
          <w:vertAlign w:val="baseline"/>
          <w:rtl/>
        </w:rPr>
        <w:t>(</w:t>
      </w:r>
      <w:r w:rsidRPr="00C454CF">
        <w:rPr>
          <w:rStyle w:val="FootnoteReference"/>
          <w:szCs w:val="26"/>
          <w:vertAlign w:val="baseline"/>
          <w:rtl/>
        </w:rPr>
        <w:footnoteRef/>
      </w:r>
      <w:r w:rsidRPr="00C454CF">
        <w:rPr>
          <w:rStyle w:val="FootnoteReference"/>
          <w:szCs w:val="26"/>
          <w:vertAlign w:val="baseline"/>
          <w:rtl/>
        </w:rPr>
        <w:t>)</w:t>
      </w:r>
      <w:r>
        <w:rPr>
          <w:rtl/>
        </w:rPr>
        <w:tab/>
      </w:r>
      <w:r w:rsidRPr="00C454CF">
        <w:rPr>
          <w:rFonts w:hint="cs"/>
          <w:rtl/>
        </w:rPr>
        <w:t>لا توجد وثيقة ضمن المواد المقدمة مع البلاغ تذكر بأن تحقيقا</w:t>
      </w:r>
      <w:r w:rsidR="00AE6F1D">
        <w:rPr>
          <w:rFonts w:hint="cs"/>
          <w:rtl/>
        </w:rPr>
        <w:t>ً</w:t>
      </w:r>
      <w:r w:rsidRPr="00C454CF">
        <w:rPr>
          <w:rFonts w:hint="cs"/>
          <w:rtl/>
        </w:rPr>
        <w:t xml:space="preserve"> جنائيا</w:t>
      </w:r>
      <w:r w:rsidR="00AE6F1D">
        <w:rPr>
          <w:rFonts w:hint="cs"/>
          <w:rtl/>
        </w:rPr>
        <w:t>ً</w:t>
      </w:r>
      <w:r w:rsidRPr="00C454CF">
        <w:rPr>
          <w:rFonts w:hint="cs"/>
          <w:rtl/>
        </w:rPr>
        <w:t xml:space="preserve"> فُتح في عام 1995. </w:t>
      </w:r>
    </w:p>
  </w:footnote>
  <w:footnote w:id="7">
    <w:p w:rsidR="00C454CF" w:rsidRPr="00C454CF" w:rsidRDefault="00C454CF" w:rsidP="007030F5">
      <w:pPr>
        <w:pStyle w:val="FootnoteText1"/>
      </w:pPr>
      <w:r w:rsidRPr="00C454CF">
        <w:rPr>
          <w:rStyle w:val="FootnoteReference"/>
          <w:szCs w:val="26"/>
          <w:vertAlign w:val="baseline"/>
          <w:rtl/>
        </w:rPr>
        <w:t>(</w:t>
      </w:r>
      <w:r w:rsidRPr="00C454CF">
        <w:rPr>
          <w:rStyle w:val="FootnoteReference"/>
          <w:szCs w:val="26"/>
          <w:vertAlign w:val="baseline"/>
          <w:rtl/>
        </w:rPr>
        <w:footnoteRef/>
      </w:r>
      <w:r w:rsidRPr="00C454CF">
        <w:rPr>
          <w:rStyle w:val="FootnoteReference"/>
          <w:szCs w:val="26"/>
          <w:vertAlign w:val="baseline"/>
          <w:rtl/>
        </w:rPr>
        <w:t>)</w:t>
      </w:r>
      <w:r>
        <w:rPr>
          <w:rtl/>
        </w:rPr>
        <w:tab/>
      </w:r>
      <w:r w:rsidRPr="00C454CF">
        <w:rPr>
          <w:rFonts w:hint="cs"/>
          <w:rtl/>
        </w:rPr>
        <w:t xml:space="preserve">أُجري تقييم أولي أو تحقيق أولي لمعرفة إن كان الأمر يستدعي إطلاق عملية رسمية أو تحقيق جنائي كامل. </w:t>
      </w:r>
    </w:p>
  </w:footnote>
  <w:footnote w:id="8">
    <w:p w:rsidR="00C454CF" w:rsidRPr="00C454CF" w:rsidRDefault="00C454CF" w:rsidP="007030F5">
      <w:pPr>
        <w:pStyle w:val="FootnoteText1"/>
      </w:pPr>
      <w:r w:rsidRPr="00C454CF">
        <w:rPr>
          <w:rStyle w:val="FootnoteReference"/>
          <w:szCs w:val="26"/>
          <w:vertAlign w:val="baseline"/>
          <w:rtl/>
        </w:rPr>
        <w:t>(</w:t>
      </w:r>
      <w:r w:rsidRPr="00C454CF">
        <w:rPr>
          <w:rStyle w:val="FootnoteReference"/>
          <w:szCs w:val="26"/>
          <w:vertAlign w:val="baseline"/>
          <w:rtl/>
        </w:rPr>
        <w:footnoteRef/>
      </w:r>
      <w:r w:rsidRPr="00C454CF">
        <w:rPr>
          <w:rStyle w:val="FootnoteReference"/>
          <w:szCs w:val="26"/>
          <w:vertAlign w:val="baseline"/>
          <w:rtl/>
        </w:rPr>
        <w:t>)</w:t>
      </w:r>
      <w:r>
        <w:rPr>
          <w:rtl/>
        </w:rPr>
        <w:tab/>
      </w:r>
      <w:r w:rsidRPr="00C454CF">
        <w:rPr>
          <w:rFonts w:hint="cs"/>
          <w:rtl/>
        </w:rPr>
        <w:t>قررا عدم استعمال السيارة بسبب التصعيد العسكري.</w:t>
      </w:r>
    </w:p>
  </w:footnote>
  <w:footnote w:id="9">
    <w:p w:rsidR="00C454CF" w:rsidRPr="00C454CF" w:rsidRDefault="00C454CF" w:rsidP="007030F5">
      <w:pPr>
        <w:pStyle w:val="FootnoteText1"/>
      </w:pPr>
      <w:r w:rsidRPr="00C454CF">
        <w:rPr>
          <w:rStyle w:val="FootnoteReference"/>
          <w:szCs w:val="26"/>
          <w:vertAlign w:val="baseline"/>
          <w:rtl/>
        </w:rPr>
        <w:t>(</w:t>
      </w:r>
      <w:r w:rsidRPr="00C454CF">
        <w:rPr>
          <w:rStyle w:val="FootnoteReference"/>
          <w:szCs w:val="26"/>
          <w:vertAlign w:val="baseline"/>
          <w:rtl/>
        </w:rPr>
        <w:footnoteRef/>
      </w:r>
      <w:r w:rsidRPr="00C454CF">
        <w:rPr>
          <w:rStyle w:val="FootnoteReference"/>
          <w:szCs w:val="26"/>
          <w:vertAlign w:val="baseline"/>
          <w:rtl/>
        </w:rPr>
        <w:t>)</w:t>
      </w:r>
      <w:r>
        <w:rPr>
          <w:rtl/>
        </w:rPr>
        <w:tab/>
      </w:r>
      <w:r w:rsidRPr="00C454CF">
        <w:rPr>
          <w:rFonts w:hint="cs"/>
          <w:rtl/>
        </w:rPr>
        <w:t>لم تقدم نتائج عملية النظر هذه إلى اللجنة.</w:t>
      </w:r>
    </w:p>
  </w:footnote>
  <w:footnote w:id="10">
    <w:p w:rsidR="00C454CF" w:rsidRPr="00C454CF" w:rsidRDefault="00C454CF" w:rsidP="007030F5">
      <w:pPr>
        <w:pStyle w:val="FootnoteText1"/>
        <w:rPr>
          <w:rtl/>
        </w:rPr>
      </w:pPr>
      <w:r w:rsidRPr="00C454CF">
        <w:rPr>
          <w:rStyle w:val="FootnoteReference"/>
          <w:szCs w:val="26"/>
          <w:vertAlign w:val="baseline"/>
          <w:rtl/>
        </w:rPr>
        <w:t>(</w:t>
      </w:r>
      <w:r w:rsidRPr="00C454CF">
        <w:rPr>
          <w:rStyle w:val="FootnoteReference"/>
          <w:szCs w:val="26"/>
          <w:vertAlign w:val="baseline"/>
          <w:rtl/>
        </w:rPr>
        <w:footnoteRef/>
      </w:r>
      <w:r w:rsidRPr="00C454CF">
        <w:rPr>
          <w:rStyle w:val="FootnoteReference"/>
          <w:szCs w:val="26"/>
          <w:vertAlign w:val="baseline"/>
          <w:rtl/>
        </w:rPr>
        <w:t>)</w:t>
      </w:r>
      <w:r>
        <w:rPr>
          <w:rtl/>
        </w:rPr>
        <w:tab/>
      </w:r>
      <w:r w:rsidRPr="00C454CF">
        <w:rPr>
          <w:rFonts w:hint="cs"/>
          <w:rtl/>
        </w:rPr>
        <w:t>أرفقت صاحبة البلاغ رسالة بهذا الخصوص صادرة عن وزارة الشؤون الداخلية في الاتحاد الروسي تؤكد ذلك.</w:t>
      </w:r>
    </w:p>
  </w:footnote>
  <w:footnote w:id="11">
    <w:p w:rsidR="00C454CF" w:rsidRPr="00C454CF" w:rsidRDefault="00C454CF" w:rsidP="007030F5">
      <w:pPr>
        <w:pStyle w:val="FootnoteText1"/>
      </w:pPr>
      <w:bookmarkStart w:id="41" w:name="footnoteBookmark_126"/>
      <w:r w:rsidRPr="00C454CF">
        <w:rPr>
          <w:rStyle w:val="FootnoteReference"/>
          <w:szCs w:val="26"/>
          <w:vertAlign w:val="baseline"/>
          <w:rtl/>
        </w:rPr>
        <w:t>(</w:t>
      </w:r>
      <w:r w:rsidRPr="00C454CF">
        <w:rPr>
          <w:rStyle w:val="FootnoteReference"/>
          <w:szCs w:val="26"/>
          <w:vertAlign w:val="baseline"/>
          <w:rtl/>
        </w:rPr>
        <w:footnoteRef/>
      </w:r>
      <w:r w:rsidRPr="00C454CF">
        <w:rPr>
          <w:rStyle w:val="FootnoteReference"/>
          <w:szCs w:val="26"/>
          <w:vertAlign w:val="baseline"/>
          <w:rtl/>
        </w:rPr>
        <w:t>)</w:t>
      </w:r>
      <w:r>
        <w:rPr>
          <w:rtl/>
        </w:rPr>
        <w:tab/>
      </w:r>
      <w:r w:rsidRPr="00C454CF">
        <w:rPr>
          <w:rFonts w:hint="cs"/>
          <w:rtl/>
        </w:rPr>
        <w:t>أُرفقت نسخة من الرسالة.</w:t>
      </w:r>
    </w:p>
    <w:bookmarkEnd w:id="41"/>
  </w:footnote>
  <w:footnote w:id="12">
    <w:p w:rsidR="00C454CF" w:rsidRPr="00C454CF" w:rsidRDefault="00C454CF" w:rsidP="007030F5">
      <w:pPr>
        <w:pStyle w:val="FootnoteText1"/>
        <w:rPr>
          <w:rFonts w:hint="cs"/>
          <w:rtl/>
        </w:rPr>
      </w:pPr>
      <w:r w:rsidRPr="00C454CF">
        <w:rPr>
          <w:rStyle w:val="FootnoteReference"/>
          <w:szCs w:val="26"/>
          <w:vertAlign w:val="baseline"/>
          <w:rtl/>
        </w:rPr>
        <w:t>(</w:t>
      </w:r>
      <w:r w:rsidRPr="00C454CF">
        <w:rPr>
          <w:rStyle w:val="FootnoteReference"/>
          <w:szCs w:val="26"/>
          <w:vertAlign w:val="baseline"/>
          <w:rtl/>
        </w:rPr>
        <w:footnoteRef/>
      </w:r>
      <w:r w:rsidRPr="00C454CF">
        <w:rPr>
          <w:rStyle w:val="FootnoteReference"/>
          <w:szCs w:val="26"/>
          <w:vertAlign w:val="baseline"/>
          <w:rtl/>
        </w:rPr>
        <w:t>)</w:t>
      </w:r>
      <w:r w:rsidR="000B1781">
        <w:rPr>
          <w:rtl/>
        </w:rPr>
        <w:tab/>
      </w:r>
      <w:r w:rsidRPr="00C454CF">
        <w:rPr>
          <w:rFonts w:hint="cs"/>
          <w:rtl/>
        </w:rPr>
        <w:t xml:space="preserve">انظر </w:t>
      </w:r>
      <w:proofErr w:type="spellStart"/>
      <w:r w:rsidRPr="00C454CF">
        <w:rPr>
          <w:rFonts w:hint="cs"/>
          <w:i/>
          <w:iCs/>
          <w:rtl/>
        </w:rPr>
        <w:t>شوميلين</w:t>
      </w:r>
      <w:proofErr w:type="spellEnd"/>
      <w:r w:rsidRPr="00C454CF">
        <w:rPr>
          <w:rFonts w:hint="cs"/>
          <w:i/>
          <w:iCs/>
          <w:rtl/>
        </w:rPr>
        <w:t xml:space="preserve"> ضد بيلاروس</w:t>
      </w:r>
      <w:r w:rsidRPr="00C454CF">
        <w:rPr>
          <w:rFonts w:hint="cs"/>
          <w:rtl/>
        </w:rPr>
        <w:t xml:space="preserve"> (</w:t>
      </w:r>
      <w:r w:rsidRPr="00C454CF">
        <w:t>CCPR/C/105/D/1784/2008</w:t>
      </w:r>
      <w:r w:rsidRPr="00C454CF">
        <w:rPr>
          <w:rFonts w:hint="cs"/>
          <w:rtl/>
        </w:rPr>
        <w:t xml:space="preserve">)، الفقرة 8-3؛ </w:t>
      </w:r>
      <w:proofErr w:type="spellStart"/>
      <w:r w:rsidRPr="00C454CF">
        <w:rPr>
          <w:rFonts w:hint="cs"/>
          <w:rtl/>
        </w:rPr>
        <w:t>و</w:t>
      </w:r>
      <w:r w:rsidRPr="00C454CF">
        <w:rPr>
          <w:rFonts w:hint="cs"/>
          <w:i/>
          <w:iCs/>
          <w:rtl/>
        </w:rPr>
        <w:t>دوروفيف</w:t>
      </w:r>
      <w:proofErr w:type="spellEnd"/>
      <w:r w:rsidRPr="00C454CF">
        <w:rPr>
          <w:rFonts w:hint="cs"/>
          <w:i/>
          <w:iCs/>
          <w:rtl/>
        </w:rPr>
        <w:t xml:space="preserve"> ضد الاتحاد الروسي</w:t>
      </w:r>
      <w:r w:rsidRPr="00C454CF">
        <w:rPr>
          <w:rFonts w:hint="cs"/>
          <w:rtl/>
        </w:rPr>
        <w:t xml:space="preserve"> (</w:t>
      </w:r>
      <w:r w:rsidRPr="00C454CF">
        <w:t>CCPR/C/111/D/2041/2011</w:t>
      </w:r>
      <w:r w:rsidRPr="00C454CF">
        <w:rPr>
          <w:rFonts w:hint="cs"/>
          <w:rtl/>
        </w:rPr>
        <w:t>).</w:t>
      </w:r>
    </w:p>
  </w:footnote>
  <w:footnote w:id="13">
    <w:p w:rsidR="00C454CF" w:rsidRPr="00C454CF" w:rsidRDefault="00C454CF" w:rsidP="007030F5">
      <w:pPr>
        <w:pStyle w:val="FootnoteText1"/>
        <w:rPr>
          <w:rtl/>
        </w:rPr>
      </w:pPr>
      <w:r w:rsidRPr="00C454CF">
        <w:rPr>
          <w:rStyle w:val="FootnoteReference"/>
          <w:szCs w:val="26"/>
          <w:vertAlign w:val="baseline"/>
          <w:rtl/>
        </w:rPr>
        <w:t>(</w:t>
      </w:r>
      <w:r w:rsidRPr="00C454CF">
        <w:rPr>
          <w:rStyle w:val="FootnoteReference"/>
          <w:szCs w:val="26"/>
          <w:vertAlign w:val="baseline"/>
          <w:rtl/>
        </w:rPr>
        <w:footnoteRef/>
      </w:r>
      <w:r w:rsidRPr="00C454CF">
        <w:rPr>
          <w:rStyle w:val="FootnoteReference"/>
          <w:szCs w:val="26"/>
          <w:vertAlign w:val="baseline"/>
          <w:rtl/>
        </w:rPr>
        <w:t>)</w:t>
      </w:r>
      <w:r>
        <w:rPr>
          <w:rtl/>
        </w:rPr>
        <w:tab/>
      </w:r>
      <w:r w:rsidRPr="00C454CF">
        <w:rPr>
          <w:rFonts w:hint="cs"/>
          <w:rtl/>
        </w:rPr>
        <w:t>انظر الفقرة 11 من بروتوكول مينيسوتا وتعليق اللجنة العام رقم 36، الفقرة 27.</w:t>
      </w:r>
    </w:p>
  </w:footnote>
  <w:footnote w:id="14">
    <w:p w:rsidR="00C454CF" w:rsidRPr="00C454CF" w:rsidRDefault="00C454CF" w:rsidP="007030F5">
      <w:pPr>
        <w:pStyle w:val="FootnoteText1"/>
        <w:rPr>
          <w:rtl/>
        </w:rPr>
      </w:pPr>
      <w:r w:rsidRPr="00C454CF">
        <w:rPr>
          <w:rStyle w:val="FootnoteReference"/>
          <w:szCs w:val="26"/>
          <w:vertAlign w:val="baseline"/>
          <w:rtl/>
        </w:rPr>
        <w:t>(</w:t>
      </w:r>
      <w:r w:rsidRPr="00C454CF">
        <w:rPr>
          <w:rStyle w:val="FootnoteReference"/>
          <w:szCs w:val="26"/>
          <w:vertAlign w:val="baseline"/>
          <w:rtl/>
        </w:rPr>
        <w:footnoteRef/>
      </w:r>
      <w:r w:rsidRPr="00C454CF">
        <w:rPr>
          <w:rStyle w:val="FootnoteReference"/>
          <w:szCs w:val="26"/>
          <w:vertAlign w:val="baseline"/>
          <w:rtl/>
        </w:rPr>
        <w:t>)</w:t>
      </w:r>
      <w:r>
        <w:rPr>
          <w:rtl/>
        </w:rPr>
        <w:tab/>
      </w:r>
      <w:r w:rsidRPr="00C454CF">
        <w:rPr>
          <w:rFonts w:hint="cs"/>
          <w:rtl/>
        </w:rPr>
        <w:t>التعليق العام رقم 36، الفقرة 28.</w:t>
      </w:r>
    </w:p>
  </w:footnote>
  <w:footnote w:id="15">
    <w:p w:rsidR="00C454CF" w:rsidRPr="00C454CF" w:rsidRDefault="00C454CF" w:rsidP="007030F5">
      <w:pPr>
        <w:pStyle w:val="FootnoteText1"/>
      </w:pPr>
      <w:r w:rsidRPr="00C454CF">
        <w:rPr>
          <w:rStyle w:val="FootnoteReference"/>
          <w:szCs w:val="26"/>
          <w:vertAlign w:val="baseline"/>
          <w:rtl/>
        </w:rPr>
        <w:t>(</w:t>
      </w:r>
      <w:r w:rsidRPr="00C454CF">
        <w:rPr>
          <w:rStyle w:val="FootnoteReference"/>
          <w:szCs w:val="26"/>
          <w:vertAlign w:val="baseline"/>
          <w:rtl/>
        </w:rPr>
        <w:footnoteRef/>
      </w:r>
      <w:r w:rsidRPr="00C454CF">
        <w:rPr>
          <w:rStyle w:val="FootnoteReference"/>
          <w:szCs w:val="26"/>
          <w:vertAlign w:val="baseline"/>
          <w:rtl/>
        </w:rPr>
        <w:t>)</w:t>
      </w:r>
      <w:r>
        <w:rPr>
          <w:rtl/>
        </w:rPr>
        <w:tab/>
      </w:r>
      <w:r w:rsidRPr="00C454CF">
        <w:rPr>
          <w:rFonts w:hint="cs"/>
          <w:rtl/>
        </w:rPr>
        <w:t>المرجع نفس</w:t>
      </w:r>
      <w:r w:rsidR="00AE6F1D">
        <w:rPr>
          <w:rFonts w:hint="cs"/>
          <w:rtl/>
        </w:rPr>
        <w:t>ه</w:t>
      </w:r>
      <w:r w:rsidRPr="00C454CF">
        <w:rPr>
          <w:rFonts w:hint="cs"/>
          <w:rtl/>
        </w:rPr>
        <w:t>، الفقرة 30.</w:t>
      </w:r>
    </w:p>
  </w:footnote>
  <w:footnote w:id="16">
    <w:p w:rsidR="00C454CF" w:rsidRPr="00C454CF" w:rsidRDefault="00C454CF" w:rsidP="007030F5">
      <w:pPr>
        <w:pStyle w:val="FootnoteText1"/>
      </w:pPr>
      <w:r w:rsidRPr="00C454CF">
        <w:rPr>
          <w:rStyle w:val="FootnoteReference"/>
          <w:szCs w:val="26"/>
          <w:vertAlign w:val="baseline"/>
          <w:rtl/>
        </w:rPr>
        <w:t>(</w:t>
      </w:r>
      <w:r w:rsidRPr="00C454CF">
        <w:rPr>
          <w:rStyle w:val="FootnoteReference"/>
          <w:szCs w:val="26"/>
          <w:vertAlign w:val="baseline"/>
          <w:rtl/>
        </w:rPr>
        <w:footnoteRef/>
      </w:r>
      <w:r w:rsidRPr="00C454CF">
        <w:rPr>
          <w:rStyle w:val="FootnoteReference"/>
          <w:szCs w:val="26"/>
          <w:vertAlign w:val="baseline"/>
          <w:rtl/>
        </w:rPr>
        <w:t>)</w:t>
      </w:r>
      <w:r>
        <w:rPr>
          <w:rtl/>
        </w:rPr>
        <w:tab/>
      </w:r>
      <w:r w:rsidRPr="00C454CF">
        <w:rPr>
          <w:rFonts w:hint="cs"/>
          <w:rtl/>
        </w:rPr>
        <w:t>المرجع نفسه.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5B8" w:rsidRPr="00E30F6E" w:rsidRDefault="00E30F6E" w:rsidP="00E30F6E">
    <w:pPr>
      <w:pStyle w:val="Header"/>
      <w:jc w:val="right"/>
    </w:pPr>
    <w:r w:rsidRPr="00E30F6E">
      <w:t>CCPR/C/125/D/2524/2015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5B8" w:rsidRPr="00E30F6E" w:rsidRDefault="00E30F6E" w:rsidP="00E30F6E">
    <w:pPr>
      <w:pStyle w:val="Header"/>
      <w:jc w:val="left"/>
    </w:pPr>
    <w:r w:rsidRPr="00E30F6E">
      <w:t>CCPR/C/125/D/2524/2015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evenAndOddHeaders/>
  <w:characterSpacingControl w:val="doNotCompress"/>
  <w:savePreviewPicture/>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7D5A45"/>
    <w:rsid w:val="000076D5"/>
    <w:rsid w:val="000231FD"/>
    <w:rsid w:val="00043663"/>
    <w:rsid w:val="000437B8"/>
    <w:rsid w:val="000505CF"/>
    <w:rsid w:val="000B1781"/>
    <w:rsid w:val="000D701C"/>
    <w:rsid w:val="000E2A71"/>
    <w:rsid w:val="00160263"/>
    <w:rsid w:val="00181F96"/>
    <w:rsid w:val="001A1371"/>
    <w:rsid w:val="001B346A"/>
    <w:rsid w:val="001E1CAD"/>
    <w:rsid w:val="001E290D"/>
    <w:rsid w:val="002144FA"/>
    <w:rsid w:val="0023469A"/>
    <w:rsid w:val="00243C8A"/>
    <w:rsid w:val="00267A0E"/>
    <w:rsid w:val="002901D9"/>
    <w:rsid w:val="002976C2"/>
    <w:rsid w:val="003260FF"/>
    <w:rsid w:val="0033414A"/>
    <w:rsid w:val="00343D95"/>
    <w:rsid w:val="00363A18"/>
    <w:rsid w:val="00374341"/>
    <w:rsid w:val="003D1062"/>
    <w:rsid w:val="00411587"/>
    <w:rsid w:val="00420D7B"/>
    <w:rsid w:val="00450B21"/>
    <w:rsid w:val="00453B63"/>
    <w:rsid w:val="00455780"/>
    <w:rsid w:val="004B0A1C"/>
    <w:rsid w:val="004D298E"/>
    <w:rsid w:val="004E1D34"/>
    <w:rsid w:val="00517BC9"/>
    <w:rsid w:val="0054472E"/>
    <w:rsid w:val="005662A9"/>
    <w:rsid w:val="005827D4"/>
    <w:rsid w:val="00584693"/>
    <w:rsid w:val="0059622A"/>
    <w:rsid w:val="005C5878"/>
    <w:rsid w:val="005C7CEA"/>
    <w:rsid w:val="005D3C0B"/>
    <w:rsid w:val="005E5217"/>
    <w:rsid w:val="005F0FA4"/>
    <w:rsid w:val="005F30EE"/>
    <w:rsid w:val="0060473A"/>
    <w:rsid w:val="00625E37"/>
    <w:rsid w:val="00656392"/>
    <w:rsid w:val="0068781D"/>
    <w:rsid w:val="006959B0"/>
    <w:rsid w:val="006B3E27"/>
    <w:rsid w:val="006B6507"/>
    <w:rsid w:val="006C104C"/>
    <w:rsid w:val="007030F5"/>
    <w:rsid w:val="00731471"/>
    <w:rsid w:val="00733704"/>
    <w:rsid w:val="0078071A"/>
    <w:rsid w:val="00787E1E"/>
    <w:rsid w:val="007C43F9"/>
    <w:rsid w:val="007D5A45"/>
    <w:rsid w:val="00852A9A"/>
    <w:rsid w:val="008615E4"/>
    <w:rsid w:val="008F49E1"/>
    <w:rsid w:val="0090370F"/>
    <w:rsid w:val="009269D2"/>
    <w:rsid w:val="00942135"/>
    <w:rsid w:val="009521B0"/>
    <w:rsid w:val="009577FE"/>
    <w:rsid w:val="00982139"/>
    <w:rsid w:val="009867A8"/>
    <w:rsid w:val="009A7E9F"/>
    <w:rsid w:val="009E5018"/>
    <w:rsid w:val="00A12B37"/>
    <w:rsid w:val="00AB6758"/>
    <w:rsid w:val="00AE6F1D"/>
    <w:rsid w:val="00B13763"/>
    <w:rsid w:val="00B205B8"/>
    <w:rsid w:val="00B4410D"/>
    <w:rsid w:val="00B477A4"/>
    <w:rsid w:val="00B54045"/>
    <w:rsid w:val="00C438D7"/>
    <w:rsid w:val="00C454CF"/>
    <w:rsid w:val="00C81B50"/>
    <w:rsid w:val="00CB6622"/>
    <w:rsid w:val="00CD1801"/>
    <w:rsid w:val="00CF65C6"/>
    <w:rsid w:val="00D10EF1"/>
    <w:rsid w:val="00D42810"/>
    <w:rsid w:val="00D914A7"/>
    <w:rsid w:val="00DD13C3"/>
    <w:rsid w:val="00DD596E"/>
    <w:rsid w:val="00DD621E"/>
    <w:rsid w:val="00DE50B1"/>
    <w:rsid w:val="00DF0575"/>
    <w:rsid w:val="00E30F6E"/>
    <w:rsid w:val="00E70E04"/>
    <w:rsid w:val="00EC05A7"/>
    <w:rsid w:val="00EC4B6B"/>
    <w:rsid w:val="00ED7442"/>
    <w:rsid w:val="00EE369B"/>
    <w:rsid w:val="00EE3C53"/>
    <w:rsid w:val="00EF1EE5"/>
    <w:rsid w:val="00F723E2"/>
    <w:rsid w:val="00F763B4"/>
    <w:rsid w:val="00F900C3"/>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39B5F7"/>
  <w15:docId w15:val="{36093157-0A32-4142-A681-32B88B94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uiPriority w:val="99"/>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E30F6E"/>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SingleTxtG">
    <w:name w:val="_ Single Txt_G"/>
    <w:basedOn w:val="Normal"/>
    <w:rsid w:val="00E30F6E"/>
    <w:pPr>
      <w:suppressAutoHyphens/>
      <w:bidi w:val="0"/>
      <w:spacing w:after="120"/>
      <w:ind w:left="1134" w:right="1134"/>
      <w:jc w:val="both"/>
    </w:pPr>
    <w:rPr>
      <w:rFonts w:eastAsia="SimSun" w:hAnsi="Calibr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75D9-2D49-4C06-AC72-686B826E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3340</Words>
  <Characters>15999</Characters>
  <Application>Microsoft Office Word</Application>
  <DocSecurity>0</DocSecurity>
  <Lines>262</Lines>
  <Paragraphs>80</Paragraphs>
  <ScaleCrop>false</ScaleCrop>
  <HeadingPairs>
    <vt:vector size="2" baseType="variant">
      <vt:variant>
        <vt:lpstr>Title</vt:lpstr>
      </vt:variant>
      <vt:variant>
        <vt:i4>1</vt:i4>
      </vt:variant>
    </vt:vector>
  </HeadingPairs>
  <TitlesOfParts>
    <vt:vector size="1" baseType="lpstr">
      <vt:lpstr>CCPR/C/125/D/2524/2015</vt:lpstr>
    </vt:vector>
  </TitlesOfParts>
  <Company>DCM</Company>
  <LinksUpToDate>false</LinksUpToDate>
  <CharactersWithSpaces>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CCPR/C/125/D/2524/2015</dc:title>
  <dc:subject>GE. 1908115A</dc:subject>
  <dc:creator>IBAL34</dc:creator>
  <cp:keywords>ODS No.</cp:keywords>
  <dc:description>Distribution: General_x000d_
Original: English_x000d_
Date: 17 May 2019</dc:description>
  <cp:lastModifiedBy>Ibrahim Balan</cp:lastModifiedBy>
  <cp:revision>2</cp:revision>
  <cp:lastPrinted>2019-10-31T13:33:00Z</cp:lastPrinted>
  <dcterms:created xsi:type="dcterms:W3CDTF">2019-10-31T15:59:00Z</dcterms:created>
  <dcterms:modified xsi:type="dcterms:W3CDTF">2019-10-31T15:59:00Z</dcterms:modified>
  <cp:category>Finale</cp:category>
</cp:coreProperties>
</file>