
<file path=[Content_Types].xml><?xml version="1.0" encoding="utf-8"?>
<Types xmlns="http://schemas.openxmlformats.org/package/2006/content-types">
  <Default Extension="3&amp;Size=2&amp;Lang=A"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424236" w:rsidRDefault="006B3E27" w:rsidP="009867A8">
            <w:pPr>
              <w:jc w:val="center"/>
              <w:rPr>
                <w:rFonts w:eastAsia="PMingLiU" w:hint="cs"/>
                <w:sz w:val="56"/>
                <w:szCs w:val="56"/>
                <w:rtl/>
                <w:lang w:eastAsia="zh-TW"/>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24236" w:rsidP="001052DE">
            <w:pPr>
              <w:bidi w:val="0"/>
              <w:spacing w:after="20"/>
              <w:jc w:val="left"/>
              <w:rPr>
                <w:szCs w:val="20"/>
              </w:rPr>
            </w:pPr>
            <w:r w:rsidRPr="00424236">
              <w:rPr>
                <w:sz w:val="40"/>
                <w:szCs w:val="20"/>
              </w:rPr>
              <w:t>CCPR</w:t>
            </w:r>
            <w:r>
              <w:rPr>
                <w:szCs w:val="20"/>
              </w:rPr>
              <w:t>/C/127/2/</w:t>
            </w:r>
            <w:proofErr w:type="spellStart"/>
            <w:r>
              <w:rPr>
                <w:szCs w:val="20"/>
              </w:rPr>
              <w:t>Add.3</w:t>
            </w:r>
            <w:proofErr w:type="spellEnd"/>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1052DE" w:rsidP="001052DE">
            <w:pPr>
              <w:bidi w:val="0"/>
              <w:spacing w:before="240"/>
              <w:jc w:val="left"/>
              <w:rPr>
                <w:szCs w:val="20"/>
              </w:rPr>
            </w:pPr>
            <w:r>
              <w:rPr>
                <w:szCs w:val="20"/>
              </w:rPr>
              <w:t>Distr.: General</w:t>
            </w:r>
          </w:p>
          <w:p w:rsidR="001052DE" w:rsidRDefault="001052DE" w:rsidP="001052DE">
            <w:pPr>
              <w:bidi w:val="0"/>
              <w:jc w:val="left"/>
              <w:rPr>
                <w:szCs w:val="20"/>
              </w:rPr>
            </w:pPr>
            <w:r>
              <w:rPr>
                <w:szCs w:val="20"/>
              </w:rPr>
              <w:t>29 January 2020</w:t>
            </w:r>
          </w:p>
          <w:p w:rsidR="001052DE" w:rsidRDefault="001052DE" w:rsidP="001052DE">
            <w:pPr>
              <w:bidi w:val="0"/>
              <w:jc w:val="left"/>
              <w:rPr>
                <w:szCs w:val="20"/>
              </w:rPr>
            </w:pPr>
            <w:r>
              <w:rPr>
                <w:szCs w:val="20"/>
              </w:rPr>
              <w:t>Arabic</w:t>
            </w:r>
          </w:p>
          <w:p w:rsidR="001052DE" w:rsidRPr="00CB6622" w:rsidRDefault="001052DE" w:rsidP="001052DE">
            <w:pPr>
              <w:bidi w:val="0"/>
              <w:jc w:val="left"/>
              <w:rPr>
                <w:szCs w:val="20"/>
              </w:rPr>
            </w:pPr>
            <w:r>
              <w:rPr>
                <w:szCs w:val="20"/>
              </w:rPr>
              <w:t>Original: English</w:t>
            </w:r>
          </w:p>
        </w:tc>
      </w:tr>
    </w:tbl>
    <w:p w:rsidR="001052DE" w:rsidRPr="00E71B76" w:rsidRDefault="001052DE" w:rsidP="0015221E">
      <w:pPr>
        <w:spacing w:before="120" w:line="380" w:lineRule="exact"/>
        <w:textDirection w:val="tbRlV"/>
        <w:rPr>
          <w:rFonts w:cs="Times New Roman"/>
          <w:b/>
          <w:bCs/>
          <w:sz w:val="36"/>
          <w:szCs w:val="36"/>
          <w:rtl/>
          <w:lang w:val="ar-SA" w:eastAsia="zh-TW"/>
        </w:rPr>
      </w:pPr>
      <w:r w:rsidRPr="00E71B76">
        <w:rPr>
          <w:b/>
          <w:bCs/>
          <w:sz w:val="36"/>
          <w:szCs w:val="36"/>
          <w:rtl/>
        </w:rPr>
        <w:t>اللجنة المعنية بحقوق الإنسان</w:t>
      </w:r>
    </w:p>
    <w:p w:rsidR="001052DE" w:rsidRPr="00E71B76" w:rsidRDefault="001052DE" w:rsidP="00C32192">
      <w:pPr>
        <w:pStyle w:val="HChGA"/>
        <w:rPr>
          <w:rFonts w:cs="Times New Roman"/>
          <w:rtl/>
          <w:lang w:val="ar-SA" w:eastAsia="zh-TW"/>
        </w:rPr>
      </w:pPr>
      <w:r w:rsidRPr="00E71B76">
        <w:rPr>
          <w:rtl/>
        </w:rPr>
        <w:tab/>
      </w:r>
      <w:r w:rsidRPr="00E71B76">
        <w:rPr>
          <w:rtl/>
        </w:rPr>
        <w:tab/>
        <w:t>تقرير عن متابعة الملاحظات الختامية للجنة المعنية بحقوق الإنسان</w:t>
      </w:r>
      <w:r w:rsidR="00592FC8" w:rsidRPr="00592FC8">
        <w:rPr>
          <w:rStyle w:val="FootnoteReference"/>
          <w:sz w:val="20"/>
          <w:vertAlign w:val="baseline"/>
          <w:rtl/>
          <w:lang w:val="ar-SA" w:eastAsia="zh-TW"/>
        </w:rPr>
        <w:footnoteReference w:customMarkFollows="1" w:id="1"/>
        <w:t>*</w:t>
      </w:r>
    </w:p>
    <w:p w:rsidR="001052DE" w:rsidRPr="00E71B76" w:rsidRDefault="001052DE" w:rsidP="00592FC8">
      <w:pPr>
        <w:pStyle w:val="H23GA"/>
        <w:rPr>
          <w:rFonts w:cs="Times New Roman"/>
          <w:rtl/>
          <w:lang w:val="ar-SA" w:eastAsia="zh-TW"/>
        </w:rPr>
      </w:pPr>
      <w:r w:rsidRPr="00E71B76">
        <w:rPr>
          <w:rtl/>
        </w:rPr>
        <w:tab/>
      </w:r>
      <w:r w:rsidRPr="00E71B76">
        <w:rPr>
          <w:rtl/>
        </w:rPr>
        <w:tab/>
        <w:t>إضافة</w:t>
      </w:r>
    </w:p>
    <w:p w:rsidR="001052DE" w:rsidRDefault="001052DE" w:rsidP="00592FC8">
      <w:pPr>
        <w:pStyle w:val="H1GA"/>
        <w:rPr>
          <w:rtl/>
        </w:rPr>
      </w:pPr>
      <w:r w:rsidRPr="00E71B76">
        <w:rPr>
          <w:rtl/>
        </w:rPr>
        <w:tab/>
      </w:r>
      <w:r w:rsidRPr="00E71B76">
        <w:rPr>
          <w:rtl/>
        </w:rPr>
        <w:tab/>
        <w:t>تقييم المعلومات المتعلقة بمتابعة الملاحظات الختامية بشأن أذربيجان</w:t>
      </w:r>
    </w:p>
    <w:tbl>
      <w:tblPr>
        <w:tblStyle w:val="TableGrid"/>
        <w:bidiVisual/>
        <w:tblW w:w="0" w:type="auto"/>
        <w:tblInd w:w="1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4801"/>
      </w:tblGrid>
      <w:tr w:rsidR="0035302D" w:rsidRPr="006A6B82" w:rsidTr="006A6B82">
        <w:tc>
          <w:tcPr>
            <w:tcW w:w="2646" w:type="dxa"/>
          </w:tcPr>
          <w:p w:rsidR="0035302D" w:rsidRPr="006A6B82" w:rsidRDefault="0035302D" w:rsidP="00AF50E1">
            <w:pPr>
              <w:spacing w:after="120" w:line="380" w:lineRule="exact"/>
              <w:jc w:val="left"/>
              <w:rPr>
                <w:i/>
                <w:iCs/>
                <w:rtl/>
              </w:rPr>
            </w:pPr>
            <w:r w:rsidRPr="006A6B82">
              <w:rPr>
                <w:rFonts w:hint="cs"/>
                <w:i/>
                <w:iCs/>
                <w:rtl/>
              </w:rPr>
              <w:t xml:space="preserve">الملاحظات الختامية </w:t>
            </w:r>
            <w:r w:rsidR="00592FC8" w:rsidRPr="006A6B82">
              <w:rPr>
                <w:i/>
                <w:iCs/>
                <w:rtl/>
              </w:rPr>
              <w:br/>
            </w:r>
            <w:r w:rsidRPr="006A6B82">
              <w:rPr>
                <w:rFonts w:hint="cs"/>
                <w:i/>
                <w:iCs/>
                <w:rtl/>
              </w:rPr>
              <w:t>(الدورة 118)</w:t>
            </w:r>
            <w:r w:rsidR="00A3394B">
              <w:rPr>
                <w:rFonts w:hint="cs"/>
                <w:i/>
                <w:iCs/>
                <w:rtl/>
              </w:rPr>
              <w:t>:</w:t>
            </w:r>
          </w:p>
        </w:tc>
        <w:tc>
          <w:tcPr>
            <w:tcW w:w="4801" w:type="dxa"/>
          </w:tcPr>
          <w:p w:rsidR="0035302D" w:rsidRPr="006A6B82" w:rsidRDefault="00927E33" w:rsidP="00AF50E1">
            <w:pPr>
              <w:spacing w:after="120" w:line="380" w:lineRule="exact"/>
              <w:ind w:left="227"/>
              <w:rPr>
                <w:spacing w:val="-2"/>
                <w:rtl/>
              </w:rPr>
            </w:pPr>
            <w:hyperlink r:id="rId9" w:history="1">
              <w:r w:rsidR="00592FC8" w:rsidRPr="006A6B82">
                <w:rPr>
                  <w:rStyle w:val="Hyperlink"/>
                  <w:rFonts w:eastAsiaTheme="majorEastAsia"/>
                  <w:spacing w:val="-2"/>
                  <w:u w:val="none"/>
                </w:rPr>
                <w:t>CCPR/C/AZE/CO/4</w:t>
              </w:r>
            </w:hyperlink>
            <w:r w:rsidR="0035302D" w:rsidRPr="006A6B82">
              <w:rPr>
                <w:spacing w:val="-2"/>
                <w:rtl/>
              </w:rPr>
              <w:t>، 1-2 تشرين الثاني/نوفمبر 2016</w:t>
            </w:r>
          </w:p>
        </w:tc>
      </w:tr>
      <w:tr w:rsidR="0035302D" w:rsidRPr="006A6B82" w:rsidTr="006A6B82">
        <w:tc>
          <w:tcPr>
            <w:tcW w:w="2646" w:type="dxa"/>
          </w:tcPr>
          <w:p w:rsidR="0035302D" w:rsidRPr="006A6B82" w:rsidRDefault="0035302D" w:rsidP="00AF50E1">
            <w:pPr>
              <w:spacing w:after="120" w:line="380" w:lineRule="exact"/>
              <w:rPr>
                <w:i/>
                <w:iCs/>
                <w:rtl/>
              </w:rPr>
            </w:pPr>
            <w:r w:rsidRPr="006A6B82">
              <w:rPr>
                <w:i/>
                <w:iCs/>
                <w:rtl/>
              </w:rPr>
              <w:t>الفقرات المشمولة المتابعة:</w:t>
            </w:r>
          </w:p>
        </w:tc>
        <w:tc>
          <w:tcPr>
            <w:tcW w:w="4801" w:type="dxa"/>
          </w:tcPr>
          <w:p w:rsidR="0035302D" w:rsidRPr="006A6B82" w:rsidRDefault="0035302D" w:rsidP="00AF50E1">
            <w:pPr>
              <w:spacing w:after="120" w:line="380" w:lineRule="exact"/>
              <w:ind w:left="227"/>
              <w:rPr>
                <w:spacing w:val="-4"/>
              </w:rPr>
            </w:pPr>
            <w:r w:rsidRPr="006A6B82">
              <w:rPr>
                <w:rtl/>
              </w:rPr>
              <w:t xml:space="preserve">19 </w:t>
            </w:r>
            <w:proofErr w:type="spellStart"/>
            <w:r w:rsidRPr="006A6B82">
              <w:rPr>
                <w:rtl/>
              </w:rPr>
              <w:t>و29</w:t>
            </w:r>
            <w:proofErr w:type="spellEnd"/>
            <w:r w:rsidRPr="006A6B82">
              <w:rPr>
                <w:rtl/>
              </w:rPr>
              <w:t xml:space="preserve"> </w:t>
            </w:r>
            <w:proofErr w:type="spellStart"/>
            <w:r w:rsidRPr="006A6B82">
              <w:rPr>
                <w:rtl/>
              </w:rPr>
              <w:t>و37</w:t>
            </w:r>
            <w:proofErr w:type="spellEnd"/>
          </w:p>
        </w:tc>
      </w:tr>
      <w:tr w:rsidR="0035302D" w:rsidRPr="006A6B82" w:rsidTr="006A6B82">
        <w:tc>
          <w:tcPr>
            <w:tcW w:w="2646" w:type="dxa"/>
          </w:tcPr>
          <w:p w:rsidR="0035302D" w:rsidRPr="006A6B82" w:rsidRDefault="0035302D" w:rsidP="00AF50E1">
            <w:pPr>
              <w:spacing w:after="120" w:line="380" w:lineRule="exact"/>
              <w:rPr>
                <w:i/>
                <w:iCs/>
                <w:rtl/>
              </w:rPr>
            </w:pPr>
            <w:r w:rsidRPr="006A6B82">
              <w:rPr>
                <w:i/>
                <w:iCs/>
                <w:rtl/>
              </w:rPr>
              <w:t>الرد الوارد في إطار المتابعة:</w:t>
            </w:r>
          </w:p>
        </w:tc>
        <w:tc>
          <w:tcPr>
            <w:tcW w:w="4801" w:type="dxa"/>
          </w:tcPr>
          <w:p w:rsidR="0035302D" w:rsidRPr="006A6B82" w:rsidRDefault="00927E33" w:rsidP="00AF50E1">
            <w:pPr>
              <w:spacing w:after="120" w:line="380" w:lineRule="exact"/>
              <w:ind w:left="227"/>
              <w:rPr>
                <w:rtl/>
              </w:rPr>
            </w:pPr>
            <w:hyperlink r:id="rId10" w:history="1">
              <w:r w:rsidR="00592FC8" w:rsidRPr="006A6B82">
                <w:rPr>
                  <w:rStyle w:val="Hyperlink"/>
                  <w:rFonts w:eastAsiaTheme="majorEastAsia"/>
                  <w:u w:val="none"/>
                </w:rPr>
                <w:t>CCPR/C/AZE/CO/4/</w:t>
              </w:r>
              <w:proofErr w:type="spellStart"/>
              <w:r w:rsidR="00592FC8" w:rsidRPr="006A6B82">
                <w:rPr>
                  <w:rStyle w:val="Hyperlink"/>
                  <w:rFonts w:eastAsiaTheme="majorEastAsia"/>
                  <w:u w:val="none"/>
                </w:rPr>
                <w:t>Add.1</w:t>
              </w:r>
              <w:proofErr w:type="spellEnd"/>
            </w:hyperlink>
            <w:r w:rsidR="0035302D" w:rsidRPr="006A6B82">
              <w:rPr>
                <w:rtl/>
              </w:rPr>
              <w:t>، 25 أيار/مايو 2018</w:t>
            </w:r>
          </w:p>
        </w:tc>
      </w:tr>
      <w:tr w:rsidR="0035302D" w:rsidRPr="006A6B82" w:rsidTr="006A6B82">
        <w:tc>
          <w:tcPr>
            <w:tcW w:w="2646" w:type="dxa"/>
          </w:tcPr>
          <w:p w:rsidR="0035302D" w:rsidRPr="006A6B82" w:rsidRDefault="0035302D" w:rsidP="00AF50E1">
            <w:pPr>
              <w:spacing w:after="120" w:line="380" w:lineRule="exact"/>
              <w:rPr>
                <w:i/>
                <w:iCs/>
                <w:rtl/>
              </w:rPr>
            </w:pPr>
            <w:r w:rsidRPr="006A6B82">
              <w:rPr>
                <w:i/>
                <w:iCs/>
                <w:rtl/>
              </w:rPr>
              <w:t>تقييم اللجنة</w:t>
            </w:r>
            <w:r w:rsidRPr="006A6B82">
              <w:rPr>
                <w:i/>
                <w:iCs/>
              </w:rPr>
              <w:t>:</w:t>
            </w:r>
          </w:p>
        </w:tc>
        <w:tc>
          <w:tcPr>
            <w:tcW w:w="4801" w:type="dxa"/>
          </w:tcPr>
          <w:p w:rsidR="0035302D" w:rsidRPr="006A6B82" w:rsidRDefault="0035302D" w:rsidP="00AF50E1">
            <w:pPr>
              <w:spacing w:after="120" w:line="380" w:lineRule="exact"/>
              <w:ind w:left="227"/>
            </w:pPr>
            <w:r w:rsidRPr="006A6B82">
              <w:rPr>
                <w:rtl/>
              </w:rPr>
              <w:t>يلزم تقديم معلومات إضافية عن الفقرات 19</w:t>
            </w:r>
            <w:r w:rsidRPr="00A3394B">
              <w:rPr>
                <w:b/>
                <w:bCs/>
                <w:rtl/>
              </w:rPr>
              <w:t>[جيم]</w:t>
            </w:r>
            <w:r w:rsidRPr="006A6B82">
              <w:rPr>
                <w:rtl/>
              </w:rPr>
              <w:t xml:space="preserve"> </w:t>
            </w:r>
            <w:proofErr w:type="spellStart"/>
            <w:r w:rsidRPr="006A6B82">
              <w:rPr>
                <w:rtl/>
              </w:rPr>
              <w:t>و29</w:t>
            </w:r>
            <w:proofErr w:type="spellEnd"/>
            <w:r w:rsidRPr="00A3394B">
              <w:rPr>
                <w:b/>
                <w:bCs/>
                <w:rtl/>
              </w:rPr>
              <w:t>[جيم]</w:t>
            </w:r>
            <w:r w:rsidRPr="006A6B82">
              <w:rPr>
                <w:rtl/>
              </w:rPr>
              <w:t xml:space="preserve"> </w:t>
            </w:r>
            <w:proofErr w:type="spellStart"/>
            <w:r w:rsidRPr="006A6B82">
              <w:rPr>
                <w:rtl/>
              </w:rPr>
              <w:t>و37</w:t>
            </w:r>
            <w:proofErr w:type="spellEnd"/>
            <w:r w:rsidRPr="00A3394B">
              <w:rPr>
                <w:b/>
                <w:bCs/>
                <w:rtl/>
              </w:rPr>
              <w:t>[جيم]</w:t>
            </w:r>
          </w:p>
        </w:tc>
      </w:tr>
      <w:tr w:rsidR="0035302D" w:rsidRPr="006A6B82" w:rsidTr="006A6B82">
        <w:tc>
          <w:tcPr>
            <w:tcW w:w="2646" w:type="dxa"/>
          </w:tcPr>
          <w:p w:rsidR="0035302D" w:rsidRPr="006A6B82" w:rsidRDefault="0035302D" w:rsidP="00AF50E1">
            <w:pPr>
              <w:spacing w:after="120" w:line="380" w:lineRule="exact"/>
              <w:jc w:val="left"/>
              <w:rPr>
                <w:i/>
                <w:iCs/>
                <w:rtl/>
              </w:rPr>
            </w:pPr>
            <w:r w:rsidRPr="006A6B82">
              <w:rPr>
                <w:i/>
                <w:iCs/>
                <w:rtl/>
              </w:rPr>
              <w:t>المعلومات الواردة من المنظمات غير الحكومية</w:t>
            </w:r>
            <w:r w:rsidRPr="006A6B82">
              <w:rPr>
                <w:rFonts w:hint="cs"/>
                <w:i/>
                <w:iCs/>
                <w:rtl/>
              </w:rPr>
              <w:t>:</w:t>
            </w:r>
          </w:p>
        </w:tc>
        <w:tc>
          <w:tcPr>
            <w:tcW w:w="4801" w:type="dxa"/>
          </w:tcPr>
          <w:p w:rsidR="0035302D" w:rsidRPr="006A6B82" w:rsidRDefault="0035302D" w:rsidP="00AF50E1">
            <w:pPr>
              <w:spacing w:after="120" w:line="380" w:lineRule="exact"/>
              <w:ind w:left="227"/>
              <w:rPr>
                <w:rtl/>
              </w:rPr>
            </w:pPr>
            <w:r w:rsidRPr="006A6B82">
              <w:rPr>
                <w:rtl/>
              </w:rPr>
              <w:t>لا يوجد</w:t>
            </w:r>
          </w:p>
        </w:tc>
      </w:tr>
    </w:tbl>
    <w:p w:rsidR="001052DE" w:rsidRPr="00E71B76" w:rsidRDefault="001052DE" w:rsidP="00592FC8">
      <w:pPr>
        <w:pStyle w:val="H23GA"/>
        <w:rPr>
          <w:rFonts w:cs="Times New Roman"/>
          <w:rtl/>
          <w:lang w:val="ar-SA" w:eastAsia="zh-TW"/>
        </w:rPr>
      </w:pPr>
      <w:r w:rsidRPr="00E71B76">
        <w:rPr>
          <w:rtl/>
        </w:rPr>
        <w:tab/>
      </w:r>
      <w:r w:rsidRPr="00E71B76">
        <w:rPr>
          <w:rtl/>
        </w:rPr>
        <w:tab/>
        <w:t xml:space="preserve">الفقرة </w:t>
      </w:r>
      <w:r w:rsidRPr="00E71B76">
        <w:rPr>
          <w:rFonts w:ascii="Traditional Arabic"/>
          <w:rtl/>
        </w:rPr>
        <w:t>19:</w:t>
      </w:r>
      <w:r w:rsidRPr="00E71B76">
        <w:rPr>
          <w:rtl/>
        </w:rPr>
        <w:t xml:space="preserve"> التعذيب وسوء المعاملة </w:t>
      </w:r>
    </w:p>
    <w:p w:rsidR="001052DE" w:rsidRPr="00592FC8" w:rsidRDefault="001052DE" w:rsidP="00592FC8">
      <w:pPr>
        <w:pStyle w:val="SingleTxtGA"/>
        <w:rPr>
          <w:rFonts w:cs="Times New Roman"/>
          <w:b/>
          <w:bCs/>
          <w:rtl/>
          <w:lang w:val="ar-SA" w:eastAsia="zh-TW"/>
        </w:rPr>
      </w:pPr>
      <w:r w:rsidRPr="00592FC8">
        <w:rPr>
          <w:b/>
          <w:bCs/>
          <w:rtl/>
        </w:rPr>
        <w:tab/>
        <w:t>ينبغي للدولة الطرف أن تتخذ تدابير فعالة للقضاء على التعذيب وسوء المعاملة، بطرق منها ما يلي:</w:t>
      </w:r>
    </w:p>
    <w:p w:rsidR="001052DE" w:rsidRPr="00592FC8" w:rsidRDefault="001052DE" w:rsidP="00592FC8">
      <w:pPr>
        <w:pStyle w:val="SingleTxtGA"/>
        <w:rPr>
          <w:rFonts w:cs="Times New Roman"/>
          <w:b/>
          <w:bCs/>
          <w:rtl/>
          <w:lang w:val="ar-SA" w:eastAsia="zh-TW"/>
        </w:rPr>
      </w:pPr>
      <w:r w:rsidRPr="00E71B76">
        <w:rPr>
          <w:rtl/>
        </w:rPr>
        <w:tab/>
        <w:t>(أ)</w:t>
      </w:r>
      <w:r w:rsidRPr="00E71B76">
        <w:rPr>
          <w:rtl/>
        </w:rPr>
        <w:tab/>
      </w:r>
      <w:r w:rsidRPr="00592FC8">
        <w:rPr>
          <w:b/>
          <w:bCs/>
          <w:rtl/>
        </w:rPr>
        <w:t xml:space="preserve">ضمان تولي هيئة مستقلة ومحايدة إجراءَ </w:t>
      </w:r>
      <w:r w:rsidR="00AF50E1">
        <w:rPr>
          <w:rFonts w:hint="cs"/>
          <w:b/>
          <w:bCs/>
          <w:rtl/>
        </w:rPr>
        <w:t xml:space="preserve">تحقيقات </w:t>
      </w:r>
      <w:r w:rsidRPr="00592FC8">
        <w:rPr>
          <w:b/>
          <w:bCs/>
          <w:rtl/>
        </w:rPr>
        <w:t>سريعة وشاملة في جميع ادعاءات التعذيب وسوء المعاملة، ومقاضاة الجناة ومعاقبتهم، في حالة إدانتهم، بعقوبات مناسبة، وتوفير سبل انتصاف فعالة للضحايا وجبر ضررهم جبرا</w:t>
      </w:r>
      <w:r w:rsidR="00AF50E1">
        <w:rPr>
          <w:rFonts w:hint="cs"/>
          <w:b/>
          <w:bCs/>
          <w:rtl/>
        </w:rPr>
        <w:t>ً</w:t>
      </w:r>
      <w:r w:rsidRPr="00592FC8">
        <w:rPr>
          <w:b/>
          <w:bCs/>
          <w:rtl/>
        </w:rPr>
        <w:t xml:space="preserve"> كاملا</w:t>
      </w:r>
      <w:r w:rsidR="00AF50E1">
        <w:rPr>
          <w:rFonts w:hint="cs"/>
          <w:b/>
          <w:bCs/>
          <w:rtl/>
        </w:rPr>
        <w:t>ً</w:t>
      </w:r>
      <w:r w:rsidRPr="00592FC8">
        <w:rPr>
          <w:b/>
          <w:bCs/>
          <w:rtl/>
        </w:rPr>
        <w:t>، بما في ذلك منحهم التعويض المناسب؛</w:t>
      </w:r>
    </w:p>
    <w:p w:rsidR="001052DE" w:rsidRPr="00592FC8" w:rsidRDefault="001052DE" w:rsidP="00592FC8">
      <w:pPr>
        <w:pStyle w:val="SingleTxtGA"/>
        <w:rPr>
          <w:rFonts w:cs="Times New Roman"/>
          <w:b/>
          <w:bCs/>
          <w:rtl/>
          <w:lang w:val="ar-SA" w:eastAsia="zh-TW"/>
        </w:rPr>
      </w:pPr>
      <w:r w:rsidRPr="00E71B76">
        <w:rPr>
          <w:rtl/>
        </w:rPr>
        <w:lastRenderedPageBreak/>
        <w:tab/>
        <w:t>(ب)</w:t>
      </w:r>
      <w:r w:rsidRPr="00E71B76">
        <w:rPr>
          <w:rtl/>
        </w:rPr>
        <w:tab/>
      </w:r>
      <w:r w:rsidRPr="00592FC8">
        <w:rPr>
          <w:b/>
          <w:bCs/>
          <w:rtl/>
        </w:rPr>
        <w:t xml:space="preserve">إجراء الإصلاحات اللازمة لضمان رصد جميع أماكن سلب الحرية وتفتيشها بشكل منتظم على يد آلية مستقلة وفعالة، والنظر في إشراك المنظمات غير الحكومية في هذه العملية. </w:t>
      </w:r>
      <w:r w:rsidRPr="00592FC8">
        <w:rPr>
          <w:rFonts w:cs="Times New Roman"/>
          <w:b/>
          <w:bCs/>
          <w:rtl/>
        </w:rPr>
        <w:t>‬</w:t>
      </w:r>
    </w:p>
    <w:p w:rsidR="001052DE" w:rsidRPr="00E71B76" w:rsidRDefault="001052DE" w:rsidP="00592FC8">
      <w:pPr>
        <w:pStyle w:val="H23GA"/>
        <w:rPr>
          <w:rFonts w:cs="Times New Roman"/>
          <w:rtl/>
          <w:lang w:val="ar-SA" w:eastAsia="zh-TW"/>
        </w:rPr>
      </w:pPr>
      <w:r w:rsidRPr="00E71B76">
        <w:rPr>
          <w:rtl/>
        </w:rPr>
        <w:tab/>
      </w:r>
      <w:r w:rsidRPr="00E71B76">
        <w:rPr>
          <w:rtl/>
        </w:rPr>
        <w:tab/>
        <w:t xml:space="preserve">ملخص ردّ الدولة الطرف </w:t>
      </w:r>
    </w:p>
    <w:p w:rsidR="001052DE" w:rsidRPr="006A6B82" w:rsidRDefault="001052DE" w:rsidP="00592FC8">
      <w:pPr>
        <w:pStyle w:val="SingleTxtGA"/>
        <w:rPr>
          <w:rFonts w:cs="Times New Roman"/>
          <w:spacing w:val="-4"/>
          <w:rtl/>
          <w:lang w:val="ar-SA" w:eastAsia="zh-TW"/>
        </w:rPr>
      </w:pPr>
      <w:r w:rsidRPr="006A6B82">
        <w:rPr>
          <w:spacing w:val="-4"/>
          <w:rtl/>
        </w:rPr>
        <w:tab/>
        <w:t>(أ)</w:t>
      </w:r>
      <w:r w:rsidRPr="006A6B82">
        <w:rPr>
          <w:spacing w:val="-4"/>
          <w:rtl/>
        </w:rPr>
        <w:tab/>
        <w:t xml:space="preserve">تُسجَّل شكاوى التعذيب وغيره من ضروب المعاملة أو العقوبة القاسية أو اللاإنسانية أو المهينة التي يقدمها الأفراد لدى إدارة الإشراف على التحقيقات في مكتب المدعي العام. ويقضي الأمر الصادر عن رئيس أذربيجان في </w:t>
      </w:r>
      <w:r w:rsidRPr="006A6B82">
        <w:rPr>
          <w:rFonts w:ascii="Traditional Arabic"/>
          <w:spacing w:val="-4"/>
          <w:rtl/>
        </w:rPr>
        <w:t>10</w:t>
      </w:r>
      <w:r w:rsidRPr="006A6B82">
        <w:rPr>
          <w:spacing w:val="-4"/>
          <w:rtl/>
        </w:rPr>
        <w:t xml:space="preserve"> شباط/فبراير </w:t>
      </w:r>
      <w:r w:rsidRPr="006A6B82">
        <w:rPr>
          <w:rFonts w:ascii="Traditional Arabic"/>
          <w:spacing w:val="-4"/>
          <w:rtl/>
        </w:rPr>
        <w:t>2017</w:t>
      </w:r>
      <w:r w:rsidRPr="006A6B82">
        <w:rPr>
          <w:spacing w:val="-4"/>
          <w:rtl/>
        </w:rPr>
        <w:t xml:space="preserve"> بالتطبيق الصارم للتشريعات المتعلقة بالاحتجاز أثناء التحقيقات الأولية. كما يقضي بالتوسع في تطبيق عقوبة بديلة. ولم تسجل أي حالات تعذيب. غير أن التحقيقات أكدت وقوع </w:t>
      </w:r>
      <w:r w:rsidRPr="006A6B82">
        <w:rPr>
          <w:rFonts w:ascii="Traditional Arabic"/>
          <w:spacing w:val="-4"/>
          <w:rtl/>
        </w:rPr>
        <w:t>43</w:t>
      </w:r>
      <w:r w:rsidRPr="006A6B82">
        <w:rPr>
          <w:spacing w:val="-4"/>
          <w:rtl/>
        </w:rPr>
        <w:t xml:space="preserve"> انتهاكا</w:t>
      </w:r>
      <w:r w:rsidR="00A3394B">
        <w:rPr>
          <w:rFonts w:hint="cs"/>
          <w:spacing w:val="-4"/>
          <w:rtl/>
        </w:rPr>
        <w:t>ً</w:t>
      </w:r>
      <w:r w:rsidRPr="006A6B82">
        <w:rPr>
          <w:spacing w:val="-4"/>
          <w:rtl/>
        </w:rPr>
        <w:t xml:space="preserve"> من انتهاكات حقوق الإنسان في عام </w:t>
      </w:r>
      <w:r w:rsidRPr="006A6B82">
        <w:rPr>
          <w:rFonts w:ascii="Traditional Arabic"/>
          <w:spacing w:val="-4"/>
          <w:rtl/>
        </w:rPr>
        <w:t>2016</w:t>
      </w:r>
      <w:r w:rsidRPr="006A6B82">
        <w:rPr>
          <w:spacing w:val="-4"/>
          <w:rtl/>
        </w:rPr>
        <w:t xml:space="preserve">، مما أدى إلى تعرض </w:t>
      </w:r>
      <w:r w:rsidRPr="006A6B82">
        <w:rPr>
          <w:rFonts w:ascii="Traditional Arabic"/>
          <w:spacing w:val="-4"/>
          <w:rtl/>
        </w:rPr>
        <w:t>76</w:t>
      </w:r>
      <w:r w:rsidRPr="006A6B82">
        <w:rPr>
          <w:spacing w:val="-4"/>
          <w:rtl/>
        </w:rPr>
        <w:t xml:space="preserve"> موظفاً لتدابير تأديبية. وأكدت التحقيقات وجود</w:t>
      </w:r>
      <w:r w:rsidR="006A6B82">
        <w:rPr>
          <w:rFonts w:hint="cs"/>
          <w:spacing w:val="-4"/>
          <w:rtl/>
        </w:rPr>
        <w:t> </w:t>
      </w:r>
      <w:r w:rsidRPr="006A6B82">
        <w:rPr>
          <w:rFonts w:ascii="Traditional Arabic"/>
          <w:spacing w:val="-4"/>
          <w:rtl/>
        </w:rPr>
        <w:t>21</w:t>
      </w:r>
      <w:r w:rsidRPr="006A6B82">
        <w:rPr>
          <w:spacing w:val="-4"/>
          <w:rtl/>
        </w:rPr>
        <w:t xml:space="preserve"> حالة تتعلق بالاعتقال والاحتجاز التعسفيين، مما أدى إلى فرض عقوبات على </w:t>
      </w:r>
      <w:r w:rsidRPr="006A6B82">
        <w:rPr>
          <w:rFonts w:ascii="Traditional Arabic"/>
          <w:spacing w:val="-4"/>
          <w:rtl/>
        </w:rPr>
        <w:t>46</w:t>
      </w:r>
      <w:r w:rsidRPr="006A6B82">
        <w:rPr>
          <w:spacing w:val="-4"/>
          <w:rtl/>
        </w:rPr>
        <w:t xml:space="preserve"> موظفاً، </w:t>
      </w:r>
      <w:proofErr w:type="spellStart"/>
      <w:r w:rsidRPr="006A6B82">
        <w:rPr>
          <w:spacing w:val="-4"/>
          <w:rtl/>
        </w:rPr>
        <w:t>و</w:t>
      </w:r>
      <w:r w:rsidRPr="006A6B82">
        <w:rPr>
          <w:rFonts w:ascii="Traditional Arabic"/>
          <w:spacing w:val="-4"/>
          <w:rtl/>
        </w:rPr>
        <w:t>9</w:t>
      </w:r>
      <w:proofErr w:type="spellEnd"/>
      <w:r w:rsidRPr="006A6B82">
        <w:rPr>
          <w:spacing w:val="-4"/>
          <w:rtl/>
        </w:rPr>
        <w:t xml:space="preserve"> حالات تتعلق بسوء المعاملة، مما أدى إلى فرض عقوبات على </w:t>
      </w:r>
      <w:r w:rsidRPr="006A6B82">
        <w:rPr>
          <w:rFonts w:ascii="Traditional Arabic"/>
          <w:spacing w:val="-4"/>
          <w:rtl/>
        </w:rPr>
        <w:t>9</w:t>
      </w:r>
      <w:r w:rsidRPr="006A6B82">
        <w:rPr>
          <w:spacing w:val="-4"/>
          <w:rtl/>
        </w:rPr>
        <w:t xml:space="preserve"> موظفين</w:t>
      </w:r>
      <w:r w:rsidR="00A3394B">
        <w:rPr>
          <w:rFonts w:hint="cs"/>
          <w:spacing w:val="-4"/>
          <w:rtl/>
        </w:rPr>
        <w:t>؛</w:t>
      </w:r>
    </w:p>
    <w:p w:rsidR="001052DE" w:rsidRPr="006A6B82" w:rsidRDefault="001052DE" w:rsidP="00592FC8">
      <w:pPr>
        <w:pStyle w:val="SingleTxtGA"/>
        <w:rPr>
          <w:rFonts w:cs="Times New Roman"/>
          <w:rtl/>
          <w:lang w:val="ar-SA" w:eastAsia="zh-TW"/>
        </w:rPr>
      </w:pPr>
      <w:r w:rsidRPr="00E71B76">
        <w:rPr>
          <w:rtl/>
        </w:rPr>
        <w:t>(ب)</w:t>
      </w:r>
      <w:r w:rsidRPr="00E71B76">
        <w:rPr>
          <w:rtl/>
        </w:rPr>
        <w:tab/>
      </w:r>
      <w:r w:rsidRPr="006A6B82">
        <w:rPr>
          <w:rtl/>
        </w:rPr>
        <w:t>تكرر الدولة الطرف ا</w:t>
      </w:r>
      <w:bookmarkStart w:id="0" w:name="_GoBack"/>
      <w:bookmarkEnd w:id="0"/>
      <w:r w:rsidRPr="006A6B82">
        <w:rPr>
          <w:rtl/>
        </w:rPr>
        <w:t xml:space="preserve">لمعلومات المقدمة في تقريرها الدوري الرابع </w:t>
      </w:r>
      <w:r w:rsidRPr="006A6B82">
        <w:rPr>
          <w:rFonts w:ascii="Traditional Arabic"/>
          <w:rtl/>
        </w:rPr>
        <w:t>(</w:t>
      </w:r>
      <w:hyperlink r:id="rId11" w:history="1">
        <w:r w:rsidR="006A6B82" w:rsidRPr="006A6B82">
          <w:rPr>
            <w:rStyle w:val="Hyperlink"/>
            <w:rFonts w:eastAsiaTheme="majorEastAsia"/>
            <w:u w:val="none"/>
          </w:rPr>
          <w:t>CCPR/C/AZE/4</w:t>
        </w:r>
      </w:hyperlink>
      <w:r w:rsidRPr="006A6B82">
        <w:rPr>
          <w:rtl/>
        </w:rPr>
        <w:t xml:space="preserve">، الفقرات </w:t>
      </w:r>
      <w:r w:rsidRPr="006A6B82">
        <w:rPr>
          <w:rFonts w:ascii="Traditional Arabic"/>
          <w:rtl/>
        </w:rPr>
        <w:t>113-114</w:t>
      </w:r>
      <w:r w:rsidRPr="006A6B82">
        <w:rPr>
          <w:rtl/>
        </w:rPr>
        <w:t xml:space="preserve"> </w:t>
      </w:r>
      <w:proofErr w:type="spellStart"/>
      <w:r w:rsidRPr="006A6B82">
        <w:rPr>
          <w:rtl/>
        </w:rPr>
        <w:t>و</w:t>
      </w:r>
      <w:r w:rsidRPr="006A6B82">
        <w:rPr>
          <w:rFonts w:ascii="Traditional Arabic"/>
          <w:rtl/>
        </w:rPr>
        <w:t>160</w:t>
      </w:r>
      <w:proofErr w:type="spellEnd"/>
      <w:r w:rsidRPr="006A6B82">
        <w:rPr>
          <w:rFonts w:ascii="Traditional Arabic"/>
          <w:rtl/>
        </w:rPr>
        <w:t>-161</w:t>
      </w:r>
      <w:r w:rsidRPr="006A6B82">
        <w:rPr>
          <w:rtl/>
        </w:rPr>
        <w:t xml:space="preserve"> </w:t>
      </w:r>
      <w:proofErr w:type="spellStart"/>
      <w:r w:rsidRPr="006A6B82">
        <w:rPr>
          <w:rtl/>
        </w:rPr>
        <w:t>و</w:t>
      </w:r>
      <w:r w:rsidRPr="006A6B82">
        <w:rPr>
          <w:rFonts w:ascii="Traditional Arabic"/>
          <w:rtl/>
        </w:rPr>
        <w:t>165</w:t>
      </w:r>
      <w:proofErr w:type="spellEnd"/>
      <w:r w:rsidRPr="006A6B82">
        <w:rPr>
          <w:rFonts w:ascii="Traditional Arabic"/>
          <w:rtl/>
        </w:rPr>
        <w:t>)</w:t>
      </w:r>
      <w:r w:rsidRPr="006A6B82">
        <w:rPr>
          <w:rtl/>
        </w:rPr>
        <w:t xml:space="preserve"> بشأن الآلية الوقائية الوطنية واللجنة العامة التي تنظم زيارات لأماكن الاحتجاز. وفي عام </w:t>
      </w:r>
      <w:r w:rsidRPr="006A6B82">
        <w:rPr>
          <w:rFonts w:ascii="Traditional Arabic"/>
          <w:rtl/>
        </w:rPr>
        <w:t>2016</w:t>
      </w:r>
      <w:r w:rsidRPr="006A6B82">
        <w:rPr>
          <w:rtl/>
        </w:rPr>
        <w:t xml:space="preserve">، نظمت عدة لجان ومنظمات </w:t>
      </w:r>
      <w:r w:rsidRPr="006A6B82">
        <w:rPr>
          <w:rFonts w:ascii="Traditional Arabic"/>
          <w:rtl/>
        </w:rPr>
        <w:t>198</w:t>
      </w:r>
      <w:r w:rsidRPr="006A6B82">
        <w:rPr>
          <w:rtl/>
        </w:rPr>
        <w:t xml:space="preserve"> زيارة في</w:t>
      </w:r>
      <w:r w:rsidR="006A6B82" w:rsidRPr="006A6B82">
        <w:rPr>
          <w:rFonts w:hint="cs"/>
          <w:rtl/>
        </w:rPr>
        <w:t> </w:t>
      </w:r>
      <w:r w:rsidRPr="006A6B82">
        <w:rPr>
          <w:rtl/>
        </w:rPr>
        <w:t>إطار رصد مراكز الاحتجاز المؤقت. ولم يثبت وقوع أي حالة تعذيب. وفي تشرين الثاني/</w:t>
      </w:r>
      <w:r w:rsidR="006A6B82" w:rsidRPr="006A6B82">
        <w:rPr>
          <w:rFonts w:hint="cs"/>
          <w:rtl/>
        </w:rPr>
        <w:t xml:space="preserve"> </w:t>
      </w:r>
      <w:r w:rsidRPr="006A6B82">
        <w:rPr>
          <w:rtl/>
        </w:rPr>
        <w:t xml:space="preserve">نوفمبر </w:t>
      </w:r>
      <w:r w:rsidRPr="006A6B82">
        <w:rPr>
          <w:rFonts w:ascii="Traditional Arabic"/>
          <w:rtl/>
        </w:rPr>
        <w:t>2016</w:t>
      </w:r>
      <w:r w:rsidRPr="006A6B82">
        <w:rPr>
          <w:rtl/>
        </w:rPr>
        <w:t>، شرعت اللجنة الدولية للصليب الأحمر والدولة الطرف في تنظيم دورات تدريبية مشتركة لفائدة الموظفين العاملين في السجون.</w:t>
      </w:r>
    </w:p>
    <w:p w:rsidR="001052DE" w:rsidRPr="00E71B76" w:rsidRDefault="001052DE" w:rsidP="001052DE">
      <w:pPr>
        <w:pStyle w:val="H23G"/>
        <w:bidi/>
        <w:spacing w:line="240" w:lineRule="auto"/>
        <w:textDirection w:val="tbRlV"/>
        <w:rPr>
          <w:rFonts w:cs="Times New Roman" w:hint="default"/>
          <w:bCs/>
          <w:sz w:val="36"/>
          <w:szCs w:val="36"/>
          <w:rtl/>
          <w:lang w:val="ar-SA" w:eastAsia="zh-TW"/>
        </w:rPr>
      </w:pPr>
      <w:r w:rsidRPr="00E71B76">
        <w:rPr>
          <w:sz w:val="36"/>
          <w:szCs w:val="36"/>
          <w:rtl/>
        </w:rPr>
        <w:tab/>
      </w:r>
      <w:r w:rsidRPr="00E71B76">
        <w:rPr>
          <w:sz w:val="36"/>
          <w:szCs w:val="36"/>
          <w:rtl/>
        </w:rPr>
        <w:tab/>
      </w:r>
      <w:r w:rsidRPr="00E71B76">
        <w:rPr>
          <w:bCs/>
          <w:sz w:val="36"/>
          <w:szCs w:val="36"/>
          <w:rtl/>
        </w:rPr>
        <w:t>تقييم اللجنة:</w:t>
      </w:r>
    </w:p>
    <w:p w:rsidR="001052DE" w:rsidRPr="00E71B76" w:rsidRDefault="001052DE" w:rsidP="00592FC8">
      <w:pPr>
        <w:pStyle w:val="SingleTxtGA"/>
        <w:rPr>
          <w:rFonts w:cs="Times New Roman"/>
          <w:rtl/>
          <w:lang w:val="ar-SA" w:eastAsia="zh-TW"/>
        </w:rPr>
      </w:pPr>
      <w:r w:rsidRPr="006A6B82">
        <w:rPr>
          <w:b/>
          <w:bCs/>
          <w:rtl/>
        </w:rPr>
        <w:t>[جيم]</w:t>
      </w:r>
      <w:r w:rsidRPr="00E71B76">
        <w:rPr>
          <w:rtl/>
        </w:rPr>
        <w:t xml:space="preserve"> (أ) و(ب): تحيط اللجنة علما</w:t>
      </w:r>
      <w:r w:rsidR="00A3394B">
        <w:rPr>
          <w:rFonts w:hint="cs"/>
          <w:rtl/>
        </w:rPr>
        <w:t>ً</w:t>
      </w:r>
      <w:r w:rsidRPr="00E71B76">
        <w:rPr>
          <w:rtl/>
        </w:rPr>
        <w:t xml:space="preserve"> بوجود سجل للشكاوى وبالأمر الصادر عن رئيس أذربيجان في </w:t>
      </w:r>
      <w:r w:rsidRPr="00E71B76">
        <w:rPr>
          <w:rFonts w:ascii="Traditional Arabic"/>
          <w:rtl/>
        </w:rPr>
        <w:t>10</w:t>
      </w:r>
      <w:r w:rsidRPr="00E71B76">
        <w:rPr>
          <w:rtl/>
        </w:rPr>
        <w:t xml:space="preserve"> شباط/فبراير </w:t>
      </w:r>
      <w:r w:rsidRPr="00E71B76">
        <w:rPr>
          <w:rFonts w:ascii="Traditional Arabic"/>
          <w:rtl/>
        </w:rPr>
        <w:t>2017</w:t>
      </w:r>
      <w:r w:rsidRPr="00E71B76">
        <w:rPr>
          <w:rtl/>
        </w:rPr>
        <w:t xml:space="preserve">، ولكنها تأسف لعدم توفر معلومات عن التدابير المتخذة لضمان تولي هيئة مستقلة ومحايدة التحقيق في هذه الحالات. وتحيط اللجنة علماً بالإحصاءات المتعلقة بعدد الحالات المسجلة في عام </w:t>
      </w:r>
      <w:r w:rsidRPr="00E71B76">
        <w:rPr>
          <w:rFonts w:ascii="Traditional Arabic"/>
          <w:rtl/>
        </w:rPr>
        <w:t>2016</w:t>
      </w:r>
      <w:r w:rsidRPr="00E71B76">
        <w:rPr>
          <w:rtl/>
        </w:rPr>
        <w:t xml:space="preserve">، ولكنها تأسف لعدم توفر معلومات عن العقوبات الجنائية </w:t>
      </w:r>
      <w:r>
        <w:rPr>
          <w:rtl/>
        </w:rPr>
        <w:t>التي فرضت</w:t>
      </w:r>
      <w:r w:rsidRPr="00E71B76">
        <w:rPr>
          <w:rtl/>
        </w:rPr>
        <w:t xml:space="preserve"> في تلك الحالات وعن التدابير </w:t>
      </w:r>
      <w:r>
        <w:rPr>
          <w:rtl/>
        </w:rPr>
        <w:t>التي اتخذت</w:t>
      </w:r>
      <w:r w:rsidRPr="00E71B76">
        <w:rPr>
          <w:rtl/>
        </w:rPr>
        <w:t xml:space="preserve"> لضمان توفير سبل انتصاف فعالة للضحايا وجبر ضررهم جبرا</w:t>
      </w:r>
      <w:r w:rsidR="00A3394B">
        <w:rPr>
          <w:rFonts w:hint="cs"/>
          <w:rtl/>
        </w:rPr>
        <w:t>ً</w:t>
      </w:r>
      <w:r w:rsidRPr="00E71B76">
        <w:rPr>
          <w:rtl/>
        </w:rPr>
        <w:t xml:space="preserve"> كاملا</w:t>
      </w:r>
      <w:r w:rsidR="00A3394B">
        <w:rPr>
          <w:rFonts w:hint="cs"/>
          <w:rtl/>
        </w:rPr>
        <w:t>ً</w:t>
      </w:r>
      <w:r w:rsidRPr="00E71B76">
        <w:rPr>
          <w:rtl/>
        </w:rPr>
        <w:t>. وتكرر اللجنة توصياتها. وتحيط اللجنة علما</w:t>
      </w:r>
      <w:r w:rsidR="00A3394B">
        <w:rPr>
          <w:rFonts w:hint="cs"/>
          <w:rtl/>
        </w:rPr>
        <w:t>ً</w:t>
      </w:r>
      <w:r w:rsidRPr="00E71B76">
        <w:rPr>
          <w:rtl/>
        </w:rPr>
        <w:t xml:space="preserve"> بتنظيم الدورات التدريبية المشتركة مع اللجنة الدولية للصليب الأحمر، ولكنها تأسف لعدم توفر معلومات ع</w:t>
      </w:r>
      <w:r>
        <w:rPr>
          <w:rtl/>
        </w:rPr>
        <w:t xml:space="preserve">ما أُجري من إصلاحات </w:t>
      </w:r>
      <w:r w:rsidRPr="00E71B76">
        <w:rPr>
          <w:rtl/>
        </w:rPr>
        <w:t xml:space="preserve">منذ اعتماد الملاحظات الختامية </w:t>
      </w:r>
      <w:r>
        <w:rPr>
          <w:rtl/>
        </w:rPr>
        <w:t>ل</w:t>
      </w:r>
      <w:r w:rsidRPr="00E71B76">
        <w:rPr>
          <w:rtl/>
        </w:rPr>
        <w:t>ضمان رصد جميع أماكن سلب الحرية وتفتيشها بانتظام على يد آلية مستقلة وفعالة. وتكرر اللجنة توصياتها.</w:t>
      </w:r>
    </w:p>
    <w:p w:rsidR="001052DE" w:rsidRPr="00E71B76" w:rsidRDefault="001052DE" w:rsidP="00592FC8">
      <w:pPr>
        <w:pStyle w:val="H23GA"/>
        <w:rPr>
          <w:rFonts w:cs="Times New Roman"/>
          <w:rtl/>
          <w:lang w:val="ar-SA" w:eastAsia="zh-TW"/>
        </w:rPr>
      </w:pPr>
      <w:r w:rsidRPr="00E71B76">
        <w:rPr>
          <w:rtl/>
        </w:rPr>
        <w:tab/>
      </w:r>
      <w:r w:rsidRPr="00E71B76">
        <w:rPr>
          <w:rtl/>
        </w:rPr>
        <w:tab/>
        <w:t xml:space="preserve">الفقرة </w:t>
      </w:r>
      <w:r w:rsidRPr="00E71B76">
        <w:rPr>
          <w:rFonts w:ascii="Traditional Arabic"/>
          <w:rtl/>
        </w:rPr>
        <w:t>29:</w:t>
      </w:r>
      <w:r w:rsidRPr="00E71B76">
        <w:rPr>
          <w:rtl/>
        </w:rPr>
        <w:t xml:space="preserve"> استقلال المحامين وسلامتهم</w:t>
      </w:r>
    </w:p>
    <w:p w:rsidR="001052DE" w:rsidRPr="00592FC8" w:rsidRDefault="001052DE" w:rsidP="00592FC8">
      <w:pPr>
        <w:pStyle w:val="SingleTxtGA"/>
        <w:rPr>
          <w:rFonts w:cs="Times New Roman"/>
          <w:b/>
          <w:bCs/>
          <w:rtl/>
          <w:lang w:val="ar-SA" w:eastAsia="zh-TW"/>
        </w:rPr>
      </w:pPr>
      <w:r w:rsidRPr="00E71B76">
        <w:rPr>
          <w:rtl/>
        </w:rPr>
        <w:tab/>
      </w:r>
      <w:r w:rsidRPr="00592FC8">
        <w:rPr>
          <w:b/>
          <w:bCs/>
          <w:rtl/>
        </w:rPr>
        <w:t>ينبغي للدولة الطرف أن تتخذ تدابير فورية حرصا</w:t>
      </w:r>
      <w:r w:rsidR="00A3394B">
        <w:rPr>
          <w:rFonts w:hint="cs"/>
          <w:b/>
          <w:bCs/>
          <w:rtl/>
        </w:rPr>
        <w:t>ً</w:t>
      </w:r>
      <w:r w:rsidRPr="00592FC8">
        <w:rPr>
          <w:b/>
          <w:bCs/>
          <w:rtl/>
        </w:rPr>
        <w:t xml:space="preserve"> على توفير ضمانات كافية، في القانون وفي الممارسة، لكفالة استقلال المحامين وسلامتهم بالكامل وحمايتهم حماية فعالة من التعرض لأي شكل من أشكال الانتقام، بما في ذلك العنف، في سياق ممارسة نشاطهم المهني. وينبغي لها، في جملة أمور، أن تقوم بما يلي:</w:t>
      </w:r>
    </w:p>
    <w:p w:rsidR="001052DE" w:rsidRPr="00E71B76" w:rsidRDefault="001052DE" w:rsidP="006A6B82">
      <w:pPr>
        <w:pStyle w:val="SingleTxtGA"/>
        <w:rPr>
          <w:rFonts w:cs="Times New Roman"/>
          <w:rtl/>
          <w:lang w:val="ar-SA" w:eastAsia="zh-TW"/>
        </w:rPr>
      </w:pPr>
      <w:r w:rsidRPr="00E71B76">
        <w:rPr>
          <w:rtl/>
        </w:rPr>
        <w:lastRenderedPageBreak/>
        <w:tab/>
        <w:t>(أ)</w:t>
      </w:r>
      <w:r w:rsidRPr="00E71B76">
        <w:rPr>
          <w:rtl/>
        </w:rPr>
        <w:tab/>
      </w:r>
      <w:r w:rsidRPr="00592FC8">
        <w:rPr>
          <w:b/>
          <w:bCs/>
          <w:rtl/>
        </w:rPr>
        <w:t>الامتناع عن أي إجراءات قد تشكل مضايقة أو اضطهاداً أو تدخلاً لا</w:t>
      </w:r>
      <w:r w:rsidR="006A6B82">
        <w:rPr>
          <w:rFonts w:hint="cs"/>
          <w:b/>
          <w:bCs/>
          <w:rtl/>
        </w:rPr>
        <w:t> </w:t>
      </w:r>
      <w:r w:rsidRPr="00592FC8">
        <w:rPr>
          <w:b/>
          <w:bCs/>
          <w:rtl/>
        </w:rPr>
        <w:t>مبرر له في عمل المحامين، بما في ذلك منعهم من مزاولة المهنة أو شطب أسمائهم من جدول النقابة أو غير ذلك من الإجراءات التأديبية، أو الملاحقة الجنائية بناء على دوافع غير سليمة، منها مثلاً التعبير عن انتقادات أو طبيعة القضايا التي يتولونها</w:t>
      </w:r>
      <w:r w:rsidR="006A6B82">
        <w:rPr>
          <w:rFonts w:hint="cs"/>
          <w:b/>
          <w:bCs/>
          <w:rtl/>
        </w:rPr>
        <w:t>؛</w:t>
      </w:r>
    </w:p>
    <w:p w:rsidR="001052DE" w:rsidRPr="00592FC8" w:rsidRDefault="001052DE" w:rsidP="006A6B82">
      <w:pPr>
        <w:pStyle w:val="SingleTxtGA"/>
        <w:rPr>
          <w:rFonts w:cs="Times New Roman"/>
          <w:b/>
          <w:bCs/>
          <w:rtl/>
          <w:lang w:val="ar-SA" w:eastAsia="zh-TW"/>
        </w:rPr>
      </w:pPr>
      <w:r w:rsidRPr="00E71B76">
        <w:rPr>
          <w:rtl/>
        </w:rPr>
        <w:tab/>
        <w:t>(ب)</w:t>
      </w:r>
      <w:r w:rsidRPr="00E71B76">
        <w:rPr>
          <w:rtl/>
        </w:rPr>
        <w:tab/>
      </w:r>
      <w:r w:rsidRPr="00592FC8">
        <w:rPr>
          <w:b/>
          <w:bCs/>
          <w:rtl/>
        </w:rPr>
        <w:t>إلغاء الممارسة المتمثلة في استدعاء المحامين كشهود في القضايا التي يمثلون فيها المدعى عليه.</w:t>
      </w:r>
    </w:p>
    <w:p w:rsidR="001052DE" w:rsidRPr="00E71B76" w:rsidRDefault="001052DE" w:rsidP="00592FC8">
      <w:pPr>
        <w:pStyle w:val="H23GA"/>
        <w:rPr>
          <w:rFonts w:cs="Times New Roman"/>
          <w:rtl/>
          <w:lang w:val="ar-SA" w:eastAsia="zh-TW"/>
        </w:rPr>
      </w:pPr>
      <w:r w:rsidRPr="00E71B76">
        <w:rPr>
          <w:rtl/>
        </w:rPr>
        <w:tab/>
      </w:r>
      <w:r w:rsidRPr="00E71B76">
        <w:rPr>
          <w:rtl/>
        </w:rPr>
        <w:tab/>
        <w:t xml:space="preserve">ملخص ردّ الدولة الطرف </w:t>
      </w:r>
    </w:p>
    <w:p w:rsidR="001052DE" w:rsidRPr="00E71B76" w:rsidRDefault="001052DE" w:rsidP="006A6B82">
      <w:pPr>
        <w:pStyle w:val="SingleTxtGA"/>
        <w:spacing w:line="370" w:lineRule="exact"/>
        <w:rPr>
          <w:rFonts w:cs="Times New Roman"/>
          <w:rtl/>
          <w:lang w:val="ar-SA" w:eastAsia="zh-TW"/>
        </w:rPr>
      </w:pPr>
      <w:r w:rsidRPr="00E71B76">
        <w:rPr>
          <w:rtl/>
        </w:rPr>
        <w:tab/>
        <w:t>(أ)</w:t>
      </w:r>
      <w:r w:rsidRPr="00E71B76">
        <w:rPr>
          <w:rtl/>
        </w:rPr>
        <w:tab/>
        <w:t>تتبع نقابة المحامين المبادئ التالية: الامتثال للتشريعات، والتحرر من الضغوط بجميع أشكالها، والمساواة بين المحامين في الحقوق، والإدارة الذاتية. وينظم قانون المحاماة وأنشطة المهنيين القانونيين الحق في الاستفادة من خدمات المحامي. ويوفر القانون الحماية لمحامي الشخص المشتبه فيه أو الشخص المتهم ولمن يمثله. ولا ت</w:t>
      </w:r>
      <w:r>
        <w:rPr>
          <w:rtl/>
        </w:rPr>
        <w:t>ُ</w:t>
      </w:r>
      <w:r w:rsidRPr="00E71B76">
        <w:rPr>
          <w:rtl/>
        </w:rPr>
        <w:t>فرض عقوبات تأديبية على المحامي إلا</w:t>
      </w:r>
      <w:r w:rsidR="006A6B82">
        <w:rPr>
          <w:rFonts w:hint="cs"/>
          <w:rtl/>
        </w:rPr>
        <w:t> </w:t>
      </w:r>
      <w:r w:rsidRPr="00E71B76">
        <w:rPr>
          <w:rtl/>
        </w:rPr>
        <w:t>عندما ينتهك القانون أو قواعد سلوك المحامين أو القواعد الأخلاقية لمهنة المحاماة؛</w:t>
      </w:r>
    </w:p>
    <w:p w:rsidR="001052DE" w:rsidRPr="00E71B76" w:rsidRDefault="001052DE" w:rsidP="006A6B82">
      <w:pPr>
        <w:pStyle w:val="SingleTxtGA"/>
        <w:spacing w:line="370" w:lineRule="exact"/>
        <w:rPr>
          <w:rFonts w:cs="Times New Roman"/>
          <w:rtl/>
          <w:lang w:val="ar-SA" w:eastAsia="zh-TW"/>
        </w:rPr>
      </w:pPr>
      <w:r w:rsidRPr="00E71B76">
        <w:rPr>
          <w:rtl/>
        </w:rPr>
        <w:tab/>
        <w:t>(ب)</w:t>
      </w:r>
      <w:r w:rsidRPr="00E71B76">
        <w:rPr>
          <w:rtl/>
        </w:rPr>
        <w:tab/>
        <w:t>لم تقدم أي معلومات.</w:t>
      </w:r>
    </w:p>
    <w:p w:rsidR="001052DE" w:rsidRPr="00E71B76" w:rsidRDefault="001052DE" w:rsidP="00592FC8">
      <w:pPr>
        <w:pStyle w:val="H23GA"/>
        <w:rPr>
          <w:rFonts w:cs="Times New Roman"/>
          <w:rtl/>
          <w:lang w:val="ar-SA" w:eastAsia="zh-TW"/>
        </w:rPr>
      </w:pPr>
      <w:r w:rsidRPr="00E71B76">
        <w:rPr>
          <w:rtl/>
        </w:rPr>
        <w:tab/>
      </w:r>
      <w:r w:rsidRPr="00E71B76">
        <w:rPr>
          <w:rtl/>
        </w:rPr>
        <w:tab/>
        <w:t>تقييم اللجنة:</w:t>
      </w:r>
    </w:p>
    <w:p w:rsidR="001052DE" w:rsidRPr="00E71B76" w:rsidRDefault="001052DE" w:rsidP="00592FC8">
      <w:pPr>
        <w:pStyle w:val="SingleTxtGA"/>
        <w:rPr>
          <w:rFonts w:cs="Times New Roman"/>
          <w:rtl/>
          <w:lang w:val="ar-SA" w:eastAsia="zh-TW"/>
        </w:rPr>
      </w:pPr>
      <w:r w:rsidRPr="006A6B82">
        <w:rPr>
          <w:b/>
          <w:bCs/>
          <w:rtl/>
        </w:rPr>
        <w:t>[جيم]</w:t>
      </w:r>
      <w:r w:rsidRPr="00E71B76">
        <w:rPr>
          <w:rtl/>
        </w:rPr>
        <w:t xml:space="preserve"> (أ) و(ب): تحيط اللجنة علما</w:t>
      </w:r>
      <w:r w:rsidR="006A6B82">
        <w:rPr>
          <w:rFonts w:hint="cs"/>
          <w:rtl/>
        </w:rPr>
        <w:t>ً</w:t>
      </w:r>
      <w:r w:rsidRPr="00E71B76">
        <w:rPr>
          <w:rtl/>
        </w:rPr>
        <w:t xml:space="preserve"> بأن المحامين يمكن اعتبارهم أشخاصاً مشمولين بالحماية، ولكنها تأسف لعدم توفر معلومات عن التدابير المتخذة لمنع أي إجراءات قد تشكل مضايقة أو</w:t>
      </w:r>
      <w:r w:rsidR="006A6B82">
        <w:rPr>
          <w:rFonts w:hint="cs"/>
          <w:rtl/>
        </w:rPr>
        <w:t> </w:t>
      </w:r>
      <w:r w:rsidRPr="00E71B76">
        <w:rPr>
          <w:rtl/>
        </w:rPr>
        <w:t xml:space="preserve">اضطهاداً أو تدخلاً لا مبرر له في عمل المحامين. وتكرر اللجنة توصياتها. وتأسف اللجنة لعدم تقديم أي معلومات عن الممارسة المتمثلة في استدعاء المحامين كشهود في القضايا التي يمثلون فيها المدعى عليه. وتكرر اللجنة توصيتها. </w:t>
      </w:r>
    </w:p>
    <w:p w:rsidR="001052DE" w:rsidRPr="00E71B76" w:rsidRDefault="001052DE" w:rsidP="00592FC8">
      <w:pPr>
        <w:pStyle w:val="H23GA"/>
        <w:rPr>
          <w:rFonts w:cs="Times New Roman"/>
          <w:rtl/>
          <w:lang w:val="ar-SA" w:eastAsia="zh-TW"/>
        </w:rPr>
      </w:pPr>
      <w:r w:rsidRPr="00E71B76">
        <w:rPr>
          <w:rtl/>
        </w:rPr>
        <w:tab/>
      </w:r>
      <w:r w:rsidRPr="00E71B76">
        <w:rPr>
          <w:rtl/>
        </w:rPr>
        <w:tab/>
        <w:t xml:space="preserve">الفقرة </w:t>
      </w:r>
      <w:r w:rsidRPr="00E71B76">
        <w:rPr>
          <w:rFonts w:ascii="Traditional Arabic"/>
          <w:rtl/>
        </w:rPr>
        <w:t>37:</w:t>
      </w:r>
      <w:r w:rsidRPr="00E71B76">
        <w:rPr>
          <w:rtl/>
        </w:rPr>
        <w:t xml:space="preserve"> حرية التعبير</w:t>
      </w:r>
    </w:p>
    <w:p w:rsidR="001052DE" w:rsidRPr="006A6B82" w:rsidRDefault="001052DE" w:rsidP="006A6B82">
      <w:pPr>
        <w:pStyle w:val="SingleTxtGA"/>
        <w:rPr>
          <w:rFonts w:cs="Times New Roman"/>
          <w:b/>
          <w:bCs/>
          <w:spacing w:val="-4"/>
          <w:rtl/>
          <w:lang w:val="ar-SA" w:eastAsia="zh-TW"/>
        </w:rPr>
      </w:pPr>
      <w:r w:rsidRPr="006A6B82">
        <w:rPr>
          <w:spacing w:val="-4"/>
          <w:rtl/>
        </w:rPr>
        <w:tab/>
      </w:r>
      <w:r w:rsidRPr="006A6B82">
        <w:rPr>
          <w:b/>
          <w:bCs/>
          <w:spacing w:val="-4"/>
          <w:rtl/>
        </w:rPr>
        <w:t>ينبغي للدولة الطرف أن تتخذ جميع التدابير اللازمة لضمان تمتع الجميع بحرية التعبير تمتعاً كاملاً في الممارسة العملية. وينبغي لها أن تتخذ خطوات فورية لإنهاء أي شكل من أشكال قمع [المدافعين عن حقوق الإنسان، والنشطاء الشباب، والمعارضين السياسيين، والصحفيين المستقلين والمدونين]، وأن توفر الحماية الفعالة من الاضطهاد أو الانتقام، وأن تضمن الامتثال في أي قيود تفرض على ممارسة حرية التعبير للشروط الصارمة المنصوص عليها في المادة</w:t>
      </w:r>
      <w:r w:rsidR="00AF50E1">
        <w:rPr>
          <w:rFonts w:hint="cs"/>
          <w:b/>
          <w:bCs/>
          <w:spacing w:val="-4"/>
          <w:rtl/>
        </w:rPr>
        <w:t> </w:t>
      </w:r>
      <w:r w:rsidRPr="006A6B82">
        <w:rPr>
          <w:rFonts w:ascii="Traditional Arabic"/>
          <w:b/>
          <w:bCs/>
          <w:spacing w:val="-4"/>
          <w:rtl/>
        </w:rPr>
        <w:t>19(3)</w:t>
      </w:r>
      <w:r w:rsidRPr="006A6B82">
        <w:rPr>
          <w:b/>
          <w:bCs/>
          <w:spacing w:val="-4"/>
          <w:rtl/>
        </w:rPr>
        <w:t xml:space="preserve"> من العهد. </w:t>
      </w:r>
      <w:dir w:val="rtl">
        <w:r w:rsidRPr="006A6B82">
          <w:rPr>
            <w:b/>
            <w:bCs/>
            <w:spacing w:val="-4"/>
            <w:rtl/>
          </w:rPr>
          <w:t>وينبغي للدولة الطرف أيضاً أن تنظر في إلغاء تجريم التشهير، وفي عدم إقرار تطبيق القانون الجنائي، في أي حال من الأحوال، اللهم في الحالات الأشد خطورة، على أن تأخذ في اعتبارها أن عقوبة السجن لا تعدُّ مطلقا</w:t>
        </w:r>
        <w:r w:rsidR="006A6B82">
          <w:rPr>
            <w:rFonts w:hint="cs"/>
            <w:b/>
            <w:bCs/>
            <w:spacing w:val="-4"/>
            <w:rtl/>
          </w:rPr>
          <w:t>ً</w:t>
        </w:r>
        <w:r w:rsidRPr="006A6B82">
          <w:rPr>
            <w:b/>
            <w:bCs/>
            <w:spacing w:val="-4"/>
            <w:rtl/>
          </w:rPr>
          <w:t xml:space="preserve"> العقوبة المناسبة للتشهير، مثلما ورد في التعليق العام للجنة رقم </w:t>
        </w:r>
        <w:r w:rsidRPr="006A6B82">
          <w:rPr>
            <w:rFonts w:ascii="Traditional Arabic"/>
            <w:b/>
            <w:bCs/>
            <w:spacing w:val="-4"/>
            <w:rtl/>
          </w:rPr>
          <w:t>34(2011)</w:t>
        </w:r>
        <w:r w:rsidRPr="006A6B82">
          <w:rPr>
            <w:b/>
            <w:bCs/>
            <w:spacing w:val="-4"/>
            <w:rtl/>
          </w:rPr>
          <w:t xml:space="preserve"> بشأن حرية الرأي وحرية التعبير.</w:t>
        </w:r>
        <w:r w:rsidR="00927E33">
          <w:t>‬</w:t>
        </w:r>
      </w:dir>
    </w:p>
    <w:p w:rsidR="001052DE" w:rsidRPr="00E71B76" w:rsidRDefault="001052DE" w:rsidP="00592FC8">
      <w:pPr>
        <w:pStyle w:val="H23GA"/>
        <w:rPr>
          <w:rFonts w:cs="Times New Roman" w:hint="cs"/>
          <w:rtl/>
          <w:lang w:val="ar-SA" w:eastAsia="zh-TW"/>
        </w:rPr>
      </w:pPr>
      <w:r w:rsidRPr="00E71B76">
        <w:rPr>
          <w:rtl/>
        </w:rPr>
        <w:tab/>
      </w:r>
      <w:r w:rsidRPr="00E71B76">
        <w:rPr>
          <w:rtl/>
        </w:rPr>
        <w:tab/>
        <w:t xml:space="preserve">ملخص ردّ الدولة الطرف </w:t>
      </w:r>
    </w:p>
    <w:p w:rsidR="001052DE" w:rsidRPr="006A6B82" w:rsidRDefault="001052DE" w:rsidP="00592FC8">
      <w:pPr>
        <w:pStyle w:val="SingleTxtGA"/>
        <w:rPr>
          <w:rFonts w:cs="Times New Roman"/>
          <w:spacing w:val="-4"/>
          <w:rtl/>
          <w:lang w:val="ar-SA" w:eastAsia="zh-TW"/>
        </w:rPr>
      </w:pPr>
      <w:r w:rsidRPr="006A6B82">
        <w:rPr>
          <w:spacing w:val="-4"/>
          <w:rtl/>
        </w:rPr>
        <w:tab/>
        <w:t xml:space="preserve">تكفل الدولة الطرف حقوق جميع المواطنين وحرياتهم دون تمييز على أساس الدين أو العرق أو الانتماء السياسي أو الاجتماعي. وليس هناك أحدٌ حوسب أو عُذب بسبب ممارسة حريته في التفكير أو في التعبير. ولا يُدان أحد ما لم تثبت هيئات التحقيق والمحاكم ارتكاب جريمة محددة. </w:t>
      </w:r>
    </w:p>
    <w:p w:rsidR="001052DE" w:rsidRPr="00E71B76" w:rsidRDefault="001052DE" w:rsidP="00592FC8">
      <w:pPr>
        <w:pStyle w:val="H23GA"/>
        <w:rPr>
          <w:rFonts w:cs="Times New Roman"/>
          <w:rtl/>
          <w:lang w:val="ar-SA" w:eastAsia="zh-TW"/>
        </w:rPr>
      </w:pPr>
      <w:r w:rsidRPr="00E71B76">
        <w:rPr>
          <w:rtl/>
        </w:rPr>
        <w:lastRenderedPageBreak/>
        <w:tab/>
      </w:r>
      <w:r w:rsidRPr="00E71B76">
        <w:rPr>
          <w:rtl/>
        </w:rPr>
        <w:tab/>
        <w:t>تقييم اللجنة:</w:t>
      </w:r>
    </w:p>
    <w:p w:rsidR="001052DE" w:rsidRPr="00E71B76" w:rsidRDefault="001052DE" w:rsidP="00592FC8">
      <w:pPr>
        <w:pStyle w:val="SingleTxtGA"/>
        <w:rPr>
          <w:rFonts w:cs="Times New Roman"/>
          <w:rtl/>
          <w:lang w:val="ar-SA" w:eastAsia="zh-TW"/>
        </w:rPr>
      </w:pPr>
      <w:r w:rsidRPr="006A6B82">
        <w:rPr>
          <w:b/>
          <w:bCs/>
          <w:rtl/>
        </w:rPr>
        <w:t>[جيم]:</w:t>
      </w:r>
      <w:r w:rsidRPr="00E71B76">
        <w:rPr>
          <w:rtl/>
        </w:rPr>
        <w:t xml:space="preserve"> تأسف اللجنة لعدم توفر معلومات عن التدابير المتخذة لتنفيذ توصيتها. وتكرر اللجنة توصيتها.</w:t>
      </w:r>
    </w:p>
    <w:p w:rsidR="001052DE" w:rsidRPr="00E71B76" w:rsidRDefault="001052DE" w:rsidP="00592FC8">
      <w:pPr>
        <w:pStyle w:val="SingleTxtGA"/>
        <w:rPr>
          <w:rFonts w:cs="Times New Roman"/>
          <w:rtl/>
          <w:lang w:val="ar-SA" w:eastAsia="zh-TW"/>
        </w:rPr>
      </w:pPr>
      <w:r w:rsidRPr="00756EF2">
        <w:rPr>
          <w:b/>
          <w:bCs/>
          <w:rtl/>
        </w:rPr>
        <w:t>الإجراء الموصى به</w:t>
      </w:r>
      <w:r w:rsidRPr="00E71B76">
        <w:rPr>
          <w:rtl/>
        </w:rPr>
        <w:t>: ينبغي توجيه رسالة إلى الدولة الطرف لإبلاغها بوقف إجراء المتابعة. وينبغي إدراج المعلومات المطلوبة في التقرير الدوري المقبل للدولة الطرف.</w:t>
      </w:r>
      <w:bookmarkStart w:id="1" w:name="_Toc506807563"/>
    </w:p>
    <w:bookmarkEnd w:id="1"/>
    <w:p w:rsidR="001052DE" w:rsidRPr="00592FC8" w:rsidRDefault="00592FC8" w:rsidP="00592FC8">
      <w:pPr>
        <w:spacing w:before="120"/>
        <w:jc w:val="center"/>
        <w:rPr>
          <w:u w:val="single"/>
          <w:rtl/>
        </w:rPr>
      </w:pPr>
      <w:r>
        <w:rPr>
          <w:u w:val="single"/>
          <w:rtl/>
        </w:rPr>
        <w:tab/>
      </w:r>
      <w:r>
        <w:rPr>
          <w:u w:val="single"/>
          <w:rtl/>
        </w:rPr>
        <w:tab/>
      </w:r>
      <w:r>
        <w:rPr>
          <w:u w:val="single"/>
          <w:rtl/>
        </w:rPr>
        <w:tab/>
      </w:r>
    </w:p>
    <w:sectPr w:rsidR="001052DE" w:rsidRPr="00592FC8" w:rsidSect="00424236">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3B9" w:rsidRPr="002901D9" w:rsidRDefault="006E43B9" w:rsidP="002901D9">
      <w:pPr>
        <w:spacing w:after="60" w:line="240" w:lineRule="auto"/>
        <w:rPr>
          <w:i/>
          <w:iCs/>
        </w:rPr>
      </w:pPr>
      <w:r>
        <w:rPr>
          <w:rFonts w:hint="cs"/>
          <w:i/>
          <w:iCs/>
          <w:rtl/>
        </w:rPr>
        <w:t>الحواشي</w:t>
      </w:r>
    </w:p>
  </w:endnote>
  <w:endnote w:type="continuationSeparator" w:id="0">
    <w:p w:rsidR="006E43B9" w:rsidRDefault="006E43B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236" w:rsidRPr="001052DE" w:rsidRDefault="001052DE" w:rsidP="001052DE">
    <w:pPr>
      <w:pStyle w:val="Footer"/>
      <w:tabs>
        <w:tab w:val="right" w:pos="9598"/>
      </w:tabs>
      <w:rPr>
        <w:sz w:val="17"/>
      </w:rPr>
    </w:pPr>
    <w:r>
      <w:rPr>
        <w:sz w:val="17"/>
      </w:rPr>
      <w:t>GE.20-01302</w:t>
    </w:r>
    <w:r>
      <w:rPr>
        <w:sz w:val="17"/>
      </w:rPr>
      <w:tab/>
    </w:r>
    <w:r w:rsidRPr="001052DE">
      <w:rPr>
        <w:b/>
        <w:sz w:val="18"/>
      </w:rPr>
      <w:fldChar w:fldCharType="begin"/>
    </w:r>
    <w:r w:rsidRPr="001052DE">
      <w:rPr>
        <w:b/>
        <w:sz w:val="18"/>
      </w:rPr>
      <w:instrText xml:space="preserve"> PAGE  \* MERGEFORMAT </w:instrText>
    </w:r>
    <w:r w:rsidRPr="001052DE">
      <w:rPr>
        <w:b/>
        <w:sz w:val="18"/>
      </w:rPr>
      <w:fldChar w:fldCharType="separate"/>
    </w:r>
    <w:r>
      <w:rPr>
        <w:b/>
        <w:sz w:val="18"/>
      </w:rPr>
      <w:t>2</w:t>
    </w:r>
    <w:r w:rsidRPr="001052D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1052DE" w:rsidRDefault="001052DE" w:rsidP="006959B0">
    <w:pPr>
      <w:pStyle w:val="Footer"/>
      <w:tabs>
        <w:tab w:val="right" w:pos="9599"/>
      </w:tabs>
      <w:jc w:val="left"/>
      <w:rPr>
        <w:b/>
        <w:sz w:val="18"/>
        <w:lang w:val="en-US"/>
      </w:rPr>
    </w:pPr>
    <w:r w:rsidRPr="001052DE">
      <w:rPr>
        <w:b/>
        <w:sz w:val="18"/>
        <w:lang w:val="en-US"/>
      </w:rPr>
      <w:fldChar w:fldCharType="begin"/>
    </w:r>
    <w:r w:rsidRPr="001052DE">
      <w:rPr>
        <w:b/>
        <w:sz w:val="18"/>
        <w:lang w:val="en-US"/>
      </w:rPr>
      <w:instrText xml:space="preserve"> PAGE  \* MERGEFORMAT </w:instrText>
    </w:r>
    <w:r w:rsidRPr="001052DE">
      <w:rPr>
        <w:b/>
        <w:sz w:val="18"/>
        <w:lang w:val="en-US"/>
      </w:rPr>
      <w:fldChar w:fldCharType="separate"/>
    </w:r>
    <w:r w:rsidRPr="001052DE">
      <w:rPr>
        <w:b/>
        <w:noProof/>
        <w:sz w:val="18"/>
        <w:lang w:val="en-US"/>
      </w:rPr>
      <w:t>3</w:t>
    </w:r>
    <w:r w:rsidRPr="001052DE">
      <w:rPr>
        <w:b/>
        <w:sz w:val="18"/>
        <w:lang w:val="en-US"/>
      </w:rPr>
      <w:fldChar w:fldCharType="end"/>
    </w:r>
    <w:r>
      <w:rPr>
        <w:b/>
        <w:sz w:val="18"/>
        <w:lang w:val="en-US"/>
      </w:rPr>
      <w:tab/>
    </w:r>
    <w:r>
      <w:rPr>
        <w:sz w:val="17"/>
        <w:lang w:val="en-US"/>
      </w:rPr>
      <w:t>GE.20-01302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424236" w:rsidP="00982139">
    <w:pPr>
      <w:pStyle w:val="Footer"/>
      <w:spacing w:before="360"/>
      <w:jc w:val="right"/>
      <w:rPr>
        <w:sz w:val="20"/>
        <w:szCs w:val="20"/>
      </w:rPr>
    </w:pPr>
    <w:r>
      <w:rPr>
        <w:sz w:val="20"/>
        <w:szCs w:val="20"/>
      </w:rPr>
      <w:t>GE.20-01302</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424236" w:rsidRPr="00424236" w:rsidRDefault="00424236" w:rsidP="0042423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3B9" w:rsidRDefault="006E43B9" w:rsidP="000437B8">
      <w:pPr>
        <w:pStyle w:val="Footer"/>
        <w:bidi/>
        <w:spacing w:after="80" w:line="200" w:lineRule="exact"/>
        <w:ind w:left="680"/>
      </w:pPr>
      <w:r>
        <w:rPr>
          <w:rtl/>
        </w:rPr>
        <w:t>__________</w:t>
      </w:r>
    </w:p>
  </w:footnote>
  <w:footnote w:type="continuationSeparator" w:id="0">
    <w:p w:rsidR="006E43B9" w:rsidRDefault="006E43B9" w:rsidP="00656392">
      <w:pPr>
        <w:spacing w:line="240" w:lineRule="auto"/>
      </w:pPr>
      <w:r>
        <w:continuationSeparator/>
      </w:r>
    </w:p>
  </w:footnote>
  <w:footnote w:id="1">
    <w:p w:rsidR="00592FC8" w:rsidRPr="006A6B82" w:rsidRDefault="00592FC8" w:rsidP="00592FC8">
      <w:pPr>
        <w:pStyle w:val="FootnoteText1"/>
      </w:pPr>
      <w:r w:rsidRPr="006A6B82">
        <w:rPr>
          <w:rtl/>
        </w:rPr>
        <w:t>*</w:t>
      </w:r>
      <w:r w:rsidRPr="006A6B82">
        <w:rPr>
          <w:rtl/>
        </w:rPr>
        <w:tab/>
        <w:t xml:space="preserve">اعتمدتها اللجنة في دورتها </w:t>
      </w:r>
      <w:r w:rsidRPr="006A6B82">
        <w:rPr>
          <w:rFonts w:ascii="Traditional Arabic"/>
          <w:rtl/>
        </w:rPr>
        <w:t>127 (14</w:t>
      </w:r>
      <w:r w:rsidRPr="006A6B82">
        <w:rPr>
          <w:rtl/>
        </w:rPr>
        <w:t xml:space="preserve"> تشرين الأول/أكتوبر </w:t>
      </w:r>
      <w:r w:rsidR="00A3394B">
        <w:rPr>
          <w:rFonts w:hint="cs"/>
          <w:rtl/>
        </w:rPr>
        <w:t xml:space="preserve">- </w:t>
      </w:r>
      <w:r w:rsidRPr="006A6B82">
        <w:rPr>
          <w:rtl/>
        </w:rPr>
        <w:t xml:space="preserve">8 تشرين الثاني/نوفمبر </w:t>
      </w:r>
      <w:r w:rsidRPr="006A6B82">
        <w:rPr>
          <w:rFonts w:ascii="Traditional Arabic"/>
          <w:rtl/>
        </w:rPr>
        <w:t>2019)</w:t>
      </w:r>
      <w:r w:rsidRPr="006A6B8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236" w:rsidRPr="001052DE" w:rsidRDefault="001052DE" w:rsidP="001052DE">
    <w:pPr>
      <w:pStyle w:val="Header"/>
      <w:jc w:val="right"/>
    </w:pPr>
    <w:r w:rsidRPr="001052DE">
      <w:t>CCPR/C/127/2/</w:t>
    </w:r>
    <w:proofErr w:type="spellStart"/>
    <w:r w:rsidRPr="001052DE">
      <w:t>Add.3</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236" w:rsidRPr="001052DE" w:rsidRDefault="001052DE" w:rsidP="001052DE">
    <w:pPr>
      <w:pStyle w:val="Header"/>
      <w:jc w:val="left"/>
    </w:pPr>
    <w:r w:rsidRPr="001052DE">
      <w:t>CCPR/C/127/2/</w:t>
    </w:r>
    <w:proofErr w:type="spellStart"/>
    <w:r w:rsidRPr="001052DE">
      <w:t>Add.3</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E43B9"/>
    <w:rsid w:val="000076D5"/>
    <w:rsid w:val="00043663"/>
    <w:rsid w:val="000437B8"/>
    <w:rsid w:val="000505CF"/>
    <w:rsid w:val="000D701C"/>
    <w:rsid w:val="000E2A71"/>
    <w:rsid w:val="001052DE"/>
    <w:rsid w:val="0015221E"/>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5302D"/>
    <w:rsid w:val="00363A18"/>
    <w:rsid w:val="00374341"/>
    <w:rsid w:val="003D1062"/>
    <w:rsid w:val="00420D7B"/>
    <w:rsid w:val="00424236"/>
    <w:rsid w:val="00450B21"/>
    <w:rsid w:val="00453B63"/>
    <w:rsid w:val="00455780"/>
    <w:rsid w:val="004B0A1C"/>
    <w:rsid w:val="004C6EE8"/>
    <w:rsid w:val="004D298E"/>
    <w:rsid w:val="00517BC9"/>
    <w:rsid w:val="0054472E"/>
    <w:rsid w:val="005662A9"/>
    <w:rsid w:val="005827D4"/>
    <w:rsid w:val="00592FC8"/>
    <w:rsid w:val="0059622A"/>
    <w:rsid w:val="005C5878"/>
    <w:rsid w:val="005C7CEA"/>
    <w:rsid w:val="005D3C0B"/>
    <w:rsid w:val="005E5217"/>
    <w:rsid w:val="005F0FA4"/>
    <w:rsid w:val="005F30EE"/>
    <w:rsid w:val="0060473A"/>
    <w:rsid w:val="00656392"/>
    <w:rsid w:val="0068781D"/>
    <w:rsid w:val="006959B0"/>
    <w:rsid w:val="006A6B82"/>
    <w:rsid w:val="006B3E27"/>
    <w:rsid w:val="006B6507"/>
    <w:rsid w:val="006C104C"/>
    <w:rsid w:val="006E43B9"/>
    <w:rsid w:val="00733704"/>
    <w:rsid w:val="0078071A"/>
    <w:rsid w:val="00787E1E"/>
    <w:rsid w:val="00852A9A"/>
    <w:rsid w:val="008F49E1"/>
    <w:rsid w:val="0090370F"/>
    <w:rsid w:val="009269D2"/>
    <w:rsid w:val="00942135"/>
    <w:rsid w:val="009521B0"/>
    <w:rsid w:val="00982139"/>
    <w:rsid w:val="009867A8"/>
    <w:rsid w:val="009A7E9F"/>
    <w:rsid w:val="009E5018"/>
    <w:rsid w:val="00A12B37"/>
    <w:rsid w:val="00A3394B"/>
    <w:rsid w:val="00AB6758"/>
    <w:rsid w:val="00AF50E1"/>
    <w:rsid w:val="00B13763"/>
    <w:rsid w:val="00B477A4"/>
    <w:rsid w:val="00B54045"/>
    <w:rsid w:val="00C32192"/>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C92ED6"/>
  <w15:docId w15:val="{75E5D75F-5908-4343-B1F8-85110FF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1052DE"/>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1052DE"/>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1052DE"/>
    <w:pPr>
      <w:suppressAutoHyphens/>
      <w:bidi w:val="0"/>
      <w:spacing w:after="120"/>
      <w:ind w:left="1134" w:right="1134"/>
      <w:jc w:val="both"/>
    </w:pPr>
    <w:rPr>
      <w:rFonts w:eastAsia="SimSun" w:hAnsiTheme="minorHAnsi" w:hint="cs"/>
      <w:lang w:val="en-GB" w:eastAsia="zh-CN"/>
    </w:rPr>
  </w:style>
  <w:style w:type="character" w:styleId="Hyperlink">
    <w:name w:val="Hyperlink"/>
    <w:basedOn w:val="DefaultParagraphFont"/>
    <w:uiPriority w:val="99"/>
    <w:unhideWhenUsed/>
    <w:rsid w:val="00592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ar/CCPR/C/AZE/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ar/CCPR/C/AZE/CO/4/Add.1" TargetMode="External"/><Relationship Id="rId4" Type="http://schemas.openxmlformats.org/officeDocument/2006/relationships/settings" Target="settings.xml"/><Relationship Id="rId9" Type="http://schemas.openxmlformats.org/officeDocument/2006/relationships/hyperlink" Target="http://undocs.org/ar/CCPR/C/AZE/CO/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3&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2432-3621-4D76-9B56-C959956E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981</Words>
  <Characters>5162</Characters>
  <Application>Microsoft Office Word</Application>
  <DocSecurity>0</DocSecurity>
  <Lines>112</Lines>
  <Paragraphs>56</Paragraphs>
  <ScaleCrop>false</ScaleCrop>
  <HeadingPairs>
    <vt:vector size="2" baseType="variant">
      <vt:variant>
        <vt:lpstr>Title</vt:lpstr>
      </vt:variant>
      <vt:variant>
        <vt:i4>1</vt:i4>
      </vt:variant>
    </vt:vector>
  </HeadingPairs>
  <TitlesOfParts>
    <vt:vector size="1" baseType="lpstr">
      <vt:lpstr>CCPR/C/127/2/Add.3</vt:lpstr>
    </vt:vector>
  </TitlesOfParts>
  <Company>DCM</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CCPR/C/127/2/Add.3</dc:title>
  <dc:subject>GE. 2001302</dc:subject>
  <dc:creator>IBAL</dc:creator>
  <cp:keywords>ODS No.</cp:keywords>
  <dc:description>Distribution: General_x000d_
Original: English_x000d_
Date: 29 January 2020</dc:description>
  <cp:lastModifiedBy>Ibrahim Balan</cp:lastModifiedBy>
  <cp:revision>2</cp:revision>
  <dcterms:created xsi:type="dcterms:W3CDTF">2020-02-04T10:50:00Z</dcterms:created>
  <dcterms:modified xsi:type="dcterms:W3CDTF">2020-02-04T10:50:00Z</dcterms:modified>
  <cp:category>Finale</cp:category>
</cp:coreProperties>
</file>