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50BFBAD9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7B569CA" w14:textId="77777777" w:rsidR="002D5AAC" w:rsidRDefault="002D5AAC" w:rsidP="00A50B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25A82CC5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3FCA58DC" w14:textId="77777777" w:rsidR="002D5AAC" w:rsidRDefault="0000598A" w:rsidP="00A50B68">
            <w:pPr>
              <w:jc w:val="right"/>
            </w:pPr>
            <w:hyperlink r:id="rId7" w:history="1">
              <w:r w:rsidR="00A50B68" w:rsidRPr="001E3DDB">
                <w:rPr>
                  <w:rStyle w:val="af1"/>
                  <w:color w:val="auto"/>
                  <w:sz w:val="40"/>
                </w:rPr>
                <w:t>CCPR</w:t>
              </w:r>
              <w:r w:rsidR="00A50B68" w:rsidRPr="001E3DDB">
                <w:rPr>
                  <w:rStyle w:val="af1"/>
                  <w:color w:val="auto"/>
                </w:rPr>
                <w:t>/C/127/2/Add.2</w:t>
              </w:r>
            </w:hyperlink>
          </w:p>
        </w:tc>
      </w:tr>
      <w:tr w:rsidR="002D5AAC" w:rsidRPr="003C0A4E" w14:paraId="6F8BCBE8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70093F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3EDCC15" wp14:editId="44BB133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1F9DBC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EF32C10" w14:textId="77777777" w:rsidR="002D5AAC" w:rsidRPr="00A50B68" w:rsidRDefault="00A50B68" w:rsidP="00BC3629">
            <w:pPr>
              <w:spacing w:before="240"/>
              <w:rPr>
                <w:lang w:val="en-US"/>
              </w:rPr>
            </w:pPr>
            <w:r w:rsidRPr="00A50B68">
              <w:rPr>
                <w:lang w:val="en-US"/>
              </w:rPr>
              <w:t>Distr.: General</w:t>
            </w:r>
          </w:p>
          <w:p w14:paraId="71EE118A" w14:textId="77777777" w:rsidR="00A50B68" w:rsidRPr="00A50B68" w:rsidRDefault="00A50B68" w:rsidP="00A50B68">
            <w:pPr>
              <w:spacing w:line="240" w:lineRule="exact"/>
              <w:rPr>
                <w:lang w:val="en-US"/>
              </w:rPr>
            </w:pPr>
            <w:r w:rsidRPr="00A50B68">
              <w:rPr>
                <w:lang w:val="en-US"/>
              </w:rPr>
              <w:t>29 January 2020</w:t>
            </w:r>
          </w:p>
          <w:p w14:paraId="5523D005" w14:textId="77777777" w:rsidR="00A50B68" w:rsidRPr="00A50B68" w:rsidRDefault="00A50B68" w:rsidP="00A50B68">
            <w:pPr>
              <w:spacing w:line="240" w:lineRule="exact"/>
              <w:rPr>
                <w:lang w:val="en-US"/>
              </w:rPr>
            </w:pPr>
            <w:r w:rsidRPr="00A50B68">
              <w:rPr>
                <w:lang w:val="en-US"/>
              </w:rPr>
              <w:t>Russian</w:t>
            </w:r>
          </w:p>
          <w:p w14:paraId="59F03771" w14:textId="77777777" w:rsidR="00A50B68" w:rsidRPr="00A50B68" w:rsidRDefault="00A50B68" w:rsidP="00A50B68">
            <w:pPr>
              <w:spacing w:line="240" w:lineRule="exact"/>
              <w:rPr>
                <w:lang w:val="en-US"/>
              </w:rPr>
            </w:pPr>
            <w:r w:rsidRPr="00A50B68">
              <w:rPr>
                <w:lang w:val="en-US"/>
              </w:rPr>
              <w:t>Original: English</w:t>
            </w:r>
          </w:p>
        </w:tc>
      </w:tr>
    </w:tbl>
    <w:p w14:paraId="611A65A9" w14:textId="77777777" w:rsidR="00A50B68" w:rsidRPr="002A7C04" w:rsidRDefault="00A50B68" w:rsidP="00A50B68">
      <w:pPr>
        <w:spacing w:before="120"/>
        <w:rPr>
          <w:b/>
          <w:bCs/>
          <w:sz w:val="24"/>
          <w:szCs w:val="24"/>
        </w:rPr>
      </w:pPr>
      <w:r w:rsidRPr="002A7C04">
        <w:rPr>
          <w:b/>
          <w:bCs/>
          <w:sz w:val="24"/>
          <w:szCs w:val="24"/>
        </w:rPr>
        <w:t>Комитет по правам человека</w:t>
      </w:r>
    </w:p>
    <w:p w14:paraId="4CBAF144" w14:textId="77777777" w:rsidR="00A50B68" w:rsidRPr="004E24B0" w:rsidRDefault="00A50B68" w:rsidP="00A50B68">
      <w:pPr>
        <w:pStyle w:val="HChG"/>
      </w:pPr>
      <w:r>
        <w:tab/>
      </w:r>
      <w:r>
        <w:tab/>
      </w:r>
      <w:r>
        <w:rPr>
          <w:bCs/>
        </w:rPr>
        <w:t>Доклад о последующей деятельности в связи с</w:t>
      </w:r>
      <w:r w:rsidR="003C0A4E">
        <w:rPr>
          <w:bCs/>
          <w:lang w:val="en-US"/>
        </w:rPr>
        <w:t> </w:t>
      </w:r>
      <w:r>
        <w:rPr>
          <w:bCs/>
        </w:rPr>
        <w:t>заключительными замечаниями Комитета по правам человека</w:t>
      </w:r>
      <w:r w:rsidRPr="00C41A00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bookmarkStart w:id="0" w:name="_Toc506807534"/>
      <w:bookmarkEnd w:id="0"/>
    </w:p>
    <w:p w14:paraId="3AC6949F" w14:textId="77777777" w:rsidR="00A50B68" w:rsidRPr="004E24B0" w:rsidRDefault="00A50B68" w:rsidP="00A50B68">
      <w:pPr>
        <w:pStyle w:val="H23G"/>
        <w:rPr>
          <w:rFonts w:eastAsia="SimSun"/>
        </w:rPr>
      </w:pPr>
      <w:r>
        <w:tab/>
      </w:r>
      <w:r>
        <w:tab/>
      </w:r>
      <w:r>
        <w:rPr>
          <w:bCs/>
        </w:rPr>
        <w:t>Добавление</w:t>
      </w:r>
    </w:p>
    <w:p w14:paraId="6F406636" w14:textId="77777777" w:rsidR="00A50B68" w:rsidRPr="004E24B0" w:rsidRDefault="00A50B68" w:rsidP="00A50B68">
      <w:pPr>
        <w:pStyle w:val="HChG"/>
      </w:pPr>
      <w:r>
        <w:tab/>
      </w:r>
      <w:r>
        <w:tab/>
      </w:r>
      <w:r>
        <w:rPr>
          <w:bCs/>
        </w:rPr>
        <w:t>Оценка информации о последующей деятельности в</w:t>
      </w:r>
      <w:r>
        <w:rPr>
          <w:bCs/>
          <w:lang w:val="en-US"/>
        </w:rPr>
        <w:t> </w:t>
      </w:r>
      <w:r>
        <w:rPr>
          <w:bCs/>
        </w:rPr>
        <w:t>связи с заключительными замечаниями по Пакистану</w:t>
      </w:r>
    </w:p>
    <w:p w14:paraId="149E0647" w14:textId="77777777" w:rsidR="00A50B68" w:rsidRDefault="00A50B68" w:rsidP="00A50B68">
      <w:pPr>
        <w:pStyle w:val="SingleTxtG"/>
        <w:spacing w:after="0"/>
        <w:ind w:left="4678" w:hanging="3544"/>
      </w:pPr>
      <w:r w:rsidRPr="00A50B68">
        <w:rPr>
          <w:i/>
        </w:rPr>
        <w:t>Заключительные замечания</w:t>
      </w:r>
      <w:r>
        <w:tab/>
      </w:r>
      <w:hyperlink r:id="rId9" w:history="1">
        <w:r w:rsidRPr="001E3DDB">
          <w:rPr>
            <w:rStyle w:val="af1"/>
          </w:rPr>
          <w:t>CCPR/C/PAK/CO/1</w:t>
        </w:r>
      </w:hyperlink>
      <w:r>
        <w:t>, 25 и 26 июля 2017 года</w:t>
      </w:r>
    </w:p>
    <w:p w14:paraId="0D63918F" w14:textId="77777777" w:rsidR="00A50B68" w:rsidRPr="00A50B68" w:rsidRDefault="00A50B68" w:rsidP="00A50B68">
      <w:pPr>
        <w:pStyle w:val="SingleTxtG"/>
        <w:ind w:left="4678" w:hanging="3544"/>
        <w:rPr>
          <w:rFonts w:eastAsiaTheme="minorEastAsia"/>
          <w:i/>
        </w:rPr>
      </w:pPr>
      <w:r w:rsidRPr="00A50B68">
        <w:rPr>
          <w:i/>
        </w:rPr>
        <w:t>(120-я сессия):</w:t>
      </w:r>
      <w:r w:rsidRPr="00A50B68">
        <w:rPr>
          <w:i/>
        </w:rPr>
        <w:tab/>
        <w:t xml:space="preserve"> </w:t>
      </w:r>
    </w:p>
    <w:p w14:paraId="3FD3E487" w14:textId="77777777" w:rsidR="00A50B68" w:rsidRPr="004E24B0" w:rsidRDefault="00A50B68" w:rsidP="00A50B68">
      <w:pPr>
        <w:pStyle w:val="SingleTxtG"/>
        <w:tabs>
          <w:tab w:val="left" w:pos="4678"/>
        </w:tabs>
        <w:jc w:val="left"/>
        <w:rPr>
          <w:rFonts w:eastAsiaTheme="minorEastAsia"/>
        </w:rPr>
      </w:pPr>
      <w:r w:rsidRPr="00A50B68">
        <w:rPr>
          <w:i/>
        </w:rPr>
        <w:t>Пункты, предусматривающие</w:t>
      </w:r>
      <w:r>
        <w:t xml:space="preserve"> </w:t>
      </w:r>
      <w:r>
        <w:tab/>
        <w:t>18, 20 и 34</w:t>
      </w:r>
      <w:r>
        <w:br/>
      </w:r>
      <w:r w:rsidRPr="00A50B68">
        <w:rPr>
          <w:i/>
        </w:rPr>
        <w:t>последующую деятельность:</w:t>
      </w:r>
      <w:r>
        <w:tab/>
      </w:r>
    </w:p>
    <w:p w14:paraId="3EF2F71E" w14:textId="77777777" w:rsidR="00A50B68" w:rsidRPr="004E24B0" w:rsidRDefault="00A50B68" w:rsidP="00A50B68">
      <w:pPr>
        <w:pStyle w:val="SingleTxtG"/>
        <w:tabs>
          <w:tab w:val="left" w:pos="4678"/>
        </w:tabs>
        <w:jc w:val="left"/>
        <w:rPr>
          <w:rFonts w:eastAsiaTheme="minorEastAsia"/>
        </w:rPr>
      </w:pPr>
      <w:r w:rsidRPr="00A50B68">
        <w:rPr>
          <w:i/>
        </w:rPr>
        <w:t>Ответ, касающийся последующей</w:t>
      </w:r>
      <w:r>
        <w:t xml:space="preserve"> </w:t>
      </w:r>
      <w:r>
        <w:tab/>
      </w:r>
      <w:hyperlink r:id="rId10" w:history="1">
        <w:r w:rsidRPr="001E3DDB">
          <w:rPr>
            <w:rStyle w:val="af1"/>
          </w:rPr>
          <w:t>CCPR/C/PAK/CO/1/Add.1</w:t>
        </w:r>
      </w:hyperlink>
      <w:r>
        <w:t>, 16 мая 2019 года</w:t>
      </w:r>
      <w:r>
        <w:br/>
      </w:r>
      <w:r w:rsidRPr="00A50B68">
        <w:rPr>
          <w:i/>
        </w:rPr>
        <w:t>деятельности:</w:t>
      </w:r>
      <w:r>
        <w:tab/>
      </w:r>
    </w:p>
    <w:p w14:paraId="09FF1F35" w14:textId="77777777" w:rsidR="00A50B68" w:rsidRPr="004E24B0" w:rsidRDefault="00A50B68" w:rsidP="00A50B68">
      <w:pPr>
        <w:pStyle w:val="SingleTxtG"/>
        <w:ind w:left="4678" w:hanging="3544"/>
        <w:rPr>
          <w:rFonts w:eastAsiaTheme="minorEastAsia"/>
        </w:rPr>
      </w:pPr>
      <w:r w:rsidRPr="00A50B68">
        <w:rPr>
          <w:i/>
        </w:rPr>
        <w:t xml:space="preserve">Оценка Комитета: </w:t>
      </w:r>
      <w:r>
        <w:tab/>
        <w:t>Необходима дополнительная информация по пунктам 18</w:t>
      </w:r>
      <w:r w:rsidRPr="002A7C04">
        <w:rPr>
          <w:b/>
          <w:bCs/>
        </w:rPr>
        <w:t>[В][С]</w:t>
      </w:r>
      <w:r>
        <w:t>, 20</w:t>
      </w:r>
      <w:r w:rsidRPr="002A7C04">
        <w:rPr>
          <w:b/>
          <w:bCs/>
        </w:rPr>
        <w:t>[С]</w:t>
      </w:r>
      <w:r>
        <w:t xml:space="preserve"> и 34</w:t>
      </w:r>
      <w:r w:rsidRPr="002A7C04">
        <w:rPr>
          <w:b/>
          <w:bCs/>
        </w:rPr>
        <w:t>[С][В]</w:t>
      </w:r>
    </w:p>
    <w:p w14:paraId="1B5CD78C" w14:textId="77777777" w:rsidR="00A50B68" w:rsidRPr="000E5D62" w:rsidRDefault="00A50B68" w:rsidP="00A50B68">
      <w:pPr>
        <w:pStyle w:val="SingleTxtG"/>
        <w:tabs>
          <w:tab w:val="left" w:pos="4676"/>
        </w:tabs>
        <w:jc w:val="left"/>
      </w:pPr>
      <w:r w:rsidRPr="00A50B68">
        <w:rPr>
          <w:i/>
        </w:rPr>
        <w:t xml:space="preserve">Информация, полученная </w:t>
      </w:r>
      <w:r>
        <w:tab/>
        <w:t>Ц</w:t>
      </w:r>
      <w:bookmarkStart w:id="1" w:name="_GoBack"/>
      <w:bookmarkEnd w:id="1"/>
      <w:r>
        <w:t>ентр социальной справедливости</w:t>
      </w:r>
      <w:r>
        <w:rPr>
          <w:rStyle w:val="aa"/>
          <w:rFonts w:eastAsia="SimSun"/>
          <w:iCs/>
          <w:lang w:eastAsia="zh-CN"/>
        </w:rPr>
        <w:footnoteReference w:id="2"/>
      </w:r>
      <w:r>
        <w:t>, проект</w:t>
      </w:r>
      <w:r>
        <w:br/>
      </w:r>
      <w:r w:rsidRPr="00A50B68">
        <w:rPr>
          <w:i/>
        </w:rPr>
        <w:t>от неправительственных организаций:</w:t>
      </w:r>
      <w:r>
        <w:tab/>
        <w:t>«Правосудие в Пакистане»</w:t>
      </w:r>
      <w:r>
        <w:rPr>
          <w:rStyle w:val="aa"/>
          <w:rFonts w:eastAsia="SimSun"/>
          <w:iCs/>
          <w:lang w:eastAsia="zh-CN"/>
        </w:rPr>
        <w:footnoteReference w:id="3"/>
      </w:r>
      <w:r>
        <w:t xml:space="preserve"> и </w:t>
      </w:r>
      <w:r>
        <w:tab/>
      </w:r>
      <w:r>
        <w:tab/>
        <w:t>Международная комиссия юристов</w:t>
      </w:r>
      <w:bookmarkStart w:id="2" w:name="_Hlk29972071"/>
      <w:bookmarkEnd w:id="2"/>
      <w:r>
        <w:rPr>
          <w:rStyle w:val="aa"/>
          <w:rFonts w:eastAsia="SimSun"/>
          <w:iCs/>
          <w:lang w:eastAsia="zh-CN"/>
        </w:rPr>
        <w:footnoteReference w:id="4"/>
      </w:r>
    </w:p>
    <w:p w14:paraId="53C5DE8A" w14:textId="77777777" w:rsidR="00A50B68" w:rsidRPr="002A7C04" w:rsidRDefault="00A50B68" w:rsidP="00A50B68">
      <w:pPr>
        <w:pStyle w:val="H23G"/>
      </w:pPr>
      <w:r>
        <w:tab/>
      </w:r>
      <w:r>
        <w:tab/>
      </w:r>
      <w:r>
        <w:rPr>
          <w:bCs/>
        </w:rPr>
        <w:t>Пункт</w:t>
      </w:r>
      <w:r w:rsidRPr="002A7C04">
        <w:rPr>
          <w:bCs/>
        </w:rPr>
        <w:t xml:space="preserve"> 18: </w:t>
      </w:r>
      <w:r>
        <w:rPr>
          <w:bCs/>
        </w:rPr>
        <w:t>Смертная</w:t>
      </w:r>
      <w:r w:rsidRPr="002A7C04">
        <w:rPr>
          <w:bCs/>
        </w:rPr>
        <w:t xml:space="preserve"> </w:t>
      </w:r>
      <w:r>
        <w:rPr>
          <w:bCs/>
        </w:rPr>
        <w:t>казнь</w:t>
      </w:r>
    </w:p>
    <w:p w14:paraId="68F73550" w14:textId="77777777" w:rsidR="00A50B68" w:rsidRPr="00A50B68" w:rsidRDefault="00A50B68" w:rsidP="00A50B68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A50B68">
        <w:rPr>
          <w:b/>
        </w:rPr>
        <w:t>Государству-участнику следует вновь ввести мораторий на смертную казнь, а также рассмотреть вопрос о полной отмене смертной казни и о присоединении ко второму Факультативному протоколу к Пакту. В случае сохранения смертной казни государству-участнику следует в первоочередном порядке принять все необходимые меры, с тем чтобы:</w:t>
      </w:r>
    </w:p>
    <w:p w14:paraId="6EC52E74" w14:textId="77777777" w:rsidR="00A50B68" w:rsidRPr="00A50B68" w:rsidRDefault="00A50B68" w:rsidP="00A50B68">
      <w:pPr>
        <w:pStyle w:val="SingleTxtG"/>
        <w:rPr>
          <w:b/>
        </w:rPr>
      </w:pPr>
      <w:r>
        <w:rPr>
          <w:b/>
        </w:rPr>
        <w:tab/>
      </w:r>
      <w:r w:rsidRPr="00A50B68">
        <w:rPr>
          <w:b/>
        </w:rPr>
        <w:tab/>
        <w:t>a)</w:t>
      </w:r>
      <w:r w:rsidRPr="00A50B68">
        <w:rPr>
          <w:b/>
        </w:rPr>
        <w:tab/>
        <w:t xml:space="preserve">смертная казнь применялась только за </w:t>
      </w:r>
      <w:r>
        <w:rPr>
          <w:b/>
        </w:rPr>
        <w:t>«</w:t>
      </w:r>
      <w:r w:rsidRPr="00A50B68">
        <w:rPr>
          <w:b/>
        </w:rPr>
        <w:t>самые тяжкие преступления</w:t>
      </w:r>
      <w:r>
        <w:rPr>
          <w:b/>
        </w:rPr>
        <w:t>»</w:t>
      </w:r>
      <w:r w:rsidRPr="00A50B68">
        <w:rPr>
          <w:b/>
        </w:rPr>
        <w:t xml:space="preserve">, связанные с преднамеренным убийством; она не являлась обязательной; во всех случаях вне зависимости от совершенного преступления сохранялась возможность помилования или замены смертного приговора; </w:t>
      </w:r>
      <w:r w:rsidRPr="00A50B68">
        <w:rPr>
          <w:b/>
        </w:rPr>
        <w:lastRenderedPageBreak/>
        <w:t>и</w:t>
      </w:r>
      <w:r w:rsidR="003C0A4E">
        <w:rPr>
          <w:b/>
          <w:lang w:val="en-US"/>
        </w:rPr>
        <w:t> </w:t>
      </w:r>
      <w:r w:rsidRPr="00A50B68">
        <w:rPr>
          <w:b/>
        </w:rPr>
        <w:t>смертная казнь никогда не применялась в нарушение Пакта, в том числе при отсутствии процедур справедливого судебного разбирательства, и не назначалась военными трибуналами, особенно в отношении гражданских лиц;</w:t>
      </w:r>
    </w:p>
    <w:p w14:paraId="1D9403AA" w14:textId="77777777" w:rsidR="00A50B68" w:rsidRPr="00A50B68" w:rsidRDefault="00A50B68" w:rsidP="00A50B68">
      <w:pPr>
        <w:pStyle w:val="SingleTxtG"/>
        <w:rPr>
          <w:b/>
        </w:rPr>
      </w:pPr>
      <w:r>
        <w:rPr>
          <w:b/>
        </w:rPr>
        <w:tab/>
      </w:r>
      <w:r w:rsidRPr="00A50B68">
        <w:rPr>
          <w:b/>
        </w:rPr>
        <w:tab/>
        <w:t>b)</w:t>
      </w:r>
      <w:r w:rsidRPr="00A50B68">
        <w:rPr>
          <w:b/>
        </w:rPr>
        <w:tab/>
        <w:t>смертный приговор не выносился в отношении лиц, которые на момент совершения преступления были моложе 18 лет, а лица, обвиняемые в совершении преступлений, за которые предусмотрена смертная казнь, имели доступ к эффективной и независимой процедуре определения возраста и рассматривались в качестве детей, если остаются сомнения относительно их возраста на момент совершения преступления;</w:t>
      </w:r>
    </w:p>
    <w:p w14:paraId="525D5D69" w14:textId="77777777" w:rsidR="00A50B68" w:rsidRPr="00A50B68" w:rsidRDefault="00A50B68" w:rsidP="00A50B68">
      <w:pPr>
        <w:pStyle w:val="SingleTxtG"/>
        <w:rPr>
          <w:b/>
        </w:rPr>
      </w:pPr>
      <w:r>
        <w:rPr>
          <w:b/>
        </w:rPr>
        <w:tab/>
      </w:r>
      <w:r w:rsidRPr="00A50B68">
        <w:rPr>
          <w:b/>
        </w:rPr>
        <w:tab/>
        <w:t>c)</w:t>
      </w:r>
      <w:r w:rsidRPr="00A50B68">
        <w:rPr>
          <w:b/>
        </w:rPr>
        <w:tab/>
        <w:t>смертные приговоры и казни не применялись в отношении лиц с серьезными психосоциальными и умственными расстройствами, в том числе за счет создания независимого механизма для рассмотрения всех случаев, когда имеются достоверные доказательства того, что заключенные, приговоренные к смертной казни, страдают такими расстройствами, и обеспечивать освидетельствование психического здоровья заключенных, приговоренных к смертной казни;</w:t>
      </w:r>
    </w:p>
    <w:p w14:paraId="62D55803" w14:textId="77777777" w:rsidR="00A50B68" w:rsidRPr="00A50B68" w:rsidRDefault="00A50B68" w:rsidP="00A50B68">
      <w:pPr>
        <w:pStyle w:val="SingleTxtG"/>
        <w:rPr>
          <w:b/>
        </w:rPr>
      </w:pPr>
      <w:r>
        <w:rPr>
          <w:b/>
        </w:rPr>
        <w:tab/>
      </w:r>
      <w:r w:rsidRPr="00A50B68">
        <w:rPr>
          <w:b/>
        </w:rPr>
        <w:tab/>
        <w:t>d)</w:t>
      </w:r>
      <w:r w:rsidRPr="00A50B68">
        <w:rPr>
          <w:b/>
        </w:rPr>
        <w:tab/>
        <w:t>протокол казни соответствовал международным стандартам в области прав человека и казни осуществлялись в соответствии с утвержденным протоколом;</w:t>
      </w:r>
    </w:p>
    <w:p w14:paraId="2D9E673F" w14:textId="77777777" w:rsidR="00A50B68" w:rsidRPr="001E3DDB" w:rsidRDefault="00A50B68" w:rsidP="00A50B68">
      <w:pPr>
        <w:pStyle w:val="SingleTxtG"/>
        <w:rPr>
          <w:b/>
        </w:rPr>
      </w:pPr>
      <w:r>
        <w:rPr>
          <w:b/>
        </w:rPr>
        <w:tab/>
      </w:r>
      <w:r w:rsidRPr="001E3DDB">
        <w:rPr>
          <w:b/>
        </w:rPr>
        <w:tab/>
        <w:t>e)</w:t>
      </w:r>
      <w:r w:rsidRPr="001E3DDB">
        <w:rPr>
          <w:b/>
        </w:rPr>
        <w:tab/>
        <w:t>пакистанским трудящимся-мигрантам, приговоренным к смертной казни за рубежом, предоставлялись надлежащие юридические и консульские услуги в ходе всего судебного разбирательства.</w:t>
      </w:r>
    </w:p>
    <w:p w14:paraId="30EBB4E7" w14:textId="77777777" w:rsidR="00A50B68" w:rsidRPr="001E3DDB" w:rsidRDefault="00A50B68" w:rsidP="00A50B68">
      <w:pPr>
        <w:pStyle w:val="H23G"/>
        <w:rPr>
          <w:rFonts w:eastAsia="SimSun"/>
        </w:rPr>
      </w:pPr>
      <w:r w:rsidRPr="001E3DDB">
        <w:tab/>
      </w:r>
      <w:r w:rsidRPr="001E3DDB">
        <w:tab/>
      </w:r>
      <w:r w:rsidRPr="001E3DDB">
        <w:rPr>
          <w:bCs/>
        </w:rPr>
        <w:t>Резюме ответа государства-участника</w:t>
      </w:r>
      <w:r w:rsidRPr="001E3DDB">
        <w:t xml:space="preserve"> </w:t>
      </w:r>
    </w:p>
    <w:p w14:paraId="5D87D3AA" w14:textId="77777777" w:rsidR="00A50B68" w:rsidRPr="001E3DDB" w:rsidRDefault="00A50B68" w:rsidP="00A50B68">
      <w:pPr>
        <w:pStyle w:val="SingleTxtG"/>
      </w:pPr>
      <w:r w:rsidRPr="001E3DDB">
        <w:tab/>
      </w:r>
      <w:r w:rsidRPr="001E3DDB">
        <w:tab/>
        <w:t>a)</w:t>
      </w:r>
      <w:r w:rsidRPr="001E3DDB">
        <w:tab/>
        <w:t>Государство-участник повторило представленную в его ответах на перечень вопросов (</w:t>
      </w:r>
      <w:hyperlink r:id="rId11" w:history="1">
        <w:r w:rsidRPr="001E3DDB">
          <w:rPr>
            <w:rStyle w:val="af1"/>
            <w:color w:val="auto"/>
          </w:rPr>
          <w:t>CCPR/C/PAK/Q/1/Add.1</w:t>
        </w:r>
      </w:hyperlink>
      <w:r w:rsidRPr="001E3DDB">
        <w:t xml:space="preserve">, пункты 21–23) информацию о том, что его политика в области смертной казни соответствует его Конституции, национальным законам и международным нормам; что мораторий на смертную казнь был отменен после достижения национального консенсуса в результате ужасного нападения, в ходе которого более 150 учащихся и преподавателей погибли от рук террористов; и что смертная казнь не может быть назначена лицам, не достигшим 18 лет. Государство-участник изучает существующие положения своего Уголовного кодекса и Уголовно-процессуального кодекса, с тем чтобы определить, можно ли сузить сферу применения смертной казни. Срок деятельности военных судов истек в январе 2017 года, но был продлен на два года путем внесения поправок в Конституцию, а затем этот срок истек в марте 2019 года. В 869 делах, поступивших из провинций, 59 заключенных были казнены после соблюдения надлежащей правовой процедуры. Государство-участник сослалось на полномочия Президента по помилованию заключенных, приговоренных к смертной казни; </w:t>
      </w:r>
    </w:p>
    <w:p w14:paraId="3ED0011E" w14:textId="77777777" w:rsidR="00A50B68" w:rsidRPr="001E3DDB" w:rsidRDefault="00A50B68" w:rsidP="00A50B68">
      <w:pPr>
        <w:pStyle w:val="SingleTxtG"/>
      </w:pPr>
      <w:r w:rsidRPr="001E3DDB">
        <w:tab/>
      </w:r>
      <w:r w:rsidRPr="001E3DDB">
        <w:tab/>
        <w:t>b)</w:t>
      </w:r>
      <w:r w:rsidRPr="001E3DDB">
        <w:tab/>
      </w:r>
      <w:r w:rsidR="003C0A4E">
        <w:t>с</w:t>
      </w:r>
      <w:r w:rsidRPr="001E3DDB">
        <w:t xml:space="preserve">мертная казнь не применяется в отношении лиц, не достигших </w:t>
      </w:r>
      <w:r w:rsidRPr="001E3DDB">
        <w:br/>
        <w:t>18-летнего возраста. Был также промульгирован Закон о системе ювенальной юстиции 2018 года. Одно из положений этого закона допускает возможность самоопределения по возрасту, что возлагает бремя доказывания обратного на обвинение;</w:t>
      </w:r>
    </w:p>
    <w:p w14:paraId="4CC7A601" w14:textId="77777777" w:rsidR="00A50B68" w:rsidRPr="001E3DDB" w:rsidRDefault="00A50B68" w:rsidP="00A50B68">
      <w:pPr>
        <w:pStyle w:val="SingleTxtG"/>
      </w:pPr>
      <w:r w:rsidRPr="001E3DDB">
        <w:tab/>
      </w:r>
      <w:r w:rsidRPr="001E3DDB">
        <w:tab/>
        <w:t>c)</w:t>
      </w:r>
      <w:r w:rsidRPr="001E3DDB">
        <w:tab/>
      </w:r>
      <w:r w:rsidR="003C0A4E">
        <w:t>н</w:t>
      </w:r>
      <w:r w:rsidRPr="001E3DDB">
        <w:t>икакой информации представлено не было</w:t>
      </w:r>
      <w:r w:rsidR="003C0A4E">
        <w:t>;</w:t>
      </w:r>
    </w:p>
    <w:p w14:paraId="2238407E" w14:textId="77777777" w:rsidR="00A50B68" w:rsidRPr="001E3DDB" w:rsidRDefault="00A50B68" w:rsidP="00A50B68">
      <w:pPr>
        <w:pStyle w:val="SingleTxtG"/>
      </w:pPr>
      <w:r w:rsidRPr="001E3DDB">
        <w:tab/>
      </w:r>
      <w:r w:rsidRPr="001E3DDB">
        <w:tab/>
        <w:t>d)</w:t>
      </w:r>
      <w:r w:rsidRPr="001E3DDB">
        <w:tab/>
      </w:r>
      <w:r w:rsidR="003C0A4E">
        <w:t>н</w:t>
      </w:r>
      <w:r w:rsidRPr="001E3DDB">
        <w:t>икакой информации представлено не было</w:t>
      </w:r>
      <w:r w:rsidR="003C0A4E">
        <w:t>;</w:t>
      </w:r>
    </w:p>
    <w:p w14:paraId="630EEA3A" w14:textId="77777777" w:rsidR="00A50B68" w:rsidRPr="001E3DDB" w:rsidRDefault="00A50B68" w:rsidP="00A50B68">
      <w:pPr>
        <w:pStyle w:val="SingleTxtG"/>
      </w:pPr>
      <w:r w:rsidRPr="001E3DDB">
        <w:tab/>
      </w:r>
      <w:r w:rsidRPr="001E3DDB">
        <w:tab/>
        <w:t>e)</w:t>
      </w:r>
      <w:r w:rsidRPr="001E3DDB">
        <w:tab/>
      </w:r>
      <w:r w:rsidR="003C0A4E">
        <w:t>н</w:t>
      </w:r>
      <w:r w:rsidRPr="001E3DDB">
        <w:t>икакой информации представлено не было.</w:t>
      </w:r>
    </w:p>
    <w:p w14:paraId="4E3CA5B6" w14:textId="77777777" w:rsidR="00A50B68" w:rsidRPr="001E3DDB" w:rsidRDefault="00A50B68" w:rsidP="00A50B68">
      <w:pPr>
        <w:pStyle w:val="H23G"/>
      </w:pPr>
      <w:r w:rsidRPr="001E3DDB">
        <w:tab/>
      </w:r>
      <w:r w:rsidRPr="001E3DDB">
        <w:tab/>
      </w:r>
      <w:r w:rsidRPr="001E3DDB">
        <w:rPr>
          <w:bCs/>
        </w:rPr>
        <w:t>Информация, полученная от неправительственных организаций</w:t>
      </w:r>
    </w:p>
    <w:p w14:paraId="07AE0D83" w14:textId="77777777" w:rsidR="00A50B68" w:rsidRPr="001E3DDB" w:rsidRDefault="00A50B68" w:rsidP="00A50B68">
      <w:pPr>
        <w:pStyle w:val="H4G"/>
      </w:pPr>
      <w:r w:rsidRPr="001E3DDB">
        <w:tab/>
      </w:r>
      <w:r w:rsidRPr="001E3DDB">
        <w:tab/>
      </w:r>
      <w:r w:rsidRPr="001E3DDB">
        <w:rPr>
          <w:iCs/>
        </w:rPr>
        <w:t>Проект «Правосудие в Пакистане»</w:t>
      </w:r>
    </w:p>
    <w:p w14:paraId="3B491EA0" w14:textId="77777777" w:rsidR="00A50B68" w:rsidRPr="001E3DDB" w:rsidRDefault="00A50B68" w:rsidP="00A50B68">
      <w:pPr>
        <w:pStyle w:val="SingleTxtG"/>
      </w:pPr>
      <w:r w:rsidRPr="001E3DDB">
        <w:tab/>
      </w:r>
      <w:r w:rsidRPr="001E3DDB">
        <w:tab/>
        <w:t>a)</w:t>
      </w:r>
      <w:r w:rsidRPr="001E3DDB">
        <w:tab/>
        <w:t>Министерство внутренних дел и Министерство по правам человека разрабатывают правила и положения по реформированию процедуры подачи прошений о помиловании;</w:t>
      </w:r>
    </w:p>
    <w:p w14:paraId="7F28B743" w14:textId="77777777" w:rsidR="00A50B68" w:rsidRPr="001E3DDB" w:rsidRDefault="00A50B68" w:rsidP="00A50B68">
      <w:pPr>
        <w:pStyle w:val="SingleTxtG"/>
      </w:pPr>
      <w:r w:rsidRPr="001E3DDB">
        <w:lastRenderedPageBreak/>
        <w:tab/>
      </w:r>
      <w:r w:rsidRPr="001E3DDB">
        <w:tab/>
        <w:t>b)</w:t>
      </w:r>
      <w:r w:rsidRPr="001E3DDB">
        <w:tab/>
        <w:t>Закон о системе ювенальной юстиции от 2018 года не предоставляет ребенку возможности разрешения в его пользу сомнения, возникающего в случае наличия противоречивых или неубедительных доказательств. Несовершеннолетние правонарушители, такие как Мухаммад Икбал, остаются в камере смертников, несмотря на уведомление Президента о том, что он и другие лица освобождаются от наказания;</w:t>
      </w:r>
    </w:p>
    <w:p w14:paraId="580B8F0F" w14:textId="77777777" w:rsidR="00A50B68" w:rsidRPr="001E3DDB" w:rsidRDefault="00A50B68" w:rsidP="00A50B68">
      <w:pPr>
        <w:pStyle w:val="SingleTxtG"/>
      </w:pPr>
      <w:r w:rsidRPr="001E3DDB">
        <w:tab/>
      </w:r>
      <w:r w:rsidRPr="001E3DDB">
        <w:tab/>
        <w:t>c)</w:t>
      </w:r>
      <w:r w:rsidRPr="001E3DDB">
        <w:tab/>
      </w:r>
      <w:r w:rsidR="003C0A4E">
        <w:t>п</w:t>
      </w:r>
      <w:r w:rsidRPr="001E3DDB">
        <w:t>роект «Правосудие в Пакистане» и Министерство юстиции и законодательства проводят исследование по пересмотру Правил содержания в пенитенциарных учреждениях, касающихся обращения с заключенными, страдающими психическими заболеваниями;</w:t>
      </w:r>
    </w:p>
    <w:p w14:paraId="4E7C06E5" w14:textId="77777777" w:rsidR="00A50B68" w:rsidRPr="001E3DDB" w:rsidRDefault="00A50B68" w:rsidP="00A50B68">
      <w:pPr>
        <w:pStyle w:val="SingleTxtG"/>
      </w:pPr>
      <w:r w:rsidRPr="001E3DDB">
        <w:tab/>
      </w:r>
      <w:r w:rsidRPr="001E3DDB">
        <w:tab/>
        <w:t>d)</w:t>
      </w:r>
      <w:r w:rsidRPr="001E3DDB">
        <w:tab/>
        <w:t>Министерство юстиции и законодательства сформировало рабочую группу, в состав которой входят представители гражданского общества, для пересмотра Правил содержания в пенитенциарных учреждениях Пакистана;</w:t>
      </w:r>
    </w:p>
    <w:p w14:paraId="07214DDF" w14:textId="77777777" w:rsidR="00A50B68" w:rsidRPr="001E3DDB" w:rsidRDefault="00A50B68" w:rsidP="00A50B68">
      <w:pPr>
        <w:pStyle w:val="SingleTxtG"/>
      </w:pPr>
      <w:r w:rsidRPr="001E3DDB">
        <w:tab/>
      </w:r>
      <w:r w:rsidRPr="001E3DDB">
        <w:tab/>
        <w:t>e)</w:t>
      </w:r>
      <w:r w:rsidRPr="001E3DDB">
        <w:tab/>
      </w:r>
      <w:r w:rsidR="003C0A4E">
        <w:t>в</w:t>
      </w:r>
      <w:r w:rsidRPr="001E3DDB">
        <w:t xml:space="preserve"> марте 2018 года правительство одобрило соглашения с Китаем и Саудовской Аравией о передаче заключенных. Однако это соглашение еще не утверждено федеральным Кабинетом министров.</w:t>
      </w:r>
    </w:p>
    <w:p w14:paraId="23B50CDA" w14:textId="77777777" w:rsidR="00A50B68" w:rsidRPr="001E3DDB" w:rsidRDefault="00A50B68" w:rsidP="00A50B68">
      <w:pPr>
        <w:pStyle w:val="H23G"/>
        <w:rPr>
          <w:rFonts w:eastAsia="SimSun"/>
        </w:rPr>
      </w:pPr>
      <w:r w:rsidRPr="001E3DDB">
        <w:tab/>
      </w:r>
      <w:r w:rsidRPr="001E3DDB">
        <w:tab/>
      </w:r>
      <w:r w:rsidRPr="001E3DDB">
        <w:rPr>
          <w:bCs/>
        </w:rPr>
        <w:t>Оценка Комитета</w:t>
      </w:r>
    </w:p>
    <w:p w14:paraId="73BABA72" w14:textId="77777777" w:rsidR="00A50B68" w:rsidRPr="001E3DDB" w:rsidRDefault="00A50B68" w:rsidP="00A50B68">
      <w:pPr>
        <w:pStyle w:val="SingleTxtG"/>
        <w:rPr>
          <w:b/>
        </w:rPr>
      </w:pPr>
      <w:r w:rsidRPr="001E3DDB">
        <w:rPr>
          <w:b/>
          <w:bCs/>
        </w:rPr>
        <w:t>[B]</w:t>
      </w:r>
      <w:r w:rsidRPr="001E3DDB">
        <w:t xml:space="preserve"> a): Комитет принимает к сведению информацию о пересмотре существующих правовых положений с целью определения того, можно ли сузить сферу применения смертной казни, однако просит представить дополнительную информацию в этой связи, в том числе о конкретных принятых или планируемых мерах по обеспечению того, чтобы смертная казнь применялась только за наиболее тяжкие преступления, связанные с умышленным убийством. Он также принимает к сведению представленную информацию о полномочиях Президента по помилованию заключенных, приговоренных к смертной казни, но запрашивает информацию: </w:t>
      </w:r>
      <w:r w:rsidR="00573C91" w:rsidRPr="001E3DDB">
        <w:br/>
      </w:r>
      <w:r w:rsidRPr="001E3DDB">
        <w:t xml:space="preserve">а) о количестве смертных приговоров, вынесенных за последние два года; </w:t>
      </w:r>
      <w:r w:rsidR="00573C91" w:rsidRPr="001E3DDB">
        <w:br/>
      </w:r>
      <w:r w:rsidRPr="001E3DDB">
        <w:t>b) о количестве помилований, предоставленных Президентом, и случаев замены смертных приговоров за последние два года; и с) о том, могут ли смертные приговоры быть отменены и смягчены независимо от совершенного преступления. Отмечая, что срок деятельности военных судов истек в марте 2019 года, Комитет выражает сожаление по поводу того, что 59 заключенных были казнены на основании приговоров, вынесенных военными судами, и просит представить информацию о том, выносили ли военные суды смертные приговоры в отношении гражданских лиц.</w:t>
      </w:r>
    </w:p>
    <w:p w14:paraId="5D8F8A8B" w14:textId="77777777" w:rsidR="00A50B68" w:rsidRPr="001E3DDB" w:rsidRDefault="00A50B68" w:rsidP="00A50B68">
      <w:pPr>
        <w:pStyle w:val="SingleTxtG"/>
        <w:rPr>
          <w:rFonts w:eastAsia="Malgun Gothic"/>
        </w:rPr>
      </w:pPr>
      <w:r w:rsidRPr="001E3DDB">
        <w:rPr>
          <w:b/>
          <w:bCs/>
        </w:rPr>
        <w:t>[C]</w:t>
      </w:r>
      <w:r w:rsidR="00573C91" w:rsidRPr="001E3DDB">
        <w:t> </w:t>
      </w:r>
      <w:r w:rsidRPr="001E3DDB">
        <w:t>b),</w:t>
      </w:r>
      <w:r w:rsidR="00573C91" w:rsidRPr="001E3DDB">
        <w:t> </w:t>
      </w:r>
      <w:r w:rsidRPr="001E3DDB">
        <w:t>c),</w:t>
      </w:r>
      <w:r w:rsidR="00573C91" w:rsidRPr="001E3DDB">
        <w:t> </w:t>
      </w:r>
      <w:r w:rsidRPr="001E3DDB">
        <w:t>d)</w:t>
      </w:r>
      <w:r w:rsidR="00573C91" w:rsidRPr="001E3DDB">
        <w:t> </w:t>
      </w:r>
      <w:r w:rsidRPr="001E3DDB">
        <w:t>и</w:t>
      </w:r>
      <w:r w:rsidR="00573C91" w:rsidRPr="001E3DDB">
        <w:t> </w:t>
      </w:r>
      <w:r w:rsidRPr="001E3DDB">
        <w:t>e): Комитет принимает к сведению представленную государством</w:t>
      </w:r>
      <w:r w:rsidR="00573C91" w:rsidRPr="001E3DDB">
        <w:t>-</w:t>
      </w:r>
      <w:r w:rsidRPr="001E3DDB">
        <w:t>участником информацию о запрещении вынесения смертных приговоров лицам, не достигшим 18-летнего возраста, и о принятии в 2018 году Закона о системе ювенальной юстиции, который предусматривает процедуру определения возраста. Ему требуется информация о количестве лиц, приговоренных к смертной казни за преступления, совершенные ими в возрасте до 18 лет, о количестве смертных приговоров, вынесенных в отношении лиц моложе 18 лет, которые были приговорены к смертной казни, о том, применяется ли этот Закон в полном объеме, т.</w:t>
      </w:r>
      <w:r w:rsidR="003C0A4E">
        <w:t> </w:t>
      </w:r>
      <w:r w:rsidRPr="001E3DDB">
        <w:t>е. были ли лица моложе 18 лет приговорены к смертной казни со времени принятия этого Закона, и о мерах, принятых для осуществления процедуры определения возраста в новом Законе о системе ювенальной юстиции.</w:t>
      </w:r>
    </w:p>
    <w:p w14:paraId="66C2DC52" w14:textId="77777777" w:rsidR="00A50B68" w:rsidRPr="001E3DDB" w:rsidRDefault="00573C91" w:rsidP="00A50B68">
      <w:pPr>
        <w:pStyle w:val="SingleTxtG"/>
      </w:pPr>
      <w:r w:rsidRPr="001E3DDB">
        <w:tab/>
      </w:r>
      <w:r w:rsidR="00A50B68" w:rsidRPr="001E3DDB">
        <w:tab/>
        <w:t xml:space="preserve">Комитет сожалеет о том, что не было представлено никакой информации о мерах, принятых для предотвращения казней или вынесения смертного приговора лицам с серьезными умственными недостатками или психосоциальными расстройствами; о протоколе казней и о том, соответствует ли он международным стандартам; и о пакистанских рабочих-мигрантах, приговоренных к смертной казни за границей. Комитет повторяет свои просьбы о предоставлении информации и свою рекомендацию. </w:t>
      </w:r>
    </w:p>
    <w:p w14:paraId="5C8B3038" w14:textId="77777777" w:rsidR="00A50B68" w:rsidRPr="001E3DDB" w:rsidRDefault="00A50B68" w:rsidP="00A50B68">
      <w:pPr>
        <w:pStyle w:val="H23G"/>
        <w:rPr>
          <w:rFonts w:eastAsia="SimSun"/>
        </w:rPr>
      </w:pPr>
      <w:r w:rsidRPr="001E3DDB">
        <w:tab/>
      </w:r>
      <w:r w:rsidRPr="001E3DDB">
        <w:tab/>
      </w:r>
      <w:r w:rsidRPr="001E3DDB">
        <w:rPr>
          <w:bCs/>
        </w:rPr>
        <w:t>Пункт 20: Насильственные исчезновения и внесудебные казни</w:t>
      </w:r>
    </w:p>
    <w:p w14:paraId="62C5CCE7" w14:textId="77777777" w:rsidR="00A50B68" w:rsidRPr="001E3DDB" w:rsidRDefault="00573C91" w:rsidP="00573C91">
      <w:pPr>
        <w:pStyle w:val="SingleTxtG"/>
        <w:rPr>
          <w:b/>
        </w:rPr>
      </w:pPr>
      <w:r w:rsidRPr="001E3DDB">
        <w:rPr>
          <w:b/>
        </w:rPr>
        <w:tab/>
      </w:r>
      <w:r w:rsidR="00A50B68" w:rsidRPr="001E3DDB">
        <w:rPr>
          <w:b/>
        </w:rPr>
        <w:tab/>
        <w:t xml:space="preserve">Государству-участнику следует ввести уголовную ответственность за насильственные исчезновения и положить конец практике насильственных </w:t>
      </w:r>
      <w:r w:rsidR="00A50B68" w:rsidRPr="001E3DDB">
        <w:rPr>
          <w:b/>
        </w:rPr>
        <w:lastRenderedPageBreak/>
        <w:t>исчезновений и тайного содержания под стражей. Ему также следует пересмотреть Положения о действиях (в помощь гражданским властям) 2011</w:t>
      </w:r>
      <w:r w:rsidRPr="001E3DDB">
        <w:rPr>
          <w:b/>
        </w:rPr>
        <w:t> </w:t>
      </w:r>
      <w:r w:rsidR="00A50B68" w:rsidRPr="001E3DDB">
        <w:rPr>
          <w:b/>
        </w:rPr>
        <w:t xml:space="preserve">года, с тем чтобы полностью отменить их либо привести в соответствие с международными стандартами. Ему следует также обеспечить проведение оперативных и тщательных расследований по всем заявлениям о насильственных исчезновениях и внесудебных казнях; привлечение к ответственности и наказание всех виновных соразмерно степени тяжести совершенных ими деяний; защиту семей исчезнувших лиц, их адвокатов, а также свидетелей; и создание механизма для предоставления полного и своевременного возмещения ущерба жертвам и их семьям. Государству-участнику следует и дальше укреплять авторитет и потенциал (с точки зрения финансовых и кадровых ресурсов) Комиссии по расследованию случаев насильственных исчезновений, с тем чтобы она могла эффективно выполнять свои функции. </w:t>
      </w:r>
    </w:p>
    <w:p w14:paraId="59529DB9" w14:textId="77777777" w:rsidR="00A50B68" w:rsidRPr="001E3DDB" w:rsidRDefault="00A50B68" w:rsidP="00A50B68">
      <w:pPr>
        <w:pStyle w:val="H23G"/>
        <w:rPr>
          <w:rFonts w:eastAsia="SimSun"/>
        </w:rPr>
      </w:pPr>
      <w:r w:rsidRPr="001E3DDB">
        <w:tab/>
      </w:r>
      <w:r w:rsidRPr="001E3DDB">
        <w:tab/>
      </w:r>
      <w:r w:rsidRPr="001E3DDB">
        <w:rPr>
          <w:bCs/>
        </w:rPr>
        <w:t>Резюме ответа государства-участника</w:t>
      </w:r>
    </w:p>
    <w:p w14:paraId="517999F3" w14:textId="77777777" w:rsidR="00A50B68" w:rsidRPr="001E3DDB" w:rsidRDefault="00573C91" w:rsidP="00A50B68">
      <w:pPr>
        <w:pStyle w:val="SingleTxtG"/>
        <w:rPr>
          <w:bCs/>
        </w:rPr>
      </w:pPr>
      <w:r w:rsidRPr="001E3DDB">
        <w:tab/>
      </w:r>
      <w:r w:rsidR="00A50B68" w:rsidRPr="001E3DDB">
        <w:tab/>
        <w:t>Государство-участник повторило представленную в его ответах на перечень вопросов информацию о создании Комиссии по расследованию насильственных исчезновений (</w:t>
      </w:r>
      <w:hyperlink r:id="rId12" w:history="1">
        <w:r w:rsidR="00A50B68" w:rsidRPr="001E3DDB">
          <w:rPr>
            <w:rStyle w:val="af1"/>
            <w:color w:val="auto"/>
          </w:rPr>
          <w:t>CCPR/C/PAK/Q/1/Add.1</w:t>
        </w:r>
      </w:hyperlink>
      <w:r w:rsidR="00A50B68" w:rsidRPr="001E3DDB">
        <w:t>, пункты 27</w:t>
      </w:r>
      <w:r w:rsidRPr="001E3DDB">
        <w:t>–</w:t>
      </w:r>
      <w:r w:rsidR="00A50B68" w:rsidRPr="001E3DDB">
        <w:t>33). Оно указало, что по состоянию на 31 марта 2018 года насчитывалось в общей сложности 4 929 случаев насильственных исчезновений. В период с 2011 по 2018 год было рассмотрено 3</w:t>
      </w:r>
      <w:r w:rsidRPr="001E3DDB">
        <w:t> </w:t>
      </w:r>
      <w:r w:rsidR="00A50B68" w:rsidRPr="001E3DDB">
        <w:t>219</w:t>
      </w:r>
      <w:r w:rsidRPr="001E3DDB">
        <w:t> </w:t>
      </w:r>
      <w:r w:rsidR="00A50B68" w:rsidRPr="001E3DDB">
        <w:t>дел, а по состоянию на февраль 2018 года в стадии расследования находилось 1</w:t>
      </w:r>
      <w:r w:rsidR="003C0A4E">
        <w:t> </w:t>
      </w:r>
      <w:r w:rsidR="00A50B68" w:rsidRPr="001E3DDB">
        <w:t xml:space="preserve">710 дел. Оно заявило, что злоупотребление силой или ее нецелевое использование в ходе операций стало наказуемым деянием в соответствии с </w:t>
      </w:r>
      <w:r w:rsidR="00A50B68" w:rsidRPr="001E3DDB">
        <w:rPr>
          <w:bCs/>
        </w:rPr>
        <w:t>Положени</w:t>
      </w:r>
      <w:r w:rsidR="00A50B68" w:rsidRPr="001E3DDB">
        <w:t xml:space="preserve">ем о действиях (в помощь гражданским властям) 2011 года. Лица, задержанные во время операций, содержались в объявленных центрах для интернированных. Дела интернированных регулярно рассматриваются надзорными советами. В законе содержатся всеобъемлющие положения, в том числе о благополучии задержанных, дерадикализации, освобождении и рассмотрении дел. </w:t>
      </w:r>
    </w:p>
    <w:p w14:paraId="4113CDA7" w14:textId="77777777" w:rsidR="00A50B68" w:rsidRPr="001E3DDB" w:rsidRDefault="00573C91" w:rsidP="00573C91">
      <w:pPr>
        <w:pStyle w:val="H23G"/>
      </w:pPr>
      <w:r w:rsidRPr="001E3DDB">
        <w:tab/>
      </w:r>
      <w:r w:rsidRPr="001E3DDB">
        <w:tab/>
      </w:r>
      <w:r w:rsidR="00A50B68" w:rsidRPr="001E3DDB">
        <w:t>Информация, полученная от неправительственных организаций</w:t>
      </w:r>
    </w:p>
    <w:p w14:paraId="2FC5595C" w14:textId="77777777" w:rsidR="00A50B68" w:rsidRPr="001E3DDB" w:rsidRDefault="00A50B68" w:rsidP="00A50B68">
      <w:pPr>
        <w:pStyle w:val="H4G"/>
      </w:pPr>
      <w:r w:rsidRPr="001E3DDB">
        <w:tab/>
      </w:r>
      <w:r w:rsidRPr="001E3DDB">
        <w:tab/>
      </w:r>
      <w:r w:rsidRPr="001E3DDB">
        <w:rPr>
          <w:iCs/>
        </w:rPr>
        <w:t>Международная комиссия юристов</w:t>
      </w:r>
    </w:p>
    <w:p w14:paraId="4101E228" w14:textId="77777777" w:rsidR="00A50B68" w:rsidRPr="001E3DDB" w:rsidRDefault="00573C91" w:rsidP="00A50B68">
      <w:pPr>
        <w:pStyle w:val="SingleTxtG"/>
      </w:pPr>
      <w:r w:rsidRPr="001E3DDB">
        <w:tab/>
      </w:r>
      <w:r w:rsidR="00A50B68" w:rsidRPr="001E3DDB">
        <w:tab/>
        <w:t>Насильственное исчезновение до сих пор не признано в государстве-участнике в качестве отдельного преступления. В нем регистрируются такие насильственные исчезновения, как похищения или незаконное тайное содержание под стражей. В</w:t>
      </w:r>
      <w:r w:rsidRPr="001E3DDB">
        <w:t> </w:t>
      </w:r>
      <w:r w:rsidR="00A50B68" w:rsidRPr="001E3DDB">
        <w:t xml:space="preserve">августе 2019 года </w:t>
      </w:r>
      <w:r w:rsidR="00A50B68" w:rsidRPr="001E3DDB">
        <w:rPr>
          <w:bCs/>
        </w:rPr>
        <w:t>Положени</w:t>
      </w:r>
      <w:r w:rsidR="00A50B68" w:rsidRPr="001E3DDB">
        <w:t>е о действиях (в помощь гражданским властям) в</w:t>
      </w:r>
      <w:r w:rsidRPr="001E3DDB">
        <w:t> </w:t>
      </w:r>
      <w:r w:rsidR="00A50B68" w:rsidRPr="001E3DDB">
        <w:t>провинции Хайбер-Пахтунхва предоставил широкие полномочия военнослужащим на всей территории провинции Хайбер-Пахтунхва. По состоянию на сентябрь 2019</w:t>
      </w:r>
      <w:r w:rsidRPr="001E3DDB">
        <w:t> </w:t>
      </w:r>
      <w:r w:rsidR="00A50B68" w:rsidRPr="001E3DDB">
        <w:t xml:space="preserve">года ни один виновный в насильственном исчезновении не был привлечен к ответственности. Срок полномочий Комиссии по расследованию </w:t>
      </w:r>
      <w:r w:rsidR="00A50B68" w:rsidRPr="001E3DDB">
        <w:rPr>
          <w:bCs/>
        </w:rPr>
        <w:t>случаев</w:t>
      </w:r>
      <w:r w:rsidR="00A50B68" w:rsidRPr="001E3DDB">
        <w:t xml:space="preserve"> насильственных исчезновений был продлен до сентября 2020 года, однако Комиссия больше не уполномочена регистрировать первые информационные сообщения после обнаружения жертвы. В содержащемся в Комиссии определении насильственного исчезновения не признается тайное содержание под стражей или содержание под стражей в нераскрытой форме, что исключает случаи, когда насильственное исчезновение санкционируется государством.</w:t>
      </w:r>
    </w:p>
    <w:p w14:paraId="004DFA2B" w14:textId="77777777" w:rsidR="00A50B68" w:rsidRPr="001E3DDB" w:rsidRDefault="00A50B68" w:rsidP="00A50B68">
      <w:pPr>
        <w:pStyle w:val="H23G"/>
        <w:rPr>
          <w:rFonts w:eastAsia="SimSun"/>
        </w:rPr>
      </w:pPr>
      <w:r w:rsidRPr="001E3DDB">
        <w:tab/>
      </w:r>
      <w:r w:rsidRPr="001E3DDB">
        <w:tab/>
      </w:r>
      <w:r w:rsidRPr="001E3DDB">
        <w:rPr>
          <w:bCs/>
        </w:rPr>
        <w:t>Оценка Комитета</w:t>
      </w:r>
    </w:p>
    <w:p w14:paraId="4A82EABC" w14:textId="77777777" w:rsidR="00A50B68" w:rsidRPr="001E3DDB" w:rsidRDefault="00A50B68" w:rsidP="00A50B68">
      <w:pPr>
        <w:pStyle w:val="SingleTxtG"/>
      </w:pPr>
      <w:r w:rsidRPr="001E3DDB">
        <w:rPr>
          <w:b/>
          <w:bCs/>
        </w:rPr>
        <w:t>[C]</w:t>
      </w:r>
      <w:r w:rsidRPr="001E3DDB">
        <w:t>: Комитет принимает к сведению информацию, представленную государством-участником, но сожалеет, что описанные меры относятся ко времени до принятия заключительных замечаний. Комитет принимает к сведению статистические данные, представленные государством-участником, но сожалеет об отсутствии информации о реализации конкретных мер после принятия заключительных замечаний для обеспечения того, чтобы по всем утверждениям о насильственных исчезновениях и внесудебных убийствах проводились оперативные и тщательные расследования, а</w:t>
      </w:r>
      <w:r w:rsidR="00573C91" w:rsidRPr="001E3DDB">
        <w:t> </w:t>
      </w:r>
      <w:r w:rsidRPr="001E3DDB">
        <w:t xml:space="preserve">жертвы получали надлежащую компенсацию. Комитет также нуждается в информации: а) о мерах, принятых для криминализации насильственных исчезновений и прекращения практики насильственных исчезновений и тайного содержания под </w:t>
      </w:r>
      <w:r w:rsidRPr="001E3DDB">
        <w:lastRenderedPageBreak/>
        <w:t xml:space="preserve">стражей; b) о том, намерено ли государство-участник отменить </w:t>
      </w:r>
      <w:r w:rsidRPr="001E3DDB">
        <w:rPr>
          <w:bCs/>
        </w:rPr>
        <w:t>Положени</w:t>
      </w:r>
      <w:r w:rsidRPr="001E3DDB">
        <w:t xml:space="preserve">е о действиях (в помощь гражданским властям) 2011 года или привести его в соответствие с международными стандартами; с) о мерах, принятых для обеспечения того, чтобы все виновные были привлечены к ответственности и понесли наказание, соразмерное тяжести преступлений; d) о мерах, принятых для обеспечения защиты семей исчезнувших лиц и их адвокатов и свидетелей; e) о мерах, принятых для создания механизма полного и оперативного возмещения ущерба жертвам и их семьям; </w:t>
      </w:r>
      <w:r w:rsidR="00573C91" w:rsidRPr="001E3DDB">
        <w:br/>
      </w:r>
      <w:r w:rsidRPr="001E3DDB">
        <w:t>f) о реализации мер после принятия заключительных замечаний в целях дальнейшего укрепления авторитета и потенциала (</w:t>
      </w:r>
      <w:r w:rsidRPr="001E3DDB">
        <w:rPr>
          <w:bCs/>
        </w:rPr>
        <w:t>с точки зрения финансовых и кадровых ресурсов) Комиссии по расследованию</w:t>
      </w:r>
      <w:r w:rsidRPr="001E3DDB">
        <w:t xml:space="preserve"> </w:t>
      </w:r>
      <w:bookmarkStart w:id="3" w:name="_Hlk33893506"/>
      <w:r w:rsidRPr="001E3DDB">
        <w:rPr>
          <w:bCs/>
        </w:rPr>
        <w:t>случаев</w:t>
      </w:r>
      <w:bookmarkEnd w:id="3"/>
      <w:r w:rsidRPr="001E3DDB">
        <w:t xml:space="preserve"> насильственных исчезновений; </w:t>
      </w:r>
      <w:r w:rsidR="00573C91" w:rsidRPr="001E3DDB">
        <w:br/>
      </w:r>
      <w:r w:rsidRPr="001E3DDB">
        <w:t>и g) о делах, рассмотренных Комиссией по расследованию</w:t>
      </w:r>
      <w:r w:rsidRPr="001E3DDB">
        <w:rPr>
          <w:bCs/>
        </w:rPr>
        <w:t xml:space="preserve"> случаев</w:t>
      </w:r>
      <w:r w:rsidRPr="001E3DDB">
        <w:t xml:space="preserve"> насильственных исчезновений. </w:t>
      </w:r>
    </w:p>
    <w:p w14:paraId="1B740119" w14:textId="77777777" w:rsidR="00A50B68" w:rsidRPr="001E3DDB" w:rsidRDefault="00A50B68" w:rsidP="00A50B68">
      <w:pPr>
        <w:pStyle w:val="H23G"/>
        <w:rPr>
          <w:rFonts w:eastAsia="SimSun"/>
        </w:rPr>
      </w:pPr>
      <w:r w:rsidRPr="001E3DDB">
        <w:tab/>
      </w:r>
      <w:r w:rsidRPr="001E3DDB">
        <w:tab/>
      </w:r>
      <w:r w:rsidRPr="001E3DDB">
        <w:rPr>
          <w:bCs/>
        </w:rPr>
        <w:t>Пункт 34: Свобода религии, совести и убеждений</w:t>
      </w:r>
    </w:p>
    <w:p w14:paraId="4C5AD2EE" w14:textId="77777777" w:rsidR="00A50B68" w:rsidRPr="001E3DDB" w:rsidRDefault="00573C91" w:rsidP="00573C91">
      <w:pPr>
        <w:pStyle w:val="SingleTxtG"/>
        <w:rPr>
          <w:b/>
        </w:rPr>
      </w:pPr>
      <w:r w:rsidRPr="001E3DDB">
        <w:rPr>
          <w:b/>
        </w:rPr>
        <w:tab/>
      </w:r>
      <w:r w:rsidR="00A50B68" w:rsidRPr="001E3DDB">
        <w:rPr>
          <w:b/>
        </w:rPr>
        <w:tab/>
        <w:t>Государству-участнику следует:</w:t>
      </w:r>
    </w:p>
    <w:p w14:paraId="535ACCCD" w14:textId="77777777" w:rsidR="00A50B68" w:rsidRPr="001E3DDB" w:rsidRDefault="00573C91" w:rsidP="00573C91">
      <w:pPr>
        <w:pStyle w:val="SingleTxtG"/>
        <w:rPr>
          <w:b/>
        </w:rPr>
      </w:pPr>
      <w:r w:rsidRPr="001E3DDB">
        <w:rPr>
          <w:b/>
        </w:rPr>
        <w:tab/>
      </w:r>
      <w:r w:rsidR="00A50B68" w:rsidRPr="001E3DDB">
        <w:rPr>
          <w:b/>
        </w:rPr>
        <w:tab/>
        <w:t>a)</w:t>
      </w:r>
      <w:r w:rsidR="00A50B68" w:rsidRPr="001E3DDB">
        <w:rPr>
          <w:b/>
        </w:rPr>
        <w:tab/>
        <w:t>отменить все законы о богохульстве или внести в них поправки в соответствии со строгими требованиями Пакта, в том числе в соответствии с пунктом 48 замечания общего порядка № 34 Комитета (2011</w:t>
      </w:r>
      <w:r w:rsidR="003C0A4E">
        <w:rPr>
          <w:b/>
        </w:rPr>
        <w:t xml:space="preserve"> год</w:t>
      </w:r>
      <w:r w:rsidR="00A50B68" w:rsidRPr="001E3DDB">
        <w:rPr>
          <w:b/>
        </w:rPr>
        <w:t xml:space="preserve">) о свободе мнений </w:t>
      </w:r>
      <w:r w:rsidRPr="001E3DDB">
        <w:rPr>
          <w:b/>
        </w:rPr>
        <w:tab/>
      </w:r>
      <w:r w:rsidR="00A50B68" w:rsidRPr="001E3DDB">
        <w:rPr>
          <w:b/>
        </w:rPr>
        <w:t xml:space="preserve">и их выражения; </w:t>
      </w:r>
    </w:p>
    <w:p w14:paraId="5D6FB43B" w14:textId="77777777" w:rsidR="00A50B68" w:rsidRPr="001E3DDB" w:rsidRDefault="00573C91" w:rsidP="00573C91">
      <w:pPr>
        <w:pStyle w:val="SingleTxtG"/>
        <w:rPr>
          <w:b/>
        </w:rPr>
      </w:pPr>
      <w:r w:rsidRPr="001E3DDB">
        <w:rPr>
          <w:b/>
        </w:rPr>
        <w:tab/>
      </w:r>
      <w:r w:rsidR="00A50B68" w:rsidRPr="001E3DDB">
        <w:rPr>
          <w:b/>
        </w:rPr>
        <w:tab/>
        <w:t>b)</w:t>
      </w:r>
      <w:r w:rsidR="00A50B68" w:rsidRPr="001E3DDB">
        <w:rPr>
          <w:b/>
        </w:rPr>
        <w:tab/>
        <w:t xml:space="preserve">обеспечить привлечение к судебной ответственности и надлежащее наказание всех лиц, которые подстрекают к насилию или прибегает к насилию в отношении других лиц на основании заявлений о богохульстве, а также тех, кто выдвигает ложные обвинения в богохульстве в отношении тех или иных лиц; </w:t>
      </w:r>
    </w:p>
    <w:p w14:paraId="21621A85" w14:textId="77777777" w:rsidR="00A50B68" w:rsidRPr="001E3DDB" w:rsidRDefault="00573C91" w:rsidP="00573C91">
      <w:pPr>
        <w:pStyle w:val="SingleTxtG"/>
        <w:rPr>
          <w:b/>
        </w:rPr>
      </w:pPr>
      <w:r w:rsidRPr="001E3DDB">
        <w:rPr>
          <w:b/>
        </w:rPr>
        <w:tab/>
      </w:r>
      <w:r w:rsidR="00A50B68" w:rsidRPr="001E3DDB">
        <w:rPr>
          <w:b/>
        </w:rPr>
        <w:tab/>
        <w:t>c)</w:t>
      </w:r>
      <w:r w:rsidR="00A50B68" w:rsidRPr="001E3DDB">
        <w:rPr>
          <w:b/>
        </w:rPr>
        <w:tab/>
        <w:t xml:space="preserve">принять все необходимые меры для обеспечения надлежащей защиты всех судей, прокуроров, адвокатов и свидетелей, вовлеченных в дела о богохульстве; </w:t>
      </w:r>
    </w:p>
    <w:p w14:paraId="4BA0270C" w14:textId="77777777" w:rsidR="00A50B68" w:rsidRPr="001E3DDB" w:rsidRDefault="00573C91" w:rsidP="00573C91">
      <w:pPr>
        <w:pStyle w:val="SingleTxtG"/>
        <w:rPr>
          <w:b/>
        </w:rPr>
      </w:pPr>
      <w:r w:rsidRPr="001E3DDB">
        <w:rPr>
          <w:b/>
        </w:rPr>
        <w:tab/>
      </w:r>
      <w:r w:rsidR="00A50B68" w:rsidRPr="001E3DDB">
        <w:rPr>
          <w:b/>
        </w:rPr>
        <w:tab/>
        <w:t>d)</w:t>
      </w:r>
      <w:r w:rsidR="00A50B68" w:rsidRPr="001E3DDB">
        <w:rPr>
          <w:b/>
        </w:rPr>
        <w:tab/>
        <w:t xml:space="preserve">обеспечить тщательное и оперативное расследование всех случаев, связанных с ненавистническими высказываниями и преступлениями на почве ненависти, судебное преследование и, в случае вынесения обвинительного приговора, наказание виновных; </w:t>
      </w:r>
    </w:p>
    <w:p w14:paraId="5A06E32E" w14:textId="77777777" w:rsidR="00A50B68" w:rsidRPr="001E3DDB" w:rsidRDefault="00573C91" w:rsidP="00573C91">
      <w:pPr>
        <w:pStyle w:val="SingleTxtG"/>
        <w:rPr>
          <w:b/>
        </w:rPr>
      </w:pPr>
      <w:r w:rsidRPr="001E3DDB">
        <w:rPr>
          <w:b/>
        </w:rPr>
        <w:tab/>
      </w:r>
      <w:r w:rsidR="00A50B68" w:rsidRPr="001E3DDB">
        <w:rPr>
          <w:b/>
        </w:rPr>
        <w:tab/>
        <w:t>e)</w:t>
      </w:r>
      <w:r w:rsidR="00A50B68" w:rsidRPr="001E3DDB">
        <w:rPr>
          <w:b/>
        </w:rPr>
        <w:tab/>
        <w:t>пересмотреть школьные учебники и учебные программы в целях полного устранения религиозно предвзятых материалов, ввести обучение по вопросам прав человека и продолжать регулировать деятельность медресе;</w:t>
      </w:r>
    </w:p>
    <w:p w14:paraId="55464429" w14:textId="77777777" w:rsidR="00A50B68" w:rsidRPr="001E3DDB" w:rsidRDefault="00573C91" w:rsidP="00573C91">
      <w:pPr>
        <w:pStyle w:val="SingleTxtG"/>
        <w:rPr>
          <w:b/>
        </w:rPr>
      </w:pPr>
      <w:r w:rsidRPr="001E3DDB">
        <w:rPr>
          <w:b/>
        </w:rPr>
        <w:tab/>
      </w:r>
      <w:r w:rsidR="00A50B68" w:rsidRPr="001E3DDB">
        <w:rPr>
          <w:b/>
        </w:rPr>
        <w:tab/>
        <w:t>f)</w:t>
      </w:r>
      <w:r w:rsidR="00A50B68" w:rsidRPr="001E3DDB">
        <w:rPr>
          <w:b/>
        </w:rPr>
        <w:tab/>
        <w:t>полностью выполнить решение Верховного суда от 19 июня 2014</w:t>
      </w:r>
      <w:r w:rsidRPr="001E3DDB">
        <w:rPr>
          <w:b/>
        </w:rPr>
        <w:t> </w:t>
      </w:r>
      <w:r w:rsidR="00A50B68" w:rsidRPr="001E3DDB">
        <w:rPr>
          <w:b/>
        </w:rPr>
        <w:t>года.</w:t>
      </w:r>
    </w:p>
    <w:p w14:paraId="03B1BAAE" w14:textId="77777777" w:rsidR="00A50B68" w:rsidRPr="001E3DDB" w:rsidRDefault="00A50B68" w:rsidP="00A50B68">
      <w:pPr>
        <w:pStyle w:val="H23G"/>
      </w:pPr>
      <w:r w:rsidRPr="001E3DDB">
        <w:tab/>
      </w:r>
      <w:r w:rsidRPr="001E3DDB">
        <w:tab/>
      </w:r>
      <w:r w:rsidRPr="001E3DDB">
        <w:rPr>
          <w:bCs/>
        </w:rPr>
        <w:t>Резюме ответа государства-участника</w:t>
      </w:r>
    </w:p>
    <w:p w14:paraId="54535A42" w14:textId="77777777" w:rsidR="00A50B68" w:rsidRPr="001E3DDB" w:rsidRDefault="00573C91" w:rsidP="00A50B68">
      <w:pPr>
        <w:pStyle w:val="SingleTxtG"/>
      </w:pPr>
      <w:r w:rsidRPr="001E3DDB">
        <w:tab/>
      </w:r>
      <w:r w:rsidR="00A50B68" w:rsidRPr="001E3DDB">
        <w:tab/>
        <w:t>a)</w:t>
      </w:r>
      <w:r w:rsidR="00A50B68" w:rsidRPr="001E3DDB">
        <w:tab/>
        <w:t>Государство-участник повторило информацию, представленную в его ответах на перечень вопросов (</w:t>
      </w:r>
      <w:hyperlink r:id="rId13" w:history="1">
        <w:r w:rsidR="00A50B68" w:rsidRPr="001E3DDB">
          <w:rPr>
            <w:rStyle w:val="af1"/>
            <w:color w:val="auto"/>
          </w:rPr>
          <w:t>CCPR/C/PAK/Q/1/Add.1</w:t>
        </w:r>
      </w:hyperlink>
      <w:r w:rsidR="00A50B68" w:rsidRPr="001E3DDB">
        <w:t>, пункт 68). В рамках консультативного процесса были приняты различные меры по проверке на предмет злоупотребления Законом о богохульстве. Общая стратегия заключалась в выработке консенсуса всех заинтересованных сторон, с тем чтобы выявить недостатки в этом процессе и устранить их, не допустив тем самым повторения подобных случаев. Министерство внутренних дел с одобрения федерального Кабинета внесло поправки в график работы Федерального агентства расследований, в соответствии с которыми любая жалоба по разделам 295-A, 295-C, 298 и 298-A Уголовного кодекса будет относиться к компетенции Агентства, которое будет уполномочено проводить проверки на предмет неправомерного применения законов о богохульстве параллельно с провинциальными полицейскими департаментами. Государство-участник подробно остановилось на дополнительных гарантиях, которые были введены для проверки на предмет неправомерного применения этих законов;</w:t>
      </w:r>
    </w:p>
    <w:p w14:paraId="1CBA86E5" w14:textId="77777777" w:rsidR="00A50B68" w:rsidRPr="001E3DDB" w:rsidRDefault="00573C91" w:rsidP="00A50B68">
      <w:pPr>
        <w:pStyle w:val="SingleTxtG"/>
      </w:pPr>
      <w:r w:rsidRPr="001E3DDB">
        <w:tab/>
      </w:r>
      <w:r w:rsidR="00A50B68" w:rsidRPr="001E3DDB">
        <w:tab/>
        <w:t>b)</w:t>
      </w:r>
      <w:r w:rsidR="00A50B68" w:rsidRPr="001E3DDB">
        <w:tab/>
      </w:r>
      <w:r w:rsidRPr="001E3DDB">
        <w:t>г</w:t>
      </w:r>
      <w:r w:rsidR="00A50B68" w:rsidRPr="001E3DDB">
        <w:t>осударство-участник повторило информацию о нарушении Закона о богохульстве, которую оно представило в своих ответах на перечень вопросов (</w:t>
      </w:r>
      <w:hyperlink r:id="rId14" w:history="1">
        <w:r w:rsidR="00A50B68" w:rsidRPr="001E3DDB">
          <w:rPr>
            <w:rStyle w:val="af1"/>
            <w:color w:val="auto"/>
          </w:rPr>
          <w:t>CCPR/C/PAK/Q/1/Add.1</w:t>
        </w:r>
      </w:hyperlink>
      <w:r w:rsidR="00A50B68" w:rsidRPr="001E3DDB">
        <w:t xml:space="preserve">, пункт 72). Оно также сослалось на дело Верховного суда 2002 года (PLD 2002 SC 1048), в котором была сделана ссылка на принцип презумпции </w:t>
      </w:r>
      <w:r w:rsidR="00A50B68" w:rsidRPr="001E3DDB">
        <w:lastRenderedPageBreak/>
        <w:t>невиновности, охарактеризованный как «золотое правило» и правило осмотрительности. Была представлена статистика по случаям богохульства, зарегистрированным в провинциях Пенджаб, Синд и Хайбер-Пахтунхва в период 2011</w:t>
      </w:r>
      <w:r w:rsidRPr="001E3DDB">
        <w:t>–</w:t>
      </w:r>
      <w:r w:rsidR="00A50B68" w:rsidRPr="001E3DDB">
        <w:t>2015 годов. Было отмечено, что до настоящего времени ни одно лицо не было казнено в результате обвинений в богохульстве. Решение Верховного суда от 2018</w:t>
      </w:r>
      <w:r w:rsidRPr="001E3DDB">
        <w:t> </w:t>
      </w:r>
      <w:r w:rsidR="00A50B68" w:rsidRPr="001E3DDB">
        <w:t>года по делу Асии Биби дает полезную информацию для дальнейшего совершенствования правовых и административных мер, связанных с применением законов о богохульстве;</w:t>
      </w:r>
    </w:p>
    <w:p w14:paraId="3AD5CEC4" w14:textId="77777777" w:rsidR="00A50B68" w:rsidRPr="001E3DDB" w:rsidRDefault="00573C91" w:rsidP="00A50B68">
      <w:pPr>
        <w:pStyle w:val="SingleTxtG"/>
      </w:pPr>
      <w:r w:rsidRPr="001E3DDB">
        <w:tab/>
      </w:r>
      <w:r w:rsidR="00A50B68" w:rsidRPr="001E3DDB">
        <w:tab/>
        <w:t>c)</w:t>
      </w:r>
      <w:r w:rsidR="00A50B68" w:rsidRPr="001E3DDB">
        <w:tab/>
      </w:r>
      <w:r w:rsidRPr="001E3DDB">
        <w:t>н</w:t>
      </w:r>
      <w:r w:rsidR="00A50B68" w:rsidRPr="001E3DDB">
        <w:t>икакой информации представлено не было</w:t>
      </w:r>
      <w:r w:rsidR="003C0A4E">
        <w:t>;</w:t>
      </w:r>
    </w:p>
    <w:p w14:paraId="376A0B4C" w14:textId="77777777" w:rsidR="00A50B68" w:rsidRPr="001E3DDB" w:rsidRDefault="00573C91" w:rsidP="00A50B68">
      <w:pPr>
        <w:pStyle w:val="SingleTxtG"/>
      </w:pPr>
      <w:r w:rsidRPr="001E3DDB">
        <w:tab/>
      </w:r>
      <w:r w:rsidR="00A50B68" w:rsidRPr="001E3DDB">
        <w:tab/>
        <w:t>d)</w:t>
      </w:r>
      <w:r w:rsidR="00A50B68" w:rsidRPr="001E3DDB">
        <w:tab/>
      </w:r>
      <w:r w:rsidRPr="001E3DDB">
        <w:t>в</w:t>
      </w:r>
      <w:r w:rsidR="00A50B68" w:rsidRPr="001E3DDB">
        <w:t xml:space="preserve"> Пакистане защищены права и интересы меньшинств. Дискриминация по признаку этнического многообразия не является распространенным явлением в пакистанском обществе. Государство-участник упомянуло о конституционных гарантиях защиты прав меньшинств, а также о законодательных мерах и политике, направленных на воплощение конституционных принципов в действиях государства. Оно также сослалось на положения Уголовного кодекса, касающиеся нарушений прав человека меньшинств; Приказ о полиции 2002 года, глава II, в котором содержатся положения, обеспечивающие защиту прав уязвимых слоев общества; и положения об электронных средствах массовой информации;</w:t>
      </w:r>
    </w:p>
    <w:p w14:paraId="7A403122" w14:textId="77777777" w:rsidR="00A50B68" w:rsidRPr="001E3DDB" w:rsidRDefault="00573C91" w:rsidP="00A50B68">
      <w:pPr>
        <w:pStyle w:val="SingleTxtG"/>
      </w:pPr>
      <w:r w:rsidRPr="001E3DDB">
        <w:tab/>
      </w:r>
      <w:r w:rsidR="00A50B68" w:rsidRPr="001E3DDB">
        <w:tab/>
        <w:t>e)</w:t>
      </w:r>
      <w:r w:rsidR="00A50B68" w:rsidRPr="001E3DDB">
        <w:tab/>
      </w:r>
      <w:r w:rsidRPr="001E3DDB">
        <w:t>в</w:t>
      </w:r>
      <w:r w:rsidR="00A50B68" w:rsidRPr="001E3DDB">
        <w:t xml:space="preserve"> мае 2019 года федеральный кабинет утвердил единую учебную программу для всех образовательных учреждений страны, которая включает 30</w:t>
      </w:r>
      <w:r w:rsidRPr="001E3DDB">
        <w:t> </w:t>
      </w:r>
      <w:r w:rsidR="00A50B68" w:rsidRPr="001E3DDB">
        <w:t>000</w:t>
      </w:r>
      <w:r w:rsidRPr="001E3DDB">
        <w:t> </w:t>
      </w:r>
      <w:r w:rsidR="00A50B68" w:rsidRPr="001E3DDB">
        <w:t>медресе. В феврале 2018 года права человека и терпимость были утверждены в качестве отдельного предмета в рамках обязательного курса «Бакалавр искусств/бакалавр наук» по изучению Пакистана/исламоведения, который начнется в 2018 учебном году. В рамках Плана действий в области прав человека на 2016 год была начата кампания по информированию и просвещению общественности в области прав человека, в ходе которой были проведены семинары и размещены рекламные объявления в печатных и электронных средствах массовой информации. Кампания ориентирована на широкую общественность, гражданское общество, исследователей, ученых, студентов, государственных служащих и различные слои общества. План действий предусматривает шаги по борьбе с разжиганием ненависти и экстремистскими материалами, эффективные меры по борьбе с религиозными преследованиями, регистрацию и регулирование деятельности медресе, а также запрет на прославление терроризма и террористических организаций через печатные и электронные средства массовой информации. В этой связи было зарегистрировано 1</w:t>
      </w:r>
      <w:r w:rsidRPr="001E3DDB">
        <w:t> </w:t>
      </w:r>
      <w:r w:rsidR="00A50B68" w:rsidRPr="001E3DDB">
        <w:t xml:space="preserve">373 случая ненавистнических высказываний или публикации материалов, разжигающих ненависть; </w:t>
      </w:r>
    </w:p>
    <w:p w14:paraId="0BA9CCFB" w14:textId="77777777" w:rsidR="00A50B68" w:rsidRPr="001E3DDB" w:rsidRDefault="00573C91" w:rsidP="00A50B68">
      <w:pPr>
        <w:pStyle w:val="SingleTxtG"/>
      </w:pPr>
      <w:r w:rsidRPr="001E3DDB">
        <w:tab/>
      </w:r>
      <w:r w:rsidR="00A50B68" w:rsidRPr="001E3DDB">
        <w:tab/>
        <w:t>f)</w:t>
      </w:r>
      <w:r w:rsidR="00A50B68" w:rsidRPr="001E3DDB">
        <w:tab/>
        <w:t>Верховный суд Пакистана в своем знаковом решении от 19 июня 2014</w:t>
      </w:r>
      <w:r w:rsidRPr="001E3DDB">
        <w:t> </w:t>
      </w:r>
      <w:r w:rsidR="00A50B68" w:rsidRPr="001E3DDB">
        <w:t xml:space="preserve">года, вынесенном по итогам разбирательства по делу suo motu в соответствии со статьей 184 (3) Конституции, возбужденному на основании письма, полученного от неправительственной организации в связи с нападением на церковь в Пешаваре, пояснил, что осквернение мест отправления культа меньшинств также является правонарушением в соответствии с этой статьей. </w:t>
      </w:r>
    </w:p>
    <w:p w14:paraId="0C2974C1" w14:textId="77777777" w:rsidR="00A50B68" w:rsidRPr="001E3DDB" w:rsidRDefault="00A50B68" w:rsidP="00A50B68">
      <w:pPr>
        <w:pStyle w:val="H23G"/>
      </w:pPr>
      <w:r w:rsidRPr="001E3DDB">
        <w:tab/>
      </w:r>
      <w:r w:rsidRPr="001E3DDB">
        <w:tab/>
      </w:r>
      <w:r w:rsidRPr="001E3DDB">
        <w:rPr>
          <w:bCs/>
        </w:rPr>
        <w:t>Информация, полученная от неправительственных организаций:</w:t>
      </w:r>
    </w:p>
    <w:p w14:paraId="2D70D31A" w14:textId="77777777" w:rsidR="00A50B68" w:rsidRPr="001E3DDB" w:rsidRDefault="00A50B68" w:rsidP="00A50B68">
      <w:pPr>
        <w:pStyle w:val="H4G"/>
      </w:pPr>
      <w:r w:rsidRPr="001E3DDB">
        <w:tab/>
      </w:r>
      <w:r w:rsidRPr="001E3DDB">
        <w:tab/>
      </w:r>
      <w:r w:rsidRPr="001E3DDB">
        <w:rPr>
          <w:iCs/>
        </w:rPr>
        <w:t>Центр социальных исследований</w:t>
      </w:r>
    </w:p>
    <w:p w14:paraId="5C5F4EC1" w14:textId="77777777" w:rsidR="00A50B68" w:rsidRPr="001E3DDB" w:rsidRDefault="00573C91" w:rsidP="00A50B68">
      <w:pPr>
        <w:pStyle w:val="SingleTxtG"/>
      </w:pPr>
      <w:r w:rsidRPr="001E3DDB">
        <w:tab/>
      </w:r>
      <w:r w:rsidR="00A50B68" w:rsidRPr="001E3DDB">
        <w:tab/>
        <w:t>a)</w:t>
      </w:r>
      <w:r w:rsidR="00A50B68" w:rsidRPr="001E3DDB">
        <w:tab/>
        <w:t>Рассматриваются меры по предотвращению неправомерного использования законов о богохульстве и злоупотребления ими. Однако никаких конкретных мер принято не было, равно как и не была проведена конкретная оценка эффективности рассматриваемых мер. Меры предосторожности, введенные для предотвращения неправомерного использования законов о богохульстве, недостаточны. Комиссар полиции редко проводит расследования на практике;</w:t>
      </w:r>
    </w:p>
    <w:p w14:paraId="4F5D38CD" w14:textId="77777777" w:rsidR="00A50B68" w:rsidRPr="001E3DDB" w:rsidRDefault="00573C91" w:rsidP="00A50B68">
      <w:pPr>
        <w:pStyle w:val="SingleTxtG"/>
      </w:pPr>
      <w:r w:rsidRPr="001E3DDB">
        <w:tab/>
      </w:r>
      <w:r w:rsidR="00A50B68" w:rsidRPr="001E3DDB">
        <w:tab/>
        <w:t>b)</w:t>
      </w:r>
      <w:r w:rsidR="00A50B68" w:rsidRPr="001E3DDB">
        <w:tab/>
      </w:r>
      <w:r w:rsidRPr="001E3DDB">
        <w:t>в</w:t>
      </w:r>
      <w:r w:rsidR="00A50B68" w:rsidRPr="001E3DDB">
        <w:t xml:space="preserve"> феврале 2017 года Парламент принял поправку, увеличивающую наказание за предъявление ложных обвинений с шести месяцев до пяти</w:t>
      </w:r>
      <w:r w:rsidRPr="001E3DDB">
        <w:t>–</w:t>
      </w:r>
      <w:r w:rsidR="00A50B68" w:rsidRPr="001E3DDB">
        <w:t xml:space="preserve">семи лет. Поправка оказалась неэффективной и не смогла решить проблему неправомерного </w:t>
      </w:r>
      <w:r w:rsidR="00A50B68" w:rsidRPr="001E3DDB">
        <w:lastRenderedPageBreak/>
        <w:t>использования законов о богохульстве, как это было в ряде случаев со времени вступления в силу нового закона;</w:t>
      </w:r>
    </w:p>
    <w:p w14:paraId="4658DF86" w14:textId="77777777" w:rsidR="00A50B68" w:rsidRPr="001E3DDB" w:rsidRDefault="00573C91" w:rsidP="00A50B68">
      <w:pPr>
        <w:pStyle w:val="SingleTxtG"/>
      </w:pPr>
      <w:r w:rsidRPr="001E3DDB">
        <w:tab/>
      </w:r>
      <w:r w:rsidR="00A50B68" w:rsidRPr="001E3DDB">
        <w:tab/>
        <w:t>c)</w:t>
      </w:r>
      <w:r w:rsidR="00A50B68" w:rsidRPr="001E3DDB">
        <w:tab/>
      </w:r>
      <w:r w:rsidRPr="001E3DDB">
        <w:t>п</w:t>
      </w:r>
      <w:r w:rsidR="00A50B68" w:rsidRPr="001E3DDB">
        <w:t>о меньшей мере 75 человек были убиты без суда и следствия в связи с предполагаемым богохульством вплоть до 2017 года в условиях безнаказанности. Другие были задержаны и часто содержались в одиночных камерах;</w:t>
      </w:r>
    </w:p>
    <w:p w14:paraId="5A83E35B" w14:textId="77777777" w:rsidR="00A50B68" w:rsidRPr="001E3DDB" w:rsidRDefault="00573C91" w:rsidP="00A50B68">
      <w:pPr>
        <w:pStyle w:val="SingleTxtG"/>
      </w:pPr>
      <w:r w:rsidRPr="001E3DDB">
        <w:tab/>
      </w:r>
      <w:r w:rsidR="00A50B68" w:rsidRPr="001E3DDB">
        <w:tab/>
        <w:t>d)</w:t>
      </w:r>
      <w:r w:rsidR="00A50B68" w:rsidRPr="001E3DDB">
        <w:tab/>
      </w:r>
      <w:r w:rsidRPr="001E3DDB">
        <w:t>п</w:t>
      </w:r>
      <w:r w:rsidR="00A50B68" w:rsidRPr="001E3DDB">
        <w:t>роцесс осуществления действий, конкретно направленных на борьбу с ненавистью и религиозными преследованиями, остается относительно слабым и нужд</w:t>
      </w:r>
      <w:r w:rsidRPr="001E3DDB">
        <w:t>а</w:t>
      </w:r>
      <w:r w:rsidR="00A50B68" w:rsidRPr="001E3DDB">
        <w:t>ется в улучшении. Действия правительства в соответствии с Законом о рациональной системе (нормативные акты), введенным в действие в провинциях и федеральных территориях в 2015 году, утратили свою динамику;</w:t>
      </w:r>
    </w:p>
    <w:p w14:paraId="10B6056F" w14:textId="77777777" w:rsidR="00A50B68" w:rsidRPr="001E3DDB" w:rsidRDefault="00573C91" w:rsidP="00A50B68">
      <w:pPr>
        <w:pStyle w:val="SingleTxtG"/>
      </w:pPr>
      <w:r w:rsidRPr="001E3DDB">
        <w:tab/>
      </w:r>
      <w:r w:rsidR="00A50B68" w:rsidRPr="001E3DDB">
        <w:tab/>
        <w:t>e)</w:t>
      </w:r>
      <w:r w:rsidR="00A50B68" w:rsidRPr="001E3DDB">
        <w:tab/>
      </w:r>
      <w:r w:rsidRPr="001E3DDB">
        <w:t>ф</w:t>
      </w:r>
      <w:r w:rsidR="00A50B68" w:rsidRPr="001E3DDB">
        <w:t>едеральное правительство и правительство Пенджаба приняли законы, в соответствии с которыми преподавание Корана является обязательным для учащихся государственных школ с первого по двенадцатый класс на начальном и среднем уровнях. Однако студентам из числа религиозных меньшинств была предоставлена возможность вместо этого изучать свою религию. Государство-участник обязалось регулировать деятельность религиозных семинарий. Вместе с тем отмечается слабый прогресс, особенно в осуществлении Национального плана действий;</w:t>
      </w:r>
    </w:p>
    <w:p w14:paraId="31FB31F7" w14:textId="77777777" w:rsidR="00A50B68" w:rsidRPr="001E3DDB" w:rsidRDefault="00573C91" w:rsidP="00A50B68">
      <w:pPr>
        <w:pStyle w:val="SingleTxtG"/>
      </w:pPr>
      <w:r w:rsidRPr="001E3DDB">
        <w:tab/>
      </w:r>
      <w:r w:rsidR="00A50B68" w:rsidRPr="001E3DDB">
        <w:tab/>
        <w:t>f)</w:t>
      </w:r>
      <w:r w:rsidR="00A50B68" w:rsidRPr="001E3DDB">
        <w:tab/>
      </w:r>
      <w:r w:rsidRPr="001E3DDB">
        <w:t>в</w:t>
      </w:r>
      <w:r w:rsidR="00A50B68" w:rsidRPr="001E3DDB">
        <w:t xml:space="preserve"> выполнении решения Верховного суда от 19 июня 2014 года достигнут весьма незначительный прогресс. Федеральным правительством и правительствами провинций не были осуществлены наиболее важные меры, предписанные судом, а</w:t>
      </w:r>
      <w:r w:rsidR="003C0A4E">
        <w:t> </w:t>
      </w:r>
      <w:r w:rsidR="00A50B68" w:rsidRPr="001E3DDB">
        <w:t xml:space="preserve">именно создание национального совета по делам меньшинств. </w:t>
      </w:r>
    </w:p>
    <w:p w14:paraId="0CB8A4E1" w14:textId="77777777" w:rsidR="00A50B68" w:rsidRPr="001E3DDB" w:rsidRDefault="00A50B68" w:rsidP="00A50B68">
      <w:pPr>
        <w:pStyle w:val="H23G"/>
        <w:rPr>
          <w:rFonts w:eastAsia="SimSun"/>
        </w:rPr>
      </w:pPr>
      <w:r w:rsidRPr="001E3DDB">
        <w:tab/>
      </w:r>
      <w:r w:rsidRPr="001E3DDB">
        <w:tab/>
      </w:r>
      <w:r w:rsidRPr="001E3DDB">
        <w:rPr>
          <w:bCs/>
        </w:rPr>
        <w:t>Оценка Комитета</w:t>
      </w:r>
    </w:p>
    <w:p w14:paraId="2299FE8B" w14:textId="77777777" w:rsidR="00A50B68" w:rsidRPr="001E3DDB" w:rsidRDefault="00A50B68" w:rsidP="00A50B68">
      <w:pPr>
        <w:pStyle w:val="SingleTxtG"/>
      </w:pPr>
      <w:r w:rsidRPr="001E3DDB">
        <w:rPr>
          <w:b/>
          <w:bCs/>
        </w:rPr>
        <w:t>[C]</w:t>
      </w:r>
      <w:r w:rsidRPr="001E3DDB">
        <w:t xml:space="preserve"> a), b), c), d) и f): Комитет принимает к сведению меры, принятые для выявления недостатков и неправомерного применения законов о богохульстве, но ему требуется информация о том, когда и в какой степени проводились консультации с заинтересованными сторонами, а также о выводах, сделанных в процессе консультаций. Комитет также нуждается в информации о конкретных мерах, принятых с целью отмены всех законов о богохульстве или внесения в них поправок в соответствии со строгими требованиями Пакта за период после принятия заключительных замечаний Комитета. </w:t>
      </w:r>
    </w:p>
    <w:p w14:paraId="08C6D3D2" w14:textId="77777777" w:rsidR="00A50B68" w:rsidRPr="001E3DDB" w:rsidRDefault="00573C91" w:rsidP="00A50B68">
      <w:pPr>
        <w:pStyle w:val="SingleTxtG"/>
      </w:pPr>
      <w:r w:rsidRPr="001E3DDB">
        <w:tab/>
      </w:r>
      <w:r w:rsidR="00A50B68" w:rsidRPr="001E3DDB">
        <w:tab/>
        <w:t>Комитет принимает к сведению информацию, представленную государством-участником, но сожалеет об отсутствии информации о реализации мер после принятия заключительных замечаний Комитета. В этой связи Комитет просит представить информацию об осуществлении законодательной поправки от 2017 года, которая увеличила срок наказания за предъявление ложных обвинений с шести месяцев до пяти</w:t>
      </w:r>
      <w:r w:rsidR="003C0A4E">
        <w:t>–</w:t>
      </w:r>
      <w:r w:rsidR="00A50B68" w:rsidRPr="001E3DDB">
        <w:t xml:space="preserve">семи лет. Ему также требуется информация о мерах, принятых для обеспечения того, чтобы все лица, которые подстрекают к богохульству или совершают акты насилия в отношении других на основании утверждений о богохульстве, а также лица, которые ложно обвиняют других в богохульстве, были привлечены к судебной ответственности и понесли заслуженное наказание. </w:t>
      </w:r>
    </w:p>
    <w:p w14:paraId="4EB8D10A" w14:textId="77777777" w:rsidR="00A50B68" w:rsidRPr="001E3DDB" w:rsidRDefault="00573C91" w:rsidP="00A50B68">
      <w:pPr>
        <w:pStyle w:val="SingleTxtG"/>
      </w:pPr>
      <w:r w:rsidRPr="001E3DDB">
        <w:tab/>
      </w:r>
      <w:r w:rsidR="00A50B68" w:rsidRPr="001E3DDB">
        <w:tab/>
        <w:t xml:space="preserve">Комитет с озабоченностью отмечает, что, согласно сообщениям, 75 человек были безнаказанно убиты в результате утверждений о богохульстве, и требует представления информации на этот счет. Комитет сожалеет о том, что не было представлено никакой информации о мерах, принятых для обеспечения надлежащей защиты судей, прокуроров, адвокатов и свидетелей, участвующих в делах о богохульстве. Комитет вновь обращается с просьбой о предоставлении информации и повторяет свою рекомендацию. </w:t>
      </w:r>
    </w:p>
    <w:p w14:paraId="23385DDA" w14:textId="77777777" w:rsidR="00A50B68" w:rsidRPr="001E3DDB" w:rsidRDefault="00573C91" w:rsidP="00A50B68">
      <w:pPr>
        <w:pStyle w:val="SingleTxtG"/>
        <w:rPr>
          <w:b/>
        </w:rPr>
      </w:pPr>
      <w:r w:rsidRPr="001E3DDB">
        <w:tab/>
      </w:r>
      <w:r w:rsidR="00A50B68" w:rsidRPr="001E3DDB">
        <w:tab/>
        <w:t xml:space="preserve">Комитет принимает к сведению информацию, представленную государством-участником, но сожалеет об отсутствии информации о реализации мер после принятия заключительных замечаний. Комитет просит представить информацию о мерах, принятых для обеспечения того, чтобы случаи разжигания ненависти и преступлений на почве ненависти тщательно и оперативно расследовались, а виновные привлекались к ответственности и, в случае вынесения обвинительного приговора, наказывались. Комитет просит представить информацию о количестве расследований, судебных </w:t>
      </w:r>
      <w:r w:rsidR="00A50B68" w:rsidRPr="001E3DDB">
        <w:lastRenderedPageBreak/>
        <w:t xml:space="preserve">преследований и обвинительных приговоров, а также о приговорах, вынесенных виновным за последние три года. </w:t>
      </w:r>
    </w:p>
    <w:p w14:paraId="44753947" w14:textId="77777777" w:rsidR="00A50B68" w:rsidRPr="001E3DDB" w:rsidRDefault="00573C91" w:rsidP="00A50B68">
      <w:pPr>
        <w:pStyle w:val="SingleTxtG"/>
        <w:rPr>
          <w:b/>
        </w:rPr>
      </w:pPr>
      <w:r w:rsidRPr="001E3DDB">
        <w:tab/>
      </w:r>
      <w:r w:rsidR="00A50B68" w:rsidRPr="001E3DDB">
        <w:tab/>
        <w:t>Комитет сожалеет об отсутствии конкретной информации о выполнении решения Верховного суда от 19 июня 2014 года. Комитет вновь обращается с просьбой о предоставлении информации и повторяет свою рекомендацию.</w:t>
      </w:r>
    </w:p>
    <w:p w14:paraId="602344C3" w14:textId="77777777" w:rsidR="00A50B68" w:rsidRPr="001E3DDB" w:rsidRDefault="00A50B68" w:rsidP="00A50B68">
      <w:pPr>
        <w:pStyle w:val="SingleTxtG"/>
      </w:pPr>
      <w:r w:rsidRPr="001E3DDB">
        <w:rPr>
          <w:b/>
          <w:bCs/>
        </w:rPr>
        <w:t>[B]</w:t>
      </w:r>
      <w:r w:rsidRPr="001E3DDB">
        <w:t xml:space="preserve"> е): Комитет приветствует принятие единой учебной программы для всех учебных заведений, в том числе для 30 000 медресе, и включение прав человека и терпимости в качестве отдельного предмета в обязательный курс по изучению Пакистана/исламоведению начиная с 2018 учебного года. Комитет просит представить информацию о мерах, принятых для пересмотра школьных учебников с целью изъятия из них всех материалов религиозного содержания, а также о том, применяется ли нынешняя единая учебная программа во всех медресе. </w:t>
      </w:r>
    </w:p>
    <w:p w14:paraId="4411E33A" w14:textId="77777777" w:rsidR="00A50B68" w:rsidRPr="001E3DDB" w:rsidRDefault="00A50B68" w:rsidP="00A50B68">
      <w:pPr>
        <w:pStyle w:val="SingleTxtG"/>
      </w:pPr>
      <w:r w:rsidRPr="001E3DDB">
        <w:rPr>
          <w:b/>
          <w:bCs/>
        </w:rPr>
        <w:t>Рекомендуемые действия</w:t>
      </w:r>
      <w:r w:rsidRPr="001E3DDB">
        <w:t>: следует направить письмо, извещающее государство-участник о прекращении процедуры последующей деятельности. Запрашиваемая информация должна быть включена в следующий периодический доклад государства-участника.</w:t>
      </w:r>
      <w:bookmarkStart w:id="4" w:name="_Toc506807563"/>
    </w:p>
    <w:bookmarkEnd w:id="4"/>
    <w:p w14:paraId="7D47019B" w14:textId="77777777" w:rsidR="00A50B68" w:rsidRPr="001E3DDB" w:rsidRDefault="00A50B68" w:rsidP="00A50B68">
      <w:pPr>
        <w:pStyle w:val="SingleTxtG"/>
        <w:jc w:val="center"/>
        <w:rPr>
          <w:rFonts w:eastAsiaTheme="minorEastAsia"/>
        </w:rPr>
      </w:pPr>
      <w:r w:rsidRPr="001E3DDB">
        <w:rPr>
          <w:u w:val="single"/>
        </w:rPr>
        <w:tab/>
      </w:r>
      <w:r w:rsidRPr="001E3DDB">
        <w:rPr>
          <w:u w:val="single"/>
        </w:rPr>
        <w:tab/>
      </w:r>
      <w:r w:rsidRPr="001E3DDB">
        <w:rPr>
          <w:u w:val="single"/>
        </w:rPr>
        <w:tab/>
      </w:r>
      <w:r w:rsidRPr="001E3DDB">
        <w:rPr>
          <w:u w:val="single"/>
        </w:rPr>
        <w:tab/>
      </w:r>
    </w:p>
    <w:p w14:paraId="281599D6" w14:textId="77777777" w:rsidR="00A50B68" w:rsidRPr="001E3DDB" w:rsidRDefault="00A50B68" w:rsidP="0075523D"/>
    <w:p w14:paraId="5FBB6A67" w14:textId="77777777" w:rsidR="00381C24" w:rsidRPr="001E3DDB" w:rsidRDefault="00381C24" w:rsidP="0075523D"/>
    <w:sectPr w:rsidR="00381C24" w:rsidRPr="001E3DDB" w:rsidSect="00A50B68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7A5F9" w14:textId="77777777" w:rsidR="00F64D30" w:rsidRPr="00A312BC" w:rsidRDefault="00F64D30" w:rsidP="00A312BC"/>
  </w:endnote>
  <w:endnote w:type="continuationSeparator" w:id="0">
    <w:p w14:paraId="23B46D14" w14:textId="77777777" w:rsidR="00F64D30" w:rsidRPr="00A312BC" w:rsidRDefault="00F64D3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277DB" w14:textId="77777777" w:rsidR="00A50B68" w:rsidRPr="00A50B68" w:rsidRDefault="00A50B68">
    <w:pPr>
      <w:pStyle w:val="a8"/>
    </w:pPr>
    <w:r w:rsidRPr="00A50B68">
      <w:rPr>
        <w:b/>
        <w:sz w:val="18"/>
      </w:rPr>
      <w:fldChar w:fldCharType="begin"/>
    </w:r>
    <w:r w:rsidRPr="00A50B68">
      <w:rPr>
        <w:b/>
        <w:sz w:val="18"/>
      </w:rPr>
      <w:instrText xml:space="preserve"> PAGE  \* MERGEFORMAT </w:instrText>
    </w:r>
    <w:r w:rsidRPr="00A50B68">
      <w:rPr>
        <w:b/>
        <w:sz w:val="18"/>
      </w:rPr>
      <w:fldChar w:fldCharType="separate"/>
    </w:r>
    <w:r w:rsidRPr="00A50B68">
      <w:rPr>
        <w:b/>
        <w:noProof/>
        <w:sz w:val="18"/>
      </w:rPr>
      <w:t>2</w:t>
    </w:r>
    <w:r w:rsidRPr="00A50B68">
      <w:rPr>
        <w:b/>
        <w:sz w:val="18"/>
      </w:rPr>
      <w:fldChar w:fldCharType="end"/>
    </w:r>
    <w:r>
      <w:rPr>
        <w:b/>
        <w:sz w:val="18"/>
      </w:rPr>
      <w:tab/>
    </w:r>
    <w:r>
      <w:t>GE.20-01301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82128" w14:textId="77777777" w:rsidR="00A50B68" w:rsidRPr="00A50B68" w:rsidRDefault="00A50B68" w:rsidP="00A50B68">
    <w:pPr>
      <w:pStyle w:val="a8"/>
      <w:tabs>
        <w:tab w:val="clear" w:pos="9639"/>
        <w:tab w:val="right" w:pos="9638"/>
      </w:tabs>
      <w:rPr>
        <w:b/>
        <w:sz w:val="18"/>
      </w:rPr>
    </w:pPr>
    <w:r>
      <w:t>GE.20-01301</w:t>
    </w:r>
    <w:r>
      <w:tab/>
    </w:r>
    <w:r w:rsidRPr="00A50B68">
      <w:rPr>
        <w:b/>
        <w:sz w:val="18"/>
      </w:rPr>
      <w:fldChar w:fldCharType="begin"/>
    </w:r>
    <w:r w:rsidRPr="00A50B68">
      <w:rPr>
        <w:b/>
        <w:sz w:val="18"/>
      </w:rPr>
      <w:instrText xml:space="preserve"> PAGE  \* MERGEFORMAT </w:instrText>
    </w:r>
    <w:r w:rsidRPr="00A50B68">
      <w:rPr>
        <w:b/>
        <w:sz w:val="18"/>
      </w:rPr>
      <w:fldChar w:fldCharType="separate"/>
    </w:r>
    <w:r w:rsidRPr="00A50B68">
      <w:rPr>
        <w:b/>
        <w:noProof/>
        <w:sz w:val="18"/>
      </w:rPr>
      <w:t>3</w:t>
    </w:r>
    <w:r w:rsidRPr="00A50B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B65D1" w14:textId="79447D4F" w:rsidR="00042B72" w:rsidRPr="00A50B68" w:rsidRDefault="00A50B68" w:rsidP="00A50B6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7F480C2" wp14:editId="09FC653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20-01301  (R)</w:t>
    </w:r>
    <w:r>
      <w:rPr>
        <w:lang w:val="en-US"/>
      </w:rPr>
      <w:t xml:space="preserve">   020320  0</w:t>
    </w:r>
    <w:r w:rsidR="00A82036">
      <w:t>3</w:t>
    </w:r>
    <w:r>
      <w:rPr>
        <w:lang w:val="en-US"/>
      </w:rPr>
      <w:t>0320</w:t>
    </w:r>
    <w:r>
      <w:br/>
    </w:r>
    <w:r w:rsidRPr="00A50B68">
      <w:rPr>
        <w:rFonts w:ascii="C39T30Lfz" w:hAnsi="C39T30Lfz"/>
        <w:kern w:val="14"/>
        <w:sz w:val="56"/>
      </w:rPr>
      <w:t></w:t>
    </w:r>
    <w:r w:rsidRPr="00A50B68">
      <w:rPr>
        <w:rFonts w:ascii="C39T30Lfz" w:hAnsi="C39T30Lfz"/>
        <w:kern w:val="14"/>
        <w:sz w:val="56"/>
      </w:rPr>
      <w:t></w:t>
    </w:r>
    <w:r w:rsidRPr="00A50B68">
      <w:rPr>
        <w:rFonts w:ascii="C39T30Lfz" w:hAnsi="C39T30Lfz"/>
        <w:kern w:val="14"/>
        <w:sz w:val="56"/>
      </w:rPr>
      <w:t></w:t>
    </w:r>
    <w:r w:rsidRPr="00A50B68">
      <w:rPr>
        <w:rFonts w:ascii="C39T30Lfz" w:hAnsi="C39T30Lfz"/>
        <w:kern w:val="14"/>
        <w:sz w:val="56"/>
      </w:rPr>
      <w:t></w:t>
    </w:r>
    <w:r w:rsidRPr="00A50B68">
      <w:rPr>
        <w:rFonts w:ascii="C39T30Lfz" w:hAnsi="C39T30Lfz"/>
        <w:kern w:val="14"/>
        <w:sz w:val="56"/>
      </w:rPr>
      <w:t></w:t>
    </w:r>
    <w:r w:rsidRPr="00A50B68">
      <w:rPr>
        <w:rFonts w:ascii="C39T30Lfz" w:hAnsi="C39T30Lfz"/>
        <w:kern w:val="14"/>
        <w:sz w:val="56"/>
      </w:rPr>
      <w:t></w:t>
    </w:r>
    <w:r w:rsidRPr="00A50B68">
      <w:rPr>
        <w:rFonts w:ascii="C39T30Lfz" w:hAnsi="C39T30Lfz"/>
        <w:kern w:val="14"/>
        <w:sz w:val="56"/>
      </w:rPr>
      <w:t></w:t>
    </w:r>
    <w:r w:rsidRPr="00A50B68">
      <w:rPr>
        <w:rFonts w:ascii="C39T30Lfz" w:hAnsi="C39T30Lfz"/>
        <w:kern w:val="14"/>
        <w:sz w:val="56"/>
      </w:rPr>
      <w:t></w:t>
    </w:r>
    <w:r w:rsidRPr="00A50B68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2C31D62" wp14:editId="024B19D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CPR/C/127/2/Ad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7/2/Ad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B361E" w14:textId="77777777" w:rsidR="00F64D30" w:rsidRPr="001075E9" w:rsidRDefault="00F64D3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067914" w14:textId="77777777" w:rsidR="00F64D30" w:rsidRDefault="00F64D3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62BDDEC" w14:textId="77777777" w:rsidR="00A50B68" w:rsidRPr="004E24B0" w:rsidRDefault="00A50B68" w:rsidP="00A50B68">
      <w:pPr>
        <w:pStyle w:val="ad"/>
      </w:pPr>
      <w:r>
        <w:tab/>
        <w:t>*</w:t>
      </w:r>
      <w:r>
        <w:tab/>
        <w:t>Принят Комитетом на его 127-й сессии (14 октября – 8 ноября 2019 года).</w:t>
      </w:r>
    </w:p>
  </w:footnote>
  <w:footnote w:id="2">
    <w:p w14:paraId="2BED67C7" w14:textId="77777777" w:rsidR="00A50B68" w:rsidRPr="00A50B68" w:rsidRDefault="00A50B68" w:rsidP="00A50B68">
      <w:pPr>
        <w:pStyle w:val="ad"/>
        <w:rPr>
          <w:lang w:val="en-US"/>
        </w:rPr>
      </w:pPr>
      <w:r w:rsidRPr="002415BC">
        <w:tab/>
      </w:r>
      <w:r>
        <w:rPr>
          <w:rStyle w:val="aa"/>
        </w:rPr>
        <w:footnoteRef/>
      </w:r>
      <w:r w:rsidRPr="00A50B68">
        <w:rPr>
          <w:lang w:val="en-US"/>
        </w:rPr>
        <w:tab/>
        <w:t>See https://tbinternet.ohchr.org/_layouts/15/treatybodyexternal/Download.aspx?symbolno=</w:t>
      </w:r>
      <w:r w:rsidRPr="00A50B68">
        <w:rPr>
          <w:lang w:val="en-US"/>
        </w:rPr>
        <w:br/>
        <w:t>INT%2fCCPR%2fNGS%2fPAK%2f35871&amp;Lang=</w:t>
      </w:r>
      <w:proofErr w:type="spellStart"/>
      <w:r w:rsidRPr="00A50B68">
        <w:rPr>
          <w:lang w:val="en-US"/>
        </w:rPr>
        <w:t>en</w:t>
      </w:r>
      <w:proofErr w:type="spellEnd"/>
      <w:r w:rsidRPr="00A50B68">
        <w:rPr>
          <w:lang w:val="en-US"/>
        </w:rPr>
        <w:t>.</w:t>
      </w:r>
    </w:p>
  </w:footnote>
  <w:footnote w:id="3">
    <w:p w14:paraId="4DB2FAE2" w14:textId="77777777" w:rsidR="00A50B68" w:rsidRPr="00A50B68" w:rsidRDefault="00A50B68" w:rsidP="00A50B68">
      <w:pPr>
        <w:pStyle w:val="ad"/>
        <w:rPr>
          <w:lang w:val="en-US"/>
        </w:rPr>
      </w:pPr>
      <w:r w:rsidRPr="00A50B68">
        <w:rPr>
          <w:lang w:val="en-US"/>
        </w:rPr>
        <w:tab/>
      </w:r>
      <w:r>
        <w:rPr>
          <w:rStyle w:val="aa"/>
        </w:rPr>
        <w:footnoteRef/>
      </w:r>
      <w:r w:rsidRPr="00A50B68">
        <w:rPr>
          <w:lang w:val="en-US"/>
        </w:rPr>
        <w:tab/>
        <w:t>See https://tbinternet.ohchr.org/_layouts/15/treatybodyexternal/Download.aspx?</w:t>
      </w:r>
      <w:r w:rsidRPr="00A50B68">
        <w:rPr>
          <w:lang w:val="en-US"/>
        </w:rPr>
        <w:br/>
        <w:t>symbolno=INT%2fCCPR%2fNGS%2fPAK%2f37168&amp;Lang=en.</w:t>
      </w:r>
    </w:p>
  </w:footnote>
  <w:footnote w:id="4">
    <w:p w14:paraId="664F95C7" w14:textId="77777777" w:rsidR="00A50B68" w:rsidRPr="002A7C04" w:rsidRDefault="00A50B68" w:rsidP="00A50B68">
      <w:pPr>
        <w:pStyle w:val="ad"/>
        <w:rPr>
          <w:lang w:val="fr-CH"/>
        </w:rPr>
      </w:pPr>
      <w:r w:rsidRPr="00A50B68">
        <w:rPr>
          <w:lang w:val="en-US"/>
        </w:rPr>
        <w:tab/>
      </w:r>
      <w:r>
        <w:rPr>
          <w:rStyle w:val="aa"/>
        </w:rPr>
        <w:footnoteRef/>
      </w:r>
      <w:r w:rsidRPr="002A7C04">
        <w:rPr>
          <w:lang w:val="fr-CH"/>
        </w:rPr>
        <w:tab/>
      </w:r>
      <w:hyperlink r:id="rId1" w:history="1">
        <w:r w:rsidRPr="002A7C04">
          <w:rPr>
            <w:rStyle w:val="af1"/>
            <w:lang w:val="fr-CH" w:eastAsia="en-US"/>
          </w:rPr>
          <w:t>https://tbinternet.ohchr.org/_layouts/15/treatybodyexternal/Download.aspx?symbolno= INT%2fCCPR%2fNGS%2fPAK%2f37401&amp;Lang=en</w:t>
        </w:r>
      </w:hyperlink>
      <w:r w:rsidRPr="002A7C04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D258" w14:textId="698E03DD" w:rsidR="00A50B68" w:rsidRPr="00A50B68" w:rsidRDefault="0000598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CCPR/C/127/2/Add.2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3D18" w14:textId="464E6DA3" w:rsidR="00A50B68" w:rsidRPr="00A50B68" w:rsidRDefault="0000598A" w:rsidP="00A50B6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CCPR/C/127/2/Add.2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30"/>
    <w:rsid w:val="0000598A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1E3DDB"/>
    <w:rsid w:val="00254812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A5017"/>
    <w:rsid w:val="003B00E5"/>
    <w:rsid w:val="003C0A4E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73C91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825F8D"/>
    <w:rsid w:val="00834B71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918E2"/>
    <w:rsid w:val="009A24AC"/>
    <w:rsid w:val="009D21FD"/>
    <w:rsid w:val="00A14DA8"/>
    <w:rsid w:val="00A312BC"/>
    <w:rsid w:val="00A34D07"/>
    <w:rsid w:val="00A50B68"/>
    <w:rsid w:val="00A82036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1A00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E19BD"/>
    <w:rsid w:val="00EF1360"/>
    <w:rsid w:val="00EF3220"/>
    <w:rsid w:val="00F43903"/>
    <w:rsid w:val="00F64D30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3BB559"/>
  <w15:docId w15:val="{10CD01B3-FF4E-4703-8024-C0DAF967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A50B68"/>
    <w:rPr>
      <w:lang w:val="ru-RU" w:eastAsia="en-US"/>
    </w:rPr>
  </w:style>
  <w:style w:type="paragraph" w:customStyle="1" w:styleId="SingleTxtGR">
    <w:name w:val="_ Single Txt_GR"/>
    <w:basedOn w:val="a"/>
    <w:qFormat/>
    <w:rsid w:val="00A50B68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character" w:styleId="af3">
    <w:name w:val="Unresolved Mention"/>
    <w:basedOn w:val="a0"/>
    <w:uiPriority w:val="99"/>
    <w:semiHidden/>
    <w:unhideWhenUsed/>
    <w:rsid w:val="001E3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undocs.org/ru/CCPR/C/PAK/Q/1/Add.1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undocs.org/ru/CCPR/C/127/2/Add.2" TargetMode="External"/><Relationship Id="rId12" Type="http://schemas.openxmlformats.org/officeDocument/2006/relationships/hyperlink" Target="http://undocs.org/ru/CCPR/C/PAK/Q/1/Add.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ndocs.org/ru/CCPR/C/PAK/Q/1/Add.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undocs.org/ru/CCPR/C/PAK/CO/1/Add.1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undocs.org/ru/CCPR/C/PAK/CO/1" TargetMode="External"/><Relationship Id="rId14" Type="http://schemas.openxmlformats.org/officeDocument/2006/relationships/hyperlink" Target="http://undocs.org/ru/CCPR/C/PAK/Q/1/Add.1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binternet.ohchr.org/_layouts/15/treatybodyexternal/Download.aspx?symbolno=%20INT%2fCCPR%2fNGS%2fPAK%2f37401&amp;Lang=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8</Pages>
  <Words>3168</Words>
  <Characters>21575</Characters>
  <Application>Microsoft Office Word</Application>
  <DocSecurity>0</DocSecurity>
  <Lines>385</Lines>
  <Paragraphs>94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CCPR/C/127/2/Add.2</vt:lpstr>
      <vt:lpstr>A/</vt:lpstr>
      <vt:lpstr>A/</vt:lpstr>
    </vt:vector>
  </TitlesOfParts>
  <Company>DCM</Company>
  <LinksUpToDate>false</LinksUpToDate>
  <CharactersWithSpaces>24649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CCPR/C/127/2/Add.2</dc:title>
  <dc:subject/>
  <dc:creator>Anna BLAGODATSKIKH</dc:creator>
  <cp:keywords/>
  <cp:lastModifiedBy>Anna Blagodatskikh</cp:lastModifiedBy>
  <cp:revision>3</cp:revision>
  <cp:lastPrinted>2020-03-03T07:20:00Z</cp:lastPrinted>
  <dcterms:created xsi:type="dcterms:W3CDTF">2020-03-03T07:20:00Z</dcterms:created>
  <dcterms:modified xsi:type="dcterms:W3CDTF">2020-03-03T07:21:00Z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