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B98A97A" w14:textId="77777777" w:rsidTr="00BC3629">
        <w:trPr>
          <w:trHeight w:hRule="exact" w:val="851"/>
        </w:trPr>
        <w:tc>
          <w:tcPr>
            <w:tcW w:w="142" w:type="dxa"/>
            <w:tcBorders>
              <w:bottom w:val="single" w:sz="4" w:space="0" w:color="auto"/>
            </w:tcBorders>
          </w:tcPr>
          <w:p w14:paraId="05130916" w14:textId="77777777" w:rsidR="002D5AAC" w:rsidRDefault="002D5AAC" w:rsidP="003500D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65033C2"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DDE7E1C" w14:textId="3EEF88DE" w:rsidR="002D5AAC" w:rsidRDefault="003500D5" w:rsidP="003500D5">
            <w:pPr>
              <w:jc w:val="right"/>
            </w:pPr>
            <w:r w:rsidRPr="003500D5">
              <w:rPr>
                <w:sz w:val="40"/>
              </w:rPr>
              <w:t>CCPR</w:t>
            </w:r>
            <w:r>
              <w:t>/C/129/D/2503/2014</w:t>
            </w:r>
          </w:p>
        </w:tc>
      </w:tr>
      <w:tr w:rsidR="002D5AAC" w:rsidRPr="00444816" w14:paraId="3C8FD585" w14:textId="77777777" w:rsidTr="00BC3629">
        <w:trPr>
          <w:trHeight w:hRule="exact" w:val="2835"/>
        </w:trPr>
        <w:tc>
          <w:tcPr>
            <w:tcW w:w="1280" w:type="dxa"/>
            <w:gridSpan w:val="2"/>
            <w:tcBorders>
              <w:top w:val="single" w:sz="4" w:space="0" w:color="auto"/>
              <w:bottom w:val="single" w:sz="12" w:space="0" w:color="auto"/>
            </w:tcBorders>
          </w:tcPr>
          <w:p w14:paraId="1AAA74BB" w14:textId="77777777" w:rsidR="002D5AAC" w:rsidRDefault="002E5067" w:rsidP="00BC3629">
            <w:pPr>
              <w:spacing w:before="120"/>
              <w:jc w:val="center"/>
            </w:pPr>
            <w:r>
              <w:rPr>
                <w:noProof/>
                <w:lang w:val="fr-CH" w:eastAsia="fr-CH"/>
              </w:rPr>
              <w:drawing>
                <wp:inline distT="0" distB="0" distL="0" distR="0" wp14:anchorId="7D16E6F9" wp14:editId="72A7E54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84CE16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C2E3B29" w14:textId="77777777" w:rsidR="002D5AAC" w:rsidRPr="00444816" w:rsidRDefault="003500D5" w:rsidP="00BC3629">
            <w:pPr>
              <w:spacing w:before="240"/>
              <w:rPr>
                <w:lang w:val="en-US"/>
              </w:rPr>
            </w:pPr>
            <w:r w:rsidRPr="00444816">
              <w:rPr>
                <w:lang w:val="en-US"/>
              </w:rPr>
              <w:t>Distr.: General</w:t>
            </w:r>
          </w:p>
          <w:p w14:paraId="7F731FD7" w14:textId="77777777" w:rsidR="003500D5" w:rsidRPr="00444816" w:rsidRDefault="003500D5" w:rsidP="003500D5">
            <w:pPr>
              <w:spacing w:line="240" w:lineRule="exact"/>
              <w:rPr>
                <w:lang w:val="en-US"/>
              </w:rPr>
            </w:pPr>
            <w:r w:rsidRPr="00444816">
              <w:rPr>
                <w:lang w:val="en-US"/>
              </w:rPr>
              <w:t>10 March 2021</w:t>
            </w:r>
          </w:p>
          <w:p w14:paraId="4EE0CBCC" w14:textId="77777777" w:rsidR="003500D5" w:rsidRPr="00444816" w:rsidRDefault="003500D5" w:rsidP="003500D5">
            <w:pPr>
              <w:spacing w:line="240" w:lineRule="exact"/>
              <w:rPr>
                <w:lang w:val="en-US"/>
              </w:rPr>
            </w:pPr>
            <w:r w:rsidRPr="00444816">
              <w:rPr>
                <w:lang w:val="en-US"/>
              </w:rPr>
              <w:t>Russian</w:t>
            </w:r>
          </w:p>
          <w:p w14:paraId="586F2FF6" w14:textId="43463453" w:rsidR="003500D5" w:rsidRPr="00444816" w:rsidRDefault="003500D5" w:rsidP="003500D5">
            <w:pPr>
              <w:spacing w:line="240" w:lineRule="exact"/>
              <w:rPr>
                <w:lang w:val="en-US"/>
              </w:rPr>
            </w:pPr>
            <w:r w:rsidRPr="00444816">
              <w:rPr>
                <w:lang w:val="en-US"/>
              </w:rPr>
              <w:t>Original: English</w:t>
            </w:r>
          </w:p>
        </w:tc>
      </w:tr>
    </w:tbl>
    <w:p w14:paraId="74FF3165" w14:textId="160593A4" w:rsidR="003500D5" w:rsidRDefault="003500D5" w:rsidP="003500D5">
      <w:pPr>
        <w:spacing w:before="120"/>
      </w:pPr>
      <w:r w:rsidRPr="00597900">
        <w:rPr>
          <w:b/>
          <w:bCs/>
          <w:sz w:val="24"/>
          <w:szCs w:val="24"/>
        </w:rPr>
        <w:t>Комитет по правам человека</w:t>
      </w:r>
    </w:p>
    <w:p w14:paraId="7E639F08" w14:textId="5C24B689" w:rsidR="003500D5" w:rsidRPr="0064331C" w:rsidRDefault="003500D5" w:rsidP="00EE1785">
      <w:pPr>
        <w:pStyle w:val="HChG"/>
      </w:pPr>
      <w:r w:rsidRPr="00597900">
        <w:tab/>
      </w:r>
      <w:r w:rsidRPr="00597900">
        <w:tab/>
        <w:t>Соображения, принятые Комитетом в соответствии со</w:t>
      </w:r>
      <w:r>
        <w:rPr>
          <w:lang w:val="en-US"/>
        </w:rPr>
        <w:t> </w:t>
      </w:r>
      <w:r w:rsidRPr="00597900">
        <w:t>статьей 5, пункт 4</w:t>
      </w:r>
      <w:r w:rsidR="00EE1785">
        <w:t>,</w:t>
      </w:r>
      <w:r w:rsidRPr="00597900">
        <w:t xml:space="preserve"> Факультативного протокола в</w:t>
      </w:r>
      <w:r>
        <w:rPr>
          <w:lang w:val="en-US"/>
        </w:rPr>
        <w:t> </w:t>
      </w:r>
      <w:r w:rsidRPr="00597900">
        <w:t>отношении сообщения № 2503/2014</w:t>
      </w:r>
      <w:r w:rsidRPr="003500D5">
        <w:rPr>
          <w:b w:val="0"/>
          <w:bCs/>
          <w:color w:val="1D1B11" w:themeColor="background2" w:themeShade="1A"/>
          <w:sz w:val="20"/>
        </w:rPr>
        <w:footnoteReference w:customMarkFollows="1" w:id="1"/>
        <w:t xml:space="preserve">* </w:t>
      </w:r>
      <w:r w:rsidRPr="003500D5">
        <w:rPr>
          <w:b w:val="0"/>
          <w:bCs/>
          <w:color w:val="1D1B11" w:themeColor="background2" w:themeShade="1A"/>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500D5" w:rsidRPr="0064331C" w14:paraId="28239385" w14:textId="77777777" w:rsidTr="00EE1785">
        <w:tc>
          <w:tcPr>
            <w:tcW w:w="2936" w:type="dxa"/>
            <w:hideMark/>
          </w:tcPr>
          <w:p w14:paraId="4ED904A5" w14:textId="2A3901AE" w:rsidR="003500D5" w:rsidRPr="0064331C" w:rsidRDefault="00EE1785">
            <w:pPr>
              <w:spacing w:after="120"/>
              <w:ind w:left="35"/>
              <w:rPr>
                <w:i/>
                <w:spacing w:val="4"/>
                <w:w w:val="103"/>
                <w:kern w:val="14"/>
              </w:rPr>
            </w:pPr>
            <w:r>
              <w:rPr>
                <w:i/>
              </w:rPr>
              <w:t>Сообщение п</w:t>
            </w:r>
            <w:r w:rsidR="003500D5" w:rsidRPr="0064331C">
              <w:rPr>
                <w:i/>
              </w:rPr>
              <w:t>редставлено:</w:t>
            </w:r>
          </w:p>
        </w:tc>
        <w:tc>
          <w:tcPr>
            <w:tcW w:w="3874" w:type="dxa"/>
          </w:tcPr>
          <w:p w14:paraId="769408D4" w14:textId="681F32C1" w:rsidR="003500D5" w:rsidRPr="0064331C" w:rsidRDefault="00EE1785">
            <w:pPr>
              <w:spacing w:after="120"/>
            </w:pPr>
            <w:r w:rsidRPr="00EE1785">
              <w:t>Бахытжан Торегожиной (адвокатом не</w:t>
            </w:r>
            <w:r w:rsidR="001644EA">
              <w:t> </w:t>
            </w:r>
            <w:r w:rsidRPr="00EE1785">
              <w:t>представлена)</w:t>
            </w:r>
          </w:p>
        </w:tc>
      </w:tr>
      <w:tr w:rsidR="003500D5" w:rsidRPr="0064331C" w14:paraId="781BE84B" w14:textId="77777777" w:rsidTr="00EE1785">
        <w:tc>
          <w:tcPr>
            <w:tcW w:w="2936" w:type="dxa"/>
            <w:hideMark/>
          </w:tcPr>
          <w:p w14:paraId="77DF1B5F" w14:textId="77777777" w:rsidR="003500D5" w:rsidRPr="0064331C" w:rsidRDefault="003500D5">
            <w:pPr>
              <w:spacing w:after="120"/>
              <w:ind w:left="35"/>
              <w:rPr>
                <w:i/>
              </w:rPr>
            </w:pPr>
            <w:r w:rsidRPr="0064331C">
              <w:rPr>
                <w:i/>
              </w:rPr>
              <w:t>Предполагаемая жертва:</w:t>
            </w:r>
          </w:p>
        </w:tc>
        <w:tc>
          <w:tcPr>
            <w:tcW w:w="3874" w:type="dxa"/>
          </w:tcPr>
          <w:p w14:paraId="452A0558" w14:textId="1FB3184B" w:rsidR="003500D5" w:rsidRPr="0064331C" w:rsidRDefault="00EE1785">
            <w:pPr>
              <w:spacing w:after="120"/>
            </w:pPr>
            <w:r>
              <w:t>автор</w:t>
            </w:r>
          </w:p>
        </w:tc>
      </w:tr>
      <w:tr w:rsidR="003500D5" w:rsidRPr="0064331C" w14:paraId="4FF55DE2" w14:textId="77777777" w:rsidTr="00EE1785">
        <w:tc>
          <w:tcPr>
            <w:tcW w:w="2936" w:type="dxa"/>
            <w:hideMark/>
          </w:tcPr>
          <w:p w14:paraId="61AB7197" w14:textId="77777777" w:rsidR="003500D5" w:rsidRPr="0064331C" w:rsidRDefault="003500D5">
            <w:pPr>
              <w:spacing w:after="120"/>
              <w:ind w:left="35"/>
              <w:rPr>
                <w:i/>
              </w:rPr>
            </w:pPr>
            <w:r w:rsidRPr="0064331C">
              <w:rPr>
                <w:i/>
              </w:rPr>
              <w:t>Государство-участник:</w:t>
            </w:r>
          </w:p>
        </w:tc>
        <w:tc>
          <w:tcPr>
            <w:tcW w:w="3874" w:type="dxa"/>
          </w:tcPr>
          <w:p w14:paraId="0931A0E0" w14:textId="5BD941AE" w:rsidR="003500D5" w:rsidRPr="0064331C" w:rsidRDefault="00EE1785">
            <w:pPr>
              <w:spacing w:after="120"/>
            </w:pPr>
            <w:r>
              <w:t>Казахстан</w:t>
            </w:r>
          </w:p>
        </w:tc>
      </w:tr>
      <w:tr w:rsidR="003500D5" w:rsidRPr="0064331C" w14:paraId="41B76100" w14:textId="77777777" w:rsidTr="00EE1785">
        <w:tc>
          <w:tcPr>
            <w:tcW w:w="2936" w:type="dxa"/>
            <w:hideMark/>
          </w:tcPr>
          <w:p w14:paraId="131F7CE6" w14:textId="77777777" w:rsidR="003500D5" w:rsidRPr="0064331C" w:rsidRDefault="003500D5">
            <w:pPr>
              <w:spacing w:after="120"/>
              <w:ind w:left="35"/>
              <w:rPr>
                <w:i/>
              </w:rPr>
            </w:pPr>
            <w:r w:rsidRPr="0064331C">
              <w:rPr>
                <w:i/>
              </w:rPr>
              <w:t>Дата сообщения:</w:t>
            </w:r>
          </w:p>
        </w:tc>
        <w:tc>
          <w:tcPr>
            <w:tcW w:w="3874" w:type="dxa"/>
          </w:tcPr>
          <w:p w14:paraId="3A073635" w14:textId="6BF9BFDC" w:rsidR="003500D5" w:rsidRPr="0064331C" w:rsidRDefault="00EE1785">
            <w:pPr>
              <w:spacing w:after="120"/>
            </w:pPr>
            <w:r w:rsidRPr="00EE1785">
              <w:t>13 июня 2014 года (первоначальное представление)</w:t>
            </w:r>
          </w:p>
        </w:tc>
      </w:tr>
      <w:tr w:rsidR="003500D5" w:rsidRPr="0064331C" w14:paraId="4373332C" w14:textId="77777777" w:rsidTr="00EE1785">
        <w:tc>
          <w:tcPr>
            <w:tcW w:w="2936" w:type="dxa"/>
            <w:hideMark/>
          </w:tcPr>
          <w:p w14:paraId="33111D5C" w14:textId="77777777" w:rsidR="003500D5" w:rsidRPr="0064331C" w:rsidRDefault="003500D5">
            <w:pPr>
              <w:spacing w:after="120"/>
              <w:ind w:left="35"/>
              <w:rPr>
                <w:i/>
              </w:rPr>
            </w:pPr>
            <w:r w:rsidRPr="0064331C">
              <w:rPr>
                <w:i/>
              </w:rPr>
              <w:t>Справочная документация:</w:t>
            </w:r>
          </w:p>
        </w:tc>
        <w:tc>
          <w:tcPr>
            <w:tcW w:w="3874" w:type="dxa"/>
          </w:tcPr>
          <w:p w14:paraId="32A01C87" w14:textId="59E82531" w:rsidR="003500D5" w:rsidRPr="0064331C" w:rsidRDefault="00EE1785">
            <w:pPr>
              <w:spacing w:after="120"/>
            </w:pPr>
            <w:r w:rsidRPr="00EE1785">
              <w:t>решение, принятое в соответствии с правилом 92 правил процедуры Комитета и</w:t>
            </w:r>
            <w:r>
              <w:t> </w:t>
            </w:r>
            <w:r w:rsidRPr="00EE1785">
              <w:t>препровожденное государству-участнику 11 декабря 2014 года (в виде документа не</w:t>
            </w:r>
            <w:r>
              <w:t> </w:t>
            </w:r>
            <w:r w:rsidRPr="00EE1785">
              <w:t>издавалось)</w:t>
            </w:r>
          </w:p>
        </w:tc>
      </w:tr>
      <w:tr w:rsidR="003500D5" w:rsidRPr="0064331C" w14:paraId="68D6BAE8" w14:textId="77777777" w:rsidTr="00EE1785">
        <w:tc>
          <w:tcPr>
            <w:tcW w:w="2936" w:type="dxa"/>
            <w:hideMark/>
          </w:tcPr>
          <w:p w14:paraId="357EE771" w14:textId="7E765D1B" w:rsidR="003500D5" w:rsidRPr="0064331C" w:rsidRDefault="003500D5">
            <w:pPr>
              <w:spacing w:after="120"/>
              <w:ind w:left="35"/>
              <w:rPr>
                <w:i/>
              </w:rPr>
            </w:pPr>
            <w:r w:rsidRPr="0064331C">
              <w:rPr>
                <w:i/>
              </w:rPr>
              <w:t xml:space="preserve">Дата принятия </w:t>
            </w:r>
            <w:r w:rsidR="00444816" w:rsidRPr="0064331C">
              <w:rPr>
                <w:i/>
              </w:rPr>
              <w:t>Соображений</w:t>
            </w:r>
            <w:r w:rsidRPr="0064331C">
              <w:rPr>
                <w:i/>
              </w:rPr>
              <w:t>:</w:t>
            </w:r>
          </w:p>
        </w:tc>
        <w:tc>
          <w:tcPr>
            <w:tcW w:w="3874" w:type="dxa"/>
            <w:vAlign w:val="bottom"/>
          </w:tcPr>
          <w:p w14:paraId="6081A653" w14:textId="566EB24F" w:rsidR="003500D5" w:rsidRPr="0064331C" w:rsidRDefault="00EE1785">
            <w:pPr>
              <w:spacing w:after="120"/>
            </w:pPr>
            <w:r w:rsidRPr="00EE1785">
              <w:t>23 июля 2020 года</w:t>
            </w:r>
          </w:p>
        </w:tc>
      </w:tr>
      <w:tr w:rsidR="003500D5" w:rsidRPr="0064331C" w14:paraId="3860A20D" w14:textId="77777777" w:rsidTr="00EE1785">
        <w:tc>
          <w:tcPr>
            <w:tcW w:w="2936" w:type="dxa"/>
            <w:hideMark/>
          </w:tcPr>
          <w:p w14:paraId="10CD40AF" w14:textId="77777777" w:rsidR="003500D5" w:rsidRPr="0064331C" w:rsidRDefault="003500D5">
            <w:pPr>
              <w:spacing w:after="120"/>
              <w:ind w:left="35"/>
              <w:rPr>
                <w:i/>
              </w:rPr>
            </w:pPr>
            <w:r w:rsidRPr="0064331C">
              <w:rPr>
                <w:i/>
                <w:iCs/>
              </w:rPr>
              <w:t>Тема сообщения:</w:t>
            </w:r>
          </w:p>
        </w:tc>
        <w:tc>
          <w:tcPr>
            <w:tcW w:w="3874" w:type="dxa"/>
          </w:tcPr>
          <w:p w14:paraId="2D372A5B" w14:textId="7CB73FC3" w:rsidR="003500D5" w:rsidRPr="0064331C" w:rsidRDefault="00EE1785">
            <w:pPr>
              <w:spacing w:after="120"/>
            </w:pPr>
            <w:r w:rsidRPr="00EE1785">
              <w:t>отказ в разрешении на проведение мирного собрания</w:t>
            </w:r>
          </w:p>
        </w:tc>
      </w:tr>
      <w:tr w:rsidR="003500D5" w:rsidRPr="0064331C" w14:paraId="2F020807" w14:textId="77777777" w:rsidTr="00EE1785">
        <w:tc>
          <w:tcPr>
            <w:tcW w:w="2936" w:type="dxa"/>
            <w:hideMark/>
          </w:tcPr>
          <w:p w14:paraId="6E35A104" w14:textId="77777777" w:rsidR="003500D5" w:rsidRPr="0064331C" w:rsidRDefault="003500D5">
            <w:pPr>
              <w:spacing w:after="120"/>
              <w:ind w:left="35"/>
              <w:rPr>
                <w:i/>
                <w:iCs/>
              </w:rPr>
            </w:pPr>
            <w:r w:rsidRPr="0064331C">
              <w:rPr>
                <w:i/>
                <w:iCs/>
              </w:rPr>
              <w:t>Процедурные вопросы</w:t>
            </w:r>
            <w:r w:rsidRPr="0064331C">
              <w:rPr>
                <w:i/>
              </w:rPr>
              <w:t>:</w:t>
            </w:r>
          </w:p>
        </w:tc>
        <w:tc>
          <w:tcPr>
            <w:tcW w:w="3874" w:type="dxa"/>
          </w:tcPr>
          <w:p w14:paraId="1A6EFD8F" w14:textId="5E86CCE9" w:rsidR="003500D5" w:rsidRPr="0064331C" w:rsidRDefault="00EE1785">
            <w:pPr>
              <w:spacing w:after="120"/>
            </w:pPr>
            <w:r w:rsidRPr="00EE1785">
              <w:t>исчерпание внутренних средств правовой защиты; обоснованность жалоб</w:t>
            </w:r>
          </w:p>
        </w:tc>
      </w:tr>
      <w:tr w:rsidR="003500D5" w:rsidRPr="0064331C" w14:paraId="23A99151" w14:textId="77777777" w:rsidTr="00EE1785">
        <w:tc>
          <w:tcPr>
            <w:tcW w:w="2936" w:type="dxa"/>
            <w:hideMark/>
          </w:tcPr>
          <w:p w14:paraId="7BFACD68" w14:textId="77777777" w:rsidR="003500D5" w:rsidRPr="0064331C" w:rsidRDefault="003500D5">
            <w:pPr>
              <w:spacing w:after="120"/>
              <w:ind w:left="35"/>
              <w:rPr>
                <w:i/>
                <w:iCs/>
              </w:rPr>
            </w:pPr>
            <w:r w:rsidRPr="0064331C">
              <w:rPr>
                <w:i/>
                <w:iCs/>
              </w:rPr>
              <w:t>Вопросы существа:</w:t>
            </w:r>
          </w:p>
        </w:tc>
        <w:tc>
          <w:tcPr>
            <w:tcW w:w="3874" w:type="dxa"/>
          </w:tcPr>
          <w:p w14:paraId="5FA6F8F4" w14:textId="46160477" w:rsidR="003500D5" w:rsidRPr="0064331C" w:rsidRDefault="00EE1785">
            <w:pPr>
              <w:spacing w:after="120"/>
            </w:pPr>
            <w:r w:rsidRPr="00EE1785">
              <w:t>свобода ассоциаци</w:t>
            </w:r>
            <w:r w:rsidR="00FA79A2">
              <w:t>и</w:t>
            </w:r>
          </w:p>
        </w:tc>
      </w:tr>
      <w:tr w:rsidR="003500D5" w:rsidRPr="0064331C" w14:paraId="52D3E826" w14:textId="77777777" w:rsidTr="00EE1785">
        <w:tc>
          <w:tcPr>
            <w:tcW w:w="2936" w:type="dxa"/>
            <w:hideMark/>
          </w:tcPr>
          <w:p w14:paraId="3B38A0C0" w14:textId="77777777" w:rsidR="003500D5" w:rsidRPr="0064331C" w:rsidRDefault="003500D5">
            <w:pPr>
              <w:spacing w:after="120"/>
              <w:ind w:left="35"/>
              <w:rPr>
                <w:i/>
                <w:iCs/>
              </w:rPr>
            </w:pPr>
            <w:r w:rsidRPr="0064331C">
              <w:rPr>
                <w:i/>
                <w:iCs/>
              </w:rPr>
              <w:t>Статьи Пакта</w:t>
            </w:r>
            <w:r w:rsidRPr="0064331C">
              <w:rPr>
                <w:i/>
              </w:rPr>
              <w:t>:</w:t>
            </w:r>
          </w:p>
        </w:tc>
        <w:tc>
          <w:tcPr>
            <w:tcW w:w="3874" w:type="dxa"/>
          </w:tcPr>
          <w:p w14:paraId="067BB4CE" w14:textId="149F31B8" w:rsidR="003500D5" w:rsidRPr="0064331C" w:rsidRDefault="00EE1785">
            <w:pPr>
              <w:spacing w:after="120"/>
            </w:pPr>
            <w:r w:rsidRPr="00EE1785">
              <w:t>19 и 21</w:t>
            </w:r>
          </w:p>
        </w:tc>
      </w:tr>
      <w:tr w:rsidR="003500D5" w:rsidRPr="0064331C" w14:paraId="615854D7" w14:textId="77777777" w:rsidTr="00EE1785">
        <w:tc>
          <w:tcPr>
            <w:tcW w:w="2936" w:type="dxa"/>
            <w:hideMark/>
          </w:tcPr>
          <w:p w14:paraId="267DE52E" w14:textId="77777777" w:rsidR="003500D5" w:rsidRPr="0064331C" w:rsidRDefault="003500D5">
            <w:pPr>
              <w:spacing w:after="120"/>
              <w:ind w:left="35"/>
              <w:rPr>
                <w:i/>
                <w:iCs/>
              </w:rPr>
            </w:pPr>
            <w:r w:rsidRPr="0064331C">
              <w:rPr>
                <w:i/>
                <w:iCs/>
              </w:rPr>
              <w:t>Статьи Факультативного протокола:</w:t>
            </w:r>
          </w:p>
        </w:tc>
        <w:tc>
          <w:tcPr>
            <w:tcW w:w="3874" w:type="dxa"/>
          </w:tcPr>
          <w:p w14:paraId="46CDD45A" w14:textId="73380A71" w:rsidR="003500D5" w:rsidRPr="0064331C" w:rsidRDefault="00EE1785">
            <w:pPr>
              <w:spacing w:after="120"/>
            </w:pPr>
            <w:r w:rsidRPr="00EE1785">
              <w:t>2 и 5</w:t>
            </w:r>
          </w:p>
        </w:tc>
      </w:tr>
    </w:tbl>
    <w:p w14:paraId="191F5DEF" w14:textId="77777777" w:rsidR="00EE1785" w:rsidRPr="00597900" w:rsidRDefault="00EE1785" w:rsidP="00FA79A2">
      <w:pPr>
        <w:pStyle w:val="SingleTxtG"/>
        <w:spacing w:before="120"/>
      </w:pPr>
      <w:r w:rsidRPr="00597900">
        <w:t>1.</w:t>
      </w:r>
      <w:r w:rsidRPr="00597900">
        <w:tab/>
        <w:t>Автором сообщения является гражданка Казахстана Бахытжан Торегожина</w:t>
      </w:r>
      <w:r w:rsidRPr="00597900">
        <w:rPr>
          <w:rStyle w:val="aa"/>
        </w:rPr>
        <w:footnoteReference w:id="3"/>
      </w:r>
      <w:r>
        <w:t>,</w:t>
      </w:r>
      <w:r w:rsidRPr="00597900">
        <w:t xml:space="preserve"> 1962 года рождения</w:t>
      </w:r>
      <w:r>
        <w:t>.</w:t>
      </w:r>
      <w:r w:rsidRPr="00597900">
        <w:t xml:space="preserve"> Она утверждает, что государство-участник нарушило ее права, предусмотренные статьями 19 и 21 Пакта. Факультативный протокол вступил в силу для Казахстана 30 сентября 2009 года. Автор не представлена адвокатом.</w:t>
      </w:r>
    </w:p>
    <w:p w14:paraId="63635B3C" w14:textId="77777777" w:rsidR="00EE1785" w:rsidRPr="00597900" w:rsidRDefault="00EE1785" w:rsidP="00EE1785">
      <w:pPr>
        <w:pStyle w:val="H23G"/>
        <w:rPr>
          <w:rFonts w:eastAsia="Verdana"/>
        </w:rPr>
      </w:pPr>
      <w:r w:rsidRPr="00597900">
        <w:lastRenderedPageBreak/>
        <w:tab/>
      </w:r>
      <w:r w:rsidRPr="00597900">
        <w:tab/>
      </w:r>
      <w:r w:rsidRPr="00597900">
        <w:rPr>
          <w:bCs/>
        </w:rPr>
        <w:t>Факты в изложении автора</w:t>
      </w:r>
    </w:p>
    <w:p w14:paraId="75AFFC96" w14:textId="765EAD46" w:rsidR="00EE1785" w:rsidRPr="00597900" w:rsidRDefault="00EE1785" w:rsidP="00EE1785">
      <w:pPr>
        <w:pStyle w:val="SingleTxtG"/>
      </w:pPr>
      <w:r w:rsidRPr="00597900">
        <w:t>2.1</w:t>
      </w:r>
      <w:r w:rsidRPr="00597900">
        <w:tab/>
        <w:t>Автор возглавляет неправительственную организацию «Ар. Рух. Хак». 1 марта 2012 года она подала в акимат</w:t>
      </w:r>
      <w:r w:rsidRPr="00597900">
        <w:rPr>
          <w:rStyle w:val="aa"/>
        </w:rPr>
        <w:footnoteReference w:id="4"/>
      </w:r>
      <w:r w:rsidRPr="00597900">
        <w:t xml:space="preserve"> города Алматы заявление на разрешени</w:t>
      </w:r>
      <w:r>
        <w:t>е</w:t>
      </w:r>
      <w:r w:rsidRPr="00597900">
        <w:t xml:space="preserve"> проведения мирного собрания (митинга)</w:t>
      </w:r>
      <w:r w:rsidRPr="00597900">
        <w:rPr>
          <w:rStyle w:val="aa"/>
        </w:rPr>
        <w:footnoteReference w:id="5"/>
      </w:r>
      <w:r w:rsidRPr="00597900">
        <w:t xml:space="preserve">, посвященного дате </w:t>
      </w:r>
      <w:r w:rsidR="00FA79A2">
        <w:t>ста</w:t>
      </w:r>
      <w:r w:rsidRPr="00597900">
        <w:t xml:space="preserve"> дней после жанаозенского расстрела, котор</w:t>
      </w:r>
      <w:r w:rsidR="00FA79A2">
        <w:t>ое</w:t>
      </w:r>
      <w:r w:rsidRPr="00597900">
        <w:t xml:space="preserve"> долж</w:t>
      </w:r>
      <w:r w:rsidR="00FA79A2">
        <w:t>но</w:t>
      </w:r>
      <w:r w:rsidRPr="00597900">
        <w:t xml:space="preserve"> был</w:t>
      </w:r>
      <w:r w:rsidR="00D648D9">
        <w:t>о</w:t>
      </w:r>
      <w:r w:rsidRPr="00597900">
        <w:t xml:space="preserve"> пройти 24 марта 2012 года на площади перед Дворцом Республики, рядом с памятником Абаю Кунанбаюли. В заявлении автор привела перечень из 29 альтернативных мест</w:t>
      </w:r>
      <w:r>
        <w:t xml:space="preserve"> для</w:t>
      </w:r>
      <w:r w:rsidRPr="00597900">
        <w:t xml:space="preserve"> проведения митинг</w:t>
      </w:r>
      <w:r>
        <w:t>а</w:t>
      </w:r>
      <w:r w:rsidRPr="00597900">
        <w:t xml:space="preserve"> в Алматы на тот случай, если акимат решит, что организовать </w:t>
      </w:r>
      <w:r>
        <w:t xml:space="preserve">его </w:t>
      </w:r>
      <w:r w:rsidRPr="00597900">
        <w:t>на площади перед Дворцом Республики невозможно.</w:t>
      </w:r>
    </w:p>
    <w:p w14:paraId="7B7A06FE" w14:textId="43D4571D" w:rsidR="00EE1785" w:rsidRPr="00597900" w:rsidRDefault="00EE1785" w:rsidP="00EE1785">
      <w:pPr>
        <w:pStyle w:val="SingleTxtG"/>
      </w:pPr>
      <w:r w:rsidRPr="00597900">
        <w:t>2.2</w:t>
      </w:r>
      <w:r w:rsidRPr="00597900">
        <w:tab/>
        <w:t xml:space="preserve">19 марта 2012 года автор получила от акимата города Алматы отказ в разрешении проведения </w:t>
      </w:r>
      <w:r>
        <w:t>митинга</w:t>
      </w:r>
      <w:r w:rsidRPr="00597900">
        <w:t xml:space="preserve"> в каком-либо из 30 предложенных мест</w:t>
      </w:r>
      <w:r w:rsidRPr="00597900">
        <w:rPr>
          <w:rStyle w:val="aa"/>
        </w:rPr>
        <w:footnoteReference w:id="6"/>
      </w:r>
      <w:r w:rsidRPr="00597900">
        <w:t>. Акимат обосновал свой отказ решением маслихата</w:t>
      </w:r>
      <w:r w:rsidRPr="00597900">
        <w:rPr>
          <w:rStyle w:val="aa"/>
        </w:rPr>
        <w:footnoteReference w:id="7"/>
      </w:r>
      <w:r w:rsidRPr="00597900">
        <w:t xml:space="preserve"> города Алматы № 167 от 29 июля 2005</w:t>
      </w:r>
      <w:r w:rsidR="00D648D9">
        <w:t> </w:t>
      </w:r>
      <w:r w:rsidRPr="00597900">
        <w:t xml:space="preserve">года, в котором тот рекомендовал проводить все негосударственные мероприятия </w:t>
      </w:r>
      <w:r w:rsidR="00D648D9">
        <w:t>«</w:t>
      </w:r>
      <w:r w:rsidRPr="00597900">
        <w:t>общественно-политического характера</w:t>
      </w:r>
      <w:r w:rsidR="00D648D9">
        <w:t>»</w:t>
      </w:r>
      <w:r w:rsidRPr="00597900">
        <w:t xml:space="preserve"> только в сквере за кинотеатром «Сары-Арка». В соответствии с тем же решением маслихата города Алматы официальные мероприятия республиканского и местного значения, организуемые соответствующими государственными органами, и иные мероприятия с участием высших должностных лиц государства и руководства города Алматы должны проводиться на площади Республики. Другие площади и скверы используются для проведения официальных и культурно-развлекательных мероприятий в соответствии с их архитектурным и функциональным предназначением. Согласно автору, акимат всегда использует решение № 167 для обоснования отказа в разрешении проведения всех собраний, которые не проводятся рядом с кинотеатром </w:t>
      </w:r>
      <w:r w:rsidR="00D648D9">
        <w:t>«</w:t>
      </w:r>
      <w:r w:rsidRPr="00597900">
        <w:t>Сары-Арка</w:t>
      </w:r>
      <w:r w:rsidR="00D648D9">
        <w:t>»</w:t>
      </w:r>
      <w:r w:rsidRPr="00597900">
        <w:t>.</w:t>
      </w:r>
    </w:p>
    <w:p w14:paraId="136B2BE6" w14:textId="6C01B5D2" w:rsidR="00EE1785" w:rsidRPr="00597900" w:rsidRDefault="00EE1785" w:rsidP="00EE1785">
      <w:pPr>
        <w:pStyle w:val="SingleTxtG"/>
        <w:rPr>
          <w:rFonts w:ascii="Times" w:hAnsi="Times"/>
        </w:rPr>
      </w:pPr>
      <w:r w:rsidRPr="00597900">
        <w:t>2.3</w:t>
      </w:r>
      <w:r w:rsidRPr="00597900">
        <w:tab/>
        <w:t xml:space="preserve">Поскольку предложенное акиматом </w:t>
      </w:r>
      <w:r>
        <w:t>от</w:t>
      </w:r>
      <w:r w:rsidRPr="00597900">
        <w:t>даленное место не подходило для проведения собрания, автор решила провести его в другом месте, которое она посчитала подходящим. В результате она была оштрафована за совершение административного правонарушения в форме проведения несанкционированного собрания. Согласно автору, ее представление Комитету касается не этого конкретного собрания или наложенных в связи с его проведением санкций, а самого решения</w:t>
      </w:r>
      <w:r w:rsidR="00D648D9">
        <w:t> </w:t>
      </w:r>
      <w:r w:rsidRPr="00597900">
        <w:t>№</w:t>
      </w:r>
      <w:r>
        <w:t> </w:t>
      </w:r>
      <w:r w:rsidRPr="00597900">
        <w:t>167. Данное собрание приведено в качестве примера общих последствий этого решения.</w:t>
      </w:r>
    </w:p>
    <w:p w14:paraId="117FC025" w14:textId="77777777" w:rsidR="00EE1785" w:rsidRPr="00597900" w:rsidRDefault="00EE1785" w:rsidP="00EE1785">
      <w:pPr>
        <w:pStyle w:val="SingleTxtG"/>
      </w:pPr>
      <w:r w:rsidRPr="00597900">
        <w:t>2.4</w:t>
      </w:r>
      <w:r w:rsidRPr="00597900">
        <w:tab/>
        <w:t>10 августа 2012 года автор обратил</w:t>
      </w:r>
      <w:r>
        <w:t>а</w:t>
      </w:r>
      <w:r w:rsidRPr="00597900">
        <w:t>сь в Алмалинский районный суд города Алматы с требованием об отмене решения № 167, поскольку оно нарушает Конституцию и международные стандарты в отношении свободы мирных собраний</w:t>
      </w:r>
      <w:r w:rsidRPr="00597900">
        <w:rPr>
          <w:rStyle w:val="aa"/>
        </w:rPr>
        <w:footnoteReference w:id="8"/>
      </w:r>
      <w:r w:rsidRPr="00597900">
        <w:t xml:space="preserve">. Автор утверждала, что это решение не проходило регистрацию в органах юстиции и поэтому не является юридически обязательным документом. 5 сентября 2012 года Алмалинский районный суд города Алматы отклонил требование автора на том </w:t>
      </w:r>
      <w:r w:rsidRPr="00597900">
        <w:lastRenderedPageBreak/>
        <w:t xml:space="preserve">основании, что срок для подачи соответствующей жалобы истек. Суд также постановил, что решение № 167 было принято в соответствии с законом и не нарушает прав </w:t>
      </w:r>
      <w:r>
        <w:t xml:space="preserve">отдельных </w:t>
      </w:r>
      <w:r w:rsidRPr="00597900">
        <w:t>лиц. Суд счел доводы автора о нарушениях международных стандартов необоснованными, заявив, что органы местного самоуправления имеют право устанавливать дополнительные правила в отношении организации публичных собраний.</w:t>
      </w:r>
    </w:p>
    <w:p w14:paraId="6CFAF7A6" w14:textId="77777777" w:rsidR="00EE1785" w:rsidRPr="00597900" w:rsidRDefault="00EE1785" w:rsidP="00EE1785">
      <w:pPr>
        <w:pStyle w:val="SingleTxtG"/>
      </w:pPr>
      <w:r w:rsidRPr="00597900">
        <w:t>2.5</w:t>
      </w:r>
      <w:r w:rsidRPr="00597900">
        <w:tab/>
        <w:t xml:space="preserve">17 сентября 2012 года автор подала апелляционную жалобу в Алматинский городской суд, в которой она утверждала, что Алмалинский районный суд города Алматы не рассмотрел ее жалобу по существу, и требовала передачи ее дела </w:t>
      </w:r>
      <w:r>
        <w:t xml:space="preserve">на </w:t>
      </w:r>
      <w:r w:rsidRPr="00597900">
        <w:t>ново</w:t>
      </w:r>
      <w:r>
        <w:t>е</w:t>
      </w:r>
      <w:r w:rsidRPr="00597900">
        <w:t xml:space="preserve"> рассмотрени</w:t>
      </w:r>
      <w:r>
        <w:t>е</w:t>
      </w:r>
      <w:r w:rsidRPr="00597900">
        <w:t>. 23 октября 2012 года Алматинский городской суд подтвердил решение районного суда.</w:t>
      </w:r>
    </w:p>
    <w:p w14:paraId="72FB7B96" w14:textId="77777777" w:rsidR="00EE1785" w:rsidRPr="00597900" w:rsidRDefault="00EE1785" w:rsidP="00EE1785">
      <w:pPr>
        <w:pStyle w:val="SingleTxtG"/>
      </w:pPr>
      <w:r w:rsidRPr="00597900">
        <w:t>2.6</w:t>
      </w:r>
      <w:r w:rsidRPr="00597900">
        <w:tab/>
        <w:t>29 марта 2013 года автор подала кассационную жалобу в Алматинский городской суд, которая 22 апреля 2013 года</w:t>
      </w:r>
      <w:r w:rsidRPr="00051AC0">
        <w:t xml:space="preserve"> </w:t>
      </w:r>
      <w:r w:rsidRPr="00597900">
        <w:t>была отклонена.</w:t>
      </w:r>
    </w:p>
    <w:p w14:paraId="34C11311" w14:textId="77777777" w:rsidR="00EE1785" w:rsidRPr="00597900" w:rsidRDefault="00EE1785" w:rsidP="00EE1785">
      <w:pPr>
        <w:pStyle w:val="SingleTxtG"/>
        <w:rPr>
          <w:rFonts w:eastAsia="Verdana"/>
          <w:bCs/>
        </w:rPr>
      </w:pPr>
      <w:r w:rsidRPr="00597900">
        <w:t>2.7</w:t>
      </w:r>
      <w:r w:rsidRPr="00597900">
        <w:tab/>
        <w:t>13 мая 2013 года автор обратилась с ходатайством о пересмотре в порядке судебного надзора в Верховный суд Казахстана. 12 сентября 2013 года Верховный суд, не обнаружив нарушения судами низших инстанций материальных или процессуальных норм, ходатайство автора о пересмотре в порядке судебного надзора отклонил.</w:t>
      </w:r>
    </w:p>
    <w:p w14:paraId="6E054A77" w14:textId="77777777" w:rsidR="00EE1785" w:rsidRPr="00597900" w:rsidRDefault="00EE1785" w:rsidP="00EE1785">
      <w:pPr>
        <w:pStyle w:val="H23G"/>
        <w:rPr>
          <w:rFonts w:eastAsia="Verdana"/>
        </w:rPr>
      </w:pPr>
      <w:r w:rsidRPr="00597900">
        <w:tab/>
      </w:r>
      <w:r w:rsidRPr="00597900">
        <w:tab/>
      </w:r>
      <w:r w:rsidRPr="00597900">
        <w:rPr>
          <w:bCs/>
        </w:rPr>
        <w:t>Жалоба</w:t>
      </w:r>
    </w:p>
    <w:p w14:paraId="5C06A885" w14:textId="77777777" w:rsidR="00EE1785" w:rsidRPr="00597900" w:rsidRDefault="00EE1785" w:rsidP="00EE1785">
      <w:pPr>
        <w:pStyle w:val="SingleTxtG"/>
      </w:pPr>
      <w:r w:rsidRPr="00597900">
        <w:t>3.</w:t>
      </w:r>
      <w:r w:rsidRPr="00597900">
        <w:tab/>
        <w:t>Автор утверждает, что решение № 167 нарушает ее права по статье 21 Пакта поскольку: а) оно ограничивает ее право на проведение массового мероприятия в выбранном ею месте с учетом таких факторов, как цели массового мероприятия и целевая группа, без объяснения цели этого ограничения; b) примененные в ее отношении санкции прямо вытекают из решения № 167; с) данное решение носит дискриминационный характер, поскольку в нем определяется только одно место проведения негосударственных массовых мероприятий, при этом для проведения официальных массовых мероприятий разрешается использовать все площади и скверы.</w:t>
      </w:r>
    </w:p>
    <w:p w14:paraId="067BE8BC" w14:textId="77777777" w:rsidR="00EE1785" w:rsidRPr="00597900" w:rsidRDefault="00EE1785" w:rsidP="00EE1785">
      <w:pPr>
        <w:pStyle w:val="H23G"/>
      </w:pPr>
      <w:r w:rsidRPr="00597900">
        <w:tab/>
      </w:r>
      <w:r w:rsidRPr="00597900">
        <w:tab/>
      </w:r>
      <w:r w:rsidRPr="00597900">
        <w:rPr>
          <w:bCs/>
        </w:rPr>
        <w:t>Замечания государства-участника относительно приемлемости и существа сообщения</w:t>
      </w:r>
    </w:p>
    <w:p w14:paraId="5A9C35C8" w14:textId="77777777" w:rsidR="00EE1785" w:rsidRPr="00597900" w:rsidRDefault="00EE1785" w:rsidP="00EE1785">
      <w:pPr>
        <w:pStyle w:val="SingleTxtG"/>
      </w:pPr>
      <w:r w:rsidRPr="00597900">
        <w:t>4.1</w:t>
      </w:r>
      <w:r w:rsidRPr="00597900">
        <w:tab/>
        <w:t>19 октября 2015 года государство-участник представило свои замечания относительно приемлемости и существа сообщения и просило Комитет признать его неприемлемым по причине необоснованности.</w:t>
      </w:r>
    </w:p>
    <w:p w14:paraId="35C8306B" w14:textId="77777777" w:rsidR="00EE1785" w:rsidRPr="00597900" w:rsidRDefault="00EE1785" w:rsidP="00EE1785">
      <w:pPr>
        <w:spacing w:after="120"/>
        <w:ind w:left="1134" w:right="1134"/>
        <w:jc w:val="both"/>
      </w:pPr>
      <w:r w:rsidRPr="00597900">
        <w:t>4.2</w:t>
      </w:r>
      <w:r w:rsidRPr="00597900">
        <w:tab/>
        <w:t>Государство-участник напоминает факт</w:t>
      </w:r>
      <w:r>
        <w:t>ы</w:t>
      </w:r>
      <w:r w:rsidRPr="00597900">
        <w:t xml:space="preserve"> по этому делу и отмечает, что суды рассмотрели и отклонили доводы автора о том, что решение № 167 противоречит национальным и международным стандартам в области прав человека. Законность судебных решений была проверена прокуратурой города Алматы и Генеральной прокуратурой.</w:t>
      </w:r>
    </w:p>
    <w:p w14:paraId="5BF64EE3" w14:textId="66B50DD9" w:rsidR="00EE1785" w:rsidRPr="00597900" w:rsidRDefault="00EE1785" w:rsidP="00EE1785">
      <w:pPr>
        <w:pStyle w:val="SingleTxtG"/>
      </w:pPr>
      <w:r w:rsidRPr="00597900">
        <w:t>4.3</w:t>
      </w:r>
      <w:r w:rsidRPr="00597900">
        <w:tab/>
        <w:t xml:space="preserve">Статья 32 Конституции Республики Казахстан гарантирует право граждан мирно собираться и проводить митинги, собрания, демонстрации, шествия и пикетирование. Вместе с тем осуществление этого права может ограничиваться законом в интересах государственной безопасности, общественного порядка, охраны здоровья, защиты прав и свобод других лиц. Формат и порядок выражения общественных, групповых или личных интересов в общественных местах, а также определенные ограничения </w:t>
      </w:r>
      <w:r>
        <w:t>в их отношении</w:t>
      </w:r>
      <w:r w:rsidRPr="00597900">
        <w:t xml:space="preserve"> установлены Законом Республики Казахстан от 17 марта 1995 года № 2126 </w:t>
      </w:r>
      <w:r w:rsidR="002F4A55">
        <w:t>«</w:t>
      </w:r>
      <w:r w:rsidRPr="00597900">
        <w:t>О порядке организации и проведения мирных собраний, митингов, шествий, пикетов и демонстраций</w:t>
      </w:r>
      <w:r w:rsidR="002F4A55">
        <w:t>»</w:t>
      </w:r>
      <w:r w:rsidRPr="00597900">
        <w:t>. Но основании статьи 10 данного закона местные исполнительные органы могут регулировать порядок организации публичных мероприятий на основе требований, определенных местными условиями.</w:t>
      </w:r>
    </w:p>
    <w:p w14:paraId="133D4863" w14:textId="77777777" w:rsidR="00EE1785" w:rsidRPr="00597900" w:rsidRDefault="00EE1785" w:rsidP="00EE1785">
      <w:pPr>
        <w:pStyle w:val="SingleTxtG"/>
      </w:pPr>
      <w:r w:rsidRPr="00597900">
        <w:t>4.4</w:t>
      </w:r>
      <w:r w:rsidRPr="00597900">
        <w:tab/>
        <w:t xml:space="preserve">Государство-участник утверждает, что в соответствии с Законом </w:t>
      </w:r>
      <w:r>
        <w:t>«О</w:t>
      </w:r>
      <w:r w:rsidRPr="00597900">
        <w:t xml:space="preserve"> порядке организации и проведения мирных собраний, митингов, шествий, пикетов и демонстраций</w:t>
      </w:r>
      <w:r>
        <w:t>»</w:t>
      </w:r>
      <w:r w:rsidRPr="00597900">
        <w:t xml:space="preserve"> организаторы должны получить разрешение местного </w:t>
      </w:r>
      <w:r w:rsidRPr="00597900">
        <w:lastRenderedPageBreak/>
        <w:t>исполнительного органа до проведения такого публичного мероприятия. Согласно статье 5 Закона, массовые мероприятия должны проводиться в обусловленном месте.</w:t>
      </w:r>
    </w:p>
    <w:p w14:paraId="310EC35A" w14:textId="200E8CFC" w:rsidR="00EE1785" w:rsidRPr="00597900" w:rsidRDefault="00EE1785" w:rsidP="00EE1785">
      <w:pPr>
        <w:pStyle w:val="SingleTxtG"/>
        <w:rPr>
          <w:rFonts w:ascii="Times" w:hAnsi="Times"/>
        </w:rPr>
      </w:pPr>
      <w:r w:rsidRPr="00597900">
        <w:t>4.5</w:t>
      </w:r>
      <w:r w:rsidRPr="00597900">
        <w:tab/>
        <w:t xml:space="preserve">Государство-участник утверждает, что в целях обеспечения защиты прав и свобод других лиц и общественной безопасности, нормального функционирования общественного транспорта и инфраструктуры, а также охраны ландшафта и архитектуры в решении № 167 рекомендуется организовывать все негосударственные публичные мероприятия </w:t>
      </w:r>
      <w:r w:rsidR="002F4A55">
        <w:t>«</w:t>
      </w:r>
      <w:r w:rsidRPr="00597900">
        <w:t>общественно-политического характера</w:t>
      </w:r>
      <w:r w:rsidR="002F4A55">
        <w:t>»</w:t>
      </w:r>
      <w:r w:rsidRPr="00597900">
        <w:t xml:space="preserve"> в сквере за кинотеатром «Сары-Арка».</w:t>
      </w:r>
    </w:p>
    <w:p w14:paraId="1E690ED1" w14:textId="47B7AC73" w:rsidR="00EE1785" w:rsidRPr="00597900" w:rsidRDefault="00EE1785" w:rsidP="00EE1785">
      <w:pPr>
        <w:pStyle w:val="SingleTxtG"/>
        <w:rPr>
          <w:rFonts w:ascii="Times" w:hAnsi="Times"/>
        </w:rPr>
      </w:pPr>
      <w:r w:rsidRPr="00597900">
        <w:t>4.6</w:t>
      </w:r>
      <w:r w:rsidRPr="00597900">
        <w:tab/>
        <w:t xml:space="preserve">Решение № 167 было принято уполномоченным органом в пределах его компетенции в соответствии с Законом </w:t>
      </w:r>
      <w:r w:rsidR="002F4A55">
        <w:t>«</w:t>
      </w:r>
      <w:r w:rsidRPr="00597900">
        <w:t>О порядке организации и проведения мирных собраний, митингов, шествий, пикетов и демонстраций</w:t>
      </w:r>
      <w:r w:rsidR="002F4A55">
        <w:t>»</w:t>
      </w:r>
      <w:r w:rsidRPr="00597900">
        <w:t xml:space="preserve"> на основе национального законодательства и международных норм в целях защиты прав других лиц, исходя из волеизъявления большинства населения города Алматы.</w:t>
      </w:r>
    </w:p>
    <w:p w14:paraId="3F6A2777" w14:textId="77777777" w:rsidR="00EE1785" w:rsidRPr="00597900" w:rsidRDefault="00EE1785" w:rsidP="00EE1785">
      <w:pPr>
        <w:pStyle w:val="SingleTxtG"/>
        <w:rPr>
          <w:rFonts w:ascii="Times" w:hAnsi="Times"/>
        </w:rPr>
      </w:pPr>
      <w:r w:rsidRPr="00597900">
        <w:t>4.7</w:t>
      </w:r>
      <w:r w:rsidRPr="00597900">
        <w:tab/>
        <w:t>Государство-участник отмечает, что автор отказалась проводить массовое мероприятие в обусловленном месте.</w:t>
      </w:r>
    </w:p>
    <w:p w14:paraId="6678DB44" w14:textId="77777777" w:rsidR="00EE1785" w:rsidRPr="00597900" w:rsidRDefault="00EE1785" w:rsidP="00EE1785">
      <w:pPr>
        <w:pStyle w:val="SingleTxtG"/>
      </w:pPr>
      <w:r w:rsidRPr="00597900">
        <w:t>4.8</w:t>
      </w:r>
      <w:r w:rsidRPr="00597900">
        <w:tab/>
        <w:t>Государство-участник напоминает, что согласно международному праву прав человека могут вводиться ограничения свободы собраний. В целях защиты прав и свобод других лиц, общественного порядка и системы общественного транспорта и других объектов инфраструктуры в Республике Казахстан власти государства-участника определили специализированные места для проведения не</w:t>
      </w:r>
      <w:r>
        <w:t>государственных</w:t>
      </w:r>
      <w:r w:rsidRPr="00597900">
        <w:t xml:space="preserve"> публичных мероприятий. В настоящее время такие места выделены местными исполнительными органами почти во всех областных центрах, а также в некоторых районах.</w:t>
      </w:r>
    </w:p>
    <w:p w14:paraId="4580B424" w14:textId="3FFD9C78" w:rsidR="00EE1785" w:rsidRPr="00597900" w:rsidRDefault="00EE1785" w:rsidP="00EE1785">
      <w:pPr>
        <w:pStyle w:val="SingleTxtG"/>
      </w:pPr>
      <w:r w:rsidRPr="00597900">
        <w:t>4.9</w:t>
      </w:r>
      <w:r w:rsidRPr="00597900">
        <w:tab/>
        <w:t xml:space="preserve">Государство-участник далее утверждает, что оно изучило практику ряда других стран и пришло к выводу, что в некоторых </w:t>
      </w:r>
      <w:r>
        <w:t>из них</w:t>
      </w:r>
      <w:r w:rsidRPr="00597900">
        <w:t xml:space="preserve"> возможность проведения публичных мероприятий ограничена еще более жестко, чем в Казахстане. Например, в Нью-Йорке (Соединенные Штаты Америки) </w:t>
      </w:r>
      <w:r>
        <w:t>необходимо</w:t>
      </w:r>
      <w:r w:rsidRPr="00597900">
        <w:t xml:space="preserve"> обращаться за разрешением за 45 суток до предполагаемой даты проведения мероприятия, а также указывать маршрут движения его участников. Городские власти имеют право изменить место проведения мероприятия. В других странах, например в Швеции, имеется черный список организаторов ранее запрещенных или разогнанных демонстраций. Во Франции органы местной власти имеют право запретить любую демонстрацию, а в Соединенном Королевстве Великобритании и Северной Ирландии </w:t>
      </w:r>
      <w:r w:rsidR="002F4A55">
        <w:t>—</w:t>
      </w:r>
      <w:r w:rsidRPr="00597900">
        <w:t xml:space="preserve"> ввести </w:t>
      </w:r>
      <w:r w:rsidR="002F4A55">
        <w:t>«</w:t>
      </w:r>
      <w:r w:rsidRPr="00597900">
        <w:t>временные запреты</w:t>
      </w:r>
      <w:r w:rsidR="002F4A55">
        <w:t>»</w:t>
      </w:r>
      <w:r w:rsidRPr="00597900">
        <w:t>. Кроме того, в Соединенном Королевстве уличные мероприятия могут проводиться только после получения разрешения от органов полиции. В</w:t>
      </w:r>
      <w:r w:rsidR="002F4A55">
        <w:t> </w:t>
      </w:r>
      <w:r w:rsidRPr="00597900">
        <w:t>Германии для проведения любого массового мероприятия, митинга или демонстрации, будь то в помещении или на улице, необходимо получить разрешение властей.</w:t>
      </w:r>
    </w:p>
    <w:p w14:paraId="758BAD41" w14:textId="77777777" w:rsidR="00EE1785" w:rsidRPr="00597900" w:rsidRDefault="00EE1785" w:rsidP="00EE1785">
      <w:pPr>
        <w:pStyle w:val="SingleTxtG"/>
      </w:pPr>
      <w:r w:rsidRPr="00597900">
        <w:t>4.10</w:t>
      </w:r>
      <w:r w:rsidRPr="00597900">
        <w:tab/>
        <w:t>Государство-участник утверждает, что сообщение необоснованно.</w:t>
      </w:r>
    </w:p>
    <w:p w14:paraId="0A829133" w14:textId="77777777" w:rsidR="00EE1785" w:rsidRPr="00597900" w:rsidRDefault="00EE1785" w:rsidP="00EE1785">
      <w:pPr>
        <w:pStyle w:val="H23G"/>
      </w:pPr>
      <w:r w:rsidRPr="00597900">
        <w:tab/>
      </w:r>
      <w:r w:rsidRPr="00597900">
        <w:tab/>
      </w:r>
      <w:r w:rsidRPr="00597900">
        <w:rPr>
          <w:bCs/>
        </w:rPr>
        <w:t>Комментарии автора к замечаниям государства-участника относительно приемлемости и существа сообщения</w:t>
      </w:r>
    </w:p>
    <w:p w14:paraId="4E090B4C" w14:textId="4EEC3007" w:rsidR="00EE1785" w:rsidRPr="00597900" w:rsidRDefault="00EE1785" w:rsidP="00EE1785">
      <w:pPr>
        <w:pStyle w:val="SingleTxtG"/>
      </w:pPr>
      <w:r w:rsidRPr="00597900">
        <w:t>5.1</w:t>
      </w:r>
      <w:r w:rsidRPr="00597900">
        <w:tab/>
        <w:t>24 ноября 2016 года автор представила заявление о том, что решение № 167 ограничивает осуществление ею свободы собраний и выражения мнений и нарушает ее права, закрепленные в статьях 19</w:t>
      </w:r>
      <w:r w:rsidRPr="00597900">
        <w:rPr>
          <w:rStyle w:val="aa"/>
        </w:rPr>
        <w:footnoteReference w:id="9"/>
      </w:r>
      <w:r w:rsidRPr="00597900">
        <w:t xml:space="preserve"> и 21 Пакта. По всем заявлениям о проведении массовых мероприятий в каком-либо другом месте, а не в сквере за кинотеатром </w:t>
      </w:r>
      <w:r w:rsidR="002F4A55">
        <w:t>«</w:t>
      </w:r>
      <w:r w:rsidRPr="00597900">
        <w:t>Сары-Арка</w:t>
      </w:r>
      <w:r w:rsidR="002F4A55">
        <w:t>»</w:t>
      </w:r>
      <w:r w:rsidRPr="00597900">
        <w:t>, систематически принимаются решения об отказе.</w:t>
      </w:r>
    </w:p>
    <w:p w14:paraId="4C033E2C" w14:textId="77777777" w:rsidR="00EE1785" w:rsidRPr="00597900" w:rsidRDefault="00EE1785" w:rsidP="00EE1785">
      <w:pPr>
        <w:pStyle w:val="SingleTxtG"/>
      </w:pPr>
      <w:r w:rsidRPr="00597900">
        <w:t>5.2</w:t>
      </w:r>
      <w:r w:rsidRPr="00597900">
        <w:tab/>
        <w:t>Автор утверждает, что вследствие решения № 167 она вынуждена проводить собрания без разрешения, что влечет за собой применение к ней административных санкций. Это решение, предусматривающее единое место для проведения массовых мероприятий, также является дискриминационным в отношении негосударственных инициатив.</w:t>
      </w:r>
    </w:p>
    <w:p w14:paraId="3374F67A" w14:textId="77777777" w:rsidR="00EE1785" w:rsidRPr="00597900" w:rsidRDefault="00EE1785" w:rsidP="00EE1785">
      <w:pPr>
        <w:pStyle w:val="SingleTxtG"/>
      </w:pPr>
      <w:r w:rsidRPr="00597900">
        <w:lastRenderedPageBreak/>
        <w:t>5.3</w:t>
      </w:r>
      <w:r w:rsidRPr="00597900">
        <w:tab/>
        <w:t>Автор утверждает, что свобода собраний является правом, а не привилегией. Его осуществление не может зависеть от разрешения акимата. Она считает, что в целях содействия осуществлению свободы собраний правительству следует ввести уведомительную систему организации массовых мероприятий. Должна существовать возможность проведения спонтанных массовых мероприятий, без предварительного разрешения.</w:t>
      </w:r>
    </w:p>
    <w:p w14:paraId="29206DA7" w14:textId="77777777" w:rsidR="00EE1785" w:rsidRPr="00597900" w:rsidRDefault="00EE1785" w:rsidP="00EE1785">
      <w:pPr>
        <w:pStyle w:val="H23G"/>
      </w:pPr>
      <w:r w:rsidRPr="00597900">
        <w:tab/>
      </w:r>
      <w:r w:rsidRPr="00597900">
        <w:tab/>
      </w:r>
      <w:r w:rsidRPr="00597900">
        <w:rPr>
          <w:bCs/>
        </w:rPr>
        <w:t>Дополнительные замечания государства-участника</w:t>
      </w:r>
      <w:r w:rsidRPr="00597900">
        <w:t xml:space="preserve"> </w:t>
      </w:r>
    </w:p>
    <w:p w14:paraId="5C1B7682" w14:textId="77777777" w:rsidR="00EE1785" w:rsidRPr="00597900" w:rsidRDefault="00EE1785" w:rsidP="00EE1785">
      <w:pPr>
        <w:pStyle w:val="SingleTxtG"/>
      </w:pPr>
      <w:r w:rsidRPr="00597900">
        <w:t>6.1</w:t>
      </w:r>
      <w:r w:rsidRPr="00597900">
        <w:tab/>
        <w:t>12 января 2017 года государство-участник пред</w:t>
      </w:r>
      <w:r>
        <w:t>о</w:t>
      </w:r>
      <w:r w:rsidRPr="00597900">
        <w:t xml:space="preserve">ставило дополнительную информацию. </w:t>
      </w:r>
    </w:p>
    <w:p w14:paraId="249E4713" w14:textId="26C8F84B" w:rsidR="00EE1785" w:rsidRPr="00597900" w:rsidRDefault="00EE1785" w:rsidP="00EE1785">
      <w:pPr>
        <w:pStyle w:val="SingleTxtG"/>
      </w:pPr>
      <w:r w:rsidRPr="00597900">
        <w:t>6.2</w:t>
      </w:r>
      <w:r w:rsidRPr="00597900">
        <w:tab/>
        <w:t>Оно отмечает, что ограничение свободы собраний, в частности касающееся места проведения массовых мероприятий, соответствует положениям Пакта. Решение</w:t>
      </w:r>
      <w:r w:rsidR="002F4A55">
        <w:t> </w:t>
      </w:r>
      <w:r w:rsidRPr="00597900">
        <w:t>№ 167 было принято законным органом в рамках его компетенции.</w:t>
      </w:r>
    </w:p>
    <w:p w14:paraId="67196251" w14:textId="5720BF8C" w:rsidR="00EE1785" w:rsidRPr="00597900" w:rsidRDefault="00EE1785" w:rsidP="00EE1785">
      <w:pPr>
        <w:pStyle w:val="SingleTxtG"/>
      </w:pPr>
      <w:r w:rsidRPr="00597900">
        <w:t>6.3</w:t>
      </w:r>
      <w:r w:rsidRPr="00597900">
        <w:tab/>
        <w:t xml:space="preserve">Государство-участник утверждает, что решение № 167 не является дискриминационным по политическим мотивам. В </w:t>
      </w:r>
      <w:r>
        <w:t xml:space="preserve">нем </w:t>
      </w:r>
      <w:r w:rsidRPr="00597900">
        <w:t xml:space="preserve">маслихат города Алматы всего лишь рекомендует места для проведения массовых мероприятий. Таким образом, акимат может определять место проведения </w:t>
      </w:r>
      <w:r w:rsidR="002F4A55">
        <w:t>—</w:t>
      </w:r>
      <w:r w:rsidRPr="00597900">
        <w:t xml:space="preserve"> сквер за кинотеатром </w:t>
      </w:r>
      <w:r w:rsidR="002F4A55">
        <w:t>«</w:t>
      </w:r>
      <w:r w:rsidRPr="00597900">
        <w:t>Сары</w:t>
      </w:r>
      <w:r>
        <w:t>-</w:t>
      </w:r>
      <w:r w:rsidRPr="00597900">
        <w:t>Арка</w:t>
      </w:r>
      <w:r w:rsidR="002F4A55">
        <w:t>»</w:t>
      </w:r>
      <w:r w:rsidRPr="00597900">
        <w:t xml:space="preserve"> </w:t>
      </w:r>
      <w:r w:rsidR="002F4A55">
        <w:t>—</w:t>
      </w:r>
      <w:r w:rsidRPr="00597900">
        <w:t xml:space="preserve"> официальных и всех других мероприятий в зависимости от обстоятельств.</w:t>
      </w:r>
    </w:p>
    <w:p w14:paraId="53DDA307" w14:textId="1269224A" w:rsidR="00EE1785" w:rsidRPr="00597900" w:rsidRDefault="00EE1785" w:rsidP="00EE1785">
      <w:pPr>
        <w:pStyle w:val="SingleTxtG"/>
      </w:pPr>
      <w:r w:rsidRPr="00597900">
        <w:t>6.4</w:t>
      </w:r>
      <w:r w:rsidRPr="00597900">
        <w:tab/>
        <w:t>Государство-участник также оспаривает доводы автора о том, что осуществление свободы выражения мнений и собраний в Казахстане ограничено. Оно</w:t>
      </w:r>
      <w:r w:rsidR="002F4A55">
        <w:t> </w:t>
      </w:r>
      <w:r w:rsidRPr="00597900">
        <w:t>отмечает, что в период 2012–2016 годов было проведено 140 различных массовых мероприятий, организаторы которых соблюли требования законодательства. Таким образом, автор не лишена возможности организовать массовое мероприятие, при условии уважения закона.</w:t>
      </w:r>
    </w:p>
    <w:p w14:paraId="78C42911" w14:textId="77777777" w:rsidR="00EE1785" w:rsidRPr="00597900" w:rsidRDefault="00EE1785" w:rsidP="00EE1785">
      <w:pPr>
        <w:pStyle w:val="H23G"/>
      </w:pPr>
      <w:r w:rsidRPr="00597900">
        <w:tab/>
      </w:r>
      <w:r w:rsidRPr="00597900">
        <w:tab/>
      </w:r>
      <w:r w:rsidRPr="00597900">
        <w:rPr>
          <w:bCs/>
        </w:rPr>
        <w:t>Вопросы и процедура их рассмотрения в Комитете</w:t>
      </w:r>
    </w:p>
    <w:p w14:paraId="1868761A" w14:textId="77777777" w:rsidR="00EE1785" w:rsidRPr="00597900" w:rsidRDefault="00EE1785" w:rsidP="00EE1785">
      <w:pPr>
        <w:pStyle w:val="H4G"/>
      </w:pPr>
      <w:r w:rsidRPr="00597900">
        <w:tab/>
      </w:r>
      <w:r w:rsidRPr="00597900">
        <w:tab/>
      </w:r>
      <w:r w:rsidRPr="00597900">
        <w:rPr>
          <w:iCs/>
        </w:rPr>
        <w:t>Рассмотрение вопроса о приемлемости</w:t>
      </w:r>
    </w:p>
    <w:p w14:paraId="7A877FE9" w14:textId="77777777" w:rsidR="00EE1785" w:rsidRPr="00597900" w:rsidRDefault="00EE1785" w:rsidP="00EE1785">
      <w:pPr>
        <w:pStyle w:val="SingleTxtG"/>
      </w:pPr>
      <w:r w:rsidRPr="00597900">
        <w:t>7.1</w:t>
      </w:r>
      <w:r w:rsidRPr="00597900">
        <w:tab/>
        <w:t>Согласно правилу 97 своих правил процедуры, прежде чем рассматривать содержащиеся в сообщени</w:t>
      </w:r>
      <w:r>
        <w:t>и</w:t>
      </w:r>
      <w:r w:rsidRPr="00597900">
        <w:t xml:space="preserve"> жалобы, Комитет должен установить, является ли данное сообщение приемлемым в соответствии с Факультативным протоколом к Пакту.</w:t>
      </w:r>
    </w:p>
    <w:p w14:paraId="3B42FDE3" w14:textId="77777777" w:rsidR="00EE1785" w:rsidRPr="00597900" w:rsidRDefault="00EE1785" w:rsidP="00EE1785">
      <w:pPr>
        <w:pStyle w:val="SingleTxtG"/>
      </w:pPr>
      <w:r w:rsidRPr="00597900">
        <w:t>7.2</w:t>
      </w:r>
      <w:r w:rsidRPr="00597900">
        <w:tab/>
        <w:t>В соответствии со статьей 5, подпункт 2 а),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1412CB34" w14:textId="77777777" w:rsidR="00EE1785" w:rsidRPr="00597900" w:rsidRDefault="00EE1785" w:rsidP="00EE1785">
      <w:pPr>
        <w:pStyle w:val="SingleTxtG"/>
      </w:pPr>
      <w:r w:rsidRPr="00597900">
        <w:t>7.3</w:t>
      </w:r>
      <w:r w:rsidRPr="00597900">
        <w:tab/>
        <w:t>Комитет отмечает, что государство-участник не оспорило факт исчерпания внутренних средств правовой защиты. Соответственно, Комитет заключает, что положения статьи 5, подпункт 2 b), Факультативного протокола не препятствуют рассмотрению настоящего сообщения.</w:t>
      </w:r>
    </w:p>
    <w:p w14:paraId="300A4649" w14:textId="77777777" w:rsidR="00EE1785" w:rsidRPr="00597900" w:rsidRDefault="00EE1785" w:rsidP="00EE1785">
      <w:pPr>
        <w:pStyle w:val="SingleTxtG"/>
      </w:pPr>
      <w:r w:rsidRPr="00597900">
        <w:t>7.4</w:t>
      </w:r>
      <w:r w:rsidRPr="00597900">
        <w:tab/>
        <w:t>Комитет принимает к сведению утверждения автора о том, что ее права по статьям 19 и 21 Пакта были нарушены, поскольку решение № 167 ограничивает ее право на проведение массового мероприятия в месте по ее выбору. Комитет считает, что эти утверждения достаточно обоснованы для целей приемлемости. Поэтому он объявляет их приемлемыми и переходит к рассмотрению по существу.</w:t>
      </w:r>
    </w:p>
    <w:p w14:paraId="1537216F" w14:textId="77777777" w:rsidR="00EE1785" w:rsidRPr="00597900" w:rsidRDefault="00EE1785" w:rsidP="00EE1785">
      <w:pPr>
        <w:pStyle w:val="H4G"/>
      </w:pPr>
      <w:r w:rsidRPr="00597900">
        <w:tab/>
      </w:r>
      <w:r w:rsidRPr="00597900">
        <w:tab/>
      </w:r>
      <w:r w:rsidRPr="00597900">
        <w:rPr>
          <w:iCs/>
        </w:rPr>
        <w:t>Рассмотрение по существу</w:t>
      </w:r>
    </w:p>
    <w:p w14:paraId="7F0A5AAA" w14:textId="77777777" w:rsidR="00EE1785" w:rsidRPr="00597900" w:rsidRDefault="00EE1785" w:rsidP="00EE1785">
      <w:pPr>
        <w:pStyle w:val="SingleTxtG"/>
      </w:pPr>
      <w:r w:rsidRPr="00597900">
        <w:t>8.1</w:t>
      </w:r>
      <w:r w:rsidRPr="00597900">
        <w:tab/>
        <w:t>В соответствии со статьей 5, пункт 1, Факультативного протокола Комитет рассмотрел сообщение с учетом всей информации, предоставленной ему сторонами.</w:t>
      </w:r>
    </w:p>
    <w:p w14:paraId="4B452691" w14:textId="6C29E60A" w:rsidR="00EE1785" w:rsidRPr="00597900" w:rsidRDefault="00EE1785" w:rsidP="00EE1785">
      <w:pPr>
        <w:pStyle w:val="SingleTxtG"/>
      </w:pPr>
      <w:r w:rsidRPr="00597900">
        <w:t>8.2</w:t>
      </w:r>
      <w:r w:rsidRPr="00597900">
        <w:tab/>
        <w:t>Комитет принял к сведению утверждение автора о нарушении ее права по статье</w:t>
      </w:r>
      <w:r w:rsidR="002F4A55">
        <w:t> </w:t>
      </w:r>
      <w:r w:rsidRPr="00597900">
        <w:t>21 Пакта путем принятия и осуществления решения № 167, в частности в случае</w:t>
      </w:r>
      <w:r>
        <w:t xml:space="preserve"> заявления</w:t>
      </w:r>
      <w:r w:rsidRPr="00597900">
        <w:t xml:space="preserve"> автор</w:t>
      </w:r>
      <w:r>
        <w:t xml:space="preserve">а </w:t>
      </w:r>
      <w:r w:rsidRPr="00597900">
        <w:t>о проведении в месте по ее выбору собрания, посвященного дате ст</w:t>
      </w:r>
      <w:r>
        <w:t>а</w:t>
      </w:r>
      <w:r w:rsidRPr="00597900">
        <w:t xml:space="preserve"> дней после жанаозенского расстрела, которое должно было пройти 24 марта 2012 года.</w:t>
      </w:r>
    </w:p>
    <w:p w14:paraId="36E5576D" w14:textId="286BE2B5" w:rsidR="00EE1785" w:rsidRPr="00597900" w:rsidRDefault="00EE1785" w:rsidP="00EE1785">
      <w:pPr>
        <w:pStyle w:val="SingleTxtG"/>
        <w:rPr>
          <w:rStyle w:val="aa"/>
        </w:rPr>
      </w:pPr>
      <w:r w:rsidRPr="00597900">
        <w:t>8.3</w:t>
      </w:r>
      <w:r w:rsidRPr="00597900">
        <w:tab/>
        <w:t xml:space="preserve">Комитет напоминает, что право на мирные собрания, гарантируемое статьей 21 Пакта, является одним из основных прав человека, которое выступает неотъемлемым элементом публичного выражения мнений и убеждений личности и необходимо в </w:t>
      </w:r>
      <w:r w:rsidRPr="00597900">
        <w:lastRenderedPageBreak/>
        <w:t>демократическом обществе</w:t>
      </w:r>
      <w:r w:rsidRPr="00597900">
        <w:rPr>
          <w:rStyle w:val="aa"/>
        </w:rPr>
        <w:footnoteReference w:id="10"/>
      </w:r>
      <w:r w:rsidRPr="00597900">
        <w:t>. Комитет далее отмечает, что это право не подлежит никаким ограничениям, кроме тех, которые: а) предусматриваются законом; b)</w:t>
      </w:r>
      <w:r w:rsidR="00CF122E">
        <w:t> </w:t>
      </w:r>
      <w:r w:rsidRPr="00597900">
        <w:t xml:space="preserve">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Когда государство-участник налагает ограничения с целью </w:t>
      </w:r>
      <w:r>
        <w:t>обеспечить баланс между</w:t>
      </w:r>
      <w:r w:rsidRPr="00597900">
        <w:t xml:space="preserve"> право</w:t>
      </w:r>
      <w:r>
        <w:t>м</w:t>
      </w:r>
      <w:r w:rsidRPr="00597900">
        <w:t xml:space="preserve"> человека на собрания </w:t>
      </w:r>
      <w:r>
        <w:t>и</w:t>
      </w:r>
      <w:r w:rsidRPr="00597900">
        <w:t xml:space="preserve"> вышеупомянутыми общими интересами, оно должно </w:t>
      </w:r>
      <w:r>
        <w:t xml:space="preserve">стремиться </w:t>
      </w:r>
      <w:r w:rsidRPr="00597900">
        <w:t>содействовать осуществлению данного права, а не избыточно или несоразмерно ограничить его</w:t>
      </w:r>
      <w:r w:rsidRPr="00597900">
        <w:rPr>
          <w:rStyle w:val="aa"/>
        </w:rPr>
        <w:footnoteReference w:id="11"/>
      </w:r>
      <w:r w:rsidRPr="00597900">
        <w:t>. Таким образом, государство-участник обязано обосновать необходимость ограничения права, гарантируемого статьей 21 Пакта, и доказать, что такое ограничение не является несоразмерным препятствием для осуществления этого права</w:t>
      </w:r>
      <w:r w:rsidRPr="00597900">
        <w:rPr>
          <w:rStyle w:val="aa"/>
        </w:rPr>
        <w:footnoteReference w:id="12"/>
      </w:r>
      <w:r w:rsidRPr="00597900">
        <w:t>.</w:t>
      </w:r>
    </w:p>
    <w:p w14:paraId="1757C6C5" w14:textId="77777777" w:rsidR="00EE1785" w:rsidRPr="00597900" w:rsidRDefault="00EE1785" w:rsidP="00EE1785">
      <w:pPr>
        <w:spacing w:after="120"/>
        <w:ind w:left="1134" w:right="1134"/>
        <w:jc w:val="both"/>
      </w:pPr>
      <w:r w:rsidRPr="00597900">
        <w:t>8.4</w:t>
      </w:r>
      <w:r w:rsidRPr="00597900">
        <w:tab/>
        <w:t xml:space="preserve">В данном случае Комитет отмечает, что как государство-участник, так и автор согласны </w:t>
      </w:r>
      <w:r>
        <w:t>в</w:t>
      </w:r>
      <w:r w:rsidRPr="00597900">
        <w:t xml:space="preserve"> т</w:t>
      </w:r>
      <w:r>
        <w:t>о</w:t>
      </w:r>
      <w:r w:rsidRPr="00597900">
        <w:t>м, что решение № 167 налагает ограничения на свободу собраний, но что стороны расходятся во мнениях о</w:t>
      </w:r>
      <w:r>
        <w:t xml:space="preserve"> </w:t>
      </w:r>
      <w:r w:rsidRPr="00597900">
        <w:t>допустимо</w:t>
      </w:r>
      <w:r>
        <w:t>сти</w:t>
      </w:r>
      <w:r w:rsidRPr="00597900">
        <w:t xml:space="preserve"> данно</w:t>
      </w:r>
      <w:r>
        <w:t>го</w:t>
      </w:r>
      <w:r w:rsidRPr="00597900">
        <w:t xml:space="preserve"> ограничени</w:t>
      </w:r>
      <w:r>
        <w:t>я</w:t>
      </w:r>
      <w:r w:rsidRPr="00597900">
        <w:t>.</w:t>
      </w:r>
    </w:p>
    <w:p w14:paraId="1D7122B3" w14:textId="02366575" w:rsidR="00EE1785" w:rsidRPr="00597900" w:rsidRDefault="00EE1785" w:rsidP="00EE1785">
      <w:pPr>
        <w:pStyle w:val="SingleTxtG"/>
      </w:pPr>
      <w:r w:rsidRPr="00597900">
        <w:t>8.5</w:t>
      </w:r>
      <w:r w:rsidRPr="00597900">
        <w:tab/>
        <w:t xml:space="preserve">Комитет принимает к сведению замечание государства-участника о том, что на основании статьи 10 Закона Республики Казахстан от 17 марта 1995 года № 2126 </w:t>
      </w:r>
      <w:r w:rsidR="00CF122E">
        <w:t>«</w:t>
      </w:r>
      <w:r w:rsidRPr="00597900">
        <w:t>О</w:t>
      </w:r>
      <w:r w:rsidR="00CF122E">
        <w:t> </w:t>
      </w:r>
      <w:r w:rsidRPr="00597900">
        <w:t>порядке организации и проведения мирных собраний, митингов, шествий, пикетов и демонстраций</w:t>
      </w:r>
      <w:r w:rsidR="00CF122E">
        <w:t>»</w:t>
      </w:r>
      <w:r w:rsidRPr="00597900">
        <w:t xml:space="preserve"> местные исполнительные органы могут регулировать порядок организации публичных мероприятий на основе требований, определенных местными условиями. Комитет также принимает к сведению пояснение государства-участника о том, что решение № 167 было принято с целью гарантировать защиту прав и свобод других лиц и общественной безопасности, нормальное функционирование общественного транспорта и инфраструктуры, а также охрану ландшафта и архитектуры, в связи с чем сквер за кинотеатром «Сары-Арка» был определен местом проведения всех негосударственных публичных мероприятий </w:t>
      </w:r>
      <w:r w:rsidR="00CF122E">
        <w:t>«</w:t>
      </w:r>
      <w:r w:rsidRPr="00597900">
        <w:t>общественно-политического характера</w:t>
      </w:r>
      <w:r w:rsidR="00CF122E">
        <w:t>»</w:t>
      </w:r>
      <w:r w:rsidRPr="00597900">
        <w:t>.</w:t>
      </w:r>
    </w:p>
    <w:p w14:paraId="184CEA2C" w14:textId="5654F043" w:rsidR="00EE1785" w:rsidRPr="00597900" w:rsidRDefault="00EE1785" w:rsidP="00EE1785">
      <w:pPr>
        <w:pStyle w:val="SingleTxtG"/>
      </w:pPr>
      <w:r w:rsidRPr="00597900">
        <w:t>8.6</w:t>
      </w:r>
      <w:r w:rsidRPr="00597900">
        <w:tab/>
        <w:t xml:space="preserve">Комитет полагает, что мирные собрания в принципе могут проводиться во всех местах, в которые население имеет или должно иметь доступ на основании статьи 12 Пакта и других соответствующих прав, таких как общественные площади и улицы. Комитет также отмечает, что участникам собрания следует, насколько это возможно, разрешать собираться </w:t>
      </w:r>
      <w:r w:rsidR="00CF122E">
        <w:t>«</w:t>
      </w:r>
      <w:r w:rsidRPr="00597900">
        <w:t>в пределах видимости и слышимости</w:t>
      </w:r>
      <w:r w:rsidR="00CF122E">
        <w:t>»</w:t>
      </w:r>
      <w:r w:rsidRPr="00597900">
        <w:t xml:space="preserve"> их целевой аудитории</w:t>
      </w:r>
      <w:r w:rsidRPr="00597900">
        <w:rPr>
          <w:rStyle w:val="aa"/>
        </w:rPr>
        <w:footnoteReference w:id="13"/>
      </w:r>
      <w:r w:rsidRPr="00597900">
        <w:t>. Место, как и время, зачастую играет центральную роль в осуществлении выразительной цели, для которой проводятся собрания. Не следует вынуждать участников собираться в отдаленных районах, в которых они не смогут привлечь внимание своих адресатов или широких кругов населения</w:t>
      </w:r>
      <w:r w:rsidRPr="00597900">
        <w:rPr>
          <w:rStyle w:val="aa"/>
        </w:rPr>
        <w:footnoteReference w:id="14"/>
      </w:r>
      <w:r w:rsidRPr="00597900">
        <w:t>. Общие запреты проведени</w:t>
      </w:r>
      <w:r>
        <w:t>я</w:t>
      </w:r>
      <w:r w:rsidRPr="00597900">
        <w:t xml:space="preserve"> собраний на всей территории столичного города</w:t>
      </w:r>
      <w:r w:rsidRPr="00597900">
        <w:rPr>
          <w:rStyle w:val="aa"/>
        </w:rPr>
        <w:footnoteReference w:id="15"/>
      </w:r>
      <w:r w:rsidRPr="00597900">
        <w:t xml:space="preserve"> или в любом общественном месте, за исключением одного специально указанного места как в городе</w:t>
      </w:r>
      <w:r w:rsidRPr="00597900">
        <w:rPr>
          <w:rStyle w:val="aa"/>
        </w:rPr>
        <w:footnoteReference w:id="16"/>
      </w:r>
      <w:r w:rsidRPr="00597900">
        <w:t>, так и за пределами центра города</w:t>
      </w:r>
      <w:r w:rsidRPr="00597900">
        <w:rPr>
          <w:rStyle w:val="aa"/>
        </w:rPr>
        <w:footnoteReference w:id="17"/>
      </w:r>
      <w:r w:rsidRPr="00597900">
        <w:t xml:space="preserve">, или же более общие запреты, такие как на </w:t>
      </w:r>
      <w:r w:rsidR="00CF122E">
        <w:t>«</w:t>
      </w:r>
      <w:r w:rsidRPr="00597900">
        <w:t>улицах</w:t>
      </w:r>
      <w:r w:rsidR="00CF122E">
        <w:t>»</w:t>
      </w:r>
      <w:r w:rsidRPr="00597900">
        <w:t>, вводиться не могут.</w:t>
      </w:r>
    </w:p>
    <w:p w14:paraId="59C055DA" w14:textId="77777777" w:rsidR="00EE1785" w:rsidRPr="00597900" w:rsidRDefault="00EE1785" w:rsidP="00EE1785">
      <w:pPr>
        <w:pStyle w:val="SingleTxtG"/>
        <w:rPr>
          <w:rStyle w:val="aa"/>
        </w:rPr>
      </w:pPr>
      <w:r w:rsidRPr="00597900">
        <w:t>8.7</w:t>
      </w:r>
      <w:r w:rsidRPr="00597900">
        <w:tab/>
        <w:t xml:space="preserve">Комитет далее считает, что именно в силу своего характера собрания иногда нарушают повседневное осуществление таких прав, как свобода передвижения. В этом отношении следует проявлять терпимость, если только данная ситуация не служит источником несоразмерного бремени, и в таких случаях должны приводиться подробные основания введения ограничений. Утверждения о том, что собрание </w:t>
      </w:r>
      <w:r w:rsidRPr="00597900">
        <w:lastRenderedPageBreak/>
        <w:t>приведет к неоправданному нарушению дорожного движения и движения пешеходов, должны быть обоснованы, с тем чтобы можно было провести полную оценку</w:t>
      </w:r>
      <w:r w:rsidRPr="00597900">
        <w:rPr>
          <w:rStyle w:val="aa"/>
        </w:rPr>
        <w:footnoteReference w:id="18"/>
      </w:r>
      <w:r w:rsidRPr="00597900">
        <w:t>.</w:t>
      </w:r>
    </w:p>
    <w:p w14:paraId="42AA6B0E" w14:textId="6A0D03D6" w:rsidR="00EE1785" w:rsidRPr="00597900" w:rsidRDefault="00EE1785" w:rsidP="00EE1785">
      <w:pPr>
        <w:pStyle w:val="SingleTxtG"/>
      </w:pPr>
      <w:r w:rsidRPr="00597900">
        <w:t>8.8</w:t>
      </w:r>
      <w:r w:rsidRPr="00597900">
        <w:tab/>
        <w:t xml:space="preserve">Комитет считает, что государство-участник не </w:t>
      </w:r>
      <w:r>
        <w:t>привело</w:t>
      </w:r>
      <w:r w:rsidRPr="00597900">
        <w:t xml:space="preserve"> достаточных объяснений причин, по которым запрет проведения публичных мероприятий </w:t>
      </w:r>
      <w:r w:rsidR="00CF122E">
        <w:t>«</w:t>
      </w:r>
      <w:r w:rsidRPr="00597900">
        <w:t>общественно-политического характера</w:t>
      </w:r>
      <w:r w:rsidR="00CF122E">
        <w:t>»</w:t>
      </w:r>
      <w:r w:rsidRPr="00597900">
        <w:t xml:space="preserve"> во всех местах, кроме сквера за кинотеатром </w:t>
      </w:r>
      <w:r w:rsidR="00CF122E">
        <w:t>«</w:t>
      </w:r>
      <w:r w:rsidRPr="00597900">
        <w:t>Сары-Арка</w:t>
      </w:r>
      <w:r w:rsidR="00CF122E">
        <w:t>»</w:t>
      </w:r>
      <w:r w:rsidRPr="00597900">
        <w:t>, был необходим для целей Закона № 2126, или того, в какой степени такая мера, введенная в отношении мероприятия, которое планировала провести автор, была соразмерна эт</w:t>
      </w:r>
      <w:r>
        <w:t>им</w:t>
      </w:r>
      <w:r w:rsidRPr="00597900">
        <w:t xml:space="preserve"> цел</w:t>
      </w:r>
      <w:r>
        <w:t>ям</w:t>
      </w:r>
      <w:r w:rsidRPr="00597900">
        <w:t>. Соответственно, Комитет считает, что в данном случае государство-участник не доказало, что введенные ограничения свободы собраний автора были необходимыми и соразмерными. Кроме того, государство-участник не указало, какие другие официальные мероприятия республиканского и местного значени</w:t>
      </w:r>
      <w:r>
        <w:t>я</w:t>
      </w:r>
      <w:r w:rsidRPr="00597900">
        <w:t xml:space="preserve">, организованные соответствующими государственными органами, прошли в сквере за кинотеатром </w:t>
      </w:r>
      <w:r w:rsidR="00CF122E">
        <w:t>«</w:t>
      </w:r>
      <w:r w:rsidRPr="00597900">
        <w:t>Сары-Арка</w:t>
      </w:r>
      <w:r w:rsidR="00CF122E">
        <w:t>»</w:t>
      </w:r>
      <w:r w:rsidRPr="00597900">
        <w:t xml:space="preserve"> (см. </w:t>
      </w:r>
      <w:r w:rsidR="00CF122E">
        <w:t>п.</w:t>
      </w:r>
      <w:r w:rsidRPr="00597900">
        <w:t xml:space="preserve"> 6.3).</w:t>
      </w:r>
    </w:p>
    <w:p w14:paraId="1ED9D047" w14:textId="0CCC9F20" w:rsidR="00EE1785" w:rsidRPr="00597900" w:rsidRDefault="00EE1785" w:rsidP="00EE1785">
      <w:pPr>
        <w:pStyle w:val="SingleTxtG"/>
      </w:pPr>
      <w:r w:rsidRPr="00597900">
        <w:t>8.9</w:t>
      </w:r>
      <w:r w:rsidRPr="00597900">
        <w:tab/>
        <w:t xml:space="preserve">Комитет принимает к сведению утверждение автора о том, что решение № 167 носит дискриминационный характер, поскольку в нем для проведения негосударственных массовых мероприятий отводится только одно место, в то время как для проведения государственных массовых мероприятий могут использоваться все площади и скверы. Комитет принимает к сведению довод государства-участника о том, что решение № 167 не является дискриминационным по политическим мотивам и что рекомендованное место проведения </w:t>
      </w:r>
      <w:r w:rsidR="00B564DC">
        <w:t>—</w:t>
      </w:r>
      <w:r w:rsidRPr="00597900">
        <w:t xml:space="preserve"> сквер за кинотеатром </w:t>
      </w:r>
      <w:r w:rsidR="00B564DC">
        <w:t>«</w:t>
      </w:r>
      <w:r w:rsidRPr="00597900">
        <w:t>Сары-Арка</w:t>
      </w:r>
      <w:r w:rsidR="00B564DC">
        <w:t>»</w:t>
      </w:r>
      <w:r w:rsidRPr="00597900">
        <w:t xml:space="preserve"> </w:t>
      </w:r>
      <w:r w:rsidR="00B564DC">
        <w:t>—</w:t>
      </w:r>
      <w:r w:rsidRPr="00597900">
        <w:t xml:space="preserve"> также может использоваться для проведения официальных мероприятий республиканского и местного значения, организуемых соответствующими государственными органами, и иных мероприятий с участием высших должностных лиц государства и руководства города Алматы.</w:t>
      </w:r>
    </w:p>
    <w:p w14:paraId="2518059E" w14:textId="77777777" w:rsidR="00EE1785" w:rsidRPr="00597900" w:rsidRDefault="00EE1785" w:rsidP="00EE1785">
      <w:pPr>
        <w:pStyle w:val="SingleTxtG"/>
        <w:rPr>
          <w:color w:val="000000"/>
        </w:rPr>
      </w:pPr>
      <w:r w:rsidRPr="00597900">
        <w:t>8.10</w:t>
      </w:r>
      <w:r w:rsidRPr="00597900">
        <w:tab/>
        <w:t>Комитет напоминает, что участникам следует свободно определять цель проведения мирного собрания для распространения идей и амбициозных целей в общественной сфере и получения определенной поддержки или противодействия таким идеям и целям. Комитет отмечает, что ограничения в отношении таких собраний не должны носить дискриминационного характера, что время, место и способ проведения собраний, как правило, регулируются без учета их содержания, и что если имеются дополнительные основания для ограничений, регулирующих эти элементы, ответственность за обоснование любых таких ограничений в каждом конкретном случае лежит на органах власти</w:t>
      </w:r>
      <w:r w:rsidRPr="00597900">
        <w:rPr>
          <w:rStyle w:val="aa"/>
        </w:rPr>
        <w:footnoteReference w:id="19"/>
      </w:r>
      <w:r w:rsidRPr="00597900">
        <w:t>. Вместе с тем Комитет считает, что в данном случае ограничения, наложенные государством-участником в отношении права автора на собрания, были напрямую связаны с характером публичного мероприятия, а именно с тем, организовывалось ли оно соответствующим государственным органом как официальное мероприятие или негосударственным субъектом как общественно-политическое мероприятие.</w:t>
      </w:r>
    </w:p>
    <w:p w14:paraId="259C3F5D" w14:textId="77777777" w:rsidR="00EE1785" w:rsidRPr="00597900" w:rsidRDefault="00EE1785" w:rsidP="00EE1785">
      <w:pPr>
        <w:pStyle w:val="SingleTxtG"/>
      </w:pPr>
      <w:r w:rsidRPr="00597900">
        <w:t>8.11</w:t>
      </w:r>
      <w:r w:rsidRPr="00597900">
        <w:tab/>
        <w:t>В отсутствие каких-либо пояснений со стороны государства-участника</w:t>
      </w:r>
      <w:r>
        <w:t xml:space="preserve">, </w:t>
      </w:r>
      <w:r w:rsidRPr="00597900">
        <w:t>обоснов</w:t>
      </w:r>
      <w:r>
        <w:t>ывающих</w:t>
      </w:r>
      <w:r w:rsidRPr="00597900">
        <w:t xml:space="preserve"> раз</w:t>
      </w:r>
      <w:r>
        <w:t>ницу в</w:t>
      </w:r>
      <w:r w:rsidRPr="00597900">
        <w:t xml:space="preserve"> обращени</w:t>
      </w:r>
      <w:r>
        <w:t>и</w:t>
      </w:r>
      <w:r w:rsidRPr="00597900">
        <w:t>, Комитет считает, что государство-участник не установило, что наложенное на право автора на мирные собрания ограничение было основано на разумных и объективных критериях и преследовало цель, являющуюся законной согласно Пакту, и что поэтому принятие и осуществление решения № 167 было равносильно нарушению прав автора по статье 21 Пакта.</w:t>
      </w:r>
    </w:p>
    <w:p w14:paraId="763798C4" w14:textId="77777777" w:rsidR="00EE1785" w:rsidRPr="00597900" w:rsidRDefault="00EE1785" w:rsidP="00EE1785">
      <w:pPr>
        <w:pStyle w:val="SingleTxtG"/>
      </w:pPr>
      <w:r w:rsidRPr="00597900">
        <w:t>8.12</w:t>
      </w:r>
      <w:r w:rsidRPr="00597900">
        <w:tab/>
        <w:t>Придя к выводу о допущенном нарушении статьи 21 Пакта, Комитет решает не рассматривать отдельно утверждения автора по статье 19.</w:t>
      </w:r>
    </w:p>
    <w:p w14:paraId="4DEC8A11" w14:textId="77777777" w:rsidR="00EE1785" w:rsidRPr="00597900" w:rsidRDefault="00EE1785" w:rsidP="00EE1785">
      <w:pPr>
        <w:pStyle w:val="SingleTxtG"/>
      </w:pPr>
      <w:r w:rsidRPr="00597900">
        <w:t>9.</w:t>
      </w:r>
      <w:r w:rsidRPr="00597900">
        <w:tab/>
        <w:t>Действуя в соответствии со статьей 5, пункт 4, Факультативного протокола, Комитет заключает, что представленные ему факты свидетельствуют о нарушении государством-участником прав автора, предусмотренных статьей 21 Пакта.</w:t>
      </w:r>
    </w:p>
    <w:p w14:paraId="0679998D" w14:textId="77777777" w:rsidR="00EE1785" w:rsidRPr="00597900" w:rsidRDefault="00EE1785" w:rsidP="00EE1785">
      <w:pPr>
        <w:pStyle w:val="SingleTxtG"/>
      </w:pPr>
      <w:r w:rsidRPr="00597900">
        <w:t>10.</w:t>
      </w:r>
      <w:r w:rsidRPr="00597900">
        <w:tab/>
        <w:t xml:space="preserve">В соответствии со статьей 2, подпункт 3 а), Пакта государство-участник обязано предоставить автору эффективное средство правовой защиты. Для этого должно быть </w:t>
      </w:r>
      <w:r w:rsidRPr="00597900">
        <w:lastRenderedPageBreak/>
        <w:t>предоставлено полное возмещение лицам, чьи права по Пакту были нарушены. Соответственно, государство-участник обязано, в частности, предоставить автору надлежащую компенсацию, и возместить понесенные ею судебные издержки. Государство-участник обязано также принять все необходимые меры для недопущения подобных нарушений в будущем. В этой связи Комитет вновь заявляет, что в соответствии с его обязательствами по статье 2, пункт 2, Пакта государству-участнику следует пересмотреть свое законодательство, чтобы обеспечить возможность полной реализации в государстве-участнике прав, предусмотренных статьей 21 Пакта, включая право на организацию и проведение мирных собраний, митингов, шествий, пикетов и демонстраций.</w:t>
      </w:r>
    </w:p>
    <w:p w14:paraId="0B180DC8" w14:textId="020474DE" w:rsidR="003500D5" w:rsidRDefault="00EE1785" w:rsidP="00EE1785">
      <w:pPr>
        <w:pStyle w:val="SingleTxtG"/>
      </w:pPr>
      <w:r w:rsidRPr="00597900">
        <w:t>11.</w:t>
      </w:r>
      <w:r w:rsidRPr="00597900">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настоящих соображений Комитета. Государству-участнику предлагается также обнародовать настоящие соображения и обеспечить их широкое распространение на своих официальных языках.</w:t>
      </w:r>
    </w:p>
    <w:p w14:paraId="1FDD0DB5" w14:textId="45D6313A" w:rsidR="003500D5" w:rsidRPr="00EE1785" w:rsidRDefault="00EE1785" w:rsidP="00EE1785">
      <w:pPr>
        <w:pStyle w:val="SingleTxtG"/>
        <w:spacing w:before="240" w:after="0"/>
        <w:jc w:val="center"/>
        <w:rPr>
          <w:u w:val="single"/>
        </w:rPr>
      </w:pPr>
      <w:r>
        <w:rPr>
          <w:u w:val="single"/>
        </w:rPr>
        <w:tab/>
      </w:r>
      <w:r>
        <w:rPr>
          <w:u w:val="single"/>
        </w:rPr>
        <w:tab/>
      </w:r>
      <w:r>
        <w:rPr>
          <w:u w:val="single"/>
        </w:rPr>
        <w:tab/>
      </w:r>
    </w:p>
    <w:sectPr w:rsidR="003500D5" w:rsidRPr="00EE1785" w:rsidSect="003500D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5ACC" w14:textId="77777777" w:rsidR="00717547" w:rsidRPr="00A312BC" w:rsidRDefault="00717547" w:rsidP="00A312BC"/>
  </w:endnote>
  <w:endnote w:type="continuationSeparator" w:id="0">
    <w:p w14:paraId="05CA182E" w14:textId="77777777" w:rsidR="00717547" w:rsidRPr="00A312BC" w:rsidRDefault="0071754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FE7F" w14:textId="16D00116" w:rsidR="003500D5" w:rsidRPr="003500D5" w:rsidRDefault="003500D5">
    <w:pPr>
      <w:pStyle w:val="a8"/>
    </w:pPr>
    <w:r w:rsidRPr="003500D5">
      <w:rPr>
        <w:b/>
        <w:sz w:val="18"/>
      </w:rPr>
      <w:fldChar w:fldCharType="begin"/>
    </w:r>
    <w:r w:rsidRPr="003500D5">
      <w:rPr>
        <w:b/>
        <w:sz w:val="18"/>
      </w:rPr>
      <w:instrText xml:space="preserve"> PAGE  \* MERGEFORMAT </w:instrText>
    </w:r>
    <w:r w:rsidRPr="003500D5">
      <w:rPr>
        <w:b/>
        <w:sz w:val="18"/>
      </w:rPr>
      <w:fldChar w:fldCharType="separate"/>
    </w:r>
    <w:r w:rsidRPr="003500D5">
      <w:rPr>
        <w:b/>
        <w:noProof/>
        <w:sz w:val="18"/>
      </w:rPr>
      <w:t>2</w:t>
    </w:r>
    <w:r w:rsidRPr="003500D5">
      <w:rPr>
        <w:b/>
        <w:sz w:val="18"/>
      </w:rPr>
      <w:fldChar w:fldCharType="end"/>
    </w:r>
    <w:r>
      <w:rPr>
        <w:b/>
        <w:sz w:val="18"/>
      </w:rPr>
      <w:tab/>
    </w:r>
    <w:r>
      <w:t>GE.21-03254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015B" w14:textId="5807E825" w:rsidR="003500D5" w:rsidRPr="003500D5" w:rsidRDefault="003500D5" w:rsidP="003500D5">
    <w:pPr>
      <w:pStyle w:val="a8"/>
      <w:tabs>
        <w:tab w:val="clear" w:pos="9639"/>
        <w:tab w:val="right" w:pos="9638"/>
      </w:tabs>
      <w:rPr>
        <w:b/>
        <w:sz w:val="18"/>
      </w:rPr>
    </w:pPr>
    <w:r>
      <w:t>GE.21-03254</w:t>
    </w:r>
    <w:r>
      <w:tab/>
    </w:r>
    <w:r w:rsidRPr="003500D5">
      <w:rPr>
        <w:b/>
        <w:sz w:val="18"/>
      </w:rPr>
      <w:fldChar w:fldCharType="begin"/>
    </w:r>
    <w:r w:rsidRPr="003500D5">
      <w:rPr>
        <w:b/>
        <w:sz w:val="18"/>
      </w:rPr>
      <w:instrText xml:space="preserve"> PAGE  \* MERGEFORMAT </w:instrText>
    </w:r>
    <w:r w:rsidRPr="003500D5">
      <w:rPr>
        <w:b/>
        <w:sz w:val="18"/>
      </w:rPr>
      <w:fldChar w:fldCharType="separate"/>
    </w:r>
    <w:r w:rsidRPr="003500D5">
      <w:rPr>
        <w:b/>
        <w:noProof/>
        <w:sz w:val="18"/>
      </w:rPr>
      <w:t>3</w:t>
    </w:r>
    <w:r w:rsidRPr="003500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5ECF" w14:textId="10199183" w:rsidR="00042B72" w:rsidRPr="003500D5" w:rsidRDefault="003500D5" w:rsidP="003500D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1EB41D2" wp14:editId="770A8C7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21-03254  (R)</w:t>
    </w:r>
    <w:r>
      <w:rPr>
        <w:noProof/>
      </w:rPr>
      <w:drawing>
        <wp:anchor distT="0" distB="0" distL="114300" distR="114300" simplePos="0" relativeHeight="251659264" behindDoc="0" locked="0" layoutInCell="1" allowOverlap="1" wp14:anchorId="47ECD1F0" wp14:editId="6EB0F6F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4EA">
      <w:t xml:space="preserve">  140421  280421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BFC3" w14:textId="77777777" w:rsidR="00717547" w:rsidRPr="001075E9" w:rsidRDefault="00717547" w:rsidP="001075E9">
      <w:pPr>
        <w:tabs>
          <w:tab w:val="right" w:pos="2155"/>
        </w:tabs>
        <w:spacing w:after="80" w:line="240" w:lineRule="auto"/>
        <w:ind w:left="680"/>
        <w:rPr>
          <w:u w:val="single"/>
        </w:rPr>
      </w:pPr>
      <w:r>
        <w:rPr>
          <w:u w:val="single"/>
        </w:rPr>
        <w:tab/>
      </w:r>
    </w:p>
  </w:footnote>
  <w:footnote w:type="continuationSeparator" w:id="0">
    <w:p w14:paraId="3B387882" w14:textId="77777777" w:rsidR="00717547" w:rsidRDefault="00717547" w:rsidP="00407B78">
      <w:pPr>
        <w:tabs>
          <w:tab w:val="right" w:pos="2155"/>
        </w:tabs>
        <w:spacing w:after="80"/>
        <w:ind w:left="680"/>
        <w:rPr>
          <w:u w:val="single"/>
        </w:rPr>
      </w:pPr>
      <w:r>
        <w:rPr>
          <w:u w:val="single"/>
        </w:rPr>
        <w:tab/>
      </w:r>
    </w:p>
  </w:footnote>
  <w:footnote w:id="1">
    <w:p w14:paraId="1DD1FABC" w14:textId="5B815389" w:rsidR="003500D5" w:rsidRPr="00D06812" w:rsidRDefault="003500D5" w:rsidP="003500D5">
      <w:pPr>
        <w:pStyle w:val="ad"/>
      </w:pPr>
      <w:r w:rsidRPr="00D06812">
        <w:tab/>
      </w:r>
      <w:r w:rsidRPr="00FA79A2">
        <w:rPr>
          <w:sz w:val="20"/>
        </w:rPr>
        <w:t>*</w:t>
      </w:r>
      <w:r w:rsidRPr="00D06812">
        <w:tab/>
        <w:t>Принят</w:t>
      </w:r>
      <w:r w:rsidR="00444816">
        <w:t>ы</w:t>
      </w:r>
      <w:r w:rsidRPr="00D06812">
        <w:t xml:space="preserve"> Комитетом на его сто двадцать девятой сессии (29 июня — 24 июля 2020 года).</w:t>
      </w:r>
    </w:p>
  </w:footnote>
  <w:footnote w:id="2">
    <w:p w14:paraId="1B8CC4A8" w14:textId="77777777" w:rsidR="003500D5" w:rsidRPr="00D06812" w:rsidRDefault="003500D5" w:rsidP="003500D5">
      <w:pPr>
        <w:pStyle w:val="ad"/>
      </w:pPr>
      <w:r w:rsidRPr="00D06812">
        <w:tab/>
      </w:r>
      <w:r w:rsidRPr="00FA79A2">
        <w:rPr>
          <w:sz w:val="20"/>
        </w:rPr>
        <w:t>**</w:t>
      </w:r>
      <w:r w:rsidRPr="00D06812">
        <w:tab/>
        <w:t>В рассмотрении настоящего сообщения приняли участие следующие члены Комитета: Тания Мария Абдо Рочоль, Яд Бен Ашур, Ариф Балкан, Ахмед Амин Фатхалла, Фуруя Сюити, Кристоф Хейнс, Бамариам Койта, Марсия В. Дж. Кран,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0004166F" w14:textId="77777777" w:rsidR="00EE1785" w:rsidRPr="00D06812" w:rsidRDefault="00EE1785" w:rsidP="00EE1785">
      <w:pPr>
        <w:pStyle w:val="ad"/>
      </w:pPr>
      <w:r w:rsidRPr="00D06812">
        <w:tab/>
      </w:r>
      <w:r w:rsidRPr="00D06812">
        <w:rPr>
          <w:rStyle w:val="aa"/>
        </w:rPr>
        <w:footnoteRef/>
      </w:r>
      <w:r w:rsidRPr="00D06812">
        <w:tab/>
        <w:t>Автор является активистом гражданского общества.</w:t>
      </w:r>
    </w:p>
  </w:footnote>
  <w:footnote w:id="4">
    <w:p w14:paraId="37DD5321" w14:textId="77777777" w:rsidR="00EE1785" w:rsidRPr="00D06812" w:rsidRDefault="00EE1785" w:rsidP="00EE1785">
      <w:pPr>
        <w:pStyle w:val="ad"/>
      </w:pPr>
      <w:r w:rsidRPr="00D06812">
        <w:tab/>
      </w:r>
      <w:r w:rsidRPr="00D06812">
        <w:rPr>
          <w:rStyle w:val="aa"/>
        </w:rPr>
        <w:footnoteRef/>
      </w:r>
      <w:r w:rsidRPr="00D06812">
        <w:tab/>
        <w:t>Эквивалент мэрии (место нахождения муниципального, районного или областного правительства).</w:t>
      </w:r>
    </w:p>
  </w:footnote>
  <w:footnote w:id="5">
    <w:p w14:paraId="40CAE94E" w14:textId="0B6E876A" w:rsidR="00EE1785" w:rsidRPr="00D06812" w:rsidRDefault="00EE1785" w:rsidP="00EE1785">
      <w:pPr>
        <w:pStyle w:val="ad"/>
      </w:pPr>
      <w:r w:rsidRPr="00D06812">
        <w:tab/>
      </w:r>
      <w:r w:rsidRPr="00D06812">
        <w:rPr>
          <w:rStyle w:val="aa"/>
        </w:rPr>
        <w:footnoteRef/>
      </w:r>
      <w:r w:rsidRPr="00D06812">
        <w:tab/>
        <w:t xml:space="preserve">В соответствии с Законом Республики Казахстан от 17 марта 1995 года </w:t>
      </w:r>
      <w:r w:rsidR="00D648D9">
        <w:t>«</w:t>
      </w:r>
      <w:r w:rsidRPr="00D06812">
        <w:t>О порядке организации и проведения мирных собраний, митингов, шествий, пикетов и демонстраций</w:t>
      </w:r>
      <w:r w:rsidR="00D648D9">
        <w:t>»</w:t>
      </w:r>
      <w:r w:rsidRPr="00D06812">
        <w:t xml:space="preserve"> организатор мирного собрания подает заявление в местный исполнительный орган на разрешение о проведении такого собрания не позднее чем за 10 дней до намеченной даты его проведения. Мирное собрание считается </w:t>
      </w:r>
      <w:r w:rsidR="00D648D9">
        <w:t>«</w:t>
      </w:r>
      <w:r w:rsidRPr="00D06812">
        <w:t>санкционированным</w:t>
      </w:r>
      <w:r w:rsidR="00D648D9">
        <w:t>»</w:t>
      </w:r>
      <w:r w:rsidRPr="00D06812">
        <w:t xml:space="preserve"> после получения организатором положительного решения в письменной форме. Все мирные собрания, организованные в отсутствие письменного разрешения, считаются </w:t>
      </w:r>
      <w:r w:rsidR="00D648D9">
        <w:t>«</w:t>
      </w:r>
      <w:r w:rsidRPr="00D06812">
        <w:t>несанкционированными</w:t>
      </w:r>
      <w:r w:rsidR="00D648D9">
        <w:t>»</w:t>
      </w:r>
      <w:r w:rsidRPr="00D06812">
        <w:t>, а их организаторы и участники систематически привлекаются к административной ответственности.</w:t>
      </w:r>
    </w:p>
  </w:footnote>
  <w:footnote w:id="6">
    <w:p w14:paraId="436539F7" w14:textId="77777777" w:rsidR="00EE1785" w:rsidRPr="00D06812" w:rsidRDefault="00EE1785" w:rsidP="00EE1785">
      <w:pPr>
        <w:pStyle w:val="ad"/>
      </w:pPr>
      <w:r w:rsidRPr="00D06812">
        <w:tab/>
      </w:r>
      <w:r w:rsidRPr="00D06812">
        <w:rPr>
          <w:rStyle w:val="aa"/>
        </w:rPr>
        <w:footnoteRef/>
      </w:r>
      <w:r w:rsidRPr="00D06812">
        <w:tab/>
        <w:t xml:space="preserve">Как явствует из решения районного суда № 2 Алмалинского района города Алматы от 19 июня 2012 года, 24 марта 2012 года автор организовала так называемый несанкционированный митинг в память жертв расстрела в Жанаозене. Впоследствии она была привлечена к административной ответственности за нарушение законодательства об организации и проведении мирных собраний. </w:t>
      </w:r>
    </w:p>
  </w:footnote>
  <w:footnote w:id="7">
    <w:p w14:paraId="1D6D9066" w14:textId="33B11F8F" w:rsidR="00EE1785" w:rsidRPr="00D06812" w:rsidRDefault="00EE1785" w:rsidP="00EE1785">
      <w:pPr>
        <w:pStyle w:val="ad"/>
      </w:pPr>
      <w:r w:rsidRPr="00D06812">
        <w:tab/>
      </w:r>
      <w:r w:rsidRPr="00D06812">
        <w:rPr>
          <w:rStyle w:val="aa"/>
        </w:rPr>
        <w:footnoteRef/>
      </w:r>
      <w:r w:rsidRPr="00D06812">
        <w:tab/>
        <w:t>Эквивалент муниципального совета, т</w:t>
      </w:r>
      <w:r w:rsidR="00D648D9">
        <w:t>.</w:t>
      </w:r>
      <w:r w:rsidRPr="00D06812">
        <w:t xml:space="preserve"> е</w:t>
      </w:r>
      <w:r w:rsidR="00D648D9">
        <w:t>.</w:t>
      </w:r>
      <w:r w:rsidRPr="00D06812">
        <w:t xml:space="preserve"> выборного представительного органа местно</w:t>
      </w:r>
      <w:r>
        <w:t>й власти</w:t>
      </w:r>
      <w:r w:rsidRPr="00D06812">
        <w:t xml:space="preserve"> (органа местного самоуправления) в областях и районах Казахстана.</w:t>
      </w:r>
    </w:p>
  </w:footnote>
  <w:footnote w:id="8">
    <w:p w14:paraId="0F496077" w14:textId="77777777" w:rsidR="00EE1785" w:rsidRPr="00D06812" w:rsidRDefault="00EE1785" w:rsidP="00EE1785">
      <w:pPr>
        <w:pStyle w:val="ad"/>
      </w:pPr>
      <w:r w:rsidRPr="00D06812">
        <w:tab/>
      </w:r>
      <w:r w:rsidRPr="00D06812">
        <w:rPr>
          <w:rStyle w:val="aa"/>
        </w:rPr>
        <w:footnoteRef/>
      </w:r>
      <w:r w:rsidRPr="00D06812">
        <w:tab/>
        <w:t>Требование автора носило общий характер и не было напрямую связано с наложенным на нее штрафом за проведение собрания, упомянут</w:t>
      </w:r>
      <w:r>
        <w:t>ым</w:t>
      </w:r>
      <w:r w:rsidRPr="00D06812">
        <w:t xml:space="preserve"> в пункте 2.3.</w:t>
      </w:r>
    </w:p>
  </w:footnote>
  <w:footnote w:id="9">
    <w:p w14:paraId="0D066CAE" w14:textId="77777777" w:rsidR="00EE1785" w:rsidRPr="00D06812" w:rsidRDefault="00EE1785" w:rsidP="00EE1785">
      <w:pPr>
        <w:pStyle w:val="ad"/>
      </w:pPr>
      <w:r w:rsidRPr="00D06812">
        <w:tab/>
      </w:r>
      <w:r w:rsidRPr="00D06812">
        <w:rPr>
          <w:rStyle w:val="aa"/>
        </w:rPr>
        <w:footnoteRef/>
      </w:r>
      <w:r w:rsidRPr="00D06812">
        <w:tab/>
        <w:t xml:space="preserve">В своей первоначальной жалобе на статью 19 автор не ссылалась. </w:t>
      </w:r>
    </w:p>
  </w:footnote>
  <w:footnote w:id="10">
    <w:p w14:paraId="4A841292" w14:textId="77777777" w:rsidR="00EE1785" w:rsidRPr="00D06812" w:rsidRDefault="00EE1785" w:rsidP="00EE1785">
      <w:pPr>
        <w:pStyle w:val="ad"/>
      </w:pPr>
      <w:r w:rsidRPr="00D06812">
        <w:tab/>
      </w:r>
      <w:r w:rsidRPr="00D06812">
        <w:rPr>
          <w:rStyle w:val="aa"/>
        </w:rPr>
        <w:footnoteRef/>
      </w:r>
      <w:r w:rsidRPr="00D06812">
        <w:tab/>
        <w:t xml:space="preserve">Например, </w:t>
      </w:r>
      <w:r w:rsidRPr="00D06812">
        <w:rPr>
          <w:i/>
          <w:iCs/>
        </w:rPr>
        <w:t xml:space="preserve">Король против Беларуси </w:t>
      </w:r>
      <w:r w:rsidRPr="00D06812">
        <w:t xml:space="preserve">(CCPR/C/117/D/2089/2011), п. 7.5. </w:t>
      </w:r>
    </w:p>
  </w:footnote>
  <w:footnote w:id="11">
    <w:p w14:paraId="47C95031" w14:textId="77777777" w:rsidR="00EE1785" w:rsidRPr="00D06812" w:rsidRDefault="00EE1785" w:rsidP="00EE1785">
      <w:pPr>
        <w:pStyle w:val="ad"/>
      </w:pPr>
      <w:r w:rsidRPr="00D06812">
        <w:tab/>
      </w:r>
      <w:r w:rsidRPr="00D06812">
        <w:rPr>
          <w:rStyle w:val="aa"/>
        </w:rPr>
        <w:footnoteRef/>
      </w:r>
      <w:r w:rsidRPr="00D06812">
        <w:tab/>
      </w:r>
      <w:r w:rsidRPr="00D06812">
        <w:tab/>
        <w:t>Там же.</w:t>
      </w:r>
    </w:p>
  </w:footnote>
  <w:footnote w:id="12">
    <w:p w14:paraId="111649E3" w14:textId="77777777" w:rsidR="00EE1785" w:rsidRPr="00D06812" w:rsidRDefault="00EE1785" w:rsidP="00EE1785">
      <w:pPr>
        <w:pStyle w:val="ad"/>
      </w:pPr>
      <w:r w:rsidRPr="00D06812">
        <w:tab/>
      </w:r>
      <w:r w:rsidRPr="00D06812">
        <w:rPr>
          <w:rStyle w:val="aa"/>
        </w:rPr>
        <w:footnoteRef/>
      </w:r>
      <w:r w:rsidRPr="00D06812">
        <w:tab/>
      </w:r>
      <w:r w:rsidRPr="00D06812">
        <w:rPr>
          <w:i/>
          <w:iCs/>
        </w:rPr>
        <w:t>Поплавный против Беларуси</w:t>
      </w:r>
      <w:r w:rsidRPr="00D06812">
        <w:t xml:space="preserve"> (CCPR/C/115/D/2019/2010), п. 8.4.</w:t>
      </w:r>
    </w:p>
  </w:footnote>
  <w:footnote w:id="13">
    <w:p w14:paraId="1F1D3407" w14:textId="77777777" w:rsidR="00EE1785" w:rsidRPr="00D06812" w:rsidRDefault="00EE1785" w:rsidP="00EE1785">
      <w:pPr>
        <w:pStyle w:val="ad"/>
        <w:rPr>
          <w:szCs w:val="18"/>
        </w:rPr>
      </w:pPr>
      <w:r w:rsidRPr="00D06812">
        <w:tab/>
      </w:r>
      <w:r w:rsidRPr="00D06812">
        <w:rPr>
          <w:rStyle w:val="aa"/>
        </w:rPr>
        <w:footnoteRef/>
      </w:r>
      <w:r w:rsidRPr="00D06812">
        <w:tab/>
      </w:r>
      <w:r w:rsidRPr="00D06812">
        <w:rPr>
          <w:i/>
          <w:iCs/>
        </w:rPr>
        <w:t>Турченяк и др. против Беларуси</w:t>
      </w:r>
      <w:r w:rsidRPr="00D06812">
        <w:t xml:space="preserve"> (CCPR/C/108/D/1948/2010), п. 7.4. </w:t>
      </w:r>
    </w:p>
  </w:footnote>
  <w:footnote w:id="14">
    <w:p w14:paraId="3E61AA9D" w14:textId="77777777" w:rsidR="00EE1785" w:rsidRPr="00D06812" w:rsidRDefault="00EE1785" w:rsidP="00EE1785">
      <w:pPr>
        <w:pStyle w:val="ad"/>
        <w:rPr>
          <w:szCs w:val="18"/>
        </w:rPr>
      </w:pPr>
      <w:r w:rsidRPr="00D06812">
        <w:rPr>
          <w:szCs w:val="18"/>
        </w:rPr>
        <w:tab/>
      </w:r>
      <w:r w:rsidRPr="00D06812">
        <w:rPr>
          <w:rStyle w:val="aa"/>
        </w:rPr>
        <w:footnoteRef/>
      </w:r>
      <w:r w:rsidRPr="00D06812">
        <w:tab/>
        <w:t>Там же, а также CCPR/C/KAZ/CO/1, п. 26.</w:t>
      </w:r>
    </w:p>
  </w:footnote>
  <w:footnote w:id="15">
    <w:p w14:paraId="43DB1A1C" w14:textId="77777777" w:rsidR="00EE1785" w:rsidRPr="00AC3BF7" w:rsidRDefault="00EE1785" w:rsidP="00EE1785">
      <w:pPr>
        <w:pStyle w:val="ad"/>
        <w:rPr>
          <w:szCs w:val="18"/>
          <w:lang w:val="en-US"/>
        </w:rPr>
      </w:pPr>
      <w:r w:rsidRPr="00D06812">
        <w:rPr>
          <w:szCs w:val="18"/>
        </w:rPr>
        <w:tab/>
      </w:r>
      <w:r w:rsidRPr="00D06812">
        <w:rPr>
          <w:rStyle w:val="aa"/>
        </w:rPr>
        <w:footnoteRef/>
      </w:r>
      <w:r w:rsidRPr="00AC3BF7">
        <w:rPr>
          <w:lang w:val="en-US"/>
        </w:rPr>
        <w:tab/>
        <w:t xml:space="preserve">CCPR/C/DZA/CO/4, </w:t>
      </w:r>
      <w:r w:rsidRPr="00D06812">
        <w:t>п</w:t>
      </w:r>
      <w:r w:rsidRPr="00AC3BF7">
        <w:rPr>
          <w:lang w:val="en-US"/>
        </w:rPr>
        <w:t>. 45.</w:t>
      </w:r>
    </w:p>
  </w:footnote>
  <w:footnote w:id="16">
    <w:p w14:paraId="47856C2E" w14:textId="77777777" w:rsidR="00EE1785" w:rsidRPr="00D06812" w:rsidRDefault="00EE1785" w:rsidP="00EE1785">
      <w:pPr>
        <w:pStyle w:val="ad"/>
        <w:rPr>
          <w:szCs w:val="18"/>
        </w:rPr>
      </w:pPr>
      <w:r w:rsidRPr="00AC3BF7">
        <w:rPr>
          <w:szCs w:val="18"/>
          <w:lang w:val="en-US"/>
        </w:rPr>
        <w:tab/>
      </w:r>
      <w:r w:rsidRPr="00D06812">
        <w:rPr>
          <w:rStyle w:val="aa"/>
        </w:rPr>
        <w:footnoteRef/>
      </w:r>
      <w:r w:rsidRPr="00D06812">
        <w:tab/>
      </w:r>
      <w:r w:rsidRPr="00D06812">
        <w:rPr>
          <w:i/>
          <w:iCs/>
        </w:rPr>
        <w:t>Турченяк и др. против Беларуси</w:t>
      </w:r>
      <w:r w:rsidRPr="00D06812">
        <w:t>, п. 7.5.</w:t>
      </w:r>
    </w:p>
  </w:footnote>
  <w:footnote w:id="17">
    <w:p w14:paraId="6493E98A" w14:textId="77777777" w:rsidR="00EE1785" w:rsidRPr="00D06812" w:rsidRDefault="00EE1785" w:rsidP="00EE1785">
      <w:pPr>
        <w:pStyle w:val="ad"/>
        <w:rPr>
          <w:szCs w:val="18"/>
        </w:rPr>
      </w:pPr>
      <w:r w:rsidRPr="00D06812">
        <w:rPr>
          <w:szCs w:val="18"/>
        </w:rPr>
        <w:tab/>
      </w:r>
      <w:r w:rsidRPr="00D06812">
        <w:rPr>
          <w:rStyle w:val="aa"/>
        </w:rPr>
        <w:footnoteRef/>
      </w:r>
      <w:r w:rsidRPr="00D06812">
        <w:tab/>
      </w:r>
      <w:r w:rsidRPr="00D06812">
        <w:rPr>
          <w:i/>
          <w:iCs/>
        </w:rPr>
        <w:t>Судаленко против Беларуси</w:t>
      </w:r>
      <w:r w:rsidRPr="00D06812">
        <w:t xml:space="preserve"> (CCPR/C/113/D/1992/2010), п. 8.5.</w:t>
      </w:r>
    </w:p>
  </w:footnote>
  <w:footnote w:id="18">
    <w:p w14:paraId="19734241" w14:textId="77777777" w:rsidR="00EE1785" w:rsidRPr="00D06812" w:rsidRDefault="00EE1785" w:rsidP="00EE1785">
      <w:pPr>
        <w:pStyle w:val="ad"/>
        <w:rPr>
          <w:szCs w:val="18"/>
        </w:rPr>
      </w:pPr>
      <w:r w:rsidRPr="00D06812">
        <w:rPr>
          <w:szCs w:val="18"/>
        </w:rPr>
        <w:tab/>
      </w:r>
      <w:r w:rsidRPr="00D06812">
        <w:rPr>
          <w:rStyle w:val="aa"/>
        </w:rPr>
        <w:footnoteRef/>
      </w:r>
      <w:r w:rsidRPr="00D06812">
        <w:tab/>
      </w:r>
      <w:r w:rsidRPr="00D06812">
        <w:rPr>
          <w:i/>
          <w:iCs/>
        </w:rPr>
        <w:t>Стамбровский против Беларуси</w:t>
      </w:r>
      <w:r w:rsidRPr="00D06812">
        <w:t xml:space="preserve"> (CCPR/C/112/D/1987/2010), п. 7.6, и</w:t>
      </w:r>
      <w:r w:rsidRPr="00D06812">
        <w:rPr>
          <w:i/>
          <w:iCs/>
        </w:rPr>
        <w:t xml:space="preserve"> Пугач против Беларуси</w:t>
      </w:r>
      <w:r w:rsidRPr="00D06812">
        <w:t xml:space="preserve"> (CCPR/C/114/D/1984/2010), п. 7.8.</w:t>
      </w:r>
    </w:p>
  </w:footnote>
  <w:footnote w:id="19">
    <w:p w14:paraId="75C17966" w14:textId="77777777" w:rsidR="00EE1785" w:rsidRPr="00D06812" w:rsidRDefault="00EE1785" w:rsidP="00EE1785">
      <w:pPr>
        <w:pStyle w:val="ad"/>
        <w:rPr>
          <w:szCs w:val="18"/>
        </w:rPr>
      </w:pPr>
      <w:r w:rsidRPr="00D06812">
        <w:rPr>
          <w:szCs w:val="18"/>
        </w:rPr>
        <w:tab/>
      </w:r>
      <w:r w:rsidRPr="00D06812">
        <w:rPr>
          <w:rStyle w:val="aa"/>
        </w:rPr>
        <w:footnoteRef/>
      </w:r>
      <w:r w:rsidRPr="00D06812">
        <w:tab/>
        <w:t xml:space="preserve">Организация по безопасности и сотрудничеству в Европе, </w:t>
      </w:r>
      <w:r w:rsidRPr="00D06812">
        <w:rPr>
          <w:i/>
          <w:iCs/>
        </w:rPr>
        <w:t>Руководящие принципы по свободе мирных собраний</w:t>
      </w:r>
      <w:r w:rsidRPr="00D06812">
        <w:t>, п. 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E3B8" w14:textId="3E3FF1C5" w:rsidR="003500D5" w:rsidRPr="003500D5" w:rsidRDefault="00A6305C">
    <w:pPr>
      <w:pStyle w:val="a5"/>
    </w:pPr>
    <w:r>
      <w:fldChar w:fldCharType="begin"/>
    </w:r>
    <w:r>
      <w:instrText xml:space="preserve"> TITLE  \* MERGEFORMAT </w:instrText>
    </w:r>
    <w:r>
      <w:fldChar w:fldCharType="separate"/>
    </w:r>
    <w:r>
      <w:t>CCPR/C/129/D/2503/2014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3A98" w14:textId="2612B698" w:rsidR="003500D5" w:rsidRPr="003500D5" w:rsidRDefault="00A6305C" w:rsidP="003500D5">
    <w:pPr>
      <w:pStyle w:val="a5"/>
      <w:jc w:val="right"/>
    </w:pPr>
    <w:r>
      <w:fldChar w:fldCharType="begin"/>
    </w:r>
    <w:r>
      <w:instrText xml:space="preserve"> TITLE  \* MERGEFORMAT </w:instrText>
    </w:r>
    <w:r>
      <w:fldChar w:fldCharType="separate"/>
    </w:r>
    <w:r>
      <w:t>CCPR/C/129/D/2503/2014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47"/>
    <w:rsid w:val="00033EE1"/>
    <w:rsid w:val="000358F2"/>
    <w:rsid w:val="00042B72"/>
    <w:rsid w:val="000558BD"/>
    <w:rsid w:val="000B57E7"/>
    <w:rsid w:val="000B6373"/>
    <w:rsid w:val="000F09DF"/>
    <w:rsid w:val="000F61B2"/>
    <w:rsid w:val="001075E9"/>
    <w:rsid w:val="001644EA"/>
    <w:rsid w:val="00180183"/>
    <w:rsid w:val="0018024D"/>
    <w:rsid w:val="0018649F"/>
    <w:rsid w:val="00196389"/>
    <w:rsid w:val="001B3EF6"/>
    <w:rsid w:val="001C7A89"/>
    <w:rsid w:val="00254812"/>
    <w:rsid w:val="002A2EFC"/>
    <w:rsid w:val="002C0E18"/>
    <w:rsid w:val="002D5AAC"/>
    <w:rsid w:val="002E00F0"/>
    <w:rsid w:val="002E5067"/>
    <w:rsid w:val="002F405F"/>
    <w:rsid w:val="002F4A55"/>
    <w:rsid w:val="002F7EEC"/>
    <w:rsid w:val="00301299"/>
    <w:rsid w:val="00305C08"/>
    <w:rsid w:val="00307FB6"/>
    <w:rsid w:val="00317339"/>
    <w:rsid w:val="00322004"/>
    <w:rsid w:val="0032326A"/>
    <w:rsid w:val="003402C2"/>
    <w:rsid w:val="003500D5"/>
    <w:rsid w:val="00375F01"/>
    <w:rsid w:val="00381C24"/>
    <w:rsid w:val="003958D0"/>
    <w:rsid w:val="003B00E5"/>
    <w:rsid w:val="00407B78"/>
    <w:rsid w:val="00424203"/>
    <w:rsid w:val="00444816"/>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17547"/>
    <w:rsid w:val="0075523D"/>
    <w:rsid w:val="00757357"/>
    <w:rsid w:val="00770AC1"/>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6305C"/>
    <w:rsid w:val="00A84021"/>
    <w:rsid w:val="00A84D35"/>
    <w:rsid w:val="00A917B3"/>
    <w:rsid w:val="00AB4B51"/>
    <w:rsid w:val="00AD6F87"/>
    <w:rsid w:val="00B10CC7"/>
    <w:rsid w:val="00B136DB"/>
    <w:rsid w:val="00B539E7"/>
    <w:rsid w:val="00B564DC"/>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122E"/>
    <w:rsid w:val="00CF55F6"/>
    <w:rsid w:val="00D33D63"/>
    <w:rsid w:val="00D648D9"/>
    <w:rsid w:val="00D90028"/>
    <w:rsid w:val="00D90138"/>
    <w:rsid w:val="00D9090B"/>
    <w:rsid w:val="00DD78D1"/>
    <w:rsid w:val="00DE32CD"/>
    <w:rsid w:val="00DF71B9"/>
    <w:rsid w:val="00E005F7"/>
    <w:rsid w:val="00E06BEE"/>
    <w:rsid w:val="00E46656"/>
    <w:rsid w:val="00E73F76"/>
    <w:rsid w:val="00EA2C9F"/>
    <w:rsid w:val="00EA420E"/>
    <w:rsid w:val="00ED0BDA"/>
    <w:rsid w:val="00EE1785"/>
    <w:rsid w:val="00EE1D0A"/>
    <w:rsid w:val="00EF1360"/>
    <w:rsid w:val="00EF3220"/>
    <w:rsid w:val="00F43903"/>
    <w:rsid w:val="00F94155"/>
    <w:rsid w:val="00F9783F"/>
    <w:rsid w:val="00FA79A2"/>
    <w:rsid w:val="00FC636C"/>
    <w:rsid w:val="00FD2EF7"/>
    <w:rsid w:val="00FE447E"/>
    <w:rsid w:val="00FF116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33669"/>
  <w15:docId w15:val="{5E731165-296C-4C25-8E3A-04DA10A9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EE178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2927</Words>
  <Characters>19772</Characters>
  <Application>Microsoft Office Word</Application>
  <DocSecurity>0</DocSecurity>
  <Lines>358</Lines>
  <Paragraphs>84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CCPR/C/129/D/2503/2014</vt:lpstr>
      <vt:lpstr>A/</vt:lpstr>
      <vt:lpstr>A/</vt:lpstr>
    </vt:vector>
  </TitlesOfParts>
  <Company>DCM</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CCPR/C/129/D/2503/2014</dc:title>
  <dc:subject/>
  <dc:creator>Marina KOROTKOVA</dc:creator>
  <cp:keywords/>
  <cp:lastModifiedBy>Ioulia Goussarova</cp:lastModifiedBy>
  <cp:revision>3</cp:revision>
  <cp:lastPrinted>2021-04-28T11:00:00Z</cp:lastPrinted>
  <dcterms:created xsi:type="dcterms:W3CDTF">2021-04-28T11:00:00Z</dcterms:created>
  <dcterms:modified xsi:type="dcterms:W3CDTF">2021-04-28T11:00:00Z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