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7A6D15D" w14:textId="77777777" w:rsidTr="002B7BC7">
        <w:trPr>
          <w:trHeight w:hRule="exact" w:val="851"/>
        </w:trPr>
        <w:tc>
          <w:tcPr>
            <w:tcW w:w="1276" w:type="dxa"/>
            <w:tcBorders>
              <w:bottom w:val="single" w:sz="4" w:space="0" w:color="auto"/>
            </w:tcBorders>
          </w:tcPr>
          <w:p w14:paraId="086DA221" w14:textId="77777777" w:rsidR="006F71EA" w:rsidRPr="00DB58B5" w:rsidRDefault="006F71EA" w:rsidP="00BF4D6C"/>
        </w:tc>
        <w:tc>
          <w:tcPr>
            <w:tcW w:w="2268" w:type="dxa"/>
            <w:tcBorders>
              <w:bottom w:val="single" w:sz="4" w:space="0" w:color="auto"/>
            </w:tcBorders>
            <w:vAlign w:val="bottom"/>
          </w:tcPr>
          <w:p w14:paraId="70F17532"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29FB9E" w14:textId="77777777" w:rsidR="006F71EA" w:rsidRPr="006413CA" w:rsidRDefault="006413CA" w:rsidP="006413CA">
            <w:pPr>
              <w:jc w:val="right"/>
            </w:pPr>
            <w:r w:rsidRPr="006413CA">
              <w:rPr>
                <w:sz w:val="40"/>
              </w:rPr>
              <w:t>CCPR</w:t>
            </w:r>
            <w:r>
              <w:t>/C/128/D/2819/2016</w:t>
            </w:r>
          </w:p>
        </w:tc>
      </w:tr>
      <w:tr w:rsidR="006F71EA" w:rsidRPr="00DB58B5" w14:paraId="5F9939BA" w14:textId="77777777" w:rsidTr="002B7BC7">
        <w:trPr>
          <w:trHeight w:hRule="exact" w:val="2835"/>
        </w:trPr>
        <w:tc>
          <w:tcPr>
            <w:tcW w:w="1276" w:type="dxa"/>
            <w:tcBorders>
              <w:top w:val="single" w:sz="4" w:space="0" w:color="auto"/>
              <w:bottom w:val="single" w:sz="12" w:space="0" w:color="auto"/>
            </w:tcBorders>
          </w:tcPr>
          <w:p w14:paraId="15BAA518" w14:textId="77777777" w:rsidR="006F71EA" w:rsidRPr="00DB58B5" w:rsidRDefault="006F71EA" w:rsidP="002B7BC7">
            <w:pPr>
              <w:spacing w:before="120"/>
              <w:jc w:val="center"/>
            </w:pPr>
            <w:r>
              <w:rPr>
                <w:noProof/>
                <w:lang w:val="en-GB" w:eastAsia="en-GB"/>
              </w:rPr>
              <w:drawing>
                <wp:inline distT="0" distB="0" distL="0" distR="0" wp14:anchorId="6AC88B24" wp14:editId="2A8EDA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5C480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00BF4D6C">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53454615" w14:textId="77777777" w:rsidR="006F71EA" w:rsidRDefault="00BF4D6C" w:rsidP="002B7BC7">
            <w:pPr>
              <w:spacing w:before="240"/>
            </w:pPr>
            <w:r>
              <w:t>Distr. générale</w:t>
            </w:r>
          </w:p>
          <w:p w14:paraId="239E7D48" w14:textId="77777777" w:rsidR="00BF4D6C" w:rsidRDefault="00BF4D6C" w:rsidP="00BF4D6C">
            <w:pPr>
              <w:spacing w:line="240" w:lineRule="exact"/>
            </w:pPr>
            <w:r>
              <w:t>30 septembre 2020</w:t>
            </w:r>
          </w:p>
          <w:p w14:paraId="1238EAFB" w14:textId="77777777" w:rsidR="00BF4D6C" w:rsidRDefault="00BF4D6C" w:rsidP="00BF4D6C">
            <w:pPr>
              <w:spacing w:line="240" w:lineRule="exact"/>
            </w:pPr>
          </w:p>
          <w:p w14:paraId="2C9B5F06" w14:textId="77777777" w:rsidR="00BF4D6C" w:rsidRPr="00DB58B5" w:rsidRDefault="00BF4D6C" w:rsidP="00BF4D6C">
            <w:pPr>
              <w:spacing w:line="240" w:lineRule="exact"/>
            </w:pPr>
            <w:r>
              <w:t>Original : français</w:t>
            </w:r>
          </w:p>
        </w:tc>
      </w:tr>
    </w:tbl>
    <w:p w14:paraId="14487887" w14:textId="77777777" w:rsidR="006F71EA" w:rsidRDefault="006F71EA" w:rsidP="006F71EA">
      <w:pPr>
        <w:spacing w:before="120"/>
        <w:rPr>
          <w:b/>
          <w:sz w:val="24"/>
          <w:szCs w:val="24"/>
        </w:rPr>
      </w:pPr>
      <w:r w:rsidRPr="00DF3BF1">
        <w:rPr>
          <w:b/>
          <w:sz w:val="24"/>
          <w:szCs w:val="24"/>
        </w:rPr>
        <w:t>Comité des droits de l’homme</w:t>
      </w:r>
    </w:p>
    <w:p w14:paraId="3B44925C" w14:textId="77777777" w:rsidR="0059201E" w:rsidRPr="005B01E9" w:rsidRDefault="0059201E" w:rsidP="0059201E">
      <w:pPr>
        <w:pStyle w:val="HChG"/>
      </w:pPr>
      <w:r>
        <w:rPr>
          <w:szCs w:val="28"/>
          <w:lang w:val="fr-FR"/>
        </w:rPr>
        <w:tab/>
      </w:r>
      <w:r>
        <w:rPr>
          <w:szCs w:val="28"/>
          <w:lang w:val="fr-FR"/>
        </w:rPr>
        <w:tab/>
      </w:r>
      <w:r w:rsidRPr="00B67849">
        <w:t xml:space="preserve">Constatations adoptées par le Comité au titre de </w:t>
      </w:r>
      <w:r w:rsidRPr="00B67849">
        <w:rPr>
          <w:lang w:val="fr-FR"/>
        </w:rPr>
        <w:t>l</w:t>
      </w:r>
      <w:r>
        <w:rPr>
          <w:lang w:val="fr-FR"/>
        </w:rPr>
        <w:t>’</w:t>
      </w:r>
      <w:r w:rsidRPr="00B67849">
        <w:rPr>
          <w:lang w:val="fr-FR"/>
        </w:rPr>
        <w:t>article 5 (</w:t>
      </w:r>
      <w:r>
        <w:rPr>
          <w:lang w:val="fr-FR"/>
        </w:rPr>
        <w:t>par. </w:t>
      </w:r>
      <w:r w:rsidRPr="00B67849">
        <w:rPr>
          <w:lang w:val="fr-FR"/>
        </w:rPr>
        <w:t xml:space="preserve">4) du Protocole facultatif, concernant </w:t>
      </w:r>
      <w:r>
        <w:rPr>
          <w:lang w:val="fr-FR"/>
        </w:rPr>
        <w:t xml:space="preserve">la </w:t>
      </w:r>
      <w:r w:rsidRPr="00341BD1">
        <w:t xml:space="preserve">communication </w:t>
      </w:r>
      <w:r>
        <w:t>n</w:t>
      </w:r>
      <w:r w:rsidRPr="00755DA0">
        <w:rPr>
          <w:b w:val="0"/>
          <w:vertAlign w:val="superscript"/>
        </w:rPr>
        <w:t>o</w:t>
      </w:r>
      <w:r>
        <w:t> </w:t>
      </w:r>
      <w:r w:rsidRPr="00341BD1">
        <w:t>2</w:t>
      </w:r>
      <w:r>
        <w:t>819</w:t>
      </w:r>
      <w:r w:rsidRPr="00341BD1">
        <w:t>/201</w:t>
      </w:r>
      <w:r>
        <w:t>6</w:t>
      </w:r>
      <w:r w:rsidRPr="00755DA0">
        <w:rPr>
          <w:rStyle w:val="Appelnotedebasdep"/>
          <w:b w:val="0"/>
          <w:bCs/>
          <w:sz w:val="20"/>
          <w:vertAlign w:val="baseline"/>
        </w:rPr>
        <w:footnoteReference w:customMarkFollows="1" w:id="2"/>
        <w:t>*</w:t>
      </w:r>
      <w:r w:rsidRPr="0059201E">
        <w:rPr>
          <w:rStyle w:val="Appelnotedebasdep"/>
          <w:b w:val="0"/>
          <w:bCs/>
          <w:sz w:val="20"/>
        </w:rPr>
        <w:t>,</w:t>
      </w:r>
      <w:r w:rsidRPr="00755DA0">
        <w:rPr>
          <w:b w:val="0"/>
          <w:bCs/>
          <w:vertAlign w:val="superscript"/>
        </w:rPr>
        <w:t xml:space="preserve"> </w:t>
      </w:r>
      <w:r w:rsidRPr="00755DA0">
        <w:rPr>
          <w:rStyle w:val="Appelnotedebasdep"/>
          <w:b w:val="0"/>
          <w:bCs/>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59201E" w:rsidRPr="005B01E9" w14:paraId="2C54443D" w14:textId="77777777" w:rsidTr="0059201E">
        <w:tc>
          <w:tcPr>
            <w:tcW w:w="2835" w:type="dxa"/>
          </w:tcPr>
          <w:p w14:paraId="50AF998E" w14:textId="77777777" w:rsidR="0059201E" w:rsidRPr="005B01E9" w:rsidRDefault="0059201E" w:rsidP="0059201E">
            <w:pPr>
              <w:rPr>
                <w:i/>
              </w:rPr>
            </w:pPr>
            <w:r w:rsidRPr="005B01E9">
              <w:rPr>
                <w:i/>
              </w:rPr>
              <w:t>Communication présentée par</w:t>
            </w:r>
            <w:r>
              <w:t> :</w:t>
            </w:r>
          </w:p>
        </w:tc>
        <w:tc>
          <w:tcPr>
            <w:tcW w:w="3969" w:type="dxa"/>
          </w:tcPr>
          <w:p w14:paraId="7BA2B705" w14:textId="77777777" w:rsidR="0059201E" w:rsidRPr="005B01E9" w:rsidRDefault="0059201E" w:rsidP="0059201E">
            <w:pPr>
              <w:spacing w:after="120"/>
            </w:pPr>
            <w:r>
              <w:t xml:space="preserve">Aïcha </w:t>
            </w:r>
            <w:proofErr w:type="spellStart"/>
            <w:r>
              <w:t>Habouchi</w:t>
            </w:r>
            <w:proofErr w:type="spellEnd"/>
            <w:r>
              <w:rPr>
                <w:lang w:val="fr-FR"/>
              </w:rPr>
              <w:t xml:space="preserve"> [représentée par un conseil, </w:t>
            </w:r>
            <w:proofErr w:type="spellStart"/>
            <w:r w:rsidRPr="006404CD">
              <w:rPr>
                <w:lang w:val="fr-FR"/>
              </w:rPr>
              <w:t>Nassera</w:t>
            </w:r>
            <w:proofErr w:type="spellEnd"/>
            <w:r w:rsidRPr="006404CD">
              <w:rPr>
                <w:lang w:val="fr-FR"/>
              </w:rPr>
              <w:t xml:space="preserve"> </w:t>
            </w:r>
            <w:proofErr w:type="spellStart"/>
            <w:r w:rsidRPr="006404CD">
              <w:rPr>
                <w:lang w:val="fr-FR"/>
              </w:rPr>
              <w:t>Dutour</w:t>
            </w:r>
            <w:proofErr w:type="spellEnd"/>
            <w:r>
              <w:rPr>
                <w:lang w:val="fr-FR"/>
              </w:rPr>
              <w:t>,</w:t>
            </w:r>
            <w:r w:rsidRPr="006404CD">
              <w:rPr>
                <w:lang w:val="fr-FR"/>
              </w:rPr>
              <w:t xml:space="preserve"> du Collectif des familles de disparu(e)s en Algérie</w:t>
            </w:r>
            <w:r>
              <w:rPr>
                <w:lang w:val="fr-FR"/>
              </w:rPr>
              <w:t>]</w:t>
            </w:r>
          </w:p>
        </w:tc>
      </w:tr>
      <w:tr w:rsidR="0059201E" w:rsidRPr="005B01E9" w14:paraId="5544A76B" w14:textId="77777777" w:rsidTr="0059201E">
        <w:tc>
          <w:tcPr>
            <w:tcW w:w="2835" w:type="dxa"/>
          </w:tcPr>
          <w:p w14:paraId="37CA90BB" w14:textId="77777777" w:rsidR="0059201E" w:rsidRPr="005B01E9" w:rsidRDefault="0059201E" w:rsidP="0059201E">
            <w:pPr>
              <w:rPr>
                <w:i/>
              </w:rPr>
            </w:pPr>
            <w:r>
              <w:rPr>
                <w:i/>
              </w:rPr>
              <w:t>Victime(s) présumée(s) </w:t>
            </w:r>
            <w:r>
              <w:t>:</w:t>
            </w:r>
          </w:p>
        </w:tc>
        <w:tc>
          <w:tcPr>
            <w:tcW w:w="3969" w:type="dxa"/>
          </w:tcPr>
          <w:p w14:paraId="711F3517" w14:textId="77777777" w:rsidR="0059201E" w:rsidRPr="00755DA0" w:rsidRDefault="0059201E" w:rsidP="0059201E">
            <w:pPr>
              <w:spacing w:after="120"/>
              <w:rPr>
                <w:spacing w:val="-2"/>
              </w:rPr>
            </w:pPr>
            <w:r w:rsidRPr="00755DA0">
              <w:rPr>
                <w:spacing w:val="-2"/>
                <w:kern w:val="3"/>
                <w:lang w:val="fr-FR"/>
              </w:rPr>
              <w:t>L’auteure et Abdelhakim Houari (fils de l’auteure)</w:t>
            </w:r>
          </w:p>
        </w:tc>
      </w:tr>
      <w:tr w:rsidR="0059201E" w:rsidRPr="005B01E9" w14:paraId="37A51E70" w14:textId="77777777" w:rsidTr="0059201E">
        <w:tc>
          <w:tcPr>
            <w:tcW w:w="2835" w:type="dxa"/>
          </w:tcPr>
          <w:p w14:paraId="45D79BA6" w14:textId="77777777" w:rsidR="0059201E" w:rsidRPr="005B01E9" w:rsidRDefault="0059201E" w:rsidP="0059201E">
            <w:pPr>
              <w:rPr>
                <w:i/>
              </w:rPr>
            </w:pPr>
            <w:r w:rsidRPr="005B01E9">
              <w:rPr>
                <w:i/>
              </w:rPr>
              <w:t>État partie</w:t>
            </w:r>
            <w:r>
              <w:t> :</w:t>
            </w:r>
          </w:p>
        </w:tc>
        <w:tc>
          <w:tcPr>
            <w:tcW w:w="3969" w:type="dxa"/>
          </w:tcPr>
          <w:p w14:paraId="7B7AF8BB" w14:textId="77777777" w:rsidR="0059201E" w:rsidRPr="005B01E9" w:rsidRDefault="0059201E" w:rsidP="0059201E">
            <w:pPr>
              <w:spacing w:after="120"/>
            </w:pPr>
            <w:r>
              <w:t>Algérie</w:t>
            </w:r>
          </w:p>
        </w:tc>
      </w:tr>
      <w:tr w:rsidR="0059201E" w:rsidRPr="005B01E9" w14:paraId="6242D4FC" w14:textId="77777777" w:rsidTr="0059201E">
        <w:tc>
          <w:tcPr>
            <w:tcW w:w="2835" w:type="dxa"/>
          </w:tcPr>
          <w:p w14:paraId="548D75F2" w14:textId="77777777" w:rsidR="0059201E" w:rsidRPr="005B01E9" w:rsidRDefault="0059201E" w:rsidP="0059201E">
            <w:pPr>
              <w:rPr>
                <w:i/>
              </w:rPr>
            </w:pPr>
            <w:r w:rsidRPr="005B01E9">
              <w:rPr>
                <w:i/>
              </w:rPr>
              <w:t>Date de la communication</w:t>
            </w:r>
            <w:r>
              <w:t> :</w:t>
            </w:r>
          </w:p>
        </w:tc>
        <w:tc>
          <w:tcPr>
            <w:tcW w:w="3969" w:type="dxa"/>
          </w:tcPr>
          <w:p w14:paraId="51F294C9" w14:textId="77777777" w:rsidR="0059201E" w:rsidRPr="005B01E9" w:rsidRDefault="0059201E" w:rsidP="0059201E">
            <w:pPr>
              <w:spacing w:after="120"/>
            </w:pPr>
            <w:r>
              <w:t>7 avril 2016</w:t>
            </w:r>
            <w:r w:rsidRPr="005B01E9">
              <w:t xml:space="preserve"> (date de la lettre initiale)</w:t>
            </w:r>
          </w:p>
        </w:tc>
      </w:tr>
      <w:tr w:rsidR="0059201E" w:rsidRPr="005B01E9" w14:paraId="0457AD31" w14:textId="77777777" w:rsidTr="0059201E">
        <w:tc>
          <w:tcPr>
            <w:tcW w:w="2835" w:type="dxa"/>
          </w:tcPr>
          <w:p w14:paraId="38F1ABF4" w14:textId="77777777" w:rsidR="0059201E" w:rsidRPr="005B01E9" w:rsidRDefault="0059201E" w:rsidP="0059201E">
            <w:pPr>
              <w:rPr>
                <w:i/>
              </w:rPr>
            </w:pPr>
            <w:r w:rsidRPr="005B01E9">
              <w:rPr>
                <w:i/>
              </w:rPr>
              <w:t>Références</w:t>
            </w:r>
            <w:r>
              <w:t> :</w:t>
            </w:r>
          </w:p>
        </w:tc>
        <w:tc>
          <w:tcPr>
            <w:tcW w:w="3969" w:type="dxa"/>
          </w:tcPr>
          <w:p w14:paraId="2A5E7267" w14:textId="77777777" w:rsidR="0059201E" w:rsidRPr="005B01E9" w:rsidRDefault="0059201E" w:rsidP="0059201E">
            <w:pPr>
              <w:spacing w:after="120"/>
            </w:pPr>
            <w:r w:rsidRPr="00CB16AA">
              <w:rPr>
                <w:kern w:val="3"/>
                <w:lang w:val="fr-FR"/>
              </w:rPr>
              <w:t>Décision prise en application de l</w:t>
            </w:r>
            <w:r>
              <w:rPr>
                <w:kern w:val="3"/>
                <w:lang w:val="fr-FR"/>
              </w:rPr>
              <w:t>’</w:t>
            </w:r>
            <w:r w:rsidRPr="00CB16AA">
              <w:rPr>
                <w:kern w:val="3"/>
                <w:lang w:val="fr-FR"/>
              </w:rPr>
              <w:t>article</w:t>
            </w:r>
            <w:r>
              <w:rPr>
                <w:kern w:val="3"/>
                <w:lang w:val="fr-FR"/>
              </w:rPr>
              <w:t> 92</w:t>
            </w:r>
            <w:r w:rsidRPr="00CB16AA">
              <w:rPr>
                <w:kern w:val="3"/>
                <w:lang w:val="fr-FR"/>
              </w:rPr>
              <w:t xml:space="preserve"> du règlement intérieur du Comité</w:t>
            </w:r>
            <w:r>
              <w:rPr>
                <w:kern w:val="3"/>
                <w:lang w:val="fr-FR"/>
              </w:rPr>
              <w:t>, communiquée à l’État partie le 6 janvier 2017 (non publiée sous forme de document)</w:t>
            </w:r>
          </w:p>
        </w:tc>
      </w:tr>
      <w:tr w:rsidR="0059201E" w:rsidRPr="005B01E9" w14:paraId="3C2FEB77" w14:textId="77777777" w:rsidTr="0059201E">
        <w:tc>
          <w:tcPr>
            <w:tcW w:w="2835" w:type="dxa"/>
          </w:tcPr>
          <w:p w14:paraId="329BE720" w14:textId="77777777" w:rsidR="0059201E" w:rsidRPr="005B01E9" w:rsidRDefault="0059201E" w:rsidP="0059201E">
            <w:pPr>
              <w:rPr>
                <w:i/>
              </w:rPr>
            </w:pPr>
            <w:r w:rsidRPr="005B01E9">
              <w:rPr>
                <w:i/>
              </w:rPr>
              <w:t>Date des constatations</w:t>
            </w:r>
            <w:r>
              <w:t> :</w:t>
            </w:r>
          </w:p>
        </w:tc>
        <w:tc>
          <w:tcPr>
            <w:tcW w:w="3969" w:type="dxa"/>
            <w:vAlign w:val="bottom"/>
          </w:tcPr>
          <w:p w14:paraId="21FE848D" w14:textId="77777777" w:rsidR="0059201E" w:rsidRPr="005B01E9" w:rsidRDefault="0059201E" w:rsidP="0059201E">
            <w:pPr>
              <w:spacing w:after="120"/>
            </w:pPr>
            <w:r>
              <w:t>27 mars 2020</w:t>
            </w:r>
          </w:p>
        </w:tc>
      </w:tr>
      <w:tr w:rsidR="0059201E" w:rsidRPr="005B01E9" w14:paraId="21C25D2F" w14:textId="77777777" w:rsidTr="0059201E">
        <w:tc>
          <w:tcPr>
            <w:tcW w:w="2835" w:type="dxa"/>
          </w:tcPr>
          <w:p w14:paraId="156910B2" w14:textId="77777777" w:rsidR="0059201E" w:rsidRPr="005B01E9" w:rsidRDefault="0059201E" w:rsidP="0059201E">
            <w:pPr>
              <w:rPr>
                <w:i/>
              </w:rPr>
            </w:pPr>
            <w:r w:rsidRPr="005B01E9">
              <w:rPr>
                <w:i/>
              </w:rPr>
              <w:t>Objet</w:t>
            </w:r>
            <w:r>
              <w:t> :</w:t>
            </w:r>
          </w:p>
        </w:tc>
        <w:tc>
          <w:tcPr>
            <w:tcW w:w="3969" w:type="dxa"/>
          </w:tcPr>
          <w:p w14:paraId="7AB235AE" w14:textId="77777777" w:rsidR="0059201E" w:rsidRPr="005B01E9" w:rsidRDefault="0059201E" w:rsidP="0059201E">
            <w:pPr>
              <w:spacing w:after="120"/>
            </w:pPr>
            <w:r>
              <w:t>Disparition forcée</w:t>
            </w:r>
          </w:p>
        </w:tc>
      </w:tr>
      <w:tr w:rsidR="0059201E" w:rsidRPr="005B01E9" w14:paraId="5E2A5965" w14:textId="77777777" w:rsidTr="0059201E">
        <w:tc>
          <w:tcPr>
            <w:tcW w:w="2835" w:type="dxa"/>
          </w:tcPr>
          <w:p w14:paraId="387D890D" w14:textId="77777777" w:rsidR="0059201E" w:rsidRPr="005B01E9" w:rsidRDefault="0059201E" w:rsidP="0059201E">
            <w:pPr>
              <w:rPr>
                <w:i/>
              </w:rPr>
            </w:pPr>
            <w:r w:rsidRPr="005B01E9">
              <w:rPr>
                <w:i/>
              </w:rPr>
              <w:t>Question(s) de procédure</w:t>
            </w:r>
            <w:r>
              <w:t> :</w:t>
            </w:r>
          </w:p>
        </w:tc>
        <w:tc>
          <w:tcPr>
            <w:tcW w:w="3969" w:type="dxa"/>
          </w:tcPr>
          <w:p w14:paraId="42FF7B4F" w14:textId="77777777" w:rsidR="0059201E" w:rsidRPr="005B01E9" w:rsidRDefault="0059201E" w:rsidP="0059201E">
            <w:pPr>
              <w:spacing w:after="120"/>
            </w:pPr>
            <w:r>
              <w:rPr>
                <w:kern w:val="3"/>
                <w:lang w:val="fr-FR"/>
              </w:rPr>
              <w:t>Épuisement des recours internes</w:t>
            </w:r>
          </w:p>
        </w:tc>
      </w:tr>
      <w:tr w:rsidR="0059201E" w:rsidRPr="005B01E9" w14:paraId="6FF138AA" w14:textId="77777777" w:rsidTr="0059201E">
        <w:tc>
          <w:tcPr>
            <w:tcW w:w="2835" w:type="dxa"/>
          </w:tcPr>
          <w:p w14:paraId="19B44D69" w14:textId="77777777" w:rsidR="0059201E" w:rsidRPr="005B01E9" w:rsidRDefault="0059201E" w:rsidP="0059201E">
            <w:pPr>
              <w:rPr>
                <w:i/>
              </w:rPr>
            </w:pPr>
            <w:r w:rsidRPr="005B01E9">
              <w:rPr>
                <w:i/>
              </w:rPr>
              <w:t>Question(s) de fond</w:t>
            </w:r>
            <w:r>
              <w:t> :</w:t>
            </w:r>
          </w:p>
        </w:tc>
        <w:tc>
          <w:tcPr>
            <w:tcW w:w="3969" w:type="dxa"/>
            <w:vAlign w:val="bottom"/>
          </w:tcPr>
          <w:p w14:paraId="350A8731" w14:textId="77777777" w:rsidR="0059201E" w:rsidRPr="005B01E9" w:rsidRDefault="0059201E" w:rsidP="0059201E">
            <w:pPr>
              <w:spacing w:after="120"/>
            </w:pPr>
            <w:r w:rsidRPr="00BF1606">
              <w:rPr>
                <w:lang w:val="fr-FR"/>
              </w:rPr>
              <w:t>Droit à un recours utile ; peine ou traitement cruel, inhumain ou dégrad</w:t>
            </w:r>
            <w:r>
              <w:rPr>
                <w:lang w:val="fr-FR"/>
              </w:rPr>
              <w:t xml:space="preserve">ant ; liberté et sécurité de la </w:t>
            </w:r>
            <w:r w:rsidRPr="00BF1606">
              <w:rPr>
                <w:lang w:val="fr-FR"/>
              </w:rPr>
              <w:t>personne ; dignité</w:t>
            </w:r>
            <w:r>
              <w:rPr>
                <w:lang w:val="fr-FR"/>
              </w:rPr>
              <w:t xml:space="preserve"> humaine ; </w:t>
            </w:r>
            <w:r w:rsidRPr="00C026D3">
              <w:rPr>
                <w:lang w:val="fr-FR"/>
              </w:rPr>
              <w:t>accès à la justice</w:t>
            </w:r>
            <w:r>
              <w:rPr>
                <w:lang w:val="fr-FR"/>
              </w:rPr>
              <w:t xml:space="preserve"> ; reconnaissance de la </w:t>
            </w:r>
            <w:r w:rsidRPr="00BF1606">
              <w:rPr>
                <w:lang w:val="fr-FR"/>
              </w:rPr>
              <w:t>personnalité juridique</w:t>
            </w:r>
          </w:p>
        </w:tc>
      </w:tr>
      <w:tr w:rsidR="0059201E" w:rsidRPr="005B01E9" w14:paraId="79A5CFED" w14:textId="77777777" w:rsidTr="0059201E">
        <w:tc>
          <w:tcPr>
            <w:tcW w:w="2835" w:type="dxa"/>
          </w:tcPr>
          <w:p w14:paraId="1417D81B" w14:textId="77777777" w:rsidR="0059201E" w:rsidRPr="005B01E9" w:rsidRDefault="0059201E" w:rsidP="0059201E">
            <w:pPr>
              <w:rPr>
                <w:i/>
              </w:rPr>
            </w:pPr>
            <w:r w:rsidRPr="005B01E9">
              <w:rPr>
                <w:i/>
              </w:rPr>
              <w:t>Article(s) du Pacte</w:t>
            </w:r>
            <w:r>
              <w:t> :</w:t>
            </w:r>
          </w:p>
        </w:tc>
        <w:tc>
          <w:tcPr>
            <w:tcW w:w="3969" w:type="dxa"/>
            <w:vAlign w:val="bottom"/>
          </w:tcPr>
          <w:p w14:paraId="71CA5182" w14:textId="77777777" w:rsidR="0059201E" w:rsidRPr="005B01E9" w:rsidRDefault="0059201E" w:rsidP="0059201E">
            <w:pPr>
              <w:spacing w:after="120"/>
            </w:pPr>
            <w:r>
              <w:rPr>
                <w:kern w:val="3"/>
                <w:lang w:val="fr-FR"/>
              </w:rPr>
              <w:t>2 (par. 2 et 3), 6, 7, 9, 10, 14 et 16</w:t>
            </w:r>
          </w:p>
        </w:tc>
      </w:tr>
      <w:tr w:rsidR="0059201E" w:rsidRPr="005B01E9" w14:paraId="58332350" w14:textId="77777777" w:rsidTr="0059201E">
        <w:tc>
          <w:tcPr>
            <w:tcW w:w="2835" w:type="dxa"/>
          </w:tcPr>
          <w:p w14:paraId="69269FEC" w14:textId="77777777" w:rsidR="0059201E" w:rsidRPr="005B01E9" w:rsidRDefault="0059201E" w:rsidP="0059201E">
            <w:pPr>
              <w:rPr>
                <w:i/>
              </w:rPr>
            </w:pPr>
            <w:r w:rsidRPr="005B01E9">
              <w:rPr>
                <w:i/>
              </w:rPr>
              <w:t>Article(s) du Protocole facultatif</w:t>
            </w:r>
            <w:r>
              <w:t> :</w:t>
            </w:r>
          </w:p>
        </w:tc>
        <w:tc>
          <w:tcPr>
            <w:tcW w:w="3969" w:type="dxa"/>
            <w:vAlign w:val="bottom"/>
          </w:tcPr>
          <w:p w14:paraId="09D1FF13" w14:textId="77777777" w:rsidR="0059201E" w:rsidRPr="005B01E9" w:rsidRDefault="0059201E" w:rsidP="0059201E">
            <w:pPr>
              <w:spacing w:after="120"/>
            </w:pPr>
            <w:r>
              <w:rPr>
                <w:kern w:val="3"/>
                <w:lang w:val="fr-FR"/>
              </w:rPr>
              <w:t>2, 3 et 5 (par. </w:t>
            </w:r>
            <w:r w:rsidRPr="00BF1606">
              <w:rPr>
                <w:kern w:val="3"/>
                <w:lang w:val="fr-FR"/>
              </w:rPr>
              <w:t>2)</w:t>
            </w:r>
          </w:p>
        </w:tc>
      </w:tr>
    </w:tbl>
    <w:p w14:paraId="3CDEA2BB" w14:textId="77777777" w:rsidR="0059201E" w:rsidRDefault="0059201E" w:rsidP="0059201E">
      <w:pPr>
        <w:pStyle w:val="SingleTxtG"/>
        <w:spacing w:before="120"/>
      </w:pPr>
      <w:r>
        <w:t>1.1</w:t>
      </w:r>
      <w:r w:rsidRPr="00410779">
        <w:tab/>
        <w:t>L</w:t>
      </w:r>
      <w:r>
        <w:t>’</w:t>
      </w:r>
      <w:r w:rsidRPr="00410779">
        <w:t>auteur</w:t>
      </w:r>
      <w:r>
        <w:t>e</w:t>
      </w:r>
      <w:r w:rsidRPr="00410779">
        <w:t xml:space="preserve"> de la com</w:t>
      </w:r>
      <w:r>
        <w:t>munication</w:t>
      </w:r>
      <w:r w:rsidRPr="00410779">
        <w:t xml:space="preserve"> es</w:t>
      </w:r>
      <w:bookmarkStart w:id="0" w:name="_GoBack"/>
      <w:bookmarkEnd w:id="0"/>
      <w:r w:rsidRPr="00410779">
        <w:t xml:space="preserve">t </w:t>
      </w:r>
      <w:r w:rsidRPr="00A74808">
        <w:t xml:space="preserve">Aïcha </w:t>
      </w:r>
      <w:proofErr w:type="spellStart"/>
      <w:r w:rsidRPr="00A74808">
        <w:t>Habouchi</w:t>
      </w:r>
      <w:proofErr w:type="spellEnd"/>
      <w:r w:rsidRPr="00410779">
        <w:t xml:space="preserve">, de nationalité </w:t>
      </w:r>
      <w:r>
        <w:t>algérienne. Elle </w:t>
      </w:r>
      <w:r w:rsidRPr="00410779">
        <w:t>fait val</w:t>
      </w:r>
      <w:r>
        <w:t xml:space="preserve">oir que son fils, </w:t>
      </w:r>
      <w:r w:rsidRPr="00A74808">
        <w:t>Abdelhakim Houari</w:t>
      </w:r>
      <w:r w:rsidRPr="00410779">
        <w:t xml:space="preserve">, né </w:t>
      </w:r>
      <w:r>
        <w:t>le 19 mai 1974</w:t>
      </w:r>
      <w:r w:rsidRPr="00410779">
        <w:t xml:space="preserve">, </w:t>
      </w:r>
      <w:r>
        <w:t xml:space="preserve">également </w:t>
      </w:r>
      <w:r w:rsidRPr="00410779">
        <w:t xml:space="preserve">de nationalité algérienne, </w:t>
      </w:r>
      <w:r w:rsidRPr="003533BE">
        <w:t>est victime d</w:t>
      </w:r>
      <w:r>
        <w:t>’</w:t>
      </w:r>
      <w:r w:rsidRPr="003533BE">
        <w:t>une disparition forcée imputable à l</w:t>
      </w:r>
      <w:r>
        <w:t>’</w:t>
      </w:r>
      <w:r w:rsidRPr="003533BE">
        <w:t xml:space="preserve">État partie, en violation </w:t>
      </w:r>
      <w:r>
        <w:t>du paragraphe 3 de l’</w:t>
      </w:r>
      <w:r w:rsidRPr="003533BE">
        <w:t>article</w:t>
      </w:r>
      <w:r>
        <w:t xml:space="preserve"> 2 ainsi que des articles 6, 7, 9, 10 et </w:t>
      </w:r>
      <w:r w:rsidRPr="003533BE">
        <w:t xml:space="preserve">16 du Pacte. </w:t>
      </w:r>
      <w:r w:rsidRPr="00975D7C">
        <w:t>L</w:t>
      </w:r>
      <w:r>
        <w:t>’</w:t>
      </w:r>
      <w:r w:rsidRPr="00975D7C">
        <w:t>auteure soutient par ailleurs être victime d</w:t>
      </w:r>
      <w:r>
        <w:t>’</w:t>
      </w:r>
      <w:r w:rsidRPr="00975D7C">
        <w:t xml:space="preserve">une violation de ses droits en vertu </w:t>
      </w:r>
      <w:r>
        <w:t>des paragraphes 2 et 3 de</w:t>
      </w:r>
      <w:r w:rsidRPr="00975D7C">
        <w:t xml:space="preserve"> l</w:t>
      </w:r>
      <w:r>
        <w:t>’</w:t>
      </w:r>
      <w:r w:rsidRPr="00975D7C">
        <w:t>article</w:t>
      </w:r>
      <w:r>
        <w:t> </w:t>
      </w:r>
      <w:r w:rsidRPr="00975D7C">
        <w:t xml:space="preserve">2, </w:t>
      </w:r>
      <w:r>
        <w:t xml:space="preserve">de </w:t>
      </w:r>
      <w:r w:rsidRPr="00975D7C">
        <w:t>l</w:t>
      </w:r>
      <w:r>
        <w:t>’</w:t>
      </w:r>
      <w:r w:rsidRPr="00975D7C">
        <w:t>article</w:t>
      </w:r>
      <w:r>
        <w:t> </w:t>
      </w:r>
      <w:r w:rsidRPr="00975D7C">
        <w:t xml:space="preserve">7 lu conjointement avec </w:t>
      </w:r>
      <w:r>
        <w:t xml:space="preserve">le paragraphe 3 de </w:t>
      </w:r>
      <w:r w:rsidRPr="00975D7C">
        <w:t>l</w:t>
      </w:r>
      <w:r>
        <w:t>’</w:t>
      </w:r>
      <w:r w:rsidRPr="00975D7C">
        <w:t>article</w:t>
      </w:r>
      <w:r>
        <w:t> </w:t>
      </w:r>
      <w:r w:rsidRPr="00975D7C">
        <w:t xml:space="preserve">2, et </w:t>
      </w:r>
      <w:r>
        <w:t xml:space="preserve">de </w:t>
      </w:r>
      <w:r w:rsidRPr="00975D7C">
        <w:t>l</w:t>
      </w:r>
      <w:r>
        <w:t>’</w:t>
      </w:r>
      <w:r w:rsidRPr="00975D7C">
        <w:t>article</w:t>
      </w:r>
      <w:r>
        <w:t> </w:t>
      </w:r>
      <w:r w:rsidRPr="00975D7C">
        <w:t>14 du Pacte</w:t>
      </w:r>
      <w:r w:rsidRPr="003533BE">
        <w:t>.</w:t>
      </w:r>
      <w:r w:rsidRPr="00410779">
        <w:t xml:space="preserve"> Le Pacte et le Protocole facultatif s</w:t>
      </w:r>
      <w:r>
        <w:t>’</w:t>
      </w:r>
      <w:r w:rsidRPr="00410779">
        <w:t xml:space="preserve">y rapportant sont </w:t>
      </w:r>
      <w:r w:rsidRPr="00410779">
        <w:lastRenderedPageBreak/>
        <w:t>entrés en vigueur pour l</w:t>
      </w:r>
      <w:r>
        <w:t>’</w:t>
      </w:r>
      <w:r w:rsidRPr="00410779">
        <w:t>Éta</w:t>
      </w:r>
      <w:r>
        <w:t>t partie le 12 décembre 1989. L’auteure</w:t>
      </w:r>
      <w:r w:rsidRPr="00410779">
        <w:t xml:space="preserve"> est représenté</w:t>
      </w:r>
      <w:r>
        <w:t>e</w:t>
      </w:r>
      <w:r w:rsidRPr="00410779">
        <w:t xml:space="preserve"> par</w:t>
      </w:r>
      <w:r>
        <w:t xml:space="preserve"> un conseil, </w:t>
      </w:r>
      <w:proofErr w:type="spellStart"/>
      <w:r w:rsidRPr="00AB5D7D">
        <w:t>Nassera</w:t>
      </w:r>
      <w:proofErr w:type="spellEnd"/>
      <w:r w:rsidRPr="00AB5D7D">
        <w:t xml:space="preserve"> </w:t>
      </w:r>
      <w:proofErr w:type="spellStart"/>
      <w:r w:rsidRPr="00AB5D7D">
        <w:t>Dutour</w:t>
      </w:r>
      <w:proofErr w:type="spellEnd"/>
      <w:r>
        <w:t>,</w:t>
      </w:r>
      <w:r w:rsidRPr="00AB5D7D">
        <w:t xml:space="preserve"> du Collectif des familles de disparu(e)s en Algérie</w:t>
      </w:r>
      <w:r w:rsidRPr="00410779">
        <w:t>.</w:t>
      </w:r>
    </w:p>
    <w:p w14:paraId="4415C4A3" w14:textId="77777777" w:rsidR="0059201E" w:rsidRPr="00410779" w:rsidRDefault="0059201E" w:rsidP="0059201E">
      <w:pPr>
        <w:pStyle w:val="SingleTxtG"/>
      </w:pPr>
      <w:r>
        <w:t>1.2</w:t>
      </w:r>
      <w:r>
        <w:tab/>
        <w:t>Le 18 septembre 2018</w:t>
      </w:r>
      <w:r w:rsidRPr="00EB2C12">
        <w:t xml:space="preserve">, le Comité, </w:t>
      </w:r>
      <w:r>
        <w:t xml:space="preserve">agissant </w:t>
      </w:r>
      <w:r w:rsidRPr="00EB2C12">
        <w:t>par l</w:t>
      </w:r>
      <w:r>
        <w:t>’</w:t>
      </w:r>
      <w:r w:rsidRPr="00EB2C12">
        <w:t xml:space="preserve">intermédiaire </w:t>
      </w:r>
      <w:r>
        <w:t>du</w:t>
      </w:r>
      <w:r w:rsidRPr="00EB2C12">
        <w:t xml:space="preserve"> Rapporteur spécial chargé des nouvelles communications et des mesures provisoires, a décidé de ne pas séparer l</w:t>
      </w:r>
      <w:r>
        <w:t>’</w:t>
      </w:r>
      <w:r w:rsidRPr="00EB2C12">
        <w:t>examen de la recevabilité de celui du fond de la communication.</w:t>
      </w:r>
    </w:p>
    <w:p w14:paraId="12257FDA" w14:textId="77777777" w:rsidR="0059201E" w:rsidRPr="00410779" w:rsidRDefault="0059201E" w:rsidP="00755DA0">
      <w:pPr>
        <w:pStyle w:val="H23G"/>
      </w:pPr>
      <w:r>
        <w:tab/>
      </w:r>
      <w:r>
        <w:tab/>
      </w:r>
      <w:r w:rsidRPr="00410779">
        <w:t>Rappel des faits présentés par l</w:t>
      </w:r>
      <w:r>
        <w:t>’</w:t>
      </w:r>
      <w:r w:rsidRPr="00410779">
        <w:t>auteur</w:t>
      </w:r>
      <w:r>
        <w:t>e</w:t>
      </w:r>
    </w:p>
    <w:p w14:paraId="43A6917B" w14:textId="77777777" w:rsidR="0059201E" w:rsidRDefault="0059201E" w:rsidP="0059201E">
      <w:pPr>
        <w:pStyle w:val="SingleTxtG"/>
      </w:pPr>
      <w:r>
        <w:t>2.1</w:t>
      </w:r>
      <w:r>
        <w:tab/>
      </w:r>
      <w:r w:rsidRPr="00A62F0B">
        <w:t>Le 13</w:t>
      </w:r>
      <w:r>
        <w:t> </w:t>
      </w:r>
      <w:r w:rsidRPr="00A62F0B">
        <w:t xml:space="preserve">novembre 1995, </w:t>
      </w:r>
      <w:r>
        <w:t>vers 11 h 30, alors qu’</w:t>
      </w:r>
      <w:r w:rsidRPr="00A62F0B">
        <w:t>Abdelhakim Houari se promenait en compagnie d</w:t>
      </w:r>
      <w:r>
        <w:t>’</w:t>
      </w:r>
      <w:r w:rsidRPr="00A62F0B">
        <w:t>un ami près de son quartier</w:t>
      </w:r>
      <w:r>
        <w:t xml:space="preserve"> (</w:t>
      </w:r>
      <w:r w:rsidRPr="00AD5F26">
        <w:t>Hai El Badr</w:t>
      </w:r>
      <w:r>
        <w:t>, à</w:t>
      </w:r>
      <w:r w:rsidRPr="00AD5F26">
        <w:t xml:space="preserve"> Oran)</w:t>
      </w:r>
      <w:r w:rsidRPr="00A62F0B">
        <w:t>, un fourgon bleu</w:t>
      </w:r>
      <w:r>
        <w:t xml:space="preserve"> </w:t>
      </w:r>
      <w:r w:rsidRPr="00A62F0B">
        <w:t>s</w:t>
      </w:r>
      <w:r>
        <w:t>’est arrêté</w:t>
      </w:r>
      <w:r w:rsidRPr="00A62F0B">
        <w:t xml:space="preserve"> à leur niveau avec à bord deux policiers </w:t>
      </w:r>
      <w:r>
        <w:t xml:space="preserve">habillés </w:t>
      </w:r>
      <w:r w:rsidRPr="00A62F0B">
        <w:t>en civil. L</w:t>
      </w:r>
      <w:r>
        <w:t>’</w:t>
      </w:r>
      <w:r w:rsidRPr="00A62F0B">
        <w:t xml:space="preserve">un des deux policiers </w:t>
      </w:r>
      <w:r>
        <w:t xml:space="preserve">a sauté </w:t>
      </w:r>
      <w:r w:rsidRPr="00A62F0B">
        <w:t xml:space="preserve">sur Abdelhakim Houari et </w:t>
      </w:r>
      <w:r>
        <w:t xml:space="preserve">l’a embarqué </w:t>
      </w:r>
      <w:r w:rsidRPr="00A62F0B">
        <w:t xml:space="preserve">de force dans le fourgon. </w:t>
      </w:r>
      <w:r>
        <w:t>La scène s’est passée si rapidement que son ami n’a pas pu intervenir. Les clients de la boulangerie située en face de la scène ont eux aussi assisté impuissants à l’arrestation d’</w:t>
      </w:r>
      <w:r w:rsidRPr="00A74808">
        <w:t>Abdelhakim Houari</w:t>
      </w:r>
      <w:r w:rsidRPr="00A62F0B">
        <w:t xml:space="preserve"> </w:t>
      </w:r>
      <w:r>
        <w:t xml:space="preserve">et ont immédiatement rapporté les faits à la mère du jeune homme. </w:t>
      </w:r>
      <w:r w:rsidRPr="00A62F0B">
        <w:t>Depuis ce jour, il n</w:t>
      </w:r>
      <w:r>
        <w:t>’</w:t>
      </w:r>
      <w:r w:rsidRPr="00A62F0B">
        <w:t>a jamais été revu.</w:t>
      </w:r>
    </w:p>
    <w:p w14:paraId="6827F9DE" w14:textId="77777777" w:rsidR="0059201E" w:rsidRDefault="0059201E" w:rsidP="0059201E">
      <w:pPr>
        <w:pStyle w:val="SingleTxtG"/>
      </w:pPr>
      <w:r>
        <w:t>2.2</w:t>
      </w:r>
      <w:r>
        <w:tab/>
        <w:t xml:space="preserve">Avant cet épisode, </w:t>
      </w:r>
      <w:bookmarkStart w:id="1" w:name="_Hlk28685326"/>
      <w:r>
        <w:t>le quartier Hai El Badr d’</w:t>
      </w:r>
      <w:r w:rsidRPr="005C2885">
        <w:t>Oran</w:t>
      </w:r>
      <w:r>
        <w:t xml:space="preserve"> </w:t>
      </w:r>
      <w:bookmarkEnd w:id="1"/>
      <w:r>
        <w:t>était très calme</w:t>
      </w:r>
      <w:r w:rsidRPr="00E16A6B">
        <w:t>.</w:t>
      </w:r>
      <w:r>
        <w:t xml:space="preserve"> Aucune action de type terroriste ni même de perquisition ou d’arrestation n’y avaient été menées. Cette arrestation a surpris tout le monde, car </w:t>
      </w:r>
      <w:r w:rsidRPr="005C2885">
        <w:t>Abdelhakim Houari</w:t>
      </w:r>
      <w:r>
        <w:t xml:space="preserve"> était un garçon très tranquille qui n’appartenait à aucun mouvement politique, fréquentait la mosquée du quartier et participait aux activités d’une association caritative.</w:t>
      </w:r>
    </w:p>
    <w:p w14:paraId="60A99FD9" w14:textId="77777777" w:rsidR="0059201E" w:rsidRDefault="0059201E" w:rsidP="0059201E">
      <w:pPr>
        <w:pStyle w:val="SingleTxtG"/>
      </w:pPr>
      <w:r>
        <w:t>2.3</w:t>
      </w:r>
      <w:r>
        <w:tab/>
      </w:r>
      <w:r w:rsidRPr="00545A81">
        <w:t xml:space="preserve">Aussitôt prévenue de la disparition de son fils, </w:t>
      </w:r>
      <w:r>
        <w:t>l</w:t>
      </w:r>
      <w:r w:rsidRPr="004F7E66">
        <w:t>e 13</w:t>
      </w:r>
      <w:r>
        <w:t> </w:t>
      </w:r>
      <w:r w:rsidRPr="004F7E66">
        <w:t>novembre 1995, l</w:t>
      </w:r>
      <w:r>
        <w:t>’</w:t>
      </w:r>
      <w:r w:rsidRPr="004F7E66">
        <w:t xml:space="preserve">auteure a écrit au Procureur </w:t>
      </w:r>
      <w:r>
        <w:t>g</w:t>
      </w:r>
      <w:r w:rsidRPr="004F7E66">
        <w:t xml:space="preserve">énéral </w:t>
      </w:r>
      <w:r>
        <w:t>de la cour d’</w:t>
      </w:r>
      <w:r w:rsidRPr="004F7E66">
        <w:t xml:space="preserve">Oran </w:t>
      </w:r>
      <w:r>
        <w:t xml:space="preserve">et s’est </w:t>
      </w:r>
      <w:r w:rsidRPr="00545A81">
        <w:t>précipitée à la gendarmerie de Cité Petit</w:t>
      </w:r>
      <w:r>
        <w:t>,</w:t>
      </w:r>
      <w:r w:rsidRPr="00545A81">
        <w:t xml:space="preserve"> puis à celle de Hai El Badr et</w:t>
      </w:r>
      <w:r>
        <w:t xml:space="preserve"> à la caserne militaire de Dar E</w:t>
      </w:r>
      <w:r w:rsidRPr="00545A81">
        <w:t xml:space="preserve">l </w:t>
      </w:r>
      <w:proofErr w:type="spellStart"/>
      <w:r w:rsidRPr="00545A81">
        <w:t>Beïda</w:t>
      </w:r>
      <w:proofErr w:type="spellEnd"/>
      <w:r>
        <w:t>,</w:t>
      </w:r>
      <w:r w:rsidRPr="00545A81">
        <w:t xml:space="preserve"> à Oran. </w:t>
      </w:r>
      <w:r>
        <w:t>C</w:t>
      </w:r>
      <w:r w:rsidRPr="00545A81">
        <w:t xml:space="preserve">haque fois, ses interlocuteurs </w:t>
      </w:r>
      <w:r>
        <w:t>− des gendarmes et des militaires − ont nié</w:t>
      </w:r>
      <w:r w:rsidRPr="00545A81">
        <w:t xml:space="preserve"> ê</w:t>
      </w:r>
      <w:r>
        <w:t>tre impliqués dans la détention</w:t>
      </w:r>
      <w:r w:rsidRPr="00545A81">
        <w:t xml:space="preserve"> de son fils</w:t>
      </w:r>
      <w:r>
        <w:t xml:space="preserve"> et le détenir dans leurs locaux</w:t>
      </w:r>
      <w:r w:rsidRPr="00545A81">
        <w:t>. Vingt jours pl</w:t>
      </w:r>
      <w:r>
        <w:t>us tard, soit le 2 décembre 1995,</w:t>
      </w:r>
      <w:r w:rsidRPr="00545A81">
        <w:t xml:space="preserve"> trois jeunes hommes qui faisaient partie de la même association</w:t>
      </w:r>
      <w:r>
        <w:t xml:space="preserve"> caritative</w:t>
      </w:r>
      <w:r w:rsidRPr="00545A81">
        <w:t xml:space="preserve"> qu</w:t>
      </w:r>
      <w:r>
        <w:t>’</w:t>
      </w:r>
      <w:r w:rsidRPr="00545A81">
        <w:t>Abdelhakim</w:t>
      </w:r>
      <w:r>
        <w:t xml:space="preserve"> Houari</w:t>
      </w:r>
      <w:r w:rsidRPr="00545A81">
        <w:t xml:space="preserve"> </w:t>
      </w:r>
      <w:r>
        <w:t>ont été</w:t>
      </w:r>
      <w:r w:rsidRPr="00545A81">
        <w:t xml:space="preserve"> arrêtés par les forces de sécurité et emprisonnés à la caserne militaire de </w:t>
      </w:r>
      <w:r w:rsidRPr="003735FA">
        <w:t xml:space="preserve">Dar El </w:t>
      </w:r>
      <w:proofErr w:type="spellStart"/>
      <w:r w:rsidRPr="003735FA">
        <w:t>Beïda</w:t>
      </w:r>
      <w:proofErr w:type="spellEnd"/>
      <w:r w:rsidRPr="00545A81">
        <w:t>. L</w:t>
      </w:r>
      <w:r>
        <w:t>’</w:t>
      </w:r>
      <w:r w:rsidRPr="00545A81">
        <w:t>un d</w:t>
      </w:r>
      <w:r>
        <w:t>’</w:t>
      </w:r>
      <w:r w:rsidRPr="00545A81">
        <w:t>entr</w:t>
      </w:r>
      <w:r>
        <w:t>e eux a été relâché au bout de six</w:t>
      </w:r>
      <w:r w:rsidRPr="00545A81">
        <w:t xml:space="preserve"> mois</w:t>
      </w:r>
      <w:r>
        <w:t>,</w:t>
      </w:r>
      <w:r w:rsidRPr="00545A81">
        <w:t xml:space="preserve"> et les deux autres ont été libérés à l</w:t>
      </w:r>
      <w:r>
        <w:t>’</w:t>
      </w:r>
      <w:r w:rsidRPr="00545A81">
        <w:t>issue de leur procès, le 28</w:t>
      </w:r>
      <w:r>
        <w:t> </w:t>
      </w:r>
      <w:r w:rsidRPr="00545A81">
        <w:t>mai 1997</w:t>
      </w:r>
      <w:r>
        <w:t xml:space="preserve">, dans le cadre duquel </w:t>
      </w:r>
      <w:r>
        <w:rPr>
          <w:rFonts w:eastAsia="SimSun"/>
          <w:szCs w:val="18"/>
          <w:lang w:eastAsia="zh-CN"/>
        </w:rPr>
        <w:t>i</w:t>
      </w:r>
      <w:r w:rsidRPr="007247C3">
        <w:rPr>
          <w:rFonts w:eastAsia="SimSun"/>
          <w:szCs w:val="18"/>
          <w:lang w:eastAsia="zh-CN"/>
        </w:rPr>
        <w:t>ls</w:t>
      </w:r>
      <w:r>
        <w:rPr>
          <w:rFonts w:eastAsia="SimSun"/>
          <w:szCs w:val="18"/>
          <w:lang w:eastAsia="zh-CN"/>
        </w:rPr>
        <w:t xml:space="preserve"> étaient accusés de participer </w:t>
      </w:r>
      <w:r w:rsidRPr="007247C3">
        <w:rPr>
          <w:rFonts w:eastAsia="SimSun"/>
          <w:szCs w:val="18"/>
          <w:lang w:eastAsia="zh-CN"/>
        </w:rPr>
        <w:t xml:space="preserve">à des activités illégales </w:t>
      </w:r>
      <w:r>
        <w:rPr>
          <w:rFonts w:eastAsia="SimSun"/>
          <w:szCs w:val="18"/>
          <w:lang w:eastAsia="zh-CN"/>
        </w:rPr>
        <w:t xml:space="preserve">du simple fait que </w:t>
      </w:r>
      <w:r w:rsidRPr="007247C3">
        <w:rPr>
          <w:rFonts w:eastAsia="SimSun"/>
          <w:szCs w:val="18"/>
          <w:lang w:eastAsia="zh-CN"/>
        </w:rPr>
        <w:t>l</w:t>
      </w:r>
      <w:r>
        <w:rPr>
          <w:rFonts w:eastAsia="SimSun"/>
          <w:szCs w:val="18"/>
          <w:lang w:eastAsia="zh-CN"/>
        </w:rPr>
        <w:t>’</w:t>
      </w:r>
      <w:r w:rsidRPr="007247C3">
        <w:rPr>
          <w:rFonts w:eastAsia="SimSun"/>
          <w:szCs w:val="18"/>
          <w:lang w:eastAsia="zh-CN"/>
        </w:rPr>
        <w:t>association n</w:t>
      </w:r>
      <w:r>
        <w:rPr>
          <w:rFonts w:eastAsia="SimSun"/>
          <w:szCs w:val="18"/>
          <w:lang w:eastAsia="zh-CN"/>
        </w:rPr>
        <w:t>’</w:t>
      </w:r>
      <w:r w:rsidRPr="007247C3">
        <w:rPr>
          <w:rFonts w:eastAsia="SimSun"/>
          <w:szCs w:val="18"/>
          <w:lang w:eastAsia="zh-CN"/>
        </w:rPr>
        <w:t>était pas reconnue légalement</w:t>
      </w:r>
      <w:r w:rsidRPr="00545A81">
        <w:t xml:space="preserve">. Tous ont témoigné </w:t>
      </w:r>
      <w:r>
        <w:t xml:space="preserve">auprès de l’auteure </w:t>
      </w:r>
      <w:r w:rsidRPr="00545A81">
        <w:t>avoir vu Abdelhakim</w:t>
      </w:r>
      <w:r>
        <w:t xml:space="preserve"> </w:t>
      </w:r>
      <w:r w:rsidRPr="003735FA">
        <w:t>Houari</w:t>
      </w:r>
      <w:r w:rsidRPr="00545A81">
        <w:t xml:space="preserve"> </w:t>
      </w:r>
      <w:r>
        <w:t xml:space="preserve">à maintes reprises </w:t>
      </w:r>
      <w:r w:rsidRPr="00545A81">
        <w:t>à la caserne militaire</w:t>
      </w:r>
      <w:r w:rsidRPr="003735FA">
        <w:t xml:space="preserve"> </w:t>
      </w:r>
      <w:r w:rsidRPr="00545A81">
        <w:t xml:space="preserve">de </w:t>
      </w:r>
      <w:r w:rsidRPr="003735FA">
        <w:t xml:space="preserve">Dar El </w:t>
      </w:r>
      <w:proofErr w:type="spellStart"/>
      <w:r w:rsidRPr="003735FA">
        <w:t>Beïda</w:t>
      </w:r>
      <w:proofErr w:type="spellEnd"/>
      <w:r w:rsidRPr="00545A81">
        <w:t>. D</w:t>
      </w:r>
      <w:r>
        <w:t>’</w:t>
      </w:r>
      <w:r w:rsidRPr="00545A81">
        <w:t xml:space="preserve">après leurs dires, </w:t>
      </w:r>
      <w:r>
        <w:t xml:space="preserve">son état psychologique était au plus bas et </w:t>
      </w:r>
      <w:r w:rsidRPr="00545A81">
        <w:t xml:space="preserve">il y serait resté </w:t>
      </w:r>
      <w:r>
        <w:t>au moins sept</w:t>
      </w:r>
      <w:r w:rsidRPr="00545A81">
        <w:t xml:space="preserve"> mois.</w:t>
      </w:r>
    </w:p>
    <w:p w14:paraId="66663EBE" w14:textId="77777777" w:rsidR="0059201E" w:rsidRDefault="0059201E" w:rsidP="0059201E">
      <w:pPr>
        <w:pStyle w:val="SingleTxtG"/>
      </w:pPr>
      <w:r>
        <w:t>2.4</w:t>
      </w:r>
      <w:r>
        <w:tab/>
        <w:t xml:space="preserve">L’auteure a fait tout son possible pour retrouver son fils en se rendant régulièrement à </w:t>
      </w:r>
      <w:r w:rsidRPr="00545A81">
        <w:t>la caserne militaire</w:t>
      </w:r>
      <w:r w:rsidRPr="003735FA">
        <w:t xml:space="preserve"> </w:t>
      </w:r>
      <w:r w:rsidRPr="00545A81">
        <w:t xml:space="preserve">de </w:t>
      </w:r>
      <w:r w:rsidRPr="003735FA">
        <w:t xml:space="preserve">Dar El </w:t>
      </w:r>
      <w:proofErr w:type="spellStart"/>
      <w:r w:rsidRPr="003735FA">
        <w:t>Beïda</w:t>
      </w:r>
      <w:proofErr w:type="spellEnd"/>
      <w:r>
        <w:t>, jusqu’à ce qu’un jour, des militaires lui ordonnent de ne plus y remettre les pieds, la menaçant elle et sa famille de représailles.</w:t>
      </w:r>
      <w:r w:rsidRPr="00835034">
        <w:rPr>
          <w:rFonts w:eastAsia="SimSun"/>
          <w:lang w:eastAsia="zh-CN"/>
        </w:rPr>
        <w:t xml:space="preserve"> </w:t>
      </w:r>
      <w:r w:rsidRPr="00B83E2A">
        <w:t xml:space="preserve">En raison du climat de terreur ambiant dans le pays dans les années </w:t>
      </w:r>
      <w:r>
        <w:t>19</w:t>
      </w:r>
      <w:r w:rsidRPr="00B83E2A">
        <w:t xml:space="preserve">90, elle a attendu près de </w:t>
      </w:r>
      <w:r>
        <w:t>deux</w:t>
      </w:r>
      <w:r w:rsidRPr="00B83E2A">
        <w:t xml:space="preserve"> ans avant de déposer plainte auprès des autorités judiciaires</w:t>
      </w:r>
      <w:r w:rsidRPr="004E1C4D">
        <w:rPr>
          <w:rStyle w:val="Appelnotedebasdep"/>
        </w:rPr>
        <w:footnoteReference w:id="4"/>
      </w:r>
      <w:r>
        <w:t xml:space="preserve">. En effet, </w:t>
      </w:r>
      <w:r w:rsidRPr="00AB67D4">
        <w:t xml:space="preserve">selon </w:t>
      </w:r>
      <w:r>
        <w:t>des</w:t>
      </w:r>
      <w:r w:rsidRPr="00AB67D4">
        <w:t xml:space="preserve"> rumeur</w:t>
      </w:r>
      <w:r>
        <w:t>s</w:t>
      </w:r>
      <w:r w:rsidRPr="00AB67D4">
        <w:t xml:space="preserve"> persistante</w:t>
      </w:r>
      <w:r>
        <w:t>s</w:t>
      </w:r>
      <w:r w:rsidRPr="00AB67D4">
        <w:t xml:space="preserve">, </w:t>
      </w:r>
      <w:r>
        <w:t xml:space="preserve">si </w:t>
      </w:r>
      <w:r w:rsidRPr="00AB67D4">
        <w:t>les familles faisaient trop de bruit autour de la disparition d</w:t>
      </w:r>
      <w:r>
        <w:t>’un</w:t>
      </w:r>
      <w:r w:rsidRPr="00AB67D4">
        <w:t xml:space="preserve"> proche, la personne disparue serait exécutée et les autorités feraient endos</w:t>
      </w:r>
      <w:r>
        <w:t>ser ce meurtre aux terroristes.</w:t>
      </w:r>
    </w:p>
    <w:p w14:paraId="7B81E2F9" w14:textId="77777777" w:rsidR="0059201E" w:rsidRPr="00157963" w:rsidRDefault="0059201E" w:rsidP="0059201E">
      <w:pPr>
        <w:pStyle w:val="SingleTxtG"/>
        <w:rPr>
          <w:spacing w:val="-1"/>
        </w:rPr>
      </w:pPr>
      <w:r w:rsidRPr="00157963">
        <w:rPr>
          <w:spacing w:val="-1"/>
        </w:rPr>
        <w:t>2.5</w:t>
      </w:r>
      <w:r w:rsidRPr="00157963">
        <w:rPr>
          <w:spacing w:val="-1"/>
        </w:rPr>
        <w:tab/>
        <w:t xml:space="preserve">Le 20 septembre 1997, l’auteure a écrit au Procureur de la République du tribunal d’Oran pour lui demander d’ouvrir une enquête sur le sort de son fils, et pour lui soumettre les informations confirmant les dires des jeunes hommes qui avaient été arrêtés et détenus à la caserne militaire de Dar El </w:t>
      </w:r>
      <w:proofErr w:type="spellStart"/>
      <w:r w:rsidRPr="00157963">
        <w:rPr>
          <w:spacing w:val="-1"/>
        </w:rPr>
        <w:t>Beïda</w:t>
      </w:r>
      <w:proofErr w:type="spellEnd"/>
      <w:r w:rsidRPr="00157963">
        <w:rPr>
          <w:spacing w:val="-1"/>
        </w:rPr>
        <w:t xml:space="preserve"> avec son fils. Sa lettre est restée sans suite. Le 19 août 1998, avec un groupe de mères de disparus, l’auteure a fait appel à un avocat pour qu’il porte plainte en leur nom auprès du tribunal d’Oran. La plainte est restée sans suite. Le 31 mai </w:t>
      </w:r>
      <w:r w:rsidRPr="00157963">
        <w:t>2000, elle s’est de nouveau adressée au Procureur de la République du tribunal d’Oran pour lui demander d’enquêter sur la disparition de son fils et pour se plaindre de n’avoir reçu aucune réponse de sa part jusqu’alors. Elle n’a toujours reçu aucune réponse à ce jour.</w:t>
      </w:r>
    </w:p>
    <w:p w14:paraId="40ED7680" w14:textId="77777777" w:rsidR="0059201E" w:rsidRDefault="0059201E" w:rsidP="0059201E">
      <w:pPr>
        <w:pStyle w:val="SingleTxtG"/>
      </w:pPr>
      <w:r>
        <w:t>2.6</w:t>
      </w:r>
      <w:r>
        <w:tab/>
        <w:t>Le 13 juillet 2008, l’auteure</w:t>
      </w:r>
      <w:r w:rsidRPr="0035639F">
        <w:t xml:space="preserve"> </w:t>
      </w:r>
      <w:r>
        <w:t xml:space="preserve">a reçu </w:t>
      </w:r>
      <w:r w:rsidRPr="0035639F">
        <w:t>de la part</w:t>
      </w:r>
      <w:r>
        <w:t xml:space="preserve"> de la police judiciaire d’Oran</w:t>
      </w:r>
      <w:r w:rsidRPr="0035639F">
        <w:t xml:space="preserve"> un acte de décès concernant Abdelhakim Houari</w:t>
      </w:r>
      <w:r>
        <w:t>,</w:t>
      </w:r>
      <w:r w:rsidRPr="0035639F">
        <w:t xml:space="preserve"> dans lequel il est mentionné qu</w:t>
      </w:r>
      <w:r>
        <w:t>’</w:t>
      </w:r>
      <w:r w:rsidRPr="0035639F">
        <w:t xml:space="preserve">après enquête, il ressort </w:t>
      </w:r>
      <w:r>
        <w:t>que celui-ci</w:t>
      </w:r>
      <w:r w:rsidRPr="0035639F">
        <w:t xml:space="preserve"> aurait rejoint le camp des groupes armés le 24</w:t>
      </w:r>
      <w:r>
        <w:t> </w:t>
      </w:r>
      <w:r w:rsidRPr="0035639F">
        <w:t>novembre 1995 et qu</w:t>
      </w:r>
      <w:r>
        <w:t>’</w:t>
      </w:r>
      <w:r w:rsidRPr="0035639F">
        <w:t xml:space="preserve">il </w:t>
      </w:r>
      <w:r w:rsidRPr="0035639F">
        <w:lastRenderedPageBreak/>
        <w:t xml:space="preserve">serait depuis décédé </w:t>
      </w:r>
      <w:r>
        <w:t>dans le</w:t>
      </w:r>
      <w:r w:rsidRPr="0035639F">
        <w:t xml:space="preserve"> maquis. L</w:t>
      </w:r>
      <w:r>
        <w:t>’</w:t>
      </w:r>
      <w:r w:rsidRPr="0035639F">
        <w:t xml:space="preserve">auteure </w:t>
      </w:r>
      <w:r>
        <w:t xml:space="preserve">s’est refusée à croire en la véracité des éléments mentionnés dans ce document, d’autant plus qu’un ami de son fils ainsi que des clients de la boulangerie avaient été </w:t>
      </w:r>
      <w:r w:rsidRPr="00160F50">
        <w:t>témoins des faits</w:t>
      </w:r>
      <w:r>
        <w:t>,</w:t>
      </w:r>
      <w:r w:rsidRPr="00160F50">
        <w:t xml:space="preserve"> </w:t>
      </w:r>
      <w:r>
        <w:t>au moment où son fils avait été embarqué dans le fourgon bleu. De plus, les trois jeunes qui avaient été détenus plus tard dans</w:t>
      </w:r>
      <w:r w:rsidRPr="00545A81">
        <w:t xml:space="preserve"> la caserne militaire de </w:t>
      </w:r>
      <w:r w:rsidRPr="003735FA">
        <w:t xml:space="preserve">Dar El </w:t>
      </w:r>
      <w:proofErr w:type="spellStart"/>
      <w:r w:rsidRPr="003735FA">
        <w:t>Beïda</w:t>
      </w:r>
      <w:proofErr w:type="spellEnd"/>
      <w:r>
        <w:t xml:space="preserve"> avaient confirmé l’y avoir vu pendant plusieurs mois. L’auteure</w:t>
      </w:r>
      <w:r w:rsidRPr="0035639F">
        <w:t xml:space="preserve"> </w:t>
      </w:r>
      <w:r>
        <w:t>s’est donc rendue</w:t>
      </w:r>
      <w:r w:rsidRPr="0035639F">
        <w:t xml:space="preserve"> au tribunal d</w:t>
      </w:r>
      <w:r>
        <w:t>’</w:t>
      </w:r>
      <w:r w:rsidRPr="0035639F">
        <w:t>Oran</w:t>
      </w:r>
      <w:r>
        <w:t>,</w:t>
      </w:r>
      <w:r w:rsidRPr="0035639F">
        <w:t xml:space="preserve"> où elle </w:t>
      </w:r>
      <w:r>
        <w:t xml:space="preserve">a </w:t>
      </w:r>
      <w:r w:rsidRPr="0035639F">
        <w:t>demand</w:t>
      </w:r>
      <w:r>
        <w:t>é</w:t>
      </w:r>
      <w:r w:rsidRPr="0035639F">
        <w:t xml:space="preserve"> à êtr</w:t>
      </w:r>
      <w:r>
        <w:t>e entendue par les services du P</w:t>
      </w:r>
      <w:r w:rsidRPr="0035639F">
        <w:t>rocureur</w:t>
      </w:r>
      <w:r>
        <w:t xml:space="preserve"> de la République</w:t>
      </w:r>
      <w:r w:rsidRPr="0035639F">
        <w:t xml:space="preserve">. </w:t>
      </w:r>
      <w:r>
        <w:t>Personne n’a pris la peine de la recevoir, et u</w:t>
      </w:r>
      <w:r w:rsidRPr="0035639F">
        <w:t xml:space="preserve">n magistrat </w:t>
      </w:r>
      <w:r>
        <w:t xml:space="preserve">présent </w:t>
      </w:r>
      <w:r w:rsidRPr="0035639F">
        <w:t xml:space="preserve">lui </w:t>
      </w:r>
      <w:r>
        <w:t xml:space="preserve">a vivement </w:t>
      </w:r>
      <w:r w:rsidRPr="0035639F">
        <w:t>déconseill</w:t>
      </w:r>
      <w:r>
        <w:t>é</w:t>
      </w:r>
      <w:r w:rsidRPr="0035639F">
        <w:t xml:space="preserve"> de poursuivre ses démarches. </w:t>
      </w:r>
      <w:r>
        <w:t>Le 17</w:t>
      </w:r>
      <w:r w:rsidR="00EC4DE6">
        <w:t> </w:t>
      </w:r>
      <w:r w:rsidRPr="00160F50">
        <w:t xml:space="preserve">juillet 2010, elle a envoyé un nouveau courrier au </w:t>
      </w:r>
      <w:r>
        <w:t>P</w:t>
      </w:r>
      <w:r w:rsidRPr="00160F50">
        <w:t>rocureur de la République du tribunal d</w:t>
      </w:r>
      <w:r>
        <w:t>’</w:t>
      </w:r>
      <w:r w:rsidRPr="00160F50">
        <w:t>Oran.</w:t>
      </w:r>
      <w:r>
        <w:t xml:space="preserve"> </w:t>
      </w:r>
      <w:r w:rsidRPr="0035639F">
        <w:t>Le 14</w:t>
      </w:r>
      <w:r w:rsidR="00EC4DE6">
        <w:t> </w:t>
      </w:r>
      <w:r w:rsidRPr="0035639F">
        <w:t>septembre 2010, l</w:t>
      </w:r>
      <w:r>
        <w:t>’</w:t>
      </w:r>
      <w:r w:rsidRPr="0035639F">
        <w:t>a</w:t>
      </w:r>
      <w:r>
        <w:t>uteure</w:t>
      </w:r>
      <w:r w:rsidRPr="0035639F">
        <w:t xml:space="preserve"> </w:t>
      </w:r>
      <w:r>
        <w:t>a écrit</w:t>
      </w:r>
      <w:r w:rsidRPr="0035639F">
        <w:t xml:space="preserve"> au Procureur </w:t>
      </w:r>
      <w:r>
        <w:t>g</w:t>
      </w:r>
      <w:r w:rsidRPr="0035639F">
        <w:t xml:space="preserve">énéral </w:t>
      </w:r>
      <w:r>
        <w:t xml:space="preserve">de la cour </w:t>
      </w:r>
      <w:r w:rsidRPr="0035639F">
        <w:t>d</w:t>
      </w:r>
      <w:r>
        <w:t>’</w:t>
      </w:r>
      <w:r w:rsidRPr="0035639F">
        <w:t xml:space="preserve">Oran pour contester la version du décès de son fils. Elle </w:t>
      </w:r>
      <w:r>
        <w:t xml:space="preserve">a </w:t>
      </w:r>
      <w:r w:rsidRPr="0035639F">
        <w:t>exig</w:t>
      </w:r>
      <w:r>
        <w:t>é</w:t>
      </w:r>
      <w:r w:rsidRPr="0035639F">
        <w:t xml:space="preserve"> que l</w:t>
      </w:r>
      <w:r>
        <w:t>’</w:t>
      </w:r>
      <w:r w:rsidRPr="0035639F">
        <w:t xml:space="preserve">acte </w:t>
      </w:r>
      <w:r>
        <w:t>de décès mentionne le fait</w:t>
      </w:r>
      <w:r w:rsidRPr="0035639F">
        <w:t xml:space="preserve"> qu</w:t>
      </w:r>
      <w:r>
        <w:t>’</w:t>
      </w:r>
      <w:r w:rsidRPr="0035639F">
        <w:t xml:space="preserve">il était porté disparu </w:t>
      </w:r>
      <w:r>
        <w:t>après</w:t>
      </w:r>
      <w:r w:rsidRPr="0035639F">
        <w:t xml:space="preserve"> son a</w:t>
      </w:r>
      <w:r>
        <w:t>rrestation par deux policiers, le 13</w:t>
      </w:r>
      <w:r w:rsidR="00EC4DE6">
        <w:t> </w:t>
      </w:r>
      <w:r>
        <w:t>novembre 1995.</w:t>
      </w:r>
    </w:p>
    <w:p w14:paraId="70E7D2B5" w14:textId="77777777" w:rsidR="0059201E" w:rsidRDefault="0059201E" w:rsidP="0059201E">
      <w:pPr>
        <w:pStyle w:val="SingleTxtG"/>
      </w:pPr>
      <w:r>
        <w:t>2.7</w:t>
      </w:r>
      <w:r>
        <w:tab/>
      </w:r>
      <w:r w:rsidRPr="0011123F">
        <w:t>Le 4</w:t>
      </w:r>
      <w:r w:rsidR="00EC4DE6">
        <w:t> </w:t>
      </w:r>
      <w:r w:rsidRPr="0011123F">
        <w:t xml:space="preserve">avril 2011, </w:t>
      </w:r>
      <w:r>
        <w:t>l’auteure a été convoquée par le P</w:t>
      </w:r>
      <w:r w:rsidRPr="0011123F">
        <w:t>rocureur de la République du tribunal d</w:t>
      </w:r>
      <w:r>
        <w:t>’</w:t>
      </w:r>
      <w:r w:rsidRPr="0011123F">
        <w:t>Oran. Durant l</w:t>
      </w:r>
      <w:r>
        <w:t>’</w:t>
      </w:r>
      <w:r w:rsidRPr="0011123F">
        <w:t>audience</w:t>
      </w:r>
      <w:r>
        <w:t>,</w:t>
      </w:r>
      <w:r w:rsidRPr="0011123F">
        <w:t xml:space="preserve"> le </w:t>
      </w:r>
      <w:r>
        <w:t>P</w:t>
      </w:r>
      <w:r w:rsidRPr="0011123F">
        <w:t xml:space="preserve">rocureur lui </w:t>
      </w:r>
      <w:r>
        <w:t xml:space="preserve">a fermement </w:t>
      </w:r>
      <w:r w:rsidRPr="0011123F">
        <w:t>conseill</w:t>
      </w:r>
      <w:r>
        <w:t>é</w:t>
      </w:r>
      <w:r w:rsidRPr="0011123F">
        <w:t xml:space="preserve"> de signer l</w:t>
      </w:r>
      <w:r>
        <w:t>’</w:t>
      </w:r>
      <w:r w:rsidRPr="0011123F">
        <w:t>acte de décès pour que le processus d</w:t>
      </w:r>
      <w:r>
        <w:t>’</w:t>
      </w:r>
      <w:r w:rsidRPr="0011123F">
        <w:t>aide de l</w:t>
      </w:r>
      <w:r>
        <w:t>’</w:t>
      </w:r>
      <w:r w:rsidRPr="0011123F">
        <w:t>É</w:t>
      </w:r>
      <w:r>
        <w:t>t</w:t>
      </w:r>
      <w:r w:rsidRPr="0011123F">
        <w:t>at aux familles démunies éprouvées par l</w:t>
      </w:r>
      <w:r>
        <w:t>’</w:t>
      </w:r>
      <w:r w:rsidRPr="0011123F">
        <w:t>implication d</w:t>
      </w:r>
      <w:r>
        <w:t>’</w:t>
      </w:r>
      <w:r w:rsidRPr="0011123F">
        <w:t>un de leurs proches dans le terrorisme</w:t>
      </w:r>
      <w:r>
        <w:t>, en application du</w:t>
      </w:r>
      <w:r w:rsidRPr="002937C0">
        <w:rPr>
          <w:szCs w:val="18"/>
        </w:rPr>
        <w:t xml:space="preserve"> </w:t>
      </w:r>
      <w:r w:rsidRPr="007247C3">
        <w:rPr>
          <w:szCs w:val="18"/>
        </w:rPr>
        <w:t xml:space="preserve">décret présidentiel </w:t>
      </w:r>
      <w:r>
        <w:rPr>
          <w:szCs w:val="18"/>
        </w:rPr>
        <w:t>n</w:t>
      </w:r>
      <w:r w:rsidRPr="00835034">
        <w:rPr>
          <w:szCs w:val="18"/>
          <w:vertAlign w:val="superscript"/>
        </w:rPr>
        <w:t>o</w:t>
      </w:r>
      <w:r>
        <w:rPr>
          <w:szCs w:val="18"/>
        </w:rPr>
        <w:t> </w:t>
      </w:r>
      <w:r w:rsidRPr="007247C3">
        <w:rPr>
          <w:szCs w:val="18"/>
        </w:rPr>
        <w:t>06-94 du 28</w:t>
      </w:r>
      <w:r w:rsidR="00EC4DE6">
        <w:rPr>
          <w:szCs w:val="18"/>
        </w:rPr>
        <w:t> </w:t>
      </w:r>
      <w:r w:rsidRPr="007247C3">
        <w:rPr>
          <w:szCs w:val="18"/>
        </w:rPr>
        <w:t>février 2006</w:t>
      </w:r>
      <w:r>
        <w:rPr>
          <w:szCs w:val="18"/>
        </w:rPr>
        <w:t>,</w:t>
      </w:r>
      <w:r w:rsidRPr="0011123F">
        <w:t xml:space="preserve"> puisse être enclenché. Elle </w:t>
      </w:r>
      <w:r>
        <w:t xml:space="preserve">a </w:t>
      </w:r>
      <w:r w:rsidRPr="0011123F">
        <w:t>refus</w:t>
      </w:r>
      <w:r>
        <w:t>é</w:t>
      </w:r>
      <w:r w:rsidRPr="0011123F">
        <w:t xml:space="preserve"> et réitér</w:t>
      </w:r>
      <w:r>
        <w:t>é</w:t>
      </w:r>
      <w:r w:rsidRPr="0011123F">
        <w:t xml:space="preserve"> sa demande de </w:t>
      </w:r>
      <w:r>
        <w:t xml:space="preserve">modification de la version des faits </w:t>
      </w:r>
      <w:r w:rsidRPr="0011123F">
        <w:t>dans l</w:t>
      </w:r>
      <w:r>
        <w:t>’</w:t>
      </w:r>
      <w:r w:rsidRPr="0011123F">
        <w:t>acte de décès</w:t>
      </w:r>
      <w:r>
        <w:t xml:space="preserve"> de son fils</w:t>
      </w:r>
      <w:r w:rsidRPr="0011123F">
        <w:t>.</w:t>
      </w:r>
      <w:r>
        <w:t xml:space="preserve"> </w:t>
      </w:r>
      <w:r w:rsidRPr="003723AC">
        <w:t>Le 30</w:t>
      </w:r>
      <w:r>
        <w:t> </w:t>
      </w:r>
      <w:r w:rsidRPr="003723AC">
        <w:t>novembre 2011</w:t>
      </w:r>
      <w:r>
        <w:t xml:space="preserve">, l’auteure a </w:t>
      </w:r>
      <w:r w:rsidRPr="003723AC">
        <w:t>confirm</w:t>
      </w:r>
      <w:r>
        <w:t>é</w:t>
      </w:r>
      <w:r w:rsidRPr="003723AC">
        <w:t xml:space="preserve"> </w:t>
      </w:r>
      <w:r>
        <w:t>par écrit au P</w:t>
      </w:r>
      <w:r w:rsidRPr="003723AC">
        <w:t>rocureur de la République du tribunal d</w:t>
      </w:r>
      <w:r>
        <w:t>’</w:t>
      </w:r>
      <w:r w:rsidRPr="003723AC">
        <w:t xml:space="preserve">Oran sa contestation de la version officielle </w:t>
      </w:r>
      <w:r>
        <w:t>de la mort de son fils</w:t>
      </w:r>
      <w:r w:rsidRPr="003723AC">
        <w:t>.</w:t>
      </w:r>
    </w:p>
    <w:p w14:paraId="088B4B2A" w14:textId="77777777" w:rsidR="0059201E" w:rsidRDefault="0059201E" w:rsidP="0059201E">
      <w:pPr>
        <w:pStyle w:val="SingleTxtG"/>
      </w:pPr>
      <w:r>
        <w:t>2.8</w:t>
      </w:r>
      <w:r>
        <w:tab/>
        <w:t>Le 30</w:t>
      </w:r>
      <w:r w:rsidR="00EC4DE6">
        <w:t> </w:t>
      </w:r>
      <w:r>
        <w:t>novembre 2014, l’auteure</w:t>
      </w:r>
      <w:r w:rsidRPr="00375BDB">
        <w:t xml:space="preserve"> </w:t>
      </w:r>
      <w:r>
        <w:t>a</w:t>
      </w:r>
      <w:r w:rsidRPr="00375BDB">
        <w:t xml:space="preserve"> de nouveau </w:t>
      </w:r>
      <w:r>
        <w:t xml:space="preserve">été </w:t>
      </w:r>
      <w:r w:rsidRPr="00375BDB">
        <w:t xml:space="preserve">convoquée par le </w:t>
      </w:r>
      <w:r>
        <w:t>P</w:t>
      </w:r>
      <w:r w:rsidRPr="00375BDB">
        <w:t>rocureur de la République du tribunal d</w:t>
      </w:r>
      <w:r>
        <w:t>’</w:t>
      </w:r>
      <w:r w:rsidRPr="00375BDB">
        <w:t>Oran</w:t>
      </w:r>
      <w:r>
        <w:t>. Au cours de l’audience, le Procureur</w:t>
      </w:r>
      <w:r w:rsidRPr="00375BDB">
        <w:t xml:space="preserve"> lui </w:t>
      </w:r>
      <w:r>
        <w:t xml:space="preserve">a </w:t>
      </w:r>
      <w:r w:rsidRPr="00375BDB">
        <w:t>annon</w:t>
      </w:r>
      <w:r>
        <w:t xml:space="preserve">cé </w:t>
      </w:r>
      <w:r w:rsidRPr="00375BDB">
        <w:t xml:space="preserve">que la version de la mort de son fils </w:t>
      </w:r>
      <w:r>
        <w:t>dans le</w:t>
      </w:r>
      <w:r w:rsidRPr="00375BDB">
        <w:t xml:space="preserve"> maquis résultait d</w:t>
      </w:r>
      <w:r>
        <w:t>’</w:t>
      </w:r>
      <w:r w:rsidRPr="00375BDB">
        <w:t>une erreur de transcription de l</w:t>
      </w:r>
      <w:r>
        <w:t>’</w:t>
      </w:r>
      <w:r w:rsidRPr="00375BDB">
        <w:t>ad</w:t>
      </w:r>
      <w:r>
        <w:t>ministration judiciaire. L’auteure</w:t>
      </w:r>
      <w:r w:rsidRPr="00375BDB">
        <w:t xml:space="preserve"> </w:t>
      </w:r>
      <w:r>
        <w:t xml:space="preserve">a alors </w:t>
      </w:r>
      <w:r w:rsidRPr="00375BDB">
        <w:t>demand</w:t>
      </w:r>
      <w:r>
        <w:t>é</w:t>
      </w:r>
      <w:r w:rsidRPr="00375BDB">
        <w:t xml:space="preserve"> le changement de mention et l</w:t>
      </w:r>
      <w:r>
        <w:t>’</w:t>
      </w:r>
      <w:r w:rsidRPr="00375BDB">
        <w:t>ouverture d</w:t>
      </w:r>
      <w:r>
        <w:t>’</w:t>
      </w:r>
      <w:r w:rsidRPr="00375BDB">
        <w:t xml:space="preserve">une enquête. Ses demandes </w:t>
      </w:r>
      <w:r>
        <w:t>sont restées sans effet</w:t>
      </w:r>
      <w:r w:rsidRPr="00375BDB">
        <w:t>.</w:t>
      </w:r>
    </w:p>
    <w:p w14:paraId="62CF42D4" w14:textId="77777777" w:rsidR="0059201E" w:rsidRDefault="0059201E" w:rsidP="0059201E">
      <w:pPr>
        <w:pStyle w:val="SingleTxtG"/>
      </w:pPr>
      <w:r>
        <w:t>2.9</w:t>
      </w:r>
      <w:r>
        <w:tab/>
        <w:t xml:space="preserve">Parallèlement </w:t>
      </w:r>
      <w:r w:rsidRPr="00375BDB">
        <w:t>à ses sollicitations devant les autorités judiciaires, l</w:t>
      </w:r>
      <w:r>
        <w:t>’</w:t>
      </w:r>
      <w:r w:rsidRPr="00375BDB">
        <w:t>auteur</w:t>
      </w:r>
      <w:r>
        <w:t>e</w:t>
      </w:r>
      <w:r w:rsidRPr="00375BDB">
        <w:t xml:space="preserve"> </w:t>
      </w:r>
      <w:r>
        <w:t>a</w:t>
      </w:r>
      <w:r w:rsidRPr="00375BDB">
        <w:t xml:space="preserve"> également </w:t>
      </w:r>
      <w:r>
        <w:t xml:space="preserve">sollicité </w:t>
      </w:r>
      <w:r w:rsidRPr="00375BDB">
        <w:t>diverses instances non</w:t>
      </w:r>
      <w:r>
        <w:t xml:space="preserve"> </w:t>
      </w:r>
      <w:r w:rsidRPr="00375BDB">
        <w:t xml:space="preserve">juridictionnelles. Elle </w:t>
      </w:r>
      <w:r>
        <w:t>a écrit au Ministre de la j</w:t>
      </w:r>
      <w:r w:rsidRPr="00375BDB">
        <w:t>ustice</w:t>
      </w:r>
      <w:r w:rsidRPr="004E1C4D">
        <w:rPr>
          <w:rStyle w:val="Appelnotedebasdep"/>
        </w:rPr>
        <w:footnoteReference w:id="5"/>
      </w:r>
      <w:r w:rsidRPr="00375BDB">
        <w:t xml:space="preserve">, au délégué du </w:t>
      </w:r>
      <w:r>
        <w:t>M</w:t>
      </w:r>
      <w:r w:rsidRPr="00375BDB">
        <w:t>édiateur de la République</w:t>
      </w:r>
      <w:r w:rsidRPr="004E1C4D">
        <w:rPr>
          <w:rStyle w:val="Appelnotedebasdep"/>
        </w:rPr>
        <w:footnoteReference w:id="6"/>
      </w:r>
      <w:r w:rsidRPr="00375BDB">
        <w:t xml:space="preserve">, au </w:t>
      </w:r>
      <w:r>
        <w:t>P</w:t>
      </w:r>
      <w:r w:rsidRPr="00375BDB">
        <w:t>résident de l</w:t>
      </w:r>
      <w:r>
        <w:t>’</w:t>
      </w:r>
      <w:r w:rsidRPr="00375BDB">
        <w:t xml:space="preserve">Observatoire </w:t>
      </w:r>
      <w:r>
        <w:t>n</w:t>
      </w:r>
      <w:r w:rsidRPr="00375BDB">
        <w:t xml:space="preserve">ational des </w:t>
      </w:r>
      <w:r>
        <w:t>d</w:t>
      </w:r>
      <w:r w:rsidRPr="00375BDB">
        <w:t>roits de l</w:t>
      </w:r>
      <w:r>
        <w:t>’h</w:t>
      </w:r>
      <w:r w:rsidRPr="00375BDB">
        <w:t>omme</w:t>
      </w:r>
      <w:r w:rsidRPr="004E1C4D">
        <w:rPr>
          <w:rStyle w:val="Appelnotedebasdep"/>
        </w:rPr>
        <w:footnoteReference w:id="7"/>
      </w:r>
      <w:r>
        <w:t>, au Ministre de l’emploi et de la cohésion s</w:t>
      </w:r>
      <w:r w:rsidRPr="00375BDB">
        <w:t>ociale</w:t>
      </w:r>
      <w:r w:rsidRPr="004E1C4D">
        <w:rPr>
          <w:rStyle w:val="Appelnotedebasdep"/>
        </w:rPr>
        <w:footnoteReference w:id="8"/>
      </w:r>
      <w:r w:rsidRPr="00375BDB">
        <w:t xml:space="preserve">, à la Ligue </w:t>
      </w:r>
      <w:r>
        <w:t>a</w:t>
      </w:r>
      <w:r w:rsidRPr="00375BDB">
        <w:t xml:space="preserve">lgérienne </w:t>
      </w:r>
      <w:r>
        <w:t xml:space="preserve">pour la défense </w:t>
      </w:r>
      <w:r w:rsidRPr="00375BDB">
        <w:t xml:space="preserve">des </w:t>
      </w:r>
      <w:r>
        <w:t>d</w:t>
      </w:r>
      <w:r w:rsidRPr="00375BDB">
        <w:t>roits de l</w:t>
      </w:r>
      <w:r>
        <w:t>’h</w:t>
      </w:r>
      <w:r w:rsidRPr="00375BDB">
        <w:t>omme</w:t>
      </w:r>
      <w:r w:rsidRPr="004E1C4D">
        <w:rPr>
          <w:rStyle w:val="Appelnotedebasdep"/>
        </w:rPr>
        <w:footnoteReference w:id="9"/>
      </w:r>
      <w:r w:rsidRPr="00375BDB">
        <w:t xml:space="preserve">, à la Secrétaire </w:t>
      </w:r>
      <w:r>
        <w:t>g</w:t>
      </w:r>
      <w:r w:rsidRPr="00375BDB">
        <w:t xml:space="preserve">énérale du Parti des </w:t>
      </w:r>
      <w:r>
        <w:t>t</w:t>
      </w:r>
      <w:r w:rsidRPr="00375BDB">
        <w:t>ravailleurs</w:t>
      </w:r>
      <w:r w:rsidRPr="004E1C4D">
        <w:rPr>
          <w:rStyle w:val="Appelnotedebasdep"/>
        </w:rPr>
        <w:footnoteReference w:id="10"/>
      </w:r>
      <w:r>
        <w:t>, au commandant de la 2</w:t>
      </w:r>
      <w:r w:rsidRPr="003F7119">
        <w:rPr>
          <w:vertAlign w:val="superscript"/>
        </w:rPr>
        <w:t>e</w:t>
      </w:r>
      <w:r w:rsidR="00EC4DE6">
        <w:t> </w:t>
      </w:r>
      <w:r>
        <w:t>région militaire d’Oran</w:t>
      </w:r>
      <w:r w:rsidRPr="004E1C4D">
        <w:rPr>
          <w:rStyle w:val="Appelnotedebasdep"/>
        </w:rPr>
        <w:footnoteReference w:id="11"/>
      </w:r>
      <w:r>
        <w:t>, au Ministre de la d</w:t>
      </w:r>
      <w:r w:rsidRPr="00375BDB">
        <w:t>éfense</w:t>
      </w:r>
      <w:r w:rsidRPr="004E1C4D">
        <w:rPr>
          <w:rStyle w:val="Appelnotedebasdep"/>
        </w:rPr>
        <w:footnoteReference w:id="12"/>
      </w:r>
      <w:r w:rsidRPr="00375BDB">
        <w:t xml:space="preserve"> et à l</w:t>
      </w:r>
      <w:r>
        <w:t>’a</w:t>
      </w:r>
      <w:r w:rsidRPr="00375BDB">
        <w:t>ssociation SOS Disparus</w:t>
      </w:r>
      <w:r w:rsidRPr="004E1C4D">
        <w:rPr>
          <w:rStyle w:val="Appelnotedebasdep"/>
        </w:rPr>
        <w:footnoteReference w:id="13"/>
      </w:r>
      <w:r w:rsidRPr="00375BDB">
        <w:t>. Aucune de ces démarches n</w:t>
      </w:r>
      <w:r>
        <w:t>’a</w:t>
      </w:r>
      <w:r w:rsidRPr="00375BDB">
        <w:t xml:space="preserve"> abouti.</w:t>
      </w:r>
      <w:r>
        <w:t xml:space="preserve"> </w:t>
      </w:r>
      <w:r w:rsidRPr="00373663">
        <w:t>Le 21</w:t>
      </w:r>
      <w:r w:rsidR="00EC4DE6">
        <w:t> </w:t>
      </w:r>
      <w:r w:rsidRPr="00373663">
        <w:t>mai 2007, l</w:t>
      </w:r>
      <w:r>
        <w:t>’</w:t>
      </w:r>
      <w:r w:rsidRPr="00373663">
        <w:t>auteure a soumis le cas de son fils au Groupe de travail sur les disparitions forcées ou involontaires.</w:t>
      </w:r>
    </w:p>
    <w:p w14:paraId="44439E2D" w14:textId="77777777" w:rsidR="0059201E" w:rsidRDefault="0059201E" w:rsidP="0059201E">
      <w:pPr>
        <w:pStyle w:val="SingleTxtG"/>
      </w:pPr>
      <w:r>
        <w:t>2.10</w:t>
      </w:r>
      <w:r>
        <w:tab/>
        <w:t>Enfin, en avril 2015, l’auteure a été convoquée à la gendarmerie de Cité Djamel, à</w:t>
      </w:r>
      <w:r w:rsidR="00EC4DE6">
        <w:t> </w:t>
      </w:r>
      <w:r>
        <w:t>Oran. Alors qu’elle pensait être convoquée pour être entendue par les gendarmes qui allaient diligenter une enquête, cette convocation avait pour seul objectif de l’intimider afin de la dissuader de poursuivre ses démarches. En effet, les gendarmes lui ont clairement demandé de renoncer à toute recherche et d’accepter le processus d’aide de l’État pour familles démunies. L’auteure a maintenu sa version de la disparition de son fils et a demandé, s’il était décédé en prison, qu’on lui restitue sa dépouille.</w:t>
      </w:r>
    </w:p>
    <w:p w14:paraId="7117F20C" w14:textId="77777777" w:rsidR="0059201E" w:rsidRDefault="0059201E" w:rsidP="0059201E">
      <w:pPr>
        <w:pStyle w:val="SingleTxtG"/>
      </w:pPr>
      <w:r>
        <w:t>2.11</w:t>
      </w:r>
      <w:r>
        <w:tab/>
      </w:r>
      <w:r w:rsidRPr="00590872">
        <w:t>Malgr</w:t>
      </w:r>
      <w:r>
        <w:t>é tous les efforts de l’auteure</w:t>
      </w:r>
      <w:r w:rsidRPr="00590872">
        <w:t>, aucune enquête n</w:t>
      </w:r>
      <w:r>
        <w:t>’</w:t>
      </w:r>
      <w:r w:rsidRPr="00590872">
        <w:t xml:space="preserve">a été </w:t>
      </w:r>
      <w:r>
        <w:t>ouverte</w:t>
      </w:r>
      <w:r w:rsidRPr="00590872">
        <w:t>. L</w:t>
      </w:r>
      <w:r>
        <w:t>’</w:t>
      </w:r>
      <w:r w:rsidRPr="00590872">
        <w:t>auteur</w:t>
      </w:r>
      <w:r>
        <w:t>e</w:t>
      </w:r>
      <w:r w:rsidRPr="00590872">
        <w:t xml:space="preserve"> soul</w:t>
      </w:r>
      <w:r>
        <w:t xml:space="preserve">igne qu’il lui est </w:t>
      </w:r>
      <w:r w:rsidRPr="00590872">
        <w:t>aujourd</w:t>
      </w:r>
      <w:r>
        <w:t>’</w:t>
      </w:r>
      <w:r w:rsidRPr="00590872">
        <w:t xml:space="preserve">hui </w:t>
      </w:r>
      <w:r>
        <w:t>impossib</w:t>
      </w:r>
      <w:r w:rsidRPr="00590872">
        <w:t>l</w:t>
      </w:r>
      <w:r>
        <w:t>e</w:t>
      </w:r>
      <w:r w:rsidRPr="00590872">
        <w:t xml:space="preserve"> légale</w:t>
      </w:r>
      <w:r>
        <w:t>ment</w:t>
      </w:r>
      <w:r w:rsidRPr="00590872">
        <w:t xml:space="preserve"> de recourir à une instance judiciaire</w:t>
      </w:r>
      <w:r>
        <w:t>,</w:t>
      </w:r>
      <w:r w:rsidRPr="00590872">
        <w:t xml:space="preserve"> après la promulgation de l</w:t>
      </w:r>
      <w:r>
        <w:t>’</w:t>
      </w:r>
      <w:r w:rsidRPr="00590872">
        <w:t xml:space="preserve">ordonnance </w:t>
      </w:r>
      <w:r w:rsidR="00EC4DE6">
        <w:t>n</w:t>
      </w:r>
      <w:r w:rsidR="00EC4DE6" w:rsidRPr="00755DA0">
        <w:rPr>
          <w:vertAlign w:val="superscript"/>
        </w:rPr>
        <w:t>o</w:t>
      </w:r>
      <w:r w:rsidR="00EC4DE6">
        <w:t> </w:t>
      </w:r>
      <w:r w:rsidRPr="00590872">
        <w:t>06-01</w:t>
      </w:r>
      <w:r>
        <w:t xml:space="preserve"> du 27 </w:t>
      </w:r>
      <w:r w:rsidR="00EC4DE6">
        <w:t xml:space="preserve">février </w:t>
      </w:r>
      <w:r>
        <w:t>2006</w:t>
      </w:r>
      <w:r w:rsidRPr="00590872">
        <w:t xml:space="preserve"> portant mise en œuvre de la Charte pour la paix et la réconciliation nationale</w:t>
      </w:r>
      <w:r>
        <w:t>. L</w:t>
      </w:r>
      <w:r w:rsidRPr="00590872">
        <w:t>es recours internes</w:t>
      </w:r>
      <w:r>
        <w:t>,</w:t>
      </w:r>
      <w:r w:rsidRPr="00590872">
        <w:t xml:space="preserve"> </w:t>
      </w:r>
      <w:r>
        <w:t>qui étaient d’ailleurs inutiles et inefficaces,</w:t>
      </w:r>
      <w:r w:rsidRPr="00590872">
        <w:t xml:space="preserve"> </w:t>
      </w:r>
      <w:r>
        <w:t>ne sont de ce fait plus disponibles</w:t>
      </w:r>
      <w:r w:rsidRPr="00590872">
        <w:t xml:space="preserve">. La Charte pour la paix et la réconciliation nationale </w:t>
      </w:r>
      <w:r>
        <w:t>stipule</w:t>
      </w:r>
      <w:r w:rsidRPr="00590872">
        <w:t xml:space="preserve"> que « les actes répréhensibles d</w:t>
      </w:r>
      <w:r>
        <w:t>’</w:t>
      </w:r>
      <w:r w:rsidRPr="00590872">
        <w:t>agents de l</w:t>
      </w:r>
      <w:r>
        <w:t>’</w:t>
      </w:r>
      <w:r w:rsidRPr="00590872">
        <w:t>État</w:t>
      </w:r>
      <w:r>
        <w:t>,</w:t>
      </w:r>
      <w:r w:rsidRPr="00590872">
        <w:t xml:space="preserve"> </w:t>
      </w:r>
      <w:r w:rsidRPr="00590872">
        <w:lastRenderedPageBreak/>
        <w:t>qui ont été sanctionnés par la justice chaque fois qu</w:t>
      </w:r>
      <w:r>
        <w:t>’</w:t>
      </w:r>
      <w:r w:rsidRPr="00590872">
        <w:t>ils ont été établis, ne sauraient servir de prétexte pour jeter le discrédit sur l</w:t>
      </w:r>
      <w:r>
        <w:t>’</w:t>
      </w:r>
      <w:r w:rsidRPr="00590872">
        <w:t>ensemble des forces de l</w:t>
      </w:r>
      <w:r>
        <w:t>’</w:t>
      </w:r>
      <w:r w:rsidRPr="00590872">
        <w:t>ordre qui ont accompli leur devoir, avec l</w:t>
      </w:r>
      <w:r>
        <w:t>’</w:t>
      </w:r>
      <w:r w:rsidRPr="00590872">
        <w:t>appui des citoyens et au service de la Patrie ».</w:t>
      </w:r>
    </w:p>
    <w:p w14:paraId="3EAD9E0F" w14:textId="77777777" w:rsidR="0059201E" w:rsidRDefault="0059201E" w:rsidP="0059201E">
      <w:pPr>
        <w:pStyle w:val="SingleTxtG"/>
      </w:pPr>
      <w:r>
        <w:t>2.12</w:t>
      </w:r>
      <w:r>
        <w:tab/>
        <w:t xml:space="preserve">Selon </w:t>
      </w:r>
      <w:r w:rsidRPr="00590872">
        <w:t>l</w:t>
      </w:r>
      <w:r>
        <w:t>’</w:t>
      </w:r>
      <w:r w:rsidRPr="00590872">
        <w:t>auteur</w:t>
      </w:r>
      <w:r>
        <w:t>e</w:t>
      </w:r>
      <w:r w:rsidRPr="00590872">
        <w:t>, l</w:t>
      </w:r>
      <w:r>
        <w:t>’</w:t>
      </w:r>
      <w:r w:rsidRPr="00590872">
        <w:t>ordonnance</w:t>
      </w:r>
      <w:r w:rsidRPr="00C614E4">
        <w:t xml:space="preserve"> </w:t>
      </w:r>
      <w:r w:rsidRPr="00590872">
        <w:t>n</w:t>
      </w:r>
      <w:r w:rsidRPr="00835034">
        <w:rPr>
          <w:vertAlign w:val="superscript"/>
        </w:rPr>
        <w:t>o</w:t>
      </w:r>
      <w:r>
        <w:t> </w:t>
      </w:r>
      <w:r w:rsidRPr="00590872">
        <w:t>06-01 interdit sous peine de poursuites pénales le recours à la justice, ce qui dispense les victimes de la nécessité d</w:t>
      </w:r>
      <w:r>
        <w:t>’</w:t>
      </w:r>
      <w:r w:rsidRPr="00590872">
        <w:t>épuiser les voies de recours internes. Cette ordonnance interdit en effet toute plainte pour disparition ou autre crime, son article</w:t>
      </w:r>
      <w:r w:rsidR="00EC4DE6">
        <w:t> </w:t>
      </w:r>
      <w:r w:rsidRPr="00590872">
        <w:t>45 disposant qu</w:t>
      </w:r>
      <w:r>
        <w:t>’</w:t>
      </w:r>
      <w:r w:rsidRPr="00590872">
        <w:t>« </w:t>
      </w:r>
      <w:r>
        <w:t>[</w:t>
      </w:r>
      <w:r w:rsidRPr="00590872">
        <w:t>a</w:t>
      </w:r>
      <w:r>
        <w:t>]</w:t>
      </w:r>
      <w:proofErr w:type="spellStart"/>
      <w:r w:rsidRPr="00590872">
        <w:t>ucune</w:t>
      </w:r>
      <w:proofErr w:type="spellEnd"/>
      <w:r w:rsidRPr="00590872">
        <w:t xml:space="preserve"> poursuite ne peut être engagée, à titre individuel ou collectif, à l</w:t>
      </w:r>
      <w:r>
        <w:t>’</w:t>
      </w:r>
      <w:r w:rsidRPr="00590872">
        <w:t xml:space="preserve">encontre des éléments des forces de défense et de sécurité de la République, toutes composantes confondues, pour des actions menées en vue de la protection des personnes et des biens, de la sauvegarde de la Nation et de la préservation des institutions de la République algérienne démocratique et populaire ». </w:t>
      </w:r>
      <w:r>
        <w:t>E</w:t>
      </w:r>
      <w:r w:rsidRPr="00590872">
        <w:t xml:space="preserve">n vertu de cette disposition, </w:t>
      </w:r>
      <w:r>
        <w:t>t</w:t>
      </w:r>
      <w:r w:rsidRPr="00590872">
        <w:t>oute dénonciation ou plainte doit être déclarée irrecevable par l</w:t>
      </w:r>
      <w:r>
        <w:t>’</w:t>
      </w:r>
      <w:r w:rsidRPr="00590872">
        <w:t>autorité judiciaire</w:t>
      </w:r>
      <w:r>
        <w:t xml:space="preserve"> compétente. De plus, l’article</w:t>
      </w:r>
      <w:r w:rsidR="00EC4DE6">
        <w:t> </w:t>
      </w:r>
      <w:r w:rsidRPr="00590872">
        <w:t xml:space="preserve">46 de la même ordonnance prévoit </w:t>
      </w:r>
      <w:r>
        <w:t xml:space="preserve">ce qui suit : </w:t>
      </w:r>
      <w:r w:rsidRPr="00590872">
        <w:t>« </w:t>
      </w:r>
      <w:r>
        <w:t>E</w:t>
      </w:r>
      <w:r w:rsidRPr="00590872">
        <w:t>st puni d</w:t>
      </w:r>
      <w:r>
        <w:t>’</w:t>
      </w:r>
      <w:r w:rsidRPr="00590872">
        <w:t>un emprisonnement de trois (3) ans à cinq (5) ans et d</w:t>
      </w:r>
      <w:r>
        <w:t>’</w:t>
      </w:r>
      <w:r w:rsidRPr="00590872">
        <w:t>une amende de 250 000 à 500</w:t>
      </w:r>
      <w:r w:rsidR="00EC4DE6">
        <w:t> </w:t>
      </w:r>
      <w:r>
        <w:t>000</w:t>
      </w:r>
      <w:r w:rsidR="00EC4DE6">
        <w:t> </w:t>
      </w:r>
      <w:r>
        <w:t>[dinars algériens]</w:t>
      </w:r>
      <w:r w:rsidRPr="00590872">
        <w:t>, quiconque qui, par ses déclarations, écrits ou tout autre acte, utilise ou instrumentalise les blessures de la tragédie nationale</w:t>
      </w:r>
      <w:r>
        <w:t>,</w:t>
      </w:r>
      <w:r w:rsidRPr="00590872">
        <w:t xml:space="preserve"> pour porter atteinte aux institutions de la République algérienne démocratique et populaire, fragiliser l</w:t>
      </w:r>
      <w:r>
        <w:t>’</w:t>
      </w:r>
      <w:r w:rsidRPr="00590872">
        <w:t>État, nuire à l</w:t>
      </w:r>
      <w:r>
        <w:t>’</w:t>
      </w:r>
      <w:r w:rsidRPr="00590872">
        <w:t>honorabilité de ses agents qui l</w:t>
      </w:r>
      <w:r>
        <w:t>’</w:t>
      </w:r>
      <w:r w:rsidRPr="00590872">
        <w:t>ont dignement servie, ou ternir l</w:t>
      </w:r>
      <w:r>
        <w:t>’</w:t>
      </w:r>
      <w:r w:rsidRPr="00590872">
        <w:t>image de l</w:t>
      </w:r>
      <w:r>
        <w:t>’</w:t>
      </w:r>
      <w:r w:rsidRPr="00590872">
        <w:t>Algérie sur le plan international. Les poursuites pénales sont engagées d</w:t>
      </w:r>
      <w:r>
        <w:t>’</w:t>
      </w:r>
      <w:r w:rsidRPr="00590872">
        <w:t>office par le ministère public. En</w:t>
      </w:r>
      <w:r w:rsidR="00EC4DE6">
        <w:t> </w:t>
      </w:r>
      <w:r w:rsidRPr="00590872">
        <w:t xml:space="preserve">cas de récidive, la peine prévue </w:t>
      </w:r>
      <w:r>
        <w:t>au présent</w:t>
      </w:r>
      <w:r w:rsidRPr="00590872">
        <w:t xml:space="preserve"> article est </w:t>
      </w:r>
      <w:r>
        <w:t>portée au double</w:t>
      </w:r>
      <w:r w:rsidRPr="00590872">
        <w:t>.</w:t>
      </w:r>
      <w:r>
        <w:t> »</w:t>
      </w:r>
      <w:r w:rsidR="00EC4DE6">
        <w:t>.</w:t>
      </w:r>
    </w:p>
    <w:p w14:paraId="25958E47" w14:textId="77777777" w:rsidR="0059201E" w:rsidRPr="00410779" w:rsidRDefault="0059201E" w:rsidP="00755DA0">
      <w:pPr>
        <w:pStyle w:val="H23G"/>
        <w:rPr>
          <w:lang w:val="fr-FR"/>
        </w:rPr>
      </w:pPr>
      <w:r>
        <w:rPr>
          <w:lang w:val="fr-FR"/>
        </w:rPr>
        <w:tab/>
      </w:r>
      <w:r>
        <w:rPr>
          <w:lang w:val="fr-FR"/>
        </w:rPr>
        <w:tab/>
      </w:r>
      <w:r w:rsidRPr="00410779">
        <w:rPr>
          <w:lang w:val="fr-FR"/>
        </w:rPr>
        <w:t>Teneur de la plainte</w:t>
      </w:r>
    </w:p>
    <w:p w14:paraId="757FF1B0" w14:textId="77777777" w:rsidR="0059201E" w:rsidRDefault="0059201E" w:rsidP="0059201E">
      <w:pPr>
        <w:pStyle w:val="SingleTxtG"/>
      </w:pPr>
      <w:r w:rsidRPr="00410779">
        <w:t>3.1</w:t>
      </w:r>
      <w:r w:rsidRPr="00410779">
        <w:tab/>
      </w:r>
      <w:r>
        <w:t>L’</w:t>
      </w:r>
      <w:r w:rsidRPr="00B31C3A">
        <w:t>auteur</w:t>
      </w:r>
      <w:r>
        <w:t>e</w:t>
      </w:r>
      <w:r w:rsidRPr="00B31C3A">
        <w:t xml:space="preserve"> allègue que son </w:t>
      </w:r>
      <w:r>
        <w:t>fils est victime d’une</w:t>
      </w:r>
      <w:r w:rsidRPr="00B31C3A">
        <w:t xml:space="preserve"> disparition </w:t>
      </w:r>
      <w:r>
        <w:t>due aux</w:t>
      </w:r>
      <w:r w:rsidRPr="00B31C3A">
        <w:t xml:space="preserve"> agissements d</w:t>
      </w:r>
      <w:r>
        <w:t>’</w:t>
      </w:r>
      <w:r w:rsidRPr="00B31C3A">
        <w:t xml:space="preserve">agents de </w:t>
      </w:r>
      <w:r>
        <w:t>police, et donc</w:t>
      </w:r>
      <w:r w:rsidRPr="00B31C3A">
        <w:t xml:space="preserve"> imputable à l</w:t>
      </w:r>
      <w:r>
        <w:t>’</w:t>
      </w:r>
      <w:r w:rsidRPr="00B31C3A">
        <w:t>État partie</w:t>
      </w:r>
      <w:r>
        <w:t>, conformément à la définition des disparitions forcées en vertu de</w:t>
      </w:r>
      <w:r w:rsidRPr="00B31C3A">
        <w:t xml:space="preserve"> </w:t>
      </w:r>
      <w:r>
        <w:t>l’</w:t>
      </w:r>
      <w:r w:rsidRPr="00B31C3A">
        <w:t>article</w:t>
      </w:r>
      <w:r w:rsidR="00EC4DE6">
        <w:t> </w:t>
      </w:r>
      <w:r w:rsidRPr="00B31C3A">
        <w:t>2 de la Convention internationale pour la protection de toutes les personnes contre les disparitions forcées.</w:t>
      </w:r>
      <w:r w:rsidRPr="00EB745A">
        <w:t xml:space="preserve"> L</w:t>
      </w:r>
      <w:r>
        <w:t>’</w:t>
      </w:r>
      <w:r w:rsidRPr="00EB745A">
        <w:t>auteur</w:t>
      </w:r>
      <w:r>
        <w:t>e</w:t>
      </w:r>
      <w:r w:rsidRPr="00EB745A">
        <w:t xml:space="preserve"> affirme qu</w:t>
      </w:r>
      <w:r>
        <w:t>’</w:t>
      </w:r>
      <w:r w:rsidRPr="00EB745A">
        <w:t>en dépit du fait qu</w:t>
      </w:r>
      <w:r>
        <w:t>’</w:t>
      </w:r>
      <w:r w:rsidRPr="00EB745A">
        <w:t xml:space="preserve">aucune disposition du Pacte ne fait expressément mention </w:t>
      </w:r>
      <w:r>
        <w:t>des</w:t>
      </w:r>
      <w:r w:rsidRPr="00EB745A">
        <w:t xml:space="preserve"> disparitions forcées, la pratique implique des violations du </w:t>
      </w:r>
      <w:bookmarkStart w:id="2" w:name="_Hlk27397930"/>
      <w:r w:rsidRPr="00EB745A">
        <w:t>droit à la vie, du droit de ne pas être soumis à la torture et autres peines ou traitements</w:t>
      </w:r>
      <w:r>
        <w:t xml:space="preserve"> cruels,</w:t>
      </w:r>
      <w:r w:rsidRPr="00EB745A">
        <w:t xml:space="preserve"> inhumains ou dégradants</w:t>
      </w:r>
      <w:r>
        <w:t>,</w:t>
      </w:r>
      <w:r w:rsidRPr="00EB745A">
        <w:t xml:space="preserve"> et du droit à la liberté et à la sécurité de la personne</w:t>
      </w:r>
      <w:bookmarkEnd w:id="2"/>
      <w:r w:rsidRPr="00EB745A">
        <w:t>. En l</w:t>
      </w:r>
      <w:r>
        <w:t>’</w:t>
      </w:r>
      <w:r w:rsidRPr="00EB745A">
        <w:t>espèce, l</w:t>
      </w:r>
      <w:r>
        <w:t>’</w:t>
      </w:r>
      <w:r w:rsidRPr="00EB745A">
        <w:t>auteur</w:t>
      </w:r>
      <w:r>
        <w:t>e</w:t>
      </w:r>
      <w:r w:rsidRPr="00EB745A">
        <w:t xml:space="preserve"> invoque des violations par l</w:t>
      </w:r>
      <w:r>
        <w:t>’</w:t>
      </w:r>
      <w:r w:rsidRPr="00EB745A">
        <w:t xml:space="preserve">État partie des </w:t>
      </w:r>
      <w:r>
        <w:t>paragraphes 2 et 3 de l’</w:t>
      </w:r>
      <w:r w:rsidRPr="00EB745A">
        <w:t>article</w:t>
      </w:r>
      <w:r w:rsidR="00EC4DE6">
        <w:t> </w:t>
      </w:r>
      <w:r>
        <w:t>2, ainsi que des articles</w:t>
      </w:r>
      <w:r w:rsidR="00EC4DE6">
        <w:t> </w:t>
      </w:r>
      <w:r w:rsidRPr="00EB745A">
        <w:t xml:space="preserve">6, 7, 9, 10, </w:t>
      </w:r>
      <w:r>
        <w:t>14 et 16 du Pacte</w:t>
      </w:r>
      <w:r w:rsidRPr="00EB745A">
        <w:t>.</w:t>
      </w:r>
    </w:p>
    <w:p w14:paraId="4867DA1C" w14:textId="77777777" w:rsidR="0059201E" w:rsidRDefault="0059201E" w:rsidP="0059201E">
      <w:pPr>
        <w:pStyle w:val="SingleTxtG"/>
      </w:pPr>
      <w:r>
        <w:t>3.2</w:t>
      </w:r>
      <w:r>
        <w:tab/>
      </w:r>
      <w:r w:rsidRPr="00E965B0">
        <w:t>L</w:t>
      </w:r>
      <w:r>
        <w:t>’</w:t>
      </w:r>
      <w:r w:rsidRPr="00E965B0">
        <w:t>auteur</w:t>
      </w:r>
      <w:r>
        <w:t>e</w:t>
      </w:r>
      <w:r w:rsidRPr="00E965B0">
        <w:t xml:space="preserve"> estime que l</w:t>
      </w:r>
      <w:r>
        <w:t>’</w:t>
      </w:r>
      <w:r w:rsidRPr="00E965B0">
        <w:t xml:space="preserve">ordonnance </w:t>
      </w:r>
      <w:r w:rsidR="00EC4DE6">
        <w:t>n</w:t>
      </w:r>
      <w:r w:rsidR="00EC4DE6" w:rsidRPr="00755DA0">
        <w:rPr>
          <w:vertAlign w:val="superscript"/>
        </w:rPr>
        <w:t>o</w:t>
      </w:r>
      <w:r w:rsidR="00EC4DE6">
        <w:t> </w:t>
      </w:r>
      <w:r>
        <w:t>06-01</w:t>
      </w:r>
      <w:r w:rsidRPr="00E965B0">
        <w:t xml:space="preserve"> constitue un manquement à l</w:t>
      </w:r>
      <w:r>
        <w:t>’</w:t>
      </w:r>
      <w:r w:rsidRPr="00E965B0">
        <w:t xml:space="preserve">obligation générale </w:t>
      </w:r>
      <w:r>
        <w:t xml:space="preserve">de l’État partie </w:t>
      </w:r>
      <w:r w:rsidRPr="00E965B0">
        <w:t xml:space="preserve">consacrée </w:t>
      </w:r>
      <w:r>
        <w:t>au paragraphe 2 de l’article</w:t>
      </w:r>
      <w:r w:rsidR="00EC4DE6">
        <w:t> </w:t>
      </w:r>
      <w:r>
        <w:t>2</w:t>
      </w:r>
      <w:r w:rsidRPr="00E965B0">
        <w:t xml:space="preserve"> du Pacte</w:t>
      </w:r>
      <w:r>
        <w:t>,</w:t>
      </w:r>
      <w:r w:rsidRPr="00E965B0">
        <w:t xml:space="preserve"> en ce sens que ladite disposition implique également une obligation négative pour les États parties de ne pas adopter de mesures contraires au Pacte. En adoptant ladite ordonna</w:t>
      </w:r>
      <w:r>
        <w:t>nce, en particulier son article</w:t>
      </w:r>
      <w:r w:rsidR="00EC4DE6">
        <w:t> </w:t>
      </w:r>
      <w:r w:rsidRPr="00E965B0">
        <w:t>45, l</w:t>
      </w:r>
      <w:r>
        <w:t>’</w:t>
      </w:r>
      <w:r w:rsidRPr="00E965B0">
        <w:t>État partie aurait donc pris une mesure d</w:t>
      </w:r>
      <w:r>
        <w:t>’</w:t>
      </w:r>
      <w:r w:rsidRPr="00E965B0">
        <w:t>ordre législatif privant d</w:t>
      </w:r>
      <w:r>
        <w:t>’</w:t>
      </w:r>
      <w:r w:rsidRPr="00E965B0">
        <w:t>effet les droits reconnus dans le Pacte</w:t>
      </w:r>
      <w:r w:rsidRPr="004E1C4D">
        <w:rPr>
          <w:rStyle w:val="Appelnotedebasdep"/>
        </w:rPr>
        <w:footnoteReference w:id="14"/>
      </w:r>
      <w:r w:rsidRPr="00E965B0">
        <w:t>, particulièrement le droit d</w:t>
      </w:r>
      <w:r>
        <w:t>’</w:t>
      </w:r>
      <w:r w:rsidRPr="00E965B0">
        <w:t>avoir accès à un recours effectif contre des violations des droits de l</w:t>
      </w:r>
      <w:r>
        <w:t>’</w:t>
      </w:r>
      <w:r w:rsidRPr="00E965B0">
        <w:t xml:space="preserve">homme. </w:t>
      </w:r>
      <w:r w:rsidRPr="00415C1D">
        <w:t>Depuis la promulgation de cette ordonnance, l</w:t>
      </w:r>
      <w:r>
        <w:t>’</w:t>
      </w:r>
      <w:r w:rsidRPr="00415C1D">
        <w:t>auteure a été empêchée d</w:t>
      </w:r>
      <w:r>
        <w:t>’</w:t>
      </w:r>
      <w:r w:rsidRPr="00415C1D">
        <w:t>ester en justice.</w:t>
      </w:r>
      <w:r>
        <w:t xml:space="preserve"> Elle </w:t>
      </w:r>
      <w:r w:rsidRPr="00E965B0">
        <w:t>estime que le manquement à l</w:t>
      </w:r>
      <w:r>
        <w:t>’</w:t>
      </w:r>
      <w:r w:rsidRPr="00E965B0">
        <w:t xml:space="preserve">obligation fixée par </w:t>
      </w:r>
      <w:r>
        <w:t xml:space="preserve">le paragraphe 2 de </w:t>
      </w:r>
      <w:r w:rsidRPr="00E965B0">
        <w:t>l</w:t>
      </w:r>
      <w:r>
        <w:t>’</w:t>
      </w:r>
      <w:r w:rsidRPr="00E965B0">
        <w:t>article</w:t>
      </w:r>
      <w:r w:rsidR="00EC4DE6">
        <w:t> </w:t>
      </w:r>
      <w:r w:rsidRPr="00E965B0">
        <w:t>2 du Pacte, par action ou par omission, peut engager la responsabilité internationale de l</w:t>
      </w:r>
      <w:r>
        <w:t>’</w:t>
      </w:r>
      <w:r w:rsidRPr="00E965B0">
        <w:t>État partie</w:t>
      </w:r>
      <w:r w:rsidRPr="004E1C4D">
        <w:rPr>
          <w:rStyle w:val="Appelnotedebasdep"/>
        </w:rPr>
        <w:footnoteReference w:id="15"/>
      </w:r>
      <w:r>
        <w:t>. E</w:t>
      </w:r>
      <w:r w:rsidRPr="00E965B0">
        <w:t>l</w:t>
      </w:r>
      <w:r>
        <w:t xml:space="preserve">le </w:t>
      </w:r>
      <w:r w:rsidRPr="00E965B0">
        <w:t>affirme qu</w:t>
      </w:r>
      <w:r>
        <w:t>’</w:t>
      </w:r>
      <w:r w:rsidRPr="00E965B0">
        <w:t>en dépit de toutes ses démarches après l</w:t>
      </w:r>
      <w:r>
        <w:t>’</w:t>
      </w:r>
      <w:r w:rsidRPr="00E965B0">
        <w:t>entrée en vigueur de la Charte</w:t>
      </w:r>
      <w:r w:rsidRPr="00572BAA">
        <w:t xml:space="preserve"> </w:t>
      </w:r>
      <w:r w:rsidRPr="00590872">
        <w:t>pour la paix et la réconciliation nationale</w:t>
      </w:r>
      <w:r w:rsidRPr="00E965B0">
        <w:t xml:space="preserve"> et de ses textes d</w:t>
      </w:r>
      <w:r>
        <w:t>’</w:t>
      </w:r>
      <w:r w:rsidRPr="00E965B0">
        <w:t>application</w:t>
      </w:r>
      <w:r>
        <w:t>,</w:t>
      </w:r>
      <w:r w:rsidRPr="00E965B0">
        <w:t xml:space="preserve"> ses plai</w:t>
      </w:r>
      <w:r>
        <w:t xml:space="preserve">ntes sont demeurées sans suite. Elle </w:t>
      </w:r>
      <w:r w:rsidRPr="00E965B0">
        <w:t>estime en conséquence être victime de cette disposition lé</w:t>
      </w:r>
      <w:r>
        <w:t>gislative contraire au paragraphe 2 de l’article</w:t>
      </w:r>
      <w:r w:rsidR="00EC4DE6">
        <w:t> </w:t>
      </w:r>
      <w:r>
        <w:t>2</w:t>
      </w:r>
      <w:r w:rsidRPr="00E965B0">
        <w:t xml:space="preserve"> du Pacte.</w:t>
      </w:r>
    </w:p>
    <w:p w14:paraId="532730AC" w14:textId="77777777" w:rsidR="0059201E" w:rsidRDefault="0059201E" w:rsidP="0059201E">
      <w:pPr>
        <w:pStyle w:val="SingleTxtG"/>
      </w:pPr>
      <w:r>
        <w:t>3.3</w:t>
      </w:r>
      <w:r>
        <w:tab/>
      </w:r>
      <w:r w:rsidRPr="00590872">
        <w:t>L</w:t>
      </w:r>
      <w:r>
        <w:t>’</w:t>
      </w:r>
      <w:r w:rsidRPr="00590872">
        <w:t>auteur</w:t>
      </w:r>
      <w:r>
        <w:t>e</w:t>
      </w:r>
      <w:r w:rsidRPr="00590872">
        <w:t xml:space="preserve"> ajoute que</w:t>
      </w:r>
      <w:r>
        <w:t xml:space="preserve"> les dispositions de</w:t>
      </w:r>
      <w:r w:rsidRPr="00590872">
        <w:t xml:space="preserve"> </w:t>
      </w:r>
      <w:r w:rsidRPr="00E965B0">
        <w:t>l</w:t>
      </w:r>
      <w:r>
        <w:t>’</w:t>
      </w:r>
      <w:r w:rsidRPr="00E965B0">
        <w:t xml:space="preserve">ordonnance </w:t>
      </w:r>
      <w:r w:rsidR="00EC4DE6">
        <w:t>n</w:t>
      </w:r>
      <w:r w:rsidR="00EC4DE6" w:rsidRPr="00755DA0">
        <w:rPr>
          <w:vertAlign w:val="superscript"/>
        </w:rPr>
        <w:t>o</w:t>
      </w:r>
      <w:r w:rsidR="00EC4DE6">
        <w:t> </w:t>
      </w:r>
      <w:r>
        <w:t>06-01 sont contraires au paragraphe 3 de l’article</w:t>
      </w:r>
      <w:r w:rsidR="00EC4DE6">
        <w:t> </w:t>
      </w:r>
      <w:r>
        <w:t xml:space="preserve">2 du Pacte, car elles ont pour effet d’empêcher toute poursuite pénale à l’encontre des auteurs présumés de disparitions forcées, lorsque ces personnes sont des agents de l’État. </w:t>
      </w:r>
      <w:r w:rsidRPr="00590872">
        <w:t xml:space="preserve">Cette </w:t>
      </w:r>
      <w:r>
        <w:t>ordonnance</w:t>
      </w:r>
      <w:r w:rsidRPr="00590872">
        <w:t xml:space="preserve"> </w:t>
      </w:r>
      <w:r w:rsidRPr="00A16DB8">
        <w:t>amnistie de fait</w:t>
      </w:r>
      <w:r w:rsidRPr="00590872">
        <w:t xml:space="preserve"> les crimes commis durant la décennie passée, y</w:t>
      </w:r>
      <w:r w:rsidR="00EC4DE6">
        <w:t> </w:t>
      </w:r>
      <w:r w:rsidRPr="00590872">
        <w:t xml:space="preserve">compris les crimes les plus graves comme les </w:t>
      </w:r>
      <w:r>
        <w:t>disparitions forcées</w:t>
      </w:r>
      <w:r w:rsidRPr="00590872">
        <w:t xml:space="preserve">. </w:t>
      </w:r>
      <w:r>
        <w:t>Elle</w:t>
      </w:r>
      <w:r w:rsidR="00EC4DE6">
        <w:t> </w:t>
      </w:r>
      <w:r w:rsidRPr="00590872">
        <w:t xml:space="preserve">interdit </w:t>
      </w:r>
      <w:r>
        <w:t>aussi</w:t>
      </w:r>
      <w:r w:rsidRPr="00590872">
        <w:t>, sous peine d</w:t>
      </w:r>
      <w:r>
        <w:t>’</w:t>
      </w:r>
      <w:r w:rsidRPr="00590872">
        <w:t xml:space="preserve">emprisonnement, le recours à la justice pour faire la lumière </w:t>
      </w:r>
      <w:r w:rsidRPr="00590872">
        <w:lastRenderedPageBreak/>
        <w:t>sur le sort des victimes</w:t>
      </w:r>
      <w:r w:rsidRPr="004E1C4D">
        <w:rPr>
          <w:rStyle w:val="Appelnotedebasdep"/>
        </w:rPr>
        <w:footnoteReference w:id="16"/>
      </w:r>
      <w:r>
        <w:t>. L</w:t>
      </w:r>
      <w:r w:rsidRPr="00590872">
        <w:t>es autorités algériennes, y</w:t>
      </w:r>
      <w:r w:rsidR="00EC4DE6">
        <w:t> </w:t>
      </w:r>
      <w:r w:rsidRPr="00590872">
        <w:t xml:space="preserve">compris judiciaires, refusent </w:t>
      </w:r>
      <w:r>
        <w:t>de toute évidence d’établir la responsabilité des services de sécurité</w:t>
      </w:r>
      <w:r w:rsidRPr="00590872">
        <w:t xml:space="preserve">, </w:t>
      </w:r>
      <w:r>
        <w:t>y</w:t>
      </w:r>
      <w:r w:rsidR="00EC4DE6">
        <w:t> </w:t>
      </w:r>
      <w:r>
        <w:t xml:space="preserve">compris des agents qui seraient coupables de </w:t>
      </w:r>
      <w:r w:rsidRPr="00590872">
        <w:t>l</w:t>
      </w:r>
      <w:r>
        <w:t>a disparition forcée d’</w:t>
      </w:r>
      <w:r w:rsidRPr="00A16DB8">
        <w:t>Abdelhakim Houari</w:t>
      </w:r>
      <w:r>
        <w:t>.</w:t>
      </w:r>
      <w:r w:rsidRPr="00590872">
        <w:t xml:space="preserve"> </w:t>
      </w:r>
      <w:r>
        <w:t>C</w:t>
      </w:r>
      <w:r w:rsidRPr="00590872">
        <w:t>e refus fait obstacle à l</w:t>
      </w:r>
      <w:r>
        <w:t>’</w:t>
      </w:r>
      <w:r w:rsidRPr="00590872">
        <w:t>efficacité des recours exercés par sa famille.</w:t>
      </w:r>
    </w:p>
    <w:p w14:paraId="218321C9" w14:textId="77777777" w:rsidR="0059201E" w:rsidRDefault="0059201E" w:rsidP="0059201E">
      <w:pPr>
        <w:pStyle w:val="SingleTxtG"/>
      </w:pPr>
      <w:r>
        <w:t>3.4</w:t>
      </w:r>
      <w:r>
        <w:tab/>
      </w:r>
      <w:r w:rsidRPr="00662ADA">
        <w:t>L</w:t>
      </w:r>
      <w:r>
        <w:t>’</w:t>
      </w:r>
      <w:r w:rsidRPr="00662ADA">
        <w:t>auteur</w:t>
      </w:r>
      <w:r>
        <w:t>e</w:t>
      </w:r>
      <w:r w:rsidRPr="00662ADA">
        <w:t xml:space="preserve"> rappelle les évolutions jurisprudentielles du Comité quant aux disparitions forcées et estime que le seul risque ou danger pour </w:t>
      </w:r>
      <w:r>
        <w:t>une</w:t>
      </w:r>
      <w:r w:rsidRPr="00662ADA">
        <w:t xml:space="preserve"> personne de perdre la vie dans le contexte </w:t>
      </w:r>
      <w:r>
        <w:t>d’une</w:t>
      </w:r>
      <w:r w:rsidRPr="00662ADA">
        <w:t xml:space="preserve"> disparition forcée est un motif suffisant pour conclure à une violation dir</w:t>
      </w:r>
      <w:r>
        <w:t>ecte de l’article</w:t>
      </w:r>
      <w:r w:rsidR="00EC4DE6">
        <w:t> </w:t>
      </w:r>
      <w:r>
        <w:t xml:space="preserve">6 du Pacte. Elle </w:t>
      </w:r>
      <w:r w:rsidRPr="00662ADA">
        <w:t>rappelle les faits entourant la dispar</w:t>
      </w:r>
      <w:r>
        <w:t>ition de son fils</w:t>
      </w:r>
      <w:r w:rsidRPr="00662ADA">
        <w:t xml:space="preserve"> et estime que les chances de le retrouver s</w:t>
      </w:r>
      <w:r>
        <w:t>’</w:t>
      </w:r>
      <w:r w:rsidRPr="00662ADA">
        <w:t xml:space="preserve">amenuisent de jour en jour, pensant en effet que soit son fils a perdu la vie, soit </w:t>
      </w:r>
      <w:r>
        <w:t>il est maintenu en</w:t>
      </w:r>
      <w:r w:rsidRPr="00662ADA">
        <w:t xml:space="preserve"> détention au secret</w:t>
      </w:r>
      <w:r>
        <w:t>,</w:t>
      </w:r>
      <w:r w:rsidRPr="00662ADA">
        <w:t xml:space="preserve"> </w:t>
      </w:r>
      <w:r>
        <w:t xml:space="preserve">ce qui </w:t>
      </w:r>
      <w:r w:rsidRPr="00662ADA">
        <w:t xml:space="preserve">constitue un risque très élevé </w:t>
      </w:r>
      <w:r>
        <w:t>pour sa</w:t>
      </w:r>
      <w:r w:rsidRPr="00662ADA">
        <w:t xml:space="preserve"> vie </w:t>
      </w:r>
      <w:r>
        <w:t xml:space="preserve">du fait qu’il </w:t>
      </w:r>
      <w:r w:rsidRPr="00662ADA">
        <w:t>se trouve à la merci de ses geôlie</w:t>
      </w:r>
      <w:r>
        <w:t xml:space="preserve">rs, dans une situation échappant à tout contrôle. L’auteure </w:t>
      </w:r>
      <w:r w:rsidRPr="00662ADA">
        <w:t>estime en conséquence que l</w:t>
      </w:r>
      <w:r>
        <w:t>’</w:t>
      </w:r>
      <w:r w:rsidRPr="00662ADA">
        <w:t xml:space="preserve">État </w:t>
      </w:r>
      <w:r>
        <w:t>partie</w:t>
      </w:r>
      <w:r w:rsidRPr="00662ADA">
        <w:t xml:space="preserve"> a failli à son obligation de protéger le droit à la vie d</w:t>
      </w:r>
      <w:r>
        <w:t>’</w:t>
      </w:r>
      <w:r w:rsidRPr="00662ADA">
        <w:t xml:space="preserve">Abdelhakim Houari </w:t>
      </w:r>
      <w:r>
        <w:t xml:space="preserve">et de prendre des mesures pour enquêter sur ce qui lui était arrivé, </w:t>
      </w:r>
      <w:r w:rsidRPr="00662ADA">
        <w:t xml:space="preserve">en violation </w:t>
      </w:r>
      <w:r>
        <w:t xml:space="preserve">du paragraphe 1 </w:t>
      </w:r>
      <w:r w:rsidRPr="00662ADA">
        <w:t>de l</w:t>
      </w:r>
      <w:r>
        <w:t>’</w:t>
      </w:r>
      <w:r w:rsidRPr="00662ADA">
        <w:t>article</w:t>
      </w:r>
      <w:r w:rsidR="00EC4DE6">
        <w:t> </w:t>
      </w:r>
      <w:r w:rsidRPr="00662ADA">
        <w:t>6</w:t>
      </w:r>
      <w:r>
        <w:t xml:space="preserve"> du Pacte</w:t>
      </w:r>
      <w:r w:rsidRPr="001D6FFA">
        <w:t>.</w:t>
      </w:r>
    </w:p>
    <w:p w14:paraId="3EB3D3B1" w14:textId="77777777" w:rsidR="0059201E" w:rsidRDefault="0059201E" w:rsidP="0059201E">
      <w:pPr>
        <w:pStyle w:val="SingleTxtG"/>
        <w:rPr>
          <w:lang w:val="fr-FR"/>
        </w:rPr>
      </w:pPr>
      <w:r>
        <w:t>3.5</w:t>
      </w:r>
      <w:r>
        <w:tab/>
      </w:r>
      <w:r w:rsidRPr="000460B6">
        <w:rPr>
          <w:lang w:val="fr-FR"/>
        </w:rPr>
        <w:t>Rappelant les circonstances entourant la disparition de son fils, à savoir l</w:t>
      </w:r>
      <w:r>
        <w:rPr>
          <w:lang w:val="fr-FR"/>
        </w:rPr>
        <w:t>’</w:t>
      </w:r>
      <w:r w:rsidRPr="000460B6">
        <w:rPr>
          <w:lang w:val="fr-FR"/>
        </w:rPr>
        <w:t>absence totale d</w:t>
      </w:r>
      <w:r>
        <w:rPr>
          <w:lang w:val="fr-FR"/>
        </w:rPr>
        <w:t>’</w:t>
      </w:r>
      <w:r w:rsidRPr="000460B6">
        <w:rPr>
          <w:lang w:val="fr-FR"/>
        </w:rPr>
        <w:t xml:space="preserve">informations sur sa détention ou son incarcération éventuelles et son état de santé, </w:t>
      </w:r>
      <w:r>
        <w:rPr>
          <w:lang w:val="fr-FR"/>
        </w:rPr>
        <w:t>ainsi que</w:t>
      </w:r>
      <w:r w:rsidRPr="000460B6">
        <w:rPr>
          <w:lang w:val="fr-FR"/>
        </w:rPr>
        <w:t xml:space="preserve"> l</w:t>
      </w:r>
      <w:r>
        <w:rPr>
          <w:lang w:val="fr-FR"/>
        </w:rPr>
        <w:t>’</w:t>
      </w:r>
      <w:r w:rsidRPr="000460B6">
        <w:rPr>
          <w:lang w:val="fr-FR"/>
        </w:rPr>
        <w:t>absence de communication avec sa famille et le monde extérieur, l</w:t>
      </w:r>
      <w:r>
        <w:rPr>
          <w:lang w:val="fr-FR"/>
        </w:rPr>
        <w:t>’</w:t>
      </w:r>
      <w:r w:rsidRPr="000460B6">
        <w:rPr>
          <w:lang w:val="fr-FR"/>
        </w:rPr>
        <w:t>auteur</w:t>
      </w:r>
      <w:r>
        <w:rPr>
          <w:lang w:val="fr-FR"/>
        </w:rPr>
        <w:t>e affirme qu’</w:t>
      </w:r>
      <w:r w:rsidRPr="000460B6">
        <w:rPr>
          <w:lang w:val="fr-FR"/>
        </w:rPr>
        <w:t xml:space="preserve">Abdelhakim Houari a été soumis à une forme de traitement </w:t>
      </w:r>
      <w:r>
        <w:rPr>
          <w:lang w:val="fr-FR"/>
        </w:rPr>
        <w:t xml:space="preserve">cruel, </w:t>
      </w:r>
      <w:r w:rsidRPr="000460B6">
        <w:rPr>
          <w:lang w:val="fr-FR"/>
        </w:rPr>
        <w:t>inhumain ou dégradant. En outre, se référant à la jurisprudence du Comité, l</w:t>
      </w:r>
      <w:r>
        <w:rPr>
          <w:lang w:val="fr-FR"/>
        </w:rPr>
        <w:t>’</w:t>
      </w:r>
      <w:r w:rsidRPr="000460B6">
        <w:rPr>
          <w:lang w:val="fr-FR"/>
        </w:rPr>
        <w:t>auteur</w:t>
      </w:r>
      <w:r>
        <w:rPr>
          <w:lang w:val="fr-FR"/>
        </w:rPr>
        <w:t>e</w:t>
      </w:r>
      <w:r w:rsidRPr="000460B6">
        <w:rPr>
          <w:lang w:val="fr-FR"/>
        </w:rPr>
        <w:t xml:space="preserve"> souligne que l</w:t>
      </w:r>
      <w:r>
        <w:rPr>
          <w:lang w:val="fr-FR"/>
        </w:rPr>
        <w:t>’</w:t>
      </w:r>
      <w:r w:rsidRPr="000460B6">
        <w:rPr>
          <w:lang w:val="fr-FR"/>
        </w:rPr>
        <w:t>angoisse, l</w:t>
      </w:r>
      <w:r>
        <w:rPr>
          <w:lang w:val="fr-FR"/>
        </w:rPr>
        <w:t>’</w:t>
      </w:r>
      <w:r w:rsidRPr="000460B6">
        <w:rPr>
          <w:lang w:val="fr-FR"/>
        </w:rPr>
        <w:t>incertitude et la détresse provoquées pa</w:t>
      </w:r>
      <w:r>
        <w:rPr>
          <w:lang w:val="fr-FR"/>
        </w:rPr>
        <w:t>r la disparition</w:t>
      </w:r>
      <w:r w:rsidRPr="000460B6">
        <w:rPr>
          <w:lang w:val="fr-FR"/>
        </w:rPr>
        <w:t xml:space="preserve"> d</w:t>
      </w:r>
      <w:r>
        <w:rPr>
          <w:lang w:val="fr-FR"/>
        </w:rPr>
        <w:t>’</w:t>
      </w:r>
      <w:r w:rsidRPr="000460B6">
        <w:rPr>
          <w:lang w:val="fr-FR"/>
        </w:rPr>
        <w:t xml:space="preserve">Abdelhakim Houari constituent une forme de traitement </w:t>
      </w:r>
      <w:r>
        <w:rPr>
          <w:lang w:val="fr-FR"/>
        </w:rPr>
        <w:t xml:space="preserve">cruel, </w:t>
      </w:r>
      <w:r w:rsidRPr="000460B6">
        <w:rPr>
          <w:lang w:val="fr-FR"/>
        </w:rPr>
        <w:t>inhumain ou dégrad</w:t>
      </w:r>
      <w:r>
        <w:rPr>
          <w:lang w:val="fr-FR"/>
        </w:rPr>
        <w:t>ant pour sa famille. En</w:t>
      </w:r>
      <w:r w:rsidR="00EC4DE6">
        <w:rPr>
          <w:lang w:val="fr-FR"/>
        </w:rPr>
        <w:t> </w:t>
      </w:r>
      <w:r>
        <w:rPr>
          <w:lang w:val="fr-FR"/>
        </w:rPr>
        <w:t>conséquence, l’auteure</w:t>
      </w:r>
      <w:r w:rsidRPr="000460B6">
        <w:rPr>
          <w:lang w:val="fr-FR"/>
        </w:rPr>
        <w:t xml:space="preserve"> allègue que l</w:t>
      </w:r>
      <w:r>
        <w:rPr>
          <w:lang w:val="fr-FR"/>
        </w:rPr>
        <w:t>’</w:t>
      </w:r>
      <w:r w:rsidRPr="000460B6">
        <w:rPr>
          <w:lang w:val="fr-FR"/>
        </w:rPr>
        <w:t>État partie est responsable d</w:t>
      </w:r>
      <w:r>
        <w:rPr>
          <w:lang w:val="fr-FR"/>
        </w:rPr>
        <w:t>’</w:t>
      </w:r>
      <w:r w:rsidRPr="000460B6">
        <w:rPr>
          <w:lang w:val="fr-FR"/>
        </w:rPr>
        <w:t>une violation de l</w:t>
      </w:r>
      <w:r>
        <w:rPr>
          <w:lang w:val="fr-FR"/>
        </w:rPr>
        <w:t>’</w:t>
      </w:r>
      <w:r w:rsidRPr="000460B6">
        <w:rPr>
          <w:lang w:val="fr-FR"/>
        </w:rPr>
        <w:t>article</w:t>
      </w:r>
      <w:r w:rsidR="00EC4DE6">
        <w:rPr>
          <w:lang w:val="fr-FR"/>
        </w:rPr>
        <w:t> </w:t>
      </w:r>
      <w:r w:rsidRPr="000460B6">
        <w:rPr>
          <w:lang w:val="fr-FR"/>
        </w:rPr>
        <w:t xml:space="preserve">7 </w:t>
      </w:r>
      <w:r>
        <w:rPr>
          <w:lang w:val="fr-FR"/>
        </w:rPr>
        <w:t xml:space="preserve">du Pacte </w:t>
      </w:r>
      <w:r w:rsidRPr="000460B6">
        <w:rPr>
          <w:lang w:val="fr-FR"/>
        </w:rPr>
        <w:t>à l</w:t>
      </w:r>
      <w:r>
        <w:rPr>
          <w:lang w:val="fr-FR"/>
        </w:rPr>
        <w:t>’</w:t>
      </w:r>
      <w:r w:rsidRPr="000460B6">
        <w:rPr>
          <w:lang w:val="fr-FR"/>
        </w:rPr>
        <w:t>égard d</w:t>
      </w:r>
      <w:r>
        <w:rPr>
          <w:lang w:val="fr-FR"/>
        </w:rPr>
        <w:t>’</w:t>
      </w:r>
      <w:r w:rsidRPr="000460B6">
        <w:rPr>
          <w:lang w:val="fr-FR"/>
        </w:rPr>
        <w:t>Abdelhakim Houari</w:t>
      </w:r>
      <w:r>
        <w:rPr>
          <w:lang w:val="fr-FR"/>
        </w:rPr>
        <w:t>,</w:t>
      </w:r>
      <w:r w:rsidRPr="000460B6">
        <w:rPr>
          <w:lang w:val="fr-FR"/>
        </w:rPr>
        <w:t xml:space="preserve"> et d</w:t>
      </w:r>
      <w:r>
        <w:rPr>
          <w:lang w:val="fr-FR"/>
        </w:rPr>
        <w:t>’</w:t>
      </w:r>
      <w:r w:rsidRPr="000460B6">
        <w:rPr>
          <w:lang w:val="fr-FR"/>
        </w:rPr>
        <w:t>une violation de l</w:t>
      </w:r>
      <w:r>
        <w:rPr>
          <w:lang w:val="fr-FR"/>
        </w:rPr>
        <w:t>’</w:t>
      </w:r>
      <w:r w:rsidRPr="000460B6">
        <w:rPr>
          <w:lang w:val="fr-FR"/>
        </w:rPr>
        <w:t>article</w:t>
      </w:r>
      <w:r w:rsidR="00EC4DE6">
        <w:rPr>
          <w:lang w:val="fr-FR"/>
        </w:rPr>
        <w:t> </w:t>
      </w:r>
      <w:r w:rsidRPr="000460B6">
        <w:rPr>
          <w:lang w:val="fr-FR"/>
        </w:rPr>
        <w:t xml:space="preserve">7 lu conjointement avec </w:t>
      </w:r>
      <w:r>
        <w:rPr>
          <w:lang w:val="fr-FR"/>
        </w:rPr>
        <w:t xml:space="preserve">le paragraphe 3 de </w:t>
      </w:r>
      <w:r w:rsidRPr="000460B6">
        <w:rPr>
          <w:lang w:val="fr-FR"/>
        </w:rPr>
        <w:t>l</w:t>
      </w:r>
      <w:r>
        <w:rPr>
          <w:lang w:val="fr-FR"/>
        </w:rPr>
        <w:t>’</w:t>
      </w:r>
      <w:r w:rsidRPr="000460B6">
        <w:rPr>
          <w:lang w:val="fr-FR"/>
        </w:rPr>
        <w:t>article</w:t>
      </w:r>
      <w:r w:rsidR="00EC4DE6">
        <w:rPr>
          <w:lang w:val="fr-FR"/>
        </w:rPr>
        <w:t> </w:t>
      </w:r>
      <w:r w:rsidRPr="000460B6">
        <w:rPr>
          <w:lang w:val="fr-FR"/>
        </w:rPr>
        <w:t>2 du Pacte à l</w:t>
      </w:r>
      <w:r>
        <w:rPr>
          <w:lang w:val="fr-FR"/>
        </w:rPr>
        <w:t>’</w:t>
      </w:r>
      <w:r w:rsidRPr="000460B6">
        <w:rPr>
          <w:lang w:val="fr-FR"/>
        </w:rPr>
        <w:t>égard de sa famille.</w:t>
      </w:r>
    </w:p>
    <w:p w14:paraId="13CD0592" w14:textId="77777777" w:rsidR="0059201E" w:rsidRDefault="0059201E" w:rsidP="0059201E">
      <w:pPr>
        <w:pStyle w:val="SingleTxtG"/>
        <w:rPr>
          <w:lang w:val="fr-FR"/>
        </w:rPr>
      </w:pPr>
      <w:r>
        <w:rPr>
          <w:lang w:val="fr-FR"/>
        </w:rPr>
        <w:t>3.6</w:t>
      </w:r>
      <w:r>
        <w:rPr>
          <w:lang w:val="fr-FR"/>
        </w:rPr>
        <w:tab/>
      </w:r>
      <w:r w:rsidRPr="00BD2DD9">
        <w:t xml:space="preserve">Rappelant la garantie du droit de </w:t>
      </w:r>
      <w:r>
        <w:t>tout individu</w:t>
      </w:r>
      <w:r w:rsidRPr="00BD2DD9">
        <w:t xml:space="preserve"> à la liberté et à la sécurité</w:t>
      </w:r>
      <w:r>
        <w:t xml:space="preserve"> de sa personne</w:t>
      </w:r>
      <w:r w:rsidRPr="00BD2DD9">
        <w:t xml:space="preserve"> énoncée à l</w:t>
      </w:r>
      <w:r>
        <w:t>’</w:t>
      </w:r>
      <w:r w:rsidRPr="00BD2DD9">
        <w:t>article</w:t>
      </w:r>
      <w:r w:rsidR="00EC4DE6">
        <w:t> </w:t>
      </w:r>
      <w:r w:rsidRPr="00BD2DD9">
        <w:t xml:space="preserve">9 du Pacte, </w:t>
      </w:r>
      <w:r>
        <w:t xml:space="preserve">qui </w:t>
      </w:r>
      <w:r w:rsidRPr="00BD2DD9">
        <w:t xml:space="preserve">interdit </w:t>
      </w:r>
      <w:r>
        <w:t xml:space="preserve">par ailleurs </w:t>
      </w:r>
      <w:r w:rsidRPr="00BD2DD9">
        <w:t xml:space="preserve">les arrestations </w:t>
      </w:r>
      <w:r>
        <w:t>et</w:t>
      </w:r>
      <w:r w:rsidRPr="00BD2DD9">
        <w:t xml:space="preserve"> détentions arbitraires, l</w:t>
      </w:r>
      <w:r>
        <w:t>’</w:t>
      </w:r>
      <w:r w:rsidRPr="00BD2DD9">
        <w:t>auteur</w:t>
      </w:r>
      <w:r>
        <w:t>e</w:t>
      </w:r>
      <w:r w:rsidRPr="00BD2DD9">
        <w:t xml:space="preserve"> estime que l</w:t>
      </w:r>
      <w:r>
        <w:t>’</w:t>
      </w:r>
      <w:r w:rsidRPr="00BD2DD9">
        <w:t>arrestation et la détention d</w:t>
      </w:r>
      <w:r>
        <w:t>’</w:t>
      </w:r>
      <w:r w:rsidRPr="00BD2DD9">
        <w:t xml:space="preserve">Abdelhakim Houari constituent une privation arbitraire de </w:t>
      </w:r>
      <w:r>
        <w:t xml:space="preserve">sa liberté et de sa sécurité. Elle </w:t>
      </w:r>
      <w:r w:rsidRPr="00BD2DD9">
        <w:t>estime en conséquence que son fils a été privé des garanties énoncées à l</w:t>
      </w:r>
      <w:r>
        <w:t>’</w:t>
      </w:r>
      <w:r w:rsidRPr="00BD2DD9">
        <w:t>article</w:t>
      </w:r>
      <w:r w:rsidR="00EC4DE6">
        <w:t> </w:t>
      </w:r>
      <w:r w:rsidRPr="00BD2DD9">
        <w:t>9 du Pacte, impliquant une violation dudit article à son égard.</w:t>
      </w:r>
    </w:p>
    <w:p w14:paraId="3B5B6477" w14:textId="77777777" w:rsidR="0059201E" w:rsidRDefault="0059201E" w:rsidP="0059201E">
      <w:pPr>
        <w:pStyle w:val="SingleTxtG"/>
      </w:pPr>
      <w:r>
        <w:rPr>
          <w:lang w:val="fr-FR"/>
        </w:rPr>
        <w:t>3.7</w:t>
      </w:r>
      <w:r>
        <w:rPr>
          <w:lang w:val="fr-FR"/>
        </w:rPr>
        <w:tab/>
      </w:r>
      <w:r w:rsidRPr="00BD2DD9">
        <w:t>Rappelan</w:t>
      </w:r>
      <w:r>
        <w:t>t les dispositions de l’article</w:t>
      </w:r>
      <w:r w:rsidR="00EC4DE6">
        <w:t> </w:t>
      </w:r>
      <w:r w:rsidRPr="00BD2DD9">
        <w:t>10 du Pacte, l</w:t>
      </w:r>
      <w:r>
        <w:t>’</w:t>
      </w:r>
      <w:r w:rsidRPr="00BD2DD9">
        <w:t>auteur</w:t>
      </w:r>
      <w:r>
        <w:t>e</w:t>
      </w:r>
      <w:r w:rsidRPr="00BD2DD9">
        <w:t xml:space="preserve"> affirme également qu</w:t>
      </w:r>
      <w:r>
        <w:t>’</w:t>
      </w:r>
      <w:r w:rsidRPr="00BD2DD9">
        <w:t>en l</w:t>
      </w:r>
      <w:r>
        <w:t>’</w:t>
      </w:r>
      <w:r w:rsidRPr="00BD2DD9">
        <w:t>absence d</w:t>
      </w:r>
      <w:r>
        <w:t>’</w:t>
      </w:r>
      <w:r w:rsidRPr="00BD2DD9">
        <w:t>enquête de la part des autorités algériennes</w:t>
      </w:r>
      <w:r>
        <w:t>,</w:t>
      </w:r>
      <w:r w:rsidRPr="00BD2DD9">
        <w:t xml:space="preserve"> Abdelhakim Houari a été privé de liberté et n</w:t>
      </w:r>
      <w:r>
        <w:t>’</w:t>
      </w:r>
      <w:r w:rsidRPr="00BD2DD9">
        <w:t>a pas été traité avec humanité et dignité, ce qui constitue</w:t>
      </w:r>
      <w:r>
        <w:t xml:space="preserve"> une violation de l’article</w:t>
      </w:r>
      <w:r w:rsidR="00EC4DE6">
        <w:t> </w:t>
      </w:r>
      <w:r w:rsidRPr="00BD2DD9">
        <w:t>10 du Pacte à son égard.</w:t>
      </w:r>
    </w:p>
    <w:p w14:paraId="3C2A0C70" w14:textId="77777777" w:rsidR="0059201E" w:rsidRDefault="0059201E" w:rsidP="0059201E">
      <w:pPr>
        <w:pStyle w:val="SingleTxtG"/>
        <w:rPr>
          <w:lang w:val="fr-FR"/>
        </w:rPr>
      </w:pPr>
      <w:r>
        <w:t>3.8</w:t>
      </w:r>
      <w:r>
        <w:tab/>
      </w:r>
      <w:r w:rsidRPr="005004B1">
        <w:t>Rappelan</w:t>
      </w:r>
      <w:r>
        <w:t>t les dispositions de l’article</w:t>
      </w:r>
      <w:r w:rsidR="00EC4DE6">
        <w:t> </w:t>
      </w:r>
      <w:r w:rsidRPr="005004B1">
        <w:t xml:space="preserve">14 du Pacte ainsi que </w:t>
      </w:r>
      <w:r>
        <w:t xml:space="preserve">le paragraphe 9 de </w:t>
      </w:r>
      <w:r w:rsidRPr="005004B1">
        <w:t>l</w:t>
      </w:r>
      <w:r>
        <w:t>’</w:t>
      </w:r>
      <w:r w:rsidRPr="005004B1">
        <w:t>observation générale n</w:t>
      </w:r>
      <w:r w:rsidRPr="005004B1">
        <w:rPr>
          <w:vertAlign w:val="superscript"/>
        </w:rPr>
        <w:t>o</w:t>
      </w:r>
      <w:r w:rsidRPr="005004B1">
        <w:t> 32</w:t>
      </w:r>
      <w:r>
        <w:t xml:space="preserve"> (2007)</w:t>
      </w:r>
      <w:r w:rsidRPr="005004B1">
        <w:t xml:space="preserve"> du Comité</w:t>
      </w:r>
      <w:r w:rsidRPr="005004B1">
        <w:rPr>
          <w:lang w:val="fr-FR"/>
        </w:rPr>
        <w:t xml:space="preserve"> sur le droit à l</w:t>
      </w:r>
      <w:r>
        <w:rPr>
          <w:lang w:val="fr-FR"/>
        </w:rPr>
        <w:t>’</w:t>
      </w:r>
      <w:r w:rsidRPr="005004B1">
        <w:rPr>
          <w:lang w:val="fr-FR"/>
        </w:rPr>
        <w:t>égalité devant les tribunaux et les cours de justice et à un procès équitable</w:t>
      </w:r>
      <w:r w:rsidRPr="005004B1">
        <w:t>, l</w:t>
      </w:r>
      <w:r>
        <w:t>’</w:t>
      </w:r>
      <w:r w:rsidRPr="005004B1">
        <w:t>auteur</w:t>
      </w:r>
      <w:r>
        <w:t>e</w:t>
      </w:r>
      <w:r w:rsidRPr="005004B1">
        <w:t xml:space="preserve"> affirme </w:t>
      </w:r>
      <w:r>
        <w:t>que toutes les démarches engagées auprès des autorités judiciaires sont demeurées infructueuses</w:t>
      </w:r>
      <w:r w:rsidRPr="005004B1">
        <w:t>.</w:t>
      </w:r>
      <w:r>
        <w:t xml:space="preserve"> La police lui a communiqué un acte de décès dans lequel il est indiqué que son fils est décédé dans le maquis, dans les rangs des terroristes, alors même qu’elle avait rassemblé tous les témoignages prouvant qu’il avait été arrêté par des policiers le 13</w:t>
      </w:r>
      <w:r w:rsidR="00EC4DE6">
        <w:t> </w:t>
      </w:r>
      <w:r>
        <w:t>novembre 1995. En outre, le Procureur de la République du tribunal d’Oran a convoqué l’auteure pour lui enjoindre de signer l’acte de décès, alors même qu’il a reconnu que celui-ci résultait d’une erreur de transcription de la part de l’administration judiciaire, et n’a ordonné aucune nouvelle enquête ou nouvelle procédure par suite d’une erreur aussi manifeste. L’État partie a donc violé l’article</w:t>
      </w:r>
      <w:r w:rsidR="00EC4DE6">
        <w:t> </w:t>
      </w:r>
      <w:r>
        <w:t>14 du Pacte à l’égard de l’auteure.</w:t>
      </w:r>
    </w:p>
    <w:p w14:paraId="342BEB0C" w14:textId="77777777" w:rsidR="0059201E" w:rsidRDefault="0059201E" w:rsidP="0059201E">
      <w:pPr>
        <w:pStyle w:val="SingleTxtG"/>
        <w:rPr>
          <w:lang w:val="fr-FR"/>
        </w:rPr>
      </w:pPr>
      <w:r>
        <w:rPr>
          <w:lang w:val="fr-FR"/>
        </w:rPr>
        <w:t>3.9</w:t>
      </w:r>
      <w:r>
        <w:rPr>
          <w:lang w:val="fr-FR"/>
        </w:rPr>
        <w:tab/>
      </w:r>
      <w:r w:rsidRPr="00FA1D56">
        <w:rPr>
          <w:lang w:val="fr-FR"/>
        </w:rPr>
        <w:t>L</w:t>
      </w:r>
      <w:r>
        <w:rPr>
          <w:lang w:val="fr-FR"/>
        </w:rPr>
        <w:t>’</w:t>
      </w:r>
      <w:r w:rsidRPr="00FA1D56">
        <w:rPr>
          <w:lang w:val="fr-FR"/>
        </w:rPr>
        <w:t>auteur</w:t>
      </w:r>
      <w:r>
        <w:rPr>
          <w:lang w:val="fr-FR"/>
        </w:rPr>
        <w:t>e</w:t>
      </w:r>
      <w:r w:rsidRPr="00FA1D56">
        <w:rPr>
          <w:lang w:val="fr-FR"/>
        </w:rPr>
        <w:t xml:space="preserve"> rappelle ensuite les dispositions de l</w:t>
      </w:r>
      <w:r>
        <w:rPr>
          <w:lang w:val="fr-FR"/>
        </w:rPr>
        <w:t>’</w:t>
      </w:r>
      <w:r w:rsidRPr="00FA1D56">
        <w:rPr>
          <w:lang w:val="fr-FR"/>
        </w:rPr>
        <w:t>article</w:t>
      </w:r>
      <w:r w:rsidR="00EC4DE6">
        <w:rPr>
          <w:lang w:val="fr-FR"/>
        </w:rPr>
        <w:t> </w:t>
      </w:r>
      <w:r w:rsidRPr="00FA1D56">
        <w:rPr>
          <w:lang w:val="fr-FR"/>
        </w:rPr>
        <w:t>16 du Pacte et la jurisprudence constante du Comité selon laquelle l</w:t>
      </w:r>
      <w:r>
        <w:rPr>
          <w:lang w:val="fr-FR"/>
        </w:rPr>
        <w:t>’</w:t>
      </w:r>
      <w:r w:rsidRPr="00FA1D56">
        <w:rPr>
          <w:lang w:val="fr-FR"/>
        </w:rPr>
        <w:t>enlèvement intentionnel d</w:t>
      </w:r>
      <w:r>
        <w:rPr>
          <w:lang w:val="fr-FR"/>
        </w:rPr>
        <w:t>’</w:t>
      </w:r>
      <w:r w:rsidRPr="00FA1D56">
        <w:rPr>
          <w:lang w:val="fr-FR"/>
        </w:rPr>
        <w:t>une personne de la protection de la loi pour une période prolongée peut constituer un refus de reconnaissance de sa personnalité juridique</w:t>
      </w:r>
      <w:r>
        <w:rPr>
          <w:lang w:val="fr-FR"/>
        </w:rPr>
        <w:t>,</w:t>
      </w:r>
      <w:r w:rsidRPr="00FA1D56">
        <w:rPr>
          <w:lang w:val="fr-FR"/>
        </w:rPr>
        <w:t xml:space="preserve"> si la victime </w:t>
      </w:r>
      <w:r>
        <w:rPr>
          <w:lang w:val="fr-FR"/>
        </w:rPr>
        <w:t>est</w:t>
      </w:r>
      <w:r w:rsidRPr="00FA1D56">
        <w:rPr>
          <w:lang w:val="fr-FR"/>
        </w:rPr>
        <w:t xml:space="preserve"> entre les mains des autorités de l</w:t>
      </w:r>
      <w:r>
        <w:rPr>
          <w:lang w:val="fr-FR"/>
        </w:rPr>
        <w:t>’</w:t>
      </w:r>
      <w:r w:rsidRPr="00FA1D56">
        <w:rPr>
          <w:lang w:val="fr-FR"/>
        </w:rPr>
        <w:t>État lors de sa dernière apparition, et si les efforts de ses proches pour avoir accès à des recours utiles, y</w:t>
      </w:r>
      <w:r w:rsidR="00EC4DE6">
        <w:rPr>
          <w:lang w:val="fr-FR"/>
        </w:rPr>
        <w:t> </w:t>
      </w:r>
      <w:r w:rsidRPr="00FA1D56">
        <w:rPr>
          <w:lang w:val="fr-FR"/>
        </w:rPr>
        <w:t>compris devant les cours de justice, sont sy</w:t>
      </w:r>
      <w:r>
        <w:rPr>
          <w:lang w:val="fr-FR"/>
        </w:rPr>
        <w:t>stématiquement empêchés. El</w:t>
      </w:r>
      <w:r w:rsidRPr="00E362FE">
        <w:rPr>
          <w:lang w:val="fr-FR"/>
        </w:rPr>
        <w:t>l</w:t>
      </w:r>
      <w:r>
        <w:rPr>
          <w:lang w:val="fr-FR"/>
        </w:rPr>
        <w:t>e</w:t>
      </w:r>
      <w:r w:rsidRPr="00E362FE">
        <w:rPr>
          <w:lang w:val="fr-FR"/>
        </w:rPr>
        <w:t xml:space="preserve"> renvoie </w:t>
      </w:r>
      <w:r>
        <w:rPr>
          <w:lang w:val="fr-FR"/>
        </w:rPr>
        <w:t xml:space="preserve">à cet effet </w:t>
      </w:r>
      <w:r w:rsidRPr="00E362FE">
        <w:rPr>
          <w:lang w:val="fr-FR"/>
        </w:rPr>
        <w:t xml:space="preserve">aux observations finales </w:t>
      </w:r>
      <w:r>
        <w:rPr>
          <w:lang w:val="fr-FR"/>
        </w:rPr>
        <w:t>du Comité sur le</w:t>
      </w:r>
      <w:r w:rsidRPr="00E362FE">
        <w:rPr>
          <w:lang w:val="fr-FR"/>
        </w:rPr>
        <w:t xml:space="preserve"> deuxième rapport périodique de </w:t>
      </w:r>
      <w:r>
        <w:rPr>
          <w:lang w:val="fr-FR"/>
        </w:rPr>
        <w:t xml:space="preserve">l’Algérie au </w:t>
      </w:r>
      <w:r>
        <w:rPr>
          <w:lang w:val="fr-FR"/>
        </w:rPr>
        <w:lastRenderedPageBreak/>
        <w:t>titre de l’article </w:t>
      </w:r>
      <w:r w:rsidRPr="00E362FE">
        <w:rPr>
          <w:lang w:val="fr-FR"/>
        </w:rPr>
        <w:t>40 du Pacte</w:t>
      </w:r>
      <w:r w:rsidRPr="004E1C4D">
        <w:rPr>
          <w:rStyle w:val="Appelnotedebasdep"/>
        </w:rPr>
        <w:footnoteReference w:id="17"/>
      </w:r>
      <w:r w:rsidRPr="00E362FE">
        <w:rPr>
          <w:lang w:val="fr-FR"/>
        </w:rPr>
        <w:t xml:space="preserve">, </w:t>
      </w:r>
      <w:r>
        <w:rPr>
          <w:lang w:val="fr-FR"/>
        </w:rPr>
        <w:t xml:space="preserve">dans lesquelles </w:t>
      </w:r>
      <w:r w:rsidRPr="00E362FE">
        <w:rPr>
          <w:lang w:val="fr-FR"/>
        </w:rPr>
        <w:t xml:space="preserve">le Comité a établi que les personnes disparues toujours en vie et détenues au secret voient leur droit à la reconnaissance de leur personnalité juridique, tel que consacré par </w:t>
      </w:r>
      <w:r>
        <w:rPr>
          <w:lang w:val="fr-FR"/>
        </w:rPr>
        <w:t>l’article</w:t>
      </w:r>
      <w:r w:rsidR="00EC4DE6">
        <w:rPr>
          <w:lang w:val="fr-FR"/>
        </w:rPr>
        <w:t> </w:t>
      </w:r>
      <w:r>
        <w:rPr>
          <w:lang w:val="fr-FR"/>
        </w:rPr>
        <w:t xml:space="preserve">16 du Pacte, violé. Elle </w:t>
      </w:r>
      <w:r w:rsidRPr="00FA1D56">
        <w:rPr>
          <w:lang w:val="fr-FR"/>
        </w:rPr>
        <w:t>soutient en conséquence q</w:t>
      </w:r>
      <w:r>
        <w:rPr>
          <w:lang w:val="fr-FR"/>
        </w:rPr>
        <w:t>u’en maintenant la détention d’</w:t>
      </w:r>
      <w:r w:rsidRPr="00FA1D56">
        <w:rPr>
          <w:lang w:val="fr-FR"/>
        </w:rPr>
        <w:t>Abdelhakim Houari sans le reconnaître, les autorités algériennes ont soustrait ce dernier à la protection de la loi et l</w:t>
      </w:r>
      <w:r>
        <w:rPr>
          <w:lang w:val="fr-FR"/>
        </w:rPr>
        <w:t>’</w:t>
      </w:r>
      <w:r w:rsidRPr="00FA1D56">
        <w:rPr>
          <w:lang w:val="fr-FR"/>
        </w:rPr>
        <w:t>ont privé de son droit à la reconnaissance de sa personnalité juridique, en violation de l</w:t>
      </w:r>
      <w:r>
        <w:rPr>
          <w:lang w:val="fr-FR"/>
        </w:rPr>
        <w:t>’</w:t>
      </w:r>
      <w:r w:rsidRPr="00FA1D56">
        <w:rPr>
          <w:lang w:val="fr-FR"/>
        </w:rPr>
        <w:t>article</w:t>
      </w:r>
      <w:r w:rsidR="00EC4DE6">
        <w:rPr>
          <w:lang w:val="fr-FR"/>
        </w:rPr>
        <w:t> </w:t>
      </w:r>
      <w:r w:rsidRPr="00FA1D56">
        <w:rPr>
          <w:lang w:val="fr-FR"/>
        </w:rPr>
        <w:t>16 du Pacte.</w:t>
      </w:r>
    </w:p>
    <w:p w14:paraId="13E4F458" w14:textId="77777777" w:rsidR="0059201E" w:rsidRPr="00410779" w:rsidRDefault="0059201E" w:rsidP="0059201E">
      <w:pPr>
        <w:pStyle w:val="SingleTxtG"/>
      </w:pPr>
      <w:r>
        <w:t>3.10</w:t>
      </w:r>
      <w:r>
        <w:tab/>
      </w:r>
      <w:r w:rsidRPr="00560141">
        <w:t>L</w:t>
      </w:r>
      <w:r>
        <w:t>’</w:t>
      </w:r>
      <w:r w:rsidRPr="00560141">
        <w:t>auteur</w:t>
      </w:r>
      <w:r>
        <w:t>e</w:t>
      </w:r>
      <w:r w:rsidRPr="00560141">
        <w:t xml:space="preserve"> demande au Comité</w:t>
      </w:r>
      <w:r>
        <w:t xml:space="preserve"> de constater que l’État partie</w:t>
      </w:r>
      <w:r w:rsidRPr="00560141">
        <w:t xml:space="preserve"> a</w:t>
      </w:r>
      <w:r>
        <w:t xml:space="preserve"> violé le paragraphe 3 de l’article 2 ainsi que les articles</w:t>
      </w:r>
      <w:r w:rsidR="00EC4DE6">
        <w:t> </w:t>
      </w:r>
      <w:r w:rsidRPr="00560141">
        <w:t>6, 7, 9, 10 et 16 du Pacte à l</w:t>
      </w:r>
      <w:r>
        <w:t>’</w:t>
      </w:r>
      <w:r w:rsidRPr="00560141">
        <w:t>éga</w:t>
      </w:r>
      <w:r>
        <w:t xml:space="preserve">rd </w:t>
      </w:r>
      <w:r w:rsidRPr="00560141">
        <w:t>d</w:t>
      </w:r>
      <w:r>
        <w:t>’</w:t>
      </w:r>
      <w:r w:rsidRPr="00560141">
        <w:t>Abdelhakim Houari</w:t>
      </w:r>
      <w:r>
        <w:t xml:space="preserve">, de même que les paragraphes 2 </w:t>
      </w:r>
      <w:r w:rsidR="00EC4DE6">
        <w:t xml:space="preserve">et </w:t>
      </w:r>
      <w:r>
        <w:t>3 de l’article</w:t>
      </w:r>
      <w:r w:rsidR="00EC4DE6">
        <w:t> </w:t>
      </w:r>
      <w:r>
        <w:t>2, l’article</w:t>
      </w:r>
      <w:r w:rsidR="00EC4DE6">
        <w:t> </w:t>
      </w:r>
      <w:r w:rsidRPr="00560141">
        <w:t xml:space="preserve">7 lu conjointement avec </w:t>
      </w:r>
      <w:r>
        <w:t xml:space="preserve">le paragraphe 3 de </w:t>
      </w:r>
      <w:r w:rsidRPr="00560141">
        <w:t>l</w:t>
      </w:r>
      <w:r>
        <w:t>’</w:t>
      </w:r>
      <w:r w:rsidRPr="00560141">
        <w:t>art</w:t>
      </w:r>
      <w:r>
        <w:t>icle</w:t>
      </w:r>
      <w:r w:rsidR="00EC4DE6">
        <w:t> </w:t>
      </w:r>
      <w:r>
        <w:t>2, et l’article</w:t>
      </w:r>
      <w:r w:rsidR="00EC4DE6">
        <w:t> </w:t>
      </w:r>
      <w:r>
        <w:t>14</w:t>
      </w:r>
      <w:r w:rsidRPr="00560141">
        <w:t xml:space="preserve"> du Pacte à l</w:t>
      </w:r>
      <w:r>
        <w:t>’</w:t>
      </w:r>
      <w:r w:rsidRPr="00560141">
        <w:t>égard de l</w:t>
      </w:r>
      <w:r>
        <w:t>’</w:t>
      </w:r>
      <w:r w:rsidRPr="00560141">
        <w:t>auteur</w:t>
      </w:r>
      <w:r>
        <w:t>e et de sa famille. De</w:t>
      </w:r>
      <w:r w:rsidR="00EC4DE6">
        <w:t> </w:t>
      </w:r>
      <w:r>
        <w:t xml:space="preserve">plus, elle lui demande </w:t>
      </w:r>
      <w:r w:rsidRPr="00560141">
        <w:t>de prier instamment l</w:t>
      </w:r>
      <w:r>
        <w:t>’</w:t>
      </w:r>
      <w:r w:rsidRPr="00560141">
        <w:t>État partie de respecter ses engagements internationaux</w:t>
      </w:r>
      <w:r>
        <w:t>,</w:t>
      </w:r>
      <w:r w:rsidRPr="00560141">
        <w:t xml:space="preserve"> de donner effet aux droits reconnus dans le Pacte ainsi qu</w:t>
      </w:r>
      <w:r>
        <w:t>’</w:t>
      </w:r>
      <w:r w:rsidRPr="00560141">
        <w:t>aux droits reconnus dans l</w:t>
      </w:r>
      <w:r>
        <w:t>’</w:t>
      </w:r>
      <w:r w:rsidRPr="00560141">
        <w:t>ensemble des conventions internationales de protection des droits de l</w:t>
      </w:r>
      <w:r>
        <w:t xml:space="preserve">’homme ratifiées par l’Algérie, et </w:t>
      </w:r>
      <w:r w:rsidRPr="00AD1F5D">
        <w:t>de prendre des mesures appropriées afin que de telles violations ne se reproduisent plus à l</w:t>
      </w:r>
      <w:r>
        <w:t>’</w:t>
      </w:r>
      <w:r w:rsidRPr="00AD1F5D">
        <w:t>avenir</w:t>
      </w:r>
      <w:r>
        <w:t xml:space="preserve">. L’auteure </w:t>
      </w:r>
      <w:r w:rsidRPr="00560141">
        <w:t>demande également au Comité de prier l</w:t>
      </w:r>
      <w:r>
        <w:t>’</w:t>
      </w:r>
      <w:r w:rsidRPr="00560141">
        <w:t>État partie d</w:t>
      </w:r>
      <w:r>
        <w:t>’</w:t>
      </w:r>
      <w:r w:rsidRPr="00560141">
        <w:t>ordonner des enquêtes indépendantes et impartiales en vue : a)</w:t>
      </w:r>
      <w:r w:rsidR="00EC4DE6">
        <w:t> </w:t>
      </w:r>
      <w:r w:rsidRPr="00560141">
        <w:t xml:space="preserve">de retrouver Abdelhakim Houari et de respecter son engagement aux termes </w:t>
      </w:r>
      <w:r>
        <w:t xml:space="preserve">du paragraphe 3 </w:t>
      </w:r>
      <w:r w:rsidRPr="00560141">
        <w:t>de l</w:t>
      </w:r>
      <w:r>
        <w:t>’</w:t>
      </w:r>
      <w:r w:rsidRPr="00560141">
        <w:t>article</w:t>
      </w:r>
      <w:r w:rsidR="00EC4DE6">
        <w:t> </w:t>
      </w:r>
      <w:r w:rsidRPr="00560141">
        <w:t>2 du Pacte ; b)</w:t>
      </w:r>
      <w:r w:rsidR="00EC4DE6">
        <w:t> </w:t>
      </w:r>
      <w:r w:rsidRPr="00560141">
        <w:t xml:space="preserve">de déférer les auteurs de cette disparition forcée devant les autorités civiles compétentes pour </w:t>
      </w:r>
      <w:r>
        <w:t xml:space="preserve">qu’ils fassent l’objet de poursuites </w:t>
      </w:r>
      <w:r w:rsidRPr="00560141">
        <w:t xml:space="preserve">conformément </w:t>
      </w:r>
      <w:r>
        <w:t>au paragraphe 3 de</w:t>
      </w:r>
      <w:r w:rsidRPr="00560141">
        <w:t xml:space="preserve"> l</w:t>
      </w:r>
      <w:r>
        <w:t>’</w:t>
      </w:r>
      <w:r w:rsidRPr="00560141">
        <w:t>article</w:t>
      </w:r>
      <w:r w:rsidR="00EC4DE6">
        <w:t> </w:t>
      </w:r>
      <w:r w:rsidRPr="00560141">
        <w:t>2 du Pacte ; et c)</w:t>
      </w:r>
      <w:r w:rsidR="00EC4DE6">
        <w:t> </w:t>
      </w:r>
      <w:r w:rsidRPr="00560141">
        <w:t>d</w:t>
      </w:r>
      <w:r>
        <w:t>’</w:t>
      </w:r>
      <w:r w:rsidRPr="00560141">
        <w:t>offrir à Abdelhakim Houari, s</w:t>
      </w:r>
      <w:r>
        <w:t>’</w:t>
      </w:r>
      <w:r w:rsidRPr="00560141">
        <w:t>il est encore en vie, ainsi qu</w:t>
      </w:r>
      <w:r>
        <w:t>’</w:t>
      </w:r>
      <w:r w:rsidRPr="00560141">
        <w:t>à sa famille une réparation adéquate, effective et rapide du préjudice subi, conformément au</w:t>
      </w:r>
      <w:r>
        <w:t xml:space="preserve"> paragraphe 3 de</w:t>
      </w:r>
      <w:r w:rsidRPr="00560141">
        <w:t xml:space="preserve"> </w:t>
      </w:r>
      <w:r>
        <w:t>l’</w:t>
      </w:r>
      <w:r w:rsidRPr="00560141">
        <w:t>article</w:t>
      </w:r>
      <w:r w:rsidR="00EC4DE6">
        <w:t> </w:t>
      </w:r>
      <w:r>
        <w:t>2</w:t>
      </w:r>
      <w:r w:rsidRPr="00560141">
        <w:t xml:space="preserve"> et </w:t>
      </w:r>
      <w:r>
        <w:t xml:space="preserve">à l’article 9 du Pacte, incluant une indemnisation </w:t>
      </w:r>
      <w:r w:rsidRPr="00560141">
        <w:t>appropriée et proportionn</w:t>
      </w:r>
      <w:r>
        <w:t xml:space="preserve">ée à la gravité de la violation et une réadaptation pleine et entière. Elle </w:t>
      </w:r>
      <w:r w:rsidRPr="00560141">
        <w:t>demande enfin au Comité d</w:t>
      </w:r>
      <w:r>
        <w:t>’</w:t>
      </w:r>
      <w:r w:rsidRPr="00560141">
        <w:t>enjoindre aux autorités algériennes d</w:t>
      </w:r>
      <w:r>
        <w:t>’</w:t>
      </w:r>
      <w:r w:rsidRPr="00560141">
        <w:t>abroger les articles</w:t>
      </w:r>
      <w:r w:rsidR="00EC4DE6">
        <w:t> </w:t>
      </w:r>
      <w:r w:rsidRPr="00560141">
        <w:t>27 à 39, 45 et 46 de l</w:t>
      </w:r>
      <w:r>
        <w:t>’</w:t>
      </w:r>
      <w:r w:rsidRPr="00560141">
        <w:t xml:space="preserve">ordonnance </w:t>
      </w:r>
      <w:r w:rsidR="00EC4DE6">
        <w:t>n</w:t>
      </w:r>
      <w:r w:rsidR="00EC4DE6" w:rsidRPr="00755DA0">
        <w:rPr>
          <w:vertAlign w:val="superscript"/>
        </w:rPr>
        <w:t>o</w:t>
      </w:r>
      <w:r w:rsidR="00EC4DE6">
        <w:t> </w:t>
      </w:r>
      <w:r w:rsidRPr="00560141">
        <w:t>06-01</w:t>
      </w:r>
      <w:r>
        <w:t>, ainsi que l’article</w:t>
      </w:r>
      <w:r w:rsidR="00EC4DE6">
        <w:t> </w:t>
      </w:r>
      <w:r>
        <w:t xml:space="preserve">2 du </w:t>
      </w:r>
      <w:r w:rsidRPr="009D6006">
        <w:t xml:space="preserve">décret présidentiel </w:t>
      </w:r>
      <w:r w:rsidR="00EC4DE6">
        <w:t>n</w:t>
      </w:r>
      <w:r w:rsidR="00EC4DE6" w:rsidRPr="00755DA0">
        <w:rPr>
          <w:vertAlign w:val="superscript"/>
        </w:rPr>
        <w:t>o</w:t>
      </w:r>
      <w:r w:rsidR="00EC4DE6">
        <w:t> </w:t>
      </w:r>
      <w:r>
        <w:t>06-94</w:t>
      </w:r>
      <w:r w:rsidRPr="00560141">
        <w:t>.</w:t>
      </w:r>
    </w:p>
    <w:p w14:paraId="517E844C" w14:textId="77777777" w:rsidR="0059201E" w:rsidRPr="00B16156" w:rsidRDefault="0059201E" w:rsidP="00755DA0">
      <w:pPr>
        <w:pStyle w:val="H23G"/>
        <w:rPr>
          <w:lang w:val="fr-FR"/>
        </w:rPr>
      </w:pPr>
      <w:r>
        <w:tab/>
      </w:r>
      <w:r>
        <w:tab/>
      </w:r>
      <w:r w:rsidRPr="00B16156">
        <w:rPr>
          <w:lang w:val="fr-FR"/>
        </w:rPr>
        <w:t>Obser</w:t>
      </w:r>
      <w:r>
        <w:rPr>
          <w:lang w:val="fr-FR"/>
        </w:rPr>
        <w:t>vations de l’État partie</w:t>
      </w:r>
    </w:p>
    <w:p w14:paraId="7DA63784" w14:textId="77777777" w:rsidR="0059201E" w:rsidRPr="00B16156" w:rsidRDefault="0059201E" w:rsidP="0059201E">
      <w:pPr>
        <w:pStyle w:val="SingleTxtG"/>
        <w:rPr>
          <w:lang w:val="fr-FR"/>
        </w:rPr>
      </w:pPr>
      <w:r>
        <w:rPr>
          <w:lang w:val="fr-FR"/>
        </w:rPr>
        <w:t>4.</w:t>
      </w:r>
      <w:r>
        <w:rPr>
          <w:lang w:val="fr-FR"/>
        </w:rPr>
        <w:tab/>
        <w:t>Le 3</w:t>
      </w:r>
      <w:r w:rsidR="00EC4DE6">
        <w:rPr>
          <w:lang w:val="fr-FR"/>
        </w:rPr>
        <w:t> </w:t>
      </w:r>
      <w:r>
        <w:rPr>
          <w:lang w:val="fr-FR"/>
        </w:rPr>
        <w:t>avril 2017</w:t>
      </w:r>
      <w:r w:rsidRPr="00B16156">
        <w:rPr>
          <w:lang w:val="fr-FR"/>
        </w:rPr>
        <w:t xml:space="preserve">, </w:t>
      </w:r>
      <w:r>
        <w:rPr>
          <w:lang w:val="fr-FR"/>
        </w:rPr>
        <w:t xml:space="preserve">sans en joindre une copie, l’État partie a </w:t>
      </w:r>
      <w:r w:rsidRPr="00187C8F">
        <w:rPr>
          <w:lang w:val="fr-FR"/>
        </w:rPr>
        <w:t xml:space="preserve">invité le Comité à se référer au </w:t>
      </w:r>
      <w:r w:rsidRPr="00F572EE">
        <w:t xml:space="preserve">Mémorandum de référence du Gouvernement algérien </w:t>
      </w:r>
      <w:r>
        <w:t>sur le traitement de la question des disparitions à la lumière de la mise en œuvre de la Charte pour la paix et la réconciliation nationale</w:t>
      </w:r>
      <w:r>
        <w:rPr>
          <w:lang w:val="fr-FR"/>
        </w:rPr>
        <w:t>, et a demandé, d’une part, que la recevabilité de la requête soit examinée séparément du fond et, d’autre part, que la requête soit déclarée irrecevable</w:t>
      </w:r>
      <w:r w:rsidRPr="00187C8F">
        <w:rPr>
          <w:lang w:val="fr-FR"/>
        </w:rPr>
        <w:t>.</w:t>
      </w:r>
      <w:r w:rsidRPr="001D712E">
        <w:t xml:space="preserve"> </w:t>
      </w:r>
      <w:r w:rsidRPr="001D712E">
        <w:rPr>
          <w:lang w:val="fr-FR"/>
        </w:rPr>
        <w:t>Le</w:t>
      </w:r>
      <w:r w:rsidR="00EC4DE6">
        <w:rPr>
          <w:lang w:val="fr-FR"/>
        </w:rPr>
        <w:t> </w:t>
      </w:r>
      <w:r w:rsidRPr="001D712E">
        <w:rPr>
          <w:lang w:val="fr-FR"/>
        </w:rPr>
        <w:t xml:space="preserve">Comité ayant refusé </w:t>
      </w:r>
      <w:r>
        <w:rPr>
          <w:lang w:val="fr-FR"/>
        </w:rPr>
        <w:t>cette demande d’examen séparé, l’État partie a, le 4</w:t>
      </w:r>
      <w:r w:rsidR="00EC4DE6">
        <w:rPr>
          <w:lang w:val="fr-FR"/>
        </w:rPr>
        <w:t> </w:t>
      </w:r>
      <w:r>
        <w:rPr>
          <w:lang w:val="fr-FR"/>
        </w:rPr>
        <w:t>octobre 2018</w:t>
      </w:r>
      <w:r w:rsidRPr="001D712E">
        <w:rPr>
          <w:lang w:val="fr-FR"/>
        </w:rPr>
        <w:t xml:space="preserve">, invité </w:t>
      </w:r>
      <w:r>
        <w:rPr>
          <w:lang w:val="fr-FR"/>
        </w:rPr>
        <w:t xml:space="preserve">à nouveau </w:t>
      </w:r>
      <w:r w:rsidRPr="001D712E">
        <w:rPr>
          <w:lang w:val="fr-FR"/>
        </w:rPr>
        <w:t>le Comité à se référer au</w:t>
      </w:r>
      <w:r>
        <w:rPr>
          <w:lang w:val="fr-FR"/>
        </w:rPr>
        <w:t>dit</w:t>
      </w:r>
      <w:r w:rsidRPr="001D712E">
        <w:rPr>
          <w:lang w:val="fr-FR"/>
        </w:rPr>
        <w:t xml:space="preserve"> mémorandum de référence</w:t>
      </w:r>
      <w:r>
        <w:rPr>
          <w:lang w:val="fr-FR"/>
        </w:rPr>
        <w:t xml:space="preserve"> et, par conséquent, à ne pas se pencher sur le fond</w:t>
      </w:r>
      <w:r w:rsidRPr="001D712E">
        <w:rPr>
          <w:lang w:val="fr-FR"/>
        </w:rPr>
        <w:t>.</w:t>
      </w:r>
    </w:p>
    <w:p w14:paraId="6CACAFF9" w14:textId="77777777" w:rsidR="0059201E" w:rsidRPr="00B16156" w:rsidRDefault="0059201E" w:rsidP="00755DA0">
      <w:pPr>
        <w:pStyle w:val="H23G"/>
        <w:rPr>
          <w:lang w:val="fr-FR"/>
        </w:rPr>
      </w:pPr>
      <w:r>
        <w:rPr>
          <w:lang w:val="fr-FR"/>
        </w:rPr>
        <w:tab/>
      </w:r>
      <w:r>
        <w:rPr>
          <w:lang w:val="fr-FR"/>
        </w:rPr>
        <w:tab/>
      </w:r>
      <w:r w:rsidRPr="00B16156">
        <w:rPr>
          <w:lang w:val="fr-FR"/>
        </w:rPr>
        <w:t>Commentaires de l</w:t>
      </w:r>
      <w:r>
        <w:rPr>
          <w:lang w:val="fr-FR"/>
        </w:rPr>
        <w:t>’</w:t>
      </w:r>
      <w:r w:rsidRPr="00B16156">
        <w:rPr>
          <w:lang w:val="fr-FR"/>
        </w:rPr>
        <w:t>auteur</w:t>
      </w:r>
      <w:r>
        <w:rPr>
          <w:lang w:val="fr-FR"/>
        </w:rPr>
        <w:t>e</w:t>
      </w:r>
      <w:r w:rsidRPr="00B16156">
        <w:rPr>
          <w:lang w:val="fr-FR"/>
        </w:rPr>
        <w:t xml:space="preserve"> sur les observations de l</w:t>
      </w:r>
      <w:r>
        <w:rPr>
          <w:lang w:val="fr-FR"/>
        </w:rPr>
        <w:t>’</w:t>
      </w:r>
      <w:r w:rsidRPr="00B16156">
        <w:rPr>
          <w:lang w:val="fr-FR"/>
        </w:rPr>
        <w:t>État partie</w:t>
      </w:r>
    </w:p>
    <w:p w14:paraId="37E7C863" w14:textId="77777777" w:rsidR="0059201E" w:rsidRDefault="0059201E" w:rsidP="0059201E">
      <w:pPr>
        <w:pStyle w:val="SingleTxtG"/>
        <w:rPr>
          <w:b/>
          <w:lang w:val="fr-FR"/>
        </w:rPr>
      </w:pPr>
      <w:r>
        <w:rPr>
          <w:lang w:val="fr-FR"/>
        </w:rPr>
        <w:t>5</w:t>
      </w:r>
      <w:r w:rsidRPr="00B16156">
        <w:rPr>
          <w:lang w:val="fr-FR"/>
        </w:rPr>
        <w:t>.1</w:t>
      </w:r>
      <w:r w:rsidRPr="00B16156">
        <w:rPr>
          <w:lang w:val="fr-FR"/>
        </w:rPr>
        <w:tab/>
        <w:t xml:space="preserve">Le </w:t>
      </w:r>
      <w:r>
        <w:rPr>
          <w:lang w:val="fr-FR"/>
        </w:rPr>
        <w:t>16</w:t>
      </w:r>
      <w:r w:rsidR="00EC4DE6">
        <w:rPr>
          <w:lang w:val="fr-FR"/>
        </w:rPr>
        <w:t> </w:t>
      </w:r>
      <w:r>
        <w:rPr>
          <w:lang w:val="fr-FR"/>
        </w:rPr>
        <w:t>mars 2018</w:t>
      </w:r>
      <w:r w:rsidRPr="00B16156">
        <w:rPr>
          <w:lang w:val="fr-FR"/>
        </w:rPr>
        <w:t>, l</w:t>
      </w:r>
      <w:r>
        <w:rPr>
          <w:lang w:val="fr-FR"/>
        </w:rPr>
        <w:t>’</w:t>
      </w:r>
      <w:r w:rsidRPr="00B16156">
        <w:rPr>
          <w:lang w:val="fr-FR"/>
        </w:rPr>
        <w:t>auteur</w:t>
      </w:r>
      <w:r>
        <w:rPr>
          <w:lang w:val="fr-FR"/>
        </w:rPr>
        <w:t>e</w:t>
      </w:r>
      <w:r w:rsidRPr="00B16156">
        <w:rPr>
          <w:lang w:val="fr-FR"/>
        </w:rPr>
        <w:t xml:space="preserve"> a soumis des commentaires sur les observations de l</w:t>
      </w:r>
      <w:r>
        <w:rPr>
          <w:lang w:val="fr-FR"/>
        </w:rPr>
        <w:t>’</w:t>
      </w:r>
      <w:r w:rsidRPr="00B16156">
        <w:rPr>
          <w:lang w:val="fr-FR"/>
        </w:rPr>
        <w:t>État partie</w:t>
      </w:r>
      <w:r>
        <w:rPr>
          <w:lang w:val="fr-FR"/>
        </w:rPr>
        <w:t xml:space="preserve"> sur la recevabilité</w:t>
      </w:r>
      <w:r w:rsidRPr="00B16156">
        <w:rPr>
          <w:lang w:val="fr-FR"/>
        </w:rPr>
        <w:t>.</w:t>
      </w:r>
      <w:r>
        <w:rPr>
          <w:lang w:val="fr-FR"/>
        </w:rPr>
        <w:t xml:space="preserve"> Elle </w:t>
      </w:r>
      <w:r w:rsidRPr="00AE1EC1">
        <w:rPr>
          <w:lang w:val="fr-FR"/>
        </w:rPr>
        <w:t>souligne que les</w:t>
      </w:r>
      <w:r>
        <w:rPr>
          <w:lang w:val="fr-FR"/>
        </w:rPr>
        <w:t>dites</w:t>
      </w:r>
      <w:r w:rsidRPr="00AE1EC1">
        <w:rPr>
          <w:lang w:val="fr-FR"/>
        </w:rPr>
        <w:t xml:space="preserve"> observations sont inadaptées, car elles s</w:t>
      </w:r>
      <w:r>
        <w:rPr>
          <w:lang w:val="fr-FR"/>
        </w:rPr>
        <w:t>’</w:t>
      </w:r>
      <w:r w:rsidRPr="00AE1EC1">
        <w:rPr>
          <w:lang w:val="fr-FR"/>
        </w:rPr>
        <w:t>adressent à un autre organe de promotion et de protection des droits de l</w:t>
      </w:r>
      <w:r>
        <w:rPr>
          <w:lang w:val="fr-FR"/>
        </w:rPr>
        <w:t>’</w:t>
      </w:r>
      <w:r w:rsidRPr="00AE1EC1">
        <w:rPr>
          <w:lang w:val="fr-FR"/>
        </w:rPr>
        <w:t xml:space="preserve">homme </w:t>
      </w:r>
      <w:r w:rsidR="00EC4DE6">
        <w:rPr>
          <w:lang w:val="fr-FR"/>
        </w:rPr>
        <w:t>− </w:t>
      </w:r>
      <w:r w:rsidRPr="00AE1EC1">
        <w:rPr>
          <w:lang w:val="fr-FR"/>
        </w:rPr>
        <w:t>le Groupe de travail sur les disparitions forcées ou involontaires</w:t>
      </w:r>
      <w:r w:rsidR="00EC4DE6">
        <w:rPr>
          <w:lang w:val="fr-FR"/>
        </w:rPr>
        <w:t> −</w:t>
      </w:r>
      <w:r w:rsidRPr="00AE1EC1">
        <w:rPr>
          <w:lang w:val="fr-FR"/>
        </w:rPr>
        <w:t xml:space="preserve">, et obsolètes, car elles datent de juillet 2009. </w:t>
      </w:r>
      <w:r>
        <w:rPr>
          <w:lang w:val="fr-FR"/>
        </w:rPr>
        <w:t>En outre, elles</w:t>
      </w:r>
      <w:r w:rsidRPr="00AE1EC1">
        <w:rPr>
          <w:lang w:val="fr-FR"/>
        </w:rPr>
        <w:t xml:space="preserve"> ne font nullement mention de la recevabilité de la communication, des spécificités de l</w:t>
      </w:r>
      <w:r>
        <w:rPr>
          <w:lang w:val="fr-FR"/>
        </w:rPr>
        <w:t>’</w:t>
      </w:r>
      <w:r w:rsidRPr="00AE1EC1">
        <w:rPr>
          <w:lang w:val="fr-FR"/>
        </w:rPr>
        <w:t>affaire ou des recours introduits par la famille de la victime, démontrant le manque de sérieux et le mépris des autorités algériennes pour cette procédure.</w:t>
      </w:r>
    </w:p>
    <w:p w14:paraId="51FF4B37" w14:textId="77777777" w:rsidR="0059201E" w:rsidRDefault="0059201E" w:rsidP="0059201E">
      <w:pPr>
        <w:pStyle w:val="SingleTxtG"/>
      </w:pPr>
      <w:r>
        <w:rPr>
          <w:lang w:val="fr-FR"/>
        </w:rPr>
        <w:t>5.2</w:t>
      </w:r>
      <w:r>
        <w:rPr>
          <w:lang w:val="fr-FR"/>
        </w:rPr>
        <w:tab/>
      </w:r>
      <w:r w:rsidRPr="00AE1EC1">
        <w:rPr>
          <w:lang w:val="fr-FR"/>
        </w:rPr>
        <w:t>Rappelant qu</w:t>
      </w:r>
      <w:r>
        <w:rPr>
          <w:lang w:val="fr-FR"/>
        </w:rPr>
        <w:t>’</w:t>
      </w:r>
      <w:r w:rsidRPr="00AE1EC1">
        <w:rPr>
          <w:lang w:val="fr-FR"/>
        </w:rPr>
        <w:t>aucun recours n</w:t>
      </w:r>
      <w:r>
        <w:rPr>
          <w:lang w:val="fr-FR"/>
        </w:rPr>
        <w:t>’</w:t>
      </w:r>
      <w:r w:rsidRPr="00AE1EC1">
        <w:rPr>
          <w:lang w:val="fr-FR"/>
        </w:rPr>
        <w:t>a abouti à l</w:t>
      </w:r>
      <w:r>
        <w:rPr>
          <w:lang w:val="fr-FR"/>
        </w:rPr>
        <w:t>’</w:t>
      </w:r>
      <w:r w:rsidRPr="00AE1EC1">
        <w:rPr>
          <w:lang w:val="fr-FR"/>
        </w:rPr>
        <w:t>ouverture d</w:t>
      </w:r>
      <w:r>
        <w:rPr>
          <w:lang w:val="fr-FR"/>
        </w:rPr>
        <w:t>’</w:t>
      </w:r>
      <w:r w:rsidRPr="00AE1EC1">
        <w:rPr>
          <w:lang w:val="fr-FR"/>
        </w:rPr>
        <w:t>une enquête diligente ou à des poursuites pénales</w:t>
      </w:r>
      <w:r>
        <w:rPr>
          <w:lang w:val="fr-FR"/>
        </w:rPr>
        <w:t>,</w:t>
      </w:r>
      <w:r w:rsidRPr="00AE1EC1">
        <w:rPr>
          <w:lang w:val="fr-FR"/>
        </w:rPr>
        <w:t xml:space="preserve"> et que les autorités algériennes n</w:t>
      </w:r>
      <w:r>
        <w:rPr>
          <w:lang w:val="fr-FR"/>
        </w:rPr>
        <w:t>’</w:t>
      </w:r>
      <w:r w:rsidRPr="00AE1EC1">
        <w:rPr>
          <w:lang w:val="fr-FR"/>
        </w:rPr>
        <w:t>ont apporté aucun élément tangible laissant penser que des recherches effectives avaient été engagées pour retrouver Abdelhakim Houari et identifier les responsables de sa disparition, l</w:t>
      </w:r>
      <w:r>
        <w:rPr>
          <w:lang w:val="fr-FR"/>
        </w:rPr>
        <w:t>’</w:t>
      </w:r>
      <w:r w:rsidRPr="00AE1EC1">
        <w:rPr>
          <w:lang w:val="fr-FR"/>
        </w:rPr>
        <w:t>auteure conclut que les voies de recours internes ont été épuisées et que la requête doit être considéré</w:t>
      </w:r>
      <w:r>
        <w:rPr>
          <w:lang w:val="fr-FR"/>
        </w:rPr>
        <w:t>e comme recevable par le Comité</w:t>
      </w:r>
      <w:r w:rsidRPr="00E22988">
        <w:t>.</w:t>
      </w:r>
    </w:p>
    <w:p w14:paraId="49F5613C" w14:textId="77777777" w:rsidR="0059201E" w:rsidRDefault="0059201E" w:rsidP="00157963">
      <w:pPr>
        <w:pStyle w:val="SingleTxtG"/>
        <w:keepNext/>
        <w:keepLines/>
        <w:rPr>
          <w:lang w:val="fr-FR"/>
        </w:rPr>
      </w:pPr>
      <w:r>
        <w:lastRenderedPageBreak/>
        <w:t>5.3</w:t>
      </w:r>
      <w:r>
        <w:tab/>
      </w:r>
      <w:r w:rsidRPr="00AE1EC1">
        <w:t>En se référant à la jurisprudence du Comité selon laquelle la Charte pour la paix et la réconciliation nationale ne peut être opposée aux individus soumettant une communication individuelle, l</w:t>
      </w:r>
      <w:r>
        <w:t>’</w:t>
      </w:r>
      <w:r w:rsidRPr="00AE1EC1">
        <w:t>auteure rappelle que les dispositions de la Charte ne représentent en rien une prise en charge adéquate du dossier des disparus, qui supposerait le respect du droit à la vérité, à la justice et à la réparation pleine et entière.</w:t>
      </w:r>
    </w:p>
    <w:p w14:paraId="65A015FC" w14:textId="77777777" w:rsidR="0059201E" w:rsidRPr="001278AF" w:rsidRDefault="0059201E" w:rsidP="00755DA0">
      <w:pPr>
        <w:pStyle w:val="H23G"/>
      </w:pPr>
      <w:r>
        <w:tab/>
      </w:r>
      <w:r>
        <w:tab/>
      </w:r>
      <w:r w:rsidRPr="001278AF">
        <w:t xml:space="preserve">Défaut </w:t>
      </w:r>
      <w:r>
        <w:t>de coopération de l’État partie</w:t>
      </w:r>
    </w:p>
    <w:p w14:paraId="4978408F" w14:textId="77777777" w:rsidR="0059201E" w:rsidRPr="00410779" w:rsidRDefault="0059201E" w:rsidP="0059201E">
      <w:pPr>
        <w:pStyle w:val="SingleTxtG"/>
      </w:pPr>
      <w:r>
        <w:t>6</w:t>
      </w:r>
      <w:r w:rsidRPr="001278AF">
        <w:t>.</w:t>
      </w:r>
      <w:r w:rsidRPr="001278AF">
        <w:tab/>
      </w:r>
      <w:r w:rsidRPr="00F572EE">
        <w:t>Le Comité rappelle qu</w:t>
      </w:r>
      <w:r>
        <w:t>e</w:t>
      </w:r>
      <w:r w:rsidRPr="00F572EE">
        <w:t xml:space="preserve"> </w:t>
      </w:r>
      <w:r>
        <w:t>les 3</w:t>
      </w:r>
      <w:r w:rsidR="00EC4DE6">
        <w:t> </w:t>
      </w:r>
      <w:r>
        <w:t>avril 2017 et 4</w:t>
      </w:r>
      <w:r w:rsidR="00EC4DE6">
        <w:t> </w:t>
      </w:r>
      <w:r>
        <w:t xml:space="preserve">octobre 2018, </w:t>
      </w:r>
      <w:r w:rsidRPr="00F572EE">
        <w:t>l</w:t>
      </w:r>
      <w:r>
        <w:t>’</w:t>
      </w:r>
      <w:r w:rsidRPr="00F572EE">
        <w:t>État partie a contesté la r</w:t>
      </w:r>
      <w:r>
        <w:t xml:space="preserve">ecevabilité de la communication en faisant référence au </w:t>
      </w:r>
      <w:r w:rsidRPr="00F572EE">
        <w:t xml:space="preserve">Mémorandum de référence du Gouvernement algérien </w:t>
      </w:r>
      <w:r>
        <w:t>sur le traitement de la question des disparitions à la lumière de la mise en œuvre de la Charte pour la paix et la réconciliation nationale de 2009</w:t>
      </w:r>
      <w:r w:rsidRPr="00F572EE">
        <w:t>.</w:t>
      </w:r>
      <w:r>
        <w:t xml:space="preserve"> L</w:t>
      </w:r>
      <w:r w:rsidRPr="001278AF">
        <w:t xml:space="preserve">e </w:t>
      </w:r>
      <w:r>
        <w:t>6 janvier 2017 ainsi que les 18</w:t>
      </w:r>
      <w:r w:rsidR="00EC4DE6">
        <w:t> </w:t>
      </w:r>
      <w:r>
        <w:t>septembre et 12</w:t>
      </w:r>
      <w:r w:rsidR="00EC4DE6">
        <w:t> </w:t>
      </w:r>
      <w:r>
        <w:t>décembre 2018</w:t>
      </w:r>
      <w:r w:rsidRPr="001278AF">
        <w:t>, l</w:t>
      </w:r>
      <w:r>
        <w:t>’</w:t>
      </w:r>
      <w:r w:rsidRPr="001278AF">
        <w:t>État partie a été invité à présenter ses observatio</w:t>
      </w:r>
      <w:r>
        <w:t>ns concernant</w:t>
      </w:r>
      <w:r w:rsidRPr="001278AF">
        <w:t xml:space="preserve"> le fond de la communication. Le Comité note qu</w:t>
      </w:r>
      <w:r>
        <w:t>’</w:t>
      </w:r>
      <w:r w:rsidRPr="001278AF">
        <w:t>il n</w:t>
      </w:r>
      <w:r>
        <w:t>’</w:t>
      </w:r>
      <w:r w:rsidRPr="001278AF">
        <w:t xml:space="preserve">a reçu aucune </w:t>
      </w:r>
      <w:r>
        <w:t>réponse et</w:t>
      </w:r>
      <w:r w:rsidRPr="001278AF">
        <w:t xml:space="preserve"> regrette le refus de l</w:t>
      </w:r>
      <w:r>
        <w:t>’</w:t>
      </w:r>
      <w:r w:rsidRPr="001278AF">
        <w:t xml:space="preserve">État partie de communiquer toute information </w:t>
      </w:r>
      <w:r>
        <w:t>à cet égard</w:t>
      </w:r>
      <w:r w:rsidRPr="001278AF">
        <w:t>.</w:t>
      </w:r>
      <w:r w:rsidRPr="00A477A7">
        <w:t xml:space="preserve"> Conform</w:t>
      </w:r>
      <w:r>
        <w:t>ément au paragraphe</w:t>
      </w:r>
      <w:r w:rsidR="00EC4DE6">
        <w:t> </w:t>
      </w:r>
      <w:r>
        <w:t>2 de l’article</w:t>
      </w:r>
      <w:r w:rsidR="00EC4DE6">
        <w:t> </w:t>
      </w:r>
      <w:r w:rsidRPr="00A477A7">
        <w:t>4 du Protocole facultatif, l</w:t>
      </w:r>
      <w:r>
        <w:t>’</w:t>
      </w:r>
      <w:r w:rsidRPr="00A477A7">
        <w:t>État partie est tenu d</w:t>
      </w:r>
      <w:r>
        <w:t>’</w:t>
      </w:r>
      <w:r w:rsidRPr="00A477A7">
        <w:t>enquêter de bonne foi sur toutes les allégations de violations du Pacte portées contre lui et ses représentants, et de transmettre au Comité les renseignements qu</w:t>
      </w:r>
      <w:r>
        <w:t>’</w:t>
      </w:r>
      <w:r w:rsidRPr="00A477A7">
        <w:t>il détient</w:t>
      </w:r>
      <w:r w:rsidRPr="004E1C4D">
        <w:rPr>
          <w:rStyle w:val="Appelnotedebasdep"/>
        </w:rPr>
        <w:footnoteReference w:id="18"/>
      </w:r>
      <w:r w:rsidRPr="00A477A7">
        <w:t>.</w:t>
      </w:r>
    </w:p>
    <w:p w14:paraId="255189E3" w14:textId="77777777" w:rsidR="0059201E" w:rsidRPr="00410779" w:rsidRDefault="0059201E" w:rsidP="00755DA0">
      <w:pPr>
        <w:pStyle w:val="H23G"/>
        <w:rPr>
          <w:lang w:val="fr-FR"/>
        </w:rPr>
      </w:pPr>
      <w:r w:rsidRPr="00410779">
        <w:rPr>
          <w:lang w:val="fr-FR"/>
        </w:rPr>
        <w:tab/>
      </w:r>
      <w:r w:rsidRPr="00410779">
        <w:rPr>
          <w:lang w:val="fr-FR"/>
        </w:rPr>
        <w:tab/>
        <w:t>Délibérations du Comité</w:t>
      </w:r>
    </w:p>
    <w:p w14:paraId="44239E6F" w14:textId="77777777" w:rsidR="0059201E" w:rsidRPr="00410779" w:rsidRDefault="0059201E" w:rsidP="00755DA0">
      <w:pPr>
        <w:pStyle w:val="H4G"/>
        <w:rPr>
          <w:lang w:val="fr-FR"/>
        </w:rPr>
      </w:pPr>
      <w:r>
        <w:rPr>
          <w:lang w:val="fr-FR"/>
        </w:rPr>
        <w:tab/>
      </w:r>
      <w:r>
        <w:rPr>
          <w:lang w:val="fr-FR"/>
        </w:rPr>
        <w:tab/>
      </w:r>
      <w:r w:rsidRPr="00410779">
        <w:rPr>
          <w:lang w:val="fr-FR"/>
        </w:rPr>
        <w:t>Examen de la recevabilité</w:t>
      </w:r>
    </w:p>
    <w:p w14:paraId="2581E16A" w14:textId="77777777" w:rsidR="0059201E" w:rsidRPr="00410779" w:rsidRDefault="0059201E" w:rsidP="0059201E">
      <w:pPr>
        <w:pStyle w:val="SingleTxtG"/>
        <w:rPr>
          <w:lang w:val="fr-FR"/>
        </w:rPr>
      </w:pPr>
      <w:r>
        <w:rPr>
          <w:lang w:val="fr-FR"/>
        </w:rPr>
        <w:t>7</w:t>
      </w:r>
      <w:r w:rsidRPr="00410779">
        <w:rPr>
          <w:lang w:val="fr-FR"/>
        </w:rPr>
        <w:t>.1</w:t>
      </w:r>
      <w:r w:rsidRPr="00410779">
        <w:rPr>
          <w:lang w:val="fr-FR"/>
        </w:rPr>
        <w:tab/>
      </w:r>
      <w:r w:rsidRPr="006966BC">
        <w:rPr>
          <w:lang w:val="fr-FR"/>
        </w:rPr>
        <w:t>Avant d</w:t>
      </w:r>
      <w:r>
        <w:rPr>
          <w:lang w:val="fr-FR"/>
        </w:rPr>
        <w:t>’</w:t>
      </w:r>
      <w:r w:rsidRPr="006966BC">
        <w:rPr>
          <w:lang w:val="fr-FR"/>
        </w:rPr>
        <w:t>examiner toute plainte soumise dans une communication, le Comité doit, conformément à l</w:t>
      </w:r>
      <w:r>
        <w:rPr>
          <w:lang w:val="fr-FR"/>
        </w:rPr>
        <w:t>’</w:t>
      </w:r>
      <w:r w:rsidRPr="006966BC">
        <w:rPr>
          <w:lang w:val="fr-FR"/>
        </w:rPr>
        <w:t>article</w:t>
      </w:r>
      <w:r w:rsidR="00EC4DE6">
        <w:rPr>
          <w:lang w:val="fr-FR"/>
        </w:rPr>
        <w:t> </w:t>
      </w:r>
      <w:r>
        <w:rPr>
          <w:lang w:val="fr-FR"/>
        </w:rPr>
        <w:t>97</w:t>
      </w:r>
      <w:r w:rsidRPr="006966BC">
        <w:rPr>
          <w:lang w:val="fr-FR"/>
        </w:rPr>
        <w:t xml:space="preserve"> de son règlement intérieur, déterminer si la communication est recevable en vertu du Protocole facultatif</w:t>
      </w:r>
      <w:r>
        <w:rPr>
          <w:lang w:val="fr-FR"/>
        </w:rPr>
        <w:t xml:space="preserve"> se rapportant au Pacte</w:t>
      </w:r>
      <w:r w:rsidRPr="006966BC">
        <w:rPr>
          <w:lang w:val="fr-FR"/>
        </w:rPr>
        <w:t>.</w:t>
      </w:r>
    </w:p>
    <w:p w14:paraId="02B1783A" w14:textId="77777777" w:rsidR="0059201E" w:rsidRDefault="0059201E" w:rsidP="0059201E">
      <w:pPr>
        <w:pStyle w:val="SingleTxtG"/>
        <w:rPr>
          <w:lang w:val="fr-FR"/>
        </w:rPr>
      </w:pPr>
      <w:r>
        <w:rPr>
          <w:lang w:val="fr-FR"/>
        </w:rPr>
        <w:t>7</w:t>
      </w:r>
      <w:r w:rsidRPr="00410779">
        <w:rPr>
          <w:lang w:val="fr-FR"/>
        </w:rPr>
        <w:t>.2</w:t>
      </w:r>
      <w:r w:rsidRPr="00410779">
        <w:rPr>
          <w:lang w:val="fr-FR"/>
        </w:rPr>
        <w:tab/>
      </w:r>
      <w:r w:rsidRPr="00347037">
        <w:rPr>
          <w:lang w:val="fr-FR"/>
        </w:rPr>
        <w:t>Le Comité s</w:t>
      </w:r>
      <w:r>
        <w:rPr>
          <w:lang w:val="fr-FR"/>
        </w:rPr>
        <w:t>’</w:t>
      </w:r>
      <w:r w:rsidRPr="00347037">
        <w:rPr>
          <w:lang w:val="fr-FR"/>
        </w:rPr>
        <w:t>est assuré, comme il est tenu de le fai</w:t>
      </w:r>
      <w:r>
        <w:rPr>
          <w:lang w:val="fr-FR"/>
        </w:rPr>
        <w:t>re conformément au paragraphe</w:t>
      </w:r>
      <w:r w:rsidR="00EC4DE6">
        <w:rPr>
          <w:lang w:val="fr-FR"/>
        </w:rPr>
        <w:t> </w:t>
      </w:r>
      <w:r>
        <w:rPr>
          <w:lang w:val="fr-FR"/>
        </w:rPr>
        <w:t>2 </w:t>
      </w:r>
      <w:r w:rsidRPr="00347037">
        <w:rPr>
          <w:lang w:val="fr-FR"/>
        </w:rPr>
        <w:t>a) de l</w:t>
      </w:r>
      <w:r>
        <w:rPr>
          <w:lang w:val="fr-FR"/>
        </w:rPr>
        <w:t>’</w:t>
      </w:r>
      <w:r w:rsidRPr="00347037">
        <w:rPr>
          <w:lang w:val="fr-FR"/>
        </w:rPr>
        <w:t>article</w:t>
      </w:r>
      <w:r w:rsidR="00EC4DE6">
        <w:rPr>
          <w:lang w:val="fr-FR"/>
        </w:rPr>
        <w:t> </w:t>
      </w:r>
      <w:r w:rsidRPr="00347037">
        <w:rPr>
          <w:lang w:val="fr-FR"/>
        </w:rPr>
        <w:t>5 du Protocole facultatif, que la même question n</w:t>
      </w:r>
      <w:r>
        <w:rPr>
          <w:lang w:val="fr-FR"/>
        </w:rPr>
        <w:t>’</w:t>
      </w:r>
      <w:r w:rsidRPr="00347037">
        <w:rPr>
          <w:lang w:val="fr-FR"/>
        </w:rPr>
        <w:t>était pas déjà en cours d</w:t>
      </w:r>
      <w:r>
        <w:rPr>
          <w:lang w:val="fr-FR"/>
        </w:rPr>
        <w:t>’</w:t>
      </w:r>
      <w:r w:rsidRPr="00347037">
        <w:rPr>
          <w:lang w:val="fr-FR"/>
        </w:rPr>
        <w:t>examen devant une autre instance internationale d</w:t>
      </w:r>
      <w:r>
        <w:rPr>
          <w:lang w:val="fr-FR"/>
        </w:rPr>
        <w:t>’</w:t>
      </w:r>
      <w:r w:rsidRPr="00347037">
        <w:rPr>
          <w:lang w:val="fr-FR"/>
        </w:rPr>
        <w:t>enquête ou de règlement. Le</w:t>
      </w:r>
      <w:r w:rsidR="00EC4DE6">
        <w:rPr>
          <w:lang w:val="fr-FR"/>
        </w:rPr>
        <w:t> </w:t>
      </w:r>
      <w:r w:rsidRPr="00347037">
        <w:rPr>
          <w:lang w:val="fr-FR"/>
        </w:rPr>
        <w:t xml:space="preserve">Comité note que la disparition a été signalée au Groupe de travail sur les disparitions forcées ou involontaires. Toutefois, </w:t>
      </w:r>
      <w:r>
        <w:rPr>
          <w:lang w:val="fr-FR"/>
        </w:rPr>
        <w:t>il</w:t>
      </w:r>
      <w:r w:rsidRPr="00347037">
        <w:rPr>
          <w:lang w:val="fr-FR"/>
        </w:rPr>
        <w:t xml:space="preserve"> rappelle que les procédures ou mécanismes </w:t>
      </w:r>
      <w:proofErr w:type="spellStart"/>
      <w:r w:rsidRPr="00347037">
        <w:rPr>
          <w:lang w:val="fr-FR"/>
        </w:rPr>
        <w:t>extraconventionnels</w:t>
      </w:r>
      <w:proofErr w:type="spellEnd"/>
      <w:r w:rsidRPr="00347037">
        <w:rPr>
          <w:lang w:val="fr-FR"/>
        </w:rPr>
        <w:t xml:space="preserve"> du Conseil des droits de l</w:t>
      </w:r>
      <w:r>
        <w:rPr>
          <w:lang w:val="fr-FR"/>
        </w:rPr>
        <w:t>’</w:t>
      </w:r>
      <w:r w:rsidRPr="00347037">
        <w:rPr>
          <w:lang w:val="fr-FR"/>
        </w:rPr>
        <w:t>homme dont les mandats consistent</w:t>
      </w:r>
      <w:r>
        <w:rPr>
          <w:lang w:val="fr-FR"/>
        </w:rPr>
        <w:t>, d’une part,</w:t>
      </w:r>
      <w:r w:rsidRPr="00347037">
        <w:rPr>
          <w:lang w:val="fr-FR"/>
        </w:rPr>
        <w:t xml:space="preserve"> à examiner la situation des droits de l</w:t>
      </w:r>
      <w:r>
        <w:rPr>
          <w:lang w:val="fr-FR"/>
        </w:rPr>
        <w:t>’</w:t>
      </w:r>
      <w:r w:rsidRPr="00347037">
        <w:rPr>
          <w:lang w:val="fr-FR"/>
        </w:rPr>
        <w:t>homme dans un pays ou un territoire, ou des phénomènes de grande ampleur de violation des droits de l</w:t>
      </w:r>
      <w:r>
        <w:rPr>
          <w:lang w:val="fr-FR"/>
        </w:rPr>
        <w:t>’</w:t>
      </w:r>
      <w:r w:rsidRPr="00347037">
        <w:rPr>
          <w:lang w:val="fr-FR"/>
        </w:rPr>
        <w:t xml:space="preserve">homme dans le monde, </w:t>
      </w:r>
      <w:r>
        <w:rPr>
          <w:lang w:val="fr-FR"/>
        </w:rPr>
        <w:t xml:space="preserve">et, d’autre part, à faire rapport publiquement à ce sujet, </w:t>
      </w:r>
      <w:r w:rsidRPr="00347037">
        <w:rPr>
          <w:lang w:val="fr-FR"/>
        </w:rPr>
        <w:t>ne relèvent généralement pas d</w:t>
      </w:r>
      <w:r>
        <w:rPr>
          <w:lang w:val="fr-FR"/>
        </w:rPr>
        <w:t>’</w:t>
      </w:r>
      <w:r w:rsidRPr="00347037">
        <w:rPr>
          <w:lang w:val="fr-FR"/>
        </w:rPr>
        <w:t>une procédure internationale d</w:t>
      </w:r>
      <w:r>
        <w:rPr>
          <w:lang w:val="fr-FR"/>
        </w:rPr>
        <w:t>’</w:t>
      </w:r>
      <w:r w:rsidRPr="00347037">
        <w:rPr>
          <w:lang w:val="fr-FR"/>
        </w:rPr>
        <w:t xml:space="preserve">enquête ou de </w:t>
      </w:r>
      <w:r>
        <w:rPr>
          <w:lang w:val="fr-FR"/>
        </w:rPr>
        <w:t>règlement au sens du paragraphe</w:t>
      </w:r>
      <w:r w:rsidR="00EC4DE6">
        <w:rPr>
          <w:lang w:val="fr-FR"/>
        </w:rPr>
        <w:t> </w:t>
      </w:r>
      <w:r>
        <w:rPr>
          <w:lang w:val="fr-FR"/>
        </w:rPr>
        <w:t>2</w:t>
      </w:r>
      <w:r w:rsidR="00EC4DE6">
        <w:rPr>
          <w:lang w:val="fr-FR"/>
        </w:rPr>
        <w:t> </w:t>
      </w:r>
      <w:r>
        <w:rPr>
          <w:lang w:val="fr-FR"/>
        </w:rPr>
        <w:t>a) de l’article</w:t>
      </w:r>
      <w:r w:rsidR="00EC4DE6">
        <w:rPr>
          <w:lang w:val="fr-FR"/>
        </w:rPr>
        <w:t> </w:t>
      </w:r>
      <w:r w:rsidRPr="00347037">
        <w:rPr>
          <w:lang w:val="fr-FR"/>
        </w:rPr>
        <w:t>5 du Protocole facultatif</w:t>
      </w:r>
      <w:r w:rsidRPr="004E1C4D">
        <w:rPr>
          <w:rStyle w:val="Appelnotedebasdep"/>
        </w:rPr>
        <w:footnoteReference w:id="19"/>
      </w:r>
      <w:r w:rsidRPr="00347037">
        <w:rPr>
          <w:lang w:val="fr-FR"/>
        </w:rPr>
        <w:t>. En conséquence, le Comité estime que l</w:t>
      </w:r>
      <w:r>
        <w:rPr>
          <w:lang w:val="fr-FR"/>
        </w:rPr>
        <w:t>’</w:t>
      </w:r>
      <w:r w:rsidRPr="00347037">
        <w:rPr>
          <w:lang w:val="fr-FR"/>
        </w:rPr>
        <w:t xml:space="preserve">examen du cas </w:t>
      </w:r>
      <w:r>
        <w:rPr>
          <w:lang w:val="fr-FR"/>
        </w:rPr>
        <w:t>d’</w:t>
      </w:r>
      <w:r w:rsidRPr="00394BD0">
        <w:rPr>
          <w:lang w:val="fr-FR"/>
        </w:rPr>
        <w:t>Abdelhakim Houari</w:t>
      </w:r>
      <w:r w:rsidRPr="00347037">
        <w:rPr>
          <w:lang w:val="fr-FR"/>
        </w:rPr>
        <w:t xml:space="preserve"> par le Groupe de travail sur les disparitions forcées ou involontaires ne rend pas la communication irrecevable en vertu de cette disposition.</w:t>
      </w:r>
    </w:p>
    <w:p w14:paraId="6D5DFEF1" w14:textId="77777777" w:rsidR="0059201E" w:rsidRPr="00410779" w:rsidRDefault="0059201E" w:rsidP="0059201E">
      <w:pPr>
        <w:pStyle w:val="SingleTxtG"/>
        <w:rPr>
          <w:lang w:val="fr-FR"/>
        </w:rPr>
      </w:pPr>
      <w:r>
        <w:rPr>
          <w:lang w:val="fr-FR"/>
        </w:rPr>
        <w:t>7.3</w:t>
      </w:r>
      <w:r>
        <w:rPr>
          <w:lang w:val="fr-FR"/>
        </w:rPr>
        <w:tab/>
      </w:r>
      <w:r w:rsidRPr="00AF430B">
        <w:rPr>
          <w:lang w:val="fr-FR"/>
        </w:rPr>
        <w:t>Le Comité prend note des allégations de l</w:t>
      </w:r>
      <w:r>
        <w:rPr>
          <w:lang w:val="fr-FR"/>
        </w:rPr>
        <w:t>’</w:t>
      </w:r>
      <w:r w:rsidRPr="00AF430B">
        <w:rPr>
          <w:lang w:val="fr-FR"/>
        </w:rPr>
        <w:t>auteur</w:t>
      </w:r>
      <w:r>
        <w:rPr>
          <w:lang w:val="fr-FR"/>
        </w:rPr>
        <w:t>e,</w:t>
      </w:r>
      <w:r w:rsidRPr="00AF430B">
        <w:rPr>
          <w:lang w:val="fr-FR"/>
        </w:rPr>
        <w:t xml:space="preserve"> qui estime </w:t>
      </w:r>
      <w:r>
        <w:rPr>
          <w:lang w:val="fr-FR"/>
        </w:rPr>
        <w:t>avoir épuisé</w:t>
      </w:r>
      <w:r w:rsidRPr="00AF430B">
        <w:rPr>
          <w:lang w:val="fr-FR"/>
        </w:rPr>
        <w:t xml:space="preserve"> </w:t>
      </w:r>
      <w:r>
        <w:rPr>
          <w:lang w:val="fr-FR"/>
        </w:rPr>
        <w:t xml:space="preserve">toutes </w:t>
      </w:r>
      <w:r w:rsidRPr="00AF430B">
        <w:rPr>
          <w:lang w:val="fr-FR"/>
        </w:rPr>
        <w:t xml:space="preserve">les voies de recours </w:t>
      </w:r>
      <w:r>
        <w:rPr>
          <w:lang w:val="fr-FR"/>
        </w:rPr>
        <w:t>disponibles</w:t>
      </w:r>
      <w:r w:rsidRPr="00AF430B">
        <w:rPr>
          <w:lang w:val="fr-FR"/>
        </w:rPr>
        <w:t xml:space="preserve">. </w:t>
      </w:r>
      <w:r w:rsidRPr="00AF430B">
        <w:t>Il note que pour contester la recevabilité de la communication, l</w:t>
      </w:r>
      <w:r>
        <w:t>’</w:t>
      </w:r>
      <w:r w:rsidRPr="00AF430B">
        <w:t xml:space="preserve">État partie se contente de renvoyer </w:t>
      </w:r>
      <w:r>
        <w:t>au Mémorandum</w:t>
      </w:r>
      <w:r w:rsidRPr="00AF430B">
        <w:t xml:space="preserve"> de référence </w:t>
      </w:r>
      <w:r w:rsidRPr="00F572EE">
        <w:t>du Gouvernement algérien</w:t>
      </w:r>
      <w:r w:rsidRPr="00AF430B">
        <w:t xml:space="preserve"> sur le traitement de la question des disparitions à la lumière de la mise en œuvre de la Charte pour la paix et la réconciliation nationale</w:t>
      </w:r>
      <w:r>
        <w:t xml:space="preserve">, </w:t>
      </w:r>
      <w:r w:rsidR="00EC4DE6">
        <w:t xml:space="preserve">de </w:t>
      </w:r>
      <w:r>
        <w:t>2009</w:t>
      </w:r>
      <w:r w:rsidRPr="00AF430B">
        <w:t>.</w:t>
      </w:r>
      <w:r>
        <w:t xml:space="preserve"> À cet égard, le Comité rappelle qu’en 2018, il avait exprimé </w:t>
      </w:r>
      <w:r w:rsidRPr="00AF430B">
        <w:t>ses préoccupations</w:t>
      </w:r>
      <w:r>
        <w:t xml:space="preserve"> </w:t>
      </w:r>
      <w:r w:rsidRPr="00AF430B">
        <w:t>de ce qu</w:t>
      </w:r>
      <w:r>
        <w:t>’</w:t>
      </w:r>
      <w:r w:rsidRPr="00AF430B">
        <w:t>en dépit de ses demandes répétées</w:t>
      </w:r>
      <w:r>
        <w:t>,</w:t>
      </w:r>
      <w:r w:rsidRPr="00AF430B">
        <w:t xml:space="preserve"> l</w:t>
      </w:r>
      <w:r>
        <w:t>’</w:t>
      </w:r>
      <w:r w:rsidRPr="00AF430B">
        <w:t>État partie continu</w:t>
      </w:r>
      <w:r>
        <w:t>ait</w:t>
      </w:r>
      <w:r w:rsidRPr="00AF430B">
        <w:t xml:space="preserve"> de faire systématiquement référence </w:t>
      </w:r>
      <w:r>
        <w:t>au document général type, dit « aide-mémoire »</w:t>
      </w:r>
      <w:r w:rsidRPr="00AF430B">
        <w:t xml:space="preserve">, sans répondre </w:t>
      </w:r>
      <w:r>
        <w:t xml:space="preserve">spécifiquement </w:t>
      </w:r>
      <w:r w:rsidRPr="00AF430B">
        <w:t>aux allégations soumises par les auteurs</w:t>
      </w:r>
      <w:r>
        <w:t xml:space="preserve"> de communications. En conséquence, le Comité invitait de manière urgente l’État partie à c</w:t>
      </w:r>
      <w:r w:rsidRPr="00C946E6">
        <w:t>oopérer de bonne foi avec le Comité dans le cadre de la procédure de communications individuelles</w:t>
      </w:r>
      <w:r>
        <w:t xml:space="preserve"> en cessant de se référer à l’« aide-mémoire »</w:t>
      </w:r>
      <w:r w:rsidRPr="00C946E6">
        <w:t xml:space="preserve"> et en répondant de manière individuelle et spécifique aux allégations des auteurs de communication</w:t>
      </w:r>
      <w:r>
        <w:t>s</w:t>
      </w:r>
      <w:r w:rsidRPr="004E1C4D">
        <w:rPr>
          <w:rStyle w:val="Appelnotedebasdep"/>
        </w:rPr>
        <w:footnoteReference w:id="20"/>
      </w:r>
      <w:r>
        <w:t>.</w:t>
      </w:r>
    </w:p>
    <w:p w14:paraId="4A0A5465" w14:textId="77777777" w:rsidR="0059201E" w:rsidRDefault="0059201E" w:rsidP="0059201E">
      <w:pPr>
        <w:pStyle w:val="SingleTxtG"/>
      </w:pPr>
      <w:r>
        <w:rPr>
          <w:lang w:val="fr-FR"/>
        </w:rPr>
        <w:lastRenderedPageBreak/>
        <w:t>7</w:t>
      </w:r>
      <w:r w:rsidRPr="00410779">
        <w:rPr>
          <w:lang w:val="fr-FR"/>
        </w:rPr>
        <w:t>.</w:t>
      </w:r>
      <w:r>
        <w:rPr>
          <w:lang w:val="fr-FR"/>
        </w:rPr>
        <w:t>4</w:t>
      </w:r>
      <w:r w:rsidRPr="00410779">
        <w:tab/>
      </w:r>
      <w:r w:rsidRPr="0094378A">
        <w:t>En</w:t>
      </w:r>
      <w:r>
        <w:t>suite</w:t>
      </w:r>
      <w:r w:rsidRPr="0094378A">
        <w:t>, le Comité rappelle que l</w:t>
      </w:r>
      <w:r>
        <w:t>’</w:t>
      </w:r>
      <w:r w:rsidRPr="0094378A">
        <w:t>État partie a non seulement le devoir de mener des enquêtes approfondies sur les violations supposées des droits de l</w:t>
      </w:r>
      <w:r>
        <w:t>’</w:t>
      </w:r>
      <w:r w:rsidRPr="0094378A">
        <w:t>homme portées à l</w:t>
      </w:r>
      <w:r>
        <w:t>’</w:t>
      </w:r>
      <w:r w:rsidRPr="0094378A">
        <w:t>attention de ses autorités, en particulier lorsqu</w:t>
      </w:r>
      <w:r>
        <w:t>’</w:t>
      </w:r>
      <w:r w:rsidRPr="0094378A">
        <w:t>il s</w:t>
      </w:r>
      <w:r>
        <w:t>’</w:t>
      </w:r>
      <w:r w:rsidRPr="0094378A">
        <w:t>agit d</w:t>
      </w:r>
      <w:r>
        <w:t>’</w:t>
      </w:r>
      <w:r w:rsidRPr="0094378A">
        <w:t xml:space="preserve">atteintes au droit à la vie, mais aussi </w:t>
      </w:r>
      <w:r>
        <w:t xml:space="preserve">celui </w:t>
      </w:r>
      <w:r w:rsidRPr="0094378A">
        <w:t xml:space="preserve">de poursuivre quiconque est présumé responsable de ces violations, de procéder à son jugement et de prononcer une peine à son </w:t>
      </w:r>
      <w:r>
        <w:t>égard</w:t>
      </w:r>
      <w:r w:rsidRPr="004E1C4D">
        <w:rPr>
          <w:rStyle w:val="Appelnotedebasdep"/>
        </w:rPr>
        <w:footnoteReference w:id="21"/>
      </w:r>
      <w:r w:rsidRPr="0094378A">
        <w:t>.</w:t>
      </w:r>
      <w:r w:rsidRPr="00472ECE">
        <w:t xml:space="preserve"> </w:t>
      </w:r>
      <w:r>
        <w:t>La famille d’</w:t>
      </w:r>
      <w:r w:rsidRPr="00AE1EC1">
        <w:rPr>
          <w:lang w:val="fr-FR"/>
        </w:rPr>
        <w:t>Abdelhakim Houari</w:t>
      </w:r>
      <w:r w:rsidRPr="0094378A">
        <w:t xml:space="preserve"> a, à de nombreuses reprises, alerté les autorités compétentes sur </w:t>
      </w:r>
      <w:r w:rsidRPr="0094378A">
        <w:rPr>
          <w:bCs/>
        </w:rPr>
        <w:t>l</w:t>
      </w:r>
      <w:r>
        <w:rPr>
          <w:bCs/>
        </w:rPr>
        <w:t>a disparition forcée</w:t>
      </w:r>
      <w:r w:rsidRPr="0094378A">
        <w:t xml:space="preserve"> de la victime, mais l</w:t>
      </w:r>
      <w:r>
        <w:t>’</w:t>
      </w:r>
      <w:r w:rsidRPr="0094378A">
        <w:t>État partie n</w:t>
      </w:r>
      <w:r>
        <w:t>’</w:t>
      </w:r>
      <w:r w:rsidRPr="0094378A">
        <w:t xml:space="preserve">a procédé à aucune enquête approfondie et rigoureuse sur </w:t>
      </w:r>
      <w:r w:rsidRPr="0094378A">
        <w:rPr>
          <w:bCs/>
        </w:rPr>
        <w:t>cette allégation gr</w:t>
      </w:r>
      <w:r>
        <w:rPr>
          <w:bCs/>
        </w:rPr>
        <w:t>ave et a même voulu prétendre, contre toute évidence, qu’il serait décédé dans le maquis</w:t>
      </w:r>
      <w:r w:rsidRPr="0094378A">
        <w:t xml:space="preserve">. </w:t>
      </w:r>
      <w:r w:rsidRPr="006C69A9">
        <w:t>En</w:t>
      </w:r>
      <w:r>
        <w:t xml:space="preserve"> </w:t>
      </w:r>
      <w:r w:rsidRPr="006C69A9">
        <w:t>outre, l</w:t>
      </w:r>
      <w:r>
        <w:t>’</w:t>
      </w:r>
      <w:r w:rsidRPr="006C69A9">
        <w:t>État partie n</w:t>
      </w:r>
      <w:r>
        <w:t>’</w:t>
      </w:r>
      <w:r w:rsidRPr="006C69A9">
        <w:t>a apporté aucun élément d</w:t>
      </w:r>
      <w:r>
        <w:t>’</w:t>
      </w:r>
      <w:r w:rsidRPr="006C69A9">
        <w:t>explication spécifique dans ses ob</w:t>
      </w:r>
      <w:r>
        <w:t>servations en réponse au cas d’</w:t>
      </w:r>
      <w:r w:rsidRPr="00394BD0">
        <w:t>Abdelhakim Houari</w:t>
      </w:r>
      <w:r w:rsidRPr="006C69A9">
        <w:t xml:space="preserve"> qui pourrait permettre de conclure qu</w:t>
      </w:r>
      <w:r>
        <w:t>’</w:t>
      </w:r>
      <w:r w:rsidRPr="006C69A9">
        <w:t>un recours efficace et disponible est à ce jour ouvert. S</w:t>
      </w:r>
      <w:r>
        <w:t>’</w:t>
      </w:r>
      <w:r w:rsidRPr="006C69A9">
        <w:t>ajoute à cela le fait que l</w:t>
      </w:r>
      <w:r>
        <w:t>’</w:t>
      </w:r>
      <w:r w:rsidRPr="006C69A9">
        <w:t xml:space="preserve">ordonnance </w:t>
      </w:r>
      <w:r w:rsidR="00EC4DE6">
        <w:t>n</w:t>
      </w:r>
      <w:r w:rsidR="00EC4DE6" w:rsidRPr="00755DA0">
        <w:rPr>
          <w:vertAlign w:val="superscript"/>
        </w:rPr>
        <w:t>o</w:t>
      </w:r>
      <w:r w:rsidR="00EC4DE6">
        <w:t> </w:t>
      </w:r>
      <w:r w:rsidRPr="006C69A9">
        <w:t>06-01 continue d</w:t>
      </w:r>
      <w:r>
        <w:t>’</w:t>
      </w:r>
      <w:r w:rsidRPr="006C69A9">
        <w:t>être appliquée</w:t>
      </w:r>
      <w:r>
        <w:t>,</w:t>
      </w:r>
      <w:r w:rsidRPr="006C69A9">
        <w:t xml:space="preserve"> en dépit du fait que le Comité a recommandé qu</w:t>
      </w:r>
      <w:r>
        <w:t>’</w:t>
      </w:r>
      <w:r w:rsidRPr="006C69A9">
        <w:t>elle soit mise en conformité avec le Pacte</w:t>
      </w:r>
      <w:r w:rsidRPr="004E1C4D">
        <w:rPr>
          <w:rStyle w:val="Appelnotedebasdep"/>
        </w:rPr>
        <w:footnoteReference w:id="22"/>
      </w:r>
      <w:r w:rsidRPr="0094378A">
        <w:t xml:space="preserve">. </w:t>
      </w:r>
      <w:r>
        <w:t>Dans ses observations</w:t>
      </w:r>
      <w:r w:rsidRPr="006C69A9">
        <w:t xml:space="preserve"> finales sur le quatrième rapport périodique de l</w:t>
      </w:r>
      <w:r>
        <w:t xml:space="preserve">’État partie, le Comité déplorait en particulier l’absence de recours efficace pour les personnes disparues </w:t>
      </w:r>
      <w:r w:rsidRPr="00755DA0">
        <w:t>et/ou leurs familles</w:t>
      </w:r>
      <w:r w:rsidRPr="00553D68">
        <w:t xml:space="preserve"> et</w:t>
      </w:r>
      <w:r>
        <w:t xml:space="preserve"> l’absence de mesures prises en vue de faire la lumière sur les personnes disparues, de les localiser et, en cas de décès, de restituer leurs dépouilles aux familles</w:t>
      </w:r>
      <w:r w:rsidRPr="004E1C4D">
        <w:rPr>
          <w:rStyle w:val="Appelnotedebasdep"/>
        </w:rPr>
        <w:footnoteReference w:id="23"/>
      </w:r>
      <w:r>
        <w:t>.</w:t>
      </w:r>
      <w:r w:rsidRPr="006C69A9">
        <w:t xml:space="preserve"> </w:t>
      </w:r>
      <w:r w:rsidRPr="0094378A">
        <w:t>Dans ces circonstances, le Comité estime que rien ne s</w:t>
      </w:r>
      <w:r>
        <w:t>’</w:t>
      </w:r>
      <w:r w:rsidRPr="0094378A">
        <w:t>oppose à ce qu</w:t>
      </w:r>
      <w:r>
        <w:t>’</w:t>
      </w:r>
      <w:r w:rsidRPr="0094378A">
        <w:t>il examine la communication conformément a</w:t>
      </w:r>
      <w:r>
        <w:t>u paragraphe</w:t>
      </w:r>
      <w:r w:rsidR="00EC4DE6">
        <w:t> </w:t>
      </w:r>
      <w:r>
        <w:t>2</w:t>
      </w:r>
      <w:r w:rsidR="00EC4DE6">
        <w:t> </w:t>
      </w:r>
      <w:r>
        <w:t>b) de l’article </w:t>
      </w:r>
      <w:r w:rsidRPr="0094378A">
        <w:t>5 du Protocole facultatif.</w:t>
      </w:r>
    </w:p>
    <w:p w14:paraId="09548661" w14:textId="77777777" w:rsidR="0059201E" w:rsidRPr="00410779" w:rsidRDefault="0059201E" w:rsidP="0059201E">
      <w:pPr>
        <w:pStyle w:val="SingleTxtG"/>
      </w:pPr>
      <w:r>
        <w:t>7.5</w:t>
      </w:r>
      <w:r>
        <w:tab/>
      </w:r>
      <w:r w:rsidRPr="00394BD0">
        <w:rPr>
          <w:lang w:val="fr-FR"/>
        </w:rPr>
        <w:t>Le Comité note que l</w:t>
      </w:r>
      <w:r>
        <w:rPr>
          <w:lang w:val="fr-FR"/>
        </w:rPr>
        <w:t>’</w:t>
      </w:r>
      <w:r w:rsidRPr="00394BD0">
        <w:rPr>
          <w:lang w:val="fr-FR"/>
        </w:rPr>
        <w:t>auteur</w:t>
      </w:r>
      <w:r>
        <w:rPr>
          <w:lang w:val="fr-FR"/>
        </w:rPr>
        <w:t>e a soulevé des</w:t>
      </w:r>
      <w:r w:rsidRPr="00394BD0">
        <w:rPr>
          <w:lang w:val="fr-FR"/>
        </w:rPr>
        <w:t xml:space="preserve"> violation</w:t>
      </w:r>
      <w:r>
        <w:rPr>
          <w:lang w:val="fr-FR"/>
        </w:rPr>
        <w:t>s distinctes des paragraphes</w:t>
      </w:r>
      <w:r w:rsidR="00EC4DE6">
        <w:rPr>
          <w:lang w:val="fr-FR"/>
        </w:rPr>
        <w:t> </w:t>
      </w:r>
      <w:r>
        <w:rPr>
          <w:lang w:val="fr-FR"/>
        </w:rPr>
        <w:t>2 et</w:t>
      </w:r>
      <w:r w:rsidR="00EC4DE6">
        <w:rPr>
          <w:lang w:val="fr-FR"/>
        </w:rPr>
        <w:t> </w:t>
      </w:r>
      <w:r>
        <w:rPr>
          <w:lang w:val="fr-FR"/>
        </w:rPr>
        <w:t>3 de l’article</w:t>
      </w:r>
      <w:r w:rsidR="00EC4DE6">
        <w:rPr>
          <w:lang w:val="fr-FR"/>
        </w:rPr>
        <w:t> </w:t>
      </w:r>
      <w:r w:rsidRPr="00394BD0">
        <w:rPr>
          <w:lang w:val="fr-FR"/>
        </w:rPr>
        <w:t xml:space="preserve">2 du Pacte à son égard. </w:t>
      </w:r>
      <w:r w:rsidRPr="005526A5">
        <w:rPr>
          <w:lang w:val="fr-FR"/>
        </w:rPr>
        <w:t>Rappelant sa jurisprudence selon laquell</w:t>
      </w:r>
      <w:r>
        <w:rPr>
          <w:lang w:val="fr-FR"/>
        </w:rPr>
        <w:t>e les dispositions de l’article</w:t>
      </w:r>
      <w:r w:rsidR="00EC4DE6">
        <w:rPr>
          <w:lang w:val="fr-FR"/>
        </w:rPr>
        <w:t> </w:t>
      </w:r>
      <w:r w:rsidRPr="005526A5">
        <w:rPr>
          <w:lang w:val="fr-FR"/>
        </w:rPr>
        <w:t>2</w:t>
      </w:r>
      <w:r>
        <w:rPr>
          <w:lang w:val="fr-FR"/>
        </w:rPr>
        <w:t xml:space="preserve"> du Pacte</w:t>
      </w:r>
      <w:r w:rsidRPr="005526A5">
        <w:rPr>
          <w:lang w:val="fr-FR"/>
        </w:rPr>
        <w:t xml:space="preserve"> énoncent des obligations générales à la charge des États parties et ne sauraient par elles-mêmes fonder un grief distinct au regard du Protocole facultatif </w:t>
      </w:r>
      <w:r>
        <w:rPr>
          <w:lang w:val="fr-FR"/>
        </w:rPr>
        <w:t>du fait</w:t>
      </w:r>
      <w:r w:rsidRPr="005526A5">
        <w:rPr>
          <w:lang w:val="fr-FR"/>
        </w:rPr>
        <w:t xml:space="preserve"> qu</w:t>
      </w:r>
      <w:r>
        <w:rPr>
          <w:lang w:val="fr-FR"/>
        </w:rPr>
        <w:t>’</w:t>
      </w:r>
      <w:r w:rsidRPr="005526A5">
        <w:rPr>
          <w:lang w:val="fr-FR"/>
        </w:rPr>
        <w:t>elles ne peuvent être invoquées que conjointement avec d</w:t>
      </w:r>
      <w:r>
        <w:rPr>
          <w:lang w:val="fr-FR"/>
        </w:rPr>
        <w:t>’</w:t>
      </w:r>
      <w:r w:rsidRPr="005526A5">
        <w:rPr>
          <w:lang w:val="fr-FR"/>
        </w:rPr>
        <w:t>autres articles substantiels du Pacte</w:t>
      </w:r>
      <w:r w:rsidRPr="004E1C4D">
        <w:rPr>
          <w:rStyle w:val="Appelnotedebasdep"/>
        </w:rPr>
        <w:footnoteReference w:id="24"/>
      </w:r>
      <w:r w:rsidRPr="005526A5">
        <w:rPr>
          <w:lang w:val="fr-FR"/>
        </w:rPr>
        <w:t>, le Comité considère que le</w:t>
      </w:r>
      <w:r>
        <w:rPr>
          <w:lang w:val="fr-FR"/>
        </w:rPr>
        <w:t>s</w:t>
      </w:r>
      <w:r w:rsidRPr="005526A5">
        <w:rPr>
          <w:lang w:val="fr-FR"/>
        </w:rPr>
        <w:t xml:space="preserve"> grief</w:t>
      </w:r>
      <w:r>
        <w:rPr>
          <w:lang w:val="fr-FR"/>
        </w:rPr>
        <w:t>s</w:t>
      </w:r>
      <w:r w:rsidRPr="005526A5">
        <w:rPr>
          <w:lang w:val="fr-FR"/>
        </w:rPr>
        <w:t xml:space="preserve"> de l</w:t>
      </w:r>
      <w:r>
        <w:rPr>
          <w:lang w:val="fr-FR"/>
        </w:rPr>
        <w:t>’</w:t>
      </w:r>
      <w:r w:rsidRPr="005526A5">
        <w:rPr>
          <w:lang w:val="fr-FR"/>
        </w:rPr>
        <w:t>auteur</w:t>
      </w:r>
      <w:r>
        <w:rPr>
          <w:lang w:val="fr-FR"/>
        </w:rPr>
        <w:t>e au titre des paragraphes</w:t>
      </w:r>
      <w:r w:rsidR="00EC4DE6">
        <w:rPr>
          <w:lang w:val="fr-FR"/>
        </w:rPr>
        <w:t> </w:t>
      </w:r>
      <w:r>
        <w:rPr>
          <w:lang w:val="fr-FR"/>
        </w:rPr>
        <w:t>2 et 3 de l’article</w:t>
      </w:r>
      <w:r w:rsidR="00EC4DE6">
        <w:rPr>
          <w:lang w:val="fr-FR"/>
        </w:rPr>
        <w:t> </w:t>
      </w:r>
      <w:r>
        <w:rPr>
          <w:lang w:val="fr-FR"/>
        </w:rPr>
        <w:t>2 du Pacte, invoqués de manière séparée, sont</w:t>
      </w:r>
      <w:r w:rsidRPr="005526A5">
        <w:rPr>
          <w:lang w:val="fr-FR"/>
        </w:rPr>
        <w:t xml:space="preserve"> irrecevables au regard de l</w:t>
      </w:r>
      <w:r>
        <w:rPr>
          <w:lang w:val="fr-FR"/>
        </w:rPr>
        <w:t>’</w:t>
      </w:r>
      <w:r w:rsidRPr="005526A5">
        <w:rPr>
          <w:lang w:val="fr-FR"/>
        </w:rPr>
        <w:t>ar</w:t>
      </w:r>
      <w:r>
        <w:rPr>
          <w:lang w:val="fr-FR"/>
        </w:rPr>
        <w:t>ticle</w:t>
      </w:r>
      <w:r w:rsidR="00EC4DE6">
        <w:rPr>
          <w:lang w:val="fr-FR"/>
        </w:rPr>
        <w:t> </w:t>
      </w:r>
      <w:r w:rsidRPr="005526A5">
        <w:rPr>
          <w:lang w:val="fr-FR"/>
        </w:rPr>
        <w:t>3 du Protocole facultatif.</w:t>
      </w:r>
    </w:p>
    <w:p w14:paraId="0AB3E8FF" w14:textId="77777777" w:rsidR="0059201E" w:rsidRPr="00410779" w:rsidRDefault="0059201E" w:rsidP="0059201E">
      <w:pPr>
        <w:pStyle w:val="SingleTxtG"/>
        <w:rPr>
          <w:lang w:val="fr-FR"/>
        </w:rPr>
      </w:pPr>
      <w:r>
        <w:t>7.6</w:t>
      </w:r>
      <w:r w:rsidRPr="00410779">
        <w:tab/>
      </w:r>
      <w:r>
        <w:t>Le Comité estime, en revanche,</w:t>
      </w:r>
      <w:r w:rsidRPr="00E558E8">
        <w:t xml:space="preserve"> que l</w:t>
      </w:r>
      <w:r>
        <w:t>’</w:t>
      </w:r>
      <w:r w:rsidRPr="00E558E8">
        <w:t>auteur</w:t>
      </w:r>
      <w:r>
        <w:t>e</w:t>
      </w:r>
      <w:r w:rsidRPr="00E558E8">
        <w:t xml:space="preserve"> a suffisamment étayé ses </w:t>
      </w:r>
      <w:r>
        <w:t xml:space="preserve">autres </w:t>
      </w:r>
      <w:r w:rsidRPr="00E558E8">
        <w:t>allégations aux fins de la recevabilité, et procède à l</w:t>
      </w:r>
      <w:r>
        <w:t>’</w:t>
      </w:r>
      <w:r w:rsidRPr="00E558E8">
        <w:t>examen quant au fond des griefs formu</w:t>
      </w:r>
      <w:r>
        <w:t>lés</w:t>
      </w:r>
      <w:r w:rsidRPr="00E558E8">
        <w:t xml:space="preserve"> au titre </w:t>
      </w:r>
      <w:r>
        <w:t>du paragraphe 3 de l’article</w:t>
      </w:r>
      <w:r w:rsidR="00EC4DE6">
        <w:t> </w:t>
      </w:r>
      <w:r>
        <w:t>2, du paragraphe 1 de l’article 6 et des articles</w:t>
      </w:r>
      <w:r w:rsidR="00EC4DE6">
        <w:t> </w:t>
      </w:r>
      <w:r>
        <w:t xml:space="preserve">7, 9, 10, 14 et 16 </w:t>
      </w:r>
      <w:r w:rsidRPr="00E558E8">
        <w:t>du Pacte.</w:t>
      </w:r>
    </w:p>
    <w:p w14:paraId="32FE2321" w14:textId="77777777" w:rsidR="0059201E" w:rsidRPr="00410779" w:rsidRDefault="0059201E" w:rsidP="00755DA0">
      <w:pPr>
        <w:pStyle w:val="H4G"/>
        <w:rPr>
          <w:lang w:val="fr-FR"/>
        </w:rPr>
      </w:pPr>
      <w:r w:rsidRPr="00410779">
        <w:rPr>
          <w:lang w:val="fr-FR"/>
        </w:rPr>
        <w:tab/>
      </w:r>
      <w:r w:rsidRPr="00410779">
        <w:rPr>
          <w:lang w:val="fr-FR"/>
        </w:rPr>
        <w:tab/>
        <w:t>Examen au fond</w:t>
      </w:r>
    </w:p>
    <w:p w14:paraId="5A966E12" w14:textId="77777777" w:rsidR="0059201E" w:rsidRDefault="0059201E" w:rsidP="0059201E">
      <w:pPr>
        <w:pStyle w:val="SingleTxtG"/>
      </w:pPr>
      <w:r>
        <w:rPr>
          <w:lang w:val="fr-FR"/>
        </w:rPr>
        <w:t>8</w:t>
      </w:r>
      <w:r w:rsidRPr="00410779">
        <w:t>.1</w:t>
      </w:r>
      <w:r w:rsidRPr="00410779">
        <w:tab/>
      </w:r>
      <w:r w:rsidRPr="00AD275A">
        <w:t>Conformément au paragraphe</w:t>
      </w:r>
      <w:r w:rsidR="00EC4DE6">
        <w:t> </w:t>
      </w:r>
      <w:r w:rsidRPr="00AD275A">
        <w:t>1 de l</w:t>
      </w:r>
      <w:r>
        <w:t>’</w:t>
      </w:r>
      <w:r w:rsidRPr="00AD275A">
        <w:t>article</w:t>
      </w:r>
      <w:r w:rsidR="00EC4DE6">
        <w:t> </w:t>
      </w:r>
      <w:r w:rsidRPr="00AD275A">
        <w:t>5 du Protocole facultatif, le Comité a examiné la présente communication en tenant compte de toutes les information</w:t>
      </w:r>
      <w:r>
        <w:t>s qui lui ont été communiquées.</w:t>
      </w:r>
    </w:p>
    <w:p w14:paraId="58099482" w14:textId="77777777" w:rsidR="0059201E" w:rsidRDefault="0059201E" w:rsidP="0059201E">
      <w:pPr>
        <w:pStyle w:val="SingleTxtG"/>
      </w:pPr>
      <w:r>
        <w:t>8.2</w:t>
      </w:r>
      <w:r>
        <w:tab/>
      </w:r>
      <w:r w:rsidRPr="00006AA7">
        <w:t>Le Comité note que l</w:t>
      </w:r>
      <w:r>
        <w:t>’</w:t>
      </w:r>
      <w:r w:rsidRPr="00006AA7">
        <w:t>État partie s</w:t>
      </w:r>
      <w:r>
        <w:t>’</w:t>
      </w:r>
      <w:r w:rsidRPr="00006AA7">
        <w:t xml:space="preserve">est contenté de faire référence à ses observations collectives et générales qui avaient été transmises antérieurement au Groupe de travail sur les disparitions forcées ou involontaires et au Comité en </w:t>
      </w:r>
      <w:r>
        <w:t>lien</w:t>
      </w:r>
      <w:r w:rsidRPr="00006AA7">
        <w:t xml:space="preserve"> avec </w:t>
      </w:r>
      <w:r>
        <w:t>de</w:t>
      </w:r>
      <w:r w:rsidRPr="00006AA7">
        <w:t xml:space="preserve"> </w:t>
      </w:r>
      <w:r>
        <w:t xml:space="preserve">précédentes </w:t>
      </w:r>
      <w:r w:rsidRPr="00006AA7">
        <w:t>communications, afin de confirmer sa position selon laquelle de telles affaires ont déjà été réglées dans le cadre de la mise en œuvre de la Charte pour la paix et la réconciliation nationale. Le Comité renvoie à sa jurisprudence et</w:t>
      </w:r>
      <w:r>
        <w:t xml:space="preserve"> à ses observations finales sur le quatrième rapport périodique de l’Algérie, et</w:t>
      </w:r>
      <w:r w:rsidRPr="00006AA7">
        <w:t xml:space="preserve"> rappelle que l</w:t>
      </w:r>
      <w:r>
        <w:t>’</w:t>
      </w:r>
      <w:r w:rsidRPr="00006AA7">
        <w:t>État partie ne saurait opposer les dispositions de ladite Charte à des personnes qui invoquent les dispositions du Pacte ou qui ont soumis ou pourraient soumettre des communications au Comité. Le Pacte exige de l</w:t>
      </w:r>
      <w:r>
        <w:t>’</w:t>
      </w:r>
      <w:r w:rsidRPr="00006AA7">
        <w:t>État partie qu</w:t>
      </w:r>
      <w:r>
        <w:t>’</w:t>
      </w:r>
      <w:r w:rsidRPr="00006AA7">
        <w:t>il se soucie du sort de chaque personne et qu</w:t>
      </w:r>
      <w:r>
        <w:t>’</w:t>
      </w:r>
      <w:r w:rsidRPr="00006AA7">
        <w:t>il traite chaque personne avec le respect de la dignité inhérente à la personne humaine. En l</w:t>
      </w:r>
      <w:r>
        <w:t>’</w:t>
      </w:r>
      <w:r w:rsidRPr="00006AA7">
        <w:t xml:space="preserve">absence des modifications </w:t>
      </w:r>
      <w:r w:rsidRPr="00006AA7">
        <w:lastRenderedPageBreak/>
        <w:t>recommandées par le Comité, l</w:t>
      </w:r>
      <w:r>
        <w:t>’</w:t>
      </w:r>
      <w:r w:rsidRPr="00006AA7">
        <w:t xml:space="preserve">ordonnance </w:t>
      </w:r>
      <w:r w:rsidR="00EC4DE6">
        <w:t>n</w:t>
      </w:r>
      <w:r w:rsidR="00EC4DE6" w:rsidRPr="00755DA0">
        <w:rPr>
          <w:vertAlign w:val="superscript"/>
        </w:rPr>
        <w:t>o</w:t>
      </w:r>
      <w:r w:rsidR="00EC4DE6">
        <w:t> </w:t>
      </w:r>
      <w:r w:rsidRPr="00006AA7">
        <w:t>06-01 contribue</w:t>
      </w:r>
      <w:r>
        <w:t>,</w:t>
      </w:r>
      <w:r w:rsidRPr="00006AA7">
        <w:t xml:space="preserve"> dans le cas présent</w:t>
      </w:r>
      <w:r>
        <w:t>,</w:t>
      </w:r>
      <w:r w:rsidRPr="00006AA7">
        <w:t xml:space="preserve"> à l</w:t>
      </w:r>
      <w:r>
        <w:t>’</w:t>
      </w:r>
      <w:r w:rsidRPr="00006AA7">
        <w:t>impunité et ne peut donc, en l</w:t>
      </w:r>
      <w:r>
        <w:t>’</w:t>
      </w:r>
      <w:r w:rsidRPr="00006AA7">
        <w:t>état, être jugée compatible avec les dispositions du Pacte</w:t>
      </w:r>
      <w:r w:rsidRPr="004E1C4D">
        <w:rPr>
          <w:rStyle w:val="Appelnotedebasdep"/>
        </w:rPr>
        <w:footnoteReference w:id="25"/>
      </w:r>
      <w:r w:rsidRPr="00006AA7">
        <w:t>.</w:t>
      </w:r>
    </w:p>
    <w:p w14:paraId="0293359E" w14:textId="77777777" w:rsidR="0059201E" w:rsidRDefault="0059201E" w:rsidP="0059201E">
      <w:pPr>
        <w:pStyle w:val="SingleTxtG"/>
      </w:pPr>
      <w:r>
        <w:t>8.3</w:t>
      </w:r>
      <w:r>
        <w:tab/>
      </w:r>
      <w:r w:rsidRPr="0090025C">
        <w:t>Le Comité note que l</w:t>
      </w:r>
      <w:r>
        <w:t>’</w:t>
      </w:r>
      <w:r w:rsidRPr="0090025C">
        <w:t>État partie n</w:t>
      </w:r>
      <w:r>
        <w:t>’</w:t>
      </w:r>
      <w:r w:rsidRPr="0090025C">
        <w:t>a pas répondu aux allégations de l</w:t>
      </w:r>
      <w:r>
        <w:t>’</w:t>
      </w:r>
      <w:r w:rsidRPr="0090025C">
        <w:t>auteur</w:t>
      </w:r>
      <w:r>
        <w:t>e</w:t>
      </w:r>
      <w:r w:rsidRPr="0090025C">
        <w:t xml:space="preserve"> sur le fond et rappelle sa jurisprudence selon laquelle la règle relative à la charge de la preuve ne doit pas incomber uniquement à l</w:t>
      </w:r>
      <w:r>
        <w:t>’</w:t>
      </w:r>
      <w:r w:rsidRPr="0090025C">
        <w:t>auteur d</w:t>
      </w:r>
      <w:r>
        <w:t>’</w:t>
      </w:r>
      <w:r w:rsidRPr="0090025C">
        <w:t>une communication, d</w:t>
      </w:r>
      <w:r>
        <w:t>’</w:t>
      </w:r>
      <w:r w:rsidRPr="0090025C">
        <w:t>autant plus que celui-ci et l</w:t>
      </w:r>
      <w:r>
        <w:t>’</w:t>
      </w:r>
      <w:r w:rsidRPr="0090025C">
        <w:t>État partie n</w:t>
      </w:r>
      <w:r>
        <w:t>’</w:t>
      </w:r>
      <w:r w:rsidRPr="0090025C">
        <w:t>ont pas toujours un accès égal aux éléments de preuve et que</w:t>
      </w:r>
      <w:r>
        <w:t>,</w:t>
      </w:r>
      <w:r w:rsidRPr="0090025C">
        <w:t xml:space="preserve"> souvent</w:t>
      </w:r>
      <w:r>
        <w:t>,</w:t>
      </w:r>
      <w:r w:rsidRPr="0090025C">
        <w:t xml:space="preserve"> seul l</w:t>
      </w:r>
      <w:r>
        <w:t>’</w:t>
      </w:r>
      <w:r w:rsidRPr="0090025C">
        <w:t>État partie dispose des renseignements nécessaires</w:t>
      </w:r>
      <w:r w:rsidRPr="004E1C4D">
        <w:rPr>
          <w:rStyle w:val="Appelnotedebasdep"/>
        </w:rPr>
        <w:footnoteReference w:id="26"/>
      </w:r>
      <w:r>
        <w:t>. Conformément au paragraphe</w:t>
      </w:r>
      <w:r w:rsidR="00EC4DE6">
        <w:t> </w:t>
      </w:r>
      <w:r>
        <w:t>2 de l’article</w:t>
      </w:r>
      <w:r w:rsidR="00EC4DE6">
        <w:t> </w:t>
      </w:r>
      <w:r w:rsidRPr="0090025C">
        <w:t>4 du Protocole facultatif, l</w:t>
      </w:r>
      <w:r>
        <w:t>’</w:t>
      </w:r>
      <w:r w:rsidRPr="0090025C">
        <w:t>État partie est tenu d</w:t>
      </w:r>
      <w:r>
        <w:t>’</w:t>
      </w:r>
      <w:r w:rsidRPr="0090025C">
        <w:t>enquêter de bonne foi sur toutes les allégations de violations du Pacte portées contre lui et ses représentants, et de transmettre au Comité les renseignements qu</w:t>
      </w:r>
      <w:r>
        <w:t>’</w:t>
      </w:r>
      <w:r w:rsidRPr="0090025C">
        <w:t>il détient</w:t>
      </w:r>
      <w:r w:rsidRPr="004E1C4D">
        <w:rPr>
          <w:rStyle w:val="Appelnotedebasdep"/>
        </w:rPr>
        <w:footnoteReference w:id="27"/>
      </w:r>
      <w:r w:rsidRPr="0090025C">
        <w:t>. En l</w:t>
      </w:r>
      <w:r>
        <w:t>’</w:t>
      </w:r>
      <w:r w:rsidRPr="0090025C">
        <w:t>absence d</w:t>
      </w:r>
      <w:r>
        <w:t>’</w:t>
      </w:r>
      <w:r w:rsidRPr="0090025C">
        <w:t>explications de la part de l</w:t>
      </w:r>
      <w:r>
        <w:t>’</w:t>
      </w:r>
      <w:r w:rsidRPr="0090025C">
        <w:t>État partie à ce sujet, il convient d</w:t>
      </w:r>
      <w:r>
        <w:t>’</w:t>
      </w:r>
      <w:r w:rsidRPr="0090025C">
        <w:t>accorder tout le crédit voulu aux allégations de l</w:t>
      </w:r>
      <w:r>
        <w:t>’</w:t>
      </w:r>
      <w:r w:rsidRPr="0090025C">
        <w:t>auteur</w:t>
      </w:r>
      <w:r>
        <w:t>e,</w:t>
      </w:r>
      <w:r w:rsidRPr="0090025C">
        <w:t xml:space="preserve"> dès lors que ces dernières sont suffisamment étayées.</w:t>
      </w:r>
    </w:p>
    <w:p w14:paraId="647CA193" w14:textId="77777777" w:rsidR="0059201E" w:rsidRDefault="0059201E" w:rsidP="0059201E">
      <w:pPr>
        <w:pStyle w:val="SingleTxtG"/>
      </w:pPr>
      <w:r>
        <w:t>8.4</w:t>
      </w:r>
      <w:r>
        <w:tab/>
      </w:r>
      <w:r w:rsidRPr="0034335C">
        <w:t>Le Comité rappelle que, si l</w:t>
      </w:r>
      <w:r>
        <w:t>’</w:t>
      </w:r>
      <w:r w:rsidRPr="0034335C">
        <w:t>expression « disparition forcée » n</w:t>
      </w:r>
      <w:r>
        <w:t>’</w:t>
      </w:r>
      <w:r w:rsidRPr="0034335C">
        <w:t>apparaît expressément dans aucun article du Pacte, la disparition forcée constitue un ensemble unique et intégré d</w:t>
      </w:r>
      <w:r>
        <w:t>’</w:t>
      </w:r>
      <w:r w:rsidRPr="0034335C">
        <w:t>actes représentant une violation continue de plusieurs droits consacrés par cet instrument</w:t>
      </w:r>
      <w:r>
        <w:t xml:space="preserve">, tels que le </w:t>
      </w:r>
      <w:r w:rsidRPr="0030235C">
        <w:t xml:space="preserve">droit à la vie, </w:t>
      </w:r>
      <w:r>
        <w:t>le</w:t>
      </w:r>
      <w:r w:rsidRPr="0030235C">
        <w:t xml:space="preserve"> droit de ne pas être soumis à la torture et autres peines ou traitements</w:t>
      </w:r>
      <w:r>
        <w:t xml:space="preserve"> cruels,</w:t>
      </w:r>
      <w:r w:rsidRPr="0030235C">
        <w:t xml:space="preserve"> inhumains ou dégradants, et </w:t>
      </w:r>
      <w:r>
        <w:t>le</w:t>
      </w:r>
      <w:r w:rsidRPr="0030235C">
        <w:t xml:space="preserve"> droit à la liberté et à la sécurité de la personne</w:t>
      </w:r>
      <w:r w:rsidRPr="004E1C4D">
        <w:rPr>
          <w:rStyle w:val="Appelnotedebasdep"/>
        </w:rPr>
        <w:footnoteReference w:id="28"/>
      </w:r>
      <w:r w:rsidRPr="0034335C">
        <w:t>.</w:t>
      </w:r>
    </w:p>
    <w:p w14:paraId="1C4F6092" w14:textId="77777777" w:rsidR="0059201E" w:rsidRDefault="0059201E" w:rsidP="0059201E">
      <w:pPr>
        <w:pStyle w:val="SingleTxtG"/>
      </w:pPr>
      <w:r>
        <w:t>8.5</w:t>
      </w:r>
      <w:r>
        <w:tab/>
        <w:t>Le Comité note qu’</w:t>
      </w:r>
      <w:r w:rsidRPr="004005F3">
        <w:t>Abdelhakim Houari</w:t>
      </w:r>
      <w:r w:rsidRPr="00BA7352">
        <w:t xml:space="preserve"> a été vu </w:t>
      </w:r>
      <w:r>
        <w:t xml:space="preserve">pour la dernière fois à une date non précisée entre juin 1996 et mai 1997, par trois de ses amis, lorsqu’il était en détention </w:t>
      </w:r>
      <w:r w:rsidRPr="00986BE8">
        <w:t xml:space="preserve">à la caserne militaire de Dar El </w:t>
      </w:r>
      <w:proofErr w:type="spellStart"/>
      <w:r w:rsidRPr="00986BE8">
        <w:t>Beïda</w:t>
      </w:r>
      <w:proofErr w:type="spellEnd"/>
      <w:r w:rsidRPr="00BA7352">
        <w:t>. Il prend note du fait que l</w:t>
      </w:r>
      <w:r>
        <w:t>’</w:t>
      </w:r>
      <w:r w:rsidRPr="00BA7352">
        <w:t>État partie n</w:t>
      </w:r>
      <w:r>
        <w:t>’</w:t>
      </w:r>
      <w:r w:rsidRPr="00BA7352">
        <w:t>a fourni aucun élément permettant de dé</w:t>
      </w:r>
      <w:r>
        <w:t>terminer ce qu’il est advenu d’</w:t>
      </w:r>
      <w:r w:rsidRPr="004005F3">
        <w:t>Abdelhakim Houari</w:t>
      </w:r>
      <w:r w:rsidRPr="00BA7352">
        <w:t xml:space="preserve"> et n</w:t>
      </w:r>
      <w:r>
        <w:t>’</w:t>
      </w:r>
      <w:r w:rsidRPr="00BA7352">
        <w:t xml:space="preserve">a même jamais confirmé sa détention. </w:t>
      </w:r>
      <w:r>
        <w:t>Le Comité</w:t>
      </w:r>
      <w:r w:rsidRPr="00BA7352">
        <w:t xml:space="preserve"> rappelle que, dans le cas des disparitions forcées, le fait de priver une personne de liberté</w:t>
      </w:r>
      <w:r>
        <w:t>,</w:t>
      </w:r>
      <w:r w:rsidRPr="00BA7352">
        <w:t xml:space="preserve"> puis de refuser de reconnaître cette privation de liberté ou de dissimuler le sort réservé à la personne disparue revient à soustraire cette personne à la protection de la loi et fait peser sur sa vie un risque </w:t>
      </w:r>
      <w:r>
        <w:t>grave et constant</w:t>
      </w:r>
      <w:r w:rsidRPr="00BA7352">
        <w:t>, dont l</w:t>
      </w:r>
      <w:r>
        <w:t>’</w:t>
      </w:r>
      <w:r w:rsidRPr="00BA7352">
        <w:t>État est responsable</w:t>
      </w:r>
      <w:r w:rsidRPr="004E1C4D">
        <w:rPr>
          <w:rStyle w:val="Appelnotedebasdep"/>
        </w:rPr>
        <w:footnoteReference w:id="29"/>
      </w:r>
      <w:r w:rsidRPr="00BA7352">
        <w:t>. En l</w:t>
      </w:r>
      <w:r>
        <w:t>’</w:t>
      </w:r>
      <w:r w:rsidRPr="00BA7352">
        <w:t>espèce, le Comité constate que l</w:t>
      </w:r>
      <w:r>
        <w:t>’</w:t>
      </w:r>
      <w:r w:rsidRPr="00BA7352">
        <w:t>État partie n</w:t>
      </w:r>
      <w:r>
        <w:t>’</w:t>
      </w:r>
      <w:r w:rsidRPr="00BA7352">
        <w:t>a fourni aucun élément susceptible de démontrer qu</w:t>
      </w:r>
      <w:r>
        <w:t>’</w:t>
      </w:r>
      <w:r w:rsidRPr="00BA7352">
        <w:t>il s</w:t>
      </w:r>
      <w:r>
        <w:t>’</w:t>
      </w:r>
      <w:r w:rsidRPr="00BA7352">
        <w:t>est acquitté de son o</w:t>
      </w:r>
      <w:r>
        <w:t>bligation de protéger la vie d’</w:t>
      </w:r>
      <w:r w:rsidRPr="00986BE8">
        <w:t>Abdelhakim Houari</w:t>
      </w:r>
      <w:r w:rsidRPr="00BA7352">
        <w:t>. En conséquence, il conclut que l</w:t>
      </w:r>
      <w:r>
        <w:t>’</w:t>
      </w:r>
      <w:r w:rsidRPr="00BA7352">
        <w:t>État partie a failli à son o</w:t>
      </w:r>
      <w:r>
        <w:t>bligation de protéger la vie d’</w:t>
      </w:r>
      <w:r w:rsidRPr="00986BE8">
        <w:t>Abdelhakim Houari</w:t>
      </w:r>
      <w:r>
        <w:t>, en violation du paragraphe</w:t>
      </w:r>
      <w:r w:rsidR="00EC4DE6">
        <w:t> </w:t>
      </w:r>
      <w:r>
        <w:t>1 de l’article</w:t>
      </w:r>
      <w:r w:rsidR="00EC4DE6">
        <w:t> </w:t>
      </w:r>
      <w:r w:rsidRPr="00BA7352">
        <w:t>6 du Pacte</w:t>
      </w:r>
      <w:r>
        <w:t xml:space="preserve"> à son égard</w:t>
      </w:r>
      <w:r w:rsidRPr="00BA7352">
        <w:t>.</w:t>
      </w:r>
    </w:p>
    <w:p w14:paraId="2C387531" w14:textId="77777777" w:rsidR="0059201E" w:rsidRDefault="0059201E" w:rsidP="0059201E">
      <w:pPr>
        <w:pStyle w:val="SingleTxtG"/>
      </w:pPr>
      <w:r>
        <w:t>8.6</w:t>
      </w:r>
      <w:r>
        <w:tab/>
      </w:r>
      <w:r w:rsidRPr="0032298B">
        <w:t>Le Comité reconnaît le degré de souffrance qu</w:t>
      </w:r>
      <w:r>
        <w:t>’</w:t>
      </w:r>
      <w:r w:rsidRPr="0032298B">
        <w:t>implique une détention sans contact avec le monde extérieur pendant une durée indéfinie. Il rappelle son observation générale n</w:t>
      </w:r>
      <w:r w:rsidRPr="0032298B">
        <w:rPr>
          <w:vertAlign w:val="superscript"/>
        </w:rPr>
        <w:t>o</w:t>
      </w:r>
      <w:r w:rsidRPr="0032298B">
        <w:t> 20 (1992) sur l</w:t>
      </w:r>
      <w:r>
        <w:t>’</w:t>
      </w:r>
      <w:r w:rsidRPr="0032298B">
        <w:t>interdiction de la torture et des peines ou traitements cruels, inhumains ou dégradants, dans laquelle il recommande aux États parties de prendre des dispositions pour interdire la détention au</w:t>
      </w:r>
      <w:r>
        <w:t xml:space="preserve"> secret. Il note en l’espèce qu’après avoir eu des nouvelles de la part de trois amis de son fils qui l’ont vu </w:t>
      </w:r>
      <w:r w:rsidRPr="00986BE8">
        <w:t xml:space="preserve">à la caserne militaire de Dar El </w:t>
      </w:r>
      <w:proofErr w:type="spellStart"/>
      <w:r w:rsidRPr="00986BE8">
        <w:t>Beïda</w:t>
      </w:r>
      <w:proofErr w:type="spellEnd"/>
      <w:r>
        <w:t xml:space="preserve">, </w:t>
      </w:r>
      <w:r w:rsidRPr="0032298B">
        <w:t>l</w:t>
      </w:r>
      <w:r>
        <w:t>’</w:t>
      </w:r>
      <w:r w:rsidRPr="0032298B">
        <w:t>auteur</w:t>
      </w:r>
      <w:r>
        <w:t>e</w:t>
      </w:r>
      <w:r w:rsidRPr="0032298B">
        <w:t xml:space="preserve"> n</w:t>
      </w:r>
      <w:r>
        <w:t>’</w:t>
      </w:r>
      <w:r w:rsidRPr="0032298B">
        <w:t xml:space="preserve">a </w:t>
      </w:r>
      <w:r>
        <w:t xml:space="preserve">plus </w:t>
      </w:r>
      <w:r w:rsidRPr="0032298B">
        <w:t xml:space="preserve">jamais eu la moindre information sur </w:t>
      </w:r>
      <w:r>
        <w:t>son</w:t>
      </w:r>
      <w:r w:rsidRPr="0032298B">
        <w:t xml:space="preserve"> sort ou lieu de détention</w:t>
      </w:r>
      <w:r>
        <w:t>,</w:t>
      </w:r>
      <w:r w:rsidRPr="0032298B">
        <w:t xml:space="preserve"> </w:t>
      </w:r>
      <w:r>
        <w:t>malgré diverses tentatives de visites à ce lieu de détention et malgré plusieurs requêtes successives présentées aux autorités étatiques. Le Comité estime donc qu’</w:t>
      </w:r>
      <w:r w:rsidRPr="00986BE8">
        <w:t>Abdelhakim Houari</w:t>
      </w:r>
      <w:r>
        <w:t xml:space="preserve">, disparu le </w:t>
      </w:r>
      <w:r w:rsidRPr="00986BE8">
        <w:t>13</w:t>
      </w:r>
      <w:r w:rsidR="001127A2">
        <w:t> </w:t>
      </w:r>
      <w:r w:rsidRPr="00986BE8">
        <w:t>novembre 1995</w:t>
      </w:r>
      <w:r w:rsidRPr="0032298B">
        <w:t>, serait potentiellement toujours détenu au secret par les autorités algériennes. En l</w:t>
      </w:r>
      <w:r>
        <w:t>’</w:t>
      </w:r>
      <w:r w:rsidRPr="0032298B">
        <w:t>absence de toute explication de la part de l</w:t>
      </w:r>
      <w:r>
        <w:t>’</w:t>
      </w:r>
      <w:r w:rsidRPr="0032298B">
        <w:t xml:space="preserve">État partie, le Comité </w:t>
      </w:r>
      <w:r w:rsidRPr="0032298B">
        <w:lastRenderedPageBreak/>
        <w:t>considère que cette disparition const</w:t>
      </w:r>
      <w:r>
        <w:t>itue une violation de l’article</w:t>
      </w:r>
      <w:r w:rsidR="001127A2">
        <w:t> </w:t>
      </w:r>
      <w:r w:rsidRPr="0032298B">
        <w:t>7 du P</w:t>
      </w:r>
      <w:r>
        <w:t>acte à l’égard d’</w:t>
      </w:r>
      <w:r w:rsidRPr="00986BE8">
        <w:t>Abdelhakim Houari</w:t>
      </w:r>
      <w:r w:rsidRPr="004E1C4D">
        <w:rPr>
          <w:rStyle w:val="Appelnotedebasdep"/>
        </w:rPr>
        <w:footnoteReference w:id="30"/>
      </w:r>
      <w:r w:rsidRPr="0032298B">
        <w:t>.</w:t>
      </w:r>
    </w:p>
    <w:p w14:paraId="0CF49C77" w14:textId="77777777" w:rsidR="0059201E" w:rsidRDefault="0059201E" w:rsidP="0059201E">
      <w:pPr>
        <w:pStyle w:val="SingleTxtG"/>
      </w:pPr>
      <w:r>
        <w:t>8.7</w:t>
      </w:r>
      <w:r>
        <w:tab/>
      </w:r>
      <w:r w:rsidRPr="0032298B">
        <w:t>Au vu de ce qui précède, le Comité n</w:t>
      </w:r>
      <w:r>
        <w:t>’</w:t>
      </w:r>
      <w:r w:rsidRPr="0032298B">
        <w:t>examinera pas séparément les griefs tirés de la violation de l</w:t>
      </w:r>
      <w:r>
        <w:t>’</w:t>
      </w:r>
      <w:r w:rsidRPr="0032298B">
        <w:t>article</w:t>
      </w:r>
      <w:r w:rsidR="001127A2">
        <w:t> </w:t>
      </w:r>
      <w:r w:rsidRPr="0032298B">
        <w:t>10 du Pacte</w:t>
      </w:r>
      <w:r w:rsidRPr="004E1C4D">
        <w:rPr>
          <w:rStyle w:val="Appelnotedebasdep"/>
        </w:rPr>
        <w:footnoteReference w:id="31"/>
      </w:r>
      <w:r w:rsidRPr="0032298B">
        <w:t>.</w:t>
      </w:r>
    </w:p>
    <w:p w14:paraId="1F233588" w14:textId="77777777" w:rsidR="0059201E" w:rsidRDefault="0059201E" w:rsidP="0059201E">
      <w:pPr>
        <w:pStyle w:val="SingleTxtG"/>
      </w:pPr>
      <w:r>
        <w:t>8.8</w:t>
      </w:r>
      <w:r>
        <w:tab/>
      </w:r>
      <w:r w:rsidRPr="005463A6">
        <w:t>Le Comité prend acte également de l</w:t>
      </w:r>
      <w:r>
        <w:t>’</w:t>
      </w:r>
      <w:r w:rsidRPr="005463A6">
        <w:t>angoisse et de la détresse que l</w:t>
      </w:r>
      <w:r>
        <w:t>a disparition d’</w:t>
      </w:r>
      <w:r w:rsidRPr="003040EA">
        <w:t>Abdelhakim Houari</w:t>
      </w:r>
      <w:r>
        <w:t xml:space="preserve">, depuis plus de vingt-quatre ans, </w:t>
      </w:r>
      <w:r w:rsidRPr="005463A6">
        <w:t>a causé</w:t>
      </w:r>
      <w:r>
        <w:t>es</w:t>
      </w:r>
      <w:r w:rsidRPr="005463A6">
        <w:t xml:space="preserve"> à l</w:t>
      </w:r>
      <w:r>
        <w:t>’</w:t>
      </w:r>
      <w:r w:rsidRPr="005463A6">
        <w:t>auteur</w:t>
      </w:r>
      <w:r>
        <w:t>e et à sa famille</w:t>
      </w:r>
      <w:r w:rsidRPr="005463A6">
        <w:t>. Il considère que les faits dont il est saisi font apparaître une violation de l</w:t>
      </w:r>
      <w:r>
        <w:t>’</w:t>
      </w:r>
      <w:r w:rsidRPr="005463A6">
        <w:t>article</w:t>
      </w:r>
      <w:r w:rsidR="001127A2">
        <w:t> </w:t>
      </w:r>
      <w:r w:rsidRPr="005463A6">
        <w:t xml:space="preserve">7 lu seul et conjointement avec </w:t>
      </w:r>
      <w:r>
        <w:t xml:space="preserve">le paragraphe 3 de </w:t>
      </w:r>
      <w:r w:rsidRPr="005463A6">
        <w:t>l</w:t>
      </w:r>
      <w:r>
        <w:t>’</w:t>
      </w:r>
      <w:r w:rsidRPr="005463A6">
        <w:t>article</w:t>
      </w:r>
      <w:r w:rsidR="001127A2">
        <w:t> </w:t>
      </w:r>
      <w:r w:rsidRPr="005463A6">
        <w:t>2 du Pacte à l</w:t>
      </w:r>
      <w:r>
        <w:t>’</w:t>
      </w:r>
      <w:r w:rsidRPr="005463A6">
        <w:t>égard de l</w:t>
      </w:r>
      <w:r>
        <w:t>’</w:t>
      </w:r>
      <w:r w:rsidRPr="005463A6">
        <w:t>auteur</w:t>
      </w:r>
      <w:r>
        <w:t>e</w:t>
      </w:r>
      <w:r w:rsidRPr="004E1C4D">
        <w:rPr>
          <w:rStyle w:val="Appelnotedebasdep"/>
        </w:rPr>
        <w:footnoteReference w:id="32"/>
      </w:r>
      <w:r w:rsidRPr="005463A6">
        <w:t>.</w:t>
      </w:r>
    </w:p>
    <w:p w14:paraId="24C97401" w14:textId="77777777" w:rsidR="0059201E" w:rsidRDefault="0059201E" w:rsidP="0059201E">
      <w:pPr>
        <w:pStyle w:val="SingleTxtG"/>
      </w:pPr>
      <w:r>
        <w:t>8</w:t>
      </w:r>
      <w:r w:rsidRPr="00410779">
        <w:t>.9</w:t>
      </w:r>
      <w:r w:rsidRPr="00410779">
        <w:tab/>
      </w:r>
      <w:bookmarkStart w:id="4" w:name="_Hlk27402397"/>
      <w:r w:rsidRPr="00410779">
        <w:t>En ce qui concerne les g</w:t>
      </w:r>
      <w:r>
        <w:t>riefs de violation de l’article</w:t>
      </w:r>
      <w:r w:rsidR="001127A2">
        <w:t> </w:t>
      </w:r>
      <w:r w:rsidRPr="00410779">
        <w:t>9 du Pacte, le Comité prend note des allégations de l</w:t>
      </w:r>
      <w:r>
        <w:t>’</w:t>
      </w:r>
      <w:r w:rsidRPr="00410779">
        <w:t>auteur</w:t>
      </w:r>
      <w:r>
        <w:t>e</w:t>
      </w:r>
      <w:r w:rsidRPr="00410779">
        <w:t xml:space="preserve"> selon lesquelles </w:t>
      </w:r>
      <w:bookmarkEnd w:id="4"/>
      <w:r w:rsidRPr="003040EA">
        <w:t>Abdelhakim Houari</w:t>
      </w:r>
      <w:r w:rsidRPr="00410779">
        <w:t xml:space="preserve"> a été arrêté arbitrairement, sans mandat, et n</w:t>
      </w:r>
      <w:r>
        <w:t>’</w:t>
      </w:r>
      <w:r w:rsidRPr="00410779">
        <w:t xml:space="preserve">a été </w:t>
      </w:r>
      <w:r>
        <w:t xml:space="preserve">ni </w:t>
      </w:r>
      <w:r w:rsidRPr="00410779">
        <w:t>inculpé ni présenté devant une autorité judiciaire auprès de laquelle il aurait pu contester la légalité de sa détention. L</w:t>
      </w:r>
      <w:r>
        <w:t>’</w:t>
      </w:r>
      <w:r w:rsidRPr="00410779">
        <w:t>État partie n</w:t>
      </w:r>
      <w:r>
        <w:t>’</w:t>
      </w:r>
      <w:r w:rsidRPr="00410779">
        <w:t>ayant communiqué aucune information à ce sujet, le Comité considère qu</w:t>
      </w:r>
      <w:r>
        <w:t>’</w:t>
      </w:r>
      <w:r w:rsidRPr="00410779">
        <w:t>il convient d</w:t>
      </w:r>
      <w:r>
        <w:t>’</w:t>
      </w:r>
      <w:r w:rsidRPr="00410779">
        <w:t>accorder le crédit voulu aux allégations de l</w:t>
      </w:r>
      <w:r>
        <w:t>’</w:t>
      </w:r>
      <w:r w:rsidRPr="00410779">
        <w:t>auteur</w:t>
      </w:r>
      <w:r>
        <w:t>e</w:t>
      </w:r>
      <w:r w:rsidRPr="004E1C4D">
        <w:rPr>
          <w:rStyle w:val="Appelnotedebasdep"/>
        </w:rPr>
        <w:footnoteReference w:id="33"/>
      </w:r>
      <w:r>
        <w:t xml:space="preserve"> et</w:t>
      </w:r>
      <w:r w:rsidRPr="00410779">
        <w:t xml:space="preserve"> conclut </w:t>
      </w:r>
      <w:bookmarkStart w:id="5" w:name="_Hlk27403641"/>
      <w:r w:rsidRPr="00410779">
        <w:t>do</w:t>
      </w:r>
      <w:r>
        <w:t>nc à une violation de l’article</w:t>
      </w:r>
      <w:r w:rsidR="001127A2">
        <w:t> </w:t>
      </w:r>
      <w:r w:rsidRPr="00410779">
        <w:t>9 du P</w:t>
      </w:r>
      <w:r>
        <w:t>acte à l’égard d</w:t>
      </w:r>
      <w:bookmarkEnd w:id="5"/>
      <w:r>
        <w:t>’</w:t>
      </w:r>
      <w:r w:rsidRPr="003040EA">
        <w:t>Abdelhakim Houari</w:t>
      </w:r>
      <w:r w:rsidRPr="004E1C4D">
        <w:rPr>
          <w:rStyle w:val="Appelnotedebasdep"/>
        </w:rPr>
        <w:footnoteReference w:id="34"/>
      </w:r>
      <w:r w:rsidRPr="00410779">
        <w:t>.</w:t>
      </w:r>
    </w:p>
    <w:p w14:paraId="5F741CC8" w14:textId="77777777" w:rsidR="0059201E" w:rsidRDefault="0059201E" w:rsidP="0059201E">
      <w:pPr>
        <w:pStyle w:val="SingleTxtG"/>
      </w:pPr>
      <w:r>
        <w:t>8.10</w:t>
      </w:r>
      <w:r>
        <w:tab/>
        <w:t>L’auteure invoque également l’article</w:t>
      </w:r>
      <w:r w:rsidR="00157963">
        <w:t> </w:t>
      </w:r>
      <w:r>
        <w:t>14 du Pacte pour dénoncer le manque d’accès aux autorités judiciaires de l’État partie.</w:t>
      </w:r>
      <w:r w:rsidRPr="00386538">
        <w:rPr>
          <w:lang w:val="fr-FR"/>
        </w:rPr>
        <w:t xml:space="preserve"> </w:t>
      </w:r>
      <w:r>
        <w:rPr>
          <w:lang w:val="fr-FR"/>
        </w:rPr>
        <w:t xml:space="preserve">Le Comité rappelle son observation générale </w:t>
      </w:r>
      <w:r w:rsidR="005F2248">
        <w:rPr>
          <w:lang w:val="fr-FR"/>
        </w:rPr>
        <w:t>n</w:t>
      </w:r>
      <w:r w:rsidR="005F2248" w:rsidRPr="00755DA0">
        <w:rPr>
          <w:vertAlign w:val="superscript"/>
          <w:lang w:val="fr-FR"/>
        </w:rPr>
        <w:t>o</w:t>
      </w:r>
      <w:r w:rsidR="005F2248">
        <w:rPr>
          <w:lang w:val="fr-FR"/>
        </w:rPr>
        <w:t> </w:t>
      </w:r>
      <w:r>
        <w:rPr>
          <w:lang w:val="fr-FR"/>
        </w:rPr>
        <w:t>32, dans laquelle il indique notamment qu’u</w:t>
      </w:r>
      <w:r w:rsidRPr="001D4F61">
        <w:rPr>
          <w:lang w:val="fr-FR"/>
        </w:rPr>
        <w:t>ne situation dans laquelle les tentatives d</w:t>
      </w:r>
      <w:r>
        <w:rPr>
          <w:lang w:val="fr-FR"/>
        </w:rPr>
        <w:t>’</w:t>
      </w:r>
      <w:r w:rsidRPr="001D4F61">
        <w:rPr>
          <w:lang w:val="fr-FR"/>
        </w:rPr>
        <w:t xml:space="preserve">une personne pour saisir les tribunaux ou les cours de justice compétents sont systématiquement entravées va </w:t>
      </w:r>
      <w:r w:rsidRPr="001D4F61">
        <w:rPr>
          <w:i/>
          <w:lang w:val="fr-FR"/>
        </w:rPr>
        <w:t>de</w:t>
      </w:r>
      <w:r w:rsidR="001127A2">
        <w:rPr>
          <w:i/>
          <w:lang w:val="fr-FR"/>
        </w:rPr>
        <w:t> </w:t>
      </w:r>
      <w:r w:rsidRPr="001D4F61">
        <w:rPr>
          <w:i/>
          <w:lang w:val="fr-FR"/>
        </w:rPr>
        <w:t>jure</w:t>
      </w:r>
      <w:r w:rsidRPr="001D4F61">
        <w:rPr>
          <w:lang w:val="fr-FR"/>
        </w:rPr>
        <w:t xml:space="preserve"> ou </w:t>
      </w:r>
      <w:r w:rsidRPr="00835034">
        <w:rPr>
          <w:iCs/>
          <w:lang w:val="fr-FR"/>
        </w:rPr>
        <w:t>de facto</w:t>
      </w:r>
      <w:r w:rsidRPr="001D4F61">
        <w:rPr>
          <w:lang w:val="fr-FR"/>
        </w:rPr>
        <w:t xml:space="preserve"> à l</w:t>
      </w:r>
      <w:r>
        <w:rPr>
          <w:lang w:val="fr-FR"/>
        </w:rPr>
        <w:t>’</w:t>
      </w:r>
      <w:r w:rsidRPr="001D4F61">
        <w:rPr>
          <w:lang w:val="fr-FR"/>
        </w:rPr>
        <w:t>encontre de la garantie énoncée dans la première phrase du paragraphe</w:t>
      </w:r>
      <w:r w:rsidR="001127A2">
        <w:rPr>
          <w:lang w:val="fr-FR"/>
        </w:rPr>
        <w:t> </w:t>
      </w:r>
      <w:r w:rsidRPr="001D4F61">
        <w:rPr>
          <w:lang w:val="fr-FR"/>
        </w:rPr>
        <w:t>1 de l</w:t>
      </w:r>
      <w:r>
        <w:rPr>
          <w:lang w:val="fr-FR"/>
        </w:rPr>
        <w:t>’</w:t>
      </w:r>
      <w:r w:rsidRPr="001D4F61">
        <w:rPr>
          <w:lang w:val="fr-FR"/>
        </w:rPr>
        <w:t>article</w:t>
      </w:r>
      <w:r w:rsidR="001127A2">
        <w:rPr>
          <w:lang w:val="fr-FR"/>
        </w:rPr>
        <w:t> </w:t>
      </w:r>
      <w:r w:rsidRPr="001D4F61">
        <w:rPr>
          <w:lang w:val="fr-FR"/>
        </w:rPr>
        <w:t>14</w:t>
      </w:r>
      <w:r>
        <w:rPr>
          <w:lang w:val="fr-FR"/>
        </w:rPr>
        <w:t xml:space="preserve"> du Pacte. En l’espèce, le Comité note que</w:t>
      </w:r>
      <w:r w:rsidRPr="00386538">
        <w:rPr>
          <w:lang w:val="fr-FR"/>
        </w:rPr>
        <w:t xml:space="preserve"> toutes les démarches </w:t>
      </w:r>
      <w:r>
        <w:rPr>
          <w:lang w:val="fr-FR"/>
        </w:rPr>
        <w:t xml:space="preserve">de l’auteure </w:t>
      </w:r>
      <w:r w:rsidRPr="00386538">
        <w:rPr>
          <w:lang w:val="fr-FR"/>
        </w:rPr>
        <w:t>engagées auprès des autorités judiciaires sont demeurées infructueuses</w:t>
      </w:r>
      <w:r>
        <w:rPr>
          <w:lang w:val="fr-FR"/>
        </w:rPr>
        <w:t>. Il renvoie</w:t>
      </w:r>
      <w:r w:rsidRPr="00D769CA">
        <w:rPr>
          <w:lang w:val="fr-FR"/>
        </w:rPr>
        <w:t xml:space="preserve"> à ses observations finales sur le quatrième rapport périodique de l</w:t>
      </w:r>
      <w:r>
        <w:rPr>
          <w:lang w:val="fr-FR"/>
        </w:rPr>
        <w:t>’</w:t>
      </w:r>
      <w:r w:rsidRPr="00D769CA">
        <w:rPr>
          <w:lang w:val="fr-FR"/>
        </w:rPr>
        <w:t>Algérie</w:t>
      </w:r>
      <w:r>
        <w:rPr>
          <w:lang w:val="fr-FR"/>
        </w:rPr>
        <w:t>, dans lesquelles il exprimait ses préoccupations quant aux articles</w:t>
      </w:r>
      <w:r w:rsidR="001127A2">
        <w:rPr>
          <w:lang w:val="fr-FR"/>
        </w:rPr>
        <w:t> </w:t>
      </w:r>
      <w:r>
        <w:rPr>
          <w:lang w:val="fr-FR"/>
        </w:rPr>
        <w:t xml:space="preserve">45 et 46 de </w:t>
      </w:r>
      <w:r w:rsidRPr="00006AA7">
        <w:t>l</w:t>
      </w:r>
      <w:r>
        <w:t>’</w:t>
      </w:r>
      <w:r w:rsidRPr="00006AA7">
        <w:t xml:space="preserve">ordonnance </w:t>
      </w:r>
      <w:r w:rsidR="001127A2">
        <w:t>n</w:t>
      </w:r>
      <w:r w:rsidR="001127A2" w:rsidRPr="00755DA0">
        <w:rPr>
          <w:vertAlign w:val="superscript"/>
        </w:rPr>
        <w:t>o</w:t>
      </w:r>
      <w:r w:rsidR="001127A2">
        <w:t> </w:t>
      </w:r>
      <w:r w:rsidRPr="00006AA7">
        <w:t>06-01</w:t>
      </w:r>
      <w:r>
        <w:t>, qui portent atteinte au droit de toute personne d’avoir accès à un recours effectif contre des violations des droits de l’homme</w:t>
      </w:r>
      <w:r w:rsidRPr="004E1C4D">
        <w:rPr>
          <w:rStyle w:val="Appelnotedebasdep"/>
        </w:rPr>
        <w:footnoteReference w:id="35"/>
      </w:r>
      <w:r>
        <w:t>. Ce droit inclut également le droit d’accès à un tribunal, comme prévu au paragraphe 1 de l’article</w:t>
      </w:r>
      <w:r w:rsidR="001127A2">
        <w:t> </w:t>
      </w:r>
      <w:r>
        <w:t>14 du Pacte. En</w:t>
      </w:r>
      <w:r w:rsidR="001127A2">
        <w:t> </w:t>
      </w:r>
      <w:r>
        <w:t>conséquence, le Comité</w:t>
      </w:r>
      <w:r w:rsidRPr="00007058">
        <w:t xml:space="preserve"> conclut que l</w:t>
      </w:r>
      <w:r>
        <w:t>’</w:t>
      </w:r>
      <w:r w:rsidRPr="00007058">
        <w:t>État par</w:t>
      </w:r>
      <w:r>
        <w:t>tie a failli à son obligation d’assurer à l’auteure l’accès à un tribunal</w:t>
      </w:r>
      <w:r w:rsidRPr="00007058">
        <w:t>, en violatio</w:t>
      </w:r>
      <w:r>
        <w:t>n du paragraphe</w:t>
      </w:r>
      <w:r w:rsidR="001127A2">
        <w:t> </w:t>
      </w:r>
      <w:r>
        <w:t>1 de l’article</w:t>
      </w:r>
      <w:r w:rsidR="001127A2">
        <w:t> </w:t>
      </w:r>
      <w:r>
        <w:t>14</w:t>
      </w:r>
      <w:r w:rsidRPr="00007058">
        <w:t xml:space="preserve"> du Pacte.</w:t>
      </w:r>
    </w:p>
    <w:p w14:paraId="04811D5F" w14:textId="77777777" w:rsidR="0059201E" w:rsidRDefault="0059201E" w:rsidP="0059201E">
      <w:pPr>
        <w:pStyle w:val="SingleTxtG"/>
      </w:pPr>
      <w:r>
        <w:t>8.11</w:t>
      </w:r>
      <w:r>
        <w:tab/>
      </w:r>
      <w:r w:rsidRPr="003073A3">
        <w:t>Le Comité est d</w:t>
      </w:r>
      <w:r>
        <w:t>’</w:t>
      </w:r>
      <w:r w:rsidRPr="003073A3">
        <w:t>avis que la soustraction délibérée d</w:t>
      </w:r>
      <w:r>
        <w:t>’</w:t>
      </w:r>
      <w:r w:rsidRPr="003073A3">
        <w:t>une personne à la protection de la loi constitue un déni du droit de cette personne à la reconnaissance de sa personnalité juridique, en particulier si les efforts déployés par les proches de la victime pour exercer leur droit à un recours effectif ont été systématiquement entravés</w:t>
      </w:r>
      <w:r w:rsidRPr="004E1C4D">
        <w:rPr>
          <w:rStyle w:val="Appelnotedebasdep"/>
        </w:rPr>
        <w:footnoteReference w:id="36"/>
      </w:r>
      <w:r w:rsidRPr="003073A3">
        <w:t>. Dans le cas présent, le Comité note que l</w:t>
      </w:r>
      <w:r>
        <w:t>’</w:t>
      </w:r>
      <w:r w:rsidRPr="003073A3">
        <w:t>État partie n</w:t>
      </w:r>
      <w:r>
        <w:t>’</w:t>
      </w:r>
      <w:r w:rsidRPr="003073A3">
        <w:t>a fourni</w:t>
      </w:r>
      <w:r>
        <w:t xml:space="preserve"> aucune explication sur le sort d’</w:t>
      </w:r>
      <w:r w:rsidRPr="003040EA">
        <w:t>Abdelhakim Houari</w:t>
      </w:r>
      <w:r w:rsidRPr="003073A3">
        <w:t>, ni sur le lieu où il se trouverait, en dépit des démarche</w:t>
      </w:r>
      <w:r>
        <w:t>s de ses proches et du fait qu’</w:t>
      </w:r>
      <w:r w:rsidRPr="003040EA">
        <w:t>Abdelhakim Houari</w:t>
      </w:r>
      <w:r w:rsidRPr="003073A3">
        <w:t xml:space="preserve"> était entre les mains des autorités de l</w:t>
      </w:r>
      <w:r>
        <w:t>’</w:t>
      </w:r>
      <w:r w:rsidRPr="003073A3">
        <w:t>État</w:t>
      </w:r>
      <w:r>
        <w:t xml:space="preserve"> partie</w:t>
      </w:r>
      <w:r w:rsidRPr="003073A3">
        <w:t xml:space="preserve"> lors de sa dernière apparition. Le Comité concl</w:t>
      </w:r>
      <w:r>
        <w:t>ut que la disparition forcée d’</w:t>
      </w:r>
      <w:r w:rsidRPr="003040EA">
        <w:t>Abdelhakim Houari</w:t>
      </w:r>
      <w:r>
        <w:t xml:space="preserve"> depuis plus de vingt-quatre</w:t>
      </w:r>
      <w:r w:rsidRPr="003073A3">
        <w:t xml:space="preserve"> ans a soustrait celui-ci à la protection de la loi et l</w:t>
      </w:r>
      <w:r>
        <w:t>’</w:t>
      </w:r>
      <w:r w:rsidRPr="003073A3">
        <w:t>a privé de son droit à la reconnaissance de sa personnalité juridique, en violation de l</w:t>
      </w:r>
      <w:r>
        <w:t>’</w:t>
      </w:r>
      <w:r w:rsidRPr="003073A3">
        <w:t>arti</w:t>
      </w:r>
      <w:r>
        <w:t>cle</w:t>
      </w:r>
      <w:r w:rsidR="001127A2">
        <w:t> </w:t>
      </w:r>
      <w:r w:rsidRPr="003073A3">
        <w:t>16 du Pacte.</w:t>
      </w:r>
    </w:p>
    <w:p w14:paraId="68506A86" w14:textId="77777777" w:rsidR="0059201E" w:rsidRDefault="0059201E" w:rsidP="0059201E">
      <w:pPr>
        <w:pStyle w:val="SingleTxtG"/>
        <w:rPr>
          <w:lang w:val="fr-FR"/>
        </w:rPr>
      </w:pPr>
      <w:r>
        <w:t>8.12</w:t>
      </w:r>
      <w:r w:rsidRPr="00410779">
        <w:tab/>
        <w:t>L</w:t>
      </w:r>
      <w:r>
        <w:t>’</w:t>
      </w:r>
      <w:r w:rsidRPr="00410779">
        <w:t>auteur</w:t>
      </w:r>
      <w:r>
        <w:t>e</w:t>
      </w:r>
      <w:r w:rsidRPr="00410779">
        <w:t xml:space="preserve"> </w:t>
      </w:r>
      <w:r>
        <w:t xml:space="preserve">invoque également </w:t>
      </w:r>
      <w:r w:rsidR="001127A2">
        <w:t>− </w:t>
      </w:r>
      <w:r>
        <w:t>en conjonction avec l’article</w:t>
      </w:r>
      <w:r w:rsidR="001127A2">
        <w:t> </w:t>
      </w:r>
      <w:r>
        <w:t>7</w:t>
      </w:r>
      <w:r w:rsidR="001127A2">
        <w:t> −</w:t>
      </w:r>
      <w:r>
        <w:t xml:space="preserve"> le paragraphe</w:t>
      </w:r>
      <w:r w:rsidR="001127A2">
        <w:t> </w:t>
      </w:r>
      <w:r>
        <w:t>3 de l’article</w:t>
      </w:r>
      <w:r w:rsidR="001127A2">
        <w:t> </w:t>
      </w:r>
      <w:r w:rsidRPr="00410779">
        <w:t>2 du Pacte, qui impose aux États parties l</w:t>
      </w:r>
      <w:r>
        <w:t>’</w:t>
      </w:r>
      <w:r w:rsidRPr="00410779">
        <w:t>obligation de garantir à toute personne des recours accessibles, utiles et exécutoires pour faire valoir les droits garantis par le Pacte. Le Comité rappelle qu</w:t>
      </w:r>
      <w:r>
        <w:t>’</w:t>
      </w:r>
      <w:r w:rsidRPr="00410779">
        <w:t>il attache de l</w:t>
      </w:r>
      <w:r>
        <w:t>’</w:t>
      </w:r>
      <w:r w:rsidRPr="00410779">
        <w:t>importance à la mise en place, par les États parties, de mécanismes juridictionnels et administratifs appropriés pour</w:t>
      </w:r>
      <w:r>
        <w:t xml:space="preserve"> examiner les </w:t>
      </w:r>
      <w:r>
        <w:lastRenderedPageBreak/>
        <w:t>plaintes faisant é</w:t>
      </w:r>
      <w:r w:rsidRPr="00410779">
        <w:t>tat de violations des droits</w:t>
      </w:r>
      <w:r w:rsidRPr="00410779">
        <w:rPr>
          <w:lang w:val="fr-FR"/>
        </w:rPr>
        <w:t xml:space="preserve"> garantis par le Pacte</w:t>
      </w:r>
      <w:r w:rsidRPr="004E1C4D">
        <w:rPr>
          <w:rStyle w:val="Appelnotedebasdep"/>
        </w:rPr>
        <w:footnoteReference w:id="37"/>
      </w:r>
      <w:r w:rsidRPr="00410779">
        <w:rPr>
          <w:lang w:val="fr-FR"/>
        </w:rPr>
        <w:t xml:space="preserve">. Il rappelle son observation générale </w:t>
      </w:r>
      <w:r w:rsidR="001127A2">
        <w:rPr>
          <w:lang w:val="fr-FR"/>
        </w:rPr>
        <w:t>n</w:t>
      </w:r>
      <w:r w:rsidR="001127A2" w:rsidRPr="00755DA0">
        <w:rPr>
          <w:vertAlign w:val="superscript"/>
          <w:lang w:val="fr-FR"/>
        </w:rPr>
        <w:t>o</w:t>
      </w:r>
      <w:r w:rsidR="001127A2">
        <w:rPr>
          <w:lang w:val="fr-FR"/>
        </w:rPr>
        <w:t> </w:t>
      </w:r>
      <w:r w:rsidRPr="00410779">
        <w:rPr>
          <w:lang w:val="fr-FR"/>
        </w:rPr>
        <w:t>31 (2004) sur la nature de l</w:t>
      </w:r>
      <w:r>
        <w:rPr>
          <w:lang w:val="fr-FR"/>
        </w:rPr>
        <w:t>’</w:t>
      </w:r>
      <w:r w:rsidRPr="00410779">
        <w:rPr>
          <w:lang w:val="fr-FR"/>
        </w:rPr>
        <w:t>obligation juridique générale imposée aux États parties au Pacte, dans laquelle il indique notamment que le fait pour un État partie de ne pas mener d</w:t>
      </w:r>
      <w:r>
        <w:rPr>
          <w:lang w:val="fr-FR"/>
        </w:rPr>
        <w:t>’</w:t>
      </w:r>
      <w:r w:rsidRPr="00410779">
        <w:rPr>
          <w:lang w:val="fr-FR"/>
        </w:rPr>
        <w:t>enquête sur des violations présumées pourrait en soi donner lieu à un</w:t>
      </w:r>
      <w:r>
        <w:rPr>
          <w:lang w:val="fr-FR"/>
        </w:rPr>
        <w:t>e violation distincte du Pacte.</w:t>
      </w:r>
    </w:p>
    <w:p w14:paraId="70138C8A" w14:textId="77777777" w:rsidR="0059201E" w:rsidRPr="00410779" w:rsidRDefault="0059201E" w:rsidP="0059201E">
      <w:pPr>
        <w:pStyle w:val="SingleTxtG"/>
        <w:rPr>
          <w:lang w:val="fr-FR"/>
        </w:rPr>
      </w:pPr>
      <w:r>
        <w:rPr>
          <w:lang w:val="fr-FR"/>
        </w:rPr>
        <w:t>8.13</w:t>
      </w:r>
      <w:r>
        <w:rPr>
          <w:lang w:val="fr-FR"/>
        </w:rPr>
        <w:tab/>
      </w:r>
      <w:r w:rsidRPr="00AC6B30">
        <w:t>En l</w:t>
      </w:r>
      <w:r>
        <w:t xml:space="preserve">’espèce, l’auteure </w:t>
      </w:r>
      <w:r w:rsidRPr="00AC6B30">
        <w:t xml:space="preserve">a </w:t>
      </w:r>
      <w:r>
        <w:t>alerté à plusieurs reprises les autorités compétentes de la disparition de son fils, mais l’État partie n’a procédé à aucune enquête approfondie et rigoureuse sur cette disparition, et aucune information crédible sur le sort du disparu n’a été fournie à l’auteure</w:t>
      </w:r>
      <w:r w:rsidRPr="00AC6B30">
        <w:t>.</w:t>
      </w:r>
      <w:r w:rsidRPr="00A52570">
        <w:rPr>
          <w:lang w:val="fr-FR"/>
        </w:rPr>
        <w:t xml:space="preserve"> En outre, l</w:t>
      </w:r>
      <w:r>
        <w:rPr>
          <w:lang w:val="fr-FR"/>
        </w:rPr>
        <w:t>’</w:t>
      </w:r>
      <w:r w:rsidRPr="00A52570">
        <w:rPr>
          <w:lang w:val="fr-FR"/>
        </w:rPr>
        <w:t>impossibilité légale de recourir à une instance judiciaire après la promulgation de l</w:t>
      </w:r>
      <w:r>
        <w:rPr>
          <w:lang w:val="fr-FR"/>
        </w:rPr>
        <w:t>’</w:t>
      </w:r>
      <w:r w:rsidRPr="00A52570">
        <w:rPr>
          <w:lang w:val="fr-FR"/>
        </w:rPr>
        <w:t xml:space="preserve">ordonnance </w:t>
      </w:r>
      <w:r w:rsidR="001127A2">
        <w:rPr>
          <w:lang w:val="fr-FR"/>
        </w:rPr>
        <w:t>n</w:t>
      </w:r>
      <w:r w:rsidR="001127A2" w:rsidRPr="00755DA0">
        <w:rPr>
          <w:vertAlign w:val="superscript"/>
          <w:lang w:val="fr-FR"/>
        </w:rPr>
        <w:t>o</w:t>
      </w:r>
      <w:r w:rsidR="001127A2">
        <w:rPr>
          <w:lang w:val="fr-FR"/>
        </w:rPr>
        <w:t> </w:t>
      </w:r>
      <w:r w:rsidRPr="00A52570">
        <w:rPr>
          <w:lang w:val="fr-FR"/>
        </w:rPr>
        <w:t xml:space="preserve">06-01 continue de priver </w:t>
      </w:r>
      <w:r w:rsidRPr="00DD018E">
        <w:rPr>
          <w:lang w:val="fr-FR"/>
        </w:rPr>
        <w:t>Abdelhakim Houari</w:t>
      </w:r>
      <w:r>
        <w:rPr>
          <w:lang w:val="fr-FR"/>
        </w:rPr>
        <w:t xml:space="preserve"> et </w:t>
      </w:r>
      <w:r w:rsidRPr="00A52570">
        <w:rPr>
          <w:lang w:val="fr-FR"/>
        </w:rPr>
        <w:t>l</w:t>
      </w:r>
      <w:r>
        <w:rPr>
          <w:lang w:val="fr-FR"/>
        </w:rPr>
        <w:t>’</w:t>
      </w:r>
      <w:r w:rsidRPr="00A52570">
        <w:rPr>
          <w:lang w:val="fr-FR"/>
        </w:rPr>
        <w:t>auteur</w:t>
      </w:r>
      <w:r>
        <w:rPr>
          <w:lang w:val="fr-FR"/>
        </w:rPr>
        <w:t>e</w:t>
      </w:r>
      <w:r w:rsidRPr="00A52570">
        <w:rPr>
          <w:lang w:val="fr-FR"/>
        </w:rPr>
        <w:t xml:space="preserve"> de tout accès à un recours utile</w:t>
      </w:r>
      <w:r>
        <w:rPr>
          <w:lang w:val="fr-FR"/>
        </w:rPr>
        <w:t>,</w:t>
      </w:r>
      <w:r w:rsidRPr="00A52570">
        <w:rPr>
          <w:lang w:val="fr-FR"/>
        </w:rPr>
        <w:t xml:space="preserve"> puisque cette ordonnance interdit le recours à la justice pour faire la lumière sur les crimes les plus graves comme les disparitions forcées</w:t>
      </w:r>
      <w:r w:rsidRPr="004E1C4D">
        <w:rPr>
          <w:rStyle w:val="Appelnotedebasdep"/>
        </w:rPr>
        <w:footnoteReference w:id="38"/>
      </w:r>
      <w:r w:rsidRPr="00A52570">
        <w:rPr>
          <w:lang w:val="fr-FR"/>
        </w:rPr>
        <w:t xml:space="preserve">. </w:t>
      </w:r>
      <w:r w:rsidRPr="00AC6B30">
        <w:t xml:space="preserve">Le Comité conclut que les faits dont il est saisi font apparaître une violation </w:t>
      </w:r>
      <w:r>
        <w:t xml:space="preserve">du paragraphe 3 </w:t>
      </w:r>
      <w:r w:rsidRPr="00410779">
        <w:rPr>
          <w:lang w:val="fr-FR"/>
        </w:rPr>
        <w:t>d</w:t>
      </w:r>
      <w:r>
        <w:rPr>
          <w:lang w:val="fr-FR"/>
        </w:rPr>
        <w:t>e l’article</w:t>
      </w:r>
      <w:r w:rsidR="001127A2">
        <w:rPr>
          <w:lang w:val="fr-FR"/>
        </w:rPr>
        <w:t> </w:t>
      </w:r>
      <w:r>
        <w:rPr>
          <w:lang w:val="fr-FR"/>
        </w:rPr>
        <w:t xml:space="preserve">2 </w:t>
      </w:r>
      <w:r w:rsidRPr="00410779">
        <w:rPr>
          <w:lang w:val="fr-FR"/>
        </w:rPr>
        <w:t>lu conjo</w:t>
      </w:r>
      <w:r>
        <w:rPr>
          <w:lang w:val="fr-FR"/>
        </w:rPr>
        <w:t>intement avec les articles</w:t>
      </w:r>
      <w:r w:rsidR="001127A2">
        <w:rPr>
          <w:lang w:val="fr-FR"/>
        </w:rPr>
        <w:t> </w:t>
      </w:r>
      <w:r>
        <w:rPr>
          <w:lang w:val="fr-FR"/>
        </w:rPr>
        <w:t>6, 7,</w:t>
      </w:r>
      <w:r w:rsidRPr="00410779">
        <w:rPr>
          <w:lang w:val="fr-FR"/>
        </w:rPr>
        <w:t xml:space="preserve"> 9</w:t>
      </w:r>
      <w:r>
        <w:rPr>
          <w:lang w:val="fr-FR"/>
        </w:rPr>
        <w:t xml:space="preserve"> et 16 du Pacte à l’égard </w:t>
      </w:r>
      <w:r w:rsidRPr="00DD018E">
        <w:rPr>
          <w:lang w:val="fr-FR"/>
        </w:rPr>
        <w:t>d</w:t>
      </w:r>
      <w:r>
        <w:rPr>
          <w:lang w:val="fr-FR"/>
        </w:rPr>
        <w:t>’</w:t>
      </w:r>
      <w:r w:rsidRPr="00DD018E">
        <w:rPr>
          <w:lang w:val="fr-FR"/>
        </w:rPr>
        <w:t>Abdelhakim Houari</w:t>
      </w:r>
      <w:r>
        <w:rPr>
          <w:lang w:val="fr-FR"/>
        </w:rPr>
        <w:t xml:space="preserve">, et </w:t>
      </w:r>
      <w:r>
        <w:t xml:space="preserve">du paragraphe 3 </w:t>
      </w:r>
      <w:r>
        <w:rPr>
          <w:lang w:val="fr-FR"/>
        </w:rPr>
        <w:t>de l’article</w:t>
      </w:r>
      <w:r w:rsidR="001127A2">
        <w:rPr>
          <w:lang w:val="fr-FR"/>
        </w:rPr>
        <w:t> </w:t>
      </w:r>
      <w:r>
        <w:rPr>
          <w:lang w:val="fr-FR"/>
        </w:rPr>
        <w:t>2 lu conjointement avec l’article</w:t>
      </w:r>
      <w:r w:rsidR="001127A2">
        <w:rPr>
          <w:lang w:val="fr-FR"/>
        </w:rPr>
        <w:t> </w:t>
      </w:r>
      <w:r w:rsidRPr="00410779">
        <w:rPr>
          <w:lang w:val="fr-FR"/>
        </w:rPr>
        <w:t>7</w:t>
      </w:r>
      <w:r>
        <w:rPr>
          <w:lang w:val="fr-FR"/>
        </w:rPr>
        <w:t xml:space="preserve"> </w:t>
      </w:r>
      <w:r w:rsidRPr="00410779">
        <w:rPr>
          <w:lang w:val="fr-FR"/>
        </w:rPr>
        <w:t>du Pacte à l</w:t>
      </w:r>
      <w:r>
        <w:rPr>
          <w:lang w:val="fr-FR"/>
        </w:rPr>
        <w:t>’</w:t>
      </w:r>
      <w:r w:rsidRPr="00410779">
        <w:rPr>
          <w:lang w:val="fr-FR"/>
        </w:rPr>
        <w:t>égard de l</w:t>
      </w:r>
      <w:r>
        <w:rPr>
          <w:lang w:val="fr-FR"/>
        </w:rPr>
        <w:t>’</w:t>
      </w:r>
      <w:r w:rsidRPr="00410779">
        <w:rPr>
          <w:lang w:val="fr-FR"/>
        </w:rPr>
        <w:t>auteur</w:t>
      </w:r>
      <w:r>
        <w:rPr>
          <w:lang w:val="fr-FR"/>
        </w:rPr>
        <w:t>e</w:t>
      </w:r>
      <w:r w:rsidRPr="00410779">
        <w:rPr>
          <w:lang w:val="fr-FR"/>
        </w:rPr>
        <w:t>.</w:t>
      </w:r>
    </w:p>
    <w:p w14:paraId="39037F9F" w14:textId="77777777" w:rsidR="0059201E" w:rsidRPr="00410779" w:rsidRDefault="0059201E" w:rsidP="0059201E">
      <w:pPr>
        <w:pStyle w:val="SingleTxtG"/>
        <w:rPr>
          <w:lang w:val="fr-FR"/>
        </w:rPr>
      </w:pPr>
      <w:r>
        <w:rPr>
          <w:lang w:val="fr-FR"/>
        </w:rPr>
        <w:t>9</w:t>
      </w:r>
      <w:r w:rsidRPr="00410779">
        <w:rPr>
          <w:lang w:val="fr-FR"/>
        </w:rPr>
        <w:t>.</w:t>
      </w:r>
      <w:r w:rsidRPr="00410779">
        <w:rPr>
          <w:lang w:val="fr-FR"/>
        </w:rPr>
        <w:tab/>
        <w:t>Le Comité, agissant en ver</w:t>
      </w:r>
      <w:r>
        <w:rPr>
          <w:lang w:val="fr-FR"/>
        </w:rPr>
        <w:t>tu du paragraphe</w:t>
      </w:r>
      <w:r w:rsidR="001127A2">
        <w:rPr>
          <w:lang w:val="fr-FR"/>
        </w:rPr>
        <w:t> </w:t>
      </w:r>
      <w:r>
        <w:rPr>
          <w:lang w:val="fr-FR"/>
        </w:rPr>
        <w:t>4 de l’article</w:t>
      </w:r>
      <w:r w:rsidR="001127A2">
        <w:rPr>
          <w:lang w:val="fr-FR"/>
        </w:rPr>
        <w:t> </w:t>
      </w:r>
      <w:r w:rsidRPr="00410779">
        <w:rPr>
          <w:lang w:val="fr-FR"/>
        </w:rPr>
        <w:t xml:space="preserve">5 du Protocole facultatif, constate que les faits dont il est saisi font apparaître des violations par </w:t>
      </w:r>
      <w:r>
        <w:rPr>
          <w:lang w:val="fr-FR"/>
        </w:rPr>
        <w:t>l’État partie des articles</w:t>
      </w:r>
      <w:r w:rsidR="001127A2">
        <w:rPr>
          <w:lang w:val="fr-FR"/>
        </w:rPr>
        <w:t> </w:t>
      </w:r>
      <w:r>
        <w:rPr>
          <w:lang w:val="fr-FR"/>
        </w:rPr>
        <w:t>6, 7,</w:t>
      </w:r>
      <w:r w:rsidRPr="00410779">
        <w:rPr>
          <w:lang w:val="fr-FR"/>
        </w:rPr>
        <w:t xml:space="preserve"> 9</w:t>
      </w:r>
      <w:r>
        <w:rPr>
          <w:lang w:val="fr-FR"/>
        </w:rPr>
        <w:t xml:space="preserve"> et 16</w:t>
      </w:r>
      <w:r w:rsidRPr="00410779">
        <w:rPr>
          <w:lang w:val="fr-FR"/>
        </w:rPr>
        <w:t xml:space="preserve"> d</w:t>
      </w:r>
      <w:r>
        <w:rPr>
          <w:lang w:val="fr-FR"/>
        </w:rPr>
        <w:t>u Pacte ainsi que du paragraphe 3 de l’article</w:t>
      </w:r>
      <w:r w:rsidR="001127A2">
        <w:rPr>
          <w:lang w:val="fr-FR"/>
        </w:rPr>
        <w:t> </w:t>
      </w:r>
      <w:r>
        <w:rPr>
          <w:lang w:val="fr-FR"/>
        </w:rPr>
        <w:t>2</w:t>
      </w:r>
      <w:r w:rsidRPr="00410779">
        <w:rPr>
          <w:lang w:val="fr-FR"/>
        </w:rPr>
        <w:t xml:space="preserve"> lu conjo</w:t>
      </w:r>
      <w:r>
        <w:rPr>
          <w:lang w:val="fr-FR"/>
        </w:rPr>
        <w:t>intement avec les articles</w:t>
      </w:r>
      <w:r w:rsidR="001127A2">
        <w:rPr>
          <w:lang w:val="fr-FR"/>
        </w:rPr>
        <w:t> </w:t>
      </w:r>
      <w:r>
        <w:rPr>
          <w:lang w:val="fr-FR"/>
        </w:rPr>
        <w:t>6, 7,</w:t>
      </w:r>
      <w:r w:rsidRPr="00410779">
        <w:rPr>
          <w:lang w:val="fr-FR"/>
        </w:rPr>
        <w:t xml:space="preserve"> 9 </w:t>
      </w:r>
      <w:r>
        <w:rPr>
          <w:lang w:val="fr-FR"/>
        </w:rPr>
        <w:t>et 16 à l’égard d’</w:t>
      </w:r>
      <w:r w:rsidRPr="00DD018E">
        <w:rPr>
          <w:lang w:val="fr-FR"/>
        </w:rPr>
        <w:t>Abdelhakim Houari</w:t>
      </w:r>
      <w:r w:rsidRPr="00410779">
        <w:rPr>
          <w:lang w:val="fr-FR"/>
        </w:rPr>
        <w:t>. Il constate en outre une violation</w:t>
      </w:r>
      <w:r>
        <w:rPr>
          <w:lang w:val="fr-FR"/>
        </w:rPr>
        <w:t xml:space="preserve"> par l’État partie de l’article</w:t>
      </w:r>
      <w:r w:rsidR="001127A2">
        <w:rPr>
          <w:lang w:val="fr-FR"/>
        </w:rPr>
        <w:t> </w:t>
      </w:r>
      <w:r w:rsidRPr="00410779">
        <w:rPr>
          <w:lang w:val="fr-FR"/>
        </w:rPr>
        <w:t>7 lu seul et conjo</w:t>
      </w:r>
      <w:r>
        <w:rPr>
          <w:lang w:val="fr-FR"/>
        </w:rPr>
        <w:t>intement avec le paragraphe 3 de l’article</w:t>
      </w:r>
      <w:r w:rsidR="001127A2">
        <w:rPr>
          <w:lang w:val="fr-FR"/>
        </w:rPr>
        <w:t> </w:t>
      </w:r>
      <w:r>
        <w:rPr>
          <w:lang w:val="fr-FR"/>
        </w:rPr>
        <w:t>2 ainsi que de l’article</w:t>
      </w:r>
      <w:r w:rsidR="001127A2">
        <w:rPr>
          <w:lang w:val="fr-FR"/>
        </w:rPr>
        <w:t> </w:t>
      </w:r>
      <w:r>
        <w:rPr>
          <w:lang w:val="fr-FR"/>
        </w:rPr>
        <w:t xml:space="preserve">14 </w:t>
      </w:r>
      <w:r w:rsidRPr="00410779">
        <w:rPr>
          <w:lang w:val="fr-FR"/>
        </w:rPr>
        <w:t>du Pacte à l</w:t>
      </w:r>
      <w:r>
        <w:rPr>
          <w:lang w:val="fr-FR"/>
        </w:rPr>
        <w:t>’</w:t>
      </w:r>
      <w:r w:rsidRPr="00410779">
        <w:rPr>
          <w:lang w:val="fr-FR"/>
        </w:rPr>
        <w:t>égard de l</w:t>
      </w:r>
      <w:r>
        <w:rPr>
          <w:lang w:val="fr-FR"/>
        </w:rPr>
        <w:t>’</w:t>
      </w:r>
      <w:r w:rsidRPr="00410779">
        <w:rPr>
          <w:lang w:val="fr-FR"/>
        </w:rPr>
        <w:t>auteur</w:t>
      </w:r>
      <w:r>
        <w:rPr>
          <w:lang w:val="fr-FR"/>
        </w:rPr>
        <w:t>e</w:t>
      </w:r>
      <w:r w:rsidRPr="00410779">
        <w:rPr>
          <w:lang w:val="fr-FR"/>
        </w:rPr>
        <w:t>.</w:t>
      </w:r>
    </w:p>
    <w:p w14:paraId="5643C968" w14:textId="77777777" w:rsidR="0059201E" w:rsidRPr="001127A2" w:rsidRDefault="0059201E" w:rsidP="0059201E">
      <w:pPr>
        <w:pStyle w:val="SingleTxtG"/>
      </w:pPr>
      <w:r w:rsidRPr="001127A2">
        <w:rPr>
          <w:lang w:val="fr-FR"/>
        </w:rPr>
        <w:t>10.</w:t>
      </w:r>
      <w:r w:rsidRPr="001127A2">
        <w:rPr>
          <w:lang w:val="fr-FR"/>
        </w:rPr>
        <w:tab/>
      </w:r>
      <w:r w:rsidRPr="00755DA0">
        <w:t>Conformément au paragraphe</w:t>
      </w:r>
      <w:r w:rsidR="001127A2" w:rsidRPr="00755DA0">
        <w:t> </w:t>
      </w:r>
      <w:r w:rsidRPr="00755DA0">
        <w:t>3</w:t>
      </w:r>
      <w:r w:rsidR="001127A2" w:rsidRPr="00755DA0">
        <w:t> </w:t>
      </w:r>
      <w:r w:rsidRPr="00755DA0">
        <w:t>a) de l’article</w:t>
      </w:r>
      <w:r w:rsidR="001127A2" w:rsidRPr="00755DA0">
        <w:t> </w:t>
      </w:r>
      <w:r w:rsidRPr="00755DA0">
        <w:t>2 du Pacte, l’État partie est tenu d’assurer à l’auteure un recours utile. Il a l’obligation d’accorder une réparation intégrale aux individus dont les droits garantis par le Pacte ont été violés. En l’espèce, l’État partie est tenu : a)</w:t>
      </w:r>
      <w:r w:rsidR="001127A2" w:rsidRPr="00755DA0">
        <w:t> </w:t>
      </w:r>
      <w:r w:rsidRPr="00755DA0">
        <w:t>de mener une enquête rapide, efficace, exhaustive, indépendante, impartiale et transparente sur la disparition d’</w:t>
      </w:r>
      <w:r w:rsidRPr="00755DA0">
        <w:rPr>
          <w:lang w:val="fr-FR"/>
        </w:rPr>
        <w:t>Abdelhakim Houari</w:t>
      </w:r>
      <w:r w:rsidRPr="00755DA0">
        <w:t xml:space="preserve"> </w:t>
      </w:r>
      <w:r w:rsidRPr="00755DA0">
        <w:rPr>
          <w:lang w:val="fr-FR"/>
        </w:rPr>
        <w:t>et de fournir à l’auteure des informations détaillées quant aux résultats de cette enquête ; b)</w:t>
      </w:r>
      <w:r w:rsidR="001127A2" w:rsidRPr="00755DA0">
        <w:rPr>
          <w:lang w:val="fr-FR"/>
        </w:rPr>
        <w:t> </w:t>
      </w:r>
      <w:r w:rsidRPr="00755DA0">
        <w:rPr>
          <w:lang w:val="fr-FR"/>
        </w:rPr>
        <w:t>de libérer immédiatement Abdelhakim Houari s’il est toujours détenu au secret ; c)</w:t>
      </w:r>
      <w:r w:rsidR="001127A2" w:rsidRPr="00755DA0">
        <w:rPr>
          <w:lang w:val="fr-FR"/>
        </w:rPr>
        <w:t> </w:t>
      </w:r>
      <w:r w:rsidRPr="00755DA0">
        <w:rPr>
          <w:lang w:val="fr-FR"/>
        </w:rPr>
        <w:t xml:space="preserve">dans l’éventualité où Abdelhakim Houari serait décédé, de restituer sa dépouille à sa famille </w:t>
      </w:r>
      <w:r w:rsidRPr="00755DA0">
        <w:t>dans le respect de la dignité, conformément aux normes et aux traditions culturelles des victimes</w:t>
      </w:r>
      <w:r w:rsidRPr="00755DA0">
        <w:rPr>
          <w:lang w:val="fr-FR"/>
        </w:rPr>
        <w:t> ;</w:t>
      </w:r>
      <w:r w:rsidRPr="00755DA0">
        <w:t xml:space="preserve"> d)</w:t>
      </w:r>
      <w:r w:rsidR="001127A2" w:rsidRPr="00755DA0">
        <w:t> </w:t>
      </w:r>
      <w:r w:rsidRPr="00755DA0">
        <w:t xml:space="preserve">de poursuivre, de juger et de punir les responsables des violations commises ; e) de fournir à l’auteure </w:t>
      </w:r>
      <w:r w:rsidRPr="00755DA0">
        <w:rPr>
          <w:lang w:val="fr-FR"/>
        </w:rPr>
        <w:t>ainsi qu’à Abdelhakim Houari, s’il est en vie,</w:t>
      </w:r>
      <w:r w:rsidRPr="00755DA0">
        <w:t xml:space="preserve"> une pleine réparation, y</w:t>
      </w:r>
      <w:r w:rsidR="001127A2" w:rsidRPr="00755DA0">
        <w:t> </w:t>
      </w:r>
      <w:r w:rsidRPr="00755DA0">
        <w:t>compris une indemnité adéquate</w:t>
      </w:r>
      <w:r w:rsidRPr="00755DA0">
        <w:rPr>
          <w:lang w:val="fr-FR"/>
        </w:rPr>
        <w:t> ;</w:t>
      </w:r>
      <w:r w:rsidRPr="00755DA0">
        <w:t xml:space="preserve"> et f)</w:t>
      </w:r>
      <w:r w:rsidR="001127A2" w:rsidRPr="00755DA0">
        <w:t> </w:t>
      </w:r>
      <w:r w:rsidRPr="00755DA0">
        <w:t>de fournir des mesures de satisfaction appropriées à l’auteure.</w:t>
      </w:r>
      <w:r w:rsidRPr="00755DA0">
        <w:rPr>
          <w:lang w:val="fr-FR"/>
        </w:rPr>
        <w:t xml:space="preserve"> Nonobstant l’ordonnance n</w:t>
      </w:r>
      <w:r w:rsidRPr="00755DA0">
        <w:rPr>
          <w:vertAlign w:val="superscript"/>
          <w:lang w:val="fr-FR"/>
        </w:rPr>
        <w:t>o</w:t>
      </w:r>
      <w:r w:rsidRPr="00755DA0">
        <w:rPr>
          <w:lang w:val="fr-FR"/>
        </w:rPr>
        <w:t xml:space="preserve"> 06-01, l’État partie devrait également veiller à ne pas entraver le droit à un recours utile pour les victimes de crimes tels que la torture, les exécutions </w:t>
      </w:r>
      <w:proofErr w:type="spellStart"/>
      <w:r w:rsidRPr="00755DA0">
        <w:rPr>
          <w:lang w:val="fr-FR"/>
        </w:rPr>
        <w:t>extrajudiciaires</w:t>
      </w:r>
      <w:proofErr w:type="spellEnd"/>
      <w:r w:rsidRPr="00755DA0">
        <w:rPr>
          <w:lang w:val="fr-FR"/>
        </w:rPr>
        <w:t xml:space="preserve"> et les disparitions forcées. Il est en outre tenu de prendre des mesures pour empêcher que des violations analogues se reproduisent à l’avenir. </w:t>
      </w:r>
      <w:r w:rsidRPr="00755DA0">
        <w:t>À</w:t>
      </w:r>
      <w:r w:rsidR="001127A2">
        <w:t xml:space="preserve"> </w:t>
      </w:r>
      <w:r w:rsidRPr="00755DA0">
        <w:t>cet effet, le Comité est d’avis que l’État partie devrait revoir sa législation en fonction de l’obligation qui lui est faite au paragraphe</w:t>
      </w:r>
      <w:r w:rsidR="001127A2">
        <w:t> </w:t>
      </w:r>
      <w:r w:rsidRPr="00755DA0">
        <w:t>2 de l’article</w:t>
      </w:r>
      <w:r w:rsidR="001127A2">
        <w:t> </w:t>
      </w:r>
      <w:r w:rsidRPr="00755DA0">
        <w:t>2 du Pacte, et en particulier abroger les dispositions de ladite ordonnance qui sont incompatibles avec le Pacte, afin que les droits consacrés par le Pacte puissent être pleinement exercés dans l’État partie.</w:t>
      </w:r>
    </w:p>
    <w:p w14:paraId="01928209" w14:textId="77777777" w:rsidR="00BF4D6C" w:rsidRDefault="0059201E" w:rsidP="0059201E">
      <w:pPr>
        <w:pStyle w:val="SingleTxtG"/>
        <w:rPr>
          <w:lang w:val="fr-FR"/>
        </w:rPr>
      </w:pPr>
      <w:r>
        <w:rPr>
          <w:lang w:val="fr-FR"/>
        </w:rPr>
        <w:t>11</w:t>
      </w:r>
      <w:r w:rsidRPr="00410779">
        <w:rPr>
          <w:lang w:val="fr-FR"/>
        </w:rPr>
        <w:t>.</w:t>
      </w:r>
      <w:r w:rsidRPr="00410779">
        <w:rPr>
          <w:lang w:val="fr-FR"/>
        </w:rPr>
        <w:tab/>
        <w:t>Étant donné qu</w:t>
      </w:r>
      <w:r>
        <w:rPr>
          <w:lang w:val="fr-FR"/>
        </w:rPr>
        <w:t>’</w:t>
      </w:r>
      <w:r w:rsidRPr="00410779">
        <w:rPr>
          <w:lang w:val="fr-FR"/>
        </w:rPr>
        <w:t>en adhérant au Protocole facultatif</w:t>
      </w:r>
      <w:r>
        <w:rPr>
          <w:lang w:val="fr-FR"/>
        </w:rPr>
        <w:t>,</w:t>
      </w:r>
      <w:r w:rsidRPr="00410779">
        <w:rPr>
          <w:lang w:val="fr-FR"/>
        </w:rPr>
        <w:t xml:space="preserve"> l</w:t>
      </w:r>
      <w:r>
        <w:rPr>
          <w:lang w:val="fr-FR"/>
        </w:rPr>
        <w:t>’</w:t>
      </w:r>
      <w:r w:rsidRPr="00410779">
        <w:rPr>
          <w:lang w:val="fr-FR"/>
        </w:rPr>
        <w:t>État partie a reconnu que le Comité a compétence pour déterminer s</w:t>
      </w:r>
      <w:r>
        <w:rPr>
          <w:lang w:val="fr-FR"/>
        </w:rPr>
        <w:t>’</w:t>
      </w:r>
      <w:r w:rsidRPr="00410779">
        <w:rPr>
          <w:lang w:val="fr-FR"/>
        </w:rPr>
        <w:t>il y a ou non violation du Pacte e</w:t>
      </w:r>
      <w:r>
        <w:rPr>
          <w:lang w:val="fr-FR"/>
        </w:rPr>
        <w:t>t que, conformément à l’article</w:t>
      </w:r>
      <w:r w:rsidR="001127A2">
        <w:rPr>
          <w:lang w:val="fr-FR"/>
        </w:rPr>
        <w:t> </w:t>
      </w:r>
      <w:r w:rsidRPr="00410779">
        <w:rPr>
          <w:lang w:val="fr-FR"/>
        </w:rPr>
        <w:t>2 du Pacte, il s</w:t>
      </w:r>
      <w:r>
        <w:rPr>
          <w:lang w:val="fr-FR"/>
        </w:rPr>
        <w:t>’</w:t>
      </w:r>
      <w:r w:rsidRPr="00410779">
        <w:rPr>
          <w:lang w:val="fr-FR"/>
        </w:rPr>
        <w:t>est engagé à garantir à tous les individus se trouvant sur son territoire et relevant de sa juridiction les droits reconnus dans le Pacte et à assurer un recours utile et exécutoire lorsqu</w:t>
      </w:r>
      <w:r>
        <w:rPr>
          <w:lang w:val="fr-FR"/>
        </w:rPr>
        <w:t>’</w:t>
      </w:r>
      <w:r w:rsidRPr="00410779">
        <w:rPr>
          <w:lang w:val="fr-FR"/>
        </w:rPr>
        <w:t>une violation a été établie, le Comité souhaite recevoir de l</w:t>
      </w:r>
      <w:r>
        <w:rPr>
          <w:lang w:val="fr-FR"/>
        </w:rPr>
        <w:t>’</w:t>
      </w:r>
      <w:r w:rsidRPr="00410779">
        <w:rPr>
          <w:lang w:val="fr-FR"/>
        </w:rPr>
        <w:t>État partie, dans un délai de cent quatre-vingts jours, des renseignements sur les mesures prises pour donner effet aux présentes constatations. L</w:t>
      </w:r>
      <w:r>
        <w:rPr>
          <w:lang w:val="fr-FR"/>
        </w:rPr>
        <w:t>’</w:t>
      </w:r>
      <w:r w:rsidRPr="00410779">
        <w:rPr>
          <w:lang w:val="fr-FR"/>
        </w:rPr>
        <w:t xml:space="preserve">État partie est invité en outre à rendre </w:t>
      </w:r>
      <w:r>
        <w:rPr>
          <w:lang w:val="fr-FR"/>
        </w:rPr>
        <w:t xml:space="preserve">celles-ci </w:t>
      </w:r>
      <w:r w:rsidRPr="00410779">
        <w:rPr>
          <w:lang w:val="fr-FR"/>
        </w:rPr>
        <w:t xml:space="preserve">publiques et à les diffuser largement dans </w:t>
      </w:r>
      <w:r>
        <w:rPr>
          <w:lang w:val="fr-FR"/>
        </w:rPr>
        <w:t>ses</w:t>
      </w:r>
      <w:r w:rsidRPr="00410779">
        <w:rPr>
          <w:lang w:val="fr-FR"/>
        </w:rPr>
        <w:t xml:space="preserve"> langues officielles.</w:t>
      </w:r>
    </w:p>
    <w:p w14:paraId="6C935248" w14:textId="77777777" w:rsidR="001127A2" w:rsidRPr="00755DA0" w:rsidRDefault="001127A2" w:rsidP="00755DA0">
      <w:pPr>
        <w:pStyle w:val="SingleTxtG"/>
        <w:spacing w:before="240" w:after="0"/>
        <w:jc w:val="center"/>
        <w:rPr>
          <w:u w:val="single"/>
        </w:rPr>
      </w:pPr>
      <w:r>
        <w:rPr>
          <w:u w:val="single"/>
        </w:rPr>
        <w:tab/>
      </w:r>
      <w:r>
        <w:rPr>
          <w:u w:val="single"/>
        </w:rPr>
        <w:tab/>
      </w:r>
      <w:r>
        <w:rPr>
          <w:u w:val="single"/>
        </w:rPr>
        <w:tab/>
      </w:r>
    </w:p>
    <w:sectPr w:rsidR="001127A2" w:rsidRPr="00755DA0" w:rsidSect="00BF4D6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13424" w14:textId="77777777" w:rsidR="00C957C8" w:rsidRDefault="00C957C8" w:rsidP="00F95C08">
      <w:pPr>
        <w:spacing w:line="240" w:lineRule="auto"/>
      </w:pPr>
    </w:p>
  </w:endnote>
  <w:endnote w:type="continuationSeparator" w:id="0">
    <w:p w14:paraId="3D40B40B" w14:textId="77777777" w:rsidR="00C957C8" w:rsidRPr="00AC3823" w:rsidRDefault="00C957C8" w:rsidP="00AC3823">
      <w:pPr>
        <w:pStyle w:val="Pieddepage"/>
      </w:pPr>
    </w:p>
  </w:endnote>
  <w:endnote w:type="continuationNotice" w:id="1">
    <w:p w14:paraId="3F60F5E3" w14:textId="77777777" w:rsidR="00C957C8" w:rsidRDefault="00C957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CF2C" w14:textId="77777777" w:rsidR="0059201E" w:rsidRPr="00BF4D6C" w:rsidRDefault="0059201E" w:rsidP="00BF4D6C">
    <w:pPr>
      <w:pStyle w:val="Pieddepage"/>
      <w:tabs>
        <w:tab w:val="right" w:pos="9638"/>
      </w:tabs>
    </w:pPr>
    <w:r w:rsidRPr="00BF4D6C">
      <w:rPr>
        <w:b/>
        <w:sz w:val="18"/>
      </w:rPr>
      <w:fldChar w:fldCharType="begin"/>
    </w:r>
    <w:r w:rsidRPr="00BF4D6C">
      <w:rPr>
        <w:b/>
        <w:sz w:val="18"/>
      </w:rPr>
      <w:instrText xml:space="preserve"> PAGE  \* MERGEFORMAT </w:instrText>
    </w:r>
    <w:r w:rsidRPr="00BF4D6C">
      <w:rPr>
        <w:b/>
        <w:sz w:val="18"/>
      </w:rPr>
      <w:fldChar w:fldCharType="separate"/>
    </w:r>
    <w:r w:rsidR="002602BA">
      <w:rPr>
        <w:b/>
        <w:noProof/>
        <w:sz w:val="18"/>
      </w:rPr>
      <w:t>2</w:t>
    </w:r>
    <w:r w:rsidRPr="00BF4D6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45CF" w14:textId="77777777" w:rsidR="0059201E" w:rsidRPr="00BF4D6C" w:rsidRDefault="0059201E" w:rsidP="00BF4D6C">
    <w:pPr>
      <w:pStyle w:val="Pieddepage"/>
      <w:tabs>
        <w:tab w:val="right" w:pos="9638"/>
      </w:tabs>
      <w:rPr>
        <w:b/>
        <w:sz w:val="18"/>
      </w:rPr>
    </w:pPr>
    <w:r>
      <w:tab/>
    </w:r>
    <w:r w:rsidRPr="00BF4D6C">
      <w:rPr>
        <w:b/>
        <w:sz w:val="18"/>
      </w:rPr>
      <w:fldChar w:fldCharType="begin"/>
    </w:r>
    <w:r w:rsidRPr="00BF4D6C">
      <w:rPr>
        <w:b/>
        <w:sz w:val="18"/>
      </w:rPr>
      <w:instrText xml:space="preserve"> PAGE  \* MERGEFORMAT </w:instrText>
    </w:r>
    <w:r w:rsidRPr="00BF4D6C">
      <w:rPr>
        <w:b/>
        <w:sz w:val="18"/>
      </w:rPr>
      <w:fldChar w:fldCharType="separate"/>
    </w:r>
    <w:r w:rsidR="002602BA">
      <w:rPr>
        <w:b/>
        <w:noProof/>
        <w:sz w:val="18"/>
      </w:rPr>
      <w:t>11</w:t>
    </w:r>
    <w:r w:rsidRPr="00BF4D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57C0" w14:textId="77777777" w:rsidR="0059201E" w:rsidRPr="006413CA" w:rsidRDefault="006413CA" w:rsidP="006413CA">
    <w:pPr>
      <w:pStyle w:val="Pieddepage"/>
      <w:spacing w:before="120"/>
      <w:rPr>
        <w:sz w:val="20"/>
      </w:rPr>
    </w:pPr>
    <w:r>
      <w:rPr>
        <w:sz w:val="20"/>
      </w:rPr>
      <w:t>GE.20-12768  (F)</w:t>
    </w:r>
    <w:r>
      <w:rPr>
        <w:sz w:val="20"/>
      </w:rPr>
      <w:br/>
    </w:r>
    <w:r w:rsidRPr="006413CA">
      <w:rPr>
        <w:rFonts w:ascii="C39T30Lfz" w:hAnsi="C39T30Lfz"/>
        <w:sz w:val="56"/>
      </w:rPr>
      <w:t></w:t>
    </w:r>
    <w:r w:rsidRPr="006413CA">
      <w:rPr>
        <w:rFonts w:ascii="C39T30Lfz" w:hAnsi="C39T30Lfz"/>
        <w:sz w:val="56"/>
      </w:rPr>
      <w:t></w:t>
    </w:r>
    <w:r w:rsidRPr="006413CA">
      <w:rPr>
        <w:rFonts w:ascii="C39T30Lfz" w:hAnsi="C39T30Lfz"/>
        <w:sz w:val="56"/>
      </w:rPr>
      <w:t></w:t>
    </w:r>
    <w:r w:rsidRPr="006413CA">
      <w:rPr>
        <w:rFonts w:ascii="C39T30Lfz" w:hAnsi="C39T30Lfz"/>
        <w:sz w:val="56"/>
      </w:rPr>
      <w:t></w:t>
    </w:r>
    <w:r w:rsidRPr="006413CA">
      <w:rPr>
        <w:rFonts w:ascii="C39T30Lfz" w:hAnsi="C39T30Lfz"/>
        <w:sz w:val="56"/>
      </w:rPr>
      <w:t></w:t>
    </w:r>
    <w:r w:rsidRPr="006413CA">
      <w:rPr>
        <w:rFonts w:ascii="C39T30Lfz" w:hAnsi="C39T30Lfz"/>
        <w:sz w:val="56"/>
      </w:rPr>
      <w:t></w:t>
    </w:r>
    <w:r w:rsidRPr="006413CA">
      <w:rPr>
        <w:rFonts w:ascii="C39T30Lfz" w:hAnsi="C39T30Lfz"/>
        <w:sz w:val="56"/>
      </w:rPr>
      <w:t></w:t>
    </w:r>
    <w:r w:rsidRPr="006413CA">
      <w:rPr>
        <w:rFonts w:ascii="C39T30Lfz" w:hAnsi="C39T30Lfz"/>
        <w:sz w:val="56"/>
      </w:rPr>
      <w:t></w:t>
    </w:r>
    <w:r w:rsidRPr="006413CA">
      <w:rPr>
        <w:rFonts w:ascii="C39T30Lfz" w:hAnsi="C39T30Lfz"/>
        <w:sz w:val="56"/>
      </w:rPr>
      <w:t></w:t>
    </w:r>
    <w:r w:rsidRPr="006413CA">
      <w:rPr>
        <w:rFonts w:ascii="C39T30Lfz" w:hAnsi="C39T30Lfz"/>
        <w:noProof/>
        <w:sz w:val="56"/>
        <w:lang w:eastAsia="fr-CH"/>
      </w:rPr>
      <w:drawing>
        <wp:anchor distT="0" distB="0" distL="114300" distR="114300" simplePos="0" relativeHeight="251660288" behindDoc="0" locked="0" layoutInCell="1" allowOverlap="0" wp14:anchorId="1BC21E98" wp14:editId="011C5E87">
          <wp:simplePos x="0" y="0"/>
          <wp:positionH relativeFrom="margin">
            <wp:posOffset>4320540</wp:posOffset>
          </wp:positionH>
          <wp:positionV relativeFrom="margin">
            <wp:posOffset>9145270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38630216" wp14:editId="4953E3CE">
          <wp:simplePos x="0" y="0"/>
          <wp:positionH relativeFrom="margin">
            <wp:posOffset>5489575</wp:posOffset>
          </wp:positionH>
          <wp:positionV relativeFrom="margin">
            <wp:posOffset>8891905</wp:posOffset>
          </wp:positionV>
          <wp:extent cx="628650" cy="6286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A34C" w14:textId="77777777" w:rsidR="00C957C8" w:rsidRPr="00AC3823" w:rsidRDefault="00C957C8" w:rsidP="00AC3823">
      <w:pPr>
        <w:pStyle w:val="Pieddepage"/>
        <w:tabs>
          <w:tab w:val="right" w:pos="2155"/>
        </w:tabs>
        <w:spacing w:after="80" w:line="240" w:lineRule="atLeast"/>
        <w:ind w:left="680"/>
        <w:rPr>
          <w:u w:val="single"/>
        </w:rPr>
      </w:pPr>
      <w:r>
        <w:rPr>
          <w:u w:val="single"/>
        </w:rPr>
        <w:tab/>
      </w:r>
    </w:p>
  </w:footnote>
  <w:footnote w:type="continuationSeparator" w:id="0">
    <w:p w14:paraId="68E9BA2F" w14:textId="77777777" w:rsidR="00C957C8" w:rsidRPr="00AC3823" w:rsidRDefault="00C957C8" w:rsidP="00AC3823">
      <w:pPr>
        <w:pStyle w:val="Pieddepage"/>
        <w:tabs>
          <w:tab w:val="right" w:pos="2155"/>
        </w:tabs>
        <w:spacing w:after="80" w:line="240" w:lineRule="atLeast"/>
        <w:ind w:left="680"/>
        <w:rPr>
          <w:u w:val="single"/>
        </w:rPr>
      </w:pPr>
      <w:r>
        <w:rPr>
          <w:u w:val="single"/>
        </w:rPr>
        <w:tab/>
      </w:r>
    </w:p>
  </w:footnote>
  <w:footnote w:type="continuationNotice" w:id="1">
    <w:p w14:paraId="1DD989D9" w14:textId="77777777" w:rsidR="00C957C8" w:rsidRPr="00AC3823" w:rsidRDefault="00C957C8">
      <w:pPr>
        <w:spacing w:line="240" w:lineRule="auto"/>
        <w:rPr>
          <w:sz w:val="2"/>
          <w:szCs w:val="2"/>
        </w:rPr>
      </w:pPr>
    </w:p>
  </w:footnote>
  <w:footnote w:id="2">
    <w:p w14:paraId="325724A9" w14:textId="77777777" w:rsidR="0059201E" w:rsidRPr="0059201E" w:rsidRDefault="0059201E">
      <w:pPr>
        <w:pStyle w:val="Notedebasdepage"/>
      </w:pPr>
      <w:r>
        <w:rPr>
          <w:rStyle w:val="Appelnotedebasdep"/>
        </w:rPr>
        <w:tab/>
      </w:r>
      <w:r w:rsidRPr="00755DA0">
        <w:rPr>
          <w:rStyle w:val="Appelnotedebasdep"/>
          <w:sz w:val="20"/>
          <w:vertAlign w:val="baseline"/>
        </w:rPr>
        <w:t>*</w:t>
      </w:r>
      <w:r>
        <w:rPr>
          <w:rStyle w:val="Appelnotedebasdep"/>
          <w:sz w:val="20"/>
          <w:vertAlign w:val="baseline"/>
        </w:rPr>
        <w:tab/>
      </w:r>
      <w:r>
        <w:rPr>
          <w:lang w:val="fr-FR"/>
        </w:rPr>
        <w:t>Adoptées par le Comité à sa 128</w:t>
      </w:r>
      <w:r w:rsidRPr="00193C16">
        <w:rPr>
          <w:vertAlign w:val="superscript"/>
          <w:lang w:val="fr-FR"/>
        </w:rPr>
        <w:t>e</w:t>
      </w:r>
      <w:r>
        <w:rPr>
          <w:lang w:val="fr-FR"/>
        </w:rPr>
        <w:t> session (</w:t>
      </w:r>
      <w:r w:rsidRPr="00190719">
        <w:rPr>
          <w:lang w:val="fr-FR"/>
        </w:rPr>
        <w:t>2-27</w:t>
      </w:r>
      <w:r>
        <w:rPr>
          <w:lang w:val="fr-FR"/>
        </w:rPr>
        <w:t> </w:t>
      </w:r>
      <w:r w:rsidRPr="00190719">
        <w:rPr>
          <w:lang w:val="fr-FR"/>
        </w:rPr>
        <w:t>mars 2020</w:t>
      </w:r>
      <w:r>
        <w:rPr>
          <w:lang w:val="fr-FR"/>
        </w:rPr>
        <w:t>).</w:t>
      </w:r>
    </w:p>
  </w:footnote>
  <w:footnote w:id="3">
    <w:p w14:paraId="54264488" w14:textId="77777777" w:rsidR="0059201E" w:rsidRPr="0059201E" w:rsidRDefault="0059201E">
      <w:pPr>
        <w:pStyle w:val="Notedebasdepage"/>
      </w:pPr>
      <w:r>
        <w:rPr>
          <w:rStyle w:val="Appelnotedebasdep"/>
        </w:rPr>
        <w:tab/>
      </w:r>
      <w:r w:rsidRPr="00755DA0">
        <w:rPr>
          <w:rStyle w:val="Appelnotedebasdep"/>
          <w:sz w:val="20"/>
          <w:vertAlign w:val="baseline"/>
        </w:rPr>
        <w:t>**</w:t>
      </w:r>
      <w:r>
        <w:rPr>
          <w:rStyle w:val="Appelnotedebasdep"/>
          <w:sz w:val="20"/>
          <w:vertAlign w:val="baseline"/>
        </w:rPr>
        <w:tab/>
      </w:r>
      <w:r w:rsidRPr="000A00E1">
        <w:t xml:space="preserve">Les membres du </w:t>
      </w:r>
      <w:r>
        <w:t>Comité</w:t>
      </w:r>
      <w:r w:rsidRPr="000A00E1">
        <w:t xml:space="preserve"> dont le nom suit ont participé à l</w:t>
      </w:r>
      <w:r>
        <w:t>’</w:t>
      </w:r>
      <w:r w:rsidRPr="000A00E1">
        <w:t>examen de la communication</w:t>
      </w:r>
      <w:r>
        <w:t xml:space="preserve"> : </w:t>
      </w:r>
      <w:proofErr w:type="spellStart"/>
      <w:r w:rsidRPr="00193C16">
        <w:rPr>
          <w:lang w:val="fr-FR"/>
        </w:rPr>
        <w:t>Yad</w:t>
      </w:r>
      <w:r>
        <w:rPr>
          <w:lang w:val="fr-FR"/>
        </w:rPr>
        <w:t>h</w:t>
      </w:r>
      <w:proofErr w:type="spellEnd"/>
      <w:r>
        <w:rPr>
          <w:lang w:val="fr-FR"/>
        </w:rPr>
        <w:t xml:space="preserve"> Ben Achour</w:t>
      </w:r>
      <w:r w:rsidRPr="00193C16">
        <w:rPr>
          <w:lang w:val="fr-FR"/>
        </w:rPr>
        <w:t xml:space="preserve">, Arif </w:t>
      </w:r>
      <w:proofErr w:type="spellStart"/>
      <w:r w:rsidRPr="00193C16">
        <w:rPr>
          <w:lang w:val="fr-FR"/>
        </w:rPr>
        <w:t>Bulkan</w:t>
      </w:r>
      <w:proofErr w:type="spellEnd"/>
      <w:r w:rsidRPr="00193C16">
        <w:rPr>
          <w:lang w:val="fr-FR"/>
        </w:rPr>
        <w:t>, Ahme</w:t>
      </w:r>
      <w:r>
        <w:rPr>
          <w:lang w:val="fr-FR"/>
        </w:rPr>
        <w:t xml:space="preserve">d Amin </w:t>
      </w:r>
      <w:proofErr w:type="spellStart"/>
      <w:r>
        <w:rPr>
          <w:lang w:val="fr-FR"/>
        </w:rPr>
        <w:t>Fathalla</w:t>
      </w:r>
      <w:proofErr w:type="spellEnd"/>
      <w:r w:rsidRPr="00193C16">
        <w:rPr>
          <w:lang w:val="fr-FR"/>
        </w:rPr>
        <w:t xml:space="preserve">, </w:t>
      </w:r>
      <w:proofErr w:type="spellStart"/>
      <w:r w:rsidRPr="00193C16">
        <w:rPr>
          <w:lang w:val="fr-FR"/>
        </w:rPr>
        <w:t>Christof</w:t>
      </w:r>
      <w:proofErr w:type="spellEnd"/>
      <w:r w:rsidRPr="00193C16">
        <w:rPr>
          <w:lang w:val="fr-FR"/>
        </w:rPr>
        <w:t xml:space="preserve"> </w:t>
      </w:r>
      <w:proofErr w:type="spellStart"/>
      <w:r w:rsidRPr="00193C16">
        <w:rPr>
          <w:lang w:val="fr-FR"/>
        </w:rPr>
        <w:t>Heyns</w:t>
      </w:r>
      <w:proofErr w:type="spellEnd"/>
      <w:r w:rsidRPr="00193C16">
        <w:rPr>
          <w:lang w:val="fr-FR"/>
        </w:rPr>
        <w:t xml:space="preserve">, </w:t>
      </w:r>
      <w:proofErr w:type="spellStart"/>
      <w:r w:rsidRPr="00193C16">
        <w:rPr>
          <w:lang w:val="fr-FR"/>
        </w:rPr>
        <w:t>Bamariam</w:t>
      </w:r>
      <w:proofErr w:type="spellEnd"/>
      <w:r w:rsidRPr="00193C16">
        <w:rPr>
          <w:lang w:val="fr-FR"/>
        </w:rPr>
        <w:t xml:space="preserve"> </w:t>
      </w:r>
      <w:proofErr w:type="spellStart"/>
      <w:r w:rsidRPr="00193C16">
        <w:rPr>
          <w:lang w:val="fr-FR"/>
        </w:rPr>
        <w:t>Koita</w:t>
      </w:r>
      <w:proofErr w:type="spellEnd"/>
      <w:r w:rsidRPr="00193C16">
        <w:rPr>
          <w:lang w:val="fr-FR"/>
        </w:rPr>
        <w:t xml:space="preserve">, </w:t>
      </w:r>
      <w:r>
        <w:rPr>
          <w:lang w:val="fr-FR"/>
        </w:rPr>
        <w:t>Marcia</w:t>
      </w:r>
      <w:r w:rsidRPr="00190719">
        <w:rPr>
          <w:lang w:val="fr-FR"/>
        </w:rPr>
        <w:t xml:space="preserve"> </w:t>
      </w:r>
      <w:r>
        <w:rPr>
          <w:lang w:val="fr-FR"/>
        </w:rPr>
        <w:t>V. J. </w:t>
      </w:r>
      <w:proofErr w:type="spellStart"/>
      <w:r w:rsidRPr="00190719">
        <w:rPr>
          <w:lang w:val="fr-FR"/>
        </w:rPr>
        <w:t>K</w:t>
      </w:r>
      <w:r>
        <w:rPr>
          <w:lang w:val="fr-FR"/>
        </w:rPr>
        <w:t>ran</w:t>
      </w:r>
      <w:proofErr w:type="spellEnd"/>
      <w:r>
        <w:rPr>
          <w:lang w:val="fr-FR"/>
        </w:rPr>
        <w:t xml:space="preserve">, </w:t>
      </w:r>
      <w:r w:rsidRPr="00193C16">
        <w:rPr>
          <w:lang w:val="fr-FR"/>
        </w:rPr>
        <w:t xml:space="preserve">Duncan Laki </w:t>
      </w:r>
      <w:proofErr w:type="spellStart"/>
      <w:r w:rsidRPr="00193C16">
        <w:rPr>
          <w:lang w:val="fr-FR"/>
        </w:rPr>
        <w:t>Muhumuza</w:t>
      </w:r>
      <w:proofErr w:type="spellEnd"/>
      <w:r w:rsidRPr="00193C16">
        <w:rPr>
          <w:lang w:val="fr-FR"/>
        </w:rPr>
        <w:t xml:space="preserve">, </w:t>
      </w:r>
      <w:proofErr w:type="spellStart"/>
      <w:r w:rsidRPr="00193C16">
        <w:rPr>
          <w:lang w:val="fr-FR"/>
        </w:rPr>
        <w:t>Photini</w:t>
      </w:r>
      <w:proofErr w:type="spellEnd"/>
      <w:r w:rsidRPr="00193C16">
        <w:rPr>
          <w:lang w:val="fr-FR"/>
        </w:rPr>
        <w:t xml:space="preserve"> </w:t>
      </w:r>
      <w:proofErr w:type="spellStart"/>
      <w:r w:rsidRPr="00193C16">
        <w:rPr>
          <w:lang w:val="fr-FR"/>
        </w:rPr>
        <w:t>Pazartzis</w:t>
      </w:r>
      <w:proofErr w:type="spellEnd"/>
      <w:r w:rsidRPr="00193C16">
        <w:rPr>
          <w:lang w:val="fr-FR"/>
        </w:rPr>
        <w:t xml:space="preserve">, Hernán </w:t>
      </w:r>
      <w:proofErr w:type="spellStart"/>
      <w:r w:rsidRPr="00193C16">
        <w:rPr>
          <w:lang w:val="fr-FR"/>
        </w:rPr>
        <w:t>Quezada</w:t>
      </w:r>
      <w:proofErr w:type="spellEnd"/>
      <w:r>
        <w:rPr>
          <w:lang w:val="fr-FR"/>
        </w:rPr>
        <w:t xml:space="preserve"> Cabrera</w:t>
      </w:r>
      <w:r w:rsidRPr="00193C16">
        <w:rPr>
          <w:lang w:val="fr-FR"/>
        </w:rPr>
        <w:t xml:space="preserve">, </w:t>
      </w:r>
      <w:proofErr w:type="spellStart"/>
      <w:r w:rsidRPr="00193C16">
        <w:rPr>
          <w:lang w:val="fr-FR"/>
        </w:rPr>
        <w:t>Vasilka</w:t>
      </w:r>
      <w:proofErr w:type="spellEnd"/>
      <w:r w:rsidRPr="00193C16">
        <w:rPr>
          <w:lang w:val="fr-FR"/>
        </w:rPr>
        <w:t xml:space="preserve"> </w:t>
      </w:r>
      <w:proofErr w:type="spellStart"/>
      <w:r w:rsidRPr="00193C16">
        <w:rPr>
          <w:lang w:val="fr-FR"/>
        </w:rPr>
        <w:t>Sancin</w:t>
      </w:r>
      <w:proofErr w:type="spellEnd"/>
      <w:r w:rsidRPr="00193C16">
        <w:rPr>
          <w:lang w:val="fr-FR"/>
        </w:rPr>
        <w:t xml:space="preserve">, José Manuel Santos Pais, </w:t>
      </w:r>
      <w:r>
        <w:rPr>
          <w:lang w:val="fr-FR"/>
        </w:rPr>
        <w:t xml:space="preserve">Yuval </w:t>
      </w:r>
      <w:proofErr w:type="spellStart"/>
      <w:r>
        <w:rPr>
          <w:lang w:val="fr-FR"/>
        </w:rPr>
        <w:t>Shany</w:t>
      </w:r>
      <w:proofErr w:type="spellEnd"/>
      <w:r>
        <w:rPr>
          <w:lang w:val="fr-FR"/>
        </w:rPr>
        <w:t xml:space="preserve">, Hélène </w:t>
      </w:r>
      <w:proofErr w:type="spellStart"/>
      <w:r>
        <w:rPr>
          <w:lang w:val="fr-FR"/>
        </w:rPr>
        <w:t>T</w:t>
      </w:r>
      <w:r w:rsidRPr="006B35E7">
        <w:rPr>
          <w:lang w:val="fr-FR"/>
        </w:rPr>
        <w:t>igroudja</w:t>
      </w:r>
      <w:proofErr w:type="spellEnd"/>
      <w:r>
        <w:rPr>
          <w:lang w:val="fr-FR"/>
        </w:rPr>
        <w:t>,</w:t>
      </w:r>
      <w:r w:rsidRPr="00193C16">
        <w:rPr>
          <w:lang w:val="fr-FR"/>
        </w:rPr>
        <w:t xml:space="preserve"> Andreas Zimmermann</w:t>
      </w:r>
      <w:r>
        <w:rPr>
          <w:lang w:val="fr-FR"/>
        </w:rPr>
        <w:t xml:space="preserve"> et </w:t>
      </w:r>
      <w:proofErr w:type="spellStart"/>
      <w:r>
        <w:rPr>
          <w:lang w:val="fr-FR"/>
        </w:rPr>
        <w:t>Gentian</w:t>
      </w:r>
      <w:proofErr w:type="spellEnd"/>
      <w:r>
        <w:rPr>
          <w:lang w:val="fr-FR"/>
        </w:rPr>
        <w:t xml:space="preserve"> </w:t>
      </w:r>
      <w:proofErr w:type="spellStart"/>
      <w:r>
        <w:rPr>
          <w:lang w:val="fr-FR"/>
        </w:rPr>
        <w:t>Zyberi</w:t>
      </w:r>
      <w:proofErr w:type="spellEnd"/>
      <w:r w:rsidRPr="00193C16">
        <w:rPr>
          <w:lang w:val="fr-FR"/>
        </w:rPr>
        <w:t>.</w:t>
      </w:r>
    </w:p>
  </w:footnote>
  <w:footnote w:id="4">
    <w:p w14:paraId="5B1FE6C7" w14:textId="77777777" w:rsidR="0059201E" w:rsidRPr="004F1CEB" w:rsidRDefault="0059201E">
      <w:pPr>
        <w:pStyle w:val="Notedebasdepage"/>
      </w:pPr>
      <w:r>
        <w:tab/>
      </w:r>
      <w:r w:rsidRPr="004E1C4D">
        <w:rPr>
          <w:rStyle w:val="Appelnotedebasdep"/>
        </w:rPr>
        <w:footnoteRef/>
      </w:r>
      <w:r>
        <w:tab/>
      </w:r>
      <w:r w:rsidRPr="0059201E">
        <w:t>Plaintes</w:t>
      </w:r>
      <w:r>
        <w:t xml:space="preserve"> jointes au dossier.</w:t>
      </w:r>
    </w:p>
  </w:footnote>
  <w:footnote w:id="5">
    <w:p w14:paraId="71E5442B" w14:textId="77777777" w:rsidR="0059201E" w:rsidRPr="00AB67D4" w:rsidRDefault="0059201E" w:rsidP="0059201E">
      <w:pPr>
        <w:pStyle w:val="Notedebasdepage"/>
      </w:pPr>
      <w:r>
        <w:tab/>
      </w:r>
      <w:r w:rsidRPr="004E1C4D">
        <w:rPr>
          <w:rStyle w:val="Appelnotedebasdep"/>
        </w:rPr>
        <w:footnoteRef/>
      </w:r>
      <w:r>
        <w:tab/>
        <w:t>C</w:t>
      </w:r>
      <w:r w:rsidRPr="00AB67D4">
        <w:t>ourriers en date du 14</w:t>
      </w:r>
      <w:r w:rsidR="00EC4DE6">
        <w:t> </w:t>
      </w:r>
      <w:r w:rsidRPr="00AB67D4">
        <w:t xml:space="preserve">juin 1997, </w:t>
      </w:r>
      <w:r>
        <w:t xml:space="preserve">du </w:t>
      </w:r>
      <w:r w:rsidRPr="00AB67D4">
        <w:t>4</w:t>
      </w:r>
      <w:r w:rsidR="00EC4DE6">
        <w:t> </w:t>
      </w:r>
      <w:r w:rsidRPr="00AB67D4">
        <w:t xml:space="preserve">août 1997, </w:t>
      </w:r>
      <w:r>
        <w:t xml:space="preserve">du </w:t>
      </w:r>
      <w:r w:rsidRPr="00AB67D4">
        <w:t>15</w:t>
      </w:r>
      <w:r w:rsidR="00EC4DE6">
        <w:t> </w:t>
      </w:r>
      <w:r w:rsidRPr="00AB67D4">
        <w:t xml:space="preserve">septembre 1997 et </w:t>
      </w:r>
      <w:r>
        <w:t xml:space="preserve">du </w:t>
      </w:r>
      <w:r w:rsidRPr="00AB67D4">
        <w:t>29</w:t>
      </w:r>
      <w:r w:rsidR="00EC4DE6">
        <w:t> </w:t>
      </w:r>
      <w:r w:rsidRPr="00AB67D4">
        <w:t>avril 2008.</w:t>
      </w:r>
    </w:p>
  </w:footnote>
  <w:footnote w:id="6">
    <w:p w14:paraId="03752AB3" w14:textId="77777777" w:rsidR="0059201E" w:rsidRPr="00AB67D4" w:rsidRDefault="0059201E" w:rsidP="0059201E">
      <w:pPr>
        <w:pStyle w:val="Notedebasdepage"/>
      </w:pPr>
      <w:r>
        <w:tab/>
      </w:r>
      <w:r w:rsidRPr="004E1C4D">
        <w:rPr>
          <w:rStyle w:val="Appelnotedebasdep"/>
        </w:rPr>
        <w:footnoteRef/>
      </w:r>
      <w:r>
        <w:tab/>
        <w:t>C</w:t>
      </w:r>
      <w:r w:rsidRPr="00AB67D4">
        <w:t>ourrier en date du 2</w:t>
      </w:r>
      <w:r w:rsidR="00EC4DE6">
        <w:t> </w:t>
      </w:r>
      <w:r w:rsidRPr="00AB67D4">
        <w:t>juillet 1997</w:t>
      </w:r>
      <w:r>
        <w:t>.</w:t>
      </w:r>
    </w:p>
  </w:footnote>
  <w:footnote w:id="7">
    <w:p w14:paraId="40F3B8EB" w14:textId="77777777" w:rsidR="0059201E" w:rsidRPr="00AB67D4" w:rsidRDefault="0059201E" w:rsidP="0059201E">
      <w:pPr>
        <w:pStyle w:val="Notedebasdepage"/>
      </w:pPr>
      <w:r>
        <w:tab/>
      </w:r>
      <w:r w:rsidRPr="004E1C4D">
        <w:rPr>
          <w:rStyle w:val="Appelnotedebasdep"/>
        </w:rPr>
        <w:footnoteRef/>
      </w:r>
      <w:r>
        <w:tab/>
        <w:t>C</w:t>
      </w:r>
      <w:r w:rsidRPr="00AB67D4">
        <w:t>ourrier en date du 4</w:t>
      </w:r>
      <w:r w:rsidR="00EC4DE6">
        <w:t> </w:t>
      </w:r>
      <w:r w:rsidRPr="00AB67D4">
        <w:t>a</w:t>
      </w:r>
      <w:r>
        <w:t>o</w:t>
      </w:r>
      <w:r w:rsidRPr="00AB67D4">
        <w:t>ût 1997</w:t>
      </w:r>
      <w:r>
        <w:t>.</w:t>
      </w:r>
    </w:p>
  </w:footnote>
  <w:footnote w:id="8">
    <w:p w14:paraId="6109E96F" w14:textId="77777777" w:rsidR="0059201E" w:rsidRPr="00AB67D4" w:rsidRDefault="0059201E" w:rsidP="0059201E">
      <w:pPr>
        <w:pStyle w:val="Notedebasdepage"/>
      </w:pPr>
      <w:r>
        <w:tab/>
      </w:r>
      <w:r w:rsidRPr="004E1C4D">
        <w:rPr>
          <w:rStyle w:val="Appelnotedebasdep"/>
        </w:rPr>
        <w:footnoteRef/>
      </w:r>
      <w:r>
        <w:tab/>
        <w:t>C</w:t>
      </w:r>
      <w:r w:rsidRPr="00AB67D4">
        <w:t>ourrier en date du 10</w:t>
      </w:r>
      <w:r w:rsidR="00EC4DE6">
        <w:t> </w:t>
      </w:r>
      <w:r w:rsidRPr="00AB67D4">
        <w:t>juin 1998</w:t>
      </w:r>
      <w:r>
        <w:t>.</w:t>
      </w:r>
    </w:p>
  </w:footnote>
  <w:footnote w:id="9">
    <w:p w14:paraId="544D2DE6" w14:textId="77777777" w:rsidR="0059201E" w:rsidRPr="00AB67D4" w:rsidRDefault="0059201E" w:rsidP="0059201E">
      <w:pPr>
        <w:pStyle w:val="Notedebasdepage"/>
      </w:pPr>
      <w:r>
        <w:tab/>
      </w:r>
      <w:r w:rsidRPr="004E1C4D">
        <w:rPr>
          <w:rStyle w:val="Appelnotedebasdep"/>
        </w:rPr>
        <w:footnoteRef/>
      </w:r>
      <w:r>
        <w:tab/>
        <w:t>C</w:t>
      </w:r>
      <w:r w:rsidRPr="00AB67D4">
        <w:t>ourrier en date du 8</w:t>
      </w:r>
      <w:r w:rsidR="00EC4DE6">
        <w:t> </w:t>
      </w:r>
      <w:r w:rsidRPr="00AB67D4">
        <w:t>a</w:t>
      </w:r>
      <w:r>
        <w:t>o</w:t>
      </w:r>
      <w:r w:rsidRPr="00AB67D4">
        <w:t>ût 1998</w:t>
      </w:r>
      <w:r>
        <w:t>.</w:t>
      </w:r>
    </w:p>
  </w:footnote>
  <w:footnote w:id="10">
    <w:p w14:paraId="2FE6C3F2" w14:textId="77777777" w:rsidR="0059201E" w:rsidRPr="00AB67D4" w:rsidRDefault="0059201E" w:rsidP="0059201E">
      <w:pPr>
        <w:pStyle w:val="Notedebasdepage"/>
      </w:pPr>
      <w:r>
        <w:tab/>
      </w:r>
      <w:r w:rsidRPr="004E1C4D">
        <w:rPr>
          <w:rStyle w:val="Appelnotedebasdep"/>
        </w:rPr>
        <w:footnoteRef/>
      </w:r>
      <w:r>
        <w:tab/>
        <w:t>C</w:t>
      </w:r>
      <w:r w:rsidRPr="00AB67D4">
        <w:t>ourrier en date du 11</w:t>
      </w:r>
      <w:r w:rsidR="00EC4DE6">
        <w:t> </w:t>
      </w:r>
      <w:r w:rsidRPr="00AB67D4">
        <w:t>a</w:t>
      </w:r>
      <w:r>
        <w:t>o</w:t>
      </w:r>
      <w:r w:rsidRPr="00AB67D4">
        <w:t>ût 1998</w:t>
      </w:r>
      <w:r>
        <w:t>.</w:t>
      </w:r>
    </w:p>
  </w:footnote>
  <w:footnote w:id="11">
    <w:p w14:paraId="42F7EA43" w14:textId="77777777" w:rsidR="0059201E" w:rsidRPr="003F7119" w:rsidRDefault="0059201E" w:rsidP="0059201E">
      <w:pPr>
        <w:pStyle w:val="Notedebasdepage"/>
      </w:pPr>
      <w:r>
        <w:tab/>
      </w:r>
      <w:r w:rsidRPr="004E1C4D">
        <w:rPr>
          <w:rStyle w:val="Appelnotedebasdep"/>
        </w:rPr>
        <w:footnoteRef/>
      </w:r>
      <w:r>
        <w:tab/>
        <w:t>Courriers en date du 18</w:t>
      </w:r>
      <w:r w:rsidR="00EC4DE6">
        <w:t> </w:t>
      </w:r>
      <w:r>
        <w:t>novembre 1998 et du 16</w:t>
      </w:r>
      <w:r w:rsidR="00EC4DE6">
        <w:t> </w:t>
      </w:r>
      <w:r>
        <w:t>avril 2000.</w:t>
      </w:r>
    </w:p>
  </w:footnote>
  <w:footnote w:id="12">
    <w:p w14:paraId="3BE2F3E4" w14:textId="77777777" w:rsidR="0059201E" w:rsidRPr="00AB67D4" w:rsidRDefault="0059201E" w:rsidP="0059201E">
      <w:pPr>
        <w:pStyle w:val="Notedebasdepage"/>
      </w:pPr>
      <w:r>
        <w:tab/>
      </w:r>
      <w:r w:rsidRPr="004E1C4D">
        <w:rPr>
          <w:rStyle w:val="Appelnotedebasdep"/>
        </w:rPr>
        <w:footnoteRef/>
      </w:r>
      <w:r>
        <w:tab/>
        <w:t>C</w:t>
      </w:r>
      <w:r w:rsidRPr="00AB67D4">
        <w:t>ourrier en date du 14</w:t>
      </w:r>
      <w:r w:rsidR="00EC4DE6">
        <w:t> </w:t>
      </w:r>
      <w:r w:rsidRPr="00AB67D4">
        <w:t>novembre 2000</w:t>
      </w:r>
      <w:r>
        <w:t>.</w:t>
      </w:r>
    </w:p>
  </w:footnote>
  <w:footnote w:id="13">
    <w:p w14:paraId="0CB34CB8" w14:textId="77777777" w:rsidR="0059201E" w:rsidRPr="00AB67D4" w:rsidRDefault="0059201E" w:rsidP="0059201E">
      <w:pPr>
        <w:pStyle w:val="Notedebasdepage"/>
      </w:pPr>
      <w:r>
        <w:tab/>
      </w:r>
      <w:r w:rsidRPr="004E1C4D">
        <w:rPr>
          <w:rStyle w:val="Appelnotedebasdep"/>
        </w:rPr>
        <w:footnoteRef/>
      </w:r>
      <w:r>
        <w:tab/>
        <w:t>C</w:t>
      </w:r>
      <w:r w:rsidRPr="00AB67D4">
        <w:t>ourriers en date du 9</w:t>
      </w:r>
      <w:r w:rsidR="00EC4DE6">
        <w:t> </w:t>
      </w:r>
      <w:r w:rsidRPr="00AB67D4">
        <w:t xml:space="preserve">octobre 2002 et </w:t>
      </w:r>
      <w:r>
        <w:t xml:space="preserve">du </w:t>
      </w:r>
      <w:r w:rsidRPr="00AB67D4">
        <w:t>16</w:t>
      </w:r>
      <w:r w:rsidR="00EC4DE6">
        <w:t> </w:t>
      </w:r>
      <w:r w:rsidRPr="00AB67D4">
        <w:t>janvier 2003</w:t>
      </w:r>
      <w:r>
        <w:t>.</w:t>
      </w:r>
    </w:p>
  </w:footnote>
  <w:footnote w:id="14">
    <w:p w14:paraId="5592EEFB" w14:textId="77777777" w:rsidR="0059201E" w:rsidRDefault="0059201E" w:rsidP="0059201E">
      <w:pPr>
        <w:pStyle w:val="Notedebasdepage"/>
      </w:pPr>
      <w:r>
        <w:tab/>
      </w:r>
      <w:r w:rsidRPr="004E1C4D">
        <w:rPr>
          <w:rStyle w:val="Appelnotedebasdep"/>
        </w:rPr>
        <w:footnoteRef/>
      </w:r>
      <w:r>
        <w:tab/>
      </w:r>
      <w:r>
        <w:rPr>
          <w:szCs w:val="18"/>
        </w:rPr>
        <w:t xml:space="preserve">Voir, entre autres, l’opinion individuelle concordante de </w:t>
      </w:r>
      <w:proofErr w:type="spellStart"/>
      <w:r>
        <w:rPr>
          <w:szCs w:val="18"/>
        </w:rPr>
        <w:t>Fabián</w:t>
      </w:r>
      <w:proofErr w:type="spellEnd"/>
      <w:r>
        <w:rPr>
          <w:szCs w:val="18"/>
        </w:rPr>
        <w:t xml:space="preserve"> </w:t>
      </w:r>
      <w:proofErr w:type="spellStart"/>
      <w:r>
        <w:rPr>
          <w:szCs w:val="18"/>
        </w:rPr>
        <w:t>Salvioli</w:t>
      </w:r>
      <w:proofErr w:type="spellEnd"/>
      <w:r>
        <w:rPr>
          <w:szCs w:val="18"/>
        </w:rPr>
        <w:t xml:space="preserve"> dans l’affaire </w:t>
      </w:r>
      <w:proofErr w:type="spellStart"/>
      <w:r>
        <w:rPr>
          <w:i/>
          <w:szCs w:val="18"/>
        </w:rPr>
        <w:t>Djebbar</w:t>
      </w:r>
      <w:proofErr w:type="spellEnd"/>
      <w:r>
        <w:rPr>
          <w:i/>
          <w:szCs w:val="18"/>
        </w:rPr>
        <w:t xml:space="preserve"> et </w:t>
      </w:r>
      <w:proofErr w:type="spellStart"/>
      <w:r>
        <w:rPr>
          <w:i/>
          <w:szCs w:val="18"/>
        </w:rPr>
        <w:t>Chihoub</w:t>
      </w:r>
      <w:proofErr w:type="spellEnd"/>
      <w:r>
        <w:rPr>
          <w:i/>
          <w:szCs w:val="18"/>
        </w:rPr>
        <w:t xml:space="preserve"> c.</w:t>
      </w:r>
      <w:r w:rsidR="00EC4DE6">
        <w:rPr>
          <w:i/>
          <w:szCs w:val="18"/>
        </w:rPr>
        <w:t> </w:t>
      </w:r>
      <w:r w:rsidRPr="00E965B0">
        <w:rPr>
          <w:i/>
          <w:szCs w:val="18"/>
        </w:rPr>
        <w:t>Algérie</w:t>
      </w:r>
      <w:r>
        <w:rPr>
          <w:szCs w:val="18"/>
        </w:rPr>
        <w:t xml:space="preserve"> (CCPR/C/103/D/1811/2008).</w:t>
      </w:r>
    </w:p>
  </w:footnote>
  <w:footnote w:id="15">
    <w:p w14:paraId="00E6FF9C" w14:textId="77777777" w:rsidR="0059201E" w:rsidRDefault="0059201E" w:rsidP="0059201E">
      <w:pPr>
        <w:pStyle w:val="Notedebasdepage"/>
      </w:pPr>
      <w:r>
        <w:t xml:space="preserve"> </w:t>
      </w:r>
      <w:r>
        <w:tab/>
      </w:r>
      <w:r w:rsidRPr="004E1C4D">
        <w:rPr>
          <w:rStyle w:val="Appelnotedebasdep"/>
        </w:rPr>
        <w:footnoteRef/>
      </w:r>
      <w:r>
        <w:tab/>
        <w:t xml:space="preserve">Observation générale </w:t>
      </w:r>
      <w:r w:rsidR="00EC4DE6">
        <w:t>n</w:t>
      </w:r>
      <w:r w:rsidR="00EC4DE6" w:rsidRPr="00755DA0">
        <w:rPr>
          <w:vertAlign w:val="superscript"/>
        </w:rPr>
        <w:t>o</w:t>
      </w:r>
      <w:r w:rsidR="00EC4DE6">
        <w:t> </w:t>
      </w:r>
      <w:r w:rsidRPr="008E4FC5">
        <w:t xml:space="preserve">31 </w:t>
      </w:r>
      <w:r>
        <w:t>(2004) du Comité sur</w:t>
      </w:r>
      <w:r w:rsidRPr="008E4FC5">
        <w:t xml:space="preserve"> la nature de l</w:t>
      </w:r>
      <w:r>
        <w:t>’</w:t>
      </w:r>
      <w:r w:rsidRPr="008E4FC5">
        <w:t xml:space="preserve">obligation juridique générale imposée aux États parties </w:t>
      </w:r>
      <w:r>
        <w:t>au</w:t>
      </w:r>
      <w:r w:rsidRPr="008E4FC5">
        <w:t xml:space="preserve"> Pacte</w:t>
      </w:r>
      <w:r>
        <w:t>, par. 4.</w:t>
      </w:r>
    </w:p>
  </w:footnote>
  <w:footnote w:id="16">
    <w:p w14:paraId="38E8B0C8" w14:textId="77777777" w:rsidR="0059201E" w:rsidRPr="00B11211" w:rsidRDefault="0059201E" w:rsidP="0059201E">
      <w:pPr>
        <w:pStyle w:val="Notedebasdepage"/>
        <w:rPr>
          <w:szCs w:val="18"/>
        </w:rPr>
      </w:pPr>
      <w:r w:rsidRPr="00B11211">
        <w:rPr>
          <w:szCs w:val="18"/>
        </w:rPr>
        <w:tab/>
      </w:r>
      <w:r w:rsidRPr="004E1C4D">
        <w:rPr>
          <w:rStyle w:val="Appelnotedebasdep"/>
        </w:rPr>
        <w:footnoteRef/>
      </w:r>
      <w:r w:rsidRPr="00B11211">
        <w:rPr>
          <w:szCs w:val="18"/>
        </w:rPr>
        <w:tab/>
        <w:t>CCPR/C/DZA/CO/3, par.</w:t>
      </w:r>
      <w:r w:rsidR="00EC4DE6">
        <w:rPr>
          <w:szCs w:val="18"/>
        </w:rPr>
        <w:t> </w:t>
      </w:r>
      <w:r w:rsidRPr="00B11211">
        <w:rPr>
          <w:szCs w:val="18"/>
        </w:rPr>
        <w:t>7 et 8.</w:t>
      </w:r>
    </w:p>
  </w:footnote>
  <w:footnote w:id="17">
    <w:p w14:paraId="51D2A978" w14:textId="77777777" w:rsidR="0059201E" w:rsidRPr="00AF430B" w:rsidRDefault="0059201E" w:rsidP="0059201E">
      <w:pPr>
        <w:pStyle w:val="Notedebasdepage"/>
        <w:rPr>
          <w:szCs w:val="18"/>
        </w:rPr>
      </w:pPr>
      <w:r w:rsidRPr="00B11211">
        <w:rPr>
          <w:szCs w:val="18"/>
        </w:rPr>
        <w:tab/>
      </w:r>
      <w:r w:rsidRPr="004E1C4D">
        <w:rPr>
          <w:rStyle w:val="Appelnotedebasdep"/>
        </w:rPr>
        <w:footnoteRef/>
      </w:r>
      <w:r w:rsidRPr="00AF430B">
        <w:rPr>
          <w:szCs w:val="18"/>
        </w:rPr>
        <w:tab/>
        <w:t>CCPR/C/79/Add.95, par.</w:t>
      </w:r>
      <w:r w:rsidR="00EC4DE6">
        <w:rPr>
          <w:szCs w:val="18"/>
        </w:rPr>
        <w:t> </w:t>
      </w:r>
      <w:r w:rsidRPr="00AF430B">
        <w:rPr>
          <w:szCs w:val="18"/>
        </w:rPr>
        <w:t>10.</w:t>
      </w:r>
    </w:p>
  </w:footnote>
  <w:footnote w:id="18">
    <w:p w14:paraId="19BC4A78" w14:textId="77777777" w:rsidR="0059201E" w:rsidRPr="00A477A7" w:rsidRDefault="0059201E" w:rsidP="0059201E">
      <w:pPr>
        <w:pStyle w:val="Notedebasdepage"/>
        <w:rPr>
          <w:lang w:val="fr-FR"/>
        </w:rPr>
      </w:pPr>
      <w:r w:rsidRPr="009E7D51">
        <w:rPr>
          <w:lang w:val="fr-FR"/>
        </w:rPr>
        <w:tab/>
      </w:r>
      <w:r w:rsidRPr="004E1C4D">
        <w:rPr>
          <w:rStyle w:val="Appelnotedebasdep"/>
        </w:rPr>
        <w:footnoteRef/>
      </w:r>
      <w:r>
        <w:tab/>
      </w:r>
      <w:proofErr w:type="spellStart"/>
      <w:r w:rsidRPr="0061228F">
        <w:rPr>
          <w:i/>
          <w:iCs/>
          <w:szCs w:val="18"/>
          <w:lang w:val="fr-FR"/>
        </w:rPr>
        <w:t>Mezine</w:t>
      </w:r>
      <w:proofErr w:type="spellEnd"/>
      <w:r w:rsidRPr="0061228F">
        <w:rPr>
          <w:i/>
          <w:iCs/>
          <w:szCs w:val="18"/>
          <w:lang w:val="fr-FR"/>
        </w:rPr>
        <w:t xml:space="preserve"> c.</w:t>
      </w:r>
      <w:r w:rsidR="00EC4DE6">
        <w:rPr>
          <w:i/>
          <w:iCs/>
          <w:szCs w:val="18"/>
          <w:lang w:val="fr-FR"/>
        </w:rPr>
        <w:t> </w:t>
      </w:r>
      <w:r w:rsidRPr="0061228F">
        <w:rPr>
          <w:i/>
          <w:iCs/>
          <w:szCs w:val="18"/>
          <w:lang w:val="fr-FR"/>
        </w:rPr>
        <w:t>Algérie</w:t>
      </w:r>
      <w:r>
        <w:rPr>
          <w:szCs w:val="18"/>
          <w:lang w:val="fr-FR"/>
        </w:rPr>
        <w:t xml:space="preserve"> </w:t>
      </w:r>
      <w:r w:rsidRPr="0061228F">
        <w:rPr>
          <w:szCs w:val="18"/>
          <w:lang w:val="fr-FR"/>
        </w:rPr>
        <w:t>(CCPR/C/</w:t>
      </w:r>
      <w:r>
        <w:rPr>
          <w:szCs w:val="18"/>
          <w:lang w:val="fr-FR"/>
        </w:rPr>
        <w:t>106</w:t>
      </w:r>
      <w:r w:rsidRPr="0061228F">
        <w:rPr>
          <w:szCs w:val="18"/>
          <w:lang w:val="fr-FR"/>
        </w:rPr>
        <w:t>/D/1</w:t>
      </w:r>
      <w:r>
        <w:rPr>
          <w:szCs w:val="18"/>
          <w:lang w:val="fr-FR"/>
        </w:rPr>
        <w:t>779/2008</w:t>
      </w:r>
      <w:r w:rsidRPr="0061228F">
        <w:rPr>
          <w:szCs w:val="18"/>
          <w:lang w:val="fr-FR"/>
        </w:rPr>
        <w:t>)</w:t>
      </w:r>
      <w:r>
        <w:rPr>
          <w:szCs w:val="18"/>
          <w:lang w:val="fr-FR"/>
        </w:rPr>
        <w:t>, par.</w:t>
      </w:r>
      <w:r w:rsidR="00EC4DE6">
        <w:rPr>
          <w:szCs w:val="18"/>
          <w:lang w:val="fr-FR"/>
        </w:rPr>
        <w:t> </w:t>
      </w:r>
      <w:r>
        <w:rPr>
          <w:szCs w:val="18"/>
          <w:lang w:val="fr-FR"/>
        </w:rPr>
        <w:t xml:space="preserve">8.3 ; et </w:t>
      </w:r>
      <w:proofErr w:type="spellStart"/>
      <w:r w:rsidRPr="0061228F">
        <w:rPr>
          <w:i/>
          <w:iCs/>
          <w:szCs w:val="18"/>
          <w:lang w:val="fr-FR"/>
        </w:rPr>
        <w:t>Medjnoune</w:t>
      </w:r>
      <w:proofErr w:type="spellEnd"/>
      <w:r w:rsidRPr="0061228F">
        <w:rPr>
          <w:i/>
          <w:iCs/>
          <w:szCs w:val="18"/>
          <w:lang w:val="fr-FR"/>
        </w:rPr>
        <w:t xml:space="preserve"> c.</w:t>
      </w:r>
      <w:r w:rsidR="00EC4DE6">
        <w:rPr>
          <w:i/>
          <w:iCs/>
          <w:szCs w:val="18"/>
          <w:lang w:val="fr-FR"/>
        </w:rPr>
        <w:t> </w:t>
      </w:r>
      <w:r w:rsidRPr="0061228F">
        <w:rPr>
          <w:i/>
          <w:iCs/>
          <w:szCs w:val="18"/>
          <w:lang w:val="fr-FR"/>
        </w:rPr>
        <w:t>Algérie</w:t>
      </w:r>
      <w:r>
        <w:rPr>
          <w:iCs/>
          <w:szCs w:val="18"/>
          <w:lang w:val="fr-FR"/>
        </w:rPr>
        <w:t xml:space="preserve"> </w:t>
      </w:r>
      <w:r>
        <w:rPr>
          <w:szCs w:val="18"/>
          <w:lang w:val="fr-FR"/>
        </w:rPr>
        <w:t>(CCPR/C/87/D/1297/2004), par.</w:t>
      </w:r>
      <w:r w:rsidR="00EC4DE6">
        <w:rPr>
          <w:szCs w:val="18"/>
          <w:lang w:val="fr-FR"/>
        </w:rPr>
        <w:t> </w:t>
      </w:r>
      <w:r>
        <w:rPr>
          <w:szCs w:val="18"/>
          <w:lang w:val="fr-FR"/>
        </w:rPr>
        <w:t>8.3.</w:t>
      </w:r>
    </w:p>
  </w:footnote>
  <w:footnote w:id="19">
    <w:p w14:paraId="6781AA51" w14:textId="77777777" w:rsidR="0059201E" w:rsidRDefault="0059201E" w:rsidP="0059201E">
      <w:pPr>
        <w:pStyle w:val="Notedebasdepage"/>
      </w:pPr>
      <w:r>
        <w:tab/>
      </w:r>
      <w:r w:rsidRPr="004E1C4D">
        <w:rPr>
          <w:rStyle w:val="Appelnotedebasdep"/>
        </w:rPr>
        <w:footnoteRef/>
      </w:r>
      <w:r>
        <w:tab/>
      </w:r>
      <w:r>
        <w:rPr>
          <w:szCs w:val="18"/>
          <w:lang w:val="fr-FR"/>
        </w:rPr>
        <w:t xml:space="preserve">Voir, entre autres, </w:t>
      </w:r>
      <w:r>
        <w:rPr>
          <w:i/>
          <w:szCs w:val="18"/>
          <w:lang w:val="fr-FR"/>
        </w:rPr>
        <w:t xml:space="preserve">Tharu et consorts </w:t>
      </w:r>
      <w:r w:rsidRPr="001F433A">
        <w:rPr>
          <w:i/>
          <w:szCs w:val="18"/>
          <w:lang w:val="fr-FR"/>
        </w:rPr>
        <w:t>c.</w:t>
      </w:r>
      <w:r w:rsidR="00EC4DE6">
        <w:rPr>
          <w:i/>
          <w:szCs w:val="18"/>
          <w:lang w:val="fr-FR"/>
        </w:rPr>
        <w:t> </w:t>
      </w:r>
      <w:r>
        <w:rPr>
          <w:i/>
          <w:szCs w:val="18"/>
          <w:lang w:val="fr-FR"/>
        </w:rPr>
        <w:t>Népal</w:t>
      </w:r>
      <w:r>
        <w:rPr>
          <w:szCs w:val="18"/>
          <w:lang w:val="fr-FR"/>
        </w:rPr>
        <w:t xml:space="preserve"> (CCPR/C/114/D/2038/2011), par.</w:t>
      </w:r>
      <w:r w:rsidR="00EC4DE6">
        <w:rPr>
          <w:szCs w:val="18"/>
          <w:lang w:val="fr-FR"/>
        </w:rPr>
        <w:t> </w:t>
      </w:r>
      <w:r>
        <w:rPr>
          <w:szCs w:val="18"/>
          <w:lang w:val="fr-FR"/>
        </w:rPr>
        <w:t xml:space="preserve">9.2 ; </w:t>
      </w:r>
      <w:proofErr w:type="spellStart"/>
      <w:r>
        <w:rPr>
          <w:i/>
          <w:szCs w:val="18"/>
          <w:lang w:val="fr-FR"/>
        </w:rPr>
        <w:t>Ammari</w:t>
      </w:r>
      <w:proofErr w:type="spellEnd"/>
      <w:r>
        <w:rPr>
          <w:i/>
          <w:szCs w:val="18"/>
          <w:lang w:val="fr-FR"/>
        </w:rPr>
        <w:t xml:space="preserve"> </w:t>
      </w:r>
      <w:r w:rsidRPr="001F433A">
        <w:rPr>
          <w:i/>
          <w:szCs w:val="18"/>
          <w:lang w:val="fr-FR"/>
        </w:rPr>
        <w:t>c.</w:t>
      </w:r>
      <w:r w:rsidR="00EC4DE6">
        <w:rPr>
          <w:i/>
          <w:szCs w:val="18"/>
          <w:lang w:val="fr-FR"/>
        </w:rPr>
        <w:t> </w:t>
      </w:r>
      <w:r>
        <w:rPr>
          <w:i/>
          <w:szCs w:val="18"/>
          <w:lang w:val="fr-FR"/>
        </w:rPr>
        <w:t>Algérie</w:t>
      </w:r>
      <w:r>
        <w:rPr>
          <w:szCs w:val="18"/>
          <w:lang w:val="fr-FR"/>
        </w:rPr>
        <w:t xml:space="preserve"> (</w:t>
      </w:r>
      <w:bookmarkStart w:id="3" w:name="_Hlk28710994"/>
      <w:r>
        <w:rPr>
          <w:szCs w:val="18"/>
          <w:lang w:val="fr-FR"/>
        </w:rPr>
        <w:t>CCPR/C/112/D/2098/2011</w:t>
      </w:r>
      <w:bookmarkEnd w:id="3"/>
      <w:r>
        <w:rPr>
          <w:szCs w:val="18"/>
          <w:lang w:val="fr-FR"/>
        </w:rPr>
        <w:t>), par.</w:t>
      </w:r>
      <w:r w:rsidR="00EC4DE6">
        <w:rPr>
          <w:szCs w:val="18"/>
          <w:lang w:val="fr-FR"/>
        </w:rPr>
        <w:t> </w:t>
      </w:r>
      <w:r>
        <w:rPr>
          <w:szCs w:val="18"/>
          <w:lang w:val="fr-FR"/>
        </w:rPr>
        <w:t xml:space="preserve">7.2 ; et </w:t>
      </w:r>
      <w:proofErr w:type="spellStart"/>
      <w:r w:rsidRPr="005E34CC">
        <w:rPr>
          <w:i/>
          <w:szCs w:val="18"/>
          <w:lang w:val="fr-FR"/>
        </w:rPr>
        <w:t>Zai</w:t>
      </w:r>
      <w:r>
        <w:rPr>
          <w:i/>
          <w:szCs w:val="18"/>
          <w:lang w:val="fr-FR"/>
        </w:rPr>
        <w:t>e</w:t>
      </w:r>
      <w:r w:rsidRPr="005E34CC">
        <w:rPr>
          <w:i/>
          <w:szCs w:val="18"/>
          <w:lang w:val="fr-FR"/>
        </w:rPr>
        <w:t>r</w:t>
      </w:r>
      <w:proofErr w:type="spellEnd"/>
      <w:r w:rsidRPr="005E34CC">
        <w:rPr>
          <w:i/>
          <w:szCs w:val="18"/>
          <w:lang w:val="fr-FR"/>
        </w:rPr>
        <w:t xml:space="preserve"> </w:t>
      </w:r>
      <w:r w:rsidRPr="001F433A">
        <w:rPr>
          <w:i/>
          <w:szCs w:val="18"/>
          <w:lang w:val="fr-FR"/>
        </w:rPr>
        <w:t>c</w:t>
      </w:r>
      <w:r>
        <w:rPr>
          <w:i/>
          <w:szCs w:val="18"/>
          <w:lang w:val="fr-FR"/>
        </w:rPr>
        <w:t>.</w:t>
      </w:r>
      <w:r w:rsidR="00EC4DE6">
        <w:rPr>
          <w:i/>
          <w:szCs w:val="18"/>
          <w:lang w:val="fr-FR"/>
        </w:rPr>
        <w:t> </w:t>
      </w:r>
      <w:r w:rsidRPr="005E34CC">
        <w:rPr>
          <w:i/>
          <w:szCs w:val="18"/>
          <w:lang w:val="fr-FR"/>
        </w:rPr>
        <w:t>Algérie</w:t>
      </w:r>
      <w:r>
        <w:rPr>
          <w:szCs w:val="18"/>
          <w:lang w:val="fr-FR"/>
        </w:rPr>
        <w:t xml:space="preserve"> (CCPR/C/112/D/2026/2011), par.</w:t>
      </w:r>
      <w:r w:rsidR="00EC4DE6">
        <w:rPr>
          <w:szCs w:val="18"/>
          <w:lang w:val="fr-FR"/>
        </w:rPr>
        <w:t> </w:t>
      </w:r>
      <w:r>
        <w:rPr>
          <w:szCs w:val="18"/>
          <w:lang w:val="fr-FR"/>
        </w:rPr>
        <w:t>6.2.</w:t>
      </w:r>
    </w:p>
  </w:footnote>
  <w:footnote w:id="20">
    <w:p w14:paraId="746FE5A0" w14:textId="77777777" w:rsidR="0059201E" w:rsidRPr="00C946E6" w:rsidRDefault="0059201E" w:rsidP="0059201E">
      <w:pPr>
        <w:pStyle w:val="Notedebasdepage"/>
      </w:pPr>
      <w:r>
        <w:tab/>
      </w:r>
      <w:r w:rsidRPr="004E1C4D">
        <w:rPr>
          <w:rStyle w:val="Appelnotedebasdep"/>
        </w:rPr>
        <w:footnoteRef/>
      </w:r>
      <w:r>
        <w:tab/>
        <w:t>CCPR/C/DZA/CO/4, par.</w:t>
      </w:r>
      <w:r w:rsidR="00EC4DE6">
        <w:t> </w:t>
      </w:r>
      <w:r>
        <w:t>7 et 8</w:t>
      </w:r>
      <w:r w:rsidRPr="00C946E6">
        <w:t>.</w:t>
      </w:r>
    </w:p>
  </w:footnote>
  <w:footnote w:id="21">
    <w:p w14:paraId="03C9232A" w14:textId="77777777" w:rsidR="0059201E" w:rsidRPr="00B11211" w:rsidRDefault="0059201E" w:rsidP="0059201E">
      <w:pPr>
        <w:pStyle w:val="Notedebasdepage"/>
        <w:rPr>
          <w:szCs w:val="18"/>
        </w:rPr>
      </w:pPr>
      <w:r w:rsidRPr="00C946E6">
        <w:rPr>
          <w:szCs w:val="18"/>
        </w:rPr>
        <w:tab/>
      </w:r>
      <w:r w:rsidRPr="004E1C4D">
        <w:rPr>
          <w:rStyle w:val="Appelnotedebasdep"/>
        </w:rPr>
        <w:footnoteRef/>
      </w:r>
      <w:r w:rsidRPr="00B11211">
        <w:rPr>
          <w:szCs w:val="18"/>
        </w:rPr>
        <w:tab/>
      </w:r>
      <w:proofErr w:type="spellStart"/>
      <w:r w:rsidRPr="00B11211">
        <w:rPr>
          <w:i/>
          <w:iCs/>
          <w:szCs w:val="18"/>
        </w:rPr>
        <w:t>Boudjemai</w:t>
      </w:r>
      <w:proofErr w:type="spellEnd"/>
      <w:r w:rsidRPr="00B11211">
        <w:rPr>
          <w:i/>
          <w:iCs/>
          <w:szCs w:val="18"/>
        </w:rPr>
        <w:t xml:space="preserve"> </w:t>
      </w:r>
      <w:r w:rsidRPr="00B11211">
        <w:rPr>
          <w:i/>
          <w:szCs w:val="18"/>
        </w:rPr>
        <w:t>c.</w:t>
      </w:r>
      <w:r w:rsidR="00EC4DE6">
        <w:rPr>
          <w:i/>
          <w:iCs/>
          <w:szCs w:val="18"/>
        </w:rPr>
        <w:t> </w:t>
      </w:r>
      <w:r w:rsidRPr="00B11211">
        <w:rPr>
          <w:i/>
          <w:iCs/>
          <w:szCs w:val="18"/>
        </w:rPr>
        <w:t>Algérie</w:t>
      </w:r>
      <w:r w:rsidRPr="00B11211">
        <w:rPr>
          <w:szCs w:val="18"/>
        </w:rPr>
        <w:t xml:space="preserve"> (CCPR/C/107/D/1791/2008), par.</w:t>
      </w:r>
      <w:r w:rsidR="00EC4DE6">
        <w:rPr>
          <w:szCs w:val="18"/>
        </w:rPr>
        <w:t> </w:t>
      </w:r>
      <w:r w:rsidRPr="00B11211">
        <w:rPr>
          <w:szCs w:val="18"/>
        </w:rPr>
        <w:t>7.4.</w:t>
      </w:r>
    </w:p>
  </w:footnote>
  <w:footnote w:id="22">
    <w:p w14:paraId="5656B56F" w14:textId="77777777" w:rsidR="0059201E" w:rsidRPr="00B11211" w:rsidRDefault="0059201E" w:rsidP="0059201E">
      <w:pPr>
        <w:pStyle w:val="Notedebasdepage"/>
        <w:rPr>
          <w:szCs w:val="18"/>
        </w:rPr>
      </w:pPr>
      <w:r w:rsidRPr="00B11211">
        <w:rPr>
          <w:szCs w:val="18"/>
        </w:rPr>
        <w:tab/>
      </w:r>
      <w:r w:rsidRPr="004E1C4D">
        <w:rPr>
          <w:rStyle w:val="Appelnotedebasdep"/>
        </w:rPr>
        <w:footnoteRef/>
      </w:r>
      <w:r w:rsidRPr="00C946E6">
        <w:rPr>
          <w:szCs w:val="18"/>
        </w:rPr>
        <w:tab/>
        <w:t>CCPR/C/DZA/CO/3, par.</w:t>
      </w:r>
      <w:r w:rsidR="00EC4DE6">
        <w:rPr>
          <w:szCs w:val="18"/>
        </w:rPr>
        <w:t> </w:t>
      </w:r>
      <w:r w:rsidRPr="00B11211">
        <w:rPr>
          <w:szCs w:val="18"/>
        </w:rPr>
        <w:t>7, 8 et 13</w:t>
      </w:r>
      <w:r>
        <w:rPr>
          <w:szCs w:val="18"/>
        </w:rPr>
        <w:t xml:space="preserve"> ; et </w:t>
      </w:r>
      <w:r>
        <w:t>CCPR/C/DZA/CO/4, par.</w:t>
      </w:r>
      <w:r w:rsidR="00EC4DE6">
        <w:t> </w:t>
      </w:r>
      <w:r>
        <w:t>6, 8, 12, 14 et 34</w:t>
      </w:r>
      <w:r w:rsidRPr="00B11211">
        <w:rPr>
          <w:szCs w:val="18"/>
        </w:rPr>
        <w:t>.</w:t>
      </w:r>
    </w:p>
  </w:footnote>
  <w:footnote w:id="23">
    <w:p w14:paraId="577B3F7C" w14:textId="77777777" w:rsidR="0059201E" w:rsidRPr="006C69A9" w:rsidRDefault="0059201E" w:rsidP="0059201E">
      <w:pPr>
        <w:pStyle w:val="Notedebasdepage"/>
      </w:pPr>
      <w:r>
        <w:tab/>
      </w:r>
      <w:r w:rsidRPr="004E1C4D">
        <w:rPr>
          <w:rStyle w:val="Appelnotedebasdep"/>
        </w:rPr>
        <w:footnoteRef/>
      </w:r>
      <w:r>
        <w:tab/>
        <w:t>CCPR/C/DZA/CO/4, par.</w:t>
      </w:r>
      <w:r w:rsidR="00EC4DE6">
        <w:t> </w:t>
      </w:r>
      <w:r>
        <w:t>29.</w:t>
      </w:r>
    </w:p>
  </w:footnote>
  <w:footnote w:id="24">
    <w:p w14:paraId="2E3F61EC" w14:textId="77777777" w:rsidR="0059201E" w:rsidRDefault="0059201E" w:rsidP="0059201E">
      <w:pPr>
        <w:pStyle w:val="Notedebasdepage"/>
      </w:pPr>
      <w:r>
        <w:rPr>
          <w:lang w:val="fr-FR"/>
        </w:rPr>
        <w:tab/>
      </w:r>
      <w:r w:rsidRPr="004E1C4D">
        <w:rPr>
          <w:rStyle w:val="Appelnotedebasdep"/>
        </w:rPr>
        <w:footnoteRef/>
      </w:r>
      <w:r>
        <w:tab/>
      </w:r>
      <w:r w:rsidRPr="002C0AC8">
        <w:rPr>
          <w:spacing w:val="-4"/>
        </w:rPr>
        <w:t>Voir</w:t>
      </w:r>
      <w:r>
        <w:rPr>
          <w:spacing w:val="-4"/>
        </w:rPr>
        <w:t>,</w:t>
      </w:r>
      <w:r w:rsidRPr="002C0AC8">
        <w:rPr>
          <w:spacing w:val="-4"/>
        </w:rPr>
        <w:t xml:space="preserve"> par exemple</w:t>
      </w:r>
      <w:r>
        <w:rPr>
          <w:spacing w:val="-4"/>
        </w:rPr>
        <w:t>,</w:t>
      </w:r>
      <w:r w:rsidRPr="002C0AC8">
        <w:rPr>
          <w:spacing w:val="-4"/>
        </w:rPr>
        <w:t xml:space="preserve"> </w:t>
      </w:r>
      <w:r w:rsidRPr="002C0AC8">
        <w:rPr>
          <w:i/>
          <w:spacing w:val="-4"/>
        </w:rPr>
        <w:t>H.</w:t>
      </w:r>
      <w:r w:rsidR="00EC4DE6">
        <w:rPr>
          <w:i/>
          <w:spacing w:val="-4"/>
        </w:rPr>
        <w:t> </w:t>
      </w:r>
      <w:r w:rsidRPr="002C0AC8">
        <w:rPr>
          <w:i/>
          <w:spacing w:val="-4"/>
        </w:rPr>
        <w:t>E.</w:t>
      </w:r>
      <w:r w:rsidR="00EC4DE6">
        <w:rPr>
          <w:i/>
          <w:spacing w:val="-4"/>
        </w:rPr>
        <w:t> </w:t>
      </w:r>
      <w:r w:rsidRPr="002C0AC8">
        <w:rPr>
          <w:i/>
          <w:spacing w:val="-4"/>
        </w:rPr>
        <w:t>A.</w:t>
      </w:r>
      <w:r w:rsidR="00EC4DE6">
        <w:rPr>
          <w:i/>
          <w:spacing w:val="-4"/>
        </w:rPr>
        <w:t> </w:t>
      </w:r>
      <w:r w:rsidRPr="002C0AC8">
        <w:rPr>
          <w:i/>
          <w:spacing w:val="-4"/>
        </w:rPr>
        <w:t>K. c.</w:t>
      </w:r>
      <w:r w:rsidR="00EC4DE6">
        <w:rPr>
          <w:i/>
          <w:spacing w:val="-4"/>
        </w:rPr>
        <w:t> </w:t>
      </w:r>
      <w:r w:rsidRPr="002C0AC8">
        <w:rPr>
          <w:i/>
          <w:spacing w:val="-4"/>
        </w:rPr>
        <w:t>Danemark</w:t>
      </w:r>
      <w:r>
        <w:rPr>
          <w:spacing w:val="-4"/>
        </w:rPr>
        <w:t xml:space="preserve"> (CCPR/C/114/D/2343/2014), par.</w:t>
      </w:r>
      <w:r w:rsidR="00EC4DE6">
        <w:rPr>
          <w:spacing w:val="-4"/>
        </w:rPr>
        <w:t> </w:t>
      </w:r>
      <w:r w:rsidRPr="00755DA0">
        <w:rPr>
          <w:spacing w:val="-4"/>
        </w:rPr>
        <w:t xml:space="preserve">7.4 ; </w:t>
      </w:r>
      <w:proofErr w:type="spellStart"/>
      <w:r w:rsidRPr="00755DA0">
        <w:rPr>
          <w:i/>
          <w:spacing w:val="-4"/>
        </w:rPr>
        <w:t>Castañeda</w:t>
      </w:r>
      <w:proofErr w:type="spellEnd"/>
      <w:r w:rsidRPr="00755DA0">
        <w:rPr>
          <w:i/>
          <w:spacing w:val="-4"/>
        </w:rPr>
        <w:t xml:space="preserve"> c.</w:t>
      </w:r>
      <w:r w:rsidR="00EC4DE6" w:rsidRPr="00755DA0">
        <w:rPr>
          <w:i/>
          <w:spacing w:val="-4"/>
        </w:rPr>
        <w:t> </w:t>
      </w:r>
      <w:r w:rsidRPr="00755DA0">
        <w:rPr>
          <w:i/>
          <w:spacing w:val="-4"/>
        </w:rPr>
        <w:t>Mexique</w:t>
      </w:r>
      <w:r w:rsidRPr="00755DA0">
        <w:rPr>
          <w:spacing w:val="-4"/>
        </w:rPr>
        <w:t xml:space="preserve"> (CCPR/C/108/D/2202/2012), par.</w:t>
      </w:r>
      <w:r w:rsidR="00EC4DE6" w:rsidRPr="00755DA0">
        <w:rPr>
          <w:spacing w:val="-4"/>
        </w:rPr>
        <w:t> </w:t>
      </w:r>
      <w:r w:rsidRPr="00755DA0">
        <w:rPr>
          <w:spacing w:val="-4"/>
        </w:rPr>
        <w:t xml:space="preserve">6.8 ; </w:t>
      </w:r>
      <w:r w:rsidRPr="00755DA0">
        <w:rPr>
          <w:i/>
          <w:spacing w:val="-4"/>
        </w:rPr>
        <w:t>Ch.</w:t>
      </w:r>
      <w:r w:rsidR="00EC4DE6" w:rsidRPr="00755DA0">
        <w:rPr>
          <w:i/>
          <w:spacing w:val="-4"/>
        </w:rPr>
        <w:t> </w:t>
      </w:r>
      <w:r w:rsidRPr="00755DA0">
        <w:rPr>
          <w:i/>
          <w:spacing w:val="-4"/>
        </w:rPr>
        <w:t>H.</w:t>
      </w:r>
      <w:r w:rsidR="00EC4DE6" w:rsidRPr="00755DA0">
        <w:rPr>
          <w:i/>
          <w:spacing w:val="-4"/>
        </w:rPr>
        <w:t> </w:t>
      </w:r>
      <w:r w:rsidRPr="00755DA0">
        <w:rPr>
          <w:i/>
          <w:spacing w:val="-4"/>
        </w:rPr>
        <w:t>O. c.</w:t>
      </w:r>
      <w:r w:rsidR="00EC4DE6" w:rsidRPr="00755DA0">
        <w:rPr>
          <w:i/>
          <w:spacing w:val="-4"/>
        </w:rPr>
        <w:t> </w:t>
      </w:r>
      <w:r w:rsidRPr="002C0AC8">
        <w:rPr>
          <w:i/>
          <w:spacing w:val="-4"/>
          <w:lang w:val="fr-FR"/>
        </w:rPr>
        <w:t xml:space="preserve">Canada </w:t>
      </w:r>
      <w:r w:rsidRPr="002C0AC8">
        <w:rPr>
          <w:spacing w:val="-4"/>
          <w:lang w:val="fr-FR"/>
        </w:rPr>
        <w:t>(CCPR/C/118/D/2195/2012), par.</w:t>
      </w:r>
      <w:r w:rsidR="00EC4DE6">
        <w:rPr>
          <w:spacing w:val="-4"/>
          <w:lang w:val="fr-FR"/>
        </w:rPr>
        <w:t> </w:t>
      </w:r>
      <w:r w:rsidRPr="002C0AC8">
        <w:rPr>
          <w:spacing w:val="-4"/>
          <w:lang w:val="fr-FR"/>
        </w:rPr>
        <w:t xml:space="preserve">9.4 ; </w:t>
      </w:r>
      <w:proofErr w:type="spellStart"/>
      <w:r w:rsidRPr="002C0AC8">
        <w:rPr>
          <w:i/>
          <w:spacing w:val="-4"/>
          <w:lang w:val="fr-FR"/>
        </w:rPr>
        <w:t>Peirano</w:t>
      </w:r>
      <w:proofErr w:type="spellEnd"/>
      <w:r w:rsidRPr="002C0AC8">
        <w:rPr>
          <w:i/>
          <w:spacing w:val="-4"/>
          <w:lang w:val="fr-FR"/>
        </w:rPr>
        <w:t xml:space="preserve"> </w:t>
      </w:r>
      <w:proofErr w:type="spellStart"/>
      <w:r w:rsidRPr="002C0AC8">
        <w:rPr>
          <w:i/>
          <w:spacing w:val="-4"/>
          <w:lang w:val="fr-FR"/>
        </w:rPr>
        <w:t>Basso</w:t>
      </w:r>
      <w:proofErr w:type="spellEnd"/>
      <w:r w:rsidRPr="002C0AC8">
        <w:rPr>
          <w:i/>
          <w:spacing w:val="-4"/>
          <w:lang w:val="fr-FR"/>
        </w:rPr>
        <w:t xml:space="preserve"> c.</w:t>
      </w:r>
      <w:r w:rsidR="00EC4DE6">
        <w:rPr>
          <w:i/>
          <w:spacing w:val="-4"/>
          <w:lang w:val="fr-FR"/>
        </w:rPr>
        <w:t> </w:t>
      </w:r>
      <w:r w:rsidRPr="002C0AC8">
        <w:rPr>
          <w:i/>
          <w:spacing w:val="-4"/>
          <w:lang w:val="fr-FR"/>
        </w:rPr>
        <w:t xml:space="preserve">Uruguay </w:t>
      </w:r>
      <w:r w:rsidRPr="002C0AC8">
        <w:rPr>
          <w:spacing w:val="-4"/>
          <w:lang w:val="fr-FR"/>
        </w:rPr>
        <w:t>(CCPR/C/</w:t>
      </w:r>
      <w:r>
        <w:rPr>
          <w:spacing w:val="-4"/>
          <w:lang w:val="fr-FR"/>
        </w:rPr>
        <w:t>100</w:t>
      </w:r>
      <w:r w:rsidRPr="002C0AC8">
        <w:rPr>
          <w:spacing w:val="-4"/>
          <w:lang w:val="fr-FR"/>
        </w:rPr>
        <w:t>/D/1887/2009),</w:t>
      </w:r>
      <w:r w:rsidRPr="00420574">
        <w:rPr>
          <w:lang w:val="fr-FR"/>
        </w:rPr>
        <w:t xml:space="preserve"> par.</w:t>
      </w:r>
      <w:r w:rsidR="00EC4DE6">
        <w:rPr>
          <w:lang w:val="fr-FR"/>
        </w:rPr>
        <w:t> </w:t>
      </w:r>
      <w:r w:rsidRPr="00420574">
        <w:rPr>
          <w:lang w:val="fr-FR"/>
        </w:rPr>
        <w:t>9.4</w:t>
      </w:r>
      <w:r>
        <w:rPr>
          <w:lang w:val="fr-FR"/>
        </w:rPr>
        <w:t> </w:t>
      </w:r>
      <w:r w:rsidRPr="00420574">
        <w:rPr>
          <w:lang w:val="fr-FR"/>
        </w:rPr>
        <w:t xml:space="preserve">; </w:t>
      </w:r>
      <w:r>
        <w:rPr>
          <w:lang w:val="fr-FR"/>
        </w:rPr>
        <w:t>et</w:t>
      </w:r>
      <w:r w:rsidRPr="00420574">
        <w:rPr>
          <w:lang w:val="fr-FR"/>
        </w:rPr>
        <w:t xml:space="preserve"> </w:t>
      </w:r>
      <w:r w:rsidRPr="00420574">
        <w:rPr>
          <w:i/>
          <w:lang w:val="fr-FR"/>
        </w:rPr>
        <w:t>A.</w:t>
      </w:r>
      <w:r w:rsidR="00EC4DE6">
        <w:rPr>
          <w:i/>
          <w:lang w:val="fr-FR"/>
        </w:rPr>
        <w:t> </w:t>
      </w:r>
      <w:r w:rsidRPr="00420574">
        <w:rPr>
          <w:i/>
          <w:lang w:val="fr-FR"/>
        </w:rPr>
        <w:t>P.</w:t>
      </w:r>
      <w:r w:rsidR="00EC4DE6">
        <w:rPr>
          <w:i/>
          <w:lang w:val="fr-FR"/>
        </w:rPr>
        <w:t> </w:t>
      </w:r>
      <w:r>
        <w:rPr>
          <w:i/>
          <w:lang w:val="fr-FR"/>
        </w:rPr>
        <w:t>c</w:t>
      </w:r>
      <w:r w:rsidRPr="00420574">
        <w:rPr>
          <w:i/>
          <w:lang w:val="fr-FR"/>
        </w:rPr>
        <w:t>.</w:t>
      </w:r>
      <w:r w:rsidR="00EC4DE6">
        <w:rPr>
          <w:i/>
          <w:lang w:val="fr-FR"/>
        </w:rPr>
        <w:t> </w:t>
      </w:r>
      <w:r w:rsidRPr="00420574">
        <w:rPr>
          <w:i/>
          <w:lang w:val="fr-FR"/>
        </w:rPr>
        <w:t>Ukraine</w:t>
      </w:r>
      <w:r w:rsidRPr="00420574">
        <w:rPr>
          <w:lang w:val="fr-FR"/>
        </w:rPr>
        <w:t xml:space="preserve"> (CCPR/C/105/D/1834/2008), par.</w:t>
      </w:r>
      <w:r w:rsidR="00EC4DE6">
        <w:rPr>
          <w:lang w:val="fr-FR"/>
        </w:rPr>
        <w:t> </w:t>
      </w:r>
      <w:r w:rsidRPr="00B43D83">
        <w:t>8.5</w:t>
      </w:r>
      <w:r>
        <w:t>.</w:t>
      </w:r>
    </w:p>
  </w:footnote>
  <w:footnote w:id="25">
    <w:p w14:paraId="509C6776" w14:textId="77777777" w:rsidR="0059201E" w:rsidRPr="00CC1AE8" w:rsidRDefault="0059201E" w:rsidP="0059201E">
      <w:pPr>
        <w:pStyle w:val="Notedebasdepage"/>
      </w:pPr>
      <w:r>
        <w:tab/>
      </w:r>
      <w:r w:rsidRPr="004E1C4D">
        <w:rPr>
          <w:rStyle w:val="Appelnotedebasdep"/>
        </w:rPr>
        <w:footnoteRef/>
      </w:r>
      <w:r>
        <w:tab/>
      </w:r>
      <w:proofErr w:type="spellStart"/>
      <w:r w:rsidRPr="000767E5">
        <w:rPr>
          <w:i/>
          <w:szCs w:val="18"/>
          <w:lang w:val="fr-FR"/>
        </w:rPr>
        <w:t>Zai</w:t>
      </w:r>
      <w:r>
        <w:rPr>
          <w:i/>
          <w:szCs w:val="18"/>
          <w:lang w:val="fr-FR"/>
        </w:rPr>
        <w:t>e</w:t>
      </w:r>
      <w:r w:rsidRPr="000767E5">
        <w:rPr>
          <w:i/>
          <w:szCs w:val="18"/>
          <w:lang w:val="fr-FR"/>
        </w:rPr>
        <w:t>r</w:t>
      </w:r>
      <w:proofErr w:type="spellEnd"/>
      <w:r w:rsidRPr="000767E5">
        <w:rPr>
          <w:i/>
          <w:szCs w:val="18"/>
          <w:lang w:val="fr-FR"/>
        </w:rPr>
        <w:t xml:space="preserve"> c.</w:t>
      </w:r>
      <w:r w:rsidR="00EC4DE6">
        <w:rPr>
          <w:i/>
          <w:szCs w:val="18"/>
          <w:lang w:val="fr-FR"/>
        </w:rPr>
        <w:t> </w:t>
      </w:r>
      <w:r w:rsidRPr="000767E5">
        <w:rPr>
          <w:i/>
          <w:szCs w:val="18"/>
          <w:lang w:val="fr-FR"/>
        </w:rPr>
        <w:t>Algérie</w:t>
      </w:r>
      <w:r>
        <w:rPr>
          <w:szCs w:val="18"/>
          <w:lang w:val="fr-FR"/>
        </w:rPr>
        <w:t>, par.</w:t>
      </w:r>
      <w:r w:rsidR="00EC4DE6">
        <w:rPr>
          <w:szCs w:val="18"/>
          <w:lang w:val="fr-FR"/>
        </w:rPr>
        <w:t> </w:t>
      </w:r>
      <w:r>
        <w:rPr>
          <w:szCs w:val="18"/>
          <w:lang w:val="fr-FR"/>
        </w:rPr>
        <w:t xml:space="preserve">7.2 ; et </w:t>
      </w:r>
      <w:proofErr w:type="spellStart"/>
      <w:r w:rsidRPr="000767E5">
        <w:rPr>
          <w:i/>
          <w:szCs w:val="18"/>
          <w:lang w:val="fr-FR"/>
        </w:rPr>
        <w:t>Ammari</w:t>
      </w:r>
      <w:proofErr w:type="spellEnd"/>
      <w:r w:rsidRPr="000767E5">
        <w:rPr>
          <w:i/>
          <w:szCs w:val="18"/>
          <w:lang w:val="fr-FR"/>
        </w:rPr>
        <w:t xml:space="preserve"> c.</w:t>
      </w:r>
      <w:r w:rsidR="00EC4DE6">
        <w:rPr>
          <w:i/>
          <w:szCs w:val="18"/>
          <w:lang w:val="fr-FR"/>
        </w:rPr>
        <w:t> </w:t>
      </w:r>
      <w:r w:rsidRPr="000767E5">
        <w:rPr>
          <w:i/>
          <w:szCs w:val="18"/>
          <w:lang w:val="fr-FR"/>
        </w:rPr>
        <w:t>Algérie</w:t>
      </w:r>
      <w:r>
        <w:rPr>
          <w:szCs w:val="18"/>
          <w:lang w:val="fr-FR"/>
        </w:rPr>
        <w:t>, par.</w:t>
      </w:r>
      <w:r w:rsidR="00EC4DE6">
        <w:rPr>
          <w:szCs w:val="18"/>
          <w:lang w:val="fr-FR"/>
        </w:rPr>
        <w:t> </w:t>
      </w:r>
      <w:r>
        <w:rPr>
          <w:szCs w:val="18"/>
          <w:lang w:val="fr-FR"/>
        </w:rPr>
        <w:t>8.2</w:t>
      </w:r>
      <w:r>
        <w:rPr>
          <w:lang w:val="fr-FR"/>
        </w:rPr>
        <w:t>.</w:t>
      </w:r>
    </w:p>
  </w:footnote>
  <w:footnote w:id="26">
    <w:p w14:paraId="1B39F3B5" w14:textId="77777777" w:rsidR="0059201E" w:rsidRDefault="0059201E" w:rsidP="0059201E">
      <w:pPr>
        <w:pStyle w:val="Notedebasdepage"/>
      </w:pPr>
      <w:r>
        <w:tab/>
      </w:r>
      <w:r w:rsidRPr="004E1C4D">
        <w:rPr>
          <w:rStyle w:val="Appelnotedebasdep"/>
        </w:rPr>
        <w:footnoteRef/>
      </w:r>
      <w:r>
        <w:tab/>
      </w:r>
      <w:r>
        <w:rPr>
          <w:szCs w:val="18"/>
          <w:lang w:val="fr-FR"/>
        </w:rPr>
        <w:t xml:space="preserve">Voir, entre autres, </w:t>
      </w:r>
      <w:proofErr w:type="spellStart"/>
      <w:r w:rsidRPr="0088579B">
        <w:rPr>
          <w:i/>
          <w:szCs w:val="18"/>
          <w:lang w:val="fr-FR"/>
        </w:rPr>
        <w:t>Zai</w:t>
      </w:r>
      <w:r>
        <w:rPr>
          <w:i/>
          <w:szCs w:val="18"/>
          <w:lang w:val="fr-FR"/>
        </w:rPr>
        <w:t>e</w:t>
      </w:r>
      <w:r w:rsidRPr="0088579B">
        <w:rPr>
          <w:i/>
          <w:szCs w:val="18"/>
          <w:lang w:val="fr-FR"/>
        </w:rPr>
        <w:t>r</w:t>
      </w:r>
      <w:proofErr w:type="spellEnd"/>
      <w:r w:rsidRPr="0088579B">
        <w:rPr>
          <w:i/>
          <w:szCs w:val="18"/>
          <w:lang w:val="fr-FR"/>
        </w:rPr>
        <w:t xml:space="preserve"> c.</w:t>
      </w:r>
      <w:r w:rsidR="001127A2">
        <w:rPr>
          <w:i/>
          <w:szCs w:val="18"/>
          <w:lang w:val="fr-FR"/>
        </w:rPr>
        <w:t> </w:t>
      </w:r>
      <w:r w:rsidRPr="0088579B">
        <w:rPr>
          <w:i/>
          <w:szCs w:val="18"/>
          <w:lang w:val="fr-FR"/>
        </w:rPr>
        <w:t>Algérie</w:t>
      </w:r>
      <w:r w:rsidRPr="0088579B">
        <w:rPr>
          <w:szCs w:val="18"/>
          <w:lang w:val="fr-FR"/>
        </w:rPr>
        <w:t>, par.</w:t>
      </w:r>
      <w:r w:rsidR="001127A2">
        <w:rPr>
          <w:szCs w:val="18"/>
          <w:lang w:val="fr-FR"/>
        </w:rPr>
        <w:t> </w:t>
      </w:r>
      <w:r w:rsidRPr="0088579B">
        <w:rPr>
          <w:szCs w:val="18"/>
          <w:lang w:val="fr-FR"/>
        </w:rPr>
        <w:t>7.</w:t>
      </w:r>
      <w:r>
        <w:rPr>
          <w:szCs w:val="18"/>
          <w:lang w:val="fr-FR"/>
        </w:rPr>
        <w:t xml:space="preserve">3 ; </w:t>
      </w:r>
      <w:proofErr w:type="spellStart"/>
      <w:r w:rsidRPr="0090025C">
        <w:rPr>
          <w:i/>
          <w:szCs w:val="18"/>
          <w:lang w:val="fr-FR"/>
        </w:rPr>
        <w:t>Ammari</w:t>
      </w:r>
      <w:proofErr w:type="spellEnd"/>
      <w:r w:rsidRPr="0090025C">
        <w:rPr>
          <w:i/>
          <w:szCs w:val="18"/>
          <w:lang w:val="fr-FR"/>
        </w:rPr>
        <w:t xml:space="preserve"> c.</w:t>
      </w:r>
      <w:r w:rsidR="001127A2">
        <w:rPr>
          <w:i/>
          <w:szCs w:val="18"/>
          <w:lang w:val="fr-FR"/>
        </w:rPr>
        <w:t> </w:t>
      </w:r>
      <w:r>
        <w:rPr>
          <w:i/>
          <w:szCs w:val="18"/>
          <w:lang w:val="fr-FR"/>
        </w:rPr>
        <w:t>Algérie</w:t>
      </w:r>
      <w:r>
        <w:rPr>
          <w:szCs w:val="18"/>
          <w:lang w:val="fr-FR"/>
        </w:rPr>
        <w:t>, par.</w:t>
      </w:r>
      <w:r w:rsidR="001127A2">
        <w:rPr>
          <w:szCs w:val="18"/>
          <w:lang w:val="fr-FR"/>
        </w:rPr>
        <w:t> </w:t>
      </w:r>
      <w:r>
        <w:rPr>
          <w:szCs w:val="18"/>
          <w:lang w:val="fr-FR"/>
        </w:rPr>
        <w:t xml:space="preserve">8.3 ; </w:t>
      </w:r>
      <w:proofErr w:type="spellStart"/>
      <w:r>
        <w:rPr>
          <w:i/>
          <w:iCs/>
          <w:szCs w:val="18"/>
          <w:lang w:val="fr-FR"/>
        </w:rPr>
        <w:t>Mezine</w:t>
      </w:r>
      <w:proofErr w:type="spellEnd"/>
      <w:r>
        <w:rPr>
          <w:i/>
          <w:iCs/>
          <w:szCs w:val="18"/>
          <w:lang w:val="fr-FR"/>
        </w:rPr>
        <w:t xml:space="preserve"> </w:t>
      </w:r>
      <w:r w:rsidRPr="0090025C">
        <w:rPr>
          <w:i/>
          <w:iCs/>
          <w:szCs w:val="18"/>
          <w:lang w:val="fr-FR"/>
        </w:rPr>
        <w:t>c.</w:t>
      </w:r>
      <w:r w:rsidR="001127A2">
        <w:rPr>
          <w:i/>
          <w:iCs/>
          <w:szCs w:val="18"/>
          <w:lang w:val="fr-FR"/>
        </w:rPr>
        <w:t> </w:t>
      </w:r>
      <w:r>
        <w:rPr>
          <w:i/>
          <w:iCs/>
          <w:szCs w:val="18"/>
          <w:lang w:val="fr-FR"/>
        </w:rPr>
        <w:t>Algérie</w:t>
      </w:r>
      <w:r>
        <w:rPr>
          <w:szCs w:val="18"/>
          <w:lang w:val="fr-FR"/>
        </w:rPr>
        <w:t>, par.</w:t>
      </w:r>
      <w:r w:rsidR="001127A2">
        <w:rPr>
          <w:szCs w:val="18"/>
          <w:lang w:val="fr-FR"/>
        </w:rPr>
        <w:t> </w:t>
      </w:r>
      <w:r>
        <w:rPr>
          <w:szCs w:val="18"/>
          <w:lang w:val="fr-FR"/>
        </w:rPr>
        <w:t xml:space="preserve">8.3 ; </w:t>
      </w:r>
      <w:r>
        <w:rPr>
          <w:i/>
          <w:iCs/>
          <w:szCs w:val="18"/>
        </w:rPr>
        <w:t>El</w:t>
      </w:r>
      <w:r w:rsidR="00553D68">
        <w:rPr>
          <w:i/>
          <w:iCs/>
          <w:szCs w:val="18"/>
        </w:rPr>
        <w:t> </w:t>
      </w:r>
      <w:proofErr w:type="spellStart"/>
      <w:r>
        <w:rPr>
          <w:i/>
          <w:iCs/>
          <w:szCs w:val="18"/>
        </w:rPr>
        <w:t>Abani</w:t>
      </w:r>
      <w:proofErr w:type="spellEnd"/>
      <w:r>
        <w:rPr>
          <w:i/>
          <w:iCs/>
          <w:szCs w:val="18"/>
        </w:rPr>
        <w:t xml:space="preserve"> </w:t>
      </w:r>
      <w:r w:rsidRPr="0090025C">
        <w:rPr>
          <w:i/>
          <w:iCs/>
          <w:szCs w:val="18"/>
        </w:rPr>
        <w:t>c.</w:t>
      </w:r>
      <w:r w:rsidR="001127A2">
        <w:rPr>
          <w:i/>
          <w:iCs/>
          <w:szCs w:val="18"/>
        </w:rPr>
        <w:t> </w:t>
      </w:r>
      <w:r>
        <w:rPr>
          <w:i/>
          <w:iCs/>
          <w:szCs w:val="18"/>
        </w:rPr>
        <w:t>Jamahiriya arabe libyenne</w:t>
      </w:r>
      <w:r>
        <w:rPr>
          <w:iCs/>
          <w:szCs w:val="18"/>
        </w:rPr>
        <w:t xml:space="preserve"> (CCPR/C/99/D/1640/2007)</w:t>
      </w:r>
      <w:r>
        <w:rPr>
          <w:szCs w:val="18"/>
        </w:rPr>
        <w:t xml:space="preserve">, </w:t>
      </w:r>
      <w:r>
        <w:rPr>
          <w:szCs w:val="18"/>
          <w:lang w:val="fr-FR"/>
        </w:rPr>
        <w:t>par.</w:t>
      </w:r>
      <w:r w:rsidR="001127A2">
        <w:rPr>
          <w:szCs w:val="18"/>
          <w:lang w:val="fr-FR"/>
        </w:rPr>
        <w:t> </w:t>
      </w:r>
      <w:r>
        <w:rPr>
          <w:szCs w:val="18"/>
          <w:lang w:val="fr-FR"/>
        </w:rPr>
        <w:t xml:space="preserve">7.4 ; et </w:t>
      </w:r>
      <w:proofErr w:type="spellStart"/>
      <w:r w:rsidRPr="0090025C">
        <w:rPr>
          <w:i/>
          <w:szCs w:val="18"/>
        </w:rPr>
        <w:t>Berzig</w:t>
      </w:r>
      <w:proofErr w:type="spellEnd"/>
      <w:r w:rsidRPr="0090025C">
        <w:rPr>
          <w:i/>
          <w:iCs/>
          <w:szCs w:val="18"/>
          <w:lang w:val="fr-FR"/>
        </w:rPr>
        <w:t xml:space="preserve"> c.</w:t>
      </w:r>
      <w:r w:rsidR="001127A2">
        <w:rPr>
          <w:i/>
          <w:iCs/>
          <w:szCs w:val="18"/>
          <w:lang w:val="fr-FR"/>
        </w:rPr>
        <w:t> </w:t>
      </w:r>
      <w:r>
        <w:rPr>
          <w:i/>
          <w:iCs/>
          <w:szCs w:val="18"/>
          <w:lang w:val="fr-FR"/>
        </w:rPr>
        <w:t>Algérie</w:t>
      </w:r>
      <w:r>
        <w:rPr>
          <w:iCs/>
          <w:szCs w:val="18"/>
          <w:lang w:val="fr-FR"/>
        </w:rPr>
        <w:t xml:space="preserve"> </w:t>
      </w:r>
      <w:r w:rsidRPr="0090025C">
        <w:rPr>
          <w:iCs/>
          <w:szCs w:val="18"/>
          <w:lang w:val="fr-FR"/>
        </w:rPr>
        <w:t>(CCPR/C/103/D/1781/2008)</w:t>
      </w:r>
      <w:r>
        <w:rPr>
          <w:szCs w:val="18"/>
          <w:lang w:val="fr-FR"/>
        </w:rPr>
        <w:t>, par.</w:t>
      </w:r>
      <w:r w:rsidR="001127A2">
        <w:rPr>
          <w:szCs w:val="18"/>
          <w:lang w:val="fr-FR"/>
        </w:rPr>
        <w:t> </w:t>
      </w:r>
      <w:r>
        <w:rPr>
          <w:szCs w:val="18"/>
          <w:lang w:val="fr-FR"/>
        </w:rPr>
        <w:t>8.3.</w:t>
      </w:r>
    </w:p>
  </w:footnote>
  <w:footnote w:id="27">
    <w:p w14:paraId="1947386E" w14:textId="77777777" w:rsidR="0059201E" w:rsidRDefault="0059201E" w:rsidP="0059201E">
      <w:pPr>
        <w:pStyle w:val="Notedebasdepage"/>
      </w:pPr>
      <w:r>
        <w:tab/>
      </w:r>
      <w:r w:rsidRPr="004E1C4D">
        <w:rPr>
          <w:rStyle w:val="Appelnotedebasdep"/>
        </w:rPr>
        <w:footnoteRef/>
      </w:r>
      <w:r>
        <w:tab/>
      </w:r>
      <w:proofErr w:type="spellStart"/>
      <w:r>
        <w:rPr>
          <w:i/>
          <w:iCs/>
          <w:szCs w:val="18"/>
          <w:lang w:val="fr-FR"/>
        </w:rPr>
        <w:t>Mezine</w:t>
      </w:r>
      <w:proofErr w:type="spellEnd"/>
      <w:r>
        <w:rPr>
          <w:i/>
          <w:iCs/>
          <w:szCs w:val="18"/>
          <w:lang w:val="fr-FR"/>
        </w:rPr>
        <w:t xml:space="preserve"> </w:t>
      </w:r>
      <w:r w:rsidRPr="0090025C">
        <w:rPr>
          <w:i/>
          <w:iCs/>
          <w:szCs w:val="18"/>
          <w:lang w:val="fr-FR"/>
        </w:rPr>
        <w:t>c.</w:t>
      </w:r>
      <w:r w:rsidR="001127A2">
        <w:rPr>
          <w:i/>
          <w:iCs/>
          <w:szCs w:val="18"/>
          <w:lang w:val="fr-FR"/>
        </w:rPr>
        <w:t> </w:t>
      </w:r>
      <w:r>
        <w:rPr>
          <w:i/>
          <w:iCs/>
          <w:szCs w:val="18"/>
          <w:lang w:val="fr-FR"/>
        </w:rPr>
        <w:t>Algérie</w:t>
      </w:r>
      <w:r>
        <w:rPr>
          <w:szCs w:val="18"/>
          <w:lang w:val="fr-FR"/>
        </w:rPr>
        <w:t>, par.</w:t>
      </w:r>
      <w:r w:rsidR="001127A2">
        <w:rPr>
          <w:szCs w:val="18"/>
          <w:lang w:val="fr-FR"/>
        </w:rPr>
        <w:t> </w:t>
      </w:r>
      <w:r>
        <w:rPr>
          <w:szCs w:val="18"/>
          <w:lang w:val="fr-FR"/>
        </w:rPr>
        <w:t xml:space="preserve">8.3 ; et </w:t>
      </w:r>
      <w:proofErr w:type="spellStart"/>
      <w:r w:rsidRPr="0090025C">
        <w:rPr>
          <w:i/>
          <w:iCs/>
          <w:szCs w:val="18"/>
          <w:lang w:val="fr-FR"/>
        </w:rPr>
        <w:t>Medjnoune</w:t>
      </w:r>
      <w:proofErr w:type="spellEnd"/>
      <w:r w:rsidRPr="0090025C">
        <w:rPr>
          <w:i/>
          <w:iCs/>
          <w:szCs w:val="18"/>
          <w:lang w:val="fr-FR"/>
        </w:rPr>
        <w:t xml:space="preserve"> c.</w:t>
      </w:r>
      <w:r w:rsidR="001127A2">
        <w:rPr>
          <w:i/>
          <w:iCs/>
          <w:szCs w:val="18"/>
          <w:lang w:val="fr-FR"/>
        </w:rPr>
        <w:t> </w:t>
      </w:r>
      <w:r w:rsidRPr="0090025C">
        <w:rPr>
          <w:i/>
          <w:iCs/>
          <w:szCs w:val="18"/>
          <w:lang w:val="fr-FR"/>
        </w:rPr>
        <w:t>Algérie</w:t>
      </w:r>
      <w:r>
        <w:rPr>
          <w:szCs w:val="18"/>
          <w:lang w:val="fr-FR"/>
        </w:rPr>
        <w:t>, par.</w:t>
      </w:r>
      <w:r w:rsidR="001127A2">
        <w:rPr>
          <w:szCs w:val="18"/>
          <w:lang w:val="fr-FR"/>
        </w:rPr>
        <w:t> </w:t>
      </w:r>
      <w:r>
        <w:rPr>
          <w:szCs w:val="18"/>
          <w:lang w:val="fr-FR"/>
        </w:rPr>
        <w:t>8.3.</w:t>
      </w:r>
    </w:p>
  </w:footnote>
  <w:footnote w:id="28">
    <w:p w14:paraId="5C4C86FC" w14:textId="77777777" w:rsidR="0059201E" w:rsidRDefault="0059201E" w:rsidP="0059201E">
      <w:pPr>
        <w:pStyle w:val="Notedebasdepage"/>
      </w:pPr>
      <w:r>
        <w:rPr>
          <w:lang w:val="fr-FR"/>
        </w:rPr>
        <w:tab/>
      </w:r>
      <w:r w:rsidRPr="004E1C4D">
        <w:rPr>
          <w:rStyle w:val="Appelnotedebasdep"/>
        </w:rPr>
        <w:footnoteRef/>
      </w:r>
      <w:r>
        <w:rPr>
          <w:lang w:val="fr-FR"/>
        </w:rPr>
        <w:tab/>
      </w:r>
      <w:proofErr w:type="spellStart"/>
      <w:r>
        <w:rPr>
          <w:i/>
          <w:lang w:val="fr-FR"/>
        </w:rPr>
        <w:t>Katwal</w:t>
      </w:r>
      <w:proofErr w:type="spellEnd"/>
      <w:r>
        <w:rPr>
          <w:i/>
          <w:lang w:val="fr-FR"/>
        </w:rPr>
        <w:t xml:space="preserve"> </w:t>
      </w:r>
      <w:r w:rsidRPr="0034335C">
        <w:rPr>
          <w:i/>
          <w:lang w:val="fr-FR"/>
        </w:rPr>
        <w:t>c.</w:t>
      </w:r>
      <w:r w:rsidR="001127A2">
        <w:rPr>
          <w:i/>
          <w:lang w:val="fr-FR"/>
        </w:rPr>
        <w:t> </w:t>
      </w:r>
      <w:r>
        <w:rPr>
          <w:i/>
          <w:lang w:val="fr-FR"/>
        </w:rPr>
        <w:t>Népal</w:t>
      </w:r>
      <w:r>
        <w:rPr>
          <w:lang w:val="fr-FR"/>
        </w:rPr>
        <w:t xml:space="preserve"> (CCPR/C/113/D/2000/2010),</w:t>
      </w:r>
      <w:r w:rsidRPr="003E01BD">
        <w:t xml:space="preserve"> par.</w:t>
      </w:r>
      <w:r w:rsidR="001127A2">
        <w:t> </w:t>
      </w:r>
      <w:r w:rsidRPr="003E01BD">
        <w:t xml:space="preserve">11.3 ; </w:t>
      </w:r>
      <w:proofErr w:type="spellStart"/>
      <w:r w:rsidRPr="003E01BD">
        <w:rPr>
          <w:i/>
        </w:rPr>
        <w:t>Serna</w:t>
      </w:r>
      <w:proofErr w:type="spellEnd"/>
      <w:r w:rsidRPr="003E01BD">
        <w:rPr>
          <w:i/>
        </w:rPr>
        <w:t xml:space="preserve"> et </w:t>
      </w:r>
      <w:r>
        <w:rPr>
          <w:i/>
        </w:rPr>
        <w:t>consorts</w:t>
      </w:r>
      <w:r w:rsidRPr="003E01BD">
        <w:t xml:space="preserve"> </w:t>
      </w:r>
      <w:r w:rsidRPr="003E01BD">
        <w:rPr>
          <w:i/>
        </w:rPr>
        <w:t>c.</w:t>
      </w:r>
      <w:r w:rsidR="001127A2">
        <w:rPr>
          <w:i/>
        </w:rPr>
        <w:t> </w:t>
      </w:r>
      <w:r w:rsidRPr="003E01BD">
        <w:rPr>
          <w:i/>
        </w:rPr>
        <w:t>Colombie</w:t>
      </w:r>
      <w:r w:rsidRPr="003E01BD">
        <w:t xml:space="preserve"> (CCPR/C/1</w:t>
      </w:r>
      <w:r>
        <w:t>1</w:t>
      </w:r>
      <w:r w:rsidRPr="003E01BD">
        <w:t>4/D/2134/2012), par.</w:t>
      </w:r>
      <w:r w:rsidR="001127A2">
        <w:t> </w:t>
      </w:r>
      <w:r w:rsidRPr="003E01BD">
        <w:t xml:space="preserve">9.4 ; et </w:t>
      </w:r>
      <w:r w:rsidRPr="003E01BD">
        <w:rPr>
          <w:i/>
        </w:rPr>
        <w:t>El</w:t>
      </w:r>
      <w:r w:rsidR="00553D68">
        <w:rPr>
          <w:i/>
        </w:rPr>
        <w:t> </w:t>
      </w:r>
      <w:proofErr w:type="spellStart"/>
      <w:r w:rsidRPr="003E01BD">
        <w:rPr>
          <w:i/>
        </w:rPr>
        <w:t>Boathi</w:t>
      </w:r>
      <w:proofErr w:type="spellEnd"/>
      <w:r w:rsidRPr="003E01BD">
        <w:rPr>
          <w:i/>
        </w:rPr>
        <w:t xml:space="preserve"> c.</w:t>
      </w:r>
      <w:r w:rsidR="001127A2">
        <w:rPr>
          <w:i/>
        </w:rPr>
        <w:t> </w:t>
      </w:r>
      <w:r w:rsidRPr="003E01BD">
        <w:rPr>
          <w:i/>
        </w:rPr>
        <w:t>Algérie</w:t>
      </w:r>
      <w:r w:rsidRPr="008F26EC">
        <w:rPr>
          <w:lang w:val="fr-FR"/>
        </w:rPr>
        <w:t xml:space="preserve"> </w:t>
      </w:r>
      <w:r>
        <w:rPr>
          <w:lang w:val="fr-FR"/>
        </w:rPr>
        <w:t>(CCPR/C/119/D/2259/2013),</w:t>
      </w:r>
      <w:r w:rsidRPr="003E01BD">
        <w:t xml:space="preserve"> par.</w:t>
      </w:r>
      <w:r w:rsidR="001127A2">
        <w:t> </w:t>
      </w:r>
      <w:r w:rsidRPr="003E01BD">
        <w:t>7.4. Voir également l</w:t>
      </w:r>
      <w:r>
        <w:t>’</w:t>
      </w:r>
      <w:r w:rsidRPr="003E01BD">
        <w:t xml:space="preserve">observation générale </w:t>
      </w:r>
      <w:r w:rsidR="001127A2">
        <w:t>n</w:t>
      </w:r>
      <w:r w:rsidR="001127A2" w:rsidRPr="00755DA0">
        <w:rPr>
          <w:vertAlign w:val="superscript"/>
        </w:rPr>
        <w:t>o</w:t>
      </w:r>
      <w:r w:rsidR="001127A2">
        <w:t> </w:t>
      </w:r>
      <w:r w:rsidRPr="003E01BD">
        <w:t>36 (201</w:t>
      </w:r>
      <w:r>
        <w:t>8</w:t>
      </w:r>
      <w:r w:rsidRPr="003E01BD">
        <w:t>)</w:t>
      </w:r>
      <w:r>
        <w:t xml:space="preserve"> du Comité</w:t>
      </w:r>
      <w:r w:rsidRPr="003E01BD">
        <w:t xml:space="preserve"> sur le droit à la vie, par.</w:t>
      </w:r>
      <w:r w:rsidR="001127A2">
        <w:t> </w:t>
      </w:r>
      <w:r w:rsidRPr="003E01BD">
        <w:t>58.</w:t>
      </w:r>
    </w:p>
  </w:footnote>
  <w:footnote w:id="29">
    <w:p w14:paraId="7EE36622" w14:textId="77777777" w:rsidR="0059201E" w:rsidRPr="00C1479E" w:rsidRDefault="0059201E" w:rsidP="0059201E">
      <w:pPr>
        <w:pStyle w:val="Notedebasdepage"/>
      </w:pPr>
      <w:r>
        <w:tab/>
      </w:r>
      <w:r w:rsidRPr="004E1C4D">
        <w:rPr>
          <w:rStyle w:val="Appelnotedebasdep"/>
        </w:rPr>
        <w:footnoteRef/>
      </w:r>
      <w:r>
        <w:tab/>
      </w:r>
      <w:proofErr w:type="spellStart"/>
      <w:r>
        <w:rPr>
          <w:i/>
          <w:lang w:val="fr-FR"/>
        </w:rPr>
        <w:t>Louddi</w:t>
      </w:r>
      <w:proofErr w:type="spellEnd"/>
      <w:r>
        <w:rPr>
          <w:i/>
          <w:lang w:val="fr-FR"/>
        </w:rPr>
        <w:t xml:space="preserve"> </w:t>
      </w:r>
      <w:r w:rsidRPr="00F74C89">
        <w:rPr>
          <w:i/>
          <w:lang w:val="fr-FR"/>
        </w:rPr>
        <w:t>c.</w:t>
      </w:r>
      <w:r w:rsidR="001127A2">
        <w:rPr>
          <w:i/>
          <w:lang w:val="fr-FR"/>
        </w:rPr>
        <w:t> </w:t>
      </w:r>
      <w:r>
        <w:rPr>
          <w:i/>
          <w:lang w:val="fr-FR"/>
        </w:rPr>
        <w:t>Algérie</w:t>
      </w:r>
      <w:r>
        <w:rPr>
          <w:lang w:val="fr-FR"/>
        </w:rPr>
        <w:t xml:space="preserve"> (CCPR/C/112/D/2117/2011)</w:t>
      </w:r>
      <w:r>
        <w:t>, par.</w:t>
      </w:r>
      <w:r w:rsidR="001127A2">
        <w:t> </w:t>
      </w:r>
      <w:r>
        <w:t xml:space="preserve">7.4 ; </w:t>
      </w:r>
      <w:proofErr w:type="spellStart"/>
      <w:r>
        <w:rPr>
          <w:i/>
          <w:iCs/>
          <w:lang w:val="fr-FR"/>
        </w:rPr>
        <w:t>Mezine</w:t>
      </w:r>
      <w:proofErr w:type="spellEnd"/>
      <w:r>
        <w:rPr>
          <w:i/>
          <w:iCs/>
          <w:lang w:val="fr-FR"/>
        </w:rPr>
        <w:t xml:space="preserve"> </w:t>
      </w:r>
      <w:r w:rsidRPr="00F74C89">
        <w:rPr>
          <w:i/>
          <w:iCs/>
          <w:lang w:val="fr-FR"/>
        </w:rPr>
        <w:t>c.</w:t>
      </w:r>
      <w:r w:rsidR="001127A2">
        <w:rPr>
          <w:i/>
          <w:iCs/>
          <w:lang w:val="fr-FR"/>
        </w:rPr>
        <w:t> </w:t>
      </w:r>
      <w:r>
        <w:rPr>
          <w:i/>
          <w:iCs/>
          <w:lang w:val="fr-FR"/>
        </w:rPr>
        <w:t>Algérie</w:t>
      </w:r>
      <w:r>
        <w:rPr>
          <w:lang w:val="fr-FR"/>
        </w:rPr>
        <w:t>, par.</w:t>
      </w:r>
      <w:r w:rsidR="001127A2">
        <w:rPr>
          <w:lang w:val="fr-FR"/>
        </w:rPr>
        <w:t> </w:t>
      </w:r>
      <w:r>
        <w:rPr>
          <w:lang w:val="fr-FR"/>
        </w:rPr>
        <w:t xml:space="preserve">8.4 ; et </w:t>
      </w:r>
      <w:proofErr w:type="spellStart"/>
      <w:r>
        <w:rPr>
          <w:i/>
          <w:iCs/>
          <w:lang w:val="fr-FR"/>
        </w:rPr>
        <w:t>Boudjemai</w:t>
      </w:r>
      <w:proofErr w:type="spellEnd"/>
      <w:r>
        <w:rPr>
          <w:i/>
          <w:iCs/>
          <w:lang w:val="fr-FR"/>
        </w:rPr>
        <w:t xml:space="preserve"> </w:t>
      </w:r>
      <w:r w:rsidRPr="00F74C89">
        <w:rPr>
          <w:i/>
          <w:iCs/>
          <w:lang w:val="fr-FR"/>
        </w:rPr>
        <w:t>c.</w:t>
      </w:r>
      <w:r w:rsidR="001127A2">
        <w:rPr>
          <w:i/>
          <w:iCs/>
          <w:lang w:val="fr-FR"/>
        </w:rPr>
        <w:t> </w:t>
      </w:r>
      <w:r>
        <w:rPr>
          <w:i/>
          <w:iCs/>
          <w:lang w:val="fr-FR"/>
        </w:rPr>
        <w:t>Algérie</w:t>
      </w:r>
      <w:r>
        <w:rPr>
          <w:lang w:val="fr-FR"/>
        </w:rPr>
        <w:t>, par.</w:t>
      </w:r>
      <w:r w:rsidR="001127A2">
        <w:rPr>
          <w:lang w:val="fr-FR"/>
        </w:rPr>
        <w:t> </w:t>
      </w:r>
      <w:r>
        <w:rPr>
          <w:lang w:val="fr-FR"/>
        </w:rPr>
        <w:t xml:space="preserve">8.4. </w:t>
      </w:r>
      <w:r w:rsidRPr="00C1479E">
        <w:rPr>
          <w:lang w:val="fr-FR"/>
        </w:rPr>
        <w:t>Voir également l</w:t>
      </w:r>
      <w:r>
        <w:rPr>
          <w:lang w:val="fr-FR"/>
        </w:rPr>
        <w:t>’</w:t>
      </w:r>
      <w:r w:rsidRPr="00C1479E">
        <w:rPr>
          <w:lang w:val="fr-FR"/>
        </w:rPr>
        <w:t xml:space="preserve">observation générale </w:t>
      </w:r>
      <w:r w:rsidR="001127A2">
        <w:rPr>
          <w:lang w:val="fr-FR"/>
        </w:rPr>
        <w:t>n</w:t>
      </w:r>
      <w:r w:rsidR="001127A2" w:rsidRPr="00755DA0">
        <w:rPr>
          <w:vertAlign w:val="superscript"/>
          <w:lang w:val="fr-FR"/>
        </w:rPr>
        <w:t>o</w:t>
      </w:r>
      <w:r w:rsidR="001127A2">
        <w:rPr>
          <w:lang w:val="fr-FR"/>
        </w:rPr>
        <w:t> </w:t>
      </w:r>
      <w:r w:rsidRPr="00C1479E">
        <w:rPr>
          <w:lang w:val="fr-FR"/>
        </w:rPr>
        <w:t>36</w:t>
      </w:r>
      <w:r>
        <w:rPr>
          <w:lang w:val="fr-FR"/>
        </w:rPr>
        <w:t xml:space="preserve"> du Comité</w:t>
      </w:r>
      <w:r w:rsidRPr="00C1479E">
        <w:rPr>
          <w:lang w:val="fr-FR"/>
        </w:rPr>
        <w:t>, par.</w:t>
      </w:r>
      <w:r w:rsidR="001127A2">
        <w:rPr>
          <w:lang w:val="fr-FR"/>
        </w:rPr>
        <w:t> </w:t>
      </w:r>
      <w:r w:rsidRPr="00C1479E">
        <w:rPr>
          <w:lang w:val="fr-FR"/>
        </w:rPr>
        <w:t>58</w:t>
      </w:r>
      <w:r>
        <w:rPr>
          <w:lang w:val="fr-FR"/>
        </w:rPr>
        <w:t>.</w:t>
      </w:r>
    </w:p>
  </w:footnote>
  <w:footnote w:id="30">
    <w:p w14:paraId="74D21877" w14:textId="77777777" w:rsidR="0059201E" w:rsidRDefault="0059201E" w:rsidP="0059201E">
      <w:pPr>
        <w:pStyle w:val="Notedebasdepage"/>
      </w:pPr>
      <w:r w:rsidRPr="00755DA0">
        <w:rPr>
          <w:spacing w:val="-2"/>
        </w:rPr>
        <w:tab/>
      </w:r>
      <w:r w:rsidRPr="00755DA0">
        <w:rPr>
          <w:rStyle w:val="Appelnotedebasdep"/>
          <w:spacing w:val="-2"/>
        </w:rPr>
        <w:footnoteRef/>
      </w:r>
      <w:r w:rsidRPr="00755DA0">
        <w:rPr>
          <w:spacing w:val="-2"/>
        </w:rPr>
        <w:tab/>
      </w:r>
      <w:proofErr w:type="spellStart"/>
      <w:r w:rsidRPr="00755DA0">
        <w:rPr>
          <w:i/>
          <w:spacing w:val="-2"/>
          <w:szCs w:val="18"/>
          <w:lang w:val="fr-FR"/>
        </w:rPr>
        <w:t>Ammari</w:t>
      </w:r>
      <w:proofErr w:type="spellEnd"/>
      <w:r w:rsidRPr="00755DA0">
        <w:rPr>
          <w:i/>
          <w:spacing w:val="-2"/>
          <w:szCs w:val="18"/>
          <w:lang w:val="fr-FR"/>
        </w:rPr>
        <w:t xml:space="preserve"> c.</w:t>
      </w:r>
      <w:r w:rsidR="001127A2" w:rsidRPr="00755DA0">
        <w:rPr>
          <w:i/>
          <w:spacing w:val="-2"/>
          <w:szCs w:val="18"/>
          <w:lang w:val="fr-FR"/>
        </w:rPr>
        <w:t> </w:t>
      </w:r>
      <w:r w:rsidRPr="00755DA0">
        <w:rPr>
          <w:i/>
          <w:spacing w:val="-2"/>
          <w:szCs w:val="18"/>
          <w:lang w:val="fr-FR"/>
        </w:rPr>
        <w:t>Algérie</w:t>
      </w:r>
      <w:r w:rsidRPr="00755DA0">
        <w:rPr>
          <w:spacing w:val="-2"/>
          <w:szCs w:val="18"/>
          <w:lang w:val="fr-FR"/>
        </w:rPr>
        <w:t>, par.</w:t>
      </w:r>
      <w:r w:rsidR="001127A2" w:rsidRPr="00755DA0">
        <w:rPr>
          <w:spacing w:val="-2"/>
          <w:szCs w:val="18"/>
          <w:lang w:val="fr-FR"/>
        </w:rPr>
        <w:t> </w:t>
      </w:r>
      <w:r w:rsidRPr="00755DA0">
        <w:rPr>
          <w:spacing w:val="-2"/>
          <w:szCs w:val="18"/>
          <w:lang w:val="fr-FR"/>
        </w:rPr>
        <w:t xml:space="preserve">8.5 ; </w:t>
      </w:r>
      <w:proofErr w:type="spellStart"/>
      <w:r w:rsidRPr="00755DA0">
        <w:rPr>
          <w:i/>
          <w:iCs/>
          <w:spacing w:val="-2"/>
          <w:szCs w:val="18"/>
          <w:lang w:val="fr-FR"/>
        </w:rPr>
        <w:t>Mezine</w:t>
      </w:r>
      <w:proofErr w:type="spellEnd"/>
      <w:r w:rsidRPr="00755DA0">
        <w:rPr>
          <w:i/>
          <w:iCs/>
          <w:spacing w:val="-2"/>
          <w:szCs w:val="18"/>
          <w:lang w:val="fr-FR"/>
        </w:rPr>
        <w:t xml:space="preserve"> c.</w:t>
      </w:r>
      <w:r w:rsidR="001127A2" w:rsidRPr="00755DA0">
        <w:rPr>
          <w:i/>
          <w:iCs/>
          <w:spacing w:val="-2"/>
          <w:szCs w:val="18"/>
          <w:lang w:val="fr-FR"/>
        </w:rPr>
        <w:t> </w:t>
      </w:r>
      <w:r w:rsidRPr="00755DA0">
        <w:rPr>
          <w:i/>
          <w:iCs/>
          <w:spacing w:val="-2"/>
          <w:szCs w:val="18"/>
          <w:lang w:val="fr-FR"/>
        </w:rPr>
        <w:t>Algérie</w:t>
      </w:r>
      <w:r w:rsidRPr="00755DA0">
        <w:rPr>
          <w:spacing w:val="-2"/>
          <w:szCs w:val="18"/>
          <w:lang w:val="fr-FR"/>
        </w:rPr>
        <w:t>, par.</w:t>
      </w:r>
      <w:r w:rsidR="001127A2" w:rsidRPr="00755DA0">
        <w:rPr>
          <w:spacing w:val="-2"/>
          <w:szCs w:val="18"/>
          <w:lang w:val="fr-FR"/>
        </w:rPr>
        <w:t> </w:t>
      </w:r>
      <w:r w:rsidRPr="00755DA0">
        <w:rPr>
          <w:spacing w:val="-2"/>
          <w:szCs w:val="18"/>
          <w:lang w:val="fr-FR"/>
        </w:rPr>
        <w:t xml:space="preserve">8.5 ; </w:t>
      </w:r>
      <w:proofErr w:type="spellStart"/>
      <w:r w:rsidRPr="00755DA0">
        <w:rPr>
          <w:i/>
          <w:iCs/>
          <w:spacing w:val="-2"/>
          <w:szCs w:val="18"/>
          <w:lang w:val="fr-FR"/>
        </w:rPr>
        <w:t>Khirani</w:t>
      </w:r>
      <w:proofErr w:type="spellEnd"/>
      <w:r w:rsidRPr="00755DA0">
        <w:rPr>
          <w:i/>
          <w:iCs/>
          <w:spacing w:val="-2"/>
          <w:szCs w:val="18"/>
          <w:lang w:val="fr-FR"/>
        </w:rPr>
        <w:t xml:space="preserve"> </w:t>
      </w:r>
      <w:r w:rsidRPr="00755DA0">
        <w:rPr>
          <w:rFonts w:eastAsia="MS Mincho"/>
          <w:i/>
          <w:iCs/>
          <w:spacing w:val="-2"/>
          <w:szCs w:val="18"/>
          <w:lang w:val="fr-FR"/>
        </w:rPr>
        <w:t>c.</w:t>
      </w:r>
      <w:r w:rsidR="001127A2" w:rsidRPr="00755DA0">
        <w:rPr>
          <w:rFonts w:eastAsia="MS Mincho"/>
          <w:i/>
          <w:iCs/>
          <w:spacing w:val="-2"/>
          <w:szCs w:val="18"/>
          <w:lang w:val="fr-FR"/>
        </w:rPr>
        <w:t> </w:t>
      </w:r>
      <w:r w:rsidRPr="00755DA0">
        <w:rPr>
          <w:rFonts w:eastAsia="MS Mincho"/>
          <w:i/>
          <w:iCs/>
          <w:spacing w:val="-2"/>
          <w:szCs w:val="18"/>
          <w:lang w:val="fr-FR"/>
        </w:rPr>
        <w:t>Algérie</w:t>
      </w:r>
      <w:r w:rsidRPr="00755DA0">
        <w:rPr>
          <w:rFonts w:eastAsia="MS Mincho"/>
          <w:iCs/>
          <w:spacing w:val="-2"/>
          <w:szCs w:val="18"/>
          <w:lang w:val="fr-FR"/>
        </w:rPr>
        <w:t xml:space="preserve"> (CCPR/C/104/D/1905/2009</w:t>
      </w:r>
      <w:r>
        <w:rPr>
          <w:rFonts w:eastAsia="MS Mincho"/>
          <w:iCs/>
          <w:szCs w:val="18"/>
          <w:lang w:val="fr-FR"/>
        </w:rPr>
        <w:t xml:space="preserve"> et Corr.1)</w:t>
      </w:r>
      <w:r>
        <w:rPr>
          <w:rFonts w:eastAsia="MS Mincho"/>
          <w:szCs w:val="18"/>
          <w:lang w:val="fr-FR"/>
        </w:rPr>
        <w:t>, par.</w:t>
      </w:r>
      <w:r w:rsidR="001127A2">
        <w:rPr>
          <w:rFonts w:eastAsia="MS Mincho"/>
          <w:szCs w:val="18"/>
          <w:lang w:val="fr-FR"/>
        </w:rPr>
        <w:t> </w:t>
      </w:r>
      <w:r>
        <w:rPr>
          <w:rFonts w:eastAsia="MS Mincho"/>
          <w:szCs w:val="18"/>
          <w:lang w:val="fr-FR"/>
        </w:rPr>
        <w:t xml:space="preserve">7.5 ; </w:t>
      </w:r>
      <w:proofErr w:type="spellStart"/>
      <w:r w:rsidRPr="0032298B">
        <w:rPr>
          <w:i/>
          <w:szCs w:val="18"/>
        </w:rPr>
        <w:t>Berzig</w:t>
      </w:r>
      <w:proofErr w:type="spellEnd"/>
      <w:r w:rsidRPr="0032298B">
        <w:rPr>
          <w:rFonts w:eastAsia="MS Mincho"/>
          <w:i/>
          <w:iCs/>
          <w:szCs w:val="18"/>
          <w:lang w:val="fr-FR"/>
        </w:rPr>
        <w:t xml:space="preserve"> c.</w:t>
      </w:r>
      <w:r w:rsidR="001127A2">
        <w:rPr>
          <w:rFonts w:eastAsia="MS Mincho"/>
          <w:i/>
          <w:iCs/>
          <w:szCs w:val="18"/>
          <w:lang w:val="fr-FR"/>
        </w:rPr>
        <w:t> </w:t>
      </w:r>
      <w:r>
        <w:rPr>
          <w:rFonts w:eastAsia="MS Mincho"/>
          <w:i/>
          <w:iCs/>
          <w:szCs w:val="18"/>
          <w:lang w:val="fr-FR"/>
        </w:rPr>
        <w:t>Algérie</w:t>
      </w:r>
      <w:r>
        <w:rPr>
          <w:rFonts w:eastAsia="MS Mincho"/>
          <w:szCs w:val="18"/>
          <w:lang w:val="fr-FR"/>
        </w:rPr>
        <w:t>, par.</w:t>
      </w:r>
      <w:r w:rsidR="001127A2">
        <w:rPr>
          <w:rFonts w:eastAsia="MS Mincho"/>
          <w:szCs w:val="18"/>
          <w:lang w:val="fr-FR"/>
        </w:rPr>
        <w:t> </w:t>
      </w:r>
      <w:r>
        <w:rPr>
          <w:rFonts w:eastAsia="MS Mincho"/>
          <w:szCs w:val="18"/>
          <w:lang w:val="fr-FR"/>
        </w:rPr>
        <w:t xml:space="preserve">8.5 ; et </w:t>
      </w:r>
      <w:r>
        <w:rPr>
          <w:i/>
          <w:iCs/>
          <w:szCs w:val="18"/>
          <w:lang w:val="fr-FR"/>
        </w:rPr>
        <w:t>El</w:t>
      </w:r>
      <w:r w:rsidR="001127A2">
        <w:rPr>
          <w:i/>
          <w:iCs/>
          <w:szCs w:val="18"/>
          <w:lang w:val="fr-FR"/>
        </w:rPr>
        <w:t> </w:t>
      </w:r>
      <w:proofErr w:type="spellStart"/>
      <w:r w:rsidRPr="0032298B">
        <w:rPr>
          <w:i/>
          <w:iCs/>
          <w:szCs w:val="18"/>
          <w:lang w:val="fr-FR"/>
        </w:rPr>
        <w:t>Alwani</w:t>
      </w:r>
      <w:proofErr w:type="spellEnd"/>
      <w:r w:rsidRPr="0032298B">
        <w:rPr>
          <w:i/>
          <w:iCs/>
          <w:szCs w:val="18"/>
          <w:lang w:val="fr-FR"/>
        </w:rPr>
        <w:t xml:space="preserve"> c.</w:t>
      </w:r>
      <w:r w:rsidR="001127A2">
        <w:rPr>
          <w:i/>
          <w:iCs/>
          <w:szCs w:val="18"/>
          <w:lang w:val="fr-FR"/>
        </w:rPr>
        <w:t> </w:t>
      </w:r>
      <w:r>
        <w:rPr>
          <w:rFonts w:eastAsia="MS Mincho"/>
          <w:i/>
          <w:iCs/>
          <w:szCs w:val="18"/>
          <w:lang w:val="fr-FR"/>
        </w:rPr>
        <w:t>Jamahiriya arabe libyenne</w:t>
      </w:r>
      <w:r>
        <w:rPr>
          <w:szCs w:val="18"/>
          <w:lang w:val="fr-FR"/>
        </w:rPr>
        <w:t xml:space="preserve"> (CCPR/C/90/D/1295/2004), par.</w:t>
      </w:r>
      <w:r w:rsidR="001127A2">
        <w:rPr>
          <w:szCs w:val="18"/>
          <w:lang w:val="fr-FR"/>
        </w:rPr>
        <w:t> </w:t>
      </w:r>
      <w:r>
        <w:rPr>
          <w:szCs w:val="18"/>
          <w:lang w:val="fr-FR"/>
        </w:rPr>
        <w:t>6.5.</w:t>
      </w:r>
    </w:p>
  </w:footnote>
  <w:footnote w:id="31">
    <w:p w14:paraId="3B017FA6" w14:textId="77777777" w:rsidR="0059201E" w:rsidRDefault="0059201E" w:rsidP="0059201E">
      <w:pPr>
        <w:pStyle w:val="Notedebasdepage"/>
        <w:rPr>
          <w:lang w:val="fr-FR"/>
        </w:rPr>
      </w:pPr>
      <w:r>
        <w:tab/>
      </w:r>
      <w:r w:rsidRPr="004E1C4D">
        <w:rPr>
          <w:rStyle w:val="Appelnotedebasdep"/>
        </w:rPr>
        <w:footnoteRef/>
      </w:r>
      <w:r>
        <w:tab/>
      </w:r>
      <w:proofErr w:type="spellStart"/>
      <w:r w:rsidRPr="0015700A">
        <w:rPr>
          <w:i/>
          <w:szCs w:val="18"/>
          <w:lang w:val="fr-FR"/>
        </w:rPr>
        <w:t>Ammari</w:t>
      </w:r>
      <w:proofErr w:type="spellEnd"/>
      <w:r w:rsidRPr="0015700A">
        <w:rPr>
          <w:i/>
          <w:szCs w:val="18"/>
          <w:lang w:val="fr-FR"/>
        </w:rPr>
        <w:t xml:space="preserve"> c.</w:t>
      </w:r>
      <w:r w:rsidR="001127A2">
        <w:rPr>
          <w:i/>
          <w:szCs w:val="18"/>
          <w:lang w:val="fr-FR"/>
        </w:rPr>
        <w:t> </w:t>
      </w:r>
      <w:r w:rsidRPr="0015700A">
        <w:rPr>
          <w:i/>
          <w:szCs w:val="18"/>
          <w:lang w:val="fr-FR"/>
        </w:rPr>
        <w:t>Algérie</w:t>
      </w:r>
      <w:r>
        <w:rPr>
          <w:szCs w:val="18"/>
          <w:lang w:val="fr-FR"/>
        </w:rPr>
        <w:t>, par.</w:t>
      </w:r>
      <w:r w:rsidR="001127A2">
        <w:rPr>
          <w:szCs w:val="18"/>
          <w:lang w:val="fr-FR"/>
        </w:rPr>
        <w:t> </w:t>
      </w:r>
      <w:r>
        <w:rPr>
          <w:szCs w:val="18"/>
          <w:lang w:val="fr-FR"/>
        </w:rPr>
        <w:t>8.6.</w:t>
      </w:r>
    </w:p>
  </w:footnote>
  <w:footnote w:id="32">
    <w:p w14:paraId="438AC4DE" w14:textId="77777777" w:rsidR="0059201E" w:rsidRDefault="0059201E" w:rsidP="0059201E">
      <w:pPr>
        <w:pStyle w:val="Notedebasdepage"/>
      </w:pPr>
      <w:r>
        <w:tab/>
      </w:r>
      <w:r w:rsidRPr="004E1C4D">
        <w:rPr>
          <w:rStyle w:val="Appelnotedebasdep"/>
        </w:rPr>
        <w:footnoteRef/>
      </w:r>
      <w:r>
        <w:tab/>
      </w:r>
      <w:proofErr w:type="spellStart"/>
      <w:r w:rsidRPr="00D0624B">
        <w:rPr>
          <w:i/>
          <w:iCs/>
          <w:szCs w:val="18"/>
          <w:lang w:val="fr-FR"/>
        </w:rPr>
        <w:t>Mezine</w:t>
      </w:r>
      <w:proofErr w:type="spellEnd"/>
      <w:r w:rsidRPr="00D0624B">
        <w:rPr>
          <w:i/>
          <w:iCs/>
          <w:szCs w:val="18"/>
          <w:lang w:val="fr-FR"/>
        </w:rPr>
        <w:t xml:space="preserve"> c.</w:t>
      </w:r>
      <w:r w:rsidR="001127A2">
        <w:rPr>
          <w:i/>
          <w:iCs/>
          <w:szCs w:val="18"/>
          <w:lang w:val="fr-FR"/>
        </w:rPr>
        <w:t> </w:t>
      </w:r>
      <w:r w:rsidRPr="00D0624B">
        <w:rPr>
          <w:i/>
          <w:iCs/>
          <w:szCs w:val="18"/>
          <w:lang w:val="fr-FR"/>
        </w:rPr>
        <w:t>Algérie</w:t>
      </w:r>
      <w:r>
        <w:rPr>
          <w:szCs w:val="18"/>
          <w:lang w:val="fr-FR"/>
        </w:rPr>
        <w:t>, par.</w:t>
      </w:r>
      <w:r w:rsidR="001127A2">
        <w:rPr>
          <w:szCs w:val="18"/>
          <w:lang w:val="fr-FR"/>
        </w:rPr>
        <w:t> </w:t>
      </w:r>
      <w:r>
        <w:rPr>
          <w:szCs w:val="18"/>
          <w:lang w:val="fr-FR"/>
        </w:rPr>
        <w:t xml:space="preserve">8.6 ; </w:t>
      </w:r>
      <w:proofErr w:type="spellStart"/>
      <w:r w:rsidRPr="00D0624B">
        <w:rPr>
          <w:i/>
          <w:iCs/>
          <w:szCs w:val="18"/>
          <w:lang w:val="fr-FR"/>
        </w:rPr>
        <w:t>Khirani</w:t>
      </w:r>
      <w:proofErr w:type="spellEnd"/>
      <w:r w:rsidRPr="00D0624B">
        <w:rPr>
          <w:i/>
          <w:iCs/>
          <w:szCs w:val="18"/>
          <w:lang w:val="fr-FR"/>
        </w:rPr>
        <w:t xml:space="preserve"> c.</w:t>
      </w:r>
      <w:r w:rsidR="001127A2">
        <w:rPr>
          <w:i/>
          <w:iCs/>
          <w:szCs w:val="18"/>
          <w:lang w:val="fr-FR"/>
        </w:rPr>
        <w:t> </w:t>
      </w:r>
      <w:r w:rsidRPr="00D0624B">
        <w:rPr>
          <w:i/>
          <w:iCs/>
          <w:szCs w:val="18"/>
          <w:lang w:val="fr-FR"/>
        </w:rPr>
        <w:t>Algérie</w:t>
      </w:r>
      <w:r>
        <w:rPr>
          <w:szCs w:val="18"/>
          <w:lang w:val="fr-FR"/>
        </w:rPr>
        <w:t>, par.</w:t>
      </w:r>
      <w:r w:rsidR="001127A2">
        <w:rPr>
          <w:szCs w:val="18"/>
          <w:lang w:val="fr-FR"/>
        </w:rPr>
        <w:t> </w:t>
      </w:r>
      <w:r>
        <w:rPr>
          <w:szCs w:val="18"/>
          <w:lang w:val="fr-FR"/>
        </w:rPr>
        <w:t xml:space="preserve">7.6 ; </w:t>
      </w:r>
      <w:proofErr w:type="spellStart"/>
      <w:r w:rsidRPr="000D231A">
        <w:rPr>
          <w:i/>
          <w:szCs w:val="18"/>
        </w:rPr>
        <w:t>Berzig</w:t>
      </w:r>
      <w:proofErr w:type="spellEnd"/>
      <w:r>
        <w:rPr>
          <w:i/>
          <w:iCs/>
          <w:szCs w:val="18"/>
          <w:lang w:val="fr-FR"/>
        </w:rPr>
        <w:t xml:space="preserve"> </w:t>
      </w:r>
      <w:r w:rsidRPr="00D0624B">
        <w:rPr>
          <w:i/>
          <w:iCs/>
          <w:szCs w:val="18"/>
          <w:lang w:val="fr-FR"/>
        </w:rPr>
        <w:t>c.</w:t>
      </w:r>
      <w:r w:rsidR="001127A2">
        <w:rPr>
          <w:i/>
          <w:iCs/>
          <w:szCs w:val="18"/>
          <w:lang w:val="fr-FR"/>
        </w:rPr>
        <w:t> </w:t>
      </w:r>
      <w:r w:rsidRPr="00D0624B">
        <w:rPr>
          <w:i/>
          <w:iCs/>
          <w:szCs w:val="18"/>
          <w:lang w:val="fr-FR"/>
        </w:rPr>
        <w:t>Algérie</w:t>
      </w:r>
      <w:r>
        <w:rPr>
          <w:szCs w:val="18"/>
          <w:lang w:val="fr-FR"/>
        </w:rPr>
        <w:t>, par.</w:t>
      </w:r>
      <w:r w:rsidR="001127A2">
        <w:rPr>
          <w:szCs w:val="18"/>
          <w:lang w:val="fr-FR"/>
        </w:rPr>
        <w:t> </w:t>
      </w:r>
      <w:r>
        <w:rPr>
          <w:szCs w:val="18"/>
          <w:lang w:val="fr-FR"/>
        </w:rPr>
        <w:t xml:space="preserve">8.6 ; </w:t>
      </w:r>
      <w:r>
        <w:rPr>
          <w:i/>
          <w:iCs/>
          <w:szCs w:val="18"/>
          <w:lang w:val="fr-FR"/>
        </w:rPr>
        <w:t>El</w:t>
      </w:r>
      <w:r w:rsidR="001127A2">
        <w:rPr>
          <w:i/>
          <w:iCs/>
          <w:szCs w:val="18"/>
          <w:lang w:val="fr-FR"/>
        </w:rPr>
        <w:t> </w:t>
      </w:r>
      <w:proofErr w:type="spellStart"/>
      <w:r>
        <w:rPr>
          <w:i/>
          <w:iCs/>
          <w:szCs w:val="18"/>
          <w:lang w:val="fr-FR"/>
        </w:rPr>
        <w:t>Abani</w:t>
      </w:r>
      <w:proofErr w:type="spellEnd"/>
      <w:r>
        <w:rPr>
          <w:i/>
          <w:iCs/>
          <w:szCs w:val="18"/>
          <w:lang w:val="fr-FR"/>
        </w:rPr>
        <w:t xml:space="preserve"> </w:t>
      </w:r>
      <w:r w:rsidRPr="006F2384">
        <w:rPr>
          <w:i/>
          <w:iCs/>
          <w:szCs w:val="18"/>
          <w:lang w:val="fr-FR"/>
        </w:rPr>
        <w:t>c.</w:t>
      </w:r>
      <w:r w:rsidR="001127A2">
        <w:rPr>
          <w:i/>
          <w:iCs/>
          <w:szCs w:val="18"/>
          <w:lang w:val="fr-FR"/>
        </w:rPr>
        <w:t> </w:t>
      </w:r>
      <w:r>
        <w:rPr>
          <w:i/>
          <w:iCs/>
          <w:szCs w:val="18"/>
          <w:lang w:val="fr-FR"/>
        </w:rPr>
        <w:t>Jamahiriya arabe libyenne</w:t>
      </w:r>
      <w:r>
        <w:rPr>
          <w:szCs w:val="18"/>
          <w:lang w:val="fr-FR"/>
        </w:rPr>
        <w:t>, par.</w:t>
      </w:r>
      <w:r w:rsidR="001127A2">
        <w:rPr>
          <w:szCs w:val="18"/>
          <w:lang w:val="fr-FR"/>
        </w:rPr>
        <w:t> </w:t>
      </w:r>
      <w:r>
        <w:rPr>
          <w:szCs w:val="18"/>
          <w:lang w:val="fr-FR"/>
        </w:rPr>
        <w:t xml:space="preserve">7.5 ; et </w:t>
      </w:r>
      <w:r>
        <w:rPr>
          <w:i/>
          <w:iCs/>
          <w:szCs w:val="18"/>
          <w:lang w:val="fr-FR"/>
        </w:rPr>
        <w:t>El</w:t>
      </w:r>
      <w:r w:rsidR="001127A2">
        <w:rPr>
          <w:i/>
          <w:iCs/>
          <w:szCs w:val="18"/>
          <w:lang w:val="fr-FR"/>
        </w:rPr>
        <w:t> </w:t>
      </w:r>
      <w:proofErr w:type="spellStart"/>
      <w:r>
        <w:rPr>
          <w:i/>
          <w:iCs/>
          <w:szCs w:val="18"/>
          <w:lang w:val="fr-FR"/>
        </w:rPr>
        <w:t>Hassy</w:t>
      </w:r>
      <w:proofErr w:type="spellEnd"/>
      <w:r w:rsidRPr="00D0624B">
        <w:rPr>
          <w:i/>
          <w:iCs/>
          <w:szCs w:val="18"/>
          <w:lang w:val="fr-FR"/>
        </w:rPr>
        <w:t xml:space="preserve"> c.</w:t>
      </w:r>
      <w:r w:rsidR="001127A2">
        <w:rPr>
          <w:i/>
          <w:iCs/>
          <w:szCs w:val="18"/>
          <w:lang w:val="fr-FR"/>
        </w:rPr>
        <w:t> </w:t>
      </w:r>
      <w:r>
        <w:rPr>
          <w:i/>
          <w:iCs/>
          <w:szCs w:val="18"/>
          <w:lang w:val="fr-FR"/>
        </w:rPr>
        <w:t>Jamahiriya arabe libyenne</w:t>
      </w:r>
      <w:r>
        <w:rPr>
          <w:szCs w:val="18"/>
          <w:lang w:val="fr-FR"/>
        </w:rPr>
        <w:t xml:space="preserve"> (CCPR/C/91/D/1422/2005), par.</w:t>
      </w:r>
      <w:r w:rsidR="001127A2">
        <w:rPr>
          <w:szCs w:val="18"/>
          <w:lang w:val="fr-FR"/>
        </w:rPr>
        <w:t> </w:t>
      </w:r>
      <w:r>
        <w:rPr>
          <w:szCs w:val="18"/>
          <w:lang w:val="fr-FR"/>
        </w:rPr>
        <w:t>6.11.</w:t>
      </w:r>
    </w:p>
  </w:footnote>
  <w:footnote w:id="33">
    <w:p w14:paraId="3DAF5004" w14:textId="77777777" w:rsidR="0059201E" w:rsidRPr="00B11211" w:rsidRDefault="0059201E" w:rsidP="0059201E">
      <w:pPr>
        <w:pStyle w:val="Notedebasdepage"/>
        <w:rPr>
          <w:szCs w:val="18"/>
        </w:rPr>
      </w:pPr>
      <w:r w:rsidRPr="00B11211">
        <w:rPr>
          <w:szCs w:val="18"/>
        </w:rPr>
        <w:tab/>
      </w:r>
      <w:r w:rsidRPr="004E1C4D">
        <w:rPr>
          <w:rStyle w:val="Appelnotedebasdep"/>
        </w:rPr>
        <w:footnoteRef/>
      </w:r>
      <w:r w:rsidRPr="00B11211">
        <w:rPr>
          <w:szCs w:val="18"/>
        </w:rPr>
        <w:tab/>
      </w:r>
      <w:proofErr w:type="spellStart"/>
      <w:r w:rsidRPr="00B11211">
        <w:rPr>
          <w:i/>
          <w:szCs w:val="18"/>
        </w:rPr>
        <w:t>Chani</w:t>
      </w:r>
      <w:proofErr w:type="spellEnd"/>
      <w:r w:rsidRPr="00B11211">
        <w:rPr>
          <w:i/>
          <w:szCs w:val="18"/>
        </w:rPr>
        <w:t xml:space="preserve"> c.</w:t>
      </w:r>
      <w:r w:rsidR="001127A2">
        <w:rPr>
          <w:i/>
          <w:szCs w:val="18"/>
        </w:rPr>
        <w:t> </w:t>
      </w:r>
      <w:r w:rsidRPr="00B11211">
        <w:rPr>
          <w:i/>
          <w:szCs w:val="18"/>
        </w:rPr>
        <w:t>Algérie</w:t>
      </w:r>
      <w:r w:rsidRPr="00B11211">
        <w:rPr>
          <w:szCs w:val="18"/>
        </w:rPr>
        <w:t xml:space="preserve"> (CCPR/C/116/D/2297/2013), par.</w:t>
      </w:r>
      <w:r w:rsidR="001127A2">
        <w:rPr>
          <w:szCs w:val="18"/>
        </w:rPr>
        <w:t> </w:t>
      </w:r>
      <w:r w:rsidRPr="00B11211">
        <w:rPr>
          <w:szCs w:val="18"/>
        </w:rPr>
        <w:t>7.5.</w:t>
      </w:r>
    </w:p>
  </w:footnote>
  <w:footnote w:id="34">
    <w:p w14:paraId="099D7B5A" w14:textId="77777777" w:rsidR="0059201E" w:rsidRPr="00755DA0" w:rsidRDefault="0059201E" w:rsidP="0059201E">
      <w:pPr>
        <w:pStyle w:val="Notedebasdepage"/>
        <w:rPr>
          <w:spacing w:val="-2"/>
          <w:szCs w:val="18"/>
        </w:rPr>
      </w:pPr>
      <w:r w:rsidRPr="00755DA0">
        <w:rPr>
          <w:spacing w:val="-2"/>
          <w:szCs w:val="18"/>
        </w:rPr>
        <w:tab/>
      </w:r>
      <w:r w:rsidRPr="00755DA0">
        <w:rPr>
          <w:rStyle w:val="Appelnotedebasdep"/>
          <w:spacing w:val="-2"/>
        </w:rPr>
        <w:footnoteRef/>
      </w:r>
      <w:r w:rsidRPr="00755DA0">
        <w:rPr>
          <w:spacing w:val="-2"/>
          <w:szCs w:val="18"/>
        </w:rPr>
        <w:tab/>
      </w:r>
      <w:r w:rsidRPr="00755DA0">
        <w:rPr>
          <w:spacing w:val="-2"/>
          <w:szCs w:val="18"/>
          <w:lang w:val="fr-FR"/>
        </w:rPr>
        <w:t xml:space="preserve">Voir, entre autres, </w:t>
      </w:r>
      <w:proofErr w:type="spellStart"/>
      <w:r w:rsidRPr="00755DA0">
        <w:rPr>
          <w:i/>
          <w:iCs/>
          <w:spacing w:val="-2"/>
          <w:szCs w:val="18"/>
          <w:lang w:val="fr-FR"/>
        </w:rPr>
        <w:t>Mezine</w:t>
      </w:r>
      <w:proofErr w:type="spellEnd"/>
      <w:r w:rsidRPr="00755DA0">
        <w:rPr>
          <w:i/>
          <w:iCs/>
          <w:spacing w:val="-2"/>
          <w:szCs w:val="18"/>
          <w:lang w:val="fr-FR"/>
        </w:rPr>
        <w:t xml:space="preserve"> c.</w:t>
      </w:r>
      <w:r w:rsidR="001127A2" w:rsidRPr="00755DA0">
        <w:rPr>
          <w:i/>
          <w:iCs/>
          <w:spacing w:val="-2"/>
          <w:szCs w:val="18"/>
          <w:lang w:val="fr-FR"/>
        </w:rPr>
        <w:t> </w:t>
      </w:r>
      <w:r w:rsidRPr="00755DA0">
        <w:rPr>
          <w:i/>
          <w:iCs/>
          <w:spacing w:val="-2"/>
          <w:szCs w:val="18"/>
          <w:lang w:val="fr-FR"/>
        </w:rPr>
        <w:t>Algérie</w:t>
      </w:r>
      <w:r w:rsidRPr="00755DA0">
        <w:rPr>
          <w:spacing w:val="-2"/>
          <w:szCs w:val="18"/>
          <w:lang w:val="fr-FR"/>
        </w:rPr>
        <w:t>, par.</w:t>
      </w:r>
      <w:r w:rsidR="001127A2" w:rsidRPr="00755DA0">
        <w:rPr>
          <w:spacing w:val="-2"/>
          <w:szCs w:val="18"/>
          <w:lang w:val="fr-FR"/>
        </w:rPr>
        <w:t> </w:t>
      </w:r>
      <w:r w:rsidRPr="00755DA0">
        <w:rPr>
          <w:spacing w:val="-2"/>
          <w:szCs w:val="18"/>
          <w:lang w:val="fr-FR"/>
        </w:rPr>
        <w:t xml:space="preserve">8.7 ; </w:t>
      </w:r>
      <w:proofErr w:type="spellStart"/>
      <w:r w:rsidRPr="00755DA0">
        <w:rPr>
          <w:i/>
          <w:iCs/>
          <w:spacing w:val="-2"/>
          <w:szCs w:val="18"/>
          <w:lang w:val="fr-FR"/>
        </w:rPr>
        <w:t>Khirani</w:t>
      </w:r>
      <w:proofErr w:type="spellEnd"/>
      <w:r w:rsidRPr="00755DA0">
        <w:rPr>
          <w:i/>
          <w:iCs/>
          <w:spacing w:val="-2"/>
          <w:szCs w:val="18"/>
          <w:lang w:val="fr-FR"/>
        </w:rPr>
        <w:t xml:space="preserve"> c.</w:t>
      </w:r>
      <w:r w:rsidR="001127A2" w:rsidRPr="00755DA0">
        <w:rPr>
          <w:i/>
          <w:iCs/>
          <w:spacing w:val="-2"/>
          <w:szCs w:val="18"/>
          <w:lang w:val="fr-FR"/>
        </w:rPr>
        <w:t> </w:t>
      </w:r>
      <w:r w:rsidRPr="00755DA0">
        <w:rPr>
          <w:i/>
          <w:iCs/>
          <w:spacing w:val="-2"/>
          <w:szCs w:val="18"/>
          <w:lang w:val="fr-FR"/>
        </w:rPr>
        <w:t>Algérie</w:t>
      </w:r>
      <w:r w:rsidRPr="00755DA0">
        <w:rPr>
          <w:spacing w:val="-2"/>
          <w:szCs w:val="18"/>
          <w:lang w:val="fr-FR"/>
        </w:rPr>
        <w:t>, par.</w:t>
      </w:r>
      <w:r w:rsidR="001127A2" w:rsidRPr="00755DA0">
        <w:rPr>
          <w:spacing w:val="-2"/>
          <w:szCs w:val="18"/>
          <w:lang w:val="fr-FR"/>
        </w:rPr>
        <w:t> </w:t>
      </w:r>
      <w:r w:rsidRPr="00755DA0">
        <w:rPr>
          <w:spacing w:val="-2"/>
          <w:szCs w:val="18"/>
          <w:lang w:val="fr-FR"/>
        </w:rPr>
        <w:t xml:space="preserve">7.7 ; et </w:t>
      </w:r>
      <w:proofErr w:type="spellStart"/>
      <w:r w:rsidRPr="00755DA0">
        <w:rPr>
          <w:i/>
          <w:spacing w:val="-2"/>
          <w:szCs w:val="18"/>
        </w:rPr>
        <w:t>Berzig</w:t>
      </w:r>
      <w:proofErr w:type="spellEnd"/>
      <w:r w:rsidRPr="00755DA0">
        <w:rPr>
          <w:i/>
          <w:iCs/>
          <w:spacing w:val="-2"/>
          <w:szCs w:val="18"/>
          <w:lang w:val="fr-FR"/>
        </w:rPr>
        <w:t xml:space="preserve"> c.</w:t>
      </w:r>
      <w:r w:rsidR="001127A2" w:rsidRPr="00755DA0">
        <w:rPr>
          <w:i/>
          <w:iCs/>
          <w:spacing w:val="-2"/>
          <w:szCs w:val="18"/>
          <w:lang w:val="fr-FR"/>
        </w:rPr>
        <w:t> </w:t>
      </w:r>
      <w:r w:rsidRPr="00755DA0">
        <w:rPr>
          <w:i/>
          <w:iCs/>
          <w:spacing w:val="-2"/>
          <w:szCs w:val="18"/>
          <w:lang w:val="fr-FR"/>
        </w:rPr>
        <w:t>Algérie</w:t>
      </w:r>
      <w:r w:rsidRPr="00755DA0">
        <w:rPr>
          <w:spacing w:val="-2"/>
          <w:szCs w:val="18"/>
          <w:lang w:val="fr-FR"/>
        </w:rPr>
        <w:t>, par. 8.7.</w:t>
      </w:r>
    </w:p>
  </w:footnote>
  <w:footnote w:id="35">
    <w:p w14:paraId="7991F3A0" w14:textId="77777777" w:rsidR="0059201E" w:rsidRPr="009E7D51" w:rsidRDefault="0059201E" w:rsidP="0059201E">
      <w:pPr>
        <w:pStyle w:val="Notedebasdepage"/>
        <w:rPr>
          <w:lang w:val="pt-PT"/>
        </w:rPr>
      </w:pPr>
      <w:r>
        <w:tab/>
      </w:r>
      <w:r w:rsidRPr="004E1C4D">
        <w:rPr>
          <w:rStyle w:val="Appelnotedebasdep"/>
        </w:rPr>
        <w:footnoteRef/>
      </w:r>
      <w:r w:rsidRPr="009E7D51">
        <w:rPr>
          <w:lang w:val="pt-PT"/>
        </w:rPr>
        <w:tab/>
      </w:r>
      <w:r w:rsidRPr="009E7D51">
        <w:rPr>
          <w:lang w:val="pt-PT"/>
        </w:rPr>
        <w:t>CCPR/C/DZA/CO/4, par.</w:t>
      </w:r>
      <w:r w:rsidR="001127A2">
        <w:rPr>
          <w:lang w:val="pt-PT"/>
        </w:rPr>
        <w:t> </w:t>
      </w:r>
      <w:r w:rsidRPr="009E7D51">
        <w:rPr>
          <w:lang w:val="pt-PT"/>
        </w:rPr>
        <w:t>11 à 14.</w:t>
      </w:r>
    </w:p>
  </w:footnote>
  <w:footnote w:id="36">
    <w:p w14:paraId="6F3C2959" w14:textId="77777777" w:rsidR="0059201E" w:rsidRDefault="0059201E" w:rsidP="0059201E">
      <w:pPr>
        <w:pStyle w:val="Notedebasdepage"/>
        <w:rPr>
          <w:lang w:val="fr-FR"/>
        </w:rPr>
      </w:pPr>
      <w:r w:rsidRPr="009E7D51">
        <w:rPr>
          <w:lang w:val="pt-PT"/>
        </w:rPr>
        <w:tab/>
      </w:r>
      <w:r w:rsidRPr="004E1C4D">
        <w:rPr>
          <w:rStyle w:val="Appelnotedebasdep"/>
        </w:rPr>
        <w:footnoteRef/>
      </w:r>
      <w:r>
        <w:tab/>
      </w:r>
      <w:proofErr w:type="spellStart"/>
      <w:r w:rsidRPr="003073A3">
        <w:rPr>
          <w:i/>
          <w:lang w:val="fr-FR"/>
        </w:rPr>
        <w:t>Basnet</w:t>
      </w:r>
      <w:proofErr w:type="spellEnd"/>
      <w:r w:rsidRPr="003073A3">
        <w:rPr>
          <w:i/>
          <w:lang w:val="fr-FR"/>
        </w:rPr>
        <w:t xml:space="preserve"> c.</w:t>
      </w:r>
      <w:r w:rsidR="001127A2">
        <w:rPr>
          <w:i/>
          <w:lang w:val="fr-FR"/>
        </w:rPr>
        <w:t> </w:t>
      </w:r>
      <w:r w:rsidRPr="003073A3">
        <w:rPr>
          <w:i/>
          <w:lang w:val="fr-FR"/>
        </w:rPr>
        <w:t>Népal</w:t>
      </w:r>
      <w:r>
        <w:rPr>
          <w:lang w:val="fr-FR"/>
        </w:rPr>
        <w:t xml:space="preserve"> (CCPR/C/117/D/2164/2012), par.</w:t>
      </w:r>
      <w:r w:rsidR="001127A2">
        <w:rPr>
          <w:lang w:val="fr-FR"/>
        </w:rPr>
        <w:t> </w:t>
      </w:r>
      <w:r>
        <w:rPr>
          <w:lang w:val="fr-FR"/>
        </w:rPr>
        <w:t xml:space="preserve">10.9 ; </w:t>
      </w:r>
      <w:r>
        <w:rPr>
          <w:i/>
          <w:lang w:val="fr-FR"/>
        </w:rPr>
        <w:t>Tharu et consorts</w:t>
      </w:r>
      <w:r w:rsidRPr="003073A3">
        <w:rPr>
          <w:i/>
          <w:lang w:val="fr-FR"/>
        </w:rPr>
        <w:t xml:space="preserve"> c.</w:t>
      </w:r>
      <w:r w:rsidR="001127A2">
        <w:rPr>
          <w:i/>
          <w:lang w:val="fr-FR"/>
        </w:rPr>
        <w:t> </w:t>
      </w:r>
      <w:r w:rsidRPr="003073A3">
        <w:rPr>
          <w:i/>
          <w:lang w:val="fr-FR"/>
        </w:rPr>
        <w:t>Népal</w:t>
      </w:r>
      <w:r>
        <w:rPr>
          <w:lang w:val="fr-FR"/>
        </w:rPr>
        <w:t>, par.</w:t>
      </w:r>
      <w:r w:rsidR="001127A2">
        <w:rPr>
          <w:lang w:val="fr-FR"/>
        </w:rPr>
        <w:t> </w:t>
      </w:r>
      <w:r>
        <w:rPr>
          <w:lang w:val="fr-FR"/>
        </w:rPr>
        <w:t xml:space="preserve">10.9 ; et </w:t>
      </w:r>
      <w:proofErr w:type="spellStart"/>
      <w:r>
        <w:rPr>
          <w:i/>
          <w:lang w:val="fr-FR"/>
        </w:rPr>
        <w:t>Serna</w:t>
      </w:r>
      <w:proofErr w:type="spellEnd"/>
      <w:r>
        <w:rPr>
          <w:i/>
          <w:lang w:val="fr-FR"/>
        </w:rPr>
        <w:t xml:space="preserve"> </w:t>
      </w:r>
      <w:r w:rsidRPr="00EF538B">
        <w:rPr>
          <w:i/>
          <w:lang w:val="fr-FR"/>
        </w:rPr>
        <w:t xml:space="preserve">et </w:t>
      </w:r>
      <w:r>
        <w:rPr>
          <w:i/>
          <w:lang w:val="fr-FR"/>
        </w:rPr>
        <w:t>consorts</w:t>
      </w:r>
      <w:r w:rsidRPr="003073A3">
        <w:rPr>
          <w:i/>
          <w:iCs/>
          <w:lang w:val="fr-FR"/>
        </w:rPr>
        <w:t xml:space="preserve"> c.</w:t>
      </w:r>
      <w:r w:rsidR="001127A2">
        <w:rPr>
          <w:i/>
          <w:iCs/>
          <w:lang w:val="fr-FR"/>
        </w:rPr>
        <w:t> </w:t>
      </w:r>
      <w:r w:rsidRPr="003073A3">
        <w:rPr>
          <w:i/>
          <w:iCs/>
          <w:lang w:val="fr-FR"/>
        </w:rPr>
        <w:t>Colombie</w:t>
      </w:r>
      <w:r>
        <w:rPr>
          <w:lang w:val="fr-FR"/>
        </w:rPr>
        <w:t>, par.</w:t>
      </w:r>
      <w:r w:rsidR="001127A2">
        <w:rPr>
          <w:lang w:val="fr-FR"/>
        </w:rPr>
        <w:t> </w:t>
      </w:r>
      <w:r>
        <w:rPr>
          <w:lang w:val="fr-FR"/>
        </w:rPr>
        <w:t>9.5.</w:t>
      </w:r>
    </w:p>
  </w:footnote>
  <w:footnote w:id="37">
    <w:p w14:paraId="720B2EA5" w14:textId="77777777" w:rsidR="0059201E" w:rsidRPr="00B11211" w:rsidRDefault="0059201E" w:rsidP="0059201E">
      <w:pPr>
        <w:pStyle w:val="Notedebasdepage"/>
        <w:rPr>
          <w:szCs w:val="18"/>
        </w:rPr>
      </w:pPr>
      <w:r w:rsidRPr="00B11211">
        <w:rPr>
          <w:szCs w:val="18"/>
        </w:rPr>
        <w:tab/>
      </w:r>
      <w:r w:rsidRPr="004E1C4D">
        <w:rPr>
          <w:rStyle w:val="Appelnotedebasdep"/>
        </w:rPr>
        <w:footnoteRef/>
      </w:r>
      <w:r w:rsidRPr="00B11211">
        <w:rPr>
          <w:szCs w:val="18"/>
        </w:rPr>
        <w:tab/>
      </w:r>
      <w:proofErr w:type="spellStart"/>
      <w:r w:rsidRPr="00B11211">
        <w:rPr>
          <w:i/>
          <w:szCs w:val="18"/>
        </w:rPr>
        <w:t>Allioua</w:t>
      </w:r>
      <w:proofErr w:type="spellEnd"/>
      <w:r w:rsidRPr="00B11211">
        <w:rPr>
          <w:i/>
          <w:szCs w:val="18"/>
        </w:rPr>
        <w:t xml:space="preserve"> et </w:t>
      </w:r>
      <w:proofErr w:type="spellStart"/>
      <w:r w:rsidRPr="00B11211">
        <w:rPr>
          <w:i/>
          <w:szCs w:val="18"/>
        </w:rPr>
        <w:t>Kerouane</w:t>
      </w:r>
      <w:proofErr w:type="spellEnd"/>
      <w:r w:rsidRPr="00B11211">
        <w:rPr>
          <w:i/>
          <w:szCs w:val="18"/>
        </w:rPr>
        <w:t xml:space="preserve"> c.</w:t>
      </w:r>
      <w:r w:rsidR="001127A2">
        <w:rPr>
          <w:i/>
          <w:szCs w:val="18"/>
        </w:rPr>
        <w:t> </w:t>
      </w:r>
      <w:r w:rsidRPr="00B11211">
        <w:rPr>
          <w:i/>
          <w:szCs w:val="18"/>
        </w:rPr>
        <w:t>Algérie</w:t>
      </w:r>
      <w:r>
        <w:rPr>
          <w:szCs w:val="18"/>
        </w:rPr>
        <w:t xml:space="preserve"> (CCPR/C/112/D/2132/2012), par.</w:t>
      </w:r>
      <w:r w:rsidR="001127A2">
        <w:rPr>
          <w:szCs w:val="18"/>
        </w:rPr>
        <w:t> </w:t>
      </w:r>
      <w:r w:rsidRPr="00B11211">
        <w:rPr>
          <w:szCs w:val="18"/>
        </w:rPr>
        <w:t>7.11.</w:t>
      </w:r>
    </w:p>
  </w:footnote>
  <w:footnote w:id="38">
    <w:p w14:paraId="32095EC3" w14:textId="77777777" w:rsidR="0059201E" w:rsidRDefault="0059201E" w:rsidP="0059201E">
      <w:pPr>
        <w:pStyle w:val="Notedebasdepage"/>
      </w:pPr>
      <w:r>
        <w:tab/>
      </w:r>
      <w:r w:rsidRPr="004E1C4D">
        <w:rPr>
          <w:rStyle w:val="Appelnotedebasdep"/>
        </w:rPr>
        <w:footnoteRef/>
      </w:r>
      <w:r>
        <w:tab/>
      </w:r>
      <w:r w:rsidRPr="0072414F">
        <w:rPr>
          <w:szCs w:val="18"/>
          <w:lang w:val="fr-FR"/>
        </w:rPr>
        <w:t>CCPR/C/DZA/CO/3, par</w:t>
      </w:r>
      <w:r>
        <w:rPr>
          <w:szCs w:val="18"/>
          <w:lang w:val="fr-FR"/>
        </w:rPr>
        <w:t>.</w:t>
      </w:r>
      <w:r w:rsidR="001127A2">
        <w:rPr>
          <w:szCs w:val="18"/>
          <w:lang w:val="fr-FR"/>
        </w:rPr>
        <w:t> </w:t>
      </w:r>
      <w:r>
        <w:rPr>
          <w:szCs w:val="18"/>
          <w:lang w:val="fr-FR"/>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B5C0" w14:textId="52B1D56F" w:rsidR="0059201E" w:rsidRPr="00BF4D6C" w:rsidRDefault="00D0268D">
    <w:pPr>
      <w:pStyle w:val="En-tte"/>
    </w:pPr>
    <w:r>
      <w:fldChar w:fldCharType="begin"/>
    </w:r>
    <w:r>
      <w:instrText xml:space="preserve"> TITLE  \* MERGEFORMAT </w:instrText>
    </w:r>
    <w:r>
      <w:fldChar w:fldCharType="separate"/>
    </w:r>
    <w:r>
      <w:t>CCPR/C/128/D/2819/2016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800D" w14:textId="7AD2A63E" w:rsidR="0059201E" w:rsidRPr="00BF4D6C" w:rsidRDefault="00D0268D" w:rsidP="00BF4D6C">
    <w:pPr>
      <w:pStyle w:val="En-tte"/>
      <w:jc w:val="right"/>
    </w:pPr>
    <w:r>
      <w:fldChar w:fldCharType="begin"/>
    </w:r>
    <w:r>
      <w:instrText xml:space="preserve"> TITLE  \* MERGEFORMAT </w:instrText>
    </w:r>
    <w:r>
      <w:fldChar w:fldCharType="separate"/>
    </w:r>
    <w:r>
      <w:t>CCPR/C/128/D/2819/2016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166"/>
    <w:rsid w:val="000036BF"/>
    <w:rsid w:val="00017F94"/>
    <w:rsid w:val="00023842"/>
    <w:rsid w:val="000334F9"/>
    <w:rsid w:val="0007796D"/>
    <w:rsid w:val="000B7790"/>
    <w:rsid w:val="000C2225"/>
    <w:rsid w:val="00111F2F"/>
    <w:rsid w:val="001127A2"/>
    <w:rsid w:val="0014365E"/>
    <w:rsid w:val="00157963"/>
    <w:rsid w:val="00176178"/>
    <w:rsid w:val="001B379B"/>
    <w:rsid w:val="001F525A"/>
    <w:rsid w:val="001F608E"/>
    <w:rsid w:val="00223272"/>
    <w:rsid w:val="0024779E"/>
    <w:rsid w:val="002602BA"/>
    <w:rsid w:val="002B7BC7"/>
    <w:rsid w:val="002E2D46"/>
    <w:rsid w:val="0032225A"/>
    <w:rsid w:val="00332F33"/>
    <w:rsid w:val="00335CF0"/>
    <w:rsid w:val="003402F1"/>
    <w:rsid w:val="00351332"/>
    <w:rsid w:val="003A6E96"/>
    <w:rsid w:val="004039BC"/>
    <w:rsid w:val="00412542"/>
    <w:rsid w:val="00446FE5"/>
    <w:rsid w:val="00452396"/>
    <w:rsid w:val="005505B7"/>
    <w:rsid w:val="00553D68"/>
    <w:rsid w:val="00573BE5"/>
    <w:rsid w:val="00586ED3"/>
    <w:rsid w:val="0059201E"/>
    <w:rsid w:val="00596AA9"/>
    <w:rsid w:val="005F2248"/>
    <w:rsid w:val="006413CA"/>
    <w:rsid w:val="006F7144"/>
    <w:rsid w:val="006F71EA"/>
    <w:rsid w:val="00711519"/>
    <w:rsid w:val="0071601D"/>
    <w:rsid w:val="00755DA0"/>
    <w:rsid w:val="00793E85"/>
    <w:rsid w:val="007A611C"/>
    <w:rsid w:val="007A62E6"/>
    <w:rsid w:val="007E2032"/>
    <w:rsid w:val="0080684C"/>
    <w:rsid w:val="008560DB"/>
    <w:rsid w:val="00871C75"/>
    <w:rsid w:val="008776DC"/>
    <w:rsid w:val="009705C8"/>
    <w:rsid w:val="009B1E6C"/>
    <w:rsid w:val="009E175E"/>
    <w:rsid w:val="009E2C6A"/>
    <w:rsid w:val="00A9151D"/>
    <w:rsid w:val="00AA6A35"/>
    <w:rsid w:val="00AC3823"/>
    <w:rsid w:val="00AE323C"/>
    <w:rsid w:val="00B00181"/>
    <w:rsid w:val="00B765F7"/>
    <w:rsid w:val="00BA0CA9"/>
    <w:rsid w:val="00BF4D6C"/>
    <w:rsid w:val="00C01ACF"/>
    <w:rsid w:val="00C02897"/>
    <w:rsid w:val="00C957C8"/>
    <w:rsid w:val="00CA7BC4"/>
    <w:rsid w:val="00CE2166"/>
    <w:rsid w:val="00D0268D"/>
    <w:rsid w:val="00D05667"/>
    <w:rsid w:val="00D3439C"/>
    <w:rsid w:val="00D744E5"/>
    <w:rsid w:val="00D83177"/>
    <w:rsid w:val="00DB1831"/>
    <w:rsid w:val="00DD3BFD"/>
    <w:rsid w:val="00DF6678"/>
    <w:rsid w:val="00E01CA6"/>
    <w:rsid w:val="00E85C42"/>
    <w:rsid w:val="00EC30D5"/>
    <w:rsid w:val="00EC4DE6"/>
    <w:rsid w:val="00EE1BD4"/>
    <w:rsid w:val="00F12152"/>
    <w:rsid w:val="00F660DF"/>
    <w:rsid w:val="00F778B5"/>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B960F2C"/>
  <w15:docId w15:val="{C00182EB-DD49-4F9D-A9A0-859EAB11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ootnote Refernec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ft,Style 27,Char Char Char Char Char,Style 11,Char Char Char,fn,ft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ft Car,Style 27 Car,Style 11 Car,fn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Commentaire">
    <w:name w:val="annotation text"/>
    <w:basedOn w:val="Normal"/>
    <w:link w:val="CommentaireCar"/>
    <w:uiPriority w:val="99"/>
    <w:semiHidden/>
    <w:unhideWhenUsed/>
    <w:rsid w:val="0059201E"/>
    <w:pPr>
      <w:spacing w:line="240" w:lineRule="auto"/>
    </w:pPr>
  </w:style>
  <w:style w:type="character" w:customStyle="1" w:styleId="CommentaireCar">
    <w:name w:val="Commentaire Car"/>
    <w:basedOn w:val="Policepardfaut"/>
    <w:link w:val="Commentaire"/>
    <w:uiPriority w:val="99"/>
    <w:semiHidden/>
    <w:rsid w:val="0059201E"/>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59201E"/>
    <w:pPr>
      <w:spacing w:line="240" w:lineRule="auto"/>
    </w:pPr>
    <w:rPr>
      <w:b/>
      <w:bCs/>
    </w:rPr>
  </w:style>
  <w:style w:type="character" w:customStyle="1" w:styleId="ObjetducommentaireCar">
    <w:name w:val="Objet du commentaire Car"/>
    <w:basedOn w:val="CommentaireCar"/>
    <w:link w:val="Objetducommentaire"/>
    <w:uiPriority w:val="99"/>
    <w:semiHidden/>
    <w:rsid w:val="0059201E"/>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11</Pages>
  <Words>7018</Words>
  <Characters>35933</Characters>
  <Application>Microsoft Office Word</Application>
  <DocSecurity>0</DocSecurity>
  <Lines>536</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CCPR/C/128/D/2819/2016</vt:lpstr>
      <vt:lpstr>CCPR/C/128/D/2819/2016</vt:lpstr>
    </vt:vector>
  </TitlesOfParts>
  <Company>DCM</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CCPR/C/128/D/2819/2016</dc:title>
  <dc:subject/>
  <dc:creator>Marie DESCHAMPS</dc:creator>
  <cp:keywords/>
  <cp:lastModifiedBy>Julien Okrzesik</cp:lastModifiedBy>
  <cp:revision>3</cp:revision>
  <cp:lastPrinted>2020-09-30T14:11:00Z</cp:lastPrinted>
  <dcterms:created xsi:type="dcterms:W3CDTF">2020-09-30T14:11:00Z</dcterms:created>
  <dcterms:modified xsi:type="dcterms:W3CDTF">2020-09-30T14:13:00Z</dcterms:modified>
</cp:coreProperties>
</file>