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51D4AF8" w14:textId="77777777" w:rsidTr="002B7BC7">
        <w:trPr>
          <w:trHeight w:hRule="exact" w:val="851"/>
        </w:trPr>
        <w:tc>
          <w:tcPr>
            <w:tcW w:w="1276" w:type="dxa"/>
            <w:tcBorders>
              <w:bottom w:val="single" w:sz="4" w:space="0" w:color="auto"/>
            </w:tcBorders>
          </w:tcPr>
          <w:p w14:paraId="7A9E2C79" w14:textId="77777777" w:rsidR="006F71EA" w:rsidRPr="00DB58B5" w:rsidRDefault="006F71EA" w:rsidP="00FA4C28"/>
        </w:tc>
        <w:tc>
          <w:tcPr>
            <w:tcW w:w="2268" w:type="dxa"/>
            <w:tcBorders>
              <w:bottom w:val="single" w:sz="4" w:space="0" w:color="auto"/>
            </w:tcBorders>
            <w:vAlign w:val="bottom"/>
          </w:tcPr>
          <w:p w14:paraId="211D244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069209" w14:textId="77777777" w:rsidR="006F71EA" w:rsidRPr="00DB58B5" w:rsidRDefault="00FA4C28" w:rsidP="00FA4C28">
            <w:pPr>
              <w:jc w:val="right"/>
            </w:pPr>
            <w:r w:rsidRPr="00FA4C28">
              <w:rPr>
                <w:sz w:val="40"/>
              </w:rPr>
              <w:t>CCPR</w:t>
            </w:r>
            <w:r>
              <w:t>/C/126/D/2417/2014</w:t>
            </w:r>
          </w:p>
        </w:tc>
      </w:tr>
      <w:tr w:rsidR="006F71EA" w:rsidRPr="00DB58B5" w14:paraId="128CE5C1" w14:textId="77777777" w:rsidTr="002B7BC7">
        <w:trPr>
          <w:trHeight w:hRule="exact" w:val="2835"/>
        </w:trPr>
        <w:tc>
          <w:tcPr>
            <w:tcW w:w="1276" w:type="dxa"/>
            <w:tcBorders>
              <w:top w:val="single" w:sz="4" w:space="0" w:color="auto"/>
              <w:bottom w:val="single" w:sz="12" w:space="0" w:color="auto"/>
            </w:tcBorders>
          </w:tcPr>
          <w:p w14:paraId="7FD1F4EA" w14:textId="77777777" w:rsidR="006F71EA" w:rsidRPr="00DB58B5" w:rsidRDefault="006F71EA" w:rsidP="002B7BC7">
            <w:pPr>
              <w:spacing w:before="120"/>
              <w:jc w:val="center"/>
            </w:pPr>
            <w:r>
              <w:rPr>
                <w:noProof/>
                <w:lang w:eastAsia="fr-CH"/>
              </w:rPr>
              <w:drawing>
                <wp:inline distT="0" distB="0" distL="0" distR="0" wp14:anchorId="0358E690" wp14:editId="0491E5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ADB9B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7BA229C" w14:textId="77777777" w:rsidR="006F71EA" w:rsidRDefault="00FA4C28" w:rsidP="002B7BC7">
            <w:pPr>
              <w:spacing w:before="240"/>
            </w:pPr>
            <w:r>
              <w:t>Distr. générale</w:t>
            </w:r>
          </w:p>
          <w:p w14:paraId="0ACE6396" w14:textId="77777777" w:rsidR="00FA4C28" w:rsidRDefault="00FA4C28" w:rsidP="00FA4C28">
            <w:pPr>
              <w:spacing w:line="240" w:lineRule="exact"/>
            </w:pPr>
            <w:r>
              <w:t>1</w:t>
            </w:r>
            <w:r w:rsidRPr="00FA4C28">
              <w:rPr>
                <w:vertAlign w:val="superscript"/>
              </w:rPr>
              <w:t>er</w:t>
            </w:r>
            <w:r>
              <w:t> octobre 2019</w:t>
            </w:r>
          </w:p>
          <w:p w14:paraId="2ACF2BB7" w14:textId="77777777" w:rsidR="00FA4C28" w:rsidRDefault="00FA4C28" w:rsidP="00FA4C28">
            <w:pPr>
              <w:spacing w:line="240" w:lineRule="exact"/>
            </w:pPr>
            <w:r>
              <w:t>Français</w:t>
            </w:r>
          </w:p>
          <w:p w14:paraId="68CCC420" w14:textId="77777777" w:rsidR="00FA4C28" w:rsidRPr="00DB58B5" w:rsidRDefault="00FA4C28" w:rsidP="00FA4C28">
            <w:pPr>
              <w:spacing w:line="240" w:lineRule="exact"/>
            </w:pPr>
            <w:r>
              <w:t>Original : anglais</w:t>
            </w:r>
          </w:p>
        </w:tc>
      </w:tr>
    </w:tbl>
    <w:p w14:paraId="4256E6B1" w14:textId="77777777" w:rsidR="006F71EA" w:rsidRDefault="006F71EA" w:rsidP="006F71EA">
      <w:pPr>
        <w:spacing w:before="120"/>
        <w:rPr>
          <w:b/>
          <w:sz w:val="24"/>
          <w:szCs w:val="24"/>
        </w:rPr>
      </w:pPr>
      <w:r w:rsidRPr="00DF3BF1">
        <w:rPr>
          <w:b/>
          <w:sz w:val="24"/>
          <w:szCs w:val="24"/>
        </w:rPr>
        <w:t>Comité des droits de l’homme</w:t>
      </w:r>
    </w:p>
    <w:p w14:paraId="1ADCFC61" w14:textId="77777777" w:rsidR="00FA4C28" w:rsidRPr="00C339D7" w:rsidRDefault="00FA4C28" w:rsidP="00C339D7">
      <w:pPr>
        <w:pStyle w:val="HChG"/>
        <w:rPr>
          <w:b w:val="0"/>
          <w:bCs/>
          <w:lang w:val="fr-FR"/>
        </w:rPr>
      </w:pPr>
      <w:r w:rsidRPr="00ED3195">
        <w:rPr>
          <w:lang w:val="fr-FR"/>
        </w:rPr>
        <w:tab/>
      </w:r>
      <w:r w:rsidRPr="00ED3195">
        <w:rPr>
          <w:lang w:val="fr-FR"/>
        </w:rPr>
        <w:tab/>
        <w:t>C</w:t>
      </w:r>
      <w:r>
        <w:rPr>
          <w:lang w:val="fr-FR"/>
        </w:rPr>
        <w:t xml:space="preserve">onstatations adoptées par le Comité au titre </w:t>
      </w:r>
      <w:r w:rsidR="00C339D7">
        <w:rPr>
          <w:lang w:val="fr-FR"/>
        </w:rPr>
        <w:br/>
      </w:r>
      <w:r>
        <w:t>de l’article</w:t>
      </w:r>
      <w:r w:rsidR="00C339D7">
        <w:t> </w:t>
      </w:r>
      <w:r>
        <w:t>5 (par.</w:t>
      </w:r>
      <w:r w:rsidR="00C339D7">
        <w:t> </w:t>
      </w:r>
      <w:r>
        <w:t xml:space="preserve">4) du Protocole facultatif, </w:t>
      </w:r>
      <w:r w:rsidR="00C339D7">
        <w:br/>
      </w:r>
      <w:r>
        <w:t>concernant la c</w:t>
      </w:r>
      <w:proofErr w:type="spellStart"/>
      <w:r w:rsidRPr="00ED3195">
        <w:rPr>
          <w:lang w:val="fr-FR"/>
        </w:rPr>
        <w:t>ommunication</w:t>
      </w:r>
      <w:proofErr w:type="spellEnd"/>
      <w:r w:rsidRPr="00ED3195">
        <w:rPr>
          <w:lang w:val="fr-FR"/>
        </w:rPr>
        <w:t xml:space="preserve"> n</w:t>
      </w:r>
      <w:r w:rsidRPr="00ED3195">
        <w:rPr>
          <w:vertAlign w:val="superscript"/>
          <w:lang w:val="fr-FR"/>
        </w:rPr>
        <w:t>o</w:t>
      </w:r>
      <w:r w:rsidRPr="00ED3195">
        <w:rPr>
          <w:lang w:val="fr-FR"/>
        </w:rPr>
        <w:t> 2417/2014</w:t>
      </w:r>
      <w:r w:rsidR="00CF76F0" w:rsidRPr="00A71827">
        <w:rPr>
          <w:rStyle w:val="Appelnotedebasdep"/>
          <w:b w:val="0"/>
          <w:bCs/>
          <w:sz w:val="20"/>
          <w:vertAlign w:val="baseline"/>
        </w:rPr>
        <w:footnoteReference w:customMarkFollows="1" w:id="2"/>
        <w:t>*</w:t>
      </w:r>
      <w:r w:rsidR="00CF76F0" w:rsidRPr="00A71827">
        <w:rPr>
          <w:b w:val="0"/>
          <w:bCs/>
          <w:sz w:val="20"/>
        </w:rPr>
        <w:t xml:space="preserve">, </w:t>
      </w:r>
      <w:r w:rsidR="00CF76F0" w:rsidRPr="00A71827">
        <w:rPr>
          <w:rStyle w:val="Appelnotedebasdep"/>
          <w:b w:val="0"/>
          <w:bCs/>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FA4C28" w14:paraId="60D988D4" w14:textId="77777777" w:rsidTr="00C339D7">
        <w:tc>
          <w:tcPr>
            <w:tcW w:w="2835" w:type="dxa"/>
          </w:tcPr>
          <w:p w14:paraId="2ACAD42E" w14:textId="77777777" w:rsidR="00FA4C28" w:rsidRDefault="00FA4C28" w:rsidP="00C339D7">
            <w:pPr>
              <w:spacing w:after="120"/>
              <w:rPr>
                <w:i/>
              </w:rPr>
            </w:pPr>
            <w:r>
              <w:rPr>
                <w:i/>
              </w:rPr>
              <w:t>Communication présentée par</w:t>
            </w:r>
            <w:r>
              <w:t> :</w:t>
            </w:r>
          </w:p>
        </w:tc>
        <w:tc>
          <w:tcPr>
            <w:tcW w:w="3969" w:type="dxa"/>
          </w:tcPr>
          <w:p w14:paraId="423AB25E" w14:textId="77777777" w:rsidR="00FA4C28" w:rsidRDefault="00FA4C28" w:rsidP="00C339D7">
            <w:pPr>
              <w:spacing w:after="120"/>
            </w:pPr>
            <w:r w:rsidRPr="00ED3195">
              <w:rPr>
                <w:lang w:val="fr-FR"/>
              </w:rPr>
              <w:t xml:space="preserve">Sergey Geller </w:t>
            </w:r>
            <w:r>
              <w:rPr>
                <w:lang w:val="fr-FR"/>
              </w:rPr>
              <w:t>(</w:t>
            </w:r>
            <w:r w:rsidRPr="00ED3195">
              <w:rPr>
                <w:lang w:val="fr-FR"/>
              </w:rPr>
              <w:t xml:space="preserve">représenté par </w:t>
            </w:r>
            <w:r>
              <w:rPr>
                <w:lang w:val="fr-FR"/>
              </w:rPr>
              <w:t xml:space="preserve">un conseil, </w:t>
            </w:r>
            <w:proofErr w:type="spellStart"/>
            <w:r>
              <w:rPr>
                <w:lang w:val="fr-FR"/>
              </w:rPr>
              <w:t>Elizaveta</w:t>
            </w:r>
            <w:proofErr w:type="spellEnd"/>
            <w:r>
              <w:rPr>
                <w:lang w:val="fr-FR"/>
              </w:rPr>
              <w:t xml:space="preserve"> </w:t>
            </w:r>
            <w:proofErr w:type="spellStart"/>
            <w:r w:rsidRPr="00ED3195">
              <w:rPr>
                <w:lang w:val="fr-FR"/>
              </w:rPr>
              <w:t>Moksheva</w:t>
            </w:r>
            <w:proofErr w:type="spellEnd"/>
            <w:r w:rsidR="00A71827">
              <w:rPr>
                <w:lang w:val="fr-FR"/>
              </w:rPr>
              <w:t>)</w:t>
            </w:r>
          </w:p>
        </w:tc>
      </w:tr>
      <w:tr w:rsidR="00FA4C28" w14:paraId="0EFE271D" w14:textId="77777777" w:rsidTr="00C339D7">
        <w:tc>
          <w:tcPr>
            <w:tcW w:w="2835" w:type="dxa"/>
          </w:tcPr>
          <w:p w14:paraId="14630E33" w14:textId="77777777" w:rsidR="00FA4C28" w:rsidRDefault="00FA4C28" w:rsidP="00C339D7">
            <w:pPr>
              <w:spacing w:after="120"/>
              <w:rPr>
                <w:i/>
              </w:rPr>
            </w:pPr>
            <w:r>
              <w:rPr>
                <w:i/>
              </w:rPr>
              <w:t>Victime présumée</w:t>
            </w:r>
            <w:r>
              <w:t> :</w:t>
            </w:r>
          </w:p>
        </w:tc>
        <w:tc>
          <w:tcPr>
            <w:tcW w:w="3969" w:type="dxa"/>
          </w:tcPr>
          <w:p w14:paraId="3724848F" w14:textId="77777777" w:rsidR="00FA4C28" w:rsidRDefault="00FA4C28" w:rsidP="00C339D7">
            <w:pPr>
              <w:spacing w:after="120"/>
            </w:pPr>
            <w:r w:rsidRPr="00ED3195">
              <w:rPr>
                <w:lang w:val="fr-FR"/>
              </w:rPr>
              <w:t>L</w:t>
            </w:r>
            <w:r>
              <w:rPr>
                <w:lang w:val="fr-FR"/>
              </w:rPr>
              <w:t>’</w:t>
            </w:r>
            <w:r w:rsidRPr="00ED3195">
              <w:rPr>
                <w:lang w:val="fr-FR"/>
              </w:rPr>
              <w:t>auteur</w:t>
            </w:r>
          </w:p>
        </w:tc>
      </w:tr>
      <w:tr w:rsidR="00FA4C28" w14:paraId="7111BE94" w14:textId="77777777" w:rsidTr="00C339D7">
        <w:tc>
          <w:tcPr>
            <w:tcW w:w="2835" w:type="dxa"/>
          </w:tcPr>
          <w:p w14:paraId="472F29C0" w14:textId="77777777" w:rsidR="00FA4C28" w:rsidRDefault="00FA4C28" w:rsidP="00C339D7">
            <w:pPr>
              <w:spacing w:after="120"/>
              <w:rPr>
                <w:i/>
              </w:rPr>
            </w:pPr>
            <w:r>
              <w:rPr>
                <w:i/>
              </w:rPr>
              <w:t>État partie</w:t>
            </w:r>
            <w:r>
              <w:t> :</w:t>
            </w:r>
          </w:p>
        </w:tc>
        <w:tc>
          <w:tcPr>
            <w:tcW w:w="3969" w:type="dxa"/>
          </w:tcPr>
          <w:p w14:paraId="776176A6" w14:textId="77777777" w:rsidR="00FA4C28" w:rsidRDefault="00FA4C28" w:rsidP="00C339D7">
            <w:pPr>
              <w:spacing w:after="120"/>
            </w:pPr>
            <w:r w:rsidRPr="00ED3195">
              <w:rPr>
                <w:lang w:val="fr-FR"/>
              </w:rPr>
              <w:t>Kazakhstan</w:t>
            </w:r>
          </w:p>
        </w:tc>
      </w:tr>
      <w:tr w:rsidR="00FA4C28" w14:paraId="08D0B437" w14:textId="77777777" w:rsidTr="00C339D7">
        <w:tc>
          <w:tcPr>
            <w:tcW w:w="2835" w:type="dxa"/>
          </w:tcPr>
          <w:p w14:paraId="50C932C5" w14:textId="77777777" w:rsidR="00FA4C28" w:rsidRDefault="00FA4C28" w:rsidP="00C339D7">
            <w:pPr>
              <w:spacing w:after="120"/>
              <w:rPr>
                <w:i/>
              </w:rPr>
            </w:pPr>
            <w:r w:rsidRPr="00ED3195">
              <w:rPr>
                <w:i/>
                <w:lang w:val="fr-FR"/>
              </w:rPr>
              <w:t>Date de la communication</w:t>
            </w:r>
            <w:r w:rsidRPr="00ED3195">
              <w:rPr>
                <w:lang w:val="fr-FR"/>
              </w:rPr>
              <w:t> :</w:t>
            </w:r>
          </w:p>
        </w:tc>
        <w:tc>
          <w:tcPr>
            <w:tcW w:w="3969" w:type="dxa"/>
          </w:tcPr>
          <w:p w14:paraId="51AD84E9" w14:textId="77777777" w:rsidR="00FA4C28" w:rsidRDefault="00FA4C28" w:rsidP="00C339D7">
            <w:pPr>
              <w:spacing w:after="120"/>
            </w:pPr>
            <w:r w:rsidRPr="00ED3195">
              <w:rPr>
                <w:lang w:val="fr-FR"/>
              </w:rPr>
              <w:t>12 mai 2014 (date de la lettre initiale)</w:t>
            </w:r>
          </w:p>
        </w:tc>
      </w:tr>
      <w:tr w:rsidR="00FA4C28" w14:paraId="3497DA77" w14:textId="77777777" w:rsidTr="00C339D7">
        <w:tc>
          <w:tcPr>
            <w:tcW w:w="2835" w:type="dxa"/>
          </w:tcPr>
          <w:p w14:paraId="499E6617" w14:textId="77777777" w:rsidR="00FA4C28" w:rsidRDefault="00FA4C28" w:rsidP="00C339D7">
            <w:pPr>
              <w:spacing w:after="120"/>
              <w:rPr>
                <w:i/>
              </w:rPr>
            </w:pPr>
            <w:r w:rsidRPr="00ED3195">
              <w:rPr>
                <w:i/>
                <w:lang w:val="fr-FR"/>
              </w:rPr>
              <w:t>Références</w:t>
            </w:r>
            <w:r w:rsidRPr="00ED3195">
              <w:rPr>
                <w:lang w:val="fr-FR"/>
              </w:rPr>
              <w:t> :</w:t>
            </w:r>
          </w:p>
        </w:tc>
        <w:tc>
          <w:tcPr>
            <w:tcW w:w="3969" w:type="dxa"/>
            <w:vAlign w:val="bottom"/>
          </w:tcPr>
          <w:p w14:paraId="5CBF5E77" w14:textId="77777777" w:rsidR="00FA4C28" w:rsidRDefault="00FA4C28" w:rsidP="00C339D7">
            <w:pPr>
              <w:spacing w:after="120"/>
            </w:pPr>
            <w:r w:rsidRPr="00ED3195">
              <w:rPr>
                <w:lang w:val="fr-FR"/>
              </w:rPr>
              <w:t>Décision prise en application de l</w:t>
            </w:r>
            <w:r>
              <w:rPr>
                <w:lang w:val="fr-FR"/>
              </w:rPr>
              <w:t>’</w:t>
            </w:r>
            <w:r w:rsidRPr="00ED3195">
              <w:rPr>
                <w:lang w:val="fr-FR"/>
              </w:rPr>
              <w:t>article </w:t>
            </w:r>
            <w:r>
              <w:rPr>
                <w:lang w:val="fr-FR"/>
              </w:rPr>
              <w:t xml:space="preserve">97 </w:t>
            </w:r>
            <w:r w:rsidRPr="00ED4A05">
              <w:rPr>
                <w:lang w:val="fr-FR"/>
              </w:rPr>
              <w:t>du règlement intérieur du Comité (devenu l</w:t>
            </w:r>
            <w:r>
              <w:rPr>
                <w:lang w:val="fr-FR"/>
              </w:rPr>
              <w:t>’</w:t>
            </w:r>
            <w:r w:rsidRPr="00ED4A05">
              <w:rPr>
                <w:lang w:val="fr-FR"/>
              </w:rPr>
              <w:t>article</w:t>
            </w:r>
            <w:r w:rsidRPr="00ED3195">
              <w:rPr>
                <w:lang w:val="fr-FR"/>
              </w:rPr>
              <w:t> 92</w:t>
            </w:r>
            <w:r>
              <w:rPr>
                <w:lang w:val="fr-FR"/>
              </w:rPr>
              <w:t>)</w:t>
            </w:r>
            <w:r w:rsidRPr="00ED3195">
              <w:rPr>
                <w:lang w:val="fr-FR"/>
              </w:rPr>
              <w:t>, communiquée à l</w:t>
            </w:r>
            <w:r>
              <w:rPr>
                <w:lang w:val="fr-FR"/>
              </w:rPr>
              <w:t>’</w:t>
            </w:r>
            <w:r w:rsidRPr="00ED3195">
              <w:rPr>
                <w:lang w:val="fr-FR"/>
              </w:rPr>
              <w:t>État partie le 5 juin 2014 (non</w:t>
            </w:r>
            <w:r w:rsidR="00A71827">
              <w:rPr>
                <w:lang w:val="fr-FR"/>
              </w:rPr>
              <w:t xml:space="preserve"> </w:t>
            </w:r>
            <w:r w:rsidRPr="00ED3195">
              <w:rPr>
                <w:lang w:val="fr-FR"/>
              </w:rPr>
              <w:t>publiée sous forme de document)</w:t>
            </w:r>
          </w:p>
        </w:tc>
      </w:tr>
      <w:tr w:rsidR="00FA4C28" w14:paraId="5EE7038D" w14:textId="77777777" w:rsidTr="00C339D7">
        <w:tc>
          <w:tcPr>
            <w:tcW w:w="2835" w:type="dxa"/>
          </w:tcPr>
          <w:p w14:paraId="40A4DBE6" w14:textId="77777777" w:rsidR="00FA4C28" w:rsidRDefault="00FA4C28" w:rsidP="00C339D7">
            <w:pPr>
              <w:spacing w:after="120"/>
              <w:rPr>
                <w:i/>
              </w:rPr>
            </w:pPr>
            <w:r w:rsidRPr="00ED3195">
              <w:rPr>
                <w:i/>
                <w:lang w:val="fr-FR"/>
              </w:rPr>
              <w:t>Date des constatations</w:t>
            </w:r>
            <w:r w:rsidRPr="00ED3195">
              <w:rPr>
                <w:lang w:val="fr-FR"/>
              </w:rPr>
              <w:t> :</w:t>
            </w:r>
          </w:p>
        </w:tc>
        <w:tc>
          <w:tcPr>
            <w:tcW w:w="3969" w:type="dxa"/>
            <w:vAlign w:val="bottom"/>
          </w:tcPr>
          <w:p w14:paraId="0F94EA23" w14:textId="77777777" w:rsidR="00FA4C28" w:rsidRDefault="00FA4C28" w:rsidP="00C339D7">
            <w:pPr>
              <w:spacing w:after="120"/>
            </w:pPr>
            <w:r>
              <w:rPr>
                <w:lang w:val="fr-FR"/>
              </w:rPr>
              <w:t>25 juillet</w:t>
            </w:r>
            <w:r w:rsidRPr="00ED3195">
              <w:rPr>
                <w:lang w:val="fr-FR"/>
              </w:rPr>
              <w:t xml:space="preserve"> 2019</w:t>
            </w:r>
          </w:p>
        </w:tc>
      </w:tr>
      <w:tr w:rsidR="00FA4C28" w14:paraId="53F58220" w14:textId="77777777" w:rsidTr="00C339D7">
        <w:tc>
          <w:tcPr>
            <w:tcW w:w="2835" w:type="dxa"/>
          </w:tcPr>
          <w:p w14:paraId="5F8012F6" w14:textId="77777777" w:rsidR="00FA4C28" w:rsidRDefault="00FA4C28" w:rsidP="00C339D7">
            <w:pPr>
              <w:spacing w:after="120"/>
              <w:rPr>
                <w:i/>
              </w:rPr>
            </w:pPr>
            <w:r w:rsidRPr="00ED3195">
              <w:rPr>
                <w:i/>
                <w:iCs/>
                <w:lang w:val="fr-FR"/>
              </w:rPr>
              <w:t>Objet</w:t>
            </w:r>
            <w:r w:rsidRPr="00ED3195">
              <w:rPr>
                <w:lang w:val="fr-FR"/>
              </w:rPr>
              <w:t> :</w:t>
            </w:r>
          </w:p>
        </w:tc>
        <w:tc>
          <w:tcPr>
            <w:tcW w:w="3969" w:type="dxa"/>
            <w:vAlign w:val="bottom"/>
          </w:tcPr>
          <w:p w14:paraId="4F643FEF" w14:textId="77777777" w:rsidR="00FA4C28" w:rsidRDefault="00FA4C28" w:rsidP="00C339D7">
            <w:pPr>
              <w:spacing w:after="120"/>
            </w:pPr>
            <w:r w:rsidRPr="00ED3195">
              <w:rPr>
                <w:lang w:val="fr-FR"/>
              </w:rPr>
              <w:t>Liberté de religion</w:t>
            </w:r>
          </w:p>
        </w:tc>
      </w:tr>
      <w:tr w:rsidR="00FA4C28" w14:paraId="0FDB90B3" w14:textId="77777777" w:rsidTr="00C339D7">
        <w:tc>
          <w:tcPr>
            <w:tcW w:w="2835" w:type="dxa"/>
          </w:tcPr>
          <w:p w14:paraId="0C8DD859" w14:textId="77777777" w:rsidR="00FA4C28" w:rsidRPr="00ED3195" w:rsidRDefault="00FA4C28" w:rsidP="00C339D7">
            <w:pPr>
              <w:spacing w:after="120"/>
              <w:rPr>
                <w:i/>
                <w:iCs/>
                <w:lang w:val="fr-FR"/>
              </w:rPr>
            </w:pPr>
            <w:r w:rsidRPr="00ED3195">
              <w:rPr>
                <w:i/>
                <w:iCs/>
                <w:lang w:val="fr-FR"/>
              </w:rPr>
              <w:t>Question(s) de procédure</w:t>
            </w:r>
            <w:r w:rsidRPr="00ED3195">
              <w:rPr>
                <w:lang w:val="fr-FR"/>
              </w:rPr>
              <w:t> :</w:t>
            </w:r>
          </w:p>
        </w:tc>
        <w:tc>
          <w:tcPr>
            <w:tcW w:w="3969" w:type="dxa"/>
            <w:vAlign w:val="bottom"/>
          </w:tcPr>
          <w:p w14:paraId="38B19630" w14:textId="77777777" w:rsidR="00FA4C28" w:rsidRPr="00ED3195" w:rsidRDefault="00FA4C28" w:rsidP="00C339D7">
            <w:pPr>
              <w:spacing w:after="120"/>
              <w:rPr>
                <w:lang w:val="fr-FR"/>
              </w:rPr>
            </w:pPr>
            <w:r w:rsidRPr="00ED3195">
              <w:rPr>
                <w:lang w:val="fr-FR"/>
              </w:rPr>
              <w:t>Épuisement des recours internes</w:t>
            </w:r>
          </w:p>
        </w:tc>
      </w:tr>
      <w:tr w:rsidR="00FA4C28" w14:paraId="68BE660F" w14:textId="77777777" w:rsidTr="00C339D7">
        <w:tc>
          <w:tcPr>
            <w:tcW w:w="2835" w:type="dxa"/>
          </w:tcPr>
          <w:p w14:paraId="754ACDA9" w14:textId="77777777" w:rsidR="00FA4C28" w:rsidRPr="00ED3195" w:rsidRDefault="00FA4C28" w:rsidP="00C339D7">
            <w:pPr>
              <w:spacing w:after="120"/>
              <w:rPr>
                <w:i/>
                <w:iCs/>
                <w:lang w:val="fr-FR"/>
              </w:rPr>
            </w:pPr>
            <w:r w:rsidRPr="00ED3195">
              <w:rPr>
                <w:i/>
                <w:iCs/>
                <w:lang w:val="fr-FR"/>
              </w:rPr>
              <w:t>Question(s) de fond</w:t>
            </w:r>
            <w:r w:rsidRPr="00ED3195">
              <w:rPr>
                <w:lang w:val="fr-FR"/>
              </w:rPr>
              <w:t> :</w:t>
            </w:r>
          </w:p>
        </w:tc>
        <w:tc>
          <w:tcPr>
            <w:tcW w:w="3969" w:type="dxa"/>
            <w:vAlign w:val="bottom"/>
          </w:tcPr>
          <w:p w14:paraId="51C0B3CB" w14:textId="77777777" w:rsidR="00FA4C28" w:rsidRPr="00ED3195" w:rsidRDefault="00FA4C28" w:rsidP="00C339D7">
            <w:pPr>
              <w:spacing w:after="120"/>
              <w:rPr>
                <w:lang w:val="fr-FR"/>
              </w:rPr>
            </w:pPr>
            <w:r w:rsidRPr="00ED3195">
              <w:rPr>
                <w:lang w:val="fr-FR"/>
              </w:rPr>
              <w:t>Liberté de religion ; discrimination fondée sur la religion</w:t>
            </w:r>
          </w:p>
        </w:tc>
      </w:tr>
      <w:tr w:rsidR="00FA4C28" w14:paraId="16B66F8C" w14:textId="77777777" w:rsidTr="00C339D7">
        <w:tc>
          <w:tcPr>
            <w:tcW w:w="2835" w:type="dxa"/>
          </w:tcPr>
          <w:p w14:paraId="6B5E3C31" w14:textId="77777777" w:rsidR="00FA4C28" w:rsidRPr="00ED3195" w:rsidRDefault="00FA4C28" w:rsidP="00C339D7">
            <w:pPr>
              <w:spacing w:after="120"/>
              <w:rPr>
                <w:i/>
                <w:iCs/>
                <w:lang w:val="fr-FR"/>
              </w:rPr>
            </w:pPr>
            <w:r w:rsidRPr="00ED3195">
              <w:rPr>
                <w:i/>
                <w:iCs/>
                <w:lang w:val="fr-FR"/>
              </w:rPr>
              <w:t>Article(s) du Pacte</w:t>
            </w:r>
            <w:r w:rsidRPr="00ED3195">
              <w:rPr>
                <w:lang w:val="fr-FR"/>
              </w:rPr>
              <w:t> :</w:t>
            </w:r>
          </w:p>
        </w:tc>
        <w:tc>
          <w:tcPr>
            <w:tcW w:w="3969" w:type="dxa"/>
            <w:vAlign w:val="bottom"/>
          </w:tcPr>
          <w:p w14:paraId="19380F7A" w14:textId="77777777" w:rsidR="00FA4C28" w:rsidRPr="00ED3195" w:rsidRDefault="00FA4C28" w:rsidP="00C339D7">
            <w:pPr>
              <w:spacing w:after="120"/>
              <w:rPr>
                <w:lang w:val="fr-FR"/>
              </w:rPr>
            </w:pPr>
            <w:r w:rsidRPr="00ED3195">
              <w:rPr>
                <w:lang w:val="fr-FR"/>
              </w:rPr>
              <w:t>18 (par. 1 et 3), lu conjointement avec l</w:t>
            </w:r>
            <w:r>
              <w:rPr>
                <w:lang w:val="fr-FR"/>
              </w:rPr>
              <w:t>’</w:t>
            </w:r>
            <w:r w:rsidRPr="00ED3195">
              <w:rPr>
                <w:lang w:val="fr-FR"/>
              </w:rPr>
              <w:t>article 2 (par. 1 et 3 a) b) et c)) ; 26, lu conjointement avec l</w:t>
            </w:r>
            <w:r>
              <w:rPr>
                <w:lang w:val="fr-FR"/>
              </w:rPr>
              <w:t>’</w:t>
            </w:r>
            <w:r w:rsidRPr="00ED3195">
              <w:rPr>
                <w:lang w:val="fr-FR"/>
              </w:rPr>
              <w:t>article 2 (par. 1) ; 27</w:t>
            </w:r>
          </w:p>
        </w:tc>
      </w:tr>
      <w:tr w:rsidR="00FA4C28" w14:paraId="516BE7B0" w14:textId="77777777" w:rsidTr="00C339D7">
        <w:tc>
          <w:tcPr>
            <w:tcW w:w="2835" w:type="dxa"/>
          </w:tcPr>
          <w:p w14:paraId="6FE2187C" w14:textId="77777777" w:rsidR="00FA4C28" w:rsidRPr="00ED3195" w:rsidRDefault="00FA4C28" w:rsidP="00C339D7">
            <w:pPr>
              <w:spacing w:after="120"/>
              <w:rPr>
                <w:i/>
                <w:iCs/>
                <w:lang w:val="fr-FR"/>
              </w:rPr>
            </w:pPr>
            <w:r w:rsidRPr="00ED3195">
              <w:rPr>
                <w:i/>
                <w:iCs/>
                <w:lang w:val="fr-FR"/>
              </w:rPr>
              <w:t>Article(s) du Protocole facultatif</w:t>
            </w:r>
            <w:r w:rsidRPr="00ED3195">
              <w:rPr>
                <w:lang w:val="fr-FR"/>
              </w:rPr>
              <w:t> :</w:t>
            </w:r>
          </w:p>
        </w:tc>
        <w:tc>
          <w:tcPr>
            <w:tcW w:w="3969" w:type="dxa"/>
            <w:vAlign w:val="bottom"/>
          </w:tcPr>
          <w:p w14:paraId="4FD249F4" w14:textId="77777777" w:rsidR="00FA4C28" w:rsidRPr="00ED3195" w:rsidRDefault="00FA4C28" w:rsidP="00C339D7">
            <w:pPr>
              <w:spacing w:after="120"/>
              <w:rPr>
                <w:lang w:val="fr-FR"/>
              </w:rPr>
            </w:pPr>
            <w:r w:rsidRPr="00ED3195">
              <w:rPr>
                <w:lang w:val="fr-FR"/>
              </w:rPr>
              <w:t>2 et 5 (par. 2 b))</w:t>
            </w:r>
          </w:p>
        </w:tc>
      </w:tr>
    </w:tbl>
    <w:p w14:paraId="33A420CE" w14:textId="77777777" w:rsidR="00FA4C28" w:rsidRPr="00ED3195" w:rsidRDefault="00FA4C28" w:rsidP="00C339D7">
      <w:pPr>
        <w:pStyle w:val="SingleTxtG"/>
        <w:rPr>
          <w:lang w:val="fr-FR"/>
        </w:rPr>
      </w:pPr>
      <w:r>
        <w:rPr>
          <w:lang w:val="fr-FR"/>
        </w:rPr>
        <w:br w:type="page"/>
      </w:r>
      <w:r w:rsidRPr="00ED3195">
        <w:rPr>
          <w:lang w:val="fr-FR"/>
        </w:rPr>
        <w:lastRenderedPageBreak/>
        <w:t>1.</w:t>
      </w:r>
      <w:r w:rsidRPr="00ED3195">
        <w:rPr>
          <w:lang w:val="fr-FR"/>
        </w:rPr>
        <w:tab/>
        <w:t>L</w:t>
      </w:r>
      <w:r>
        <w:rPr>
          <w:lang w:val="fr-FR"/>
        </w:rPr>
        <w:t>’</w:t>
      </w:r>
      <w:r w:rsidRPr="00ED3195">
        <w:rPr>
          <w:lang w:val="fr-FR"/>
        </w:rPr>
        <w:t>auteur de la c</w:t>
      </w:r>
      <w:bookmarkStart w:id="0" w:name="_GoBack"/>
      <w:bookmarkEnd w:id="0"/>
      <w:r w:rsidRPr="00ED3195">
        <w:rPr>
          <w:lang w:val="fr-FR"/>
        </w:rPr>
        <w:t>ommunication est Sergey Geller, de nationalité kazakhe, né en</w:t>
      </w:r>
      <w:r w:rsidR="00C339D7">
        <w:rPr>
          <w:lang w:val="fr-FR"/>
        </w:rPr>
        <w:t xml:space="preserve"> </w:t>
      </w:r>
      <w:r w:rsidRPr="00ED3195">
        <w:rPr>
          <w:lang w:val="fr-FR"/>
        </w:rPr>
        <w:t xml:space="preserve">1959. Il affirme </w:t>
      </w:r>
      <w:r>
        <w:rPr>
          <w:lang w:val="fr-FR"/>
        </w:rPr>
        <w:t>que l’État partie a violé les</w:t>
      </w:r>
      <w:r w:rsidRPr="00ED3195">
        <w:rPr>
          <w:lang w:val="fr-FR"/>
        </w:rPr>
        <w:t xml:space="preserve"> droits qu</w:t>
      </w:r>
      <w:r>
        <w:rPr>
          <w:lang w:val="fr-FR"/>
        </w:rPr>
        <w:t>’</w:t>
      </w:r>
      <w:r w:rsidRPr="00ED3195">
        <w:rPr>
          <w:lang w:val="fr-FR"/>
        </w:rPr>
        <w:t>il tient des articles 18 (par. 1 et</w:t>
      </w:r>
      <w:r w:rsidR="00C339D7">
        <w:rPr>
          <w:lang w:val="fr-FR"/>
        </w:rPr>
        <w:t xml:space="preserve"> </w:t>
      </w:r>
      <w:r w:rsidRPr="00ED3195">
        <w:rPr>
          <w:lang w:val="fr-FR"/>
        </w:rPr>
        <w:t>3), lu conjointement avec l</w:t>
      </w:r>
      <w:r>
        <w:rPr>
          <w:lang w:val="fr-FR"/>
        </w:rPr>
        <w:t>’</w:t>
      </w:r>
      <w:r w:rsidRPr="00ED3195">
        <w:rPr>
          <w:lang w:val="fr-FR"/>
        </w:rPr>
        <w:t>article 2 (par. 1 et 3 a), b) et</w:t>
      </w:r>
      <w:r w:rsidR="00C339D7">
        <w:rPr>
          <w:lang w:val="fr-FR"/>
        </w:rPr>
        <w:t xml:space="preserve"> </w:t>
      </w:r>
      <w:r w:rsidRPr="00ED3195">
        <w:rPr>
          <w:lang w:val="fr-FR"/>
        </w:rPr>
        <w:t>c)), 26, lu conjointement avec l</w:t>
      </w:r>
      <w:r>
        <w:rPr>
          <w:lang w:val="fr-FR"/>
        </w:rPr>
        <w:t>’</w:t>
      </w:r>
      <w:r w:rsidRPr="00ED3195">
        <w:rPr>
          <w:lang w:val="fr-FR"/>
        </w:rPr>
        <w:t>article 2 (par. 1)</w:t>
      </w:r>
      <w:r>
        <w:rPr>
          <w:lang w:val="fr-FR"/>
        </w:rPr>
        <w:t>,</w:t>
      </w:r>
      <w:r w:rsidRPr="00ED3195">
        <w:rPr>
          <w:lang w:val="fr-FR"/>
        </w:rPr>
        <w:t xml:space="preserve"> et 27 du Pacte. Le Protocole facultatif est entré en vigueur pour l</w:t>
      </w:r>
      <w:r>
        <w:rPr>
          <w:lang w:val="fr-FR"/>
        </w:rPr>
        <w:t>’</w:t>
      </w:r>
      <w:r w:rsidRPr="00ED3195">
        <w:rPr>
          <w:lang w:val="fr-FR"/>
        </w:rPr>
        <w:t>État partie le 30 septembre</w:t>
      </w:r>
      <w:r w:rsidR="00C339D7">
        <w:rPr>
          <w:lang w:val="fr-FR"/>
        </w:rPr>
        <w:t xml:space="preserve"> </w:t>
      </w:r>
      <w:r w:rsidRPr="00ED3195">
        <w:rPr>
          <w:lang w:val="fr-FR"/>
        </w:rPr>
        <w:t>2009. L</w:t>
      </w:r>
      <w:r>
        <w:rPr>
          <w:lang w:val="fr-FR"/>
        </w:rPr>
        <w:t>’</w:t>
      </w:r>
      <w:r w:rsidRPr="00ED3195">
        <w:rPr>
          <w:lang w:val="fr-FR"/>
        </w:rPr>
        <w:t xml:space="preserve">auteur est représenté par </w:t>
      </w:r>
      <w:r>
        <w:rPr>
          <w:lang w:val="fr-FR"/>
        </w:rPr>
        <w:t>un conseil.</w:t>
      </w:r>
    </w:p>
    <w:p w14:paraId="3A8B5ED2" w14:textId="77777777" w:rsidR="00FA4C28" w:rsidRPr="00ED3195" w:rsidRDefault="00FA4C28" w:rsidP="00C339D7">
      <w:pPr>
        <w:pStyle w:val="H23G"/>
        <w:rPr>
          <w:lang w:val="fr-FR"/>
        </w:rPr>
      </w:pPr>
      <w:r w:rsidRPr="00ED3195">
        <w:rPr>
          <w:lang w:val="fr-FR"/>
        </w:rPr>
        <w:tab/>
      </w:r>
      <w:r w:rsidRPr="00ED3195">
        <w:rPr>
          <w:lang w:val="fr-FR"/>
        </w:rPr>
        <w:tab/>
        <w:t>Rappel des faits présentés par l</w:t>
      </w:r>
      <w:r>
        <w:rPr>
          <w:lang w:val="fr-FR"/>
        </w:rPr>
        <w:t>’</w:t>
      </w:r>
      <w:r w:rsidRPr="00ED3195">
        <w:rPr>
          <w:lang w:val="fr-FR"/>
        </w:rPr>
        <w:t>auteur</w:t>
      </w:r>
    </w:p>
    <w:p w14:paraId="0FC16BEB" w14:textId="77777777" w:rsidR="00FA4C28" w:rsidRPr="00ED3195" w:rsidRDefault="00FA4C28" w:rsidP="00C339D7">
      <w:pPr>
        <w:pStyle w:val="SingleTxtG"/>
        <w:rPr>
          <w:lang w:val="fr-FR"/>
        </w:rPr>
      </w:pPr>
      <w:r w:rsidRPr="00ED3195">
        <w:rPr>
          <w:lang w:val="fr-FR"/>
        </w:rPr>
        <w:t>2.1</w:t>
      </w:r>
      <w:r w:rsidRPr="00ED3195">
        <w:rPr>
          <w:lang w:val="fr-FR"/>
        </w:rPr>
        <w:tab/>
        <w:t>L</w:t>
      </w:r>
      <w:r>
        <w:rPr>
          <w:lang w:val="fr-FR"/>
        </w:rPr>
        <w:t>’</w:t>
      </w:r>
      <w:r w:rsidRPr="00ED3195">
        <w:rPr>
          <w:lang w:val="fr-FR"/>
        </w:rPr>
        <w:t>auteur est le dirigeant d</w:t>
      </w:r>
      <w:r>
        <w:rPr>
          <w:lang w:val="fr-FR"/>
        </w:rPr>
        <w:t>’</w:t>
      </w:r>
      <w:r w:rsidRPr="00ED3195">
        <w:rPr>
          <w:lang w:val="fr-FR"/>
        </w:rPr>
        <w:t>une organisation religieuse locale dûment enregistrée, l</w:t>
      </w:r>
      <w:r>
        <w:rPr>
          <w:lang w:val="fr-FR"/>
        </w:rPr>
        <w:t>’</w:t>
      </w:r>
      <w:r w:rsidRPr="00ED3195">
        <w:rPr>
          <w:lang w:val="fr-FR"/>
        </w:rPr>
        <w:t>Association pour la conscience de Krishna, établie dans la ville de Kostanay. Le 9 juin</w:t>
      </w:r>
      <w:r w:rsidR="00C339D7">
        <w:rPr>
          <w:lang w:val="fr-FR"/>
        </w:rPr>
        <w:t xml:space="preserve"> </w:t>
      </w:r>
      <w:r w:rsidRPr="00ED3195">
        <w:rPr>
          <w:lang w:val="fr-FR"/>
        </w:rPr>
        <w:t xml:space="preserve">2013, </w:t>
      </w:r>
      <w:r>
        <w:rPr>
          <w:lang w:val="fr-FR"/>
        </w:rPr>
        <w:t>il</w:t>
      </w:r>
      <w:r w:rsidRPr="00ED3195">
        <w:rPr>
          <w:lang w:val="fr-FR"/>
        </w:rPr>
        <w:t xml:space="preserve"> a organisé une réunion des membres de l</w:t>
      </w:r>
      <w:r>
        <w:rPr>
          <w:lang w:val="fr-FR"/>
        </w:rPr>
        <w:t>’</w:t>
      </w:r>
      <w:r w:rsidRPr="00ED3195">
        <w:rPr>
          <w:lang w:val="fr-FR"/>
        </w:rPr>
        <w:t>Association, suivie d</w:t>
      </w:r>
      <w:r>
        <w:rPr>
          <w:lang w:val="fr-FR"/>
        </w:rPr>
        <w:t>’</w:t>
      </w:r>
      <w:r w:rsidRPr="00ED3195">
        <w:rPr>
          <w:lang w:val="fr-FR"/>
        </w:rPr>
        <w:t>une cérémonie religieuse, en un lieu qu</w:t>
      </w:r>
      <w:r>
        <w:rPr>
          <w:lang w:val="fr-FR"/>
        </w:rPr>
        <w:t>’</w:t>
      </w:r>
      <w:r w:rsidRPr="00ED3195">
        <w:rPr>
          <w:lang w:val="fr-FR"/>
        </w:rPr>
        <w:t xml:space="preserve">il loue </w:t>
      </w:r>
      <w:r>
        <w:rPr>
          <w:lang w:val="fr-FR"/>
        </w:rPr>
        <w:t>spécialement</w:t>
      </w:r>
      <w:r w:rsidRPr="00ED3195">
        <w:rPr>
          <w:lang w:val="fr-FR"/>
        </w:rPr>
        <w:t xml:space="preserve"> pour des activités religieuses depuis</w:t>
      </w:r>
      <w:r w:rsidR="00C339D7">
        <w:rPr>
          <w:lang w:val="fr-FR"/>
        </w:rPr>
        <w:t xml:space="preserve"> </w:t>
      </w:r>
      <w:r w:rsidRPr="00ED3195">
        <w:rPr>
          <w:lang w:val="fr-FR"/>
        </w:rPr>
        <w:t xml:space="preserve">2011. Environ 20 personnes ont participé à cette réunion et à la cérémonie. Selon la pratique usuelle, un policier chargé de contrôler la légalité des cérémonies religieuses était présent. Ce policier avait invité un représentant du département </w:t>
      </w:r>
      <w:r>
        <w:rPr>
          <w:lang w:val="fr-FR"/>
        </w:rPr>
        <w:t>régional</w:t>
      </w:r>
      <w:r w:rsidRPr="00ED3195">
        <w:rPr>
          <w:lang w:val="fr-FR"/>
        </w:rPr>
        <w:t xml:space="preserve"> des affaires religieuses à venir vérifier que la cérémonie respectait la loi. À un moment donné, l</w:t>
      </w:r>
      <w:r>
        <w:rPr>
          <w:lang w:val="fr-FR"/>
        </w:rPr>
        <w:t>’</w:t>
      </w:r>
      <w:r w:rsidRPr="00ED3195">
        <w:rPr>
          <w:lang w:val="fr-FR"/>
        </w:rPr>
        <w:t>un et l</w:t>
      </w:r>
      <w:r>
        <w:rPr>
          <w:lang w:val="fr-FR"/>
        </w:rPr>
        <w:t>’</w:t>
      </w:r>
      <w:r w:rsidRPr="00ED3195">
        <w:rPr>
          <w:lang w:val="fr-FR"/>
        </w:rPr>
        <w:t>autre ont quitté la salle et après leur départ la cérémonie a été interrompue par la police, qui a informé l</w:t>
      </w:r>
      <w:r>
        <w:rPr>
          <w:lang w:val="fr-FR"/>
        </w:rPr>
        <w:t>’</w:t>
      </w:r>
      <w:r w:rsidRPr="00ED3195">
        <w:rPr>
          <w:lang w:val="fr-FR"/>
        </w:rPr>
        <w:t>auteur qu</w:t>
      </w:r>
      <w:r>
        <w:rPr>
          <w:lang w:val="fr-FR"/>
        </w:rPr>
        <w:t>’</w:t>
      </w:r>
      <w:r w:rsidRPr="00ED3195">
        <w:rPr>
          <w:lang w:val="fr-FR"/>
        </w:rPr>
        <w:t>elle avait reçu par téléphone une plainte concernant la cérémonie. La police a pris des photos des participants, de leurs livres et des lieux. Lorsque les participants ont voulu partir, la police a exigé de chacun d</w:t>
      </w:r>
      <w:r>
        <w:rPr>
          <w:lang w:val="fr-FR"/>
        </w:rPr>
        <w:t>’</w:t>
      </w:r>
      <w:r w:rsidRPr="00ED3195">
        <w:rPr>
          <w:lang w:val="fr-FR"/>
        </w:rPr>
        <w:t>eux qu</w:t>
      </w:r>
      <w:r>
        <w:rPr>
          <w:lang w:val="fr-FR"/>
        </w:rPr>
        <w:t>’</w:t>
      </w:r>
      <w:r w:rsidRPr="00ED3195">
        <w:rPr>
          <w:lang w:val="fr-FR"/>
        </w:rPr>
        <w:t>il explique au préalable par écrit pourquoi ils étaient là et ce qu</w:t>
      </w:r>
      <w:r>
        <w:rPr>
          <w:lang w:val="fr-FR"/>
        </w:rPr>
        <w:t>’</w:t>
      </w:r>
      <w:r w:rsidRPr="00ED3195">
        <w:rPr>
          <w:lang w:val="fr-FR"/>
        </w:rPr>
        <w:t>ils faisaient.</w:t>
      </w:r>
    </w:p>
    <w:p w14:paraId="0A55D0BE" w14:textId="77777777" w:rsidR="00FA4C28" w:rsidRPr="00ED3195" w:rsidRDefault="00FA4C28" w:rsidP="00C339D7">
      <w:pPr>
        <w:pStyle w:val="SingleTxtG"/>
        <w:rPr>
          <w:lang w:val="fr-FR"/>
        </w:rPr>
      </w:pPr>
      <w:r w:rsidRPr="00ED3195">
        <w:rPr>
          <w:lang w:val="fr-FR"/>
        </w:rPr>
        <w:t>2.2</w:t>
      </w:r>
      <w:r w:rsidRPr="00ED3195">
        <w:rPr>
          <w:lang w:val="fr-FR"/>
        </w:rPr>
        <w:tab/>
        <w:t>Le 9 septembre</w:t>
      </w:r>
      <w:r w:rsidR="00C339D7">
        <w:rPr>
          <w:lang w:val="fr-FR"/>
        </w:rPr>
        <w:t xml:space="preserve"> </w:t>
      </w:r>
      <w:r w:rsidRPr="00ED3195">
        <w:rPr>
          <w:lang w:val="fr-FR"/>
        </w:rPr>
        <w:t>2013, l</w:t>
      </w:r>
      <w:r>
        <w:rPr>
          <w:lang w:val="fr-FR"/>
        </w:rPr>
        <w:t>’</w:t>
      </w:r>
      <w:r w:rsidRPr="00ED3195">
        <w:rPr>
          <w:lang w:val="fr-FR"/>
        </w:rPr>
        <w:t>auteur a été convoqué au bureau du procureur de la ville de Kostanay et interrogé au sujet de la réunion du 9 juin</w:t>
      </w:r>
      <w:r w:rsidR="00C339D7">
        <w:rPr>
          <w:lang w:val="fr-FR"/>
        </w:rPr>
        <w:t xml:space="preserve"> </w:t>
      </w:r>
      <w:r w:rsidRPr="00ED3195">
        <w:rPr>
          <w:lang w:val="fr-FR"/>
        </w:rPr>
        <w:t>2013.</w:t>
      </w:r>
    </w:p>
    <w:p w14:paraId="1935CF9C" w14:textId="77777777" w:rsidR="00FA4C28" w:rsidRPr="00ED3195" w:rsidRDefault="00FA4C28" w:rsidP="00C339D7">
      <w:pPr>
        <w:pStyle w:val="SingleTxtG"/>
        <w:rPr>
          <w:lang w:val="fr-FR"/>
        </w:rPr>
      </w:pPr>
      <w:r w:rsidRPr="00ED3195">
        <w:rPr>
          <w:lang w:val="fr-FR"/>
        </w:rPr>
        <w:t>2.3</w:t>
      </w:r>
      <w:r w:rsidRPr="00ED3195">
        <w:rPr>
          <w:lang w:val="fr-FR"/>
        </w:rPr>
        <w:tab/>
        <w:t>Le 2 octobre</w:t>
      </w:r>
      <w:r w:rsidR="00C339D7">
        <w:rPr>
          <w:lang w:val="fr-FR"/>
        </w:rPr>
        <w:t xml:space="preserve"> </w:t>
      </w:r>
      <w:r w:rsidRPr="00ED3195">
        <w:rPr>
          <w:lang w:val="fr-FR"/>
        </w:rPr>
        <w:t>2013, le tribunal administratif interdistrict spécial de Kostanay a jugé l</w:t>
      </w:r>
      <w:r>
        <w:rPr>
          <w:lang w:val="fr-FR"/>
        </w:rPr>
        <w:t>’</w:t>
      </w:r>
      <w:r w:rsidRPr="00ED3195">
        <w:rPr>
          <w:lang w:val="fr-FR"/>
        </w:rPr>
        <w:t>auteur coupable d</w:t>
      </w:r>
      <w:r>
        <w:rPr>
          <w:lang w:val="fr-FR"/>
        </w:rPr>
        <w:t>’</w:t>
      </w:r>
      <w:r w:rsidRPr="00ED3195">
        <w:rPr>
          <w:lang w:val="fr-FR"/>
        </w:rPr>
        <w:t>avoir organisé une réunion religieuse en un lieu autre que l</w:t>
      </w:r>
      <w:r>
        <w:rPr>
          <w:lang w:val="fr-FR"/>
        </w:rPr>
        <w:t>’</w:t>
      </w:r>
      <w:r w:rsidRPr="00ED3195">
        <w:rPr>
          <w:lang w:val="fr-FR"/>
        </w:rPr>
        <w:t>adresse à laquelle l</w:t>
      </w:r>
      <w:r>
        <w:rPr>
          <w:lang w:val="fr-FR"/>
        </w:rPr>
        <w:t>’</w:t>
      </w:r>
      <w:r w:rsidRPr="00ED3195">
        <w:rPr>
          <w:lang w:val="fr-FR"/>
        </w:rPr>
        <w:t xml:space="preserve">Association pour la conscience de Krishna était enregistrée sans en avoir informé au préalable le département </w:t>
      </w:r>
      <w:r>
        <w:rPr>
          <w:lang w:val="fr-FR"/>
        </w:rPr>
        <w:t>régional</w:t>
      </w:r>
      <w:r w:rsidRPr="00ED3195">
        <w:rPr>
          <w:lang w:val="fr-FR"/>
        </w:rPr>
        <w:t xml:space="preserve"> des affaires religieuses. Le représentant du département qui avait assisté à la réunion du 9 juin</w:t>
      </w:r>
      <w:r w:rsidR="00A71827">
        <w:rPr>
          <w:lang w:val="fr-FR"/>
        </w:rPr>
        <w:t xml:space="preserve"> </w:t>
      </w:r>
      <w:r w:rsidRPr="00ED3195">
        <w:rPr>
          <w:lang w:val="fr-FR"/>
        </w:rPr>
        <w:t>2013 a déclaré à l</w:t>
      </w:r>
      <w:r>
        <w:rPr>
          <w:lang w:val="fr-FR"/>
        </w:rPr>
        <w:t>’</w:t>
      </w:r>
      <w:r w:rsidRPr="00ED3195">
        <w:rPr>
          <w:lang w:val="fr-FR"/>
        </w:rPr>
        <w:t>audience que la réunion ne lui avait pas été notifiée. L</w:t>
      </w:r>
      <w:r>
        <w:rPr>
          <w:lang w:val="fr-FR"/>
        </w:rPr>
        <w:t>’</w:t>
      </w:r>
      <w:r w:rsidRPr="00ED3195">
        <w:rPr>
          <w:lang w:val="fr-FR"/>
        </w:rPr>
        <w:t>auteur a fait valoir que même si la procédure de notification n</w:t>
      </w:r>
      <w:r>
        <w:rPr>
          <w:lang w:val="fr-FR"/>
        </w:rPr>
        <w:t>’</w:t>
      </w:r>
      <w:r w:rsidRPr="00ED3195">
        <w:rPr>
          <w:lang w:val="fr-FR"/>
        </w:rPr>
        <w:t>était pas prescrite par la législation en vigueur, depuis deux ans, il notifiait officieusement au département toutes les réunions tenues à cette adresse par l</w:t>
      </w:r>
      <w:r>
        <w:rPr>
          <w:lang w:val="fr-FR"/>
        </w:rPr>
        <w:t>’</w:t>
      </w:r>
      <w:r w:rsidRPr="00ED3195">
        <w:rPr>
          <w:lang w:val="fr-FR"/>
        </w:rPr>
        <w:t>Association. Le tribunal a néanmoins reconnu l</w:t>
      </w:r>
      <w:r>
        <w:rPr>
          <w:lang w:val="fr-FR"/>
        </w:rPr>
        <w:t>’</w:t>
      </w:r>
      <w:r w:rsidRPr="00ED3195">
        <w:rPr>
          <w:lang w:val="fr-FR"/>
        </w:rPr>
        <w:t>auteur coupable d</w:t>
      </w:r>
      <w:r>
        <w:rPr>
          <w:lang w:val="fr-FR"/>
        </w:rPr>
        <w:t xml:space="preserve">’une </w:t>
      </w:r>
      <w:r w:rsidRPr="00ED3195">
        <w:rPr>
          <w:lang w:val="fr-FR"/>
        </w:rPr>
        <w:t>infraction au paragraphe 1 de l</w:t>
      </w:r>
      <w:r>
        <w:rPr>
          <w:lang w:val="fr-FR"/>
        </w:rPr>
        <w:t>’</w:t>
      </w:r>
      <w:r w:rsidRPr="00ED3195">
        <w:rPr>
          <w:lang w:val="fr-FR"/>
        </w:rPr>
        <w:t>article 375 du Code des infractions administratives, l</w:t>
      </w:r>
      <w:r>
        <w:rPr>
          <w:lang w:val="fr-FR"/>
        </w:rPr>
        <w:t>’</w:t>
      </w:r>
      <w:r w:rsidRPr="00ED3195">
        <w:rPr>
          <w:lang w:val="fr-FR"/>
        </w:rPr>
        <w:t>a condamné à une amende de 173 100 tenge et a suspendu les activités de l</w:t>
      </w:r>
      <w:r>
        <w:rPr>
          <w:lang w:val="fr-FR"/>
        </w:rPr>
        <w:t>’</w:t>
      </w:r>
      <w:r w:rsidRPr="00ED3195">
        <w:rPr>
          <w:lang w:val="fr-FR"/>
        </w:rPr>
        <w:t>association pour trois mois.</w:t>
      </w:r>
    </w:p>
    <w:p w14:paraId="406A4B32" w14:textId="77777777" w:rsidR="00FA4C28" w:rsidRPr="00ED3195" w:rsidRDefault="00FA4C28" w:rsidP="00C339D7">
      <w:pPr>
        <w:pStyle w:val="SingleTxtG"/>
        <w:rPr>
          <w:lang w:val="fr-FR"/>
        </w:rPr>
      </w:pPr>
      <w:r w:rsidRPr="00ED3195">
        <w:rPr>
          <w:lang w:val="fr-FR"/>
        </w:rPr>
        <w:t>2.4</w:t>
      </w:r>
      <w:r w:rsidRPr="00ED3195">
        <w:rPr>
          <w:lang w:val="fr-FR"/>
        </w:rPr>
        <w:tab/>
        <w:t>Le 11 octobre</w:t>
      </w:r>
      <w:r w:rsidR="00C339D7">
        <w:rPr>
          <w:lang w:val="fr-FR"/>
        </w:rPr>
        <w:t xml:space="preserve"> </w:t>
      </w:r>
      <w:r w:rsidRPr="00ED3195">
        <w:rPr>
          <w:lang w:val="fr-FR"/>
        </w:rPr>
        <w:t>2013, l</w:t>
      </w:r>
      <w:r>
        <w:rPr>
          <w:lang w:val="fr-FR"/>
        </w:rPr>
        <w:t>’</w:t>
      </w:r>
      <w:r w:rsidRPr="00ED3195">
        <w:rPr>
          <w:lang w:val="fr-FR"/>
        </w:rPr>
        <w:t xml:space="preserve">auteur a interjeté appel devant la cour régionale de Kostanay. Le bureau du procureur de la ville de Kostanay a également </w:t>
      </w:r>
      <w:r>
        <w:rPr>
          <w:lang w:val="fr-FR"/>
        </w:rPr>
        <w:t>fait</w:t>
      </w:r>
      <w:r w:rsidRPr="00ED3195">
        <w:rPr>
          <w:lang w:val="fr-FR"/>
        </w:rPr>
        <w:t xml:space="preserve"> appel de la décision du tribunal administratif, demandant à la juridiction d</w:t>
      </w:r>
      <w:r>
        <w:rPr>
          <w:lang w:val="fr-FR"/>
        </w:rPr>
        <w:t>’</w:t>
      </w:r>
      <w:r w:rsidRPr="00ED3195">
        <w:rPr>
          <w:lang w:val="fr-FR"/>
        </w:rPr>
        <w:t>appel d</w:t>
      </w:r>
      <w:r>
        <w:rPr>
          <w:lang w:val="fr-FR"/>
        </w:rPr>
        <w:t>’</w:t>
      </w:r>
      <w:r w:rsidRPr="00ED3195">
        <w:rPr>
          <w:lang w:val="fr-FR"/>
        </w:rPr>
        <w:t>annuler la suspension mais de confirmer la peine d</w:t>
      </w:r>
      <w:r>
        <w:rPr>
          <w:lang w:val="fr-FR"/>
        </w:rPr>
        <w:t>’</w:t>
      </w:r>
      <w:r w:rsidRPr="00ED3195">
        <w:rPr>
          <w:lang w:val="fr-FR"/>
        </w:rPr>
        <w:t>amende. Le 24 octobre</w:t>
      </w:r>
      <w:r w:rsidR="00C339D7">
        <w:rPr>
          <w:lang w:val="fr-FR"/>
        </w:rPr>
        <w:t xml:space="preserve"> </w:t>
      </w:r>
      <w:r w:rsidRPr="00ED3195">
        <w:rPr>
          <w:lang w:val="fr-FR"/>
        </w:rPr>
        <w:t>2013, la cour régionale de Kostanay a confirmé la peine d</w:t>
      </w:r>
      <w:r>
        <w:rPr>
          <w:lang w:val="fr-FR"/>
        </w:rPr>
        <w:t>’</w:t>
      </w:r>
      <w:r w:rsidRPr="00ED3195">
        <w:rPr>
          <w:lang w:val="fr-FR"/>
        </w:rPr>
        <w:t>amende prononcée par le tribunal de première instance mais a annulé la suspension de trois mois des activités de l</w:t>
      </w:r>
      <w:r>
        <w:rPr>
          <w:lang w:val="fr-FR"/>
        </w:rPr>
        <w:t>’A</w:t>
      </w:r>
      <w:r w:rsidRPr="00ED3195">
        <w:rPr>
          <w:lang w:val="fr-FR"/>
        </w:rPr>
        <w:t>ssociation.</w:t>
      </w:r>
    </w:p>
    <w:p w14:paraId="48D3877E" w14:textId="77777777" w:rsidR="00FA4C28" w:rsidRPr="00A05AC1" w:rsidRDefault="00FA4C28" w:rsidP="00C339D7">
      <w:pPr>
        <w:pStyle w:val="SingleTxtG"/>
        <w:rPr>
          <w:lang w:val="fr-FR"/>
        </w:rPr>
      </w:pPr>
      <w:r w:rsidRPr="00ED3195">
        <w:rPr>
          <w:lang w:val="fr-FR"/>
        </w:rPr>
        <w:t>2.5</w:t>
      </w:r>
      <w:r w:rsidRPr="00ED3195">
        <w:rPr>
          <w:lang w:val="fr-FR"/>
        </w:rPr>
        <w:tab/>
        <w:t>À une date inconnue, l</w:t>
      </w:r>
      <w:r>
        <w:rPr>
          <w:lang w:val="fr-FR"/>
        </w:rPr>
        <w:t>’</w:t>
      </w:r>
      <w:r w:rsidRPr="00ED3195">
        <w:rPr>
          <w:lang w:val="fr-FR"/>
        </w:rPr>
        <w:t>auteur a formé un pourvoi en cassation devant la cour régionale de Kostanay, pourvoi qui a été rejeté le 14 novembre</w:t>
      </w:r>
      <w:r w:rsidR="00C339D7">
        <w:rPr>
          <w:lang w:val="fr-FR"/>
        </w:rPr>
        <w:t xml:space="preserve"> </w:t>
      </w:r>
      <w:r w:rsidRPr="00ED3195">
        <w:rPr>
          <w:lang w:val="fr-FR"/>
        </w:rPr>
        <w:t>2013 au motif que les pourvois en cassation ne pouvaient, en matière administrative, être examinés que si le bureau du Procureur général formait également un recours. Dans le même temps, l</w:t>
      </w:r>
      <w:r>
        <w:rPr>
          <w:lang w:val="fr-FR"/>
        </w:rPr>
        <w:t>’</w:t>
      </w:r>
      <w:r w:rsidRPr="00ED3195">
        <w:rPr>
          <w:lang w:val="fr-FR"/>
        </w:rPr>
        <w:t xml:space="preserve">auteur a présenté des requêtes au bureau du procureur régional de Kostanay et au Procureur général pour leur demander de former un recours (protestation) contre la décision de la cour régionale de Kostanay. Ces deux requêtes ont été rejetées. </w:t>
      </w:r>
      <w:r>
        <w:rPr>
          <w:lang w:val="fr-FR"/>
        </w:rPr>
        <w:t xml:space="preserve">Selon </w:t>
      </w:r>
      <w:r w:rsidRPr="00ED3195">
        <w:rPr>
          <w:lang w:val="fr-FR"/>
        </w:rPr>
        <w:t>une lettre signée par le Procureur général adjoint le 6 janvier</w:t>
      </w:r>
      <w:r w:rsidR="00C339D7">
        <w:rPr>
          <w:lang w:val="fr-FR"/>
        </w:rPr>
        <w:t xml:space="preserve"> </w:t>
      </w:r>
      <w:r w:rsidRPr="00ED3195">
        <w:rPr>
          <w:lang w:val="fr-FR"/>
        </w:rPr>
        <w:t>2014, la réunion du 9 juin</w:t>
      </w:r>
      <w:r w:rsidR="00C339D7">
        <w:rPr>
          <w:lang w:val="fr-FR"/>
        </w:rPr>
        <w:t xml:space="preserve"> </w:t>
      </w:r>
      <w:r w:rsidRPr="00ED3195">
        <w:rPr>
          <w:lang w:val="fr-FR"/>
        </w:rPr>
        <w:t>2013 ne s</w:t>
      </w:r>
      <w:r>
        <w:rPr>
          <w:lang w:val="fr-FR"/>
        </w:rPr>
        <w:t>’</w:t>
      </w:r>
      <w:r w:rsidRPr="00ED3195">
        <w:rPr>
          <w:lang w:val="fr-FR"/>
        </w:rPr>
        <w:t>était pas tenue à l</w:t>
      </w:r>
      <w:r>
        <w:rPr>
          <w:lang w:val="fr-FR"/>
        </w:rPr>
        <w:t>’</w:t>
      </w:r>
      <w:r w:rsidRPr="00ED3195">
        <w:rPr>
          <w:lang w:val="fr-FR"/>
        </w:rPr>
        <w:t>adresse enregistrée de l</w:t>
      </w:r>
      <w:r>
        <w:rPr>
          <w:lang w:val="fr-FR"/>
        </w:rPr>
        <w:t>’A</w:t>
      </w:r>
      <w:r w:rsidRPr="00ED3195">
        <w:rPr>
          <w:lang w:val="fr-FR"/>
        </w:rPr>
        <w:t>ssociation ni dans un des lieux énumérés au paragraphe 2 de l</w:t>
      </w:r>
      <w:r>
        <w:rPr>
          <w:lang w:val="fr-FR"/>
        </w:rPr>
        <w:t>’</w:t>
      </w:r>
      <w:r w:rsidRPr="00ED3195">
        <w:rPr>
          <w:lang w:val="fr-FR"/>
        </w:rPr>
        <w:t xml:space="preserve">article 7 </w:t>
      </w:r>
      <w:r>
        <w:rPr>
          <w:lang w:val="fr-FR"/>
        </w:rPr>
        <w:t>de la l</w:t>
      </w:r>
      <w:r w:rsidRPr="00ED3195">
        <w:rPr>
          <w:lang w:val="fr-FR"/>
        </w:rPr>
        <w:t xml:space="preserve">oi sur les activités religieuses et les associations religieuses. Dans sa lettre, le procureur de la région de Kostanay déclarait que la procédure à suivre pour organiser des cérémonies religieuses était régie par les </w:t>
      </w:r>
      <w:r>
        <w:rPr>
          <w:lang w:val="fr-FR"/>
        </w:rPr>
        <w:t>n</w:t>
      </w:r>
      <w:r w:rsidRPr="00ED3195">
        <w:rPr>
          <w:lang w:val="fr-FR"/>
        </w:rPr>
        <w:t>ormes de coordination des cérémonies religieuses organisées ailleurs qu</w:t>
      </w:r>
      <w:r>
        <w:rPr>
          <w:lang w:val="fr-FR"/>
        </w:rPr>
        <w:t>’</w:t>
      </w:r>
      <w:r w:rsidRPr="00ED3195">
        <w:rPr>
          <w:lang w:val="fr-FR"/>
        </w:rPr>
        <w:t>à l</w:t>
      </w:r>
      <w:r>
        <w:rPr>
          <w:lang w:val="fr-FR"/>
        </w:rPr>
        <w:t>’</w:t>
      </w:r>
      <w:r w:rsidRPr="00ED3195">
        <w:rPr>
          <w:lang w:val="fr-FR"/>
        </w:rPr>
        <w:t>adresse officielle des organisations religieuses</w:t>
      </w:r>
      <w:r w:rsidRPr="00F1782E">
        <w:rPr>
          <w:rStyle w:val="Appelnotedebasdep"/>
        </w:rPr>
        <w:footnoteReference w:id="4"/>
      </w:r>
      <w:r w:rsidRPr="00ED3195">
        <w:rPr>
          <w:lang w:val="fr-FR"/>
        </w:rPr>
        <w:t xml:space="preserve"> en date du 9 septembre</w:t>
      </w:r>
      <w:r w:rsidR="00C339D7">
        <w:rPr>
          <w:lang w:val="fr-FR"/>
        </w:rPr>
        <w:t xml:space="preserve"> </w:t>
      </w:r>
      <w:r w:rsidRPr="00ED3195">
        <w:rPr>
          <w:lang w:val="fr-FR"/>
        </w:rPr>
        <w:t>2013.</w:t>
      </w:r>
    </w:p>
    <w:p w14:paraId="7601CDCD" w14:textId="77777777" w:rsidR="00FA4C28" w:rsidRPr="00ED3195" w:rsidRDefault="00FA4C28" w:rsidP="00C339D7">
      <w:pPr>
        <w:pStyle w:val="SingleTxtG"/>
        <w:rPr>
          <w:lang w:val="fr-FR"/>
        </w:rPr>
      </w:pPr>
      <w:r w:rsidRPr="00ED3195">
        <w:rPr>
          <w:lang w:val="fr-FR"/>
        </w:rPr>
        <w:t>2.6</w:t>
      </w:r>
      <w:r w:rsidRPr="00ED3195">
        <w:rPr>
          <w:lang w:val="fr-FR"/>
        </w:rPr>
        <w:tab/>
        <w:t>L</w:t>
      </w:r>
      <w:r>
        <w:rPr>
          <w:lang w:val="fr-FR"/>
        </w:rPr>
        <w:t>’</w:t>
      </w:r>
      <w:r w:rsidRPr="00ED3195">
        <w:rPr>
          <w:lang w:val="fr-FR"/>
        </w:rPr>
        <w:t>auteur affirme qu</w:t>
      </w:r>
      <w:r>
        <w:rPr>
          <w:lang w:val="fr-FR"/>
        </w:rPr>
        <w:t>’</w:t>
      </w:r>
      <w:r w:rsidRPr="00ED3195">
        <w:rPr>
          <w:lang w:val="fr-FR"/>
        </w:rPr>
        <w:t>il a épuisé tous les recours internes disponibles.</w:t>
      </w:r>
    </w:p>
    <w:p w14:paraId="3E413A4B" w14:textId="77777777" w:rsidR="00FA4C28" w:rsidRPr="00ED3195" w:rsidRDefault="00FA4C28" w:rsidP="00C339D7">
      <w:pPr>
        <w:pStyle w:val="H23G"/>
        <w:rPr>
          <w:lang w:val="fr-FR"/>
        </w:rPr>
      </w:pPr>
      <w:r w:rsidRPr="00ED3195">
        <w:rPr>
          <w:lang w:val="fr-FR"/>
        </w:rPr>
        <w:lastRenderedPageBreak/>
        <w:tab/>
      </w:r>
      <w:r w:rsidRPr="00ED3195">
        <w:rPr>
          <w:lang w:val="fr-FR"/>
        </w:rPr>
        <w:tab/>
        <w:t>Teneur de la plainte</w:t>
      </w:r>
    </w:p>
    <w:p w14:paraId="67661CCB" w14:textId="77777777" w:rsidR="00FA4C28" w:rsidRPr="00ED3195" w:rsidRDefault="00FA4C28" w:rsidP="00C339D7">
      <w:pPr>
        <w:pStyle w:val="SingleTxtG"/>
        <w:rPr>
          <w:lang w:val="fr-FR"/>
        </w:rPr>
      </w:pPr>
      <w:r w:rsidRPr="00ED3195">
        <w:rPr>
          <w:lang w:val="fr-FR"/>
        </w:rPr>
        <w:t>3.1</w:t>
      </w:r>
      <w:r w:rsidRPr="00ED3195">
        <w:rPr>
          <w:lang w:val="fr-FR"/>
        </w:rPr>
        <w:tab/>
        <w:t>L</w:t>
      </w:r>
      <w:r>
        <w:rPr>
          <w:lang w:val="fr-FR"/>
        </w:rPr>
        <w:t>’</w:t>
      </w:r>
      <w:r w:rsidRPr="00ED3195">
        <w:rPr>
          <w:lang w:val="fr-FR"/>
        </w:rPr>
        <w:t xml:space="preserve">auteur </w:t>
      </w:r>
      <w:r>
        <w:rPr>
          <w:lang w:val="fr-FR"/>
        </w:rPr>
        <w:t>affirme qu’il y a eu</w:t>
      </w:r>
      <w:r w:rsidRPr="00ED3195">
        <w:rPr>
          <w:lang w:val="fr-FR"/>
        </w:rPr>
        <w:t xml:space="preserve"> violation de l</w:t>
      </w:r>
      <w:r>
        <w:rPr>
          <w:lang w:val="fr-FR"/>
        </w:rPr>
        <w:t>’</w:t>
      </w:r>
      <w:r w:rsidRPr="00ED3195">
        <w:rPr>
          <w:lang w:val="fr-FR"/>
        </w:rPr>
        <w:t>article 18 (par. 1 et</w:t>
      </w:r>
      <w:r w:rsidR="00A05AC1">
        <w:rPr>
          <w:lang w:val="fr-FR"/>
        </w:rPr>
        <w:t xml:space="preserve"> </w:t>
      </w:r>
      <w:r w:rsidRPr="00ED3195">
        <w:rPr>
          <w:lang w:val="fr-FR"/>
        </w:rPr>
        <w:t>3), lu conjointement avec l</w:t>
      </w:r>
      <w:r>
        <w:rPr>
          <w:lang w:val="fr-FR"/>
        </w:rPr>
        <w:t>’</w:t>
      </w:r>
      <w:r w:rsidRPr="00ED3195">
        <w:rPr>
          <w:lang w:val="fr-FR"/>
        </w:rPr>
        <w:t>article 2 (par. 1 et 3 a), b) et</w:t>
      </w:r>
      <w:r w:rsidR="00A05AC1">
        <w:rPr>
          <w:lang w:val="fr-FR"/>
        </w:rPr>
        <w:t xml:space="preserve"> </w:t>
      </w:r>
      <w:r w:rsidRPr="00ED3195">
        <w:rPr>
          <w:lang w:val="fr-FR"/>
        </w:rPr>
        <w:t>c)) du Pacte, parce que l</w:t>
      </w:r>
      <w:r>
        <w:rPr>
          <w:lang w:val="fr-FR"/>
        </w:rPr>
        <w:t>’</w:t>
      </w:r>
      <w:r w:rsidRPr="00ED3195">
        <w:rPr>
          <w:lang w:val="fr-FR"/>
        </w:rPr>
        <w:t>État partie a restreint son droit de manifester sa religion en commun. Il fait valoir que les restrictions imposées par l</w:t>
      </w:r>
      <w:r>
        <w:rPr>
          <w:lang w:val="fr-FR"/>
        </w:rPr>
        <w:t>’</w:t>
      </w:r>
      <w:r w:rsidRPr="00ED3195">
        <w:rPr>
          <w:lang w:val="fr-FR"/>
        </w:rPr>
        <w:t>État partie n</w:t>
      </w:r>
      <w:r>
        <w:rPr>
          <w:lang w:val="fr-FR"/>
        </w:rPr>
        <w:t>’</w:t>
      </w:r>
      <w:r w:rsidRPr="00ED3195">
        <w:rPr>
          <w:lang w:val="fr-FR"/>
        </w:rPr>
        <w:t>étaient pas prévues par la loi ni nécessaires à la protection de la sécurité, de l</w:t>
      </w:r>
      <w:r>
        <w:rPr>
          <w:lang w:val="fr-FR"/>
        </w:rPr>
        <w:t>’</w:t>
      </w:r>
      <w:r w:rsidRPr="00ED3195">
        <w:rPr>
          <w:lang w:val="fr-FR"/>
        </w:rPr>
        <w:t>ordre et de la santé publics, ou de la morale ou des libertés et droits fondamentaux d</w:t>
      </w:r>
      <w:r>
        <w:rPr>
          <w:lang w:val="fr-FR"/>
        </w:rPr>
        <w:t>’</w:t>
      </w:r>
      <w:r w:rsidRPr="00ED3195">
        <w:rPr>
          <w:lang w:val="fr-FR"/>
        </w:rPr>
        <w:t>autrui.</w:t>
      </w:r>
    </w:p>
    <w:p w14:paraId="536B97DF" w14:textId="77777777" w:rsidR="00FA4C28" w:rsidRPr="00ED3195" w:rsidRDefault="00FA4C28" w:rsidP="00C339D7">
      <w:pPr>
        <w:pStyle w:val="SingleTxtG"/>
        <w:rPr>
          <w:lang w:val="fr-FR"/>
        </w:rPr>
      </w:pPr>
      <w:r w:rsidRPr="00ED3195">
        <w:rPr>
          <w:lang w:val="fr-FR"/>
        </w:rPr>
        <w:t>3.2</w:t>
      </w:r>
      <w:r w:rsidRPr="00ED3195">
        <w:rPr>
          <w:lang w:val="fr-FR"/>
        </w:rPr>
        <w:tab/>
        <w:t>L</w:t>
      </w:r>
      <w:r>
        <w:rPr>
          <w:lang w:val="fr-FR"/>
        </w:rPr>
        <w:t>’</w:t>
      </w:r>
      <w:r w:rsidRPr="00ED3195">
        <w:rPr>
          <w:lang w:val="fr-FR"/>
        </w:rPr>
        <w:t>auteur fait valoir qu</w:t>
      </w:r>
      <w:r>
        <w:rPr>
          <w:lang w:val="fr-FR"/>
        </w:rPr>
        <w:t>’</w:t>
      </w:r>
      <w:r w:rsidRPr="00ED3195">
        <w:rPr>
          <w:lang w:val="fr-FR"/>
        </w:rPr>
        <w:t>au Kazakhstan, les fidèles de religions traditionnelles (principales) comme l</w:t>
      </w:r>
      <w:r>
        <w:rPr>
          <w:lang w:val="fr-FR"/>
        </w:rPr>
        <w:t>’</w:t>
      </w:r>
      <w:r w:rsidRPr="00ED3195">
        <w:rPr>
          <w:lang w:val="fr-FR"/>
        </w:rPr>
        <w:t>islam ou le christianisme ne sont pas tenus d</w:t>
      </w:r>
      <w:r>
        <w:rPr>
          <w:lang w:val="fr-FR"/>
        </w:rPr>
        <w:t>’</w:t>
      </w:r>
      <w:r w:rsidRPr="00ED3195">
        <w:rPr>
          <w:lang w:val="fr-FR"/>
        </w:rPr>
        <w:t xml:space="preserve">obtenir une autorisation pour tenir leurs cérémonies hors du lieu où elles sont enregistrées. </w:t>
      </w:r>
      <w:r>
        <w:rPr>
          <w:lang w:val="fr-FR"/>
        </w:rPr>
        <w:t>Il</w:t>
      </w:r>
      <w:r w:rsidRPr="00ED3195">
        <w:rPr>
          <w:lang w:val="fr-FR"/>
        </w:rPr>
        <w:t xml:space="preserve"> donne comme exemple une réunion à laquelle il a participé en novembre</w:t>
      </w:r>
      <w:r w:rsidR="00C339D7">
        <w:rPr>
          <w:lang w:val="fr-FR"/>
        </w:rPr>
        <w:t xml:space="preserve"> </w:t>
      </w:r>
      <w:r w:rsidRPr="00ED3195">
        <w:rPr>
          <w:lang w:val="fr-FR"/>
        </w:rPr>
        <w:t>2013 à la bibliothèque régionale de Kostanay et lors de laquelle l</w:t>
      </w:r>
      <w:r>
        <w:rPr>
          <w:lang w:val="fr-FR"/>
        </w:rPr>
        <w:t>’</w:t>
      </w:r>
      <w:r w:rsidRPr="00ED3195">
        <w:rPr>
          <w:lang w:val="fr-FR"/>
        </w:rPr>
        <w:t>imam d</w:t>
      </w:r>
      <w:r>
        <w:rPr>
          <w:lang w:val="fr-FR"/>
        </w:rPr>
        <w:t>’</w:t>
      </w:r>
      <w:r w:rsidRPr="00ED3195">
        <w:rPr>
          <w:lang w:val="fr-FR"/>
        </w:rPr>
        <w:t>une mosquée locale a donné une conférence sur l</w:t>
      </w:r>
      <w:r>
        <w:rPr>
          <w:lang w:val="fr-FR"/>
        </w:rPr>
        <w:t>’</w:t>
      </w:r>
      <w:r w:rsidRPr="00ED3195">
        <w:rPr>
          <w:lang w:val="fr-FR"/>
        </w:rPr>
        <w:t xml:space="preserve">islam. </w:t>
      </w:r>
      <w:r>
        <w:rPr>
          <w:lang w:val="fr-FR"/>
        </w:rPr>
        <w:t>Il</w:t>
      </w:r>
      <w:r w:rsidRPr="00ED3195">
        <w:rPr>
          <w:lang w:val="fr-FR"/>
        </w:rPr>
        <w:t xml:space="preserve"> estime qu</w:t>
      </w:r>
      <w:r>
        <w:rPr>
          <w:lang w:val="fr-FR"/>
        </w:rPr>
        <w:t>’</w:t>
      </w:r>
      <w:r w:rsidRPr="00ED3195">
        <w:rPr>
          <w:lang w:val="fr-FR"/>
        </w:rPr>
        <w:t>il a fait l</w:t>
      </w:r>
      <w:r>
        <w:rPr>
          <w:lang w:val="fr-FR"/>
        </w:rPr>
        <w:t>’</w:t>
      </w:r>
      <w:r w:rsidRPr="00ED3195">
        <w:rPr>
          <w:lang w:val="fr-FR"/>
        </w:rPr>
        <w:t>objet d</w:t>
      </w:r>
      <w:r>
        <w:rPr>
          <w:lang w:val="fr-FR"/>
        </w:rPr>
        <w:t>’</w:t>
      </w:r>
      <w:r w:rsidRPr="00ED3195">
        <w:rPr>
          <w:lang w:val="fr-FR"/>
        </w:rPr>
        <w:t>une discrimination en sa qualité de représentant d</w:t>
      </w:r>
      <w:r>
        <w:rPr>
          <w:lang w:val="fr-FR"/>
        </w:rPr>
        <w:t>’</w:t>
      </w:r>
      <w:r w:rsidRPr="00ED3195">
        <w:rPr>
          <w:lang w:val="fr-FR"/>
        </w:rPr>
        <w:t>une religion « non traditionnelle » et que les droits qu</w:t>
      </w:r>
      <w:r>
        <w:rPr>
          <w:lang w:val="fr-FR"/>
        </w:rPr>
        <w:t>’</w:t>
      </w:r>
      <w:r w:rsidRPr="00ED3195">
        <w:rPr>
          <w:lang w:val="fr-FR"/>
        </w:rPr>
        <w:t>il tient de l</w:t>
      </w:r>
      <w:r>
        <w:rPr>
          <w:lang w:val="fr-FR"/>
        </w:rPr>
        <w:t>’</w:t>
      </w:r>
      <w:r w:rsidRPr="00ED3195">
        <w:rPr>
          <w:lang w:val="fr-FR"/>
        </w:rPr>
        <w:t>article 26 du Pacte lu conjointement avec l</w:t>
      </w:r>
      <w:r>
        <w:rPr>
          <w:lang w:val="fr-FR"/>
        </w:rPr>
        <w:t>’</w:t>
      </w:r>
      <w:r w:rsidRPr="00ED3195">
        <w:rPr>
          <w:lang w:val="fr-FR"/>
        </w:rPr>
        <w:t>article 2 (par. 1) ont ainsi été violés.</w:t>
      </w:r>
    </w:p>
    <w:p w14:paraId="61AE3714" w14:textId="77777777" w:rsidR="00FA4C28" w:rsidRPr="00ED3195" w:rsidRDefault="00FA4C28" w:rsidP="00C339D7">
      <w:pPr>
        <w:pStyle w:val="SingleTxtG"/>
        <w:rPr>
          <w:lang w:val="fr-FR"/>
        </w:rPr>
      </w:pPr>
      <w:r w:rsidRPr="00ED3195">
        <w:rPr>
          <w:lang w:val="fr-FR"/>
        </w:rPr>
        <w:t>3.3</w:t>
      </w:r>
      <w:r w:rsidRPr="00ED3195">
        <w:rPr>
          <w:lang w:val="fr-FR"/>
        </w:rPr>
        <w:tab/>
        <w:t>L</w:t>
      </w:r>
      <w:r>
        <w:rPr>
          <w:lang w:val="fr-FR"/>
        </w:rPr>
        <w:t>’</w:t>
      </w:r>
      <w:r w:rsidRPr="00ED3195">
        <w:rPr>
          <w:lang w:val="fr-FR"/>
        </w:rPr>
        <w:t xml:space="preserve">auteur </w:t>
      </w:r>
      <w:r>
        <w:rPr>
          <w:lang w:val="fr-FR"/>
        </w:rPr>
        <w:t>affirme aussi qu’il y a eu</w:t>
      </w:r>
      <w:r w:rsidRPr="00ED3195">
        <w:rPr>
          <w:lang w:val="fr-FR"/>
        </w:rPr>
        <w:t xml:space="preserve"> violation de l</w:t>
      </w:r>
      <w:r>
        <w:rPr>
          <w:lang w:val="fr-FR"/>
        </w:rPr>
        <w:t>’</w:t>
      </w:r>
      <w:r w:rsidRPr="00ED3195">
        <w:rPr>
          <w:lang w:val="fr-FR"/>
        </w:rPr>
        <w:t>article 27 du Pacte. Il fait valoir qu</w:t>
      </w:r>
      <w:r>
        <w:rPr>
          <w:lang w:val="fr-FR"/>
        </w:rPr>
        <w:t>’</w:t>
      </w:r>
      <w:r w:rsidRPr="00ED3195">
        <w:rPr>
          <w:lang w:val="fr-FR"/>
        </w:rPr>
        <w:t>exiger d</w:t>
      </w:r>
      <w:r>
        <w:rPr>
          <w:lang w:val="fr-FR"/>
        </w:rPr>
        <w:t>’</w:t>
      </w:r>
      <w:r w:rsidRPr="00ED3195">
        <w:rPr>
          <w:lang w:val="fr-FR"/>
        </w:rPr>
        <w:t>une association religieuse qu</w:t>
      </w:r>
      <w:r>
        <w:rPr>
          <w:lang w:val="fr-FR"/>
        </w:rPr>
        <w:t>’</w:t>
      </w:r>
      <w:r w:rsidRPr="00ED3195">
        <w:rPr>
          <w:lang w:val="fr-FR"/>
        </w:rPr>
        <w:t xml:space="preserve">elle demande une autorisation pour organiser une cérémonie religieuse hors du lieu où elle est enregistrée restreint les droits des fidèles des religions non traditionnelles (minoritaires). Les groupes religieux majoritaires ou « traditionnels » ont suffisamment de fonds pour acheter des terrains et construire des mosquées et des églises, les enregistrer officiellement et y tenir toutes leurs cérémonies. </w:t>
      </w:r>
      <w:r>
        <w:rPr>
          <w:lang w:val="fr-FR"/>
        </w:rPr>
        <w:t>En revanche</w:t>
      </w:r>
      <w:r w:rsidRPr="00ED3195">
        <w:rPr>
          <w:lang w:val="fr-FR"/>
        </w:rPr>
        <w:t>, les associations religieuses minoritaires comme celle de l</w:t>
      </w:r>
      <w:r>
        <w:rPr>
          <w:lang w:val="fr-FR"/>
        </w:rPr>
        <w:t>’</w:t>
      </w:r>
      <w:r w:rsidRPr="00ED3195">
        <w:rPr>
          <w:lang w:val="fr-FR"/>
        </w:rPr>
        <w:t>auteur doivent souvent s</w:t>
      </w:r>
      <w:r>
        <w:rPr>
          <w:lang w:val="fr-FR"/>
        </w:rPr>
        <w:t>’</w:t>
      </w:r>
      <w:r w:rsidRPr="00ED3195">
        <w:rPr>
          <w:lang w:val="fr-FR"/>
        </w:rPr>
        <w:t>enregistrer à l</w:t>
      </w:r>
      <w:r>
        <w:rPr>
          <w:lang w:val="fr-FR"/>
        </w:rPr>
        <w:t>’</w:t>
      </w:r>
      <w:r w:rsidRPr="00ED3195">
        <w:rPr>
          <w:lang w:val="fr-FR"/>
        </w:rPr>
        <w:t>adresse d</w:t>
      </w:r>
      <w:r>
        <w:rPr>
          <w:lang w:val="fr-FR"/>
        </w:rPr>
        <w:t>’</w:t>
      </w:r>
      <w:r w:rsidRPr="00ED3195">
        <w:rPr>
          <w:lang w:val="fr-FR"/>
        </w:rPr>
        <w:t>un domicile privé et louer des locaux pour tenir leurs cérémonies</w:t>
      </w:r>
      <w:r>
        <w:rPr>
          <w:lang w:val="fr-FR"/>
        </w:rPr>
        <w:t>.</w:t>
      </w:r>
    </w:p>
    <w:p w14:paraId="7383D7C6" w14:textId="77777777" w:rsidR="00FA4C28" w:rsidRPr="00ED3195" w:rsidRDefault="00FA4C28" w:rsidP="00C339D7">
      <w:pPr>
        <w:pStyle w:val="H23G"/>
        <w:rPr>
          <w:lang w:val="fr-FR"/>
        </w:rPr>
      </w:pPr>
      <w:r w:rsidRPr="00ED3195">
        <w:rPr>
          <w:lang w:val="fr-FR"/>
        </w:rPr>
        <w:tab/>
      </w:r>
      <w:r w:rsidRPr="00ED3195">
        <w:rPr>
          <w:lang w:val="fr-FR"/>
        </w:rPr>
        <w:tab/>
        <w:t>Observations de l</w:t>
      </w:r>
      <w:r>
        <w:rPr>
          <w:lang w:val="fr-FR"/>
        </w:rPr>
        <w:t>’</w:t>
      </w:r>
      <w:r w:rsidRPr="00ED3195">
        <w:rPr>
          <w:lang w:val="fr-FR"/>
        </w:rPr>
        <w:t>État partie sur la recevabilité</w:t>
      </w:r>
    </w:p>
    <w:p w14:paraId="23F9BB25" w14:textId="77777777" w:rsidR="00FA4C28" w:rsidRPr="00ED3195" w:rsidRDefault="00FA4C28" w:rsidP="00C339D7">
      <w:pPr>
        <w:pStyle w:val="SingleTxtG"/>
        <w:rPr>
          <w:lang w:val="fr-FR"/>
        </w:rPr>
      </w:pPr>
      <w:r w:rsidRPr="00ED3195">
        <w:rPr>
          <w:lang w:val="fr-FR"/>
        </w:rPr>
        <w:t>4.1</w:t>
      </w:r>
      <w:r w:rsidRPr="00ED3195">
        <w:rPr>
          <w:lang w:val="fr-FR"/>
        </w:rPr>
        <w:tab/>
      </w:r>
      <w:r>
        <w:rPr>
          <w:lang w:val="fr-FR"/>
        </w:rPr>
        <w:t>Dans</w:t>
      </w:r>
      <w:r w:rsidRPr="00ED3195">
        <w:rPr>
          <w:lang w:val="fr-FR"/>
        </w:rPr>
        <w:t xml:space="preserve"> une note verbale datée du 19 décembre</w:t>
      </w:r>
      <w:r w:rsidR="00C339D7">
        <w:rPr>
          <w:lang w:val="fr-FR"/>
        </w:rPr>
        <w:t xml:space="preserve"> </w:t>
      </w:r>
      <w:r w:rsidRPr="00ED3195">
        <w:rPr>
          <w:lang w:val="fr-FR"/>
        </w:rPr>
        <w:t>2014, l</w:t>
      </w:r>
      <w:r>
        <w:rPr>
          <w:lang w:val="fr-FR"/>
        </w:rPr>
        <w:t>’</w:t>
      </w:r>
      <w:r w:rsidRPr="00ED3195">
        <w:rPr>
          <w:lang w:val="fr-FR"/>
        </w:rPr>
        <w:t xml:space="preserve">État partie </w:t>
      </w:r>
      <w:r>
        <w:rPr>
          <w:lang w:val="fr-FR"/>
        </w:rPr>
        <w:t>fait part de</w:t>
      </w:r>
      <w:r w:rsidRPr="00ED3195">
        <w:rPr>
          <w:lang w:val="fr-FR"/>
        </w:rPr>
        <w:t xml:space="preserve"> ses observations sur la recevabilité de la communication. </w:t>
      </w:r>
      <w:r>
        <w:rPr>
          <w:lang w:val="fr-FR"/>
        </w:rPr>
        <w:t>Il</w:t>
      </w:r>
      <w:r w:rsidRPr="00ED3195">
        <w:rPr>
          <w:lang w:val="fr-FR"/>
        </w:rPr>
        <w:t xml:space="preserve"> indique que le 9 juin</w:t>
      </w:r>
      <w:r w:rsidR="00C339D7">
        <w:rPr>
          <w:lang w:val="fr-FR"/>
        </w:rPr>
        <w:t xml:space="preserve"> </w:t>
      </w:r>
      <w:r w:rsidRPr="00ED3195">
        <w:rPr>
          <w:lang w:val="fr-FR"/>
        </w:rPr>
        <w:t>2013, l</w:t>
      </w:r>
      <w:r>
        <w:rPr>
          <w:lang w:val="fr-FR"/>
        </w:rPr>
        <w:t>’</w:t>
      </w:r>
      <w:r w:rsidRPr="00ED3195">
        <w:rPr>
          <w:lang w:val="fr-FR"/>
        </w:rPr>
        <w:t>auteur, en sa qualité de dirigeant de l</w:t>
      </w:r>
      <w:r>
        <w:rPr>
          <w:lang w:val="fr-FR"/>
        </w:rPr>
        <w:t xml:space="preserve">’organisation religieuse appelée </w:t>
      </w:r>
      <w:r w:rsidRPr="00ED3195">
        <w:rPr>
          <w:lang w:val="fr-FR"/>
        </w:rPr>
        <w:t>Association pour la conscience de Krishna, a organisé une réunion à laquelle 20 personnes ont participé, à une adresse différente de celle où l</w:t>
      </w:r>
      <w:r>
        <w:rPr>
          <w:lang w:val="fr-FR"/>
        </w:rPr>
        <w:t>’</w:t>
      </w:r>
      <w:r w:rsidRPr="00ED3195">
        <w:rPr>
          <w:lang w:val="fr-FR"/>
        </w:rPr>
        <w:t>Association est enregistrée, et qu</w:t>
      </w:r>
      <w:r>
        <w:rPr>
          <w:lang w:val="fr-FR"/>
        </w:rPr>
        <w:t>’</w:t>
      </w:r>
      <w:r w:rsidRPr="00ED3195">
        <w:rPr>
          <w:lang w:val="fr-FR"/>
        </w:rPr>
        <w:t>il a pour cette raison été condamné à une amende par le tribunal administratif interdistrict spécial de la ville de Kostan</w:t>
      </w:r>
      <w:r>
        <w:rPr>
          <w:lang w:val="fr-FR"/>
        </w:rPr>
        <w:t>ay.</w:t>
      </w:r>
    </w:p>
    <w:p w14:paraId="3E8D49CA" w14:textId="77777777" w:rsidR="00FA4C28" w:rsidRPr="00ED3195" w:rsidRDefault="00FA4C28" w:rsidP="00C339D7">
      <w:pPr>
        <w:pStyle w:val="SingleTxtG"/>
        <w:rPr>
          <w:lang w:val="fr-FR"/>
        </w:rPr>
      </w:pPr>
      <w:r w:rsidRPr="00ED3195">
        <w:rPr>
          <w:lang w:val="fr-FR"/>
        </w:rPr>
        <w:t>4.2</w:t>
      </w:r>
      <w:r w:rsidRPr="00ED3195">
        <w:rPr>
          <w:lang w:val="fr-FR"/>
        </w:rPr>
        <w:tab/>
        <w:t>L</w:t>
      </w:r>
      <w:r>
        <w:rPr>
          <w:lang w:val="fr-FR"/>
        </w:rPr>
        <w:t>’</w:t>
      </w:r>
      <w:r w:rsidRPr="00ED3195">
        <w:rPr>
          <w:lang w:val="fr-FR"/>
        </w:rPr>
        <w:t>État partie fait observer que le paragraphe 2 de l</w:t>
      </w:r>
      <w:r>
        <w:rPr>
          <w:lang w:val="fr-FR"/>
        </w:rPr>
        <w:t>’</w:t>
      </w:r>
      <w:r w:rsidRPr="00ED3195">
        <w:rPr>
          <w:lang w:val="fr-FR"/>
        </w:rPr>
        <w:t xml:space="preserve">article 7 de la </w:t>
      </w:r>
      <w:r>
        <w:rPr>
          <w:lang w:val="fr-FR"/>
        </w:rPr>
        <w:t>l</w:t>
      </w:r>
      <w:r w:rsidRPr="00ED3195">
        <w:rPr>
          <w:lang w:val="fr-FR"/>
        </w:rPr>
        <w:t xml:space="preserve">oi sur les activités religieuses et les associations religieuses dispose que les activités religieuses peuvent avoir lieu sans restriction dans les lieux suivants : les bâtiments de caractère religieux, les lieux de culte, les </w:t>
      </w:r>
      <w:r>
        <w:rPr>
          <w:lang w:val="fr-FR"/>
        </w:rPr>
        <w:t xml:space="preserve">bureaux et les </w:t>
      </w:r>
      <w:r w:rsidRPr="00ED3195">
        <w:rPr>
          <w:lang w:val="fr-FR"/>
        </w:rPr>
        <w:t>locaux des organisations religieuses, les cimetières et les crématoires, les habitation</w:t>
      </w:r>
      <w:r>
        <w:rPr>
          <w:lang w:val="fr-FR"/>
        </w:rPr>
        <w:t>s</w:t>
      </w:r>
      <w:r w:rsidRPr="00ED3195">
        <w:rPr>
          <w:lang w:val="fr-FR"/>
        </w:rPr>
        <w:t xml:space="preserve"> et les restaurants publics. Dans tous les autres cas, les activités religieuses doivent être organisées dans le respect de la législation du Kazakhstan. La réunion organisée par l</w:t>
      </w:r>
      <w:r>
        <w:rPr>
          <w:lang w:val="fr-FR"/>
        </w:rPr>
        <w:t>’</w:t>
      </w:r>
      <w:r w:rsidRPr="00ED3195">
        <w:rPr>
          <w:lang w:val="fr-FR"/>
        </w:rPr>
        <w:t>auteur le 9 juin</w:t>
      </w:r>
      <w:r w:rsidR="00C339D7">
        <w:rPr>
          <w:lang w:val="fr-FR"/>
        </w:rPr>
        <w:t xml:space="preserve"> </w:t>
      </w:r>
      <w:r w:rsidRPr="00ED3195">
        <w:rPr>
          <w:lang w:val="fr-FR"/>
        </w:rPr>
        <w:t xml:space="preserve">2013 a eu lieu dans un gymnase, </w:t>
      </w:r>
      <w:r>
        <w:rPr>
          <w:lang w:val="fr-FR"/>
        </w:rPr>
        <w:t>sans que le</w:t>
      </w:r>
      <w:r w:rsidRPr="00ED3195">
        <w:rPr>
          <w:lang w:val="fr-FR"/>
        </w:rPr>
        <w:t xml:space="preserve"> département régional des affaires religieuses</w:t>
      </w:r>
      <w:r>
        <w:rPr>
          <w:lang w:val="fr-FR"/>
        </w:rPr>
        <w:t xml:space="preserve"> en ait été notifié.</w:t>
      </w:r>
    </w:p>
    <w:p w14:paraId="4D54B1EF" w14:textId="77777777" w:rsidR="00FA4C28" w:rsidRPr="00ED3195" w:rsidRDefault="00FA4C28" w:rsidP="00C339D7">
      <w:pPr>
        <w:pStyle w:val="SingleTxtG"/>
        <w:rPr>
          <w:lang w:val="fr-FR"/>
        </w:rPr>
      </w:pPr>
      <w:r w:rsidRPr="00ED3195">
        <w:rPr>
          <w:lang w:val="fr-FR"/>
        </w:rPr>
        <w:t>4.3</w:t>
      </w:r>
      <w:r w:rsidRPr="00ED3195">
        <w:rPr>
          <w:lang w:val="fr-FR"/>
        </w:rPr>
        <w:tab/>
        <w:t>L</w:t>
      </w:r>
      <w:r>
        <w:rPr>
          <w:lang w:val="fr-FR"/>
        </w:rPr>
        <w:t>’</w:t>
      </w:r>
      <w:r w:rsidRPr="00ED3195">
        <w:rPr>
          <w:lang w:val="fr-FR"/>
        </w:rPr>
        <w:t>État partie fait valoir qu</w:t>
      </w:r>
      <w:r>
        <w:rPr>
          <w:lang w:val="fr-FR"/>
        </w:rPr>
        <w:t>’</w:t>
      </w:r>
      <w:r w:rsidRPr="00ED3195">
        <w:rPr>
          <w:lang w:val="fr-FR"/>
        </w:rPr>
        <w:t>en application de l</w:t>
      </w:r>
      <w:r>
        <w:rPr>
          <w:lang w:val="fr-FR"/>
        </w:rPr>
        <w:t>’</w:t>
      </w:r>
      <w:r w:rsidRPr="00ED3195">
        <w:rPr>
          <w:lang w:val="fr-FR"/>
        </w:rPr>
        <w:t xml:space="preserve">article 40 du Code des infractions administratives, </w:t>
      </w:r>
      <w:r>
        <w:rPr>
          <w:lang w:val="fr-FR"/>
        </w:rPr>
        <w:t xml:space="preserve">seul </w:t>
      </w:r>
      <w:r w:rsidRPr="00ED3195">
        <w:rPr>
          <w:lang w:val="fr-FR"/>
        </w:rPr>
        <w:t xml:space="preserve">le Procureur général du Kazakhstan </w:t>
      </w:r>
      <w:r>
        <w:rPr>
          <w:lang w:val="fr-FR"/>
        </w:rPr>
        <w:t xml:space="preserve">ou </w:t>
      </w:r>
      <w:r w:rsidRPr="00ED3195">
        <w:rPr>
          <w:lang w:val="fr-FR"/>
        </w:rPr>
        <w:t xml:space="preserve">ses adjoints </w:t>
      </w:r>
      <w:r>
        <w:rPr>
          <w:lang w:val="fr-FR"/>
        </w:rPr>
        <w:t xml:space="preserve">peuvent faire </w:t>
      </w:r>
      <w:r w:rsidRPr="00ED3195">
        <w:rPr>
          <w:lang w:val="fr-FR"/>
        </w:rPr>
        <w:t>appel des décisions judiciaires passées en force de chose jugée. Le pourvoi de l</w:t>
      </w:r>
      <w:r>
        <w:rPr>
          <w:lang w:val="fr-FR"/>
        </w:rPr>
        <w:t>’</w:t>
      </w:r>
      <w:r w:rsidRPr="00ED3195">
        <w:rPr>
          <w:lang w:val="fr-FR"/>
        </w:rPr>
        <w:t>auteur a été rejeté par le Procureur général adjoint du Kazakhstan, mais l</w:t>
      </w:r>
      <w:r>
        <w:rPr>
          <w:lang w:val="fr-FR"/>
        </w:rPr>
        <w:t>’</w:t>
      </w:r>
      <w:r w:rsidRPr="00ED3195">
        <w:rPr>
          <w:lang w:val="fr-FR"/>
        </w:rPr>
        <w:t>auteur n</w:t>
      </w:r>
      <w:r>
        <w:rPr>
          <w:lang w:val="fr-FR"/>
        </w:rPr>
        <w:t>’</w:t>
      </w:r>
      <w:r w:rsidRPr="00ED3195">
        <w:rPr>
          <w:lang w:val="fr-FR"/>
        </w:rPr>
        <w:t xml:space="preserve">a jamais demandé au Procureur général </w:t>
      </w:r>
      <w:r>
        <w:rPr>
          <w:lang w:val="fr-FR"/>
        </w:rPr>
        <w:t>de faire</w:t>
      </w:r>
      <w:r w:rsidRPr="00ED3195">
        <w:rPr>
          <w:lang w:val="fr-FR"/>
        </w:rPr>
        <w:t xml:space="preserve"> appel de la décision de la cour</w:t>
      </w:r>
      <w:r>
        <w:rPr>
          <w:lang w:val="fr-FR"/>
        </w:rPr>
        <w:t>. L’auteur</w:t>
      </w:r>
      <w:r w:rsidRPr="00ED3195">
        <w:rPr>
          <w:lang w:val="fr-FR"/>
        </w:rPr>
        <w:t xml:space="preserve"> n</w:t>
      </w:r>
      <w:r>
        <w:rPr>
          <w:lang w:val="fr-FR"/>
        </w:rPr>
        <w:t>’</w:t>
      </w:r>
      <w:r w:rsidRPr="00ED3195">
        <w:rPr>
          <w:lang w:val="fr-FR"/>
        </w:rPr>
        <w:t>a donc pas épuisé les recours internes disponibles comme l</w:t>
      </w:r>
      <w:r>
        <w:rPr>
          <w:lang w:val="fr-FR"/>
        </w:rPr>
        <w:t>’</w:t>
      </w:r>
      <w:r w:rsidRPr="00ED3195">
        <w:rPr>
          <w:lang w:val="fr-FR"/>
        </w:rPr>
        <w:t>exige le paragraphe 2 a) de l</w:t>
      </w:r>
      <w:r>
        <w:rPr>
          <w:lang w:val="fr-FR"/>
        </w:rPr>
        <w:t>’</w:t>
      </w:r>
      <w:r w:rsidRPr="00ED3195">
        <w:rPr>
          <w:lang w:val="fr-FR"/>
        </w:rPr>
        <w:t>article 5 du Protocole facultatif.</w:t>
      </w:r>
    </w:p>
    <w:p w14:paraId="453AF8B6" w14:textId="77777777" w:rsidR="00FA4C28" w:rsidRPr="00ED3195" w:rsidRDefault="00FA4C28" w:rsidP="00C339D7">
      <w:pPr>
        <w:pStyle w:val="H23G"/>
        <w:rPr>
          <w:lang w:val="fr-FR"/>
        </w:rPr>
      </w:pPr>
      <w:r w:rsidRPr="00ED3195">
        <w:rPr>
          <w:lang w:val="fr-FR"/>
        </w:rPr>
        <w:tab/>
      </w:r>
      <w:r w:rsidRPr="00ED3195">
        <w:rPr>
          <w:lang w:val="fr-FR"/>
        </w:rPr>
        <w:tab/>
        <w:t>Informations supplémentaires communiquées par l</w:t>
      </w:r>
      <w:r>
        <w:rPr>
          <w:lang w:val="fr-FR"/>
        </w:rPr>
        <w:t>’</w:t>
      </w:r>
      <w:r w:rsidRPr="00ED3195">
        <w:rPr>
          <w:lang w:val="fr-FR"/>
        </w:rPr>
        <w:t>auteur</w:t>
      </w:r>
    </w:p>
    <w:p w14:paraId="026444A0" w14:textId="77777777" w:rsidR="00FA4C28" w:rsidRPr="00ED3195" w:rsidRDefault="00FA4C28" w:rsidP="00C339D7">
      <w:pPr>
        <w:pStyle w:val="SingleTxtG"/>
        <w:rPr>
          <w:lang w:val="fr-FR"/>
        </w:rPr>
      </w:pPr>
      <w:r w:rsidRPr="00ED3195">
        <w:rPr>
          <w:lang w:val="fr-FR"/>
        </w:rPr>
        <w:t>5.1</w:t>
      </w:r>
      <w:r w:rsidRPr="00ED3195">
        <w:rPr>
          <w:lang w:val="fr-FR"/>
        </w:rPr>
        <w:tab/>
      </w:r>
      <w:r>
        <w:rPr>
          <w:lang w:val="fr-FR"/>
        </w:rPr>
        <w:t>Dans</w:t>
      </w:r>
      <w:r w:rsidRPr="00ED3195">
        <w:rPr>
          <w:lang w:val="fr-FR"/>
        </w:rPr>
        <w:t xml:space="preserve"> une lettre datée du </w:t>
      </w:r>
      <w:r w:rsidRPr="00ED3195">
        <w:rPr>
          <w:bCs/>
          <w:lang w:val="fr-FR"/>
        </w:rPr>
        <w:t>22 décembre</w:t>
      </w:r>
      <w:r w:rsidR="00C339D7">
        <w:rPr>
          <w:bCs/>
          <w:lang w:val="fr-FR"/>
        </w:rPr>
        <w:t xml:space="preserve"> </w:t>
      </w:r>
      <w:r w:rsidRPr="00ED3195">
        <w:rPr>
          <w:bCs/>
          <w:lang w:val="fr-FR"/>
        </w:rPr>
        <w:t>2014, l</w:t>
      </w:r>
      <w:r>
        <w:rPr>
          <w:bCs/>
          <w:lang w:val="fr-FR"/>
        </w:rPr>
        <w:t>’</w:t>
      </w:r>
      <w:r w:rsidRPr="00ED3195">
        <w:rPr>
          <w:bCs/>
          <w:lang w:val="fr-FR"/>
        </w:rPr>
        <w:t>auteur inform</w:t>
      </w:r>
      <w:r>
        <w:rPr>
          <w:bCs/>
          <w:lang w:val="fr-FR"/>
        </w:rPr>
        <w:t>e</w:t>
      </w:r>
      <w:r w:rsidRPr="00ED3195">
        <w:rPr>
          <w:bCs/>
          <w:lang w:val="fr-FR"/>
        </w:rPr>
        <w:t xml:space="preserve"> le Comité que le 20 décembre</w:t>
      </w:r>
      <w:r w:rsidR="00C339D7">
        <w:rPr>
          <w:bCs/>
          <w:lang w:val="fr-FR"/>
        </w:rPr>
        <w:t xml:space="preserve"> </w:t>
      </w:r>
      <w:r w:rsidRPr="00ED3195">
        <w:rPr>
          <w:bCs/>
          <w:lang w:val="fr-FR"/>
        </w:rPr>
        <w:t xml:space="preserve">2014, il a été convoqué au département régional des affaires religieuses, où il lui a été demandé de retirer </w:t>
      </w:r>
      <w:r>
        <w:rPr>
          <w:bCs/>
          <w:lang w:val="fr-FR"/>
        </w:rPr>
        <w:t>l</w:t>
      </w:r>
      <w:r w:rsidRPr="00ED3195">
        <w:rPr>
          <w:bCs/>
          <w:lang w:val="fr-FR"/>
        </w:rPr>
        <w:t xml:space="preserve">a communication </w:t>
      </w:r>
      <w:r>
        <w:rPr>
          <w:bCs/>
          <w:lang w:val="fr-FR"/>
        </w:rPr>
        <w:t xml:space="preserve">soumise </w:t>
      </w:r>
      <w:r w:rsidRPr="00ED3195">
        <w:rPr>
          <w:bCs/>
          <w:lang w:val="fr-FR"/>
        </w:rPr>
        <w:t>au Comité. Le chef du département, Nurikan Nugurbekov, lui a promis en contrepartie de l</w:t>
      </w:r>
      <w:r>
        <w:rPr>
          <w:bCs/>
          <w:lang w:val="fr-FR"/>
        </w:rPr>
        <w:t>’</w:t>
      </w:r>
      <w:r w:rsidRPr="00ED3195">
        <w:rPr>
          <w:bCs/>
          <w:lang w:val="fr-FR"/>
        </w:rPr>
        <w:t>autoriser à organiser des activités religieuses ailleurs qu</w:t>
      </w:r>
      <w:r>
        <w:rPr>
          <w:bCs/>
          <w:lang w:val="fr-FR"/>
        </w:rPr>
        <w:t>’</w:t>
      </w:r>
      <w:r w:rsidRPr="00ED3195">
        <w:rPr>
          <w:bCs/>
          <w:lang w:val="fr-FR"/>
        </w:rPr>
        <w:t>à l</w:t>
      </w:r>
      <w:r>
        <w:rPr>
          <w:bCs/>
          <w:lang w:val="fr-FR"/>
        </w:rPr>
        <w:t>’</w:t>
      </w:r>
      <w:r w:rsidRPr="00ED3195">
        <w:rPr>
          <w:bCs/>
          <w:lang w:val="fr-FR"/>
        </w:rPr>
        <w:t xml:space="preserve">adresse officielle de </w:t>
      </w:r>
      <w:r w:rsidRPr="00ED3195">
        <w:rPr>
          <w:lang w:val="fr-FR"/>
        </w:rPr>
        <w:t>l</w:t>
      </w:r>
      <w:r>
        <w:rPr>
          <w:lang w:val="fr-FR"/>
        </w:rPr>
        <w:t>’</w:t>
      </w:r>
      <w:r w:rsidRPr="00ED3195">
        <w:rPr>
          <w:lang w:val="fr-FR"/>
        </w:rPr>
        <w:t>Association pour la conscience de Krishna</w:t>
      </w:r>
      <w:r w:rsidRPr="00ED3195">
        <w:rPr>
          <w:bCs/>
          <w:lang w:val="fr-FR"/>
        </w:rPr>
        <w:t xml:space="preserve">. Il </w:t>
      </w:r>
      <w:r w:rsidRPr="00ED3195">
        <w:rPr>
          <w:lang w:val="fr-FR"/>
        </w:rPr>
        <w:t>a dit à l</w:t>
      </w:r>
      <w:r>
        <w:rPr>
          <w:lang w:val="fr-FR"/>
        </w:rPr>
        <w:t>’</w:t>
      </w:r>
      <w:r w:rsidRPr="00ED3195">
        <w:rPr>
          <w:lang w:val="fr-FR"/>
        </w:rPr>
        <w:t>auteur que s</w:t>
      </w:r>
      <w:r>
        <w:rPr>
          <w:lang w:val="fr-FR"/>
        </w:rPr>
        <w:t>’</w:t>
      </w:r>
      <w:r w:rsidRPr="00ED3195">
        <w:rPr>
          <w:lang w:val="fr-FR"/>
        </w:rPr>
        <w:t>il ne retirait pas sa communication, le département cesserait de coopérer avec l</w:t>
      </w:r>
      <w:r>
        <w:rPr>
          <w:lang w:val="fr-FR"/>
        </w:rPr>
        <w:t>’</w:t>
      </w:r>
      <w:r w:rsidRPr="00ED3195">
        <w:rPr>
          <w:lang w:val="fr-FR"/>
        </w:rPr>
        <w:t>Association et entraverait ses activités. Il a également demandé copie de la communication. L</w:t>
      </w:r>
      <w:r>
        <w:rPr>
          <w:lang w:val="fr-FR"/>
        </w:rPr>
        <w:t>’</w:t>
      </w:r>
      <w:r w:rsidRPr="00ED3195">
        <w:rPr>
          <w:lang w:val="fr-FR"/>
        </w:rPr>
        <w:t>entretien a duré environ une heure en tout. À l</w:t>
      </w:r>
      <w:r>
        <w:rPr>
          <w:lang w:val="fr-FR"/>
        </w:rPr>
        <w:t>’</w:t>
      </w:r>
      <w:r w:rsidRPr="00ED3195">
        <w:rPr>
          <w:lang w:val="fr-FR"/>
        </w:rPr>
        <w:t xml:space="preserve">issue de celui-ci, un </w:t>
      </w:r>
      <w:r w:rsidRPr="00ED3195">
        <w:rPr>
          <w:lang w:val="fr-FR"/>
        </w:rPr>
        <w:lastRenderedPageBreak/>
        <w:t>employé du département a proposé à l</w:t>
      </w:r>
      <w:r>
        <w:rPr>
          <w:lang w:val="fr-FR"/>
        </w:rPr>
        <w:t>’</w:t>
      </w:r>
      <w:r w:rsidRPr="00ED3195">
        <w:rPr>
          <w:lang w:val="fr-FR"/>
        </w:rPr>
        <w:t>auteur de le raccompagner chez lui en voiture, mais durant tout le trajet il n</w:t>
      </w:r>
      <w:r>
        <w:rPr>
          <w:lang w:val="fr-FR"/>
        </w:rPr>
        <w:t>’</w:t>
      </w:r>
      <w:r w:rsidRPr="00ED3195">
        <w:rPr>
          <w:lang w:val="fr-FR"/>
        </w:rPr>
        <w:t>a pas cessé d</w:t>
      </w:r>
      <w:r>
        <w:rPr>
          <w:lang w:val="fr-FR"/>
        </w:rPr>
        <w:t>’</w:t>
      </w:r>
      <w:r w:rsidRPr="00ED3195">
        <w:rPr>
          <w:lang w:val="fr-FR"/>
        </w:rPr>
        <w:t xml:space="preserve">exercer des pressions psychologiques sur </w:t>
      </w:r>
      <w:r>
        <w:rPr>
          <w:lang w:val="fr-FR"/>
        </w:rPr>
        <w:t>lui</w:t>
      </w:r>
      <w:r w:rsidRPr="00ED3195">
        <w:rPr>
          <w:lang w:val="fr-FR"/>
        </w:rPr>
        <w:t xml:space="preserve"> pour l</w:t>
      </w:r>
      <w:r>
        <w:rPr>
          <w:lang w:val="fr-FR"/>
        </w:rPr>
        <w:t>’</w:t>
      </w:r>
      <w:r w:rsidRPr="00ED3195">
        <w:rPr>
          <w:lang w:val="fr-FR"/>
        </w:rPr>
        <w:t>amener à retirer sa communication. L</w:t>
      </w:r>
      <w:r>
        <w:rPr>
          <w:lang w:val="fr-FR"/>
        </w:rPr>
        <w:t>’</w:t>
      </w:r>
      <w:r w:rsidRPr="00ED3195">
        <w:rPr>
          <w:lang w:val="fr-FR"/>
        </w:rPr>
        <w:t>auteur prie le Comité d</w:t>
      </w:r>
      <w:r>
        <w:rPr>
          <w:lang w:val="fr-FR"/>
        </w:rPr>
        <w:t>’</w:t>
      </w:r>
      <w:r w:rsidRPr="00ED3195">
        <w:rPr>
          <w:lang w:val="fr-FR"/>
        </w:rPr>
        <w:t>exiger de l</w:t>
      </w:r>
      <w:r>
        <w:rPr>
          <w:lang w:val="fr-FR"/>
        </w:rPr>
        <w:t>’</w:t>
      </w:r>
      <w:r w:rsidRPr="00ED3195">
        <w:rPr>
          <w:lang w:val="fr-FR"/>
        </w:rPr>
        <w:t>État partie qu</w:t>
      </w:r>
      <w:r>
        <w:rPr>
          <w:lang w:val="fr-FR"/>
        </w:rPr>
        <w:t>’</w:t>
      </w:r>
      <w:r w:rsidRPr="00ED3195">
        <w:rPr>
          <w:lang w:val="fr-FR"/>
        </w:rPr>
        <w:t xml:space="preserve">il mette fin à </w:t>
      </w:r>
      <w:r>
        <w:rPr>
          <w:lang w:val="fr-FR"/>
        </w:rPr>
        <w:t>c</w:t>
      </w:r>
      <w:r w:rsidRPr="00ED3195">
        <w:rPr>
          <w:lang w:val="fr-FR"/>
        </w:rPr>
        <w:t>es représailles</w:t>
      </w:r>
      <w:r w:rsidRPr="00F1782E">
        <w:rPr>
          <w:rStyle w:val="Appelnotedebasdep"/>
        </w:rPr>
        <w:footnoteReference w:id="5"/>
      </w:r>
      <w:r w:rsidRPr="00ED3195">
        <w:rPr>
          <w:lang w:val="fr-FR"/>
        </w:rPr>
        <w:t>.</w:t>
      </w:r>
    </w:p>
    <w:p w14:paraId="5BA94DD1" w14:textId="77777777" w:rsidR="00FA4C28" w:rsidRPr="00ED3195" w:rsidRDefault="00FA4C28" w:rsidP="00C339D7">
      <w:pPr>
        <w:pStyle w:val="SingleTxtG"/>
        <w:rPr>
          <w:lang w:val="fr-FR"/>
        </w:rPr>
      </w:pPr>
      <w:r w:rsidRPr="00ED3195">
        <w:rPr>
          <w:lang w:val="fr-FR"/>
        </w:rPr>
        <w:t>5.2</w:t>
      </w:r>
      <w:r w:rsidRPr="00ED3195">
        <w:rPr>
          <w:lang w:val="fr-FR"/>
        </w:rPr>
        <w:tab/>
      </w:r>
      <w:r>
        <w:rPr>
          <w:lang w:val="fr-FR"/>
        </w:rPr>
        <w:t>Dans</w:t>
      </w:r>
      <w:r w:rsidRPr="00ED3195">
        <w:rPr>
          <w:lang w:val="fr-FR"/>
        </w:rPr>
        <w:t xml:space="preserve"> une lettre datée du </w:t>
      </w:r>
      <w:r w:rsidRPr="00ED3195">
        <w:rPr>
          <w:bCs/>
          <w:lang w:val="fr-FR"/>
        </w:rPr>
        <w:t>23 décembre</w:t>
      </w:r>
      <w:r w:rsidR="00C339D7">
        <w:rPr>
          <w:bCs/>
          <w:lang w:val="fr-FR"/>
        </w:rPr>
        <w:t xml:space="preserve"> </w:t>
      </w:r>
      <w:r w:rsidRPr="00ED3195">
        <w:rPr>
          <w:bCs/>
          <w:lang w:val="fr-FR"/>
        </w:rPr>
        <w:t>2014, l</w:t>
      </w:r>
      <w:r>
        <w:rPr>
          <w:bCs/>
          <w:lang w:val="fr-FR"/>
        </w:rPr>
        <w:t>’</w:t>
      </w:r>
      <w:r w:rsidRPr="00ED3195">
        <w:rPr>
          <w:bCs/>
          <w:lang w:val="fr-FR"/>
        </w:rPr>
        <w:t xml:space="preserve">auteur </w:t>
      </w:r>
      <w:r>
        <w:rPr>
          <w:bCs/>
          <w:lang w:val="fr-FR"/>
        </w:rPr>
        <w:t>prie</w:t>
      </w:r>
      <w:r w:rsidRPr="00ED3195">
        <w:rPr>
          <w:bCs/>
          <w:lang w:val="fr-FR"/>
        </w:rPr>
        <w:t xml:space="preserve"> le Comité d</w:t>
      </w:r>
      <w:r>
        <w:rPr>
          <w:bCs/>
          <w:lang w:val="fr-FR"/>
        </w:rPr>
        <w:t>’</w:t>
      </w:r>
      <w:r w:rsidRPr="00ED3195">
        <w:rPr>
          <w:bCs/>
          <w:lang w:val="fr-FR"/>
        </w:rPr>
        <w:t>abandonner l</w:t>
      </w:r>
      <w:r>
        <w:rPr>
          <w:bCs/>
          <w:lang w:val="fr-FR"/>
        </w:rPr>
        <w:t>’</w:t>
      </w:r>
      <w:r w:rsidRPr="00ED3195">
        <w:rPr>
          <w:bCs/>
          <w:lang w:val="fr-FR"/>
        </w:rPr>
        <w:t>examen de sa communication au motif que tous ses problèmes avaient été réglés. Il déclare que ses droits n</w:t>
      </w:r>
      <w:r>
        <w:rPr>
          <w:bCs/>
          <w:lang w:val="fr-FR"/>
        </w:rPr>
        <w:t>’</w:t>
      </w:r>
      <w:r w:rsidRPr="00ED3195">
        <w:rPr>
          <w:bCs/>
          <w:lang w:val="fr-FR"/>
        </w:rPr>
        <w:t>ont pas été violés, et que la population du Kazakhstan jouit pleinement de son droit de manifester sa religion individuellement ou en commun.</w:t>
      </w:r>
    </w:p>
    <w:p w14:paraId="091B44C4" w14:textId="77777777" w:rsidR="00FA4C28" w:rsidRPr="00ED3195" w:rsidRDefault="00FA4C28" w:rsidP="00C339D7">
      <w:pPr>
        <w:pStyle w:val="SingleTxtG"/>
        <w:rPr>
          <w:lang w:val="fr-FR"/>
        </w:rPr>
      </w:pPr>
      <w:r w:rsidRPr="00ED3195">
        <w:rPr>
          <w:lang w:val="fr-FR"/>
        </w:rPr>
        <w:t>5.3</w:t>
      </w:r>
      <w:r w:rsidRPr="00ED3195">
        <w:rPr>
          <w:lang w:val="fr-FR"/>
        </w:rPr>
        <w:tab/>
      </w:r>
      <w:r>
        <w:rPr>
          <w:lang w:val="fr-FR"/>
        </w:rPr>
        <w:t>Dans</w:t>
      </w:r>
      <w:r w:rsidRPr="00ED3195">
        <w:rPr>
          <w:lang w:val="fr-FR"/>
        </w:rPr>
        <w:t xml:space="preserve"> une lettre datée du </w:t>
      </w:r>
      <w:r w:rsidRPr="00ED3195">
        <w:rPr>
          <w:bCs/>
          <w:lang w:val="fr-FR"/>
        </w:rPr>
        <w:t>23 janvier</w:t>
      </w:r>
      <w:r w:rsidR="00C339D7">
        <w:rPr>
          <w:bCs/>
          <w:lang w:val="fr-FR"/>
        </w:rPr>
        <w:t xml:space="preserve"> </w:t>
      </w:r>
      <w:r w:rsidRPr="00ED3195">
        <w:rPr>
          <w:bCs/>
          <w:lang w:val="fr-FR"/>
        </w:rPr>
        <w:t>2015, l</w:t>
      </w:r>
      <w:r>
        <w:rPr>
          <w:bCs/>
          <w:lang w:val="fr-FR"/>
        </w:rPr>
        <w:t>’</w:t>
      </w:r>
      <w:r w:rsidRPr="00ED3195">
        <w:rPr>
          <w:bCs/>
          <w:lang w:val="fr-FR"/>
        </w:rPr>
        <w:t>auteur inform</w:t>
      </w:r>
      <w:r>
        <w:rPr>
          <w:bCs/>
          <w:lang w:val="fr-FR"/>
        </w:rPr>
        <w:t>e</w:t>
      </w:r>
      <w:r w:rsidRPr="00ED3195">
        <w:rPr>
          <w:bCs/>
          <w:lang w:val="fr-FR"/>
        </w:rPr>
        <w:t xml:space="preserve"> le Comité </w:t>
      </w:r>
      <w:r>
        <w:rPr>
          <w:bCs/>
          <w:lang w:val="fr-FR"/>
        </w:rPr>
        <w:t>qu’il a</w:t>
      </w:r>
      <w:r w:rsidRPr="00ED3195">
        <w:rPr>
          <w:bCs/>
          <w:lang w:val="fr-FR"/>
        </w:rPr>
        <w:t xml:space="preserve"> fait l</w:t>
      </w:r>
      <w:r>
        <w:rPr>
          <w:bCs/>
          <w:lang w:val="fr-FR"/>
        </w:rPr>
        <w:t>’</w:t>
      </w:r>
      <w:r w:rsidRPr="00ED3195">
        <w:rPr>
          <w:bCs/>
          <w:lang w:val="fr-FR"/>
        </w:rPr>
        <w:t>objet de pressions</w:t>
      </w:r>
      <w:r>
        <w:rPr>
          <w:bCs/>
          <w:lang w:val="fr-FR"/>
        </w:rPr>
        <w:t xml:space="preserve"> de la part</w:t>
      </w:r>
      <w:r w:rsidRPr="00ED3195">
        <w:rPr>
          <w:bCs/>
          <w:lang w:val="fr-FR"/>
        </w:rPr>
        <w:t xml:space="preserve"> du département régional des affaires religieuses</w:t>
      </w:r>
      <w:r>
        <w:rPr>
          <w:bCs/>
          <w:lang w:val="fr-FR"/>
        </w:rPr>
        <w:t>, qui l’ont conduit</w:t>
      </w:r>
      <w:r w:rsidRPr="00ED3195">
        <w:rPr>
          <w:bCs/>
          <w:lang w:val="fr-FR"/>
        </w:rPr>
        <w:t xml:space="preserve"> à adresser au Comité sa lettre datée du 23 décembre</w:t>
      </w:r>
      <w:r w:rsidR="00C339D7">
        <w:rPr>
          <w:bCs/>
          <w:lang w:val="fr-FR"/>
        </w:rPr>
        <w:t xml:space="preserve"> </w:t>
      </w:r>
      <w:r w:rsidRPr="00ED3195">
        <w:rPr>
          <w:bCs/>
          <w:lang w:val="fr-FR"/>
        </w:rPr>
        <w:t>2014. En contrepartie, le département l</w:t>
      </w:r>
      <w:r>
        <w:rPr>
          <w:bCs/>
          <w:lang w:val="fr-FR"/>
        </w:rPr>
        <w:t>’</w:t>
      </w:r>
      <w:r w:rsidRPr="00ED3195">
        <w:rPr>
          <w:bCs/>
          <w:lang w:val="fr-FR"/>
        </w:rPr>
        <w:t xml:space="preserve">a autorisé à organiser les cérémonies religieuses futures de </w:t>
      </w:r>
      <w:r w:rsidRPr="00ED3195">
        <w:rPr>
          <w:lang w:val="fr-FR"/>
        </w:rPr>
        <w:t>l</w:t>
      </w:r>
      <w:r>
        <w:rPr>
          <w:lang w:val="fr-FR"/>
        </w:rPr>
        <w:t>’</w:t>
      </w:r>
      <w:r w:rsidRPr="00ED3195">
        <w:rPr>
          <w:lang w:val="fr-FR"/>
        </w:rPr>
        <w:t>Association pour la conscience de Krishna</w:t>
      </w:r>
      <w:r w:rsidRPr="00ED3195">
        <w:rPr>
          <w:bCs/>
          <w:lang w:val="fr-FR"/>
        </w:rPr>
        <w:t xml:space="preserve"> dans le gymnase où avait eu lieu la réunion du 9 juin</w:t>
      </w:r>
      <w:r w:rsidR="00C339D7">
        <w:rPr>
          <w:bCs/>
          <w:lang w:val="fr-FR"/>
        </w:rPr>
        <w:t xml:space="preserve"> </w:t>
      </w:r>
      <w:r w:rsidRPr="00ED3195">
        <w:rPr>
          <w:bCs/>
          <w:lang w:val="fr-FR"/>
        </w:rPr>
        <w:t>2013, et il a prorogé d</w:t>
      </w:r>
      <w:r>
        <w:rPr>
          <w:bCs/>
          <w:lang w:val="fr-FR"/>
        </w:rPr>
        <w:t>’</w:t>
      </w:r>
      <w:r w:rsidRPr="00ED3195">
        <w:rPr>
          <w:bCs/>
          <w:lang w:val="fr-FR"/>
        </w:rPr>
        <w:t>une année supplémentaire le certificat d</w:t>
      </w:r>
      <w:r>
        <w:rPr>
          <w:bCs/>
          <w:lang w:val="fr-FR"/>
        </w:rPr>
        <w:t>’</w:t>
      </w:r>
      <w:r w:rsidRPr="00ED3195">
        <w:rPr>
          <w:bCs/>
          <w:lang w:val="fr-FR"/>
        </w:rPr>
        <w:t>enregistrement de l</w:t>
      </w:r>
      <w:r>
        <w:rPr>
          <w:bCs/>
          <w:lang w:val="fr-FR"/>
        </w:rPr>
        <w:t>’</w:t>
      </w:r>
      <w:r w:rsidRPr="00ED3195">
        <w:rPr>
          <w:bCs/>
          <w:lang w:val="fr-FR"/>
        </w:rPr>
        <w:t>Association.</w:t>
      </w:r>
      <w:r w:rsidRPr="00ED3195">
        <w:rPr>
          <w:lang w:val="fr-FR"/>
        </w:rPr>
        <w:t xml:space="preserve"> L</w:t>
      </w:r>
      <w:r>
        <w:rPr>
          <w:lang w:val="fr-FR"/>
        </w:rPr>
        <w:t>’</w:t>
      </w:r>
      <w:r w:rsidRPr="00ED3195">
        <w:rPr>
          <w:lang w:val="fr-FR"/>
        </w:rPr>
        <w:t xml:space="preserve">auteur </w:t>
      </w:r>
      <w:r>
        <w:rPr>
          <w:lang w:val="fr-FR"/>
        </w:rPr>
        <w:t>fait aussi savoir qu’il a</w:t>
      </w:r>
      <w:r w:rsidRPr="00ED3195">
        <w:rPr>
          <w:lang w:val="fr-FR"/>
        </w:rPr>
        <w:t xml:space="preserve"> présenté une nouvelle requête au Procureur général pour lui demander de se pourvoir contre la décision de la cour régionale de Kostanay datée du 24 octobre</w:t>
      </w:r>
      <w:r w:rsidR="00C339D7">
        <w:rPr>
          <w:lang w:val="fr-FR"/>
        </w:rPr>
        <w:t xml:space="preserve"> </w:t>
      </w:r>
      <w:r w:rsidRPr="00ED3195">
        <w:rPr>
          <w:lang w:val="fr-FR"/>
        </w:rPr>
        <w:t xml:space="preserve">2013. </w:t>
      </w:r>
      <w:r>
        <w:rPr>
          <w:lang w:val="fr-FR"/>
        </w:rPr>
        <w:t>Compte tenu de ces éléments</w:t>
      </w:r>
      <w:r w:rsidRPr="00ED3195">
        <w:rPr>
          <w:lang w:val="fr-FR"/>
        </w:rPr>
        <w:t>, l</w:t>
      </w:r>
      <w:r>
        <w:rPr>
          <w:lang w:val="fr-FR"/>
        </w:rPr>
        <w:t>’</w:t>
      </w:r>
      <w:r w:rsidRPr="00ED3195">
        <w:rPr>
          <w:lang w:val="fr-FR"/>
        </w:rPr>
        <w:t>auteur pri</w:t>
      </w:r>
      <w:r>
        <w:rPr>
          <w:lang w:val="fr-FR"/>
        </w:rPr>
        <w:t>e</w:t>
      </w:r>
      <w:r w:rsidRPr="00ED3195">
        <w:rPr>
          <w:lang w:val="fr-FR"/>
        </w:rPr>
        <w:t xml:space="preserve"> le Comité de suspendre l</w:t>
      </w:r>
      <w:r>
        <w:rPr>
          <w:lang w:val="fr-FR"/>
        </w:rPr>
        <w:t>’</w:t>
      </w:r>
      <w:r w:rsidRPr="00ED3195">
        <w:rPr>
          <w:lang w:val="fr-FR"/>
        </w:rPr>
        <w:t>examen de la communication</w:t>
      </w:r>
      <w:r>
        <w:rPr>
          <w:lang w:val="fr-FR"/>
        </w:rPr>
        <w:t xml:space="preserve"> jusqu’à nouvel ordre</w:t>
      </w:r>
      <w:r w:rsidRPr="00ED3195">
        <w:rPr>
          <w:lang w:val="fr-FR"/>
        </w:rPr>
        <w:t>.</w:t>
      </w:r>
    </w:p>
    <w:p w14:paraId="7629C4A7" w14:textId="77777777" w:rsidR="00FA4C28" w:rsidRPr="00ED3195" w:rsidRDefault="00FA4C28" w:rsidP="00C339D7">
      <w:pPr>
        <w:pStyle w:val="H23G"/>
        <w:rPr>
          <w:lang w:val="fr-FR"/>
        </w:rPr>
      </w:pPr>
      <w:r w:rsidRPr="00ED3195">
        <w:rPr>
          <w:lang w:val="fr-FR"/>
        </w:rPr>
        <w:tab/>
      </w:r>
      <w:r w:rsidRPr="00ED3195">
        <w:rPr>
          <w:lang w:val="fr-FR"/>
        </w:rPr>
        <w:tab/>
        <w:t>Commentaires de l</w:t>
      </w:r>
      <w:r>
        <w:rPr>
          <w:lang w:val="fr-FR"/>
        </w:rPr>
        <w:t>’</w:t>
      </w:r>
      <w:r w:rsidRPr="00ED3195">
        <w:rPr>
          <w:lang w:val="fr-FR"/>
        </w:rPr>
        <w:t>auteur sur les observations de l</w:t>
      </w:r>
      <w:r>
        <w:rPr>
          <w:lang w:val="fr-FR"/>
        </w:rPr>
        <w:t>’</w:t>
      </w:r>
      <w:r w:rsidRPr="00ED3195">
        <w:rPr>
          <w:lang w:val="fr-FR"/>
        </w:rPr>
        <w:t xml:space="preserve">État partie </w:t>
      </w:r>
      <w:r>
        <w:rPr>
          <w:lang w:val="fr-FR"/>
        </w:rPr>
        <w:br/>
      </w:r>
      <w:r w:rsidRPr="00ED3195">
        <w:rPr>
          <w:lang w:val="fr-FR"/>
        </w:rPr>
        <w:t>concernant la recevabilité</w:t>
      </w:r>
    </w:p>
    <w:p w14:paraId="3B6A3660" w14:textId="77777777" w:rsidR="00FA4C28" w:rsidRPr="00ED3195" w:rsidRDefault="00FA4C28" w:rsidP="00C339D7">
      <w:pPr>
        <w:pStyle w:val="SingleTxtG"/>
        <w:rPr>
          <w:bCs/>
          <w:lang w:val="fr-FR"/>
        </w:rPr>
      </w:pPr>
      <w:r w:rsidRPr="00ED3195">
        <w:rPr>
          <w:lang w:val="fr-FR"/>
        </w:rPr>
        <w:t>6.1</w:t>
      </w:r>
      <w:r w:rsidRPr="00ED3195">
        <w:rPr>
          <w:lang w:val="fr-FR"/>
        </w:rPr>
        <w:tab/>
      </w:r>
      <w:r>
        <w:rPr>
          <w:lang w:val="fr-FR"/>
        </w:rPr>
        <w:t>Dans</w:t>
      </w:r>
      <w:r w:rsidRPr="00ED3195">
        <w:rPr>
          <w:lang w:val="fr-FR"/>
        </w:rPr>
        <w:t xml:space="preserve"> une lettre datée du </w:t>
      </w:r>
      <w:r w:rsidRPr="00ED3195">
        <w:rPr>
          <w:bCs/>
          <w:lang w:val="fr-FR"/>
        </w:rPr>
        <w:t>18 février</w:t>
      </w:r>
      <w:r w:rsidR="00C339D7">
        <w:rPr>
          <w:bCs/>
          <w:lang w:val="fr-FR"/>
        </w:rPr>
        <w:t xml:space="preserve"> </w:t>
      </w:r>
      <w:r w:rsidRPr="00ED3195">
        <w:rPr>
          <w:bCs/>
          <w:lang w:val="fr-FR"/>
        </w:rPr>
        <w:t>2015, l</w:t>
      </w:r>
      <w:r>
        <w:rPr>
          <w:bCs/>
          <w:lang w:val="fr-FR"/>
        </w:rPr>
        <w:t>’</w:t>
      </w:r>
      <w:r w:rsidRPr="00ED3195">
        <w:rPr>
          <w:bCs/>
          <w:lang w:val="fr-FR"/>
        </w:rPr>
        <w:t xml:space="preserve">auteur </w:t>
      </w:r>
      <w:r>
        <w:rPr>
          <w:bCs/>
          <w:lang w:val="fr-FR"/>
        </w:rPr>
        <w:t xml:space="preserve">fait part de </w:t>
      </w:r>
      <w:r w:rsidRPr="00ED3195">
        <w:rPr>
          <w:bCs/>
          <w:lang w:val="fr-FR"/>
        </w:rPr>
        <w:t>ses commentaires sur les observations de l</w:t>
      </w:r>
      <w:r>
        <w:rPr>
          <w:bCs/>
          <w:lang w:val="fr-FR"/>
        </w:rPr>
        <w:t>’</w:t>
      </w:r>
      <w:r w:rsidRPr="00ED3195">
        <w:rPr>
          <w:bCs/>
          <w:lang w:val="fr-FR"/>
        </w:rPr>
        <w:t xml:space="preserve">État partie concernant la recevabilité. </w:t>
      </w:r>
      <w:r>
        <w:rPr>
          <w:bCs/>
          <w:lang w:val="fr-FR"/>
        </w:rPr>
        <w:t xml:space="preserve">Il </w:t>
      </w:r>
      <w:r w:rsidRPr="00ED3195">
        <w:rPr>
          <w:bCs/>
          <w:lang w:val="fr-FR"/>
        </w:rPr>
        <w:t>rejette l</w:t>
      </w:r>
      <w:r>
        <w:rPr>
          <w:bCs/>
          <w:lang w:val="fr-FR"/>
        </w:rPr>
        <w:t>’</w:t>
      </w:r>
      <w:r w:rsidRPr="00ED3195">
        <w:rPr>
          <w:bCs/>
          <w:lang w:val="fr-FR"/>
        </w:rPr>
        <w:t>argument de l</w:t>
      </w:r>
      <w:r>
        <w:rPr>
          <w:bCs/>
          <w:lang w:val="fr-FR"/>
        </w:rPr>
        <w:t>’</w:t>
      </w:r>
      <w:r w:rsidRPr="00ED3195">
        <w:rPr>
          <w:bCs/>
          <w:lang w:val="fr-FR"/>
        </w:rPr>
        <w:t>État partie selon lequel les recours internes n</w:t>
      </w:r>
      <w:r>
        <w:rPr>
          <w:bCs/>
          <w:lang w:val="fr-FR"/>
        </w:rPr>
        <w:t>’</w:t>
      </w:r>
      <w:r w:rsidRPr="00ED3195">
        <w:rPr>
          <w:bCs/>
          <w:lang w:val="fr-FR"/>
        </w:rPr>
        <w:t xml:space="preserve">ont pas été épuisés. </w:t>
      </w:r>
      <w:r>
        <w:rPr>
          <w:bCs/>
          <w:lang w:val="fr-FR"/>
        </w:rPr>
        <w:t>Il fait valoir qu’il</w:t>
      </w:r>
      <w:r w:rsidRPr="00ED3195">
        <w:rPr>
          <w:bCs/>
          <w:lang w:val="fr-FR"/>
        </w:rPr>
        <w:t xml:space="preserve"> a présenté une requête au Procureur général du Kazakhstan demandant à celui-ci de former un recours mais que cette requête a été rejetée par le Procureur général adjoint</w:t>
      </w:r>
      <w:r w:rsidRPr="00EB6D26">
        <w:rPr>
          <w:bCs/>
          <w:lang w:val="fr-FR"/>
        </w:rPr>
        <w:t>. Comme la loi dispose que tant le Procureur général que ses adjoints peuvent former un recours contre les décisions passées en force de chose jugée, l</w:t>
      </w:r>
      <w:r>
        <w:rPr>
          <w:bCs/>
          <w:lang w:val="fr-FR"/>
        </w:rPr>
        <w:t>’</w:t>
      </w:r>
      <w:r w:rsidRPr="00EB6D26">
        <w:rPr>
          <w:bCs/>
          <w:lang w:val="fr-FR"/>
        </w:rPr>
        <w:t>auteur considère qu</w:t>
      </w:r>
      <w:r>
        <w:rPr>
          <w:bCs/>
          <w:lang w:val="fr-FR"/>
        </w:rPr>
        <w:t>’</w:t>
      </w:r>
      <w:r w:rsidRPr="00EB6D26">
        <w:rPr>
          <w:bCs/>
          <w:lang w:val="fr-FR"/>
        </w:rPr>
        <w:t>il a épuisé tous</w:t>
      </w:r>
      <w:r w:rsidRPr="00ED3195">
        <w:rPr>
          <w:bCs/>
          <w:lang w:val="fr-FR"/>
        </w:rPr>
        <w:t xml:space="preserve"> les recours internes dispo</w:t>
      </w:r>
      <w:r>
        <w:rPr>
          <w:bCs/>
          <w:lang w:val="fr-FR"/>
        </w:rPr>
        <w:t>nibles.</w:t>
      </w:r>
    </w:p>
    <w:p w14:paraId="74B4D684" w14:textId="77777777" w:rsidR="00FA4C28" w:rsidRPr="00ED3195" w:rsidRDefault="00FA4C28" w:rsidP="00C339D7">
      <w:pPr>
        <w:pStyle w:val="SingleTxtG"/>
        <w:rPr>
          <w:lang w:val="fr-FR"/>
        </w:rPr>
      </w:pPr>
      <w:r w:rsidRPr="00ED3195">
        <w:rPr>
          <w:bCs/>
          <w:lang w:val="fr-FR"/>
        </w:rPr>
        <w:t>6.2</w:t>
      </w:r>
      <w:r w:rsidRPr="00ED3195">
        <w:rPr>
          <w:bCs/>
          <w:lang w:val="fr-FR"/>
        </w:rPr>
        <w:tab/>
      </w:r>
      <w:r>
        <w:rPr>
          <w:bCs/>
          <w:lang w:val="fr-FR"/>
        </w:rPr>
        <w:t>L’auteur fait aussi observer</w:t>
      </w:r>
      <w:r w:rsidRPr="00ED3195">
        <w:rPr>
          <w:bCs/>
          <w:lang w:val="fr-FR"/>
        </w:rPr>
        <w:t xml:space="preserve"> qu</w:t>
      </w:r>
      <w:r>
        <w:rPr>
          <w:bCs/>
          <w:lang w:val="fr-FR"/>
        </w:rPr>
        <w:t>’</w:t>
      </w:r>
      <w:r w:rsidRPr="00ED3195">
        <w:rPr>
          <w:bCs/>
          <w:lang w:val="fr-FR"/>
        </w:rPr>
        <w:t>aux termes du paragraphe 3 de l</w:t>
      </w:r>
      <w:r>
        <w:rPr>
          <w:bCs/>
          <w:lang w:val="fr-FR"/>
        </w:rPr>
        <w:t>’</w:t>
      </w:r>
      <w:r w:rsidRPr="00ED3195">
        <w:rPr>
          <w:bCs/>
          <w:lang w:val="fr-FR"/>
        </w:rPr>
        <w:t xml:space="preserve">article 7 de la </w:t>
      </w:r>
      <w:r>
        <w:rPr>
          <w:lang w:val="fr-FR"/>
        </w:rPr>
        <w:t>l</w:t>
      </w:r>
      <w:r w:rsidRPr="00ED3195">
        <w:rPr>
          <w:lang w:val="fr-FR"/>
        </w:rPr>
        <w:t xml:space="preserve">oi sur les activités religieuses et les associations religieuses, </w:t>
      </w:r>
      <w:r>
        <w:rPr>
          <w:lang w:val="fr-FR"/>
        </w:rPr>
        <w:t>l</w:t>
      </w:r>
      <w:r w:rsidRPr="00ED3195">
        <w:rPr>
          <w:lang w:val="fr-FR"/>
        </w:rPr>
        <w:t xml:space="preserve">es activités religieuses ne peuvent </w:t>
      </w:r>
      <w:r>
        <w:rPr>
          <w:lang w:val="fr-FR"/>
        </w:rPr>
        <w:t>se tenir dans les lieux suivants</w:t>
      </w:r>
      <w:r w:rsidRPr="00ED3195">
        <w:rPr>
          <w:lang w:val="fr-FR"/>
        </w:rPr>
        <w:t xml:space="preserve"> : </w:t>
      </w:r>
      <w:r>
        <w:rPr>
          <w:lang w:val="fr-FR"/>
        </w:rPr>
        <w:t>a</w:t>
      </w:r>
      <w:r w:rsidRPr="00ED3195">
        <w:rPr>
          <w:lang w:val="fr-FR"/>
        </w:rPr>
        <w:t>) les locaux des organes étatiques</w:t>
      </w:r>
      <w:r w:rsidR="00C339D7">
        <w:rPr>
          <w:lang w:val="fr-FR"/>
        </w:rPr>
        <w:t> ;</w:t>
      </w:r>
      <w:r w:rsidRPr="00ED3195">
        <w:rPr>
          <w:lang w:val="fr-FR"/>
        </w:rPr>
        <w:t xml:space="preserve"> </w:t>
      </w:r>
      <w:r>
        <w:rPr>
          <w:lang w:val="fr-FR"/>
        </w:rPr>
        <w:t>b</w:t>
      </w:r>
      <w:r w:rsidRPr="00ED3195">
        <w:rPr>
          <w:lang w:val="fr-FR"/>
        </w:rPr>
        <w:t>) les</w:t>
      </w:r>
      <w:r w:rsidR="00C339D7">
        <w:rPr>
          <w:lang w:val="fr-FR"/>
        </w:rPr>
        <w:t xml:space="preserve"> </w:t>
      </w:r>
      <w:r w:rsidRPr="00ED3195">
        <w:rPr>
          <w:lang w:val="fr-FR"/>
        </w:rPr>
        <w:t>locaux des forces militaires, de la justice et de la police</w:t>
      </w:r>
      <w:r w:rsidR="00C339D7">
        <w:rPr>
          <w:lang w:val="fr-FR"/>
        </w:rPr>
        <w:t> ;</w:t>
      </w:r>
      <w:r w:rsidRPr="00ED3195">
        <w:rPr>
          <w:lang w:val="fr-FR"/>
        </w:rPr>
        <w:t xml:space="preserve"> et </w:t>
      </w:r>
      <w:r>
        <w:rPr>
          <w:lang w:val="fr-FR"/>
        </w:rPr>
        <w:t>c</w:t>
      </w:r>
      <w:r w:rsidRPr="00ED3195">
        <w:rPr>
          <w:lang w:val="fr-FR"/>
        </w:rPr>
        <w:t>) les établissements d</w:t>
      </w:r>
      <w:r>
        <w:rPr>
          <w:lang w:val="fr-FR"/>
        </w:rPr>
        <w:t>’</w:t>
      </w:r>
      <w:r w:rsidRPr="00ED3195">
        <w:rPr>
          <w:lang w:val="fr-FR"/>
        </w:rPr>
        <w:t>enseignement, à l</w:t>
      </w:r>
      <w:r>
        <w:rPr>
          <w:lang w:val="fr-FR"/>
        </w:rPr>
        <w:t>’</w:t>
      </w:r>
      <w:r w:rsidRPr="00ED3195">
        <w:rPr>
          <w:lang w:val="fr-FR"/>
        </w:rPr>
        <w:t>exclusion des établissements religieux. Les locaux loués par l</w:t>
      </w:r>
      <w:r>
        <w:rPr>
          <w:lang w:val="fr-FR"/>
        </w:rPr>
        <w:t>’</w:t>
      </w:r>
      <w:r w:rsidRPr="00ED3195">
        <w:rPr>
          <w:lang w:val="fr-FR"/>
        </w:rPr>
        <w:t>auteur pour la réunion du 9 juin</w:t>
      </w:r>
      <w:r w:rsidR="00C339D7">
        <w:rPr>
          <w:lang w:val="fr-FR"/>
        </w:rPr>
        <w:t xml:space="preserve"> </w:t>
      </w:r>
      <w:r w:rsidRPr="00ED3195">
        <w:rPr>
          <w:lang w:val="fr-FR"/>
        </w:rPr>
        <w:t>2013 n</w:t>
      </w:r>
      <w:r>
        <w:rPr>
          <w:lang w:val="fr-FR"/>
        </w:rPr>
        <w:t>’</w:t>
      </w:r>
      <w:r w:rsidRPr="00ED3195">
        <w:rPr>
          <w:lang w:val="fr-FR"/>
        </w:rPr>
        <w:t>entrent dans aucune de ces catégories et des activités religieuses pouvaient donc s</w:t>
      </w:r>
      <w:r>
        <w:rPr>
          <w:lang w:val="fr-FR"/>
        </w:rPr>
        <w:t>’</w:t>
      </w:r>
      <w:r w:rsidRPr="00ED3195">
        <w:rPr>
          <w:lang w:val="fr-FR"/>
        </w:rPr>
        <w:t xml:space="preserve">y tenir </w:t>
      </w:r>
      <w:r>
        <w:rPr>
          <w:lang w:val="fr-FR"/>
        </w:rPr>
        <w:t>sans restriction</w:t>
      </w:r>
      <w:r w:rsidRPr="00ED3195">
        <w:rPr>
          <w:lang w:val="fr-FR"/>
        </w:rPr>
        <w:t>.</w:t>
      </w:r>
    </w:p>
    <w:p w14:paraId="58967765" w14:textId="77777777" w:rsidR="00FA4C28" w:rsidRPr="00ED3195" w:rsidRDefault="00FA4C28" w:rsidP="00C339D7">
      <w:pPr>
        <w:pStyle w:val="SingleTxtG"/>
        <w:rPr>
          <w:lang w:val="fr-FR"/>
        </w:rPr>
      </w:pPr>
      <w:r w:rsidRPr="00ED3195">
        <w:rPr>
          <w:lang w:val="fr-FR"/>
        </w:rPr>
        <w:t>6.3</w:t>
      </w:r>
      <w:r w:rsidRPr="00ED3195">
        <w:rPr>
          <w:lang w:val="fr-FR"/>
        </w:rPr>
        <w:tab/>
      </w:r>
      <w:r>
        <w:rPr>
          <w:lang w:val="fr-FR"/>
        </w:rPr>
        <w:t>L’auteur déclare</w:t>
      </w:r>
      <w:r w:rsidRPr="00ED3195">
        <w:rPr>
          <w:lang w:val="fr-FR"/>
        </w:rPr>
        <w:t xml:space="preserve"> que comme l</w:t>
      </w:r>
      <w:r>
        <w:rPr>
          <w:lang w:val="fr-FR"/>
        </w:rPr>
        <w:t>’</w:t>
      </w:r>
      <w:r w:rsidRPr="00ED3195">
        <w:rPr>
          <w:lang w:val="fr-FR"/>
        </w:rPr>
        <w:t xml:space="preserve">État partie a pris des mesures pour rétablir </w:t>
      </w:r>
      <w:r>
        <w:rPr>
          <w:lang w:val="fr-FR"/>
        </w:rPr>
        <w:t>s</w:t>
      </w:r>
      <w:r w:rsidRPr="00ED3195">
        <w:rPr>
          <w:lang w:val="fr-FR"/>
        </w:rPr>
        <w:t xml:space="preserve">es droits, </w:t>
      </w:r>
      <w:r>
        <w:rPr>
          <w:lang w:val="fr-FR"/>
        </w:rPr>
        <w:t>il</w:t>
      </w:r>
      <w:r w:rsidRPr="00ED3195">
        <w:rPr>
          <w:lang w:val="fr-FR"/>
        </w:rPr>
        <w:t xml:space="preserve"> prie le Comité de suspendre ou d</w:t>
      </w:r>
      <w:r>
        <w:rPr>
          <w:lang w:val="fr-FR"/>
        </w:rPr>
        <w:t>’</w:t>
      </w:r>
      <w:r w:rsidRPr="00ED3195">
        <w:rPr>
          <w:lang w:val="fr-FR"/>
        </w:rPr>
        <w:t>ajourner l</w:t>
      </w:r>
      <w:r>
        <w:rPr>
          <w:lang w:val="fr-FR"/>
        </w:rPr>
        <w:t>’</w:t>
      </w:r>
      <w:r w:rsidRPr="00ED3195">
        <w:rPr>
          <w:lang w:val="fr-FR"/>
        </w:rPr>
        <w:t>examen de la présente communication.</w:t>
      </w:r>
    </w:p>
    <w:p w14:paraId="1F6F37D5" w14:textId="77777777" w:rsidR="00FA4C28" w:rsidRPr="00ED3195" w:rsidRDefault="00FA4C28" w:rsidP="00C339D7">
      <w:pPr>
        <w:pStyle w:val="H23G"/>
        <w:rPr>
          <w:lang w:val="fr-FR"/>
        </w:rPr>
      </w:pPr>
      <w:r w:rsidRPr="00ED3195">
        <w:rPr>
          <w:lang w:val="fr-FR"/>
        </w:rPr>
        <w:tab/>
      </w:r>
      <w:r w:rsidRPr="00ED3195">
        <w:rPr>
          <w:lang w:val="fr-FR"/>
        </w:rPr>
        <w:tab/>
        <w:t>Observations de l</w:t>
      </w:r>
      <w:r>
        <w:rPr>
          <w:lang w:val="fr-FR"/>
        </w:rPr>
        <w:t>’</w:t>
      </w:r>
      <w:r w:rsidRPr="00ED3195">
        <w:rPr>
          <w:lang w:val="fr-FR"/>
        </w:rPr>
        <w:t>État partie sur le fond</w:t>
      </w:r>
    </w:p>
    <w:p w14:paraId="08BDAD91" w14:textId="77777777" w:rsidR="00FA4C28" w:rsidRPr="00ED3195" w:rsidRDefault="00FA4C28" w:rsidP="00C339D7">
      <w:pPr>
        <w:pStyle w:val="SingleTxtG"/>
        <w:rPr>
          <w:lang w:val="fr-FR"/>
        </w:rPr>
      </w:pPr>
      <w:r w:rsidRPr="00ED3195">
        <w:rPr>
          <w:lang w:val="fr-FR"/>
        </w:rPr>
        <w:t>7.1</w:t>
      </w:r>
      <w:r w:rsidRPr="00ED3195">
        <w:rPr>
          <w:lang w:val="fr-FR"/>
        </w:rPr>
        <w:tab/>
      </w:r>
      <w:r>
        <w:rPr>
          <w:lang w:val="fr-FR"/>
        </w:rPr>
        <w:t>Dans</w:t>
      </w:r>
      <w:r w:rsidRPr="00ED3195">
        <w:rPr>
          <w:lang w:val="fr-FR"/>
        </w:rPr>
        <w:t xml:space="preserve"> une note verbale datée du 25 mars</w:t>
      </w:r>
      <w:r w:rsidR="00C339D7">
        <w:rPr>
          <w:lang w:val="fr-FR"/>
        </w:rPr>
        <w:t xml:space="preserve"> </w:t>
      </w:r>
      <w:r w:rsidRPr="00ED3195">
        <w:rPr>
          <w:lang w:val="fr-FR"/>
        </w:rPr>
        <w:t xml:space="preserve">2015, </w:t>
      </w:r>
      <w:r>
        <w:rPr>
          <w:lang w:val="fr-FR"/>
        </w:rPr>
        <w:t>répétée</w:t>
      </w:r>
      <w:r w:rsidRPr="00ED3195">
        <w:rPr>
          <w:lang w:val="fr-FR"/>
        </w:rPr>
        <w:t xml:space="preserve"> le 26 août</w:t>
      </w:r>
      <w:r w:rsidR="00C339D7">
        <w:rPr>
          <w:lang w:val="fr-FR"/>
        </w:rPr>
        <w:t xml:space="preserve"> </w:t>
      </w:r>
      <w:r w:rsidRPr="00ED3195">
        <w:rPr>
          <w:lang w:val="fr-FR"/>
        </w:rPr>
        <w:t>2015, l</w:t>
      </w:r>
      <w:r>
        <w:rPr>
          <w:lang w:val="fr-FR"/>
        </w:rPr>
        <w:t>’</w:t>
      </w:r>
      <w:r w:rsidRPr="00ED3195">
        <w:rPr>
          <w:lang w:val="fr-FR"/>
        </w:rPr>
        <w:t xml:space="preserve">État partie </w:t>
      </w:r>
      <w:r>
        <w:rPr>
          <w:lang w:val="fr-FR"/>
        </w:rPr>
        <w:t>fait part de</w:t>
      </w:r>
      <w:r w:rsidRPr="00ED3195">
        <w:rPr>
          <w:lang w:val="fr-FR"/>
        </w:rPr>
        <w:t xml:space="preserve"> ses observations sur le fond de la communication. Il fait valoir qu</w:t>
      </w:r>
      <w:r>
        <w:rPr>
          <w:lang w:val="fr-FR"/>
        </w:rPr>
        <w:t>’</w:t>
      </w:r>
      <w:r w:rsidRPr="00ED3195">
        <w:rPr>
          <w:lang w:val="fr-FR"/>
        </w:rPr>
        <w:t>avant le 20 décembre</w:t>
      </w:r>
      <w:r w:rsidR="00C339D7">
        <w:rPr>
          <w:lang w:val="fr-FR"/>
        </w:rPr>
        <w:t xml:space="preserve"> </w:t>
      </w:r>
      <w:r w:rsidRPr="00ED3195">
        <w:rPr>
          <w:lang w:val="fr-FR"/>
        </w:rPr>
        <w:t>2014, l</w:t>
      </w:r>
      <w:r>
        <w:rPr>
          <w:lang w:val="fr-FR"/>
        </w:rPr>
        <w:t>’</w:t>
      </w:r>
      <w:r w:rsidRPr="00ED3195">
        <w:rPr>
          <w:lang w:val="fr-FR"/>
        </w:rPr>
        <w:t>auteur a en plusieurs occasions consulté le département régional des affaires religieuses quant à la possibilité d</w:t>
      </w:r>
      <w:r>
        <w:rPr>
          <w:lang w:val="fr-FR"/>
        </w:rPr>
        <w:t>’</w:t>
      </w:r>
      <w:r w:rsidRPr="00ED3195">
        <w:rPr>
          <w:lang w:val="fr-FR"/>
        </w:rPr>
        <w:t>organiser des activités religieuses ailleurs qu</w:t>
      </w:r>
      <w:r>
        <w:rPr>
          <w:lang w:val="fr-FR"/>
        </w:rPr>
        <w:t>’</w:t>
      </w:r>
      <w:r w:rsidRPr="00ED3195">
        <w:rPr>
          <w:lang w:val="fr-FR"/>
        </w:rPr>
        <w:t>à l</w:t>
      </w:r>
      <w:r>
        <w:rPr>
          <w:lang w:val="fr-FR"/>
        </w:rPr>
        <w:t>’</w:t>
      </w:r>
      <w:r w:rsidRPr="00ED3195">
        <w:rPr>
          <w:lang w:val="fr-FR"/>
        </w:rPr>
        <w:t>adresse enregistrée de l</w:t>
      </w:r>
      <w:r>
        <w:rPr>
          <w:lang w:val="fr-FR"/>
        </w:rPr>
        <w:t>’</w:t>
      </w:r>
      <w:r w:rsidRPr="00ED3195">
        <w:rPr>
          <w:lang w:val="fr-FR"/>
        </w:rPr>
        <w:t xml:space="preserve">Association pour la conscience de Krishna. </w:t>
      </w:r>
      <w:r>
        <w:rPr>
          <w:lang w:val="fr-FR"/>
        </w:rPr>
        <w:t>En revanche, l’auteur n’a</w:t>
      </w:r>
      <w:r w:rsidRPr="00ED3195">
        <w:rPr>
          <w:lang w:val="fr-FR"/>
        </w:rPr>
        <w:t xml:space="preserve"> pas été convoqué au département régional des affaires religieuses le 20 décembre</w:t>
      </w:r>
      <w:r w:rsidR="00C339D7">
        <w:rPr>
          <w:lang w:val="fr-FR"/>
        </w:rPr>
        <w:t xml:space="preserve"> </w:t>
      </w:r>
      <w:r w:rsidRPr="00ED3195">
        <w:rPr>
          <w:lang w:val="fr-FR"/>
        </w:rPr>
        <w:t>2014 parce que c</w:t>
      </w:r>
      <w:r>
        <w:rPr>
          <w:lang w:val="fr-FR"/>
        </w:rPr>
        <w:t>’</w:t>
      </w:r>
      <w:r w:rsidRPr="00ED3195">
        <w:rPr>
          <w:lang w:val="fr-FR"/>
        </w:rPr>
        <w:t xml:space="preserve">était un samedi et que </w:t>
      </w:r>
      <w:r>
        <w:rPr>
          <w:lang w:val="fr-FR"/>
        </w:rPr>
        <w:t xml:space="preserve">les bureaux du département ne sont pas ouverts </w:t>
      </w:r>
      <w:r w:rsidRPr="00ED3195">
        <w:rPr>
          <w:lang w:val="fr-FR"/>
        </w:rPr>
        <w:t>les samedis et dimanches</w:t>
      </w:r>
      <w:r>
        <w:rPr>
          <w:lang w:val="fr-FR"/>
        </w:rPr>
        <w:t>.</w:t>
      </w:r>
    </w:p>
    <w:p w14:paraId="6FB83637" w14:textId="77777777" w:rsidR="00FA4C28" w:rsidRPr="00ED3195" w:rsidRDefault="00FA4C28" w:rsidP="00C339D7">
      <w:pPr>
        <w:pStyle w:val="SingleTxtG"/>
        <w:rPr>
          <w:lang w:val="fr-FR"/>
        </w:rPr>
      </w:pPr>
      <w:r w:rsidRPr="00ED3195">
        <w:rPr>
          <w:lang w:val="fr-FR"/>
        </w:rPr>
        <w:t>7.2</w:t>
      </w:r>
      <w:r w:rsidRPr="00ED3195">
        <w:rPr>
          <w:lang w:val="fr-FR"/>
        </w:rPr>
        <w:tab/>
        <w:t>L</w:t>
      </w:r>
      <w:r>
        <w:rPr>
          <w:lang w:val="fr-FR"/>
        </w:rPr>
        <w:t>’</w:t>
      </w:r>
      <w:r w:rsidRPr="00ED3195">
        <w:rPr>
          <w:lang w:val="fr-FR"/>
        </w:rPr>
        <w:t xml:space="preserve">État partie </w:t>
      </w:r>
      <w:r>
        <w:rPr>
          <w:lang w:val="fr-FR"/>
        </w:rPr>
        <w:t>affirme</w:t>
      </w:r>
      <w:r w:rsidRPr="00ED3195">
        <w:rPr>
          <w:lang w:val="fr-FR"/>
        </w:rPr>
        <w:t xml:space="preserve"> que les droits que l</w:t>
      </w:r>
      <w:r>
        <w:rPr>
          <w:lang w:val="fr-FR"/>
        </w:rPr>
        <w:t>’</w:t>
      </w:r>
      <w:r w:rsidRPr="00ED3195">
        <w:rPr>
          <w:lang w:val="fr-FR"/>
        </w:rPr>
        <w:t>auteur tient du paragraphe 1 de l</w:t>
      </w:r>
      <w:r>
        <w:rPr>
          <w:lang w:val="fr-FR"/>
        </w:rPr>
        <w:t>’</w:t>
      </w:r>
      <w:r w:rsidRPr="00ED3195">
        <w:rPr>
          <w:lang w:val="fr-FR"/>
        </w:rPr>
        <w:t>article 18 du Pacte en sa qualité de citoyen n</w:t>
      </w:r>
      <w:r>
        <w:rPr>
          <w:lang w:val="fr-FR"/>
        </w:rPr>
        <w:t>’</w:t>
      </w:r>
      <w:r w:rsidRPr="00ED3195">
        <w:rPr>
          <w:lang w:val="fr-FR"/>
        </w:rPr>
        <w:t>ont pas été violés parce qu</w:t>
      </w:r>
      <w:r>
        <w:rPr>
          <w:lang w:val="fr-FR"/>
        </w:rPr>
        <w:t>’</w:t>
      </w:r>
      <w:r w:rsidRPr="00ED3195">
        <w:rPr>
          <w:lang w:val="fr-FR"/>
        </w:rPr>
        <w:t>il a été reconnu coupable d</w:t>
      </w:r>
      <w:r>
        <w:rPr>
          <w:lang w:val="fr-FR"/>
        </w:rPr>
        <w:t>’</w:t>
      </w:r>
      <w:r w:rsidRPr="00ED3195">
        <w:rPr>
          <w:lang w:val="fr-FR"/>
        </w:rPr>
        <w:t>une infraction administrative en sa qualité de dirigeant d</w:t>
      </w:r>
      <w:r>
        <w:rPr>
          <w:lang w:val="fr-FR"/>
        </w:rPr>
        <w:t>’</w:t>
      </w:r>
      <w:r w:rsidRPr="00ED3195">
        <w:rPr>
          <w:lang w:val="fr-FR"/>
        </w:rPr>
        <w:t xml:space="preserve">une organisation religieuse </w:t>
      </w:r>
      <w:r w:rsidRPr="00ED3195">
        <w:rPr>
          <w:lang w:val="fr-FR"/>
        </w:rPr>
        <w:lastRenderedPageBreak/>
        <w:t>locale. S</w:t>
      </w:r>
      <w:r>
        <w:rPr>
          <w:lang w:val="fr-FR"/>
        </w:rPr>
        <w:t>’</w:t>
      </w:r>
      <w:r w:rsidRPr="00ED3195">
        <w:rPr>
          <w:lang w:val="fr-FR"/>
        </w:rPr>
        <w:t>agissant du paragraphe 3 de l</w:t>
      </w:r>
      <w:r>
        <w:rPr>
          <w:lang w:val="fr-FR"/>
        </w:rPr>
        <w:t>’</w:t>
      </w:r>
      <w:r w:rsidRPr="00ED3195">
        <w:rPr>
          <w:lang w:val="fr-FR"/>
        </w:rPr>
        <w:t>article 18, l</w:t>
      </w:r>
      <w:r>
        <w:rPr>
          <w:lang w:val="fr-FR"/>
        </w:rPr>
        <w:t>’</w:t>
      </w:r>
      <w:r w:rsidRPr="00ED3195">
        <w:rPr>
          <w:lang w:val="fr-FR"/>
        </w:rPr>
        <w:t>État partie note qu</w:t>
      </w:r>
      <w:r>
        <w:rPr>
          <w:lang w:val="fr-FR"/>
        </w:rPr>
        <w:t>e cette dis</w:t>
      </w:r>
      <w:r w:rsidRPr="00ED3195">
        <w:rPr>
          <w:lang w:val="fr-FR"/>
        </w:rPr>
        <w:t>position autorise les restrictions à la liberté de manifester sa religion qui sont prévues par la loi et qui sont nécessaires à la protection de la sécurité, de l</w:t>
      </w:r>
      <w:r>
        <w:rPr>
          <w:lang w:val="fr-FR"/>
        </w:rPr>
        <w:t>’</w:t>
      </w:r>
      <w:r w:rsidRPr="00ED3195">
        <w:rPr>
          <w:lang w:val="fr-FR"/>
        </w:rPr>
        <w:t>ordre et de la santé publics, ou de la morale ou des libertés et droits fondamentaux d</w:t>
      </w:r>
      <w:r>
        <w:rPr>
          <w:lang w:val="fr-FR"/>
        </w:rPr>
        <w:t>’</w:t>
      </w:r>
      <w:r w:rsidRPr="00ED3195">
        <w:rPr>
          <w:lang w:val="fr-FR"/>
        </w:rPr>
        <w:t>autrui. À cet égard, le paragraphe 6 de l</w:t>
      </w:r>
      <w:r>
        <w:rPr>
          <w:lang w:val="fr-FR"/>
        </w:rPr>
        <w:t>’</w:t>
      </w:r>
      <w:r w:rsidRPr="00ED3195">
        <w:rPr>
          <w:lang w:val="fr-FR"/>
        </w:rPr>
        <w:t xml:space="preserve">article 3 de la </w:t>
      </w:r>
      <w:r>
        <w:rPr>
          <w:lang w:val="fr-FR"/>
        </w:rPr>
        <w:t>l</w:t>
      </w:r>
      <w:r w:rsidRPr="00ED3195">
        <w:rPr>
          <w:lang w:val="fr-FR"/>
        </w:rPr>
        <w:t>oi sur les activités religieuses et les associations religieuses dispose que chacun est libre d</w:t>
      </w:r>
      <w:r>
        <w:rPr>
          <w:lang w:val="fr-FR"/>
        </w:rPr>
        <w:t>’</w:t>
      </w:r>
      <w:r w:rsidRPr="00ED3195">
        <w:rPr>
          <w:lang w:val="fr-FR"/>
        </w:rPr>
        <w:t>avoir une religion et de la manifester, de participer aux activités d</w:t>
      </w:r>
      <w:r>
        <w:rPr>
          <w:lang w:val="fr-FR"/>
        </w:rPr>
        <w:t>’</w:t>
      </w:r>
      <w:r w:rsidRPr="00ED3195">
        <w:rPr>
          <w:lang w:val="fr-FR"/>
        </w:rPr>
        <w:t>organisations religieuses et de mener des activités missionnaires dans le respect de la législation du Kazakhstan.</w:t>
      </w:r>
    </w:p>
    <w:p w14:paraId="0904D212" w14:textId="77777777" w:rsidR="00FA4C28" w:rsidRPr="00ED3195" w:rsidRDefault="00FA4C28" w:rsidP="00C339D7">
      <w:pPr>
        <w:pStyle w:val="SingleTxtG"/>
        <w:rPr>
          <w:lang w:val="fr-FR"/>
        </w:rPr>
      </w:pPr>
      <w:r w:rsidRPr="00ED3195">
        <w:rPr>
          <w:lang w:val="fr-FR"/>
        </w:rPr>
        <w:t>7.3</w:t>
      </w:r>
      <w:r w:rsidRPr="00ED3195">
        <w:rPr>
          <w:lang w:val="fr-FR"/>
        </w:rPr>
        <w:tab/>
        <w:t>L</w:t>
      </w:r>
      <w:r>
        <w:rPr>
          <w:lang w:val="fr-FR"/>
        </w:rPr>
        <w:t>’</w:t>
      </w:r>
      <w:r w:rsidRPr="00ED3195">
        <w:rPr>
          <w:lang w:val="fr-FR"/>
        </w:rPr>
        <w:t>État partie souligne que l</w:t>
      </w:r>
      <w:r>
        <w:rPr>
          <w:lang w:val="fr-FR"/>
        </w:rPr>
        <w:t>’</w:t>
      </w:r>
      <w:r w:rsidRPr="00ED3195">
        <w:rPr>
          <w:lang w:val="fr-FR"/>
        </w:rPr>
        <w:t>article 14 de la Constitution du Kazakhstan interdit toute discrimination fondée sur la religion. Dans le même temps, nul ne peut invoquer ses convictions religieuses pour se soustraire à certaines obligations établies par la Constitution et les lois du Kazakhstan. L</w:t>
      </w:r>
      <w:r>
        <w:rPr>
          <w:lang w:val="fr-FR"/>
        </w:rPr>
        <w:t>’</w:t>
      </w:r>
      <w:r w:rsidRPr="00ED3195">
        <w:rPr>
          <w:lang w:val="fr-FR"/>
        </w:rPr>
        <w:t>État partie considère qu</w:t>
      </w:r>
      <w:r>
        <w:rPr>
          <w:lang w:val="fr-FR"/>
        </w:rPr>
        <w:t>’</w:t>
      </w:r>
      <w:r w:rsidRPr="00ED3195">
        <w:rPr>
          <w:lang w:val="fr-FR"/>
        </w:rPr>
        <w:t>en acquittant son amende administrative, l</w:t>
      </w:r>
      <w:r>
        <w:rPr>
          <w:lang w:val="fr-FR"/>
        </w:rPr>
        <w:t>’</w:t>
      </w:r>
      <w:r w:rsidRPr="00ED3195">
        <w:rPr>
          <w:lang w:val="fr-FR"/>
        </w:rPr>
        <w:t>auteur a reconnu sa culpabilité</w:t>
      </w:r>
      <w:r>
        <w:rPr>
          <w:lang w:val="fr-FR"/>
        </w:rPr>
        <w:t>.</w:t>
      </w:r>
    </w:p>
    <w:p w14:paraId="18FBBA35" w14:textId="77777777" w:rsidR="00FA4C28" w:rsidRPr="00ED3195" w:rsidRDefault="00FA4C28" w:rsidP="00C339D7">
      <w:pPr>
        <w:pStyle w:val="H23G"/>
        <w:rPr>
          <w:lang w:val="fr-FR"/>
        </w:rPr>
      </w:pPr>
      <w:r w:rsidRPr="00ED3195">
        <w:rPr>
          <w:lang w:val="fr-FR"/>
        </w:rPr>
        <w:tab/>
      </w:r>
      <w:r w:rsidRPr="00ED3195">
        <w:rPr>
          <w:lang w:val="fr-FR"/>
        </w:rPr>
        <w:tab/>
        <w:t>Commentaires de l</w:t>
      </w:r>
      <w:r>
        <w:rPr>
          <w:lang w:val="fr-FR"/>
        </w:rPr>
        <w:t>’</w:t>
      </w:r>
      <w:r w:rsidRPr="00ED3195">
        <w:rPr>
          <w:lang w:val="fr-FR"/>
        </w:rPr>
        <w:t>auteur sur les observations de l</w:t>
      </w:r>
      <w:r>
        <w:rPr>
          <w:lang w:val="fr-FR"/>
        </w:rPr>
        <w:t>’</w:t>
      </w:r>
      <w:r w:rsidRPr="00ED3195">
        <w:rPr>
          <w:lang w:val="fr-FR"/>
        </w:rPr>
        <w:t>État partie concernant le fond</w:t>
      </w:r>
    </w:p>
    <w:p w14:paraId="0C23498A" w14:textId="77777777" w:rsidR="00FA4C28" w:rsidRPr="00ED3195" w:rsidRDefault="00FA4C28" w:rsidP="00C339D7">
      <w:pPr>
        <w:pStyle w:val="SingleTxtG"/>
        <w:rPr>
          <w:bCs/>
          <w:lang w:val="fr-FR"/>
        </w:rPr>
      </w:pPr>
      <w:r w:rsidRPr="00ED3195">
        <w:rPr>
          <w:lang w:val="fr-FR"/>
        </w:rPr>
        <w:t>8.1</w:t>
      </w:r>
      <w:r w:rsidRPr="00ED3195">
        <w:rPr>
          <w:lang w:val="fr-FR"/>
        </w:rPr>
        <w:tab/>
      </w:r>
      <w:r>
        <w:rPr>
          <w:lang w:val="fr-FR"/>
        </w:rPr>
        <w:t>Dans</w:t>
      </w:r>
      <w:r w:rsidRPr="00ED3195">
        <w:rPr>
          <w:lang w:val="fr-FR"/>
        </w:rPr>
        <w:t xml:space="preserve"> une lettre datée du </w:t>
      </w:r>
      <w:r w:rsidRPr="00ED3195">
        <w:rPr>
          <w:bCs/>
          <w:lang w:val="fr-FR"/>
        </w:rPr>
        <w:t>6 mai</w:t>
      </w:r>
      <w:r w:rsidR="00C339D7">
        <w:rPr>
          <w:bCs/>
          <w:lang w:val="fr-FR"/>
        </w:rPr>
        <w:t xml:space="preserve"> </w:t>
      </w:r>
      <w:r w:rsidRPr="00ED3195">
        <w:rPr>
          <w:bCs/>
          <w:lang w:val="fr-FR"/>
        </w:rPr>
        <w:t>2015, l</w:t>
      </w:r>
      <w:r>
        <w:rPr>
          <w:bCs/>
          <w:lang w:val="fr-FR"/>
        </w:rPr>
        <w:t>’</w:t>
      </w:r>
      <w:r w:rsidRPr="00ED3195">
        <w:rPr>
          <w:bCs/>
          <w:lang w:val="fr-FR"/>
        </w:rPr>
        <w:t xml:space="preserve">auteur </w:t>
      </w:r>
      <w:r>
        <w:rPr>
          <w:bCs/>
          <w:lang w:val="fr-FR"/>
        </w:rPr>
        <w:t>fait part de</w:t>
      </w:r>
      <w:r w:rsidRPr="00ED3195">
        <w:rPr>
          <w:bCs/>
          <w:lang w:val="fr-FR"/>
        </w:rPr>
        <w:t xml:space="preserve"> ses commentaires sur les observations de l</w:t>
      </w:r>
      <w:r>
        <w:rPr>
          <w:bCs/>
          <w:lang w:val="fr-FR"/>
        </w:rPr>
        <w:t>’</w:t>
      </w:r>
      <w:r w:rsidRPr="00ED3195">
        <w:rPr>
          <w:bCs/>
          <w:lang w:val="fr-FR"/>
        </w:rPr>
        <w:t xml:space="preserve">État partie concernant le fond. </w:t>
      </w:r>
      <w:r>
        <w:rPr>
          <w:bCs/>
          <w:lang w:val="fr-FR"/>
        </w:rPr>
        <w:t>Il</w:t>
      </w:r>
      <w:r w:rsidRPr="00ED3195">
        <w:rPr>
          <w:bCs/>
          <w:lang w:val="fr-FR"/>
        </w:rPr>
        <w:t xml:space="preserve"> fait valoir qu</w:t>
      </w:r>
      <w:r>
        <w:rPr>
          <w:bCs/>
          <w:lang w:val="fr-FR"/>
        </w:rPr>
        <w:t>’</w:t>
      </w:r>
      <w:r w:rsidRPr="00ED3195">
        <w:rPr>
          <w:bCs/>
          <w:lang w:val="fr-FR"/>
        </w:rPr>
        <w:t>en</w:t>
      </w:r>
      <w:r w:rsidR="00C339D7">
        <w:rPr>
          <w:bCs/>
          <w:lang w:val="fr-FR"/>
        </w:rPr>
        <w:t xml:space="preserve"> </w:t>
      </w:r>
      <w:r w:rsidRPr="00ED3195">
        <w:rPr>
          <w:bCs/>
          <w:lang w:val="fr-FR"/>
        </w:rPr>
        <w:t>2013 le département des politiques internes de l</w:t>
      </w:r>
      <w:r>
        <w:rPr>
          <w:bCs/>
          <w:lang w:val="fr-FR"/>
        </w:rPr>
        <w:t>’</w:t>
      </w:r>
      <w:r w:rsidRPr="00ED3195">
        <w:rPr>
          <w:bCs/>
          <w:lang w:val="fr-FR"/>
        </w:rPr>
        <w:t>akimat régional de Kostanay a exécuté cinq projets sociaux pour un montant de 6 198 000 tenge financés par le budget de l</w:t>
      </w:r>
      <w:r>
        <w:rPr>
          <w:bCs/>
          <w:lang w:val="fr-FR"/>
        </w:rPr>
        <w:t>’</w:t>
      </w:r>
      <w:r w:rsidRPr="00ED3195">
        <w:rPr>
          <w:bCs/>
          <w:lang w:val="fr-FR"/>
        </w:rPr>
        <w:t>État. L</w:t>
      </w:r>
      <w:r>
        <w:rPr>
          <w:bCs/>
          <w:lang w:val="fr-FR"/>
        </w:rPr>
        <w:t>’</w:t>
      </w:r>
      <w:r w:rsidRPr="00ED3195">
        <w:rPr>
          <w:bCs/>
          <w:lang w:val="fr-FR"/>
        </w:rPr>
        <w:t>un de ces projets visait à la prévention de l</w:t>
      </w:r>
      <w:r>
        <w:rPr>
          <w:bCs/>
          <w:lang w:val="fr-FR"/>
        </w:rPr>
        <w:t>’</w:t>
      </w:r>
      <w:r w:rsidRPr="00ED3195">
        <w:rPr>
          <w:bCs/>
          <w:lang w:val="fr-FR"/>
        </w:rPr>
        <w:t>extrémisme religieux. Dans le cadre de ce projet, l</w:t>
      </w:r>
      <w:r>
        <w:rPr>
          <w:bCs/>
          <w:lang w:val="fr-FR"/>
        </w:rPr>
        <w:t>’</w:t>
      </w:r>
      <w:proofErr w:type="spellStart"/>
      <w:r w:rsidRPr="00ED3195">
        <w:rPr>
          <w:bCs/>
          <w:lang w:val="fr-FR"/>
        </w:rPr>
        <w:t>akima</w:t>
      </w:r>
      <w:r w:rsidR="00A05AC1">
        <w:rPr>
          <w:bCs/>
          <w:lang w:val="fr-FR"/>
        </w:rPr>
        <w:t>t</w:t>
      </w:r>
      <w:proofErr w:type="spellEnd"/>
      <w:r w:rsidRPr="00ED3195">
        <w:rPr>
          <w:bCs/>
          <w:lang w:val="fr-FR"/>
        </w:rPr>
        <w:t xml:space="preserve"> régional, </w:t>
      </w:r>
      <w:r>
        <w:rPr>
          <w:bCs/>
          <w:lang w:val="fr-FR"/>
        </w:rPr>
        <w:t>utilisant la</w:t>
      </w:r>
      <w:r w:rsidRPr="00ED3195">
        <w:rPr>
          <w:bCs/>
          <w:lang w:val="fr-FR"/>
        </w:rPr>
        <w:t xml:space="preserve"> documentation établie par le Ministère de la culture, </w:t>
      </w:r>
      <w:r>
        <w:rPr>
          <w:lang w:val="fr-FR"/>
        </w:rPr>
        <w:t xml:space="preserve">a distribué </w:t>
      </w:r>
      <w:r w:rsidRPr="00ED3195">
        <w:rPr>
          <w:bCs/>
          <w:lang w:val="fr-FR"/>
        </w:rPr>
        <w:t xml:space="preserve">des brochures </w:t>
      </w:r>
      <w:r>
        <w:rPr>
          <w:bCs/>
          <w:lang w:val="fr-FR"/>
        </w:rPr>
        <w:t xml:space="preserve">dans lesquelles il était </w:t>
      </w:r>
      <w:r w:rsidRPr="00ED3195">
        <w:rPr>
          <w:bCs/>
          <w:lang w:val="fr-FR"/>
        </w:rPr>
        <w:t>indiqu</w:t>
      </w:r>
      <w:r>
        <w:rPr>
          <w:bCs/>
          <w:lang w:val="fr-FR"/>
        </w:rPr>
        <w:t>é</w:t>
      </w:r>
      <w:r w:rsidRPr="00ED3195">
        <w:rPr>
          <w:bCs/>
          <w:lang w:val="fr-FR"/>
        </w:rPr>
        <w:t xml:space="preserve"> que </w:t>
      </w:r>
      <w:r w:rsidRPr="00ED3195">
        <w:rPr>
          <w:lang w:val="fr-FR"/>
        </w:rPr>
        <w:t>l</w:t>
      </w:r>
      <w:r>
        <w:rPr>
          <w:lang w:val="fr-FR"/>
        </w:rPr>
        <w:t>’</w:t>
      </w:r>
      <w:r w:rsidRPr="00ED3195">
        <w:rPr>
          <w:lang w:val="fr-FR"/>
        </w:rPr>
        <w:t xml:space="preserve">Association internationale pour la conscience de Krishna appelait </w:t>
      </w:r>
      <w:r>
        <w:rPr>
          <w:lang w:val="fr-FR"/>
        </w:rPr>
        <w:t>au non-respect</w:t>
      </w:r>
      <w:r w:rsidRPr="00ED3195">
        <w:rPr>
          <w:lang w:val="fr-FR"/>
        </w:rPr>
        <w:t xml:space="preserve"> des obligations civiles et que les disciples de Krishna n</w:t>
      </w:r>
      <w:r>
        <w:rPr>
          <w:lang w:val="fr-FR"/>
        </w:rPr>
        <w:t>’</w:t>
      </w:r>
      <w:r w:rsidRPr="00ED3195">
        <w:rPr>
          <w:lang w:val="fr-FR"/>
        </w:rPr>
        <w:t>obéissaient pas aux lois de l</w:t>
      </w:r>
      <w:r>
        <w:rPr>
          <w:lang w:val="fr-FR"/>
        </w:rPr>
        <w:t>’</w:t>
      </w:r>
      <w:r w:rsidRPr="00ED3195">
        <w:rPr>
          <w:lang w:val="fr-FR"/>
        </w:rPr>
        <w:t xml:space="preserve">État dans lequel ils vivaient. Cette position adoptée par le département des politiques intérieures </w:t>
      </w:r>
      <w:r>
        <w:rPr>
          <w:bCs/>
          <w:lang w:val="fr-FR"/>
        </w:rPr>
        <w:t>révèle une</w:t>
      </w:r>
      <w:r w:rsidRPr="00ED3195">
        <w:rPr>
          <w:bCs/>
          <w:lang w:val="fr-FR"/>
        </w:rPr>
        <w:t xml:space="preserve"> attitude négative vis-à-vis des disciples de Krishna</w:t>
      </w:r>
      <w:r>
        <w:rPr>
          <w:bCs/>
          <w:lang w:val="fr-FR"/>
        </w:rPr>
        <w:t>, qui</w:t>
      </w:r>
      <w:r w:rsidRPr="00ED3195">
        <w:rPr>
          <w:bCs/>
          <w:lang w:val="fr-FR"/>
        </w:rPr>
        <w:t xml:space="preserve"> </w:t>
      </w:r>
      <w:r>
        <w:rPr>
          <w:bCs/>
          <w:lang w:val="fr-FR"/>
        </w:rPr>
        <w:t>a</w:t>
      </w:r>
      <w:r w:rsidRPr="00ED3195">
        <w:rPr>
          <w:bCs/>
          <w:lang w:val="fr-FR"/>
        </w:rPr>
        <w:t xml:space="preserve"> suscit</w:t>
      </w:r>
      <w:r>
        <w:rPr>
          <w:bCs/>
          <w:lang w:val="fr-FR"/>
        </w:rPr>
        <w:t>é</w:t>
      </w:r>
      <w:r w:rsidRPr="00ED3195">
        <w:rPr>
          <w:bCs/>
          <w:lang w:val="fr-FR"/>
        </w:rPr>
        <w:t xml:space="preserve"> une attitude similaire dans la société.</w:t>
      </w:r>
    </w:p>
    <w:p w14:paraId="40C8F525" w14:textId="77777777" w:rsidR="00FA4C28" w:rsidRPr="00ED3195" w:rsidRDefault="00FA4C28" w:rsidP="00C339D7">
      <w:pPr>
        <w:pStyle w:val="SingleTxtG"/>
        <w:rPr>
          <w:lang w:val="fr-FR"/>
        </w:rPr>
      </w:pPr>
      <w:r w:rsidRPr="00ED3195">
        <w:rPr>
          <w:bCs/>
          <w:lang w:val="fr-FR"/>
        </w:rPr>
        <w:t>8.2</w:t>
      </w:r>
      <w:r w:rsidRPr="00ED3195">
        <w:rPr>
          <w:bCs/>
          <w:lang w:val="fr-FR"/>
        </w:rPr>
        <w:tab/>
      </w:r>
      <w:r>
        <w:rPr>
          <w:bCs/>
          <w:lang w:val="fr-FR"/>
        </w:rPr>
        <w:t>L’</w:t>
      </w:r>
      <w:r w:rsidRPr="00ED3195">
        <w:rPr>
          <w:bCs/>
          <w:lang w:val="fr-FR"/>
        </w:rPr>
        <w:t xml:space="preserve">auteur </w:t>
      </w:r>
      <w:r>
        <w:rPr>
          <w:bCs/>
          <w:lang w:val="fr-FR"/>
        </w:rPr>
        <w:t>relève</w:t>
      </w:r>
      <w:r w:rsidRPr="00ED3195">
        <w:rPr>
          <w:bCs/>
          <w:lang w:val="fr-FR"/>
        </w:rPr>
        <w:t xml:space="preserve"> que dans ses observations, l</w:t>
      </w:r>
      <w:r>
        <w:rPr>
          <w:bCs/>
          <w:lang w:val="fr-FR"/>
        </w:rPr>
        <w:t>’</w:t>
      </w:r>
      <w:r w:rsidRPr="00ED3195">
        <w:rPr>
          <w:bCs/>
          <w:lang w:val="fr-FR"/>
        </w:rPr>
        <w:t>État partie renvoie au paragraphe 2 de l</w:t>
      </w:r>
      <w:r>
        <w:rPr>
          <w:bCs/>
          <w:lang w:val="fr-FR"/>
        </w:rPr>
        <w:t>’</w:t>
      </w:r>
      <w:r w:rsidRPr="00ED3195">
        <w:rPr>
          <w:bCs/>
          <w:lang w:val="fr-FR"/>
        </w:rPr>
        <w:t xml:space="preserve">article 7 de la </w:t>
      </w:r>
      <w:r>
        <w:rPr>
          <w:lang w:val="fr-FR"/>
        </w:rPr>
        <w:t>l</w:t>
      </w:r>
      <w:r w:rsidRPr="00ED3195">
        <w:rPr>
          <w:lang w:val="fr-FR"/>
        </w:rPr>
        <w:t xml:space="preserve">oi sur les activités religieuses et les associations religieuses, qui exige que dans tous les lieux </w:t>
      </w:r>
      <w:r>
        <w:rPr>
          <w:lang w:val="fr-FR"/>
        </w:rPr>
        <w:t xml:space="preserve">autres que ceux visés, </w:t>
      </w:r>
      <w:r w:rsidRPr="00ED3195">
        <w:rPr>
          <w:lang w:val="fr-FR"/>
        </w:rPr>
        <w:t>les activités religieuses soient exercées dans le respect de la législation du Kazakhstan. Or l</w:t>
      </w:r>
      <w:r>
        <w:rPr>
          <w:lang w:val="fr-FR"/>
        </w:rPr>
        <w:t>’</w:t>
      </w:r>
      <w:r w:rsidRPr="00ED3195">
        <w:rPr>
          <w:lang w:val="fr-FR"/>
        </w:rPr>
        <w:t>État partie ne dit pas quelles dispositions législatives précises auraient été violées par l</w:t>
      </w:r>
      <w:r>
        <w:rPr>
          <w:lang w:val="fr-FR"/>
        </w:rPr>
        <w:t>’</w:t>
      </w:r>
      <w:r w:rsidRPr="00ED3195">
        <w:rPr>
          <w:lang w:val="fr-FR"/>
        </w:rPr>
        <w:t xml:space="preserve">auteur. </w:t>
      </w:r>
      <w:r>
        <w:rPr>
          <w:lang w:val="fr-FR"/>
        </w:rPr>
        <w:t>L’auteur</w:t>
      </w:r>
      <w:r w:rsidRPr="00ED3195">
        <w:rPr>
          <w:lang w:val="fr-FR"/>
        </w:rPr>
        <w:t xml:space="preserve"> souligne que l</w:t>
      </w:r>
      <w:r>
        <w:rPr>
          <w:lang w:val="fr-FR"/>
        </w:rPr>
        <w:t>’</w:t>
      </w:r>
      <w:r w:rsidRPr="00ED3195">
        <w:rPr>
          <w:lang w:val="fr-FR"/>
        </w:rPr>
        <w:t>État partie n</w:t>
      </w:r>
      <w:r>
        <w:rPr>
          <w:lang w:val="fr-FR"/>
        </w:rPr>
        <w:t>’</w:t>
      </w:r>
      <w:r w:rsidRPr="00ED3195">
        <w:rPr>
          <w:lang w:val="fr-FR"/>
        </w:rPr>
        <w:t>a jamais répondu à cette question, pas plus que n</w:t>
      </w:r>
      <w:r>
        <w:rPr>
          <w:lang w:val="fr-FR"/>
        </w:rPr>
        <w:t>’</w:t>
      </w:r>
      <w:r w:rsidRPr="00ED3195">
        <w:rPr>
          <w:lang w:val="fr-FR"/>
        </w:rPr>
        <w:t>y ont répondu les juridictions administratives saisies en première instance ou en appel.</w:t>
      </w:r>
    </w:p>
    <w:p w14:paraId="78716740" w14:textId="77777777" w:rsidR="00FA4C28" w:rsidRPr="00ED3195" w:rsidRDefault="00FA4C28" w:rsidP="00C339D7">
      <w:pPr>
        <w:pStyle w:val="SingleTxtG"/>
        <w:rPr>
          <w:lang w:val="fr-FR"/>
        </w:rPr>
      </w:pPr>
      <w:r w:rsidRPr="00ED3195">
        <w:rPr>
          <w:lang w:val="fr-FR"/>
        </w:rPr>
        <w:t>8.3</w:t>
      </w:r>
      <w:r w:rsidRPr="00ED3195">
        <w:rPr>
          <w:lang w:val="fr-FR"/>
        </w:rPr>
        <w:tab/>
      </w:r>
      <w:r>
        <w:rPr>
          <w:lang w:val="fr-FR"/>
        </w:rPr>
        <w:t>L’auteur fait en outre observer</w:t>
      </w:r>
      <w:r w:rsidRPr="00ED3195">
        <w:rPr>
          <w:lang w:val="fr-FR"/>
        </w:rPr>
        <w:t xml:space="preserve"> que le 9 juin</w:t>
      </w:r>
      <w:r w:rsidR="00C339D7">
        <w:rPr>
          <w:lang w:val="fr-FR"/>
        </w:rPr>
        <w:t xml:space="preserve"> </w:t>
      </w:r>
      <w:r w:rsidRPr="00ED3195">
        <w:rPr>
          <w:lang w:val="fr-FR"/>
        </w:rPr>
        <w:t>2013, aucune disposition législative exigea</w:t>
      </w:r>
      <w:r>
        <w:rPr>
          <w:lang w:val="fr-FR"/>
        </w:rPr>
        <w:t>n</w:t>
      </w:r>
      <w:r w:rsidRPr="00ED3195">
        <w:rPr>
          <w:lang w:val="fr-FR"/>
        </w:rPr>
        <w:t>t que les activités religieuses tenues ailleurs qu</w:t>
      </w:r>
      <w:r>
        <w:rPr>
          <w:lang w:val="fr-FR"/>
        </w:rPr>
        <w:t>’</w:t>
      </w:r>
      <w:r w:rsidRPr="00ED3195">
        <w:rPr>
          <w:lang w:val="fr-FR"/>
        </w:rPr>
        <w:t>à l</w:t>
      </w:r>
      <w:r>
        <w:rPr>
          <w:lang w:val="fr-FR"/>
        </w:rPr>
        <w:t>’</w:t>
      </w:r>
      <w:r w:rsidRPr="00ED3195">
        <w:rPr>
          <w:lang w:val="fr-FR"/>
        </w:rPr>
        <w:t>adresse enregistrée soient notifiées au département des affaires religieuses</w:t>
      </w:r>
      <w:r>
        <w:rPr>
          <w:lang w:val="fr-FR"/>
        </w:rPr>
        <w:t xml:space="preserve"> </w:t>
      </w:r>
      <w:r w:rsidRPr="00ED3195">
        <w:rPr>
          <w:lang w:val="fr-FR"/>
        </w:rPr>
        <w:t>n</w:t>
      </w:r>
      <w:r>
        <w:rPr>
          <w:lang w:val="fr-FR"/>
        </w:rPr>
        <w:t>’</w:t>
      </w:r>
      <w:r w:rsidRPr="00ED3195">
        <w:rPr>
          <w:lang w:val="fr-FR"/>
        </w:rPr>
        <w:t>était en vigueur. Le 2 avril</w:t>
      </w:r>
      <w:r w:rsidR="00C339D7">
        <w:rPr>
          <w:lang w:val="fr-FR"/>
        </w:rPr>
        <w:t xml:space="preserve"> </w:t>
      </w:r>
      <w:r w:rsidRPr="00ED3195">
        <w:rPr>
          <w:lang w:val="fr-FR"/>
        </w:rPr>
        <w:t xml:space="preserve">2013, le </w:t>
      </w:r>
      <w:r>
        <w:rPr>
          <w:lang w:val="fr-FR"/>
        </w:rPr>
        <w:t>G</w:t>
      </w:r>
      <w:r w:rsidRPr="00ED3195">
        <w:rPr>
          <w:lang w:val="fr-FR"/>
        </w:rPr>
        <w:t>ouvernement a adopté les Normes de coordination des cérémonies religieuses organisées ailleurs qu</w:t>
      </w:r>
      <w:r>
        <w:rPr>
          <w:lang w:val="fr-FR"/>
        </w:rPr>
        <w:t>’</w:t>
      </w:r>
      <w:r w:rsidRPr="00ED3195">
        <w:rPr>
          <w:lang w:val="fr-FR"/>
        </w:rPr>
        <w:t>à l</w:t>
      </w:r>
      <w:r>
        <w:rPr>
          <w:lang w:val="fr-FR"/>
        </w:rPr>
        <w:t>’</w:t>
      </w:r>
      <w:r w:rsidRPr="00ED3195">
        <w:rPr>
          <w:lang w:val="fr-FR"/>
        </w:rPr>
        <w:t>adresse officielle des organisations religieuses. Puis, le 9 septembre</w:t>
      </w:r>
      <w:r w:rsidR="00C339D7">
        <w:rPr>
          <w:lang w:val="fr-FR"/>
        </w:rPr>
        <w:t xml:space="preserve"> </w:t>
      </w:r>
      <w:r w:rsidRPr="00ED3195">
        <w:rPr>
          <w:lang w:val="fr-FR"/>
        </w:rPr>
        <w:t>2013, le département régional des affaires religieuses a, sur la base des normes nouvellement adoptées, publié un règlement qui exposait la procédure à suivre pour organiser des cérémonies religieuses. Le règlement n</w:t>
      </w:r>
      <w:r>
        <w:rPr>
          <w:lang w:val="fr-FR"/>
        </w:rPr>
        <w:t>’</w:t>
      </w:r>
      <w:r w:rsidRPr="00ED3195">
        <w:rPr>
          <w:lang w:val="fr-FR"/>
        </w:rPr>
        <w:t>existait donc pas à la date où aurait eu lieu la violation alléguée à la charge de l</w:t>
      </w:r>
      <w:r>
        <w:rPr>
          <w:lang w:val="fr-FR"/>
        </w:rPr>
        <w:t>’</w:t>
      </w:r>
      <w:r w:rsidRPr="00ED3195">
        <w:rPr>
          <w:lang w:val="fr-FR"/>
        </w:rPr>
        <w:t>auteur.</w:t>
      </w:r>
    </w:p>
    <w:p w14:paraId="31930826" w14:textId="77777777" w:rsidR="00FA4C28" w:rsidRPr="00ED3195" w:rsidRDefault="00FA4C28" w:rsidP="00C339D7">
      <w:pPr>
        <w:pStyle w:val="SingleTxtG"/>
        <w:rPr>
          <w:lang w:val="fr-FR"/>
        </w:rPr>
      </w:pPr>
      <w:r w:rsidRPr="00ED3195">
        <w:rPr>
          <w:lang w:val="fr-FR"/>
        </w:rPr>
        <w:t>8.4</w:t>
      </w:r>
      <w:r w:rsidRPr="00ED3195">
        <w:rPr>
          <w:lang w:val="fr-FR"/>
        </w:rPr>
        <w:tab/>
        <w:t>L</w:t>
      </w:r>
      <w:r>
        <w:rPr>
          <w:lang w:val="fr-FR"/>
        </w:rPr>
        <w:t xml:space="preserve">’auteur </w:t>
      </w:r>
      <w:r w:rsidRPr="00ED3195">
        <w:rPr>
          <w:lang w:val="fr-FR"/>
        </w:rPr>
        <w:t>fait valoir qu</w:t>
      </w:r>
      <w:r>
        <w:rPr>
          <w:lang w:val="fr-FR"/>
        </w:rPr>
        <w:t>’</w:t>
      </w:r>
      <w:r w:rsidRPr="00ED3195">
        <w:rPr>
          <w:lang w:val="fr-FR"/>
        </w:rPr>
        <w:t>actuellement l</w:t>
      </w:r>
      <w:r>
        <w:rPr>
          <w:lang w:val="fr-FR"/>
        </w:rPr>
        <w:t>’</w:t>
      </w:r>
      <w:r w:rsidRPr="00ED3195">
        <w:rPr>
          <w:lang w:val="fr-FR"/>
        </w:rPr>
        <w:t xml:space="preserve">État partie </w:t>
      </w:r>
      <w:r>
        <w:rPr>
          <w:lang w:val="fr-FR"/>
        </w:rPr>
        <w:t xml:space="preserve">et lui-même </w:t>
      </w:r>
      <w:r w:rsidRPr="00ED3195">
        <w:rPr>
          <w:lang w:val="fr-FR"/>
        </w:rPr>
        <w:t>essaient de régler la situation à l</w:t>
      </w:r>
      <w:r>
        <w:rPr>
          <w:lang w:val="fr-FR"/>
        </w:rPr>
        <w:t>’</w:t>
      </w:r>
      <w:r w:rsidRPr="00ED3195">
        <w:rPr>
          <w:lang w:val="fr-FR"/>
        </w:rPr>
        <w:t>amiable. Le département des affaires religieuses a déjà autorisé l</w:t>
      </w:r>
      <w:r>
        <w:rPr>
          <w:lang w:val="fr-FR"/>
        </w:rPr>
        <w:t>’</w:t>
      </w:r>
      <w:r w:rsidRPr="00ED3195">
        <w:rPr>
          <w:lang w:val="fr-FR"/>
        </w:rPr>
        <w:t>Association pour la conscience de Krishna à tenir ses futures réunions dans les locaux concernés et le certificat d</w:t>
      </w:r>
      <w:r>
        <w:rPr>
          <w:lang w:val="fr-FR"/>
        </w:rPr>
        <w:t>’</w:t>
      </w:r>
      <w:r w:rsidRPr="00ED3195">
        <w:rPr>
          <w:lang w:val="fr-FR"/>
        </w:rPr>
        <w:t>enregistrement de l</w:t>
      </w:r>
      <w:r>
        <w:rPr>
          <w:lang w:val="fr-FR"/>
        </w:rPr>
        <w:t>’</w:t>
      </w:r>
      <w:r w:rsidRPr="00ED3195">
        <w:rPr>
          <w:lang w:val="fr-FR"/>
        </w:rPr>
        <w:t>Association a été prorogé d</w:t>
      </w:r>
      <w:r>
        <w:rPr>
          <w:lang w:val="fr-FR"/>
        </w:rPr>
        <w:t>’</w:t>
      </w:r>
      <w:r w:rsidRPr="00ED3195">
        <w:rPr>
          <w:lang w:val="fr-FR"/>
        </w:rPr>
        <w:t xml:space="preserve">une année. Dans le même temps, </w:t>
      </w:r>
      <w:r>
        <w:rPr>
          <w:lang w:val="fr-FR"/>
        </w:rPr>
        <w:t>il</w:t>
      </w:r>
      <w:r w:rsidRPr="00ED3195">
        <w:rPr>
          <w:lang w:val="fr-FR"/>
        </w:rPr>
        <w:t xml:space="preserve"> prie le Comité de recommander à l</w:t>
      </w:r>
      <w:r>
        <w:rPr>
          <w:lang w:val="fr-FR"/>
        </w:rPr>
        <w:t>’</w:t>
      </w:r>
      <w:r w:rsidRPr="00ED3195">
        <w:rPr>
          <w:lang w:val="fr-FR"/>
        </w:rPr>
        <w:t>État partie d</w:t>
      </w:r>
      <w:r>
        <w:rPr>
          <w:lang w:val="fr-FR"/>
        </w:rPr>
        <w:t>’</w:t>
      </w:r>
      <w:r w:rsidRPr="00ED3195">
        <w:rPr>
          <w:lang w:val="fr-FR"/>
        </w:rPr>
        <w:t>amender sa législation en vigueur et d</w:t>
      </w:r>
      <w:r>
        <w:rPr>
          <w:lang w:val="fr-FR"/>
        </w:rPr>
        <w:t>’</w:t>
      </w:r>
      <w:r w:rsidRPr="00ED3195">
        <w:rPr>
          <w:lang w:val="fr-FR"/>
        </w:rPr>
        <w:t>abolir l</w:t>
      </w:r>
      <w:r>
        <w:rPr>
          <w:lang w:val="fr-FR"/>
        </w:rPr>
        <w:t>’</w:t>
      </w:r>
      <w:r w:rsidRPr="00ED3195">
        <w:rPr>
          <w:lang w:val="fr-FR"/>
        </w:rPr>
        <w:t>obligation d</w:t>
      </w:r>
      <w:r>
        <w:rPr>
          <w:lang w:val="fr-FR"/>
        </w:rPr>
        <w:t>’</w:t>
      </w:r>
      <w:r w:rsidRPr="00ED3195">
        <w:rPr>
          <w:lang w:val="fr-FR"/>
        </w:rPr>
        <w:t>enregistrement imposée aux organisations religieuses car cette obligation limite la liberté de religion</w:t>
      </w:r>
      <w:r>
        <w:rPr>
          <w:lang w:val="fr-FR"/>
        </w:rPr>
        <w:t>.</w:t>
      </w:r>
    </w:p>
    <w:p w14:paraId="70AC640E" w14:textId="77777777" w:rsidR="00FA4C28" w:rsidRPr="00ED3195" w:rsidRDefault="00FA4C28" w:rsidP="00C339D7">
      <w:pPr>
        <w:pStyle w:val="H23G"/>
        <w:rPr>
          <w:lang w:val="fr-FR"/>
        </w:rPr>
      </w:pPr>
      <w:r w:rsidRPr="00ED3195">
        <w:rPr>
          <w:lang w:val="fr-FR"/>
        </w:rPr>
        <w:tab/>
      </w:r>
      <w:r w:rsidRPr="00ED3195">
        <w:rPr>
          <w:lang w:val="fr-FR"/>
        </w:rPr>
        <w:tab/>
        <w:t>Délibérations du Comité</w:t>
      </w:r>
    </w:p>
    <w:p w14:paraId="20876D84" w14:textId="77777777" w:rsidR="00FA4C28" w:rsidRPr="00ED3195" w:rsidRDefault="00FA4C28" w:rsidP="00C339D7">
      <w:pPr>
        <w:pStyle w:val="H4G"/>
        <w:rPr>
          <w:lang w:val="fr-FR"/>
        </w:rPr>
      </w:pPr>
      <w:r w:rsidRPr="00ED3195">
        <w:rPr>
          <w:lang w:val="fr-FR"/>
        </w:rPr>
        <w:tab/>
      </w:r>
      <w:r w:rsidRPr="00ED3195">
        <w:rPr>
          <w:lang w:val="fr-FR"/>
        </w:rPr>
        <w:tab/>
        <w:t>Examen de la recevabilité</w:t>
      </w:r>
    </w:p>
    <w:p w14:paraId="06812152" w14:textId="77777777" w:rsidR="00FA4C28" w:rsidRPr="00ED3195" w:rsidRDefault="00FA4C28" w:rsidP="00C339D7">
      <w:pPr>
        <w:pStyle w:val="SingleTxtG"/>
        <w:rPr>
          <w:lang w:val="fr-FR"/>
        </w:rPr>
      </w:pPr>
      <w:r w:rsidRPr="00ED3195">
        <w:rPr>
          <w:lang w:val="fr-FR"/>
        </w:rPr>
        <w:t>9.1</w:t>
      </w:r>
      <w:r w:rsidRPr="00ED3195">
        <w:rPr>
          <w:lang w:val="fr-FR"/>
        </w:rPr>
        <w:tab/>
        <w:t>Avant d</w:t>
      </w:r>
      <w:r>
        <w:rPr>
          <w:lang w:val="fr-FR"/>
        </w:rPr>
        <w:t>’</w:t>
      </w:r>
      <w:r w:rsidRPr="00ED3195">
        <w:rPr>
          <w:lang w:val="fr-FR"/>
        </w:rPr>
        <w:t>examiner tout grief formulé dans une communication, le Comité doit, conformément à l</w:t>
      </w:r>
      <w:r>
        <w:rPr>
          <w:lang w:val="fr-FR"/>
        </w:rPr>
        <w:t>’</w:t>
      </w:r>
      <w:r w:rsidRPr="00ED3195">
        <w:rPr>
          <w:lang w:val="fr-FR"/>
        </w:rPr>
        <w:t>article 97 de son règlement intérieur, déterminer si la communication est recevable au regard du Protocole facultatif.</w:t>
      </w:r>
    </w:p>
    <w:p w14:paraId="22E7FB64" w14:textId="77777777" w:rsidR="00FA4C28" w:rsidRPr="00ED3195" w:rsidRDefault="00FA4C28" w:rsidP="00C339D7">
      <w:pPr>
        <w:pStyle w:val="SingleTxtG"/>
        <w:rPr>
          <w:lang w:val="fr-FR"/>
        </w:rPr>
      </w:pPr>
      <w:r w:rsidRPr="00ED3195">
        <w:rPr>
          <w:lang w:val="fr-FR"/>
        </w:rPr>
        <w:lastRenderedPageBreak/>
        <w:t>9.2</w:t>
      </w:r>
      <w:r w:rsidRPr="00ED3195">
        <w:rPr>
          <w:lang w:val="fr-FR"/>
        </w:rPr>
        <w:tab/>
        <w:t>Le Comité s</w:t>
      </w:r>
      <w:r>
        <w:rPr>
          <w:lang w:val="fr-FR"/>
        </w:rPr>
        <w:t>’</w:t>
      </w:r>
      <w:r w:rsidRPr="00ED3195">
        <w:rPr>
          <w:lang w:val="fr-FR"/>
        </w:rPr>
        <w:t>est assuré, comme il est tenu de le faire conformément au paragraphe 2 a) de l</w:t>
      </w:r>
      <w:r>
        <w:rPr>
          <w:lang w:val="fr-FR"/>
        </w:rPr>
        <w:t>’</w:t>
      </w:r>
      <w:r w:rsidRPr="00ED3195">
        <w:rPr>
          <w:lang w:val="fr-FR"/>
        </w:rPr>
        <w:t>article 5 du Protocole facultatif, que la même question n</w:t>
      </w:r>
      <w:r>
        <w:rPr>
          <w:lang w:val="fr-FR"/>
        </w:rPr>
        <w:t>’</w:t>
      </w:r>
      <w:r w:rsidRPr="00ED3195">
        <w:rPr>
          <w:lang w:val="fr-FR"/>
        </w:rPr>
        <w:t>était pas déjà en cours d</w:t>
      </w:r>
      <w:r>
        <w:rPr>
          <w:lang w:val="fr-FR"/>
        </w:rPr>
        <w:t>’</w:t>
      </w:r>
      <w:r w:rsidRPr="00ED3195">
        <w:rPr>
          <w:lang w:val="fr-FR"/>
        </w:rPr>
        <w:t>examen devant une autre instance internationale d</w:t>
      </w:r>
      <w:r>
        <w:rPr>
          <w:lang w:val="fr-FR"/>
        </w:rPr>
        <w:t>’</w:t>
      </w:r>
      <w:r w:rsidRPr="00ED3195">
        <w:rPr>
          <w:lang w:val="fr-FR"/>
        </w:rPr>
        <w:t>enquête ou de règlement.</w:t>
      </w:r>
    </w:p>
    <w:p w14:paraId="38A3F270" w14:textId="77777777" w:rsidR="00FA4C28" w:rsidRPr="00ED3195" w:rsidRDefault="00FA4C28" w:rsidP="00C339D7">
      <w:pPr>
        <w:pStyle w:val="SingleTxtG"/>
        <w:rPr>
          <w:lang w:val="fr-FR"/>
        </w:rPr>
      </w:pPr>
      <w:r w:rsidRPr="00ED3195">
        <w:rPr>
          <w:lang w:val="fr-FR"/>
        </w:rPr>
        <w:t>9.3</w:t>
      </w:r>
      <w:r w:rsidRPr="00ED3195">
        <w:rPr>
          <w:lang w:val="fr-FR"/>
        </w:rPr>
        <w:tab/>
        <w:t>Le Comité prend note de l</w:t>
      </w:r>
      <w:r>
        <w:rPr>
          <w:lang w:val="fr-FR"/>
        </w:rPr>
        <w:t>’</w:t>
      </w:r>
      <w:r w:rsidRPr="00ED3195">
        <w:rPr>
          <w:lang w:val="fr-FR"/>
        </w:rPr>
        <w:t>argument de l</w:t>
      </w:r>
      <w:r>
        <w:rPr>
          <w:lang w:val="fr-FR"/>
        </w:rPr>
        <w:t>’</w:t>
      </w:r>
      <w:r w:rsidRPr="00ED3195">
        <w:rPr>
          <w:lang w:val="fr-FR"/>
        </w:rPr>
        <w:t xml:space="preserve">État partie selon lequel </w:t>
      </w:r>
      <w:r>
        <w:rPr>
          <w:lang w:val="fr-FR"/>
        </w:rPr>
        <w:t>l’auteur</w:t>
      </w:r>
      <w:r w:rsidRPr="00ED3195">
        <w:rPr>
          <w:lang w:val="fr-FR"/>
        </w:rPr>
        <w:t xml:space="preserve"> n</w:t>
      </w:r>
      <w:r>
        <w:rPr>
          <w:lang w:val="fr-FR"/>
        </w:rPr>
        <w:t>’</w:t>
      </w:r>
      <w:r w:rsidRPr="00ED3195">
        <w:rPr>
          <w:lang w:val="fr-FR"/>
        </w:rPr>
        <w:t>a pas présenté de requête en vue d</w:t>
      </w:r>
      <w:r>
        <w:rPr>
          <w:lang w:val="fr-FR"/>
        </w:rPr>
        <w:t>’</w:t>
      </w:r>
      <w:r w:rsidRPr="00ED3195">
        <w:rPr>
          <w:lang w:val="fr-FR"/>
        </w:rPr>
        <w:t xml:space="preserve">un contrôle </w:t>
      </w:r>
      <w:r>
        <w:rPr>
          <w:lang w:val="fr-FR"/>
        </w:rPr>
        <w:t>juridictionnel auprès du</w:t>
      </w:r>
      <w:r w:rsidRPr="00ED3195">
        <w:rPr>
          <w:lang w:val="fr-FR"/>
        </w:rPr>
        <w:t xml:space="preserve"> Procureur général. </w:t>
      </w:r>
      <w:r>
        <w:rPr>
          <w:lang w:val="fr-FR"/>
        </w:rPr>
        <w:t>Il</w:t>
      </w:r>
      <w:r w:rsidRPr="00ED3195">
        <w:rPr>
          <w:lang w:val="fr-FR"/>
        </w:rPr>
        <w:t xml:space="preserve"> rappelle sa jurisprudence selon laquelle une requête adressée au bureau du </w:t>
      </w:r>
      <w:r w:rsidR="00A05AC1" w:rsidRPr="00ED3195">
        <w:rPr>
          <w:lang w:val="fr-FR"/>
        </w:rPr>
        <w:t xml:space="preserve">Procureur </w:t>
      </w:r>
      <w:r w:rsidRPr="00ED3195">
        <w:rPr>
          <w:lang w:val="fr-FR"/>
        </w:rPr>
        <w:t>demandant le contrôle d</w:t>
      </w:r>
      <w:r>
        <w:rPr>
          <w:lang w:val="fr-FR"/>
        </w:rPr>
        <w:t>’</w:t>
      </w:r>
      <w:r w:rsidRPr="00ED3195">
        <w:rPr>
          <w:lang w:val="fr-FR"/>
        </w:rPr>
        <w:t>une décision judiciaire passée en force de chose jugée ne constitue pas un recours à épuiser aux fins du paragraphe 2 b) de l</w:t>
      </w:r>
      <w:r>
        <w:rPr>
          <w:lang w:val="fr-FR"/>
        </w:rPr>
        <w:t>’</w:t>
      </w:r>
      <w:r w:rsidRPr="00ED3195">
        <w:rPr>
          <w:lang w:val="fr-FR"/>
        </w:rPr>
        <w:t>article 5 du Protocole facultatif</w:t>
      </w:r>
      <w:r w:rsidRPr="00F1782E">
        <w:rPr>
          <w:rStyle w:val="Appelnotedebasdep"/>
        </w:rPr>
        <w:footnoteReference w:id="6"/>
      </w:r>
      <w:r w:rsidRPr="00ED3195">
        <w:rPr>
          <w:lang w:val="fr-FR"/>
        </w:rPr>
        <w:t>. En l</w:t>
      </w:r>
      <w:r>
        <w:rPr>
          <w:lang w:val="fr-FR"/>
        </w:rPr>
        <w:t>’</w:t>
      </w:r>
      <w:r w:rsidRPr="00ED3195">
        <w:rPr>
          <w:lang w:val="fr-FR"/>
        </w:rPr>
        <w:t xml:space="preserve">espèce, le Comité </w:t>
      </w:r>
      <w:r>
        <w:rPr>
          <w:lang w:val="fr-FR"/>
        </w:rPr>
        <w:t>note que</w:t>
      </w:r>
      <w:r w:rsidRPr="00ED3195">
        <w:rPr>
          <w:lang w:val="fr-FR"/>
        </w:rPr>
        <w:t xml:space="preserve"> l</w:t>
      </w:r>
      <w:r>
        <w:rPr>
          <w:lang w:val="fr-FR"/>
        </w:rPr>
        <w:t>’</w:t>
      </w:r>
      <w:r w:rsidRPr="00ED3195">
        <w:rPr>
          <w:lang w:val="fr-FR"/>
        </w:rPr>
        <w:t xml:space="preserve">auteur </w:t>
      </w:r>
      <w:r>
        <w:rPr>
          <w:lang w:val="fr-FR"/>
        </w:rPr>
        <w:t>affirme qu’</w:t>
      </w:r>
      <w:r w:rsidRPr="00ED3195">
        <w:rPr>
          <w:lang w:val="fr-FR"/>
        </w:rPr>
        <w:t>il a demandé</w:t>
      </w:r>
      <w:r>
        <w:rPr>
          <w:lang w:val="fr-FR"/>
        </w:rPr>
        <w:t xml:space="preserve"> deux fois</w:t>
      </w:r>
      <w:r w:rsidRPr="00ED3195">
        <w:rPr>
          <w:lang w:val="fr-FR"/>
        </w:rPr>
        <w:t xml:space="preserve"> au Bureau du Procureur général un contrôle de la décision administrative le concernant</w:t>
      </w:r>
      <w:r>
        <w:rPr>
          <w:lang w:val="fr-FR"/>
        </w:rPr>
        <w:t>. Il relève qu’au moins une de ces</w:t>
      </w:r>
      <w:r w:rsidRPr="00ED3195">
        <w:rPr>
          <w:lang w:val="fr-FR"/>
        </w:rPr>
        <w:t xml:space="preserve"> demande</w:t>
      </w:r>
      <w:r>
        <w:rPr>
          <w:lang w:val="fr-FR"/>
        </w:rPr>
        <w:t>s</w:t>
      </w:r>
      <w:r w:rsidRPr="00ED3195">
        <w:rPr>
          <w:lang w:val="fr-FR"/>
        </w:rPr>
        <w:t xml:space="preserve"> a été rejetée par le Procureur général adjoint le 6 janvier</w:t>
      </w:r>
      <w:r w:rsidR="00C339D7">
        <w:rPr>
          <w:lang w:val="fr-FR"/>
        </w:rPr>
        <w:t xml:space="preserve"> </w:t>
      </w:r>
      <w:r w:rsidRPr="00ED3195">
        <w:rPr>
          <w:lang w:val="fr-FR"/>
        </w:rPr>
        <w:t>2014. Le Comité considère que l</w:t>
      </w:r>
      <w:r>
        <w:rPr>
          <w:lang w:val="fr-FR"/>
        </w:rPr>
        <w:t>’</w:t>
      </w:r>
      <w:r w:rsidRPr="00ED3195">
        <w:rPr>
          <w:lang w:val="fr-FR"/>
        </w:rPr>
        <w:t>État partie n</w:t>
      </w:r>
      <w:r>
        <w:rPr>
          <w:lang w:val="fr-FR"/>
        </w:rPr>
        <w:t>’</w:t>
      </w:r>
      <w:r w:rsidRPr="00ED3195">
        <w:rPr>
          <w:lang w:val="fr-FR"/>
        </w:rPr>
        <w:t>a pas démontré qu</w:t>
      </w:r>
      <w:r>
        <w:rPr>
          <w:lang w:val="fr-FR"/>
        </w:rPr>
        <w:t>’</w:t>
      </w:r>
      <w:r w:rsidRPr="00ED3195">
        <w:rPr>
          <w:lang w:val="fr-FR"/>
        </w:rPr>
        <w:t xml:space="preserve">adresser une nouvelle requête au Procureur général pour demander un contrôle </w:t>
      </w:r>
      <w:r>
        <w:rPr>
          <w:lang w:val="fr-FR"/>
        </w:rPr>
        <w:t>juridictionnel</w:t>
      </w:r>
      <w:r w:rsidRPr="00ED3195">
        <w:rPr>
          <w:lang w:val="fr-FR"/>
        </w:rPr>
        <w:t xml:space="preserve"> aurait constitué un recours utile en l</w:t>
      </w:r>
      <w:r>
        <w:rPr>
          <w:lang w:val="fr-FR"/>
        </w:rPr>
        <w:t>’</w:t>
      </w:r>
      <w:r w:rsidRPr="00ED3195">
        <w:rPr>
          <w:lang w:val="fr-FR"/>
        </w:rPr>
        <w:t xml:space="preserve">espèce. </w:t>
      </w:r>
      <w:r>
        <w:rPr>
          <w:lang w:val="fr-FR"/>
        </w:rPr>
        <w:t>Il</w:t>
      </w:r>
      <w:r w:rsidRPr="00ED3195">
        <w:rPr>
          <w:lang w:val="fr-FR"/>
        </w:rPr>
        <w:t xml:space="preserve"> estime en conséquence qu</w:t>
      </w:r>
      <w:r>
        <w:rPr>
          <w:lang w:val="fr-FR"/>
        </w:rPr>
        <w:t>’</w:t>
      </w:r>
      <w:r w:rsidRPr="00ED3195">
        <w:rPr>
          <w:lang w:val="fr-FR"/>
        </w:rPr>
        <w:t>il n</w:t>
      </w:r>
      <w:r>
        <w:rPr>
          <w:lang w:val="fr-FR"/>
        </w:rPr>
        <w:t>’</w:t>
      </w:r>
      <w:r w:rsidRPr="00ED3195">
        <w:rPr>
          <w:lang w:val="fr-FR"/>
        </w:rPr>
        <w:t>est pas empêché par les dispositions du paragraphe 2 b) de l</w:t>
      </w:r>
      <w:r>
        <w:rPr>
          <w:lang w:val="fr-FR"/>
        </w:rPr>
        <w:t>’</w:t>
      </w:r>
      <w:r w:rsidRPr="00ED3195">
        <w:rPr>
          <w:lang w:val="fr-FR"/>
        </w:rPr>
        <w:t>article 5 du Protocole facultatif d</w:t>
      </w:r>
      <w:r>
        <w:rPr>
          <w:lang w:val="fr-FR"/>
        </w:rPr>
        <w:t>’</w:t>
      </w:r>
      <w:r w:rsidRPr="00ED3195">
        <w:rPr>
          <w:lang w:val="fr-FR"/>
        </w:rPr>
        <w:t>examiner la présente communication.</w:t>
      </w:r>
    </w:p>
    <w:p w14:paraId="049874A1" w14:textId="77777777" w:rsidR="00FA4C28" w:rsidRPr="00ED3195" w:rsidRDefault="00FA4C28" w:rsidP="00C339D7">
      <w:pPr>
        <w:pStyle w:val="SingleTxtG"/>
        <w:rPr>
          <w:lang w:val="fr-FR"/>
        </w:rPr>
      </w:pPr>
      <w:r w:rsidRPr="00ED3195">
        <w:rPr>
          <w:lang w:val="fr-FR"/>
        </w:rPr>
        <w:t>9.4</w:t>
      </w:r>
      <w:r w:rsidRPr="00ED3195">
        <w:rPr>
          <w:lang w:val="fr-FR"/>
        </w:rPr>
        <w:tab/>
        <w:t xml:space="preserve">Le Comité </w:t>
      </w:r>
      <w:r>
        <w:rPr>
          <w:lang w:val="fr-FR"/>
        </w:rPr>
        <w:t>note</w:t>
      </w:r>
      <w:r w:rsidRPr="00ED3195">
        <w:rPr>
          <w:lang w:val="fr-FR"/>
        </w:rPr>
        <w:t xml:space="preserve"> également </w:t>
      </w:r>
      <w:r>
        <w:rPr>
          <w:lang w:val="fr-FR"/>
        </w:rPr>
        <w:t>que</w:t>
      </w:r>
      <w:r w:rsidRPr="00ED3195">
        <w:rPr>
          <w:lang w:val="fr-FR"/>
        </w:rPr>
        <w:t xml:space="preserve"> l</w:t>
      </w:r>
      <w:r>
        <w:rPr>
          <w:lang w:val="fr-FR"/>
        </w:rPr>
        <w:t>’</w:t>
      </w:r>
      <w:r w:rsidRPr="00ED3195">
        <w:rPr>
          <w:lang w:val="fr-FR"/>
        </w:rPr>
        <w:t xml:space="preserve">auteur </w:t>
      </w:r>
      <w:r>
        <w:rPr>
          <w:lang w:val="fr-FR"/>
        </w:rPr>
        <w:t>affirme qu’</w:t>
      </w:r>
      <w:r w:rsidRPr="00ED3195">
        <w:rPr>
          <w:lang w:val="fr-FR"/>
        </w:rPr>
        <w:t>il a fait l</w:t>
      </w:r>
      <w:r>
        <w:rPr>
          <w:lang w:val="fr-FR"/>
        </w:rPr>
        <w:t>’</w:t>
      </w:r>
      <w:r w:rsidRPr="00ED3195">
        <w:rPr>
          <w:lang w:val="fr-FR"/>
        </w:rPr>
        <w:t>objet d</w:t>
      </w:r>
      <w:r>
        <w:rPr>
          <w:lang w:val="fr-FR"/>
        </w:rPr>
        <w:t>’</w:t>
      </w:r>
      <w:r w:rsidRPr="00ED3195">
        <w:rPr>
          <w:lang w:val="fr-FR"/>
        </w:rPr>
        <w:t>une discrimination en sa qualité de représentant d</w:t>
      </w:r>
      <w:r>
        <w:rPr>
          <w:lang w:val="fr-FR"/>
        </w:rPr>
        <w:t>’</w:t>
      </w:r>
      <w:r w:rsidRPr="00ED3195">
        <w:rPr>
          <w:lang w:val="fr-FR"/>
        </w:rPr>
        <w:t xml:space="preserve">une religion « non traditionnelle » et </w:t>
      </w:r>
      <w:r>
        <w:rPr>
          <w:lang w:val="fr-FR"/>
        </w:rPr>
        <w:t xml:space="preserve">que </w:t>
      </w:r>
      <w:r w:rsidRPr="00ED3195">
        <w:rPr>
          <w:lang w:val="fr-FR"/>
        </w:rPr>
        <w:t>l</w:t>
      </w:r>
      <w:r>
        <w:rPr>
          <w:lang w:val="fr-FR"/>
        </w:rPr>
        <w:t>’</w:t>
      </w:r>
      <w:r w:rsidRPr="00ED3195">
        <w:rPr>
          <w:lang w:val="fr-FR"/>
        </w:rPr>
        <w:t xml:space="preserve">obligation de demander une autorisation pour organiser une cérémonie religieuse </w:t>
      </w:r>
      <w:r>
        <w:rPr>
          <w:lang w:val="fr-FR"/>
        </w:rPr>
        <w:t xml:space="preserve">à une </w:t>
      </w:r>
      <w:r w:rsidRPr="00ED3195">
        <w:rPr>
          <w:lang w:val="fr-FR"/>
        </w:rPr>
        <w:t xml:space="preserve">adresse </w:t>
      </w:r>
      <w:r>
        <w:rPr>
          <w:lang w:val="fr-FR"/>
        </w:rPr>
        <w:t>autre que celle déclarée au moment de l’enregistrement</w:t>
      </w:r>
      <w:r w:rsidRPr="00ED3195">
        <w:rPr>
          <w:lang w:val="fr-FR"/>
        </w:rPr>
        <w:t xml:space="preserve"> restreint les droits des organisations religieuses minoritaires. </w:t>
      </w:r>
      <w:r>
        <w:rPr>
          <w:lang w:val="fr-FR"/>
        </w:rPr>
        <w:t>Il</w:t>
      </w:r>
      <w:r w:rsidRPr="00ED3195">
        <w:rPr>
          <w:lang w:val="fr-FR"/>
        </w:rPr>
        <w:t xml:space="preserve"> fait toutefois observer que ces allégations ne semblent avoir été formulées à aucun moment dans le cadre des procédures internes. Cette partie de la communication, qui soulève des questions au regard des articles 26 et</w:t>
      </w:r>
      <w:r w:rsidR="00C339D7">
        <w:rPr>
          <w:lang w:val="fr-FR"/>
        </w:rPr>
        <w:t xml:space="preserve"> </w:t>
      </w:r>
      <w:r w:rsidRPr="00ED3195">
        <w:rPr>
          <w:lang w:val="fr-FR"/>
        </w:rPr>
        <w:t>27 du Pacte, est en conséquence déclarée irrecevable parce que tous les recours internes n</w:t>
      </w:r>
      <w:r>
        <w:rPr>
          <w:lang w:val="fr-FR"/>
        </w:rPr>
        <w:t>’</w:t>
      </w:r>
      <w:r w:rsidRPr="00ED3195">
        <w:rPr>
          <w:lang w:val="fr-FR"/>
        </w:rPr>
        <w:t>ont pas été épuisés comme l</w:t>
      </w:r>
      <w:r>
        <w:rPr>
          <w:lang w:val="fr-FR"/>
        </w:rPr>
        <w:t>’</w:t>
      </w:r>
      <w:r w:rsidRPr="00ED3195">
        <w:rPr>
          <w:lang w:val="fr-FR"/>
        </w:rPr>
        <w:t>exige le paragraphe 2 b) de l</w:t>
      </w:r>
      <w:r>
        <w:rPr>
          <w:lang w:val="fr-FR"/>
        </w:rPr>
        <w:t>’</w:t>
      </w:r>
      <w:r w:rsidRPr="00ED3195">
        <w:rPr>
          <w:lang w:val="fr-FR"/>
        </w:rPr>
        <w:t>article 5 du Protocole facultatif.</w:t>
      </w:r>
    </w:p>
    <w:p w14:paraId="67BEF1F8" w14:textId="77777777" w:rsidR="00FA4C28" w:rsidRPr="00ED3195" w:rsidRDefault="00FA4C28" w:rsidP="00C339D7">
      <w:pPr>
        <w:pStyle w:val="SingleTxtG"/>
        <w:rPr>
          <w:lang w:val="fr-FR"/>
        </w:rPr>
      </w:pPr>
      <w:r w:rsidRPr="00ED3195">
        <w:rPr>
          <w:lang w:val="fr-FR"/>
        </w:rPr>
        <w:t>9.5</w:t>
      </w:r>
      <w:r w:rsidRPr="00ED3195">
        <w:rPr>
          <w:lang w:val="fr-FR"/>
        </w:rPr>
        <w:tab/>
      </w:r>
      <w:r>
        <w:rPr>
          <w:lang w:val="fr-FR"/>
        </w:rPr>
        <w:t>Le Comité considère que les allégations de l’auteur</w:t>
      </w:r>
      <w:r w:rsidRPr="005C014F">
        <w:rPr>
          <w:lang w:val="fr-FR"/>
        </w:rPr>
        <w:t xml:space="preserve"> soulèvent également des questions au titre </w:t>
      </w:r>
      <w:r>
        <w:rPr>
          <w:lang w:val="fr-FR"/>
        </w:rPr>
        <w:t>de l’article</w:t>
      </w:r>
      <w:r w:rsidR="00A05AC1">
        <w:rPr>
          <w:lang w:val="fr-FR"/>
        </w:rPr>
        <w:t> </w:t>
      </w:r>
      <w:r>
        <w:rPr>
          <w:lang w:val="fr-FR"/>
        </w:rPr>
        <w:t xml:space="preserve">18 du Pacte. </w:t>
      </w:r>
      <w:r w:rsidRPr="00ED3195">
        <w:rPr>
          <w:lang w:val="fr-FR"/>
        </w:rPr>
        <w:t>De l</w:t>
      </w:r>
      <w:r>
        <w:rPr>
          <w:lang w:val="fr-FR"/>
        </w:rPr>
        <w:t>’</w:t>
      </w:r>
      <w:r w:rsidRPr="00ED3195">
        <w:rPr>
          <w:lang w:val="fr-FR"/>
        </w:rPr>
        <w:t>avis du Comité, l</w:t>
      </w:r>
      <w:r>
        <w:rPr>
          <w:lang w:val="fr-FR"/>
        </w:rPr>
        <w:t>’</w:t>
      </w:r>
      <w:r w:rsidRPr="00ED3195">
        <w:rPr>
          <w:lang w:val="fr-FR"/>
        </w:rPr>
        <w:t>auteur a suffisamment étayé, aux fins de la recevabilité, les griefs qu</w:t>
      </w:r>
      <w:r>
        <w:rPr>
          <w:lang w:val="fr-FR"/>
        </w:rPr>
        <w:t>’</w:t>
      </w:r>
      <w:r w:rsidRPr="00ED3195">
        <w:rPr>
          <w:lang w:val="fr-FR"/>
        </w:rPr>
        <w:t>il tire de l</w:t>
      </w:r>
      <w:r>
        <w:rPr>
          <w:lang w:val="fr-FR"/>
        </w:rPr>
        <w:t>’</w:t>
      </w:r>
      <w:r w:rsidRPr="00ED3195">
        <w:rPr>
          <w:lang w:val="fr-FR"/>
        </w:rPr>
        <w:t>article 18 (par. 1 et</w:t>
      </w:r>
      <w:r w:rsidR="00C339D7">
        <w:rPr>
          <w:lang w:val="fr-FR"/>
        </w:rPr>
        <w:t xml:space="preserve"> </w:t>
      </w:r>
      <w:r w:rsidRPr="00ED3195">
        <w:rPr>
          <w:lang w:val="fr-FR"/>
        </w:rPr>
        <w:t xml:space="preserve">3), lu </w:t>
      </w:r>
      <w:r>
        <w:rPr>
          <w:lang w:val="fr-FR"/>
        </w:rPr>
        <w:t xml:space="preserve">seul et </w:t>
      </w:r>
      <w:r w:rsidRPr="00ED3195">
        <w:rPr>
          <w:lang w:val="fr-FR"/>
        </w:rPr>
        <w:t xml:space="preserve">conjointement </w:t>
      </w:r>
      <w:r>
        <w:rPr>
          <w:lang w:val="fr-FR"/>
        </w:rPr>
        <w:t>avec</w:t>
      </w:r>
      <w:r w:rsidRPr="00ED3195">
        <w:rPr>
          <w:lang w:val="fr-FR"/>
        </w:rPr>
        <w:t xml:space="preserve"> l</w:t>
      </w:r>
      <w:r>
        <w:rPr>
          <w:lang w:val="fr-FR"/>
        </w:rPr>
        <w:t>’</w:t>
      </w:r>
      <w:r w:rsidRPr="00ED3195">
        <w:rPr>
          <w:lang w:val="fr-FR"/>
        </w:rPr>
        <w:t>article 2 (par. 3 a), b) et c)) du Pacte ; il les déclare</w:t>
      </w:r>
      <w:r>
        <w:rPr>
          <w:lang w:val="fr-FR"/>
        </w:rPr>
        <w:t xml:space="preserve"> donc</w:t>
      </w:r>
      <w:r w:rsidRPr="00ED3195">
        <w:rPr>
          <w:lang w:val="fr-FR"/>
        </w:rPr>
        <w:t xml:space="preserve"> recevables et </w:t>
      </w:r>
      <w:r>
        <w:rPr>
          <w:lang w:val="fr-FR"/>
        </w:rPr>
        <w:t>procède</w:t>
      </w:r>
      <w:r w:rsidRPr="00ED3195">
        <w:rPr>
          <w:lang w:val="fr-FR"/>
        </w:rPr>
        <w:t xml:space="preserve"> à leur examen au fond.</w:t>
      </w:r>
    </w:p>
    <w:p w14:paraId="23559AC0" w14:textId="77777777" w:rsidR="00FA4C28" w:rsidRPr="00ED3195" w:rsidRDefault="00FA4C28" w:rsidP="00C339D7">
      <w:pPr>
        <w:pStyle w:val="H4G"/>
        <w:rPr>
          <w:lang w:val="fr-FR"/>
        </w:rPr>
      </w:pPr>
      <w:r w:rsidRPr="00ED3195">
        <w:rPr>
          <w:lang w:val="fr-FR"/>
        </w:rPr>
        <w:tab/>
      </w:r>
      <w:r>
        <w:rPr>
          <w:lang w:val="fr-FR"/>
        </w:rPr>
        <w:tab/>
      </w:r>
      <w:r w:rsidRPr="00ED3195">
        <w:rPr>
          <w:lang w:val="fr-FR"/>
        </w:rPr>
        <w:t>Examen au fond</w:t>
      </w:r>
    </w:p>
    <w:p w14:paraId="261E818E" w14:textId="77777777" w:rsidR="00FA4C28" w:rsidRPr="00ED3195" w:rsidRDefault="00FA4C28" w:rsidP="00C339D7">
      <w:pPr>
        <w:pStyle w:val="SingleTxtG"/>
        <w:rPr>
          <w:lang w:val="fr-FR"/>
        </w:rPr>
      </w:pPr>
      <w:r w:rsidRPr="00ED3195">
        <w:rPr>
          <w:lang w:val="fr-FR"/>
        </w:rPr>
        <w:t>10.1</w:t>
      </w:r>
      <w:r w:rsidRPr="00ED3195">
        <w:rPr>
          <w:lang w:val="fr-FR"/>
        </w:rPr>
        <w:tab/>
        <w:t>Conformément au paragraphe 1 de l</w:t>
      </w:r>
      <w:r>
        <w:rPr>
          <w:lang w:val="fr-FR"/>
        </w:rPr>
        <w:t>’</w:t>
      </w:r>
      <w:r w:rsidRPr="00ED3195">
        <w:rPr>
          <w:lang w:val="fr-FR"/>
        </w:rPr>
        <w:t>article 5 du Protocole facultatif, le Comité a examiné la présente communication en tenant compte de toutes les informations que lui ont communiquées des parties.</w:t>
      </w:r>
    </w:p>
    <w:p w14:paraId="7B5CFB33" w14:textId="77777777" w:rsidR="00FA4C28" w:rsidRPr="00ED3195" w:rsidRDefault="00FA4C28" w:rsidP="00C339D7">
      <w:pPr>
        <w:pStyle w:val="SingleTxtG"/>
        <w:rPr>
          <w:lang w:val="fr-FR"/>
        </w:rPr>
      </w:pPr>
      <w:r w:rsidRPr="00ED3195">
        <w:rPr>
          <w:lang w:val="fr-FR"/>
        </w:rPr>
        <w:t>10.2</w:t>
      </w:r>
      <w:r w:rsidRPr="00ED3195">
        <w:rPr>
          <w:lang w:val="fr-FR"/>
        </w:rPr>
        <w:tab/>
        <w:t>S</w:t>
      </w:r>
      <w:r>
        <w:rPr>
          <w:lang w:val="fr-FR"/>
        </w:rPr>
        <w:t>’</w:t>
      </w:r>
      <w:r w:rsidRPr="00ED3195">
        <w:rPr>
          <w:lang w:val="fr-FR"/>
        </w:rPr>
        <w:t>agissant du grief que l</w:t>
      </w:r>
      <w:r>
        <w:rPr>
          <w:lang w:val="fr-FR"/>
        </w:rPr>
        <w:t>’</w:t>
      </w:r>
      <w:r w:rsidRPr="00ED3195">
        <w:rPr>
          <w:lang w:val="fr-FR"/>
        </w:rPr>
        <w:t>auteur tire de l</w:t>
      </w:r>
      <w:r>
        <w:rPr>
          <w:lang w:val="fr-FR"/>
        </w:rPr>
        <w:t>’</w:t>
      </w:r>
      <w:r w:rsidRPr="00ED3195">
        <w:rPr>
          <w:lang w:val="fr-FR"/>
        </w:rPr>
        <w:t>article 18 du Pacte, le Comité rappelle que le paragraphe 3 de l</w:t>
      </w:r>
      <w:r>
        <w:rPr>
          <w:lang w:val="fr-FR"/>
        </w:rPr>
        <w:t>’</w:t>
      </w:r>
      <w:r w:rsidRPr="00ED3195">
        <w:rPr>
          <w:lang w:val="fr-FR"/>
        </w:rPr>
        <w:t>article 18 du Pacte dispose que la liberté de manifester sa religion ou ses convictions ne peut faire l</w:t>
      </w:r>
      <w:r>
        <w:rPr>
          <w:lang w:val="fr-FR"/>
        </w:rPr>
        <w:t>’</w:t>
      </w:r>
      <w:r w:rsidRPr="00ED3195">
        <w:rPr>
          <w:lang w:val="fr-FR"/>
        </w:rPr>
        <w:t>objet que des seules restrictions prévues par la loi et qui sont nécessaires à la protection de la sécurité, de l</w:t>
      </w:r>
      <w:r>
        <w:rPr>
          <w:lang w:val="fr-FR"/>
        </w:rPr>
        <w:t>’</w:t>
      </w:r>
      <w:r w:rsidRPr="00ED3195">
        <w:rPr>
          <w:lang w:val="fr-FR"/>
        </w:rPr>
        <w:t>ordre et de la santé publics, ou de la morale ou des libertés et droits fondamentaux d</w:t>
      </w:r>
      <w:r>
        <w:rPr>
          <w:lang w:val="fr-FR"/>
        </w:rPr>
        <w:t>’</w:t>
      </w:r>
      <w:r w:rsidRPr="00ED3195">
        <w:rPr>
          <w:lang w:val="fr-FR"/>
        </w:rPr>
        <w:t>autrui. En l</w:t>
      </w:r>
      <w:r>
        <w:rPr>
          <w:lang w:val="fr-FR"/>
        </w:rPr>
        <w:t>’</w:t>
      </w:r>
      <w:r w:rsidRPr="00ED3195">
        <w:rPr>
          <w:lang w:val="fr-FR"/>
        </w:rPr>
        <w:t>espèce, le Comité relève que l</w:t>
      </w:r>
      <w:r>
        <w:rPr>
          <w:lang w:val="fr-FR"/>
        </w:rPr>
        <w:t>’</w:t>
      </w:r>
      <w:r w:rsidRPr="00ED3195">
        <w:rPr>
          <w:lang w:val="fr-FR"/>
        </w:rPr>
        <w:t>auteur a été condamné à une amende pour avoir organisé une réunion de membres de l</w:t>
      </w:r>
      <w:r>
        <w:rPr>
          <w:lang w:val="fr-FR"/>
        </w:rPr>
        <w:t>’</w:t>
      </w:r>
      <w:r w:rsidRPr="00ED3195">
        <w:rPr>
          <w:lang w:val="fr-FR"/>
        </w:rPr>
        <w:t>Association pour la conscience de Krishna, qui a été suivie d</w:t>
      </w:r>
      <w:r>
        <w:rPr>
          <w:lang w:val="fr-FR"/>
        </w:rPr>
        <w:t>’</w:t>
      </w:r>
      <w:r w:rsidRPr="00ED3195">
        <w:rPr>
          <w:lang w:val="fr-FR"/>
        </w:rPr>
        <w:t>une cérémonie religieuse, en un lieu autre que l</w:t>
      </w:r>
      <w:r>
        <w:rPr>
          <w:lang w:val="fr-FR"/>
        </w:rPr>
        <w:t>’</w:t>
      </w:r>
      <w:r w:rsidRPr="00ED3195">
        <w:rPr>
          <w:lang w:val="fr-FR"/>
        </w:rPr>
        <w:t>adresse à laquelle l</w:t>
      </w:r>
      <w:r>
        <w:rPr>
          <w:lang w:val="fr-FR"/>
        </w:rPr>
        <w:t>’</w:t>
      </w:r>
      <w:r w:rsidRPr="00ED3195">
        <w:rPr>
          <w:lang w:val="fr-FR"/>
        </w:rPr>
        <w:t>association était enregistrée</w:t>
      </w:r>
      <w:r>
        <w:rPr>
          <w:lang w:val="fr-FR"/>
        </w:rPr>
        <w:t>,</w:t>
      </w:r>
      <w:r w:rsidRPr="00ED3195">
        <w:rPr>
          <w:lang w:val="fr-FR"/>
        </w:rPr>
        <w:t xml:space="preserve"> sans en avoir informé au préalable le département régional des affaires religieuses. Le Comité considère que les autorités de l</w:t>
      </w:r>
      <w:r>
        <w:rPr>
          <w:lang w:val="fr-FR"/>
        </w:rPr>
        <w:t>’</w:t>
      </w:r>
      <w:r w:rsidRPr="00ED3195">
        <w:rPr>
          <w:lang w:val="fr-FR"/>
        </w:rPr>
        <w:t>État partie ont imposé des restrictions au droit de l</w:t>
      </w:r>
      <w:r>
        <w:rPr>
          <w:lang w:val="fr-FR"/>
        </w:rPr>
        <w:t>’</w:t>
      </w:r>
      <w:r w:rsidRPr="00ED3195">
        <w:rPr>
          <w:lang w:val="fr-FR"/>
        </w:rPr>
        <w:t>auteur de manifester ses convictions en commun et que la peine d</w:t>
      </w:r>
      <w:r>
        <w:rPr>
          <w:lang w:val="fr-FR"/>
        </w:rPr>
        <w:t>’</w:t>
      </w:r>
      <w:r w:rsidRPr="00ED3195">
        <w:rPr>
          <w:lang w:val="fr-FR"/>
        </w:rPr>
        <w:t>amende constitue une restriction de ce droit.</w:t>
      </w:r>
    </w:p>
    <w:p w14:paraId="391DD2D5" w14:textId="77777777" w:rsidR="00FA4C28" w:rsidRPr="00ED3195" w:rsidRDefault="00FA4C28" w:rsidP="00C339D7">
      <w:pPr>
        <w:pStyle w:val="SingleTxtG"/>
        <w:rPr>
          <w:lang w:val="fr-FR"/>
        </w:rPr>
      </w:pPr>
      <w:r w:rsidRPr="00ED3195">
        <w:rPr>
          <w:lang w:val="fr-FR"/>
        </w:rPr>
        <w:t>10.3</w:t>
      </w:r>
      <w:r w:rsidRPr="00ED3195">
        <w:rPr>
          <w:lang w:val="fr-FR"/>
        </w:rPr>
        <w:tab/>
        <w:t>Le Comité doit maintenant se pencher sur la question de savoir si les restrictions au droit de l</w:t>
      </w:r>
      <w:r>
        <w:rPr>
          <w:lang w:val="fr-FR"/>
        </w:rPr>
        <w:t>’</w:t>
      </w:r>
      <w:r w:rsidRPr="00ED3195">
        <w:rPr>
          <w:lang w:val="fr-FR"/>
        </w:rPr>
        <w:t>auteur de manifester sa religion sont « nécessaires à la protection de la sécurité, de l</w:t>
      </w:r>
      <w:r>
        <w:rPr>
          <w:lang w:val="fr-FR"/>
        </w:rPr>
        <w:t>’</w:t>
      </w:r>
      <w:r w:rsidRPr="00ED3195">
        <w:rPr>
          <w:lang w:val="fr-FR"/>
        </w:rPr>
        <w:t>ordre et de la santé publique, ou de la morale ou des libertés et droits fondamentaux d</w:t>
      </w:r>
      <w:r>
        <w:rPr>
          <w:lang w:val="fr-FR"/>
        </w:rPr>
        <w:t>’</w:t>
      </w:r>
      <w:r w:rsidRPr="00ED3195">
        <w:rPr>
          <w:lang w:val="fr-FR"/>
        </w:rPr>
        <w:t>autrui » au sens du paragraphe 3 de l</w:t>
      </w:r>
      <w:r>
        <w:rPr>
          <w:lang w:val="fr-FR"/>
        </w:rPr>
        <w:t>’</w:t>
      </w:r>
      <w:r w:rsidRPr="00ED3195">
        <w:rPr>
          <w:lang w:val="fr-FR"/>
        </w:rPr>
        <w:t xml:space="preserve">article 18 du Pacte. </w:t>
      </w:r>
      <w:r>
        <w:rPr>
          <w:lang w:val="fr-FR"/>
        </w:rPr>
        <w:t>Il</w:t>
      </w:r>
      <w:r w:rsidRPr="00ED3195">
        <w:rPr>
          <w:lang w:val="fr-FR"/>
        </w:rPr>
        <w:t xml:space="preserve"> rappelle son </w:t>
      </w:r>
      <w:bookmarkStart w:id="1" w:name="_Hlk10541509"/>
      <w:r w:rsidRPr="00ED3195">
        <w:rPr>
          <w:lang w:val="fr-FR"/>
        </w:rPr>
        <w:t>observation générale n</w:t>
      </w:r>
      <w:r w:rsidRPr="00ED3195">
        <w:rPr>
          <w:vertAlign w:val="superscript"/>
          <w:lang w:val="fr-FR"/>
        </w:rPr>
        <w:t>o</w:t>
      </w:r>
      <w:r w:rsidRPr="00ED3195">
        <w:rPr>
          <w:lang w:val="fr-FR"/>
        </w:rPr>
        <w:t> 22</w:t>
      </w:r>
      <w:bookmarkEnd w:id="1"/>
      <w:r>
        <w:rPr>
          <w:lang w:val="fr-FR"/>
        </w:rPr>
        <w:t xml:space="preserve"> (1993) sur le droit à la liberté de pensée, </w:t>
      </w:r>
      <w:r>
        <w:t>de conscience et de religion</w:t>
      </w:r>
      <w:r w:rsidRPr="00ED3195">
        <w:rPr>
          <w:lang w:val="fr-FR"/>
        </w:rPr>
        <w:t xml:space="preserve">, </w:t>
      </w:r>
      <w:r>
        <w:rPr>
          <w:lang w:val="fr-FR"/>
        </w:rPr>
        <w:t>dans laquelle il affirme (par.</w:t>
      </w:r>
      <w:r w:rsidR="00C339D7">
        <w:rPr>
          <w:lang w:val="fr-FR"/>
        </w:rPr>
        <w:t> </w:t>
      </w:r>
      <w:r>
        <w:rPr>
          <w:lang w:val="fr-FR"/>
        </w:rPr>
        <w:t>8)</w:t>
      </w:r>
      <w:r w:rsidRPr="00ED3195">
        <w:rPr>
          <w:lang w:val="fr-FR"/>
        </w:rPr>
        <w:t xml:space="preserve"> que le paragraphe 3 de l</w:t>
      </w:r>
      <w:r>
        <w:rPr>
          <w:lang w:val="fr-FR"/>
        </w:rPr>
        <w:t>’</w:t>
      </w:r>
      <w:r w:rsidRPr="00ED3195">
        <w:rPr>
          <w:lang w:val="fr-FR"/>
        </w:rPr>
        <w:t>article 18 doit être interprété au sens strict, et que les restrictions ne doivent être appliquées qu</w:t>
      </w:r>
      <w:r>
        <w:rPr>
          <w:lang w:val="fr-FR"/>
        </w:rPr>
        <w:t>’</w:t>
      </w:r>
      <w:r w:rsidRPr="00ED3195">
        <w:rPr>
          <w:lang w:val="fr-FR"/>
        </w:rPr>
        <w:t xml:space="preserve">aux fins pour lesquelles elles ont </w:t>
      </w:r>
      <w:r w:rsidRPr="00ED3195">
        <w:rPr>
          <w:lang w:val="fr-FR"/>
        </w:rPr>
        <w:lastRenderedPageBreak/>
        <w:t>été prescrites et doivent être en rapport direct avec l</w:t>
      </w:r>
      <w:r>
        <w:rPr>
          <w:lang w:val="fr-FR"/>
        </w:rPr>
        <w:t>’</w:t>
      </w:r>
      <w:r w:rsidRPr="00ED3195">
        <w:rPr>
          <w:lang w:val="fr-FR"/>
        </w:rPr>
        <w:t>objectif spécifique qui les inspire et proportionnelles à celui-ci. Le Comité rappelle en outre que, lorsqu</w:t>
      </w:r>
      <w:r>
        <w:rPr>
          <w:lang w:val="fr-FR"/>
        </w:rPr>
        <w:t>’</w:t>
      </w:r>
      <w:r w:rsidRPr="00ED3195">
        <w:rPr>
          <w:lang w:val="fr-FR"/>
        </w:rPr>
        <w:t>ils interprètent la portée des clauses relatives aux restrictions autorisées, les États parties devraient s</w:t>
      </w:r>
      <w:r>
        <w:rPr>
          <w:lang w:val="fr-FR"/>
        </w:rPr>
        <w:t>’</w:t>
      </w:r>
      <w:r w:rsidRPr="00ED3195">
        <w:rPr>
          <w:lang w:val="fr-FR"/>
        </w:rPr>
        <w:t>inspirer de la nécessité de protéger les droits garantis par le Pacte, y compris le droit à l</w:t>
      </w:r>
      <w:r>
        <w:rPr>
          <w:lang w:val="fr-FR"/>
        </w:rPr>
        <w:t>’</w:t>
      </w:r>
      <w:r w:rsidRPr="00ED3195">
        <w:rPr>
          <w:lang w:val="fr-FR"/>
        </w:rPr>
        <w:t>égalité et le droit de ne faire l</w:t>
      </w:r>
      <w:r>
        <w:rPr>
          <w:lang w:val="fr-FR"/>
        </w:rPr>
        <w:t>’</w:t>
      </w:r>
      <w:r w:rsidRPr="00ED3195">
        <w:rPr>
          <w:lang w:val="fr-FR"/>
        </w:rPr>
        <w:t>objet d</w:t>
      </w:r>
      <w:r>
        <w:rPr>
          <w:lang w:val="fr-FR"/>
        </w:rPr>
        <w:t>’</w:t>
      </w:r>
      <w:r w:rsidRPr="00ED3195">
        <w:rPr>
          <w:lang w:val="fr-FR"/>
        </w:rPr>
        <w:t>aucune discrimination fondée sur les motifs spécifiés aux articles 2, 3 et 26.</w:t>
      </w:r>
    </w:p>
    <w:p w14:paraId="482E003B" w14:textId="77777777" w:rsidR="00FA4C28" w:rsidRPr="00ED3195" w:rsidRDefault="00FA4C28" w:rsidP="00C339D7">
      <w:pPr>
        <w:pStyle w:val="SingleTxtG"/>
        <w:rPr>
          <w:lang w:val="fr-FR"/>
        </w:rPr>
      </w:pPr>
      <w:r w:rsidRPr="00ED3195">
        <w:rPr>
          <w:lang w:val="fr-FR"/>
        </w:rPr>
        <w:t>10.4</w:t>
      </w:r>
      <w:r w:rsidRPr="00ED3195">
        <w:rPr>
          <w:lang w:val="fr-FR"/>
        </w:rPr>
        <w:tab/>
        <w:t>Le Comité note qu</w:t>
      </w:r>
      <w:r>
        <w:rPr>
          <w:lang w:val="fr-FR"/>
        </w:rPr>
        <w:t xml:space="preserve">’un policier était présent lors de l’événement en question et que celui-ci avait invité </w:t>
      </w:r>
      <w:r w:rsidRPr="000F4E8D">
        <w:rPr>
          <w:lang w:val="fr-FR"/>
        </w:rPr>
        <w:t>un représentant du département régional des affaires religieuses à assister également à la ré</w:t>
      </w:r>
      <w:r>
        <w:rPr>
          <w:lang w:val="fr-FR"/>
        </w:rPr>
        <w:t xml:space="preserve">union. Il constate que </w:t>
      </w:r>
      <w:r w:rsidRPr="00ED3195">
        <w:rPr>
          <w:lang w:val="fr-FR"/>
        </w:rPr>
        <w:t>l</w:t>
      </w:r>
      <w:r>
        <w:rPr>
          <w:lang w:val="fr-FR"/>
        </w:rPr>
        <w:t>’</w:t>
      </w:r>
      <w:r w:rsidRPr="00ED3195">
        <w:rPr>
          <w:lang w:val="fr-FR"/>
        </w:rPr>
        <w:t>État partie n</w:t>
      </w:r>
      <w:r>
        <w:rPr>
          <w:lang w:val="fr-FR"/>
        </w:rPr>
        <w:t>’</w:t>
      </w:r>
      <w:r w:rsidRPr="00ED3195">
        <w:rPr>
          <w:lang w:val="fr-FR"/>
        </w:rPr>
        <w:t xml:space="preserve">a avancé aucun argument expliquant pourquoi il </w:t>
      </w:r>
      <w:r>
        <w:rPr>
          <w:lang w:val="fr-FR"/>
        </w:rPr>
        <w:t xml:space="preserve">serait </w:t>
      </w:r>
      <w:r w:rsidRPr="00ED3195">
        <w:rPr>
          <w:lang w:val="fr-FR"/>
        </w:rPr>
        <w:t>nécessaire, aux fins du paragraphe 3 de l</w:t>
      </w:r>
      <w:r>
        <w:rPr>
          <w:lang w:val="fr-FR"/>
        </w:rPr>
        <w:t>’</w:t>
      </w:r>
      <w:r w:rsidRPr="00ED3195">
        <w:rPr>
          <w:lang w:val="fr-FR"/>
        </w:rPr>
        <w:t>article 18, que l</w:t>
      </w:r>
      <w:r>
        <w:rPr>
          <w:lang w:val="fr-FR"/>
        </w:rPr>
        <w:t>’</w:t>
      </w:r>
      <w:r w:rsidRPr="00ED3195">
        <w:rPr>
          <w:lang w:val="fr-FR"/>
        </w:rPr>
        <w:t>auteur, lorsqu</w:t>
      </w:r>
      <w:r>
        <w:rPr>
          <w:lang w:val="fr-FR"/>
        </w:rPr>
        <w:t>’</w:t>
      </w:r>
      <w:r w:rsidRPr="00ED3195">
        <w:rPr>
          <w:lang w:val="fr-FR"/>
        </w:rPr>
        <w:t>il souhaite organiser une réunion privée et une cérémonie religieuse avec les membres de son association religieuse, soit tenu d</w:t>
      </w:r>
      <w:r>
        <w:rPr>
          <w:lang w:val="fr-FR"/>
        </w:rPr>
        <w:t>’</w:t>
      </w:r>
      <w:r w:rsidRPr="00ED3195">
        <w:rPr>
          <w:lang w:val="fr-FR"/>
        </w:rPr>
        <w:t>en informer au préalable le département régional des affaires religieuses. En fait, l</w:t>
      </w:r>
      <w:r>
        <w:rPr>
          <w:lang w:val="fr-FR"/>
        </w:rPr>
        <w:t>’</w:t>
      </w:r>
      <w:r w:rsidRPr="00ED3195">
        <w:rPr>
          <w:lang w:val="fr-FR"/>
        </w:rPr>
        <w:t>État partie n</w:t>
      </w:r>
      <w:r>
        <w:rPr>
          <w:lang w:val="fr-FR"/>
        </w:rPr>
        <w:t>’</w:t>
      </w:r>
      <w:r w:rsidRPr="00ED3195">
        <w:rPr>
          <w:lang w:val="fr-FR"/>
        </w:rPr>
        <w:t>a pas essayé de justifier cette atteinte aux droits autrement qu</w:t>
      </w:r>
      <w:r>
        <w:rPr>
          <w:lang w:val="fr-FR"/>
        </w:rPr>
        <w:t>’</w:t>
      </w:r>
      <w:r w:rsidRPr="00ED3195">
        <w:rPr>
          <w:lang w:val="fr-FR"/>
        </w:rPr>
        <w:t xml:space="preserve">en citant une disposition de son droit interne </w:t>
      </w:r>
      <w:r>
        <w:rPr>
          <w:lang w:val="fr-FR"/>
        </w:rPr>
        <w:t>selon</w:t>
      </w:r>
      <w:r w:rsidRPr="00ED3195">
        <w:rPr>
          <w:lang w:val="fr-FR"/>
        </w:rPr>
        <w:t xml:space="preserve"> laquelle les </w:t>
      </w:r>
      <w:r w:rsidRPr="009F605B">
        <w:rPr>
          <w:spacing w:val="-1"/>
          <w:lang w:val="fr-FR"/>
        </w:rPr>
        <w:t>activités missionnaires doivent être exercées dans le respect de la législation du</w:t>
      </w:r>
      <w:r w:rsidRPr="00ED3195">
        <w:rPr>
          <w:lang w:val="fr-FR"/>
        </w:rPr>
        <w:t xml:space="preserve"> Kazakhstan</w:t>
      </w:r>
      <w:r>
        <w:rPr>
          <w:lang w:val="fr-FR"/>
        </w:rPr>
        <w:t>, sans indiquer quelle était précisément la disposition faisant l’objet de la violation</w:t>
      </w:r>
      <w:r w:rsidRPr="00ED3195">
        <w:rPr>
          <w:lang w:val="fr-FR"/>
        </w:rPr>
        <w:t>. Le Comité prend également note de l</w:t>
      </w:r>
      <w:r>
        <w:rPr>
          <w:lang w:val="fr-FR"/>
        </w:rPr>
        <w:t>’</w:t>
      </w:r>
      <w:r w:rsidRPr="00ED3195">
        <w:rPr>
          <w:lang w:val="fr-FR"/>
        </w:rPr>
        <w:t>argument de l</w:t>
      </w:r>
      <w:r>
        <w:rPr>
          <w:lang w:val="fr-FR"/>
        </w:rPr>
        <w:t>’</w:t>
      </w:r>
      <w:r w:rsidRPr="00ED3195">
        <w:rPr>
          <w:lang w:val="fr-FR"/>
        </w:rPr>
        <w:t>auteur, que l</w:t>
      </w:r>
      <w:r>
        <w:rPr>
          <w:lang w:val="fr-FR"/>
        </w:rPr>
        <w:t>’</w:t>
      </w:r>
      <w:r w:rsidRPr="00ED3195">
        <w:rPr>
          <w:lang w:val="fr-FR"/>
        </w:rPr>
        <w:t>État partie n</w:t>
      </w:r>
      <w:r>
        <w:rPr>
          <w:lang w:val="fr-FR"/>
        </w:rPr>
        <w:t>’</w:t>
      </w:r>
      <w:r w:rsidRPr="00ED3195">
        <w:rPr>
          <w:lang w:val="fr-FR"/>
        </w:rPr>
        <w:t>a pas réfuté, selon lequel lorsque la cérémonie en cause a eu lieu, aucune disposition législative en vigueur n</w:t>
      </w:r>
      <w:r>
        <w:rPr>
          <w:lang w:val="fr-FR"/>
        </w:rPr>
        <w:t>’</w:t>
      </w:r>
      <w:r w:rsidRPr="00ED3195">
        <w:rPr>
          <w:lang w:val="fr-FR"/>
        </w:rPr>
        <w:t>obligeait l</w:t>
      </w:r>
      <w:r>
        <w:rPr>
          <w:lang w:val="fr-FR"/>
        </w:rPr>
        <w:t>’</w:t>
      </w:r>
      <w:r w:rsidRPr="00ED3195">
        <w:rPr>
          <w:lang w:val="fr-FR"/>
        </w:rPr>
        <w:t xml:space="preserve">auteur à </w:t>
      </w:r>
      <w:r>
        <w:rPr>
          <w:lang w:val="fr-FR"/>
        </w:rPr>
        <w:t>informer le</w:t>
      </w:r>
      <w:r w:rsidRPr="00ED3195">
        <w:rPr>
          <w:lang w:val="fr-FR"/>
        </w:rPr>
        <w:t xml:space="preserve"> département des affaires religieuses </w:t>
      </w:r>
      <w:r>
        <w:rPr>
          <w:lang w:val="fr-FR"/>
        </w:rPr>
        <w:t>de la tenue d’</w:t>
      </w:r>
      <w:r w:rsidRPr="00ED3195">
        <w:rPr>
          <w:lang w:val="fr-FR"/>
        </w:rPr>
        <w:t>activités religieuses ailleurs qu</w:t>
      </w:r>
      <w:r>
        <w:rPr>
          <w:lang w:val="fr-FR"/>
        </w:rPr>
        <w:t>’</w:t>
      </w:r>
      <w:r w:rsidRPr="00ED3195">
        <w:rPr>
          <w:lang w:val="fr-FR"/>
        </w:rPr>
        <w:t>à l</w:t>
      </w:r>
      <w:r>
        <w:rPr>
          <w:lang w:val="fr-FR"/>
        </w:rPr>
        <w:t>’</w:t>
      </w:r>
      <w:r w:rsidRPr="00ED3195">
        <w:rPr>
          <w:lang w:val="fr-FR"/>
        </w:rPr>
        <w:t>adresse enregistrée. Le Comité conclut que la peine prononcée contre l</w:t>
      </w:r>
      <w:r>
        <w:rPr>
          <w:lang w:val="fr-FR"/>
        </w:rPr>
        <w:t>’</w:t>
      </w:r>
      <w:r w:rsidRPr="00ED3195">
        <w:rPr>
          <w:lang w:val="fr-FR"/>
        </w:rPr>
        <w:t>auteur équivaut à une restriction du droit de celui-ci de manifester sa religion en commun en vertu du paragraphe 1 de l</w:t>
      </w:r>
      <w:r>
        <w:rPr>
          <w:lang w:val="fr-FR"/>
        </w:rPr>
        <w:t>’</w:t>
      </w:r>
      <w:r w:rsidRPr="00ED3195">
        <w:rPr>
          <w:lang w:val="fr-FR"/>
        </w:rPr>
        <w:t xml:space="preserve">article 18 ; </w:t>
      </w:r>
      <w:r>
        <w:rPr>
          <w:lang w:val="fr-FR"/>
        </w:rPr>
        <w:t xml:space="preserve">que cette restriction n’était pas fondée sur la législation en vigueur au moment des faits et </w:t>
      </w:r>
      <w:r w:rsidRPr="00ED3195">
        <w:rPr>
          <w:lang w:val="fr-FR"/>
        </w:rPr>
        <w:t>qu</w:t>
      </w:r>
      <w:r>
        <w:rPr>
          <w:lang w:val="fr-FR"/>
        </w:rPr>
        <w:t>’</w:t>
      </w:r>
      <w:r w:rsidRPr="00ED3195">
        <w:rPr>
          <w:lang w:val="fr-FR"/>
        </w:rPr>
        <w:t>il n</w:t>
      </w:r>
      <w:r>
        <w:rPr>
          <w:lang w:val="fr-FR"/>
        </w:rPr>
        <w:t>’</w:t>
      </w:r>
      <w:r w:rsidRPr="00ED3195">
        <w:rPr>
          <w:lang w:val="fr-FR"/>
        </w:rPr>
        <w:t xml:space="preserve">a pas été établi </w:t>
      </w:r>
      <w:r>
        <w:rPr>
          <w:lang w:val="fr-FR"/>
        </w:rPr>
        <w:t>qu’elle</w:t>
      </w:r>
      <w:r w:rsidRPr="00ED3195">
        <w:rPr>
          <w:lang w:val="fr-FR"/>
        </w:rPr>
        <w:t xml:space="preserve"> servait un des buts légitimes visés au paragraphe 3 de l</w:t>
      </w:r>
      <w:r>
        <w:rPr>
          <w:lang w:val="fr-FR"/>
        </w:rPr>
        <w:t>’</w:t>
      </w:r>
      <w:r w:rsidRPr="00ED3195">
        <w:rPr>
          <w:lang w:val="fr-FR"/>
        </w:rPr>
        <w:t>article 18 ; et que l</w:t>
      </w:r>
      <w:r>
        <w:rPr>
          <w:lang w:val="fr-FR"/>
        </w:rPr>
        <w:t>’</w:t>
      </w:r>
      <w:r w:rsidRPr="00ED3195">
        <w:rPr>
          <w:lang w:val="fr-FR"/>
        </w:rPr>
        <w:t>État partie n</w:t>
      </w:r>
      <w:r>
        <w:rPr>
          <w:lang w:val="fr-FR"/>
        </w:rPr>
        <w:t>’</w:t>
      </w:r>
      <w:r w:rsidRPr="00ED3195">
        <w:rPr>
          <w:lang w:val="fr-FR"/>
        </w:rPr>
        <w:t>a pas non plus démontré que cette restriction générale du droit de manifester sa religion était proportionnelle à son objectif légitime, quel qu</w:t>
      </w:r>
      <w:r>
        <w:rPr>
          <w:lang w:val="fr-FR"/>
        </w:rPr>
        <w:t>’</w:t>
      </w:r>
      <w:r w:rsidRPr="00ED3195">
        <w:rPr>
          <w:lang w:val="fr-FR"/>
        </w:rPr>
        <w:t>il soit. Cette restriction ne satisfait donc pas aux conditions énoncées au paragraphe 3 de l</w:t>
      </w:r>
      <w:r>
        <w:rPr>
          <w:lang w:val="fr-FR"/>
        </w:rPr>
        <w:t>’</w:t>
      </w:r>
      <w:r w:rsidRPr="00ED3195">
        <w:rPr>
          <w:lang w:val="fr-FR"/>
        </w:rPr>
        <w:t>article 18 et le Comité considère en conséquence que les droits que l</w:t>
      </w:r>
      <w:r>
        <w:rPr>
          <w:lang w:val="fr-FR"/>
        </w:rPr>
        <w:t>’</w:t>
      </w:r>
      <w:r w:rsidRPr="00ED3195">
        <w:rPr>
          <w:lang w:val="fr-FR"/>
        </w:rPr>
        <w:t>auteur tenait du paragraphe 1 de l</w:t>
      </w:r>
      <w:r>
        <w:rPr>
          <w:lang w:val="fr-FR"/>
        </w:rPr>
        <w:t>’</w:t>
      </w:r>
      <w:r w:rsidRPr="00ED3195">
        <w:rPr>
          <w:lang w:val="fr-FR"/>
        </w:rPr>
        <w:t xml:space="preserve">article 18, lu </w:t>
      </w:r>
      <w:r>
        <w:rPr>
          <w:lang w:val="fr-FR"/>
        </w:rPr>
        <w:t xml:space="preserve">seul et </w:t>
      </w:r>
      <w:r w:rsidRPr="00ED3195">
        <w:rPr>
          <w:lang w:val="fr-FR"/>
        </w:rPr>
        <w:t>conjointement avec le paragraphe 3 de l</w:t>
      </w:r>
      <w:r>
        <w:rPr>
          <w:lang w:val="fr-FR"/>
        </w:rPr>
        <w:t>’</w:t>
      </w:r>
      <w:r w:rsidRPr="00ED3195">
        <w:rPr>
          <w:lang w:val="fr-FR"/>
        </w:rPr>
        <w:t>article 2 du Pacte, ont été violés.</w:t>
      </w:r>
    </w:p>
    <w:p w14:paraId="27CBC2E2" w14:textId="77777777" w:rsidR="00FA4C28" w:rsidRPr="00ED3195" w:rsidRDefault="00FA4C28" w:rsidP="00C339D7">
      <w:pPr>
        <w:pStyle w:val="SingleTxtG"/>
        <w:rPr>
          <w:lang w:val="fr-FR"/>
        </w:rPr>
      </w:pPr>
      <w:r w:rsidRPr="00ED3195">
        <w:rPr>
          <w:lang w:val="fr-FR"/>
        </w:rPr>
        <w:t>11.</w:t>
      </w:r>
      <w:r w:rsidRPr="00ED3195">
        <w:rPr>
          <w:lang w:val="fr-FR"/>
        </w:rPr>
        <w:tab/>
        <w:t>Le Comité des droits de l</w:t>
      </w:r>
      <w:r>
        <w:rPr>
          <w:lang w:val="fr-FR"/>
        </w:rPr>
        <w:t>’</w:t>
      </w:r>
      <w:r w:rsidRPr="00ED3195">
        <w:rPr>
          <w:lang w:val="fr-FR"/>
        </w:rPr>
        <w:t>homme, agissant en vertu du paragraphe 4 de l</w:t>
      </w:r>
      <w:r>
        <w:rPr>
          <w:lang w:val="fr-FR"/>
        </w:rPr>
        <w:t>’</w:t>
      </w:r>
      <w:r w:rsidRPr="00ED3195">
        <w:rPr>
          <w:lang w:val="fr-FR"/>
        </w:rPr>
        <w:t>article 5 du Protocole facultatif, constate que les faits dont il est saisi font apparaître une violation par l</w:t>
      </w:r>
      <w:r>
        <w:rPr>
          <w:lang w:val="fr-FR"/>
        </w:rPr>
        <w:t>’</w:t>
      </w:r>
      <w:r w:rsidRPr="00ED3195">
        <w:rPr>
          <w:lang w:val="fr-FR"/>
        </w:rPr>
        <w:t>État partie de l</w:t>
      </w:r>
      <w:r>
        <w:rPr>
          <w:lang w:val="fr-FR"/>
        </w:rPr>
        <w:t>’</w:t>
      </w:r>
      <w:r w:rsidRPr="00ED3195">
        <w:rPr>
          <w:lang w:val="fr-FR"/>
        </w:rPr>
        <w:t>article 18, lu</w:t>
      </w:r>
      <w:r>
        <w:rPr>
          <w:lang w:val="fr-FR"/>
        </w:rPr>
        <w:t xml:space="preserve"> seul et</w:t>
      </w:r>
      <w:r w:rsidRPr="00ED3195">
        <w:rPr>
          <w:lang w:val="fr-FR"/>
        </w:rPr>
        <w:t xml:space="preserve"> conjointement avec le paragraphe 3) de l</w:t>
      </w:r>
      <w:r>
        <w:rPr>
          <w:lang w:val="fr-FR"/>
        </w:rPr>
        <w:t>’</w:t>
      </w:r>
      <w:r w:rsidRPr="00ED3195">
        <w:rPr>
          <w:lang w:val="fr-FR"/>
        </w:rPr>
        <w:t>article 2 du Pacte.</w:t>
      </w:r>
    </w:p>
    <w:p w14:paraId="4F001DB6" w14:textId="77777777" w:rsidR="00FA4C28" w:rsidRPr="00ED3195" w:rsidRDefault="00FA4C28" w:rsidP="00C339D7">
      <w:pPr>
        <w:pStyle w:val="SingleTxtG"/>
        <w:rPr>
          <w:lang w:val="fr-FR"/>
        </w:rPr>
      </w:pPr>
      <w:r w:rsidRPr="00ED3195">
        <w:rPr>
          <w:lang w:val="fr-FR"/>
        </w:rPr>
        <w:t>12.</w:t>
      </w:r>
      <w:r w:rsidRPr="00ED3195">
        <w:rPr>
          <w:lang w:val="fr-FR"/>
        </w:rPr>
        <w:tab/>
        <w:t>Conformément au paragraphe 3 a) de l</w:t>
      </w:r>
      <w:r>
        <w:rPr>
          <w:lang w:val="fr-FR"/>
        </w:rPr>
        <w:t>’</w:t>
      </w:r>
      <w:r w:rsidRPr="00ED3195">
        <w:rPr>
          <w:lang w:val="fr-FR"/>
        </w:rPr>
        <w:t>article 2 du Pacte, l</w:t>
      </w:r>
      <w:r>
        <w:rPr>
          <w:lang w:val="fr-FR"/>
        </w:rPr>
        <w:t>’</w:t>
      </w:r>
      <w:r w:rsidRPr="00ED3195">
        <w:rPr>
          <w:lang w:val="fr-FR"/>
        </w:rPr>
        <w:t>État partie est tenu d</w:t>
      </w:r>
      <w:r>
        <w:rPr>
          <w:lang w:val="fr-FR"/>
        </w:rPr>
        <w:t>’</w:t>
      </w:r>
      <w:r w:rsidRPr="00ED3195">
        <w:rPr>
          <w:lang w:val="fr-FR"/>
        </w:rPr>
        <w:t>assurer à l</w:t>
      </w:r>
      <w:r>
        <w:rPr>
          <w:lang w:val="fr-FR"/>
        </w:rPr>
        <w:t>’</w:t>
      </w:r>
      <w:r w:rsidRPr="00ED3195">
        <w:rPr>
          <w:lang w:val="fr-FR"/>
        </w:rPr>
        <w:t xml:space="preserve">auteur une réparation effective. Il </w:t>
      </w:r>
      <w:r>
        <w:rPr>
          <w:lang w:val="fr-FR"/>
        </w:rPr>
        <w:t>a l’obligation</w:t>
      </w:r>
      <w:r w:rsidRPr="00ED3195">
        <w:rPr>
          <w:lang w:val="fr-FR"/>
        </w:rPr>
        <w:t xml:space="preserve"> d</w:t>
      </w:r>
      <w:r>
        <w:rPr>
          <w:lang w:val="fr-FR"/>
        </w:rPr>
        <w:t>’</w:t>
      </w:r>
      <w:r w:rsidRPr="00ED3195">
        <w:rPr>
          <w:lang w:val="fr-FR"/>
        </w:rPr>
        <w:t>accorder une réparation intégrale aux personnes dont les droits garantis par le Pacte ont été violés. En l</w:t>
      </w:r>
      <w:r>
        <w:rPr>
          <w:lang w:val="fr-FR"/>
        </w:rPr>
        <w:t>’</w:t>
      </w:r>
      <w:r w:rsidRPr="00ED3195">
        <w:rPr>
          <w:lang w:val="fr-FR"/>
        </w:rPr>
        <w:t>espèce, l</w:t>
      </w:r>
      <w:r>
        <w:rPr>
          <w:lang w:val="fr-FR"/>
        </w:rPr>
        <w:t>’</w:t>
      </w:r>
      <w:r w:rsidRPr="00ED3195">
        <w:rPr>
          <w:lang w:val="fr-FR"/>
        </w:rPr>
        <w:t>État partie est tenu, notamment, d</w:t>
      </w:r>
      <w:r>
        <w:rPr>
          <w:lang w:val="fr-FR"/>
        </w:rPr>
        <w:t>’</w:t>
      </w:r>
      <w:r w:rsidRPr="00ED3195">
        <w:rPr>
          <w:lang w:val="fr-FR"/>
        </w:rPr>
        <w:t>accorder à l</w:t>
      </w:r>
      <w:r>
        <w:rPr>
          <w:lang w:val="fr-FR"/>
        </w:rPr>
        <w:t>’</w:t>
      </w:r>
      <w:r w:rsidRPr="00ED3195">
        <w:rPr>
          <w:lang w:val="fr-FR"/>
        </w:rPr>
        <w:t>auteur une indemnisation adéquate, y</w:t>
      </w:r>
      <w:r>
        <w:rPr>
          <w:lang w:val="fr-FR"/>
        </w:rPr>
        <w:t> </w:t>
      </w:r>
      <w:r w:rsidRPr="00ED3195">
        <w:rPr>
          <w:lang w:val="fr-FR"/>
        </w:rPr>
        <w:t>compris en lui remboursant le montant de l</w:t>
      </w:r>
      <w:r>
        <w:rPr>
          <w:lang w:val="fr-FR"/>
        </w:rPr>
        <w:t>’</w:t>
      </w:r>
      <w:r w:rsidRPr="00ED3195">
        <w:rPr>
          <w:lang w:val="fr-FR"/>
        </w:rPr>
        <w:t>amende qu</w:t>
      </w:r>
      <w:r>
        <w:rPr>
          <w:lang w:val="fr-FR"/>
        </w:rPr>
        <w:t>’</w:t>
      </w:r>
      <w:r w:rsidRPr="00ED3195">
        <w:rPr>
          <w:lang w:val="fr-FR"/>
        </w:rPr>
        <w:t>il a acquittée et les frais de justice et autres dépens qu</w:t>
      </w:r>
      <w:r>
        <w:rPr>
          <w:lang w:val="fr-FR"/>
        </w:rPr>
        <w:t>’</w:t>
      </w:r>
      <w:r w:rsidRPr="00ED3195">
        <w:rPr>
          <w:lang w:val="fr-FR"/>
        </w:rPr>
        <w:t>il a encourus. L</w:t>
      </w:r>
      <w:r>
        <w:rPr>
          <w:lang w:val="fr-FR"/>
        </w:rPr>
        <w:t>’</w:t>
      </w:r>
      <w:r w:rsidRPr="00ED3195">
        <w:rPr>
          <w:lang w:val="fr-FR"/>
        </w:rPr>
        <w:t>État partie est également tenu de prendre toutes les mesures nécessaires pour éviter que des violations similaires se produisent à l</w:t>
      </w:r>
      <w:r>
        <w:rPr>
          <w:lang w:val="fr-FR"/>
        </w:rPr>
        <w:t>’</w:t>
      </w:r>
      <w:r w:rsidRPr="00ED3195">
        <w:rPr>
          <w:lang w:val="fr-FR"/>
        </w:rPr>
        <w:t>avenir</w:t>
      </w:r>
      <w:r>
        <w:rPr>
          <w:lang w:val="fr-FR"/>
        </w:rPr>
        <w:t>.</w:t>
      </w:r>
    </w:p>
    <w:p w14:paraId="52809F24" w14:textId="77777777" w:rsidR="00FA4C28" w:rsidRDefault="00FA4C28" w:rsidP="00C339D7">
      <w:pPr>
        <w:pStyle w:val="SingleTxtG"/>
        <w:rPr>
          <w:lang w:val="fr-FR"/>
        </w:rPr>
      </w:pPr>
      <w:r w:rsidRPr="00ED3195">
        <w:rPr>
          <w:lang w:val="fr-FR"/>
        </w:rPr>
        <w:t>13.</w:t>
      </w:r>
      <w:r w:rsidRPr="00ED3195">
        <w:rPr>
          <w:lang w:val="fr-FR"/>
        </w:rPr>
        <w:tab/>
        <w:t>Étant donné qu</w:t>
      </w:r>
      <w:r>
        <w:rPr>
          <w:lang w:val="fr-FR"/>
        </w:rPr>
        <w:t>’</w:t>
      </w:r>
      <w:r w:rsidRPr="00ED3195">
        <w:rPr>
          <w:lang w:val="fr-FR"/>
        </w:rPr>
        <w:t>en adhérant au Protocole facultatif, l</w:t>
      </w:r>
      <w:r>
        <w:rPr>
          <w:lang w:val="fr-FR"/>
        </w:rPr>
        <w:t>’</w:t>
      </w:r>
      <w:r w:rsidRPr="00ED3195">
        <w:rPr>
          <w:lang w:val="fr-FR"/>
        </w:rPr>
        <w:t>État partie a reconnu que le Comité a compétence pour déterminer s</w:t>
      </w:r>
      <w:r>
        <w:rPr>
          <w:lang w:val="fr-FR"/>
        </w:rPr>
        <w:t>’</w:t>
      </w:r>
      <w:r w:rsidRPr="00ED3195">
        <w:rPr>
          <w:lang w:val="fr-FR"/>
        </w:rPr>
        <w:t>il y a ou non violation du Pacte et que, conformément à l</w:t>
      </w:r>
      <w:r>
        <w:rPr>
          <w:lang w:val="fr-FR"/>
        </w:rPr>
        <w:t>’</w:t>
      </w:r>
      <w:r w:rsidRPr="00ED3195">
        <w:rPr>
          <w:lang w:val="fr-FR"/>
        </w:rPr>
        <w:t>article 2 du Pacte, il s</w:t>
      </w:r>
      <w:r>
        <w:rPr>
          <w:lang w:val="fr-FR"/>
        </w:rPr>
        <w:t>’</w:t>
      </w:r>
      <w:r w:rsidRPr="00ED3195">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ED3195">
        <w:rPr>
          <w:lang w:val="fr-FR"/>
        </w:rPr>
        <w:t>une violation a été établie, le Comité souhaite recevoir de l</w:t>
      </w:r>
      <w:r>
        <w:rPr>
          <w:lang w:val="fr-FR"/>
        </w:rPr>
        <w:t>’</w:t>
      </w:r>
      <w:r w:rsidRPr="00ED3195">
        <w:rPr>
          <w:lang w:val="fr-FR"/>
        </w:rPr>
        <w:t xml:space="preserve">État partie, dans un délai de </w:t>
      </w:r>
      <w:r w:rsidR="00CF76F0">
        <w:rPr>
          <w:lang w:val="fr-FR"/>
        </w:rPr>
        <w:t xml:space="preserve">centre-quatre-vingts </w:t>
      </w:r>
      <w:r w:rsidRPr="00ED3195">
        <w:rPr>
          <w:lang w:val="fr-FR"/>
        </w:rPr>
        <w:t>jours, des renseignements sur les mesures prises pour donner effet aux présentes constatations. L</w:t>
      </w:r>
      <w:r>
        <w:rPr>
          <w:lang w:val="fr-FR"/>
        </w:rPr>
        <w:t>’</w:t>
      </w:r>
      <w:r w:rsidRPr="00ED3195">
        <w:rPr>
          <w:lang w:val="fr-FR"/>
        </w:rPr>
        <w:t>État partie est invité en outre à rendre celles</w:t>
      </w:r>
      <w:r w:rsidRPr="00ED3195">
        <w:rPr>
          <w:lang w:val="fr-FR"/>
        </w:rPr>
        <w:noBreakHyphen/>
        <w:t>ci publiques et à les diffuser largement dans toutes ses langues officielles.</w:t>
      </w:r>
    </w:p>
    <w:p w14:paraId="2B66019E" w14:textId="77777777" w:rsidR="00C339D7" w:rsidRPr="00C339D7" w:rsidRDefault="00C339D7" w:rsidP="00C339D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339D7" w:rsidRPr="00C339D7" w:rsidSect="00FA4C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00B1" w14:textId="77777777" w:rsidR="00C339D7" w:rsidRDefault="00C339D7" w:rsidP="00F95C08">
      <w:pPr>
        <w:spacing w:line="240" w:lineRule="auto"/>
      </w:pPr>
    </w:p>
  </w:endnote>
  <w:endnote w:type="continuationSeparator" w:id="0">
    <w:p w14:paraId="0EB0B326" w14:textId="77777777" w:rsidR="00C339D7" w:rsidRPr="00AC3823" w:rsidRDefault="00C339D7" w:rsidP="00AC3823">
      <w:pPr>
        <w:pStyle w:val="Pieddepage"/>
      </w:pPr>
    </w:p>
  </w:endnote>
  <w:endnote w:type="continuationNotice" w:id="1">
    <w:p w14:paraId="368AED9D" w14:textId="77777777" w:rsidR="00C339D7" w:rsidRDefault="00C339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A43D" w14:textId="77777777" w:rsidR="00C339D7" w:rsidRPr="00FA4C28" w:rsidRDefault="00C339D7" w:rsidP="00FA4C28">
    <w:pPr>
      <w:pStyle w:val="Pieddepage"/>
      <w:tabs>
        <w:tab w:val="right" w:pos="9638"/>
      </w:tabs>
    </w:pPr>
    <w:r w:rsidRPr="00FA4C28">
      <w:rPr>
        <w:b/>
        <w:sz w:val="18"/>
      </w:rPr>
      <w:fldChar w:fldCharType="begin"/>
    </w:r>
    <w:r w:rsidRPr="00FA4C28">
      <w:rPr>
        <w:b/>
        <w:sz w:val="18"/>
      </w:rPr>
      <w:instrText xml:space="preserve"> PAGE  \* MERGEFORMAT </w:instrText>
    </w:r>
    <w:r w:rsidRPr="00FA4C28">
      <w:rPr>
        <w:b/>
        <w:sz w:val="18"/>
      </w:rPr>
      <w:fldChar w:fldCharType="separate"/>
    </w:r>
    <w:r w:rsidRPr="00FA4C28">
      <w:rPr>
        <w:b/>
        <w:noProof/>
        <w:sz w:val="18"/>
      </w:rPr>
      <w:t>2</w:t>
    </w:r>
    <w:r w:rsidRPr="00FA4C28">
      <w:rPr>
        <w:b/>
        <w:sz w:val="18"/>
      </w:rPr>
      <w:fldChar w:fldCharType="end"/>
    </w:r>
    <w:r>
      <w:rPr>
        <w:b/>
        <w:sz w:val="18"/>
      </w:rPr>
      <w:tab/>
    </w:r>
    <w:r>
      <w:t>GE.19-16802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ED43" w14:textId="77777777" w:rsidR="00C339D7" w:rsidRPr="00FA4C28" w:rsidRDefault="00C339D7" w:rsidP="00FA4C28">
    <w:pPr>
      <w:pStyle w:val="Pieddepage"/>
      <w:tabs>
        <w:tab w:val="right" w:pos="9638"/>
      </w:tabs>
      <w:rPr>
        <w:b/>
        <w:sz w:val="18"/>
      </w:rPr>
    </w:pPr>
    <w:r>
      <w:t>GE.19-16802</w:t>
    </w:r>
    <w:r>
      <w:tab/>
    </w:r>
    <w:r w:rsidRPr="00FA4C28">
      <w:rPr>
        <w:b/>
        <w:sz w:val="18"/>
      </w:rPr>
      <w:fldChar w:fldCharType="begin"/>
    </w:r>
    <w:r w:rsidRPr="00FA4C28">
      <w:rPr>
        <w:b/>
        <w:sz w:val="18"/>
      </w:rPr>
      <w:instrText xml:space="preserve"> PAGE  \* MERGEFORMAT </w:instrText>
    </w:r>
    <w:r w:rsidRPr="00FA4C28">
      <w:rPr>
        <w:b/>
        <w:sz w:val="18"/>
      </w:rPr>
      <w:fldChar w:fldCharType="separate"/>
    </w:r>
    <w:r w:rsidRPr="00FA4C28">
      <w:rPr>
        <w:b/>
        <w:noProof/>
        <w:sz w:val="18"/>
      </w:rPr>
      <w:t>3</w:t>
    </w:r>
    <w:r w:rsidRPr="00FA4C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39C3" w14:textId="77777777" w:rsidR="00C339D7" w:rsidRPr="00FA4C28" w:rsidRDefault="00C339D7" w:rsidP="00FA4C2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8524ABE" wp14:editId="480A37A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19-16802  (F)    070920    080920</w:t>
    </w:r>
    <w:r>
      <w:rPr>
        <w:sz w:val="20"/>
      </w:rPr>
      <w:br/>
    </w:r>
    <w:r w:rsidRPr="00FA4C28">
      <w:rPr>
        <w:rFonts w:ascii="C39T30Lfz" w:hAnsi="C39T30Lfz"/>
        <w:sz w:val="56"/>
      </w:rPr>
      <w:t>*1916802*</w:t>
    </w:r>
    <w:r>
      <w:rPr>
        <w:noProof/>
        <w:sz w:val="20"/>
      </w:rPr>
      <w:drawing>
        <wp:anchor distT="0" distB="0" distL="114300" distR="114300" simplePos="0" relativeHeight="251661312" behindDoc="0" locked="0" layoutInCell="1" allowOverlap="1" wp14:anchorId="4B052F2C" wp14:editId="20EF855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D231" w14:textId="77777777" w:rsidR="00C339D7" w:rsidRPr="00AC3823" w:rsidRDefault="00C339D7" w:rsidP="00AC3823">
      <w:pPr>
        <w:pStyle w:val="Pieddepage"/>
        <w:tabs>
          <w:tab w:val="right" w:pos="2155"/>
        </w:tabs>
        <w:spacing w:after="80" w:line="240" w:lineRule="atLeast"/>
        <w:ind w:left="680"/>
        <w:rPr>
          <w:u w:val="single"/>
        </w:rPr>
      </w:pPr>
      <w:r>
        <w:rPr>
          <w:u w:val="single"/>
        </w:rPr>
        <w:tab/>
      </w:r>
    </w:p>
  </w:footnote>
  <w:footnote w:type="continuationSeparator" w:id="0">
    <w:p w14:paraId="2D409BE6" w14:textId="77777777" w:rsidR="00C339D7" w:rsidRPr="00AC3823" w:rsidRDefault="00C339D7" w:rsidP="00AC3823">
      <w:pPr>
        <w:pStyle w:val="Pieddepage"/>
        <w:tabs>
          <w:tab w:val="right" w:pos="2155"/>
        </w:tabs>
        <w:spacing w:after="80" w:line="240" w:lineRule="atLeast"/>
        <w:ind w:left="680"/>
        <w:rPr>
          <w:u w:val="single"/>
        </w:rPr>
      </w:pPr>
      <w:r>
        <w:rPr>
          <w:u w:val="single"/>
        </w:rPr>
        <w:tab/>
      </w:r>
    </w:p>
  </w:footnote>
  <w:footnote w:type="continuationNotice" w:id="1">
    <w:p w14:paraId="5F5301AF" w14:textId="77777777" w:rsidR="00C339D7" w:rsidRPr="00AC3823" w:rsidRDefault="00C339D7">
      <w:pPr>
        <w:spacing w:line="240" w:lineRule="auto"/>
        <w:rPr>
          <w:sz w:val="2"/>
          <w:szCs w:val="2"/>
        </w:rPr>
      </w:pPr>
    </w:p>
  </w:footnote>
  <w:footnote w:id="2">
    <w:p w14:paraId="2A9F5C65" w14:textId="77777777" w:rsidR="00CF76F0" w:rsidRPr="00CF76F0" w:rsidRDefault="00CF76F0">
      <w:pPr>
        <w:pStyle w:val="Notedebasdepage"/>
      </w:pPr>
      <w:r>
        <w:rPr>
          <w:rStyle w:val="Appelnotedebasdep"/>
        </w:rPr>
        <w:tab/>
      </w:r>
      <w:r w:rsidRPr="00CF76F0">
        <w:rPr>
          <w:rStyle w:val="Appelnotedebasdep"/>
          <w:sz w:val="20"/>
          <w:vertAlign w:val="baseline"/>
        </w:rPr>
        <w:t>*</w:t>
      </w:r>
      <w:r>
        <w:rPr>
          <w:rStyle w:val="Appelnotedebasdep"/>
          <w:sz w:val="20"/>
          <w:vertAlign w:val="baseline"/>
        </w:rPr>
        <w:tab/>
      </w:r>
      <w:r w:rsidRPr="00CF76F0">
        <w:rPr>
          <w:szCs w:val="18"/>
        </w:rPr>
        <w:t>Adoptée par le Comité à sa 126</w:t>
      </w:r>
      <w:r w:rsidRPr="00CF76F0">
        <w:rPr>
          <w:szCs w:val="18"/>
          <w:vertAlign w:val="superscript"/>
        </w:rPr>
        <w:t>e</w:t>
      </w:r>
      <w:r>
        <w:rPr>
          <w:szCs w:val="18"/>
        </w:rPr>
        <w:t> </w:t>
      </w:r>
      <w:r w:rsidRPr="00CF76F0">
        <w:rPr>
          <w:szCs w:val="18"/>
        </w:rPr>
        <w:t>session (1</w:t>
      </w:r>
      <w:r w:rsidRPr="00CF76F0">
        <w:rPr>
          <w:szCs w:val="18"/>
          <w:vertAlign w:val="superscript"/>
        </w:rPr>
        <w:t>er</w:t>
      </w:r>
      <w:r w:rsidRPr="00CF76F0">
        <w:rPr>
          <w:szCs w:val="18"/>
        </w:rPr>
        <w:t>-26 juillet 2019).</w:t>
      </w:r>
    </w:p>
  </w:footnote>
  <w:footnote w:id="3">
    <w:p w14:paraId="3EA86396" w14:textId="77777777" w:rsidR="00CF76F0" w:rsidRPr="00CF76F0" w:rsidRDefault="00CF76F0">
      <w:pPr>
        <w:pStyle w:val="Notedebasdepage"/>
        <w:rPr>
          <w:szCs w:val="18"/>
        </w:rPr>
      </w:pPr>
      <w:r>
        <w:rPr>
          <w:rStyle w:val="Appelnotedebasdep"/>
        </w:rPr>
        <w:tab/>
      </w:r>
      <w:r w:rsidRPr="00CF76F0">
        <w:rPr>
          <w:rStyle w:val="Appelnotedebasdep"/>
          <w:sz w:val="20"/>
          <w:vertAlign w:val="baseline"/>
        </w:rPr>
        <w:t>**</w:t>
      </w:r>
      <w:r>
        <w:rPr>
          <w:rStyle w:val="Appelnotedebasdep"/>
          <w:sz w:val="20"/>
          <w:vertAlign w:val="baseline"/>
        </w:rPr>
        <w:tab/>
      </w:r>
      <w:r w:rsidRPr="00CF76F0">
        <w:rPr>
          <w:szCs w:val="18"/>
        </w:rPr>
        <w:t>Les membres du Comité dont le nom suit ont participé à l’examen de la communication</w:t>
      </w:r>
      <w:r>
        <w:rPr>
          <w:szCs w:val="18"/>
        </w:rPr>
        <w:t> </w:t>
      </w:r>
      <w:r w:rsidRPr="00CF76F0">
        <w:rPr>
          <w:szCs w:val="18"/>
        </w:rPr>
        <w:t>: Tania</w:t>
      </w:r>
      <w:r>
        <w:rPr>
          <w:szCs w:val="18"/>
        </w:rPr>
        <w:t> </w:t>
      </w:r>
      <w:r w:rsidRPr="00CF76F0">
        <w:rPr>
          <w:szCs w:val="18"/>
        </w:rPr>
        <w:t>María</w:t>
      </w:r>
      <w:r>
        <w:rPr>
          <w:szCs w:val="18"/>
        </w:rPr>
        <w:t> </w:t>
      </w:r>
      <w:r w:rsidRPr="00CF76F0">
        <w:rPr>
          <w:szCs w:val="18"/>
        </w:rPr>
        <w:t xml:space="preserve">Abdo </w:t>
      </w:r>
      <w:proofErr w:type="spellStart"/>
      <w:r w:rsidRPr="00CF76F0">
        <w:rPr>
          <w:szCs w:val="18"/>
        </w:rPr>
        <w:t>Rocholl</w:t>
      </w:r>
      <w:proofErr w:type="spellEnd"/>
      <w:r w:rsidRPr="00CF76F0">
        <w:rPr>
          <w:szCs w:val="18"/>
        </w:rPr>
        <w:t xml:space="preserve">, </w:t>
      </w:r>
      <w:proofErr w:type="spellStart"/>
      <w:r w:rsidRPr="00CF76F0">
        <w:rPr>
          <w:szCs w:val="18"/>
        </w:rPr>
        <w:t>Yadh</w:t>
      </w:r>
      <w:proofErr w:type="spellEnd"/>
      <w:r w:rsidRPr="00CF76F0">
        <w:rPr>
          <w:szCs w:val="18"/>
        </w:rPr>
        <w:t xml:space="preserve"> Ben Achour, </w:t>
      </w:r>
      <w:proofErr w:type="spellStart"/>
      <w:r w:rsidRPr="00CF76F0">
        <w:rPr>
          <w:szCs w:val="18"/>
        </w:rPr>
        <w:t>Ilze</w:t>
      </w:r>
      <w:proofErr w:type="spellEnd"/>
      <w:r w:rsidRPr="00CF76F0">
        <w:rPr>
          <w:szCs w:val="18"/>
        </w:rPr>
        <w:t xml:space="preserve"> Brands </w:t>
      </w:r>
      <w:proofErr w:type="spellStart"/>
      <w:r w:rsidRPr="00CF76F0">
        <w:rPr>
          <w:szCs w:val="18"/>
        </w:rPr>
        <w:t>Kehris</w:t>
      </w:r>
      <w:proofErr w:type="spellEnd"/>
      <w:r w:rsidRPr="00CF76F0">
        <w:rPr>
          <w:szCs w:val="18"/>
        </w:rPr>
        <w:t xml:space="preserve">, Arif </w:t>
      </w:r>
      <w:proofErr w:type="spellStart"/>
      <w:r w:rsidRPr="00CF76F0">
        <w:rPr>
          <w:szCs w:val="18"/>
        </w:rPr>
        <w:t>Bulkan</w:t>
      </w:r>
      <w:proofErr w:type="spellEnd"/>
      <w:r w:rsidRPr="00CF76F0">
        <w:rPr>
          <w:szCs w:val="18"/>
        </w:rPr>
        <w:t>, Ahmed</w:t>
      </w:r>
      <w:r>
        <w:rPr>
          <w:szCs w:val="18"/>
        </w:rPr>
        <w:t> </w:t>
      </w:r>
      <w:r w:rsidRPr="00CF76F0">
        <w:rPr>
          <w:szCs w:val="18"/>
        </w:rPr>
        <w:t>Amin</w:t>
      </w:r>
      <w:r>
        <w:rPr>
          <w:szCs w:val="18"/>
        </w:rPr>
        <w:t> </w:t>
      </w:r>
      <w:proofErr w:type="spellStart"/>
      <w:r w:rsidRPr="00CF76F0">
        <w:rPr>
          <w:szCs w:val="18"/>
        </w:rPr>
        <w:t>Fathalla</w:t>
      </w:r>
      <w:proofErr w:type="spellEnd"/>
      <w:r w:rsidRPr="00CF76F0">
        <w:rPr>
          <w:szCs w:val="18"/>
        </w:rPr>
        <w:t xml:space="preserve">, </w:t>
      </w:r>
      <w:proofErr w:type="spellStart"/>
      <w:r w:rsidRPr="00CF76F0">
        <w:rPr>
          <w:szCs w:val="18"/>
        </w:rPr>
        <w:t>Shuichi</w:t>
      </w:r>
      <w:proofErr w:type="spellEnd"/>
      <w:r w:rsidRPr="00CF76F0">
        <w:rPr>
          <w:szCs w:val="18"/>
        </w:rPr>
        <w:t xml:space="preserve"> </w:t>
      </w:r>
      <w:proofErr w:type="spellStart"/>
      <w:r w:rsidRPr="00CF76F0">
        <w:rPr>
          <w:szCs w:val="18"/>
        </w:rPr>
        <w:t>Furuya</w:t>
      </w:r>
      <w:proofErr w:type="spellEnd"/>
      <w:r w:rsidRPr="00CF76F0">
        <w:rPr>
          <w:szCs w:val="18"/>
        </w:rPr>
        <w:t xml:space="preserve">, </w:t>
      </w:r>
      <w:proofErr w:type="spellStart"/>
      <w:r w:rsidRPr="00CF76F0">
        <w:rPr>
          <w:szCs w:val="18"/>
        </w:rPr>
        <w:t>Christof</w:t>
      </w:r>
      <w:proofErr w:type="spellEnd"/>
      <w:r w:rsidRPr="00CF76F0">
        <w:rPr>
          <w:szCs w:val="18"/>
        </w:rPr>
        <w:t xml:space="preserve"> </w:t>
      </w:r>
      <w:proofErr w:type="spellStart"/>
      <w:r w:rsidRPr="00CF76F0">
        <w:rPr>
          <w:szCs w:val="18"/>
        </w:rPr>
        <w:t>Heyns</w:t>
      </w:r>
      <w:proofErr w:type="spellEnd"/>
      <w:r w:rsidRPr="00CF76F0">
        <w:rPr>
          <w:szCs w:val="18"/>
        </w:rPr>
        <w:t xml:space="preserve">, </w:t>
      </w:r>
      <w:proofErr w:type="spellStart"/>
      <w:r w:rsidRPr="00CF76F0">
        <w:rPr>
          <w:szCs w:val="18"/>
        </w:rPr>
        <w:t>Bamariam</w:t>
      </w:r>
      <w:proofErr w:type="spellEnd"/>
      <w:r w:rsidRPr="00CF76F0">
        <w:rPr>
          <w:szCs w:val="18"/>
        </w:rPr>
        <w:t xml:space="preserve"> </w:t>
      </w:r>
      <w:proofErr w:type="spellStart"/>
      <w:r w:rsidRPr="00CF76F0">
        <w:rPr>
          <w:szCs w:val="18"/>
        </w:rPr>
        <w:t>Koita</w:t>
      </w:r>
      <w:proofErr w:type="spellEnd"/>
      <w:r w:rsidRPr="00CF76F0">
        <w:rPr>
          <w:szCs w:val="18"/>
        </w:rPr>
        <w:t xml:space="preserve">, Duncan Laki </w:t>
      </w:r>
      <w:proofErr w:type="spellStart"/>
      <w:r w:rsidRPr="00CF76F0">
        <w:rPr>
          <w:szCs w:val="18"/>
        </w:rPr>
        <w:t>Muhumuza</w:t>
      </w:r>
      <w:proofErr w:type="spellEnd"/>
      <w:r w:rsidRPr="00CF76F0">
        <w:rPr>
          <w:szCs w:val="18"/>
        </w:rPr>
        <w:t xml:space="preserve">, </w:t>
      </w:r>
      <w:proofErr w:type="spellStart"/>
      <w:r w:rsidRPr="00CF76F0">
        <w:rPr>
          <w:szCs w:val="18"/>
        </w:rPr>
        <w:t>Photini</w:t>
      </w:r>
      <w:proofErr w:type="spellEnd"/>
      <w:r w:rsidRPr="00CF76F0">
        <w:rPr>
          <w:szCs w:val="18"/>
        </w:rPr>
        <w:t xml:space="preserve"> </w:t>
      </w:r>
      <w:proofErr w:type="spellStart"/>
      <w:r w:rsidRPr="00CF76F0">
        <w:rPr>
          <w:szCs w:val="18"/>
        </w:rPr>
        <w:t>Pazartzis</w:t>
      </w:r>
      <w:proofErr w:type="spellEnd"/>
      <w:r w:rsidRPr="00CF76F0">
        <w:rPr>
          <w:szCs w:val="18"/>
        </w:rPr>
        <w:t xml:space="preserve">, Hernán </w:t>
      </w:r>
      <w:proofErr w:type="spellStart"/>
      <w:r w:rsidRPr="00CF76F0">
        <w:rPr>
          <w:szCs w:val="18"/>
        </w:rPr>
        <w:t>Quezada</w:t>
      </w:r>
      <w:proofErr w:type="spellEnd"/>
      <w:r w:rsidRPr="00CF76F0">
        <w:rPr>
          <w:szCs w:val="18"/>
        </w:rPr>
        <w:t xml:space="preserve">, </w:t>
      </w:r>
      <w:proofErr w:type="spellStart"/>
      <w:r w:rsidRPr="00CF76F0">
        <w:rPr>
          <w:szCs w:val="18"/>
        </w:rPr>
        <w:t>Vasilka</w:t>
      </w:r>
      <w:proofErr w:type="spellEnd"/>
      <w:r w:rsidRPr="00CF76F0">
        <w:rPr>
          <w:szCs w:val="18"/>
        </w:rPr>
        <w:t xml:space="preserve"> </w:t>
      </w:r>
      <w:proofErr w:type="spellStart"/>
      <w:r w:rsidRPr="00CF76F0">
        <w:rPr>
          <w:szCs w:val="18"/>
        </w:rPr>
        <w:t>Sancin</w:t>
      </w:r>
      <w:proofErr w:type="spellEnd"/>
      <w:r w:rsidRPr="00CF76F0">
        <w:rPr>
          <w:szCs w:val="18"/>
        </w:rPr>
        <w:t xml:space="preserve">, José Manuel Santos Pais, Yuval </w:t>
      </w:r>
      <w:proofErr w:type="spellStart"/>
      <w:r w:rsidRPr="00CF76F0">
        <w:rPr>
          <w:szCs w:val="18"/>
        </w:rPr>
        <w:t>Shany</w:t>
      </w:r>
      <w:proofErr w:type="spellEnd"/>
      <w:r w:rsidRPr="00CF76F0">
        <w:rPr>
          <w:szCs w:val="18"/>
        </w:rPr>
        <w:t>, Hélène</w:t>
      </w:r>
      <w:r>
        <w:rPr>
          <w:szCs w:val="18"/>
        </w:rPr>
        <w:t> </w:t>
      </w:r>
      <w:proofErr w:type="spellStart"/>
      <w:r w:rsidRPr="00CF76F0">
        <w:rPr>
          <w:szCs w:val="18"/>
        </w:rPr>
        <w:t>Tigroudja</w:t>
      </w:r>
      <w:proofErr w:type="spellEnd"/>
      <w:r w:rsidRPr="00CF76F0">
        <w:rPr>
          <w:szCs w:val="18"/>
        </w:rPr>
        <w:t xml:space="preserve">, Andreas Zimmermann et </w:t>
      </w:r>
      <w:proofErr w:type="spellStart"/>
      <w:r w:rsidRPr="00CF76F0">
        <w:rPr>
          <w:szCs w:val="18"/>
        </w:rPr>
        <w:t>Gentian</w:t>
      </w:r>
      <w:proofErr w:type="spellEnd"/>
      <w:r w:rsidRPr="00CF76F0">
        <w:rPr>
          <w:szCs w:val="18"/>
        </w:rPr>
        <w:t xml:space="preserve"> </w:t>
      </w:r>
      <w:proofErr w:type="spellStart"/>
      <w:r w:rsidRPr="00CF76F0">
        <w:rPr>
          <w:szCs w:val="18"/>
        </w:rPr>
        <w:t>Zyberi</w:t>
      </w:r>
      <w:proofErr w:type="spellEnd"/>
      <w:r w:rsidRPr="00CF76F0">
        <w:rPr>
          <w:szCs w:val="18"/>
        </w:rPr>
        <w:t>.</w:t>
      </w:r>
    </w:p>
  </w:footnote>
  <w:footnote w:id="4">
    <w:p w14:paraId="5D01439D" w14:textId="77777777" w:rsidR="00C339D7" w:rsidRPr="00173CA6" w:rsidRDefault="00C339D7" w:rsidP="00FA4C28">
      <w:pPr>
        <w:pStyle w:val="Notedebasdepage"/>
        <w:rPr>
          <w:lang w:val="fr-FR"/>
        </w:rPr>
      </w:pPr>
      <w:r w:rsidRPr="001A03DA">
        <w:rPr>
          <w:lang w:val="fr-FR"/>
        </w:rPr>
        <w:tab/>
      </w:r>
      <w:r w:rsidRPr="00F1782E">
        <w:rPr>
          <w:rStyle w:val="Appelnotedebasdep"/>
        </w:rPr>
        <w:footnoteRef/>
      </w:r>
      <w:r w:rsidRPr="00173CA6">
        <w:rPr>
          <w:lang w:val="fr-FR"/>
        </w:rPr>
        <w:tab/>
        <w:t>L</w:t>
      </w:r>
      <w:r>
        <w:rPr>
          <w:lang w:val="fr-FR"/>
        </w:rPr>
        <w:t>’A</w:t>
      </w:r>
      <w:r w:rsidRPr="00173CA6">
        <w:rPr>
          <w:lang w:val="fr-FR"/>
        </w:rPr>
        <w:t xml:space="preserve">ssociation pour la conscience de Krishna est enregistrée au domicile de </w:t>
      </w:r>
      <w:r>
        <w:rPr>
          <w:lang w:val="fr-FR"/>
        </w:rPr>
        <w:t>l’auteur</w:t>
      </w:r>
      <w:r w:rsidRPr="00173CA6">
        <w:rPr>
          <w:lang w:val="fr-FR"/>
        </w:rPr>
        <w:t>.</w:t>
      </w:r>
    </w:p>
  </w:footnote>
  <w:footnote w:id="5">
    <w:p w14:paraId="148BBAE0" w14:textId="77777777" w:rsidR="00C339D7" w:rsidRPr="00592109" w:rsidRDefault="00C339D7" w:rsidP="00FA4C28">
      <w:pPr>
        <w:pStyle w:val="Notedebasdepage"/>
        <w:rPr>
          <w:lang w:val="fr-FR"/>
        </w:rPr>
      </w:pPr>
      <w:r w:rsidRPr="00A02748">
        <w:rPr>
          <w:lang w:val="fr-FR"/>
        </w:rPr>
        <w:tab/>
      </w:r>
      <w:r w:rsidRPr="00F1782E">
        <w:rPr>
          <w:rStyle w:val="Appelnotedebasdep"/>
        </w:rPr>
        <w:footnoteRef/>
      </w:r>
      <w:r>
        <w:rPr>
          <w:lang w:val="fr-FR"/>
        </w:rPr>
        <w:tab/>
        <w:t>Dans</w:t>
      </w:r>
      <w:r w:rsidRPr="00592109">
        <w:rPr>
          <w:lang w:val="fr-FR"/>
        </w:rPr>
        <w:t xml:space="preserve"> une note verbale datée du 23 décembre</w:t>
      </w:r>
      <w:r>
        <w:rPr>
          <w:lang w:val="fr-FR"/>
        </w:rPr>
        <w:t xml:space="preserve"> </w:t>
      </w:r>
      <w:r w:rsidRPr="00592109">
        <w:rPr>
          <w:lang w:val="fr-FR"/>
        </w:rPr>
        <w:t>2014, le Comité a prié l</w:t>
      </w:r>
      <w:r>
        <w:rPr>
          <w:lang w:val="fr-FR"/>
        </w:rPr>
        <w:t>’</w:t>
      </w:r>
      <w:r w:rsidRPr="00592109">
        <w:rPr>
          <w:lang w:val="fr-FR"/>
        </w:rPr>
        <w:t xml:space="preserve">État partie de veiller à </w:t>
      </w:r>
      <w:r>
        <w:rPr>
          <w:lang w:val="fr-FR"/>
        </w:rPr>
        <w:t>ce que la présentation de la communication ne donne pas lieu à des représailles contre l’auteur et son association religieuse</w:t>
      </w:r>
      <w:r w:rsidRPr="00592109">
        <w:rPr>
          <w:lang w:val="fr-FR"/>
        </w:rPr>
        <w:t>.</w:t>
      </w:r>
    </w:p>
  </w:footnote>
  <w:footnote w:id="6">
    <w:p w14:paraId="4F8CD8E0" w14:textId="77777777" w:rsidR="00C339D7" w:rsidRPr="00C34629" w:rsidRDefault="00C339D7" w:rsidP="00FA4C28">
      <w:pPr>
        <w:pStyle w:val="Notedebasdepage"/>
        <w:rPr>
          <w:lang w:val="fr-FR"/>
        </w:rPr>
      </w:pPr>
      <w:r w:rsidRPr="008923E9">
        <w:rPr>
          <w:lang w:val="fr-FR"/>
        </w:rPr>
        <w:tab/>
      </w:r>
      <w:r w:rsidRPr="00F1782E">
        <w:rPr>
          <w:rStyle w:val="Appelnotedebasdep"/>
        </w:rPr>
        <w:footnoteRef/>
      </w:r>
      <w:r w:rsidRPr="00C34629">
        <w:rPr>
          <w:lang w:val="fr-FR"/>
        </w:rPr>
        <w:tab/>
      </w:r>
      <w:r w:rsidRPr="00C34629">
        <w:rPr>
          <w:i/>
          <w:lang w:val="fr-FR"/>
        </w:rPr>
        <w:t xml:space="preserve">Alekseev </w:t>
      </w:r>
      <w:r w:rsidRPr="00BC733D">
        <w:rPr>
          <w:i/>
          <w:iCs/>
          <w:lang w:val="fr-FR"/>
        </w:rPr>
        <w:t>c.</w:t>
      </w:r>
      <w:r w:rsidRPr="00BC733D">
        <w:rPr>
          <w:i/>
          <w:lang w:val="fr-FR"/>
        </w:rPr>
        <w:t xml:space="preserve"> </w:t>
      </w:r>
      <w:r w:rsidRPr="00C34629">
        <w:rPr>
          <w:i/>
          <w:lang w:val="fr-FR"/>
        </w:rPr>
        <w:t>Fédération de Russie</w:t>
      </w:r>
      <w:r w:rsidRPr="00C34629">
        <w:rPr>
          <w:lang w:val="fr-FR"/>
        </w:rPr>
        <w:t xml:space="preserve"> (CCPR/C/109/D/1873/2009), par. 8.4 ; </w:t>
      </w:r>
      <w:r w:rsidRPr="00C34629">
        <w:rPr>
          <w:i/>
          <w:lang w:val="fr-FR"/>
        </w:rPr>
        <w:t xml:space="preserve">Lozenko </w:t>
      </w:r>
      <w:r w:rsidRPr="00BC733D">
        <w:rPr>
          <w:i/>
          <w:iCs/>
          <w:lang w:val="fr-FR"/>
        </w:rPr>
        <w:t>c.</w:t>
      </w:r>
      <w:r w:rsidRPr="00C34629">
        <w:rPr>
          <w:i/>
          <w:lang w:val="fr-FR"/>
        </w:rPr>
        <w:t xml:space="preserve"> Bélarus</w:t>
      </w:r>
      <w:r w:rsidRPr="00C34629">
        <w:rPr>
          <w:lang w:val="fr-FR"/>
        </w:rPr>
        <w:t xml:space="preserve"> (CCPR/C/112/D/1929/2010), par. 6.3 ; </w:t>
      </w:r>
      <w:r w:rsidRPr="00C34629">
        <w:rPr>
          <w:i/>
          <w:lang w:val="fr-FR"/>
        </w:rPr>
        <w:t xml:space="preserve">Sudalenko </w:t>
      </w:r>
      <w:r w:rsidRPr="00BC733D">
        <w:rPr>
          <w:i/>
          <w:iCs/>
          <w:lang w:val="fr-FR"/>
        </w:rPr>
        <w:t>c.</w:t>
      </w:r>
      <w:r w:rsidRPr="00C34629">
        <w:rPr>
          <w:i/>
          <w:lang w:val="fr-FR"/>
        </w:rPr>
        <w:t xml:space="preserve"> Bélarus</w:t>
      </w:r>
      <w:r w:rsidRPr="00C34629">
        <w:rPr>
          <w:iCs/>
          <w:lang w:val="fr-FR"/>
        </w:rPr>
        <w:t xml:space="preserve"> </w:t>
      </w:r>
      <w:r w:rsidRPr="00C34629">
        <w:rPr>
          <w:lang w:val="fr-FR"/>
        </w:rPr>
        <w:t xml:space="preserve">(CCPR/C/115/D/2016/2010), par. 7.3 ; </w:t>
      </w:r>
      <w:r>
        <w:rPr>
          <w:lang w:val="fr-FR"/>
        </w:rPr>
        <w:t xml:space="preserve">et </w:t>
      </w:r>
      <w:r w:rsidRPr="00C34629">
        <w:rPr>
          <w:i/>
          <w:lang w:val="fr-FR"/>
        </w:rPr>
        <w:t xml:space="preserve">Poplavny et </w:t>
      </w:r>
      <w:proofErr w:type="spellStart"/>
      <w:r w:rsidRPr="00C34629">
        <w:rPr>
          <w:i/>
          <w:lang w:val="fr-FR"/>
        </w:rPr>
        <w:t>Sudalenko</w:t>
      </w:r>
      <w:proofErr w:type="spellEnd"/>
      <w:r w:rsidRPr="00BC733D">
        <w:rPr>
          <w:i/>
          <w:lang w:val="fr-FR"/>
        </w:rPr>
        <w:t xml:space="preserve"> </w:t>
      </w:r>
      <w:r w:rsidRPr="00BC733D">
        <w:rPr>
          <w:i/>
          <w:iCs/>
          <w:lang w:val="fr-FR"/>
        </w:rPr>
        <w:t>c.</w:t>
      </w:r>
      <w:r w:rsidRPr="00BC733D">
        <w:rPr>
          <w:i/>
          <w:lang w:val="fr-FR"/>
        </w:rPr>
        <w:t xml:space="preserve"> </w:t>
      </w:r>
      <w:r w:rsidRPr="00C34629">
        <w:rPr>
          <w:i/>
          <w:lang w:val="fr-FR"/>
        </w:rPr>
        <w:t>B</w:t>
      </w:r>
      <w:r>
        <w:rPr>
          <w:i/>
          <w:lang w:val="fr-FR"/>
        </w:rPr>
        <w:t>é</w:t>
      </w:r>
      <w:r w:rsidRPr="00C34629">
        <w:rPr>
          <w:i/>
          <w:lang w:val="fr-FR"/>
        </w:rPr>
        <w:t>larus</w:t>
      </w:r>
      <w:r w:rsidRPr="00C34629">
        <w:rPr>
          <w:lang w:val="fr-FR"/>
        </w:rPr>
        <w:t xml:space="preserve"> (CCPR/C/118/D/2139/2012), par.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5907" w14:textId="71016352" w:rsidR="00C339D7" w:rsidRPr="00FA4C28" w:rsidRDefault="00C339D7">
    <w:pPr>
      <w:pStyle w:val="En-tte"/>
    </w:pPr>
    <w:fldSimple w:instr=" TITLE  \* MERGEFORMAT ">
      <w:r w:rsidR="00CC3182">
        <w:t>CCPR/C/126/D/2417/2014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B945" w14:textId="51F01BD0" w:rsidR="00C339D7" w:rsidRPr="00FA4C28" w:rsidRDefault="00C339D7" w:rsidP="00FA4C28">
    <w:pPr>
      <w:pStyle w:val="En-tte"/>
      <w:jc w:val="right"/>
    </w:pPr>
    <w:fldSimple w:instr=" TITLE  \* MERGEFORMAT ">
      <w:r w:rsidR="00CC3182">
        <w:t>CCPR/C/126/D/2417/2014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7608"/>
    <w:rsid w:val="00017F94"/>
    <w:rsid w:val="00023842"/>
    <w:rsid w:val="000334F9"/>
    <w:rsid w:val="0007796D"/>
    <w:rsid w:val="000B7790"/>
    <w:rsid w:val="000C2225"/>
    <w:rsid w:val="00111F2F"/>
    <w:rsid w:val="0014365E"/>
    <w:rsid w:val="00176178"/>
    <w:rsid w:val="001B379B"/>
    <w:rsid w:val="001D7DB8"/>
    <w:rsid w:val="001F525A"/>
    <w:rsid w:val="00223272"/>
    <w:rsid w:val="0024779E"/>
    <w:rsid w:val="002858B9"/>
    <w:rsid w:val="002B7BC7"/>
    <w:rsid w:val="002E2D46"/>
    <w:rsid w:val="0032225A"/>
    <w:rsid w:val="003402F1"/>
    <w:rsid w:val="00351332"/>
    <w:rsid w:val="00367608"/>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05AC1"/>
    <w:rsid w:val="00A71827"/>
    <w:rsid w:val="00A9151D"/>
    <w:rsid w:val="00AA6A35"/>
    <w:rsid w:val="00AC3823"/>
    <w:rsid w:val="00AE323C"/>
    <w:rsid w:val="00B00181"/>
    <w:rsid w:val="00B765F7"/>
    <w:rsid w:val="00BA0CA9"/>
    <w:rsid w:val="00C01ACF"/>
    <w:rsid w:val="00C02897"/>
    <w:rsid w:val="00C339D7"/>
    <w:rsid w:val="00CA7BC4"/>
    <w:rsid w:val="00CC3182"/>
    <w:rsid w:val="00CF76F0"/>
    <w:rsid w:val="00D05667"/>
    <w:rsid w:val="00D3439C"/>
    <w:rsid w:val="00D744E5"/>
    <w:rsid w:val="00D83177"/>
    <w:rsid w:val="00DB1831"/>
    <w:rsid w:val="00DD3BFD"/>
    <w:rsid w:val="00DF6678"/>
    <w:rsid w:val="00E85C42"/>
    <w:rsid w:val="00EC30D5"/>
    <w:rsid w:val="00EE1BD4"/>
    <w:rsid w:val="00F12152"/>
    <w:rsid w:val="00F660DF"/>
    <w:rsid w:val="00F95C08"/>
    <w:rsid w:val="00FA4C2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D9512"/>
  <w15:docId w15:val="{8378CA4E-E131-4F61-88AE-9F5D992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4324</Words>
  <Characters>22831</Characters>
  <Application>Microsoft Office Word</Application>
  <DocSecurity>0</DocSecurity>
  <Lines>356</Lines>
  <Paragraphs>93</Paragraphs>
  <ScaleCrop>false</ScaleCrop>
  <HeadingPairs>
    <vt:vector size="2" baseType="variant">
      <vt:variant>
        <vt:lpstr>Titre</vt:lpstr>
      </vt:variant>
      <vt:variant>
        <vt:i4>1</vt:i4>
      </vt:variant>
    </vt:vector>
  </HeadingPairs>
  <TitlesOfParts>
    <vt:vector size="1" baseType="lpstr">
      <vt:lpstr>CCPR/C/126/D/2417/2014</vt:lpstr>
    </vt:vector>
  </TitlesOfParts>
  <Company>DCM</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CCPR/C/126/D/2417/2014</dc:title>
  <dc:subject/>
  <dc:creator>Christine CHAUTAGNAT</dc:creator>
  <cp:keywords/>
  <cp:lastModifiedBy>Christine Chautagnat</cp:lastModifiedBy>
  <cp:revision>3</cp:revision>
  <cp:lastPrinted>2020-09-08T07:22:00Z</cp:lastPrinted>
  <dcterms:created xsi:type="dcterms:W3CDTF">2020-09-08T07:22:00Z</dcterms:created>
  <dcterms:modified xsi:type="dcterms:W3CDTF">2020-09-08T07:23:00Z</dcterms:modified>
</cp:coreProperties>
</file>