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3B1FA8E1" w14:textId="77777777" w:rsidTr="00A704A8">
        <w:trPr>
          <w:trHeight w:hRule="exact" w:val="851"/>
        </w:trPr>
        <w:tc>
          <w:tcPr>
            <w:tcW w:w="1276" w:type="dxa"/>
            <w:tcBorders>
              <w:bottom w:val="single" w:sz="4" w:space="0" w:color="auto"/>
            </w:tcBorders>
          </w:tcPr>
          <w:p w14:paraId="38F69C16" w14:textId="77777777" w:rsidR="00807D21" w:rsidRPr="00DB58B5" w:rsidRDefault="00807D21" w:rsidP="006D2FD1"/>
        </w:tc>
        <w:tc>
          <w:tcPr>
            <w:tcW w:w="2268" w:type="dxa"/>
            <w:tcBorders>
              <w:bottom w:val="single" w:sz="4" w:space="0" w:color="auto"/>
            </w:tcBorders>
            <w:vAlign w:val="bottom"/>
          </w:tcPr>
          <w:p w14:paraId="67CED14E"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408AF6" w14:textId="77777777" w:rsidR="00807D21" w:rsidRPr="00DB58B5" w:rsidRDefault="006D2FD1" w:rsidP="006D2FD1">
            <w:pPr>
              <w:jc w:val="right"/>
            </w:pPr>
            <w:r w:rsidRPr="006D2FD1">
              <w:rPr>
                <w:sz w:val="40"/>
              </w:rPr>
              <w:t>CAT</w:t>
            </w:r>
            <w:r>
              <w:t>/C/70/D/819/2017</w:t>
            </w:r>
          </w:p>
        </w:tc>
      </w:tr>
      <w:tr w:rsidR="00807D21" w:rsidRPr="00DB58B5" w14:paraId="0095AA5B" w14:textId="77777777" w:rsidTr="00A704A8">
        <w:trPr>
          <w:trHeight w:hRule="exact" w:val="2835"/>
        </w:trPr>
        <w:tc>
          <w:tcPr>
            <w:tcW w:w="1276" w:type="dxa"/>
            <w:tcBorders>
              <w:top w:val="single" w:sz="4" w:space="0" w:color="auto"/>
              <w:bottom w:val="single" w:sz="12" w:space="0" w:color="auto"/>
            </w:tcBorders>
          </w:tcPr>
          <w:p w14:paraId="489E8B57" w14:textId="77777777" w:rsidR="00807D21" w:rsidRPr="00DB58B5" w:rsidRDefault="00807D21" w:rsidP="00A704A8">
            <w:pPr>
              <w:spacing w:before="120"/>
              <w:jc w:val="center"/>
            </w:pPr>
            <w:r>
              <w:rPr>
                <w:noProof/>
                <w:lang w:eastAsia="fr-CH"/>
              </w:rPr>
              <w:drawing>
                <wp:inline distT="0" distB="0" distL="0" distR="0" wp14:anchorId="2712DB28" wp14:editId="196E5E2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546D03"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12E6CEDB" w14:textId="77777777" w:rsidR="00807D21" w:rsidRDefault="006D2FD1" w:rsidP="00A704A8">
            <w:pPr>
              <w:spacing w:before="240"/>
            </w:pPr>
            <w:r>
              <w:t>Distr. générale</w:t>
            </w:r>
          </w:p>
          <w:p w14:paraId="3B9A54F7" w14:textId="77777777" w:rsidR="006D2FD1" w:rsidRDefault="006D2FD1" w:rsidP="006D2FD1">
            <w:pPr>
              <w:spacing w:line="240" w:lineRule="exact"/>
            </w:pPr>
            <w:r>
              <w:t>25 janvier 2021</w:t>
            </w:r>
          </w:p>
          <w:p w14:paraId="2ABA646B" w14:textId="77777777" w:rsidR="006D2FD1" w:rsidRDefault="006D2FD1" w:rsidP="006D2FD1">
            <w:pPr>
              <w:spacing w:line="240" w:lineRule="exact"/>
            </w:pPr>
            <w:r>
              <w:t>Français</w:t>
            </w:r>
          </w:p>
          <w:p w14:paraId="4BAB2ACC" w14:textId="77777777" w:rsidR="006D2FD1" w:rsidRPr="00DB58B5" w:rsidRDefault="006D2FD1" w:rsidP="006D2FD1">
            <w:pPr>
              <w:spacing w:line="240" w:lineRule="exact"/>
            </w:pPr>
            <w:r>
              <w:t>Original : anglais</w:t>
            </w:r>
          </w:p>
        </w:tc>
      </w:tr>
    </w:tbl>
    <w:p w14:paraId="08B51B29"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26DFACEB" w14:textId="77777777" w:rsidR="00BB1DAA" w:rsidRPr="009F7F79" w:rsidRDefault="00BB1DAA" w:rsidP="00BB1DAA">
      <w:pPr>
        <w:pStyle w:val="HChG"/>
      </w:pPr>
      <w:r>
        <w:tab/>
      </w:r>
      <w:r>
        <w:tab/>
        <w:t xml:space="preserve">Décision adoptée par le Comité au titre </w:t>
      </w:r>
      <w:r w:rsidR="00EF4ED5">
        <w:br/>
      </w:r>
      <w:r>
        <w:t xml:space="preserve">de l’article 22 de la </w:t>
      </w:r>
      <w:r w:rsidRPr="00BB1DAA">
        <w:t>Convention</w:t>
      </w:r>
      <w:r>
        <w:t xml:space="preserve">, concernant </w:t>
      </w:r>
      <w:r w:rsidR="00EF4ED5">
        <w:br/>
      </w:r>
      <w:r>
        <w:t>la communication n</w:t>
      </w:r>
      <w:r>
        <w:rPr>
          <w:vertAlign w:val="superscript"/>
        </w:rPr>
        <w:t>o</w:t>
      </w:r>
      <w:r>
        <w:t> </w:t>
      </w:r>
      <w:r w:rsidRPr="00043D9F">
        <w:rPr>
          <w:lang w:val="fr-FR"/>
        </w:rPr>
        <w:t>819/2017</w:t>
      </w:r>
      <w:r w:rsidRPr="000020A7">
        <w:rPr>
          <w:b w:val="0"/>
          <w:snapToGrid w:val="0"/>
          <w:sz w:val="20"/>
        </w:rPr>
        <w:footnoteReference w:customMarkFollows="1" w:id="2"/>
        <w:t>*</w:t>
      </w:r>
      <w:r w:rsidRPr="000020A7">
        <w:rPr>
          <w:b w:val="0"/>
          <w:snapToGrid w:val="0"/>
          <w:position w:val="6"/>
          <w:sz w:val="18"/>
        </w:rPr>
        <w:t>,</w:t>
      </w:r>
      <w:r w:rsidRPr="000020A7">
        <w:rPr>
          <w:b w:val="0"/>
          <w:snapToGrid w:val="0"/>
          <w:sz w:val="20"/>
          <w:vertAlign w:val="superscript"/>
        </w:rPr>
        <w:t xml:space="preserve"> </w:t>
      </w:r>
      <w:r w:rsidRPr="000020A7">
        <w:rPr>
          <w:b w:val="0"/>
          <w:snapToGrid w:val="0"/>
          <w:sz w:val="20"/>
        </w:rPr>
        <w:footnoteReference w:customMarkFollows="1" w:id="3"/>
        <w:t>**</w:t>
      </w:r>
    </w:p>
    <w:tbl>
      <w:tblPr>
        <w:tblW w:w="6804" w:type="dxa"/>
        <w:tblInd w:w="1701" w:type="dxa"/>
        <w:tblLayout w:type="fixed"/>
        <w:tblCellMar>
          <w:left w:w="0" w:type="dxa"/>
          <w:right w:w="0" w:type="dxa"/>
        </w:tblCellMar>
        <w:tblLook w:val="01E0" w:firstRow="1" w:lastRow="1" w:firstColumn="1" w:lastColumn="1" w:noHBand="0" w:noVBand="0"/>
      </w:tblPr>
      <w:tblGrid>
        <w:gridCol w:w="2552"/>
        <w:gridCol w:w="4252"/>
      </w:tblGrid>
      <w:tr w:rsidR="00BB1DAA" w14:paraId="4DE265CA" w14:textId="77777777" w:rsidTr="00BB1DAA">
        <w:tc>
          <w:tcPr>
            <w:tcW w:w="2552" w:type="dxa"/>
          </w:tcPr>
          <w:p w14:paraId="6DF97B1D" w14:textId="77777777" w:rsidR="00BB1DAA" w:rsidRDefault="00BB1DAA" w:rsidP="00BB1DAA">
            <w:pPr>
              <w:pStyle w:val="SingleTxtG"/>
              <w:ind w:left="0" w:right="0"/>
              <w:jc w:val="left"/>
              <w:rPr>
                <w:i/>
              </w:rPr>
            </w:pPr>
            <w:r>
              <w:rPr>
                <w:i/>
              </w:rPr>
              <w:t>Communication p</w:t>
            </w:r>
            <w:r w:rsidRPr="00FD511F">
              <w:rPr>
                <w:i/>
              </w:rPr>
              <w:t>résentée par</w:t>
            </w:r>
            <w:r>
              <w:t> :</w:t>
            </w:r>
          </w:p>
        </w:tc>
        <w:tc>
          <w:tcPr>
            <w:tcW w:w="4253" w:type="dxa"/>
          </w:tcPr>
          <w:p w14:paraId="16F4F186" w14:textId="77777777" w:rsidR="00BB1DAA" w:rsidRPr="00AE68FC" w:rsidRDefault="00BB1DAA" w:rsidP="00BB1DAA">
            <w:pPr>
              <w:pStyle w:val="SingleTxtG"/>
              <w:ind w:left="0" w:right="0"/>
              <w:jc w:val="left"/>
            </w:pPr>
            <w:r w:rsidRPr="00043D9F">
              <w:rPr>
                <w:lang w:val="fr-FR"/>
              </w:rPr>
              <w:t>J.</w:t>
            </w:r>
            <w:r>
              <w:rPr>
                <w:lang w:val="fr-FR"/>
              </w:rPr>
              <w:t> </w:t>
            </w:r>
            <w:r w:rsidRPr="00043D9F">
              <w:rPr>
                <w:lang w:val="fr-FR"/>
              </w:rPr>
              <w:t>D.</w:t>
            </w:r>
          </w:p>
        </w:tc>
      </w:tr>
      <w:tr w:rsidR="00BB1DAA" w14:paraId="1A45B266" w14:textId="77777777" w:rsidTr="00BB1DAA">
        <w:tc>
          <w:tcPr>
            <w:tcW w:w="2552" w:type="dxa"/>
          </w:tcPr>
          <w:p w14:paraId="0167D47F" w14:textId="77777777" w:rsidR="00BB1DAA" w:rsidRPr="00FD511F" w:rsidRDefault="00BB1DAA" w:rsidP="00BB1DAA">
            <w:pPr>
              <w:pStyle w:val="SingleTxtG"/>
              <w:ind w:left="0" w:right="0"/>
              <w:jc w:val="left"/>
              <w:rPr>
                <w:i/>
              </w:rPr>
            </w:pPr>
            <w:r>
              <w:rPr>
                <w:i/>
              </w:rPr>
              <w:t>Victime(s) présumée(s)</w:t>
            </w:r>
            <w:r>
              <w:t> :</w:t>
            </w:r>
          </w:p>
        </w:tc>
        <w:tc>
          <w:tcPr>
            <w:tcW w:w="4253" w:type="dxa"/>
          </w:tcPr>
          <w:p w14:paraId="074FC503" w14:textId="77777777" w:rsidR="00BB1DAA" w:rsidRDefault="00BB1DAA" w:rsidP="00BB1DAA">
            <w:pPr>
              <w:pStyle w:val="SingleTxtG"/>
              <w:ind w:left="0" w:right="0"/>
              <w:jc w:val="left"/>
            </w:pPr>
            <w:r>
              <w:rPr>
                <w:lang w:val="fr-FR"/>
              </w:rPr>
              <w:t>La requérante</w:t>
            </w:r>
          </w:p>
        </w:tc>
      </w:tr>
      <w:tr w:rsidR="00BB1DAA" w14:paraId="251CF9B3" w14:textId="77777777" w:rsidTr="00BB1DAA">
        <w:tc>
          <w:tcPr>
            <w:tcW w:w="2552" w:type="dxa"/>
          </w:tcPr>
          <w:p w14:paraId="7ED9BBC5" w14:textId="77777777" w:rsidR="00BB1DAA" w:rsidRPr="00FD511F" w:rsidRDefault="00BB1DAA" w:rsidP="00BB1DAA">
            <w:pPr>
              <w:pStyle w:val="SingleTxtG"/>
              <w:ind w:left="0" w:right="0"/>
              <w:jc w:val="left"/>
              <w:rPr>
                <w:i/>
              </w:rPr>
            </w:pPr>
            <w:r w:rsidRPr="00FD511F">
              <w:rPr>
                <w:i/>
              </w:rPr>
              <w:t>État partie</w:t>
            </w:r>
            <w:r>
              <w:t> :</w:t>
            </w:r>
          </w:p>
        </w:tc>
        <w:tc>
          <w:tcPr>
            <w:tcW w:w="4253" w:type="dxa"/>
          </w:tcPr>
          <w:p w14:paraId="02056C6B" w14:textId="77777777" w:rsidR="00BB1DAA" w:rsidRDefault="00BB1DAA" w:rsidP="00BB1DAA">
            <w:pPr>
              <w:pStyle w:val="SingleTxtG"/>
              <w:ind w:left="0" w:right="0"/>
              <w:jc w:val="left"/>
            </w:pPr>
            <w:r w:rsidRPr="00043D9F">
              <w:rPr>
                <w:lang w:val="fr-FR"/>
              </w:rPr>
              <w:t>Suisse</w:t>
            </w:r>
          </w:p>
        </w:tc>
      </w:tr>
      <w:tr w:rsidR="00BB1DAA" w14:paraId="4DEEB949" w14:textId="77777777" w:rsidTr="00BB1DAA">
        <w:tc>
          <w:tcPr>
            <w:tcW w:w="2552" w:type="dxa"/>
          </w:tcPr>
          <w:p w14:paraId="63A3FDAD" w14:textId="77777777" w:rsidR="00BB1DAA" w:rsidRPr="00FD511F" w:rsidRDefault="00BB1DAA" w:rsidP="00BB1DAA">
            <w:pPr>
              <w:pStyle w:val="SingleTxtG"/>
              <w:ind w:left="0" w:right="0"/>
              <w:jc w:val="left"/>
              <w:rPr>
                <w:i/>
              </w:rPr>
            </w:pPr>
            <w:r w:rsidRPr="00FD511F">
              <w:rPr>
                <w:i/>
              </w:rPr>
              <w:t xml:space="preserve">Date de la </w:t>
            </w:r>
            <w:r>
              <w:rPr>
                <w:i/>
              </w:rPr>
              <w:t>requête</w:t>
            </w:r>
            <w:r>
              <w:t> :</w:t>
            </w:r>
          </w:p>
        </w:tc>
        <w:tc>
          <w:tcPr>
            <w:tcW w:w="4253" w:type="dxa"/>
          </w:tcPr>
          <w:p w14:paraId="2547C8CA" w14:textId="77777777" w:rsidR="00BB1DAA" w:rsidRDefault="00BB1DAA" w:rsidP="00BB1DAA">
            <w:pPr>
              <w:pStyle w:val="SingleTxtG"/>
              <w:ind w:left="0" w:right="0"/>
              <w:jc w:val="left"/>
            </w:pPr>
            <w:r w:rsidRPr="00043D9F">
              <w:rPr>
                <w:lang w:val="fr-FR"/>
              </w:rPr>
              <w:t>30</w:t>
            </w:r>
            <w:r>
              <w:rPr>
                <w:lang w:val="fr-FR"/>
              </w:rPr>
              <w:t> </w:t>
            </w:r>
            <w:r w:rsidRPr="00043D9F">
              <w:rPr>
                <w:lang w:val="fr-FR"/>
              </w:rPr>
              <w:t>mars 2017 (date de la lettre initiale)</w:t>
            </w:r>
          </w:p>
        </w:tc>
      </w:tr>
      <w:tr w:rsidR="00BB1DAA" w14:paraId="620461FF" w14:textId="77777777" w:rsidTr="00BB1DAA">
        <w:tc>
          <w:tcPr>
            <w:tcW w:w="2552" w:type="dxa"/>
          </w:tcPr>
          <w:p w14:paraId="5A46FF6F" w14:textId="77777777" w:rsidR="00BB1DAA" w:rsidRPr="00FD511F" w:rsidRDefault="00BB1DAA" w:rsidP="00BB1DAA">
            <w:pPr>
              <w:pStyle w:val="SingleTxtG"/>
              <w:ind w:left="0" w:right="0"/>
              <w:jc w:val="left"/>
              <w:rPr>
                <w:i/>
              </w:rPr>
            </w:pPr>
            <w:r w:rsidRPr="00FD511F">
              <w:rPr>
                <w:i/>
              </w:rPr>
              <w:t xml:space="preserve">Date de </w:t>
            </w:r>
            <w:r>
              <w:rPr>
                <w:i/>
              </w:rPr>
              <w:t>la présente décision</w:t>
            </w:r>
            <w:r>
              <w:t> :</w:t>
            </w:r>
          </w:p>
        </w:tc>
        <w:tc>
          <w:tcPr>
            <w:tcW w:w="4253" w:type="dxa"/>
            <w:vAlign w:val="bottom"/>
          </w:tcPr>
          <w:p w14:paraId="70C21DF6" w14:textId="77777777" w:rsidR="00BB1DAA" w:rsidRDefault="00BB1DAA" w:rsidP="00BB1DAA">
            <w:pPr>
              <w:pStyle w:val="SingleTxtG"/>
              <w:ind w:left="0" w:right="0"/>
              <w:jc w:val="left"/>
            </w:pPr>
            <w:r>
              <w:t>30 décembre 2020</w:t>
            </w:r>
          </w:p>
        </w:tc>
      </w:tr>
      <w:tr w:rsidR="00BB1DAA" w14:paraId="261903DE" w14:textId="77777777" w:rsidTr="00BB1DAA">
        <w:tc>
          <w:tcPr>
            <w:tcW w:w="2552" w:type="dxa"/>
          </w:tcPr>
          <w:p w14:paraId="5D3068C0" w14:textId="77777777" w:rsidR="00BB1DAA" w:rsidRPr="00E472B5" w:rsidRDefault="00BB1DAA" w:rsidP="00BB1DAA">
            <w:pPr>
              <w:pStyle w:val="SingleTxtG"/>
              <w:ind w:left="0" w:right="0"/>
              <w:jc w:val="left"/>
            </w:pPr>
            <w:r>
              <w:rPr>
                <w:i/>
              </w:rPr>
              <w:t>Objet</w:t>
            </w:r>
            <w:r>
              <w:t> :</w:t>
            </w:r>
          </w:p>
        </w:tc>
        <w:tc>
          <w:tcPr>
            <w:tcW w:w="4253" w:type="dxa"/>
            <w:vAlign w:val="bottom"/>
          </w:tcPr>
          <w:p w14:paraId="252F63EB" w14:textId="77777777" w:rsidR="00BB1DAA" w:rsidRDefault="00BB1DAA" w:rsidP="00BB1DAA">
            <w:pPr>
              <w:pStyle w:val="SingleTxtG"/>
              <w:ind w:left="0" w:right="0"/>
              <w:jc w:val="left"/>
            </w:pPr>
            <w:r w:rsidRPr="00043D9F">
              <w:rPr>
                <w:lang w:val="fr-FR"/>
              </w:rPr>
              <w:t>Expulsion vers la Chine</w:t>
            </w:r>
          </w:p>
        </w:tc>
      </w:tr>
      <w:tr w:rsidR="00BB1DAA" w14:paraId="304C68E5" w14:textId="77777777" w:rsidTr="00BB1DAA">
        <w:tc>
          <w:tcPr>
            <w:tcW w:w="2552" w:type="dxa"/>
          </w:tcPr>
          <w:p w14:paraId="28B618CB" w14:textId="77777777" w:rsidR="00BB1DAA" w:rsidRPr="00E472B5" w:rsidRDefault="00BB1DAA" w:rsidP="00BB1DAA">
            <w:pPr>
              <w:pStyle w:val="SingleTxtG"/>
              <w:ind w:left="0" w:right="0"/>
              <w:jc w:val="left"/>
            </w:pPr>
            <w:r>
              <w:rPr>
                <w:i/>
              </w:rPr>
              <w:t>Question(s) de procédure</w:t>
            </w:r>
            <w:r>
              <w:t> :</w:t>
            </w:r>
          </w:p>
        </w:tc>
        <w:tc>
          <w:tcPr>
            <w:tcW w:w="4253" w:type="dxa"/>
            <w:vAlign w:val="bottom"/>
          </w:tcPr>
          <w:p w14:paraId="6CE1DF9D" w14:textId="77777777" w:rsidR="00BB1DAA" w:rsidRDefault="00BB1DAA" w:rsidP="00BB1DAA">
            <w:pPr>
              <w:pStyle w:val="SingleTxtG"/>
              <w:ind w:left="0" w:right="0"/>
              <w:jc w:val="left"/>
            </w:pPr>
            <w:r w:rsidRPr="00043D9F">
              <w:rPr>
                <w:lang w:val="fr-FR"/>
              </w:rPr>
              <w:t>Examen par une autre instance internationale d</w:t>
            </w:r>
            <w:r>
              <w:rPr>
                <w:lang w:val="fr-FR"/>
              </w:rPr>
              <w:t>’</w:t>
            </w:r>
            <w:r w:rsidRPr="00043D9F">
              <w:rPr>
                <w:lang w:val="fr-FR"/>
              </w:rPr>
              <w:t>enquête ou de règlement</w:t>
            </w:r>
          </w:p>
        </w:tc>
      </w:tr>
      <w:tr w:rsidR="00BB1DAA" w14:paraId="00D8007F" w14:textId="77777777" w:rsidTr="00BB1DAA">
        <w:tc>
          <w:tcPr>
            <w:tcW w:w="2552" w:type="dxa"/>
          </w:tcPr>
          <w:p w14:paraId="7E60F187" w14:textId="77777777" w:rsidR="00BB1DAA" w:rsidRPr="00E472B5" w:rsidRDefault="00BB1DAA" w:rsidP="00BB1DAA">
            <w:pPr>
              <w:pStyle w:val="SingleTxtG"/>
              <w:ind w:left="0" w:right="0"/>
              <w:jc w:val="left"/>
            </w:pPr>
            <w:r>
              <w:rPr>
                <w:i/>
              </w:rPr>
              <w:t>Question(s) de fond</w:t>
            </w:r>
            <w:r>
              <w:t> :</w:t>
            </w:r>
          </w:p>
        </w:tc>
        <w:tc>
          <w:tcPr>
            <w:tcW w:w="4253" w:type="dxa"/>
            <w:vAlign w:val="bottom"/>
          </w:tcPr>
          <w:p w14:paraId="681ECE2A" w14:textId="77777777" w:rsidR="00BB1DAA" w:rsidRDefault="00BB1DAA" w:rsidP="00BB1DAA">
            <w:pPr>
              <w:pStyle w:val="SingleTxtG"/>
              <w:ind w:left="0" w:right="0"/>
              <w:jc w:val="left"/>
            </w:pPr>
            <w:r w:rsidRPr="00043D9F">
              <w:rPr>
                <w:lang w:val="fr-FR"/>
              </w:rPr>
              <w:t>Risque de torture en cas de renvoi dans le pays d</w:t>
            </w:r>
            <w:r>
              <w:rPr>
                <w:lang w:val="fr-FR"/>
              </w:rPr>
              <w:t>’</w:t>
            </w:r>
            <w:r w:rsidRPr="00043D9F">
              <w:rPr>
                <w:lang w:val="fr-FR"/>
              </w:rPr>
              <w:t>origine</w:t>
            </w:r>
          </w:p>
        </w:tc>
      </w:tr>
      <w:tr w:rsidR="00BB1DAA" w14:paraId="25A2454E" w14:textId="77777777" w:rsidTr="00BB1DAA">
        <w:tc>
          <w:tcPr>
            <w:tcW w:w="2552" w:type="dxa"/>
          </w:tcPr>
          <w:p w14:paraId="7997B670" w14:textId="77777777" w:rsidR="00BB1DAA" w:rsidRPr="00E472B5" w:rsidRDefault="00BB1DAA" w:rsidP="00BB1DAA">
            <w:pPr>
              <w:pStyle w:val="SingleTxtG"/>
              <w:ind w:left="0" w:right="0"/>
              <w:jc w:val="left"/>
            </w:pPr>
            <w:r>
              <w:rPr>
                <w:i/>
              </w:rPr>
              <w:t>Article(s) de la Convention</w:t>
            </w:r>
            <w:r>
              <w:t> :</w:t>
            </w:r>
          </w:p>
        </w:tc>
        <w:tc>
          <w:tcPr>
            <w:tcW w:w="4253" w:type="dxa"/>
            <w:vAlign w:val="bottom"/>
          </w:tcPr>
          <w:p w14:paraId="4C3EF0A2" w14:textId="77777777" w:rsidR="00BB1DAA" w:rsidRDefault="00BB1DAA" w:rsidP="00BB1DAA">
            <w:pPr>
              <w:pStyle w:val="SingleTxtG"/>
              <w:ind w:left="0" w:right="0"/>
              <w:jc w:val="left"/>
            </w:pPr>
            <w:r>
              <w:t>3</w:t>
            </w:r>
          </w:p>
        </w:tc>
      </w:tr>
    </w:tbl>
    <w:p w14:paraId="5D497BA1" w14:textId="77777777" w:rsidR="00BB1DAA" w:rsidRPr="00404765" w:rsidRDefault="00BB1DAA" w:rsidP="00BB1DAA">
      <w:pPr>
        <w:pStyle w:val="SingleTxtG"/>
        <w:spacing w:before="120"/>
        <w:rPr>
          <w:lang w:val="fr-FR"/>
        </w:rPr>
      </w:pPr>
      <w:r w:rsidRPr="00404765">
        <w:rPr>
          <w:lang w:val="fr-FR"/>
        </w:rPr>
        <w:t>1.1</w:t>
      </w:r>
      <w:r w:rsidRPr="00404765">
        <w:rPr>
          <w:lang w:val="fr-FR"/>
        </w:rPr>
        <w:tab/>
        <w:t>La requérante est J.</w:t>
      </w:r>
      <w:r>
        <w:rPr>
          <w:lang w:val="fr-FR"/>
        </w:rPr>
        <w:t> </w:t>
      </w:r>
      <w:r w:rsidRPr="00404765">
        <w:rPr>
          <w:lang w:val="fr-FR"/>
        </w:rPr>
        <w:t>D., de nationalité chinoise, née en 1985. Elle n</w:t>
      </w:r>
      <w:r>
        <w:rPr>
          <w:lang w:val="fr-FR"/>
        </w:rPr>
        <w:t>’</w:t>
      </w:r>
      <w:r w:rsidRPr="00404765">
        <w:rPr>
          <w:lang w:val="fr-FR"/>
        </w:rPr>
        <w:t>est pas représentée par un conseil. Elle affirme que son expulsion vers la Chine constituerait une violation par la Suisse de l</w:t>
      </w:r>
      <w:r>
        <w:rPr>
          <w:lang w:val="fr-FR"/>
        </w:rPr>
        <w:t>’</w:t>
      </w:r>
      <w:r w:rsidRPr="00404765">
        <w:rPr>
          <w:lang w:val="fr-FR"/>
        </w:rPr>
        <w:t>article</w:t>
      </w:r>
      <w:r>
        <w:rPr>
          <w:lang w:val="fr-FR"/>
        </w:rPr>
        <w:t> </w:t>
      </w:r>
      <w:r w:rsidRPr="00404765">
        <w:rPr>
          <w:lang w:val="fr-FR"/>
        </w:rPr>
        <w:t>3 de la Convention.</w:t>
      </w:r>
    </w:p>
    <w:p w14:paraId="6718B577" w14:textId="77777777" w:rsidR="00BB1DAA" w:rsidRPr="00404765" w:rsidRDefault="00BB1DAA" w:rsidP="00BB1DAA">
      <w:pPr>
        <w:pStyle w:val="SingleTxtG"/>
        <w:rPr>
          <w:lang w:val="fr-FR"/>
        </w:rPr>
      </w:pPr>
      <w:r w:rsidRPr="00404765">
        <w:rPr>
          <w:lang w:val="fr-FR"/>
        </w:rPr>
        <w:t>1.2</w:t>
      </w:r>
      <w:r w:rsidRPr="00404765">
        <w:rPr>
          <w:lang w:val="fr-FR"/>
        </w:rPr>
        <w:tab/>
        <w:t>Le 11</w:t>
      </w:r>
      <w:r>
        <w:rPr>
          <w:lang w:val="fr-FR"/>
        </w:rPr>
        <w:t> </w:t>
      </w:r>
      <w:r w:rsidRPr="00404765">
        <w:rPr>
          <w:lang w:val="fr-FR"/>
        </w:rPr>
        <w:t>avril 2017, le Comité, agissant par l</w:t>
      </w:r>
      <w:r>
        <w:rPr>
          <w:lang w:val="fr-FR"/>
        </w:rPr>
        <w:t>’</w:t>
      </w:r>
      <w:r w:rsidRPr="00404765">
        <w:rPr>
          <w:lang w:val="fr-FR"/>
        </w:rPr>
        <w:t>intermédiaire de son rapporteur chargé des nouvelles requêtes et des mesures provisoires de protection, a rejeté la demande de mesures provisoires tendant à ce que l</w:t>
      </w:r>
      <w:r>
        <w:rPr>
          <w:lang w:val="fr-FR"/>
        </w:rPr>
        <w:t>’É</w:t>
      </w:r>
      <w:r w:rsidRPr="00404765">
        <w:rPr>
          <w:lang w:val="fr-FR"/>
        </w:rPr>
        <w:t>tat partie suspende l</w:t>
      </w:r>
      <w:r>
        <w:rPr>
          <w:lang w:val="fr-FR"/>
        </w:rPr>
        <w:t>’</w:t>
      </w:r>
      <w:r w:rsidRPr="00404765">
        <w:rPr>
          <w:lang w:val="fr-FR"/>
        </w:rPr>
        <w:t>expulsion de la requérante tant que la requête serait à l</w:t>
      </w:r>
      <w:r>
        <w:rPr>
          <w:lang w:val="fr-FR"/>
        </w:rPr>
        <w:t>’</w:t>
      </w:r>
      <w:r w:rsidRPr="00404765">
        <w:rPr>
          <w:lang w:val="fr-FR"/>
        </w:rPr>
        <w:t>examen.</w:t>
      </w:r>
    </w:p>
    <w:p w14:paraId="39F6783D" w14:textId="77777777" w:rsidR="00BB1DAA" w:rsidRPr="00404765" w:rsidRDefault="00BB1DAA" w:rsidP="00BB1DAA">
      <w:pPr>
        <w:pStyle w:val="H23G"/>
        <w:rPr>
          <w:lang w:val="fr-FR"/>
        </w:rPr>
      </w:pPr>
      <w:r w:rsidRPr="00404765">
        <w:rPr>
          <w:lang w:val="fr-FR"/>
        </w:rPr>
        <w:tab/>
      </w:r>
      <w:r w:rsidRPr="00404765">
        <w:rPr>
          <w:lang w:val="fr-FR"/>
        </w:rPr>
        <w:tab/>
        <w:t>Rappel des faits présentés par la requérante</w:t>
      </w:r>
    </w:p>
    <w:p w14:paraId="3F6F861D" w14:textId="77777777" w:rsidR="00BB1DAA" w:rsidRPr="00404765" w:rsidRDefault="00BB1DAA" w:rsidP="00BB1DAA">
      <w:pPr>
        <w:pStyle w:val="SingleTxtG"/>
        <w:rPr>
          <w:lang w:val="fr-FR"/>
        </w:rPr>
      </w:pPr>
      <w:r w:rsidRPr="00404765">
        <w:rPr>
          <w:lang w:val="fr-FR"/>
        </w:rPr>
        <w:t>2.1</w:t>
      </w:r>
      <w:r w:rsidRPr="00404765">
        <w:rPr>
          <w:lang w:val="fr-FR"/>
        </w:rPr>
        <w:tab/>
        <w:t>La requérante est originaire de Zangjiakou, dans la province de Hebei (Chine). Elle est membre de la communauté religieuse Quannengshen</w:t>
      </w:r>
      <w:r>
        <w:rPr>
          <w:lang w:val="fr-FR"/>
        </w:rPr>
        <w:t xml:space="preserve"> (l’Église de </w:t>
      </w:r>
      <w:r w:rsidRPr="004E286B">
        <w:rPr>
          <w:lang w:val="fr-FR"/>
        </w:rPr>
        <w:t>Dieu Tout-Puissant</w:t>
      </w:r>
      <w:r>
        <w:rPr>
          <w:lang w:val="fr-FR"/>
        </w:rPr>
        <w:t>)</w:t>
      </w:r>
      <w:r w:rsidRPr="00404765">
        <w:rPr>
          <w:lang w:val="fr-FR"/>
        </w:rPr>
        <w:t xml:space="preserve"> depuis que </w:t>
      </w:r>
      <w:r w:rsidRPr="00BB1DAA">
        <w:t>sa</w:t>
      </w:r>
      <w:r w:rsidRPr="00404765">
        <w:rPr>
          <w:lang w:val="fr-FR"/>
        </w:rPr>
        <w:t xml:space="preserve"> tante lui a fait découvrir </w:t>
      </w:r>
      <w:r>
        <w:rPr>
          <w:lang w:val="fr-FR"/>
        </w:rPr>
        <w:t>celle-ci</w:t>
      </w:r>
      <w:r w:rsidRPr="00404765">
        <w:rPr>
          <w:lang w:val="fr-FR"/>
        </w:rPr>
        <w:t xml:space="preserve"> en 2012. Le 1</w:t>
      </w:r>
      <w:r w:rsidRPr="00404765">
        <w:rPr>
          <w:vertAlign w:val="superscript"/>
          <w:lang w:val="fr-FR"/>
        </w:rPr>
        <w:t>er</w:t>
      </w:r>
      <w:r>
        <w:rPr>
          <w:lang w:val="fr-FR"/>
        </w:rPr>
        <w:t> </w:t>
      </w:r>
      <w:r w:rsidRPr="00404765">
        <w:rPr>
          <w:lang w:val="fr-FR"/>
        </w:rPr>
        <w:t>décembre 2012, des sympathisants de Quannengshen ont averti sa tante que la police savait qu</w:t>
      </w:r>
      <w:r>
        <w:rPr>
          <w:lang w:val="fr-FR"/>
        </w:rPr>
        <w:t>’</w:t>
      </w:r>
      <w:r w:rsidRPr="00404765">
        <w:rPr>
          <w:lang w:val="fr-FR"/>
        </w:rPr>
        <w:t>elle pratiquait cette religion et, le 10</w:t>
      </w:r>
      <w:r>
        <w:rPr>
          <w:lang w:val="fr-FR"/>
        </w:rPr>
        <w:t> </w:t>
      </w:r>
      <w:r w:rsidRPr="00404765">
        <w:rPr>
          <w:lang w:val="fr-FR"/>
        </w:rPr>
        <w:t xml:space="preserve">décembre 2012, sa tante a été condamnée à une amende. </w:t>
      </w:r>
      <w:r w:rsidRPr="004C7FA3">
        <w:rPr>
          <w:lang w:val="fr-FR"/>
        </w:rPr>
        <w:t xml:space="preserve">En 2013, la situation </w:t>
      </w:r>
      <w:r w:rsidRPr="009438E0">
        <w:rPr>
          <w:lang w:val="fr-FR"/>
        </w:rPr>
        <w:t>est devenue plus difficile pour l</w:t>
      </w:r>
      <w:r w:rsidRPr="004C7FA3">
        <w:rPr>
          <w:lang w:val="fr-FR"/>
        </w:rPr>
        <w:t>es fidèles de Quannengshen, dont le nombre avait augmenté et dont les activités étaient surveillées par les autorités. Aux alentours du mois de mai</w:t>
      </w:r>
      <w:r w:rsidRPr="00404765">
        <w:rPr>
          <w:lang w:val="fr-FR"/>
        </w:rPr>
        <w:t xml:space="preserve"> 2014, les autorités ont répandu des rumeurs sur l</w:t>
      </w:r>
      <w:r>
        <w:rPr>
          <w:lang w:val="fr-FR"/>
        </w:rPr>
        <w:t>’</w:t>
      </w:r>
      <w:r w:rsidRPr="00404765">
        <w:rPr>
          <w:lang w:val="fr-FR"/>
        </w:rPr>
        <w:t>Église. La requérante a décidé, avec sa tante et son oncle, de ne plus assister aux rassemblements. Pour échapper au risque de persécutions, sa tante a déménagé. Le 8</w:t>
      </w:r>
      <w:r>
        <w:rPr>
          <w:lang w:val="fr-FR"/>
        </w:rPr>
        <w:t> </w:t>
      </w:r>
      <w:r w:rsidRPr="00404765">
        <w:rPr>
          <w:lang w:val="fr-FR"/>
        </w:rPr>
        <w:t xml:space="preserve">octobre 2014, la requérante et sa tante ont été </w:t>
      </w:r>
      <w:r w:rsidRPr="00404765">
        <w:rPr>
          <w:lang w:val="fr-FR"/>
        </w:rPr>
        <w:lastRenderedPageBreak/>
        <w:t xml:space="preserve">dénoncées par un voisin, que </w:t>
      </w:r>
      <w:r>
        <w:rPr>
          <w:lang w:val="fr-FR"/>
        </w:rPr>
        <w:t>l</w:t>
      </w:r>
      <w:r w:rsidRPr="00404765">
        <w:rPr>
          <w:lang w:val="fr-FR"/>
        </w:rPr>
        <w:t>a tante avait essayé de convertir. La police s</w:t>
      </w:r>
      <w:r>
        <w:rPr>
          <w:lang w:val="fr-FR"/>
        </w:rPr>
        <w:t>’</w:t>
      </w:r>
      <w:r w:rsidRPr="00404765">
        <w:rPr>
          <w:lang w:val="fr-FR"/>
        </w:rPr>
        <w:t>est entretenue avec l</w:t>
      </w:r>
      <w:r>
        <w:rPr>
          <w:lang w:val="fr-FR"/>
        </w:rPr>
        <w:t>’</w:t>
      </w:r>
      <w:r w:rsidRPr="00404765">
        <w:rPr>
          <w:lang w:val="fr-FR"/>
        </w:rPr>
        <w:t>oncle de la requérante et lui a demandé si sa femme et sa nièce étaient des croyantes. L</w:t>
      </w:r>
      <w:r>
        <w:rPr>
          <w:lang w:val="fr-FR"/>
        </w:rPr>
        <w:t>’</w:t>
      </w:r>
      <w:r w:rsidRPr="00404765">
        <w:rPr>
          <w:lang w:val="fr-FR"/>
        </w:rPr>
        <w:t>oncle a répondu que la requérante ne l</w:t>
      </w:r>
      <w:r>
        <w:rPr>
          <w:lang w:val="fr-FR"/>
        </w:rPr>
        <w:t>’</w:t>
      </w:r>
      <w:r w:rsidRPr="00404765">
        <w:rPr>
          <w:lang w:val="fr-FR"/>
        </w:rPr>
        <w:t>était pas et a promis qu</w:t>
      </w:r>
      <w:r>
        <w:rPr>
          <w:lang w:val="fr-FR"/>
        </w:rPr>
        <w:t>’</w:t>
      </w:r>
      <w:r w:rsidRPr="00404765">
        <w:rPr>
          <w:lang w:val="fr-FR"/>
        </w:rPr>
        <w:t xml:space="preserve">il veillerait à ce que sa femme cesse de parler de son ancienne religion. </w:t>
      </w:r>
      <w:r>
        <w:rPr>
          <w:lang w:val="fr-FR"/>
        </w:rPr>
        <w:t>L</w:t>
      </w:r>
      <w:r w:rsidRPr="00404765">
        <w:rPr>
          <w:lang w:val="fr-FR"/>
        </w:rPr>
        <w:t xml:space="preserve">a tante et </w:t>
      </w:r>
      <w:r>
        <w:rPr>
          <w:lang w:val="fr-FR"/>
        </w:rPr>
        <w:t>l’</w:t>
      </w:r>
      <w:r w:rsidRPr="00404765">
        <w:rPr>
          <w:lang w:val="fr-FR"/>
        </w:rPr>
        <w:t xml:space="preserve">oncle </w:t>
      </w:r>
      <w:r>
        <w:rPr>
          <w:lang w:val="fr-FR"/>
        </w:rPr>
        <w:t xml:space="preserve">de </w:t>
      </w:r>
      <w:r w:rsidRPr="00404765">
        <w:rPr>
          <w:lang w:val="fr-FR"/>
        </w:rPr>
        <w:t xml:space="preserve">la requérante </w:t>
      </w:r>
      <w:r>
        <w:rPr>
          <w:lang w:val="fr-FR"/>
        </w:rPr>
        <w:t>l’</w:t>
      </w:r>
      <w:r w:rsidRPr="00404765">
        <w:rPr>
          <w:lang w:val="fr-FR"/>
        </w:rPr>
        <w:t>ont convaincu</w:t>
      </w:r>
      <w:r>
        <w:rPr>
          <w:lang w:val="fr-FR"/>
        </w:rPr>
        <w:t>e</w:t>
      </w:r>
      <w:r w:rsidRPr="00404765">
        <w:rPr>
          <w:lang w:val="fr-FR"/>
        </w:rPr>
        <w:t xml:space="preserve"> de quitter la Chine le plus rapidement possible. </w:t>
      </w:r>
    </w:p>
    <w:p w14:paraId="3478EB17" w14:textId="77777777" w:rsidR="00BB1DAA" w:rsidRPr="00404765" w:rsidRDefault="00BB1DAA" w:rsidP="00BB1DAA">
      <w:pPr>
        <w:pStyle w:val="SingleTxtG"/>
        <w:rPr>
          <w:lang w:val="fr-FR"/>
        </w:rPr>
      </w:pPr>
      <w:r w:rsidRPr="00404765">
        <w:rPr>
          <w:lang w:val="fr-FR"/>
        </w:rPr>
        <w:t>2.2</w:t>
      </w:r>
      <w:r w:rsidRPr="00404765">
        <w:rPr>
          <w:lang w:val="fr-FR"/>
        </w:rPr>
        <w:tab/>
        <w:t xml:space="preserve">La requérante est restée cachée pendant cinq mois avec un ami de sa communauté religieuse, </w:t>
      </w:r>
      <w:r w:rsidRPr="00BB1DAA">
        <w:t>le</w:t>
      </w:r>
      <w:r w:rsidRPr="00404765">
        <w:rPr>
          <w:lang w:val="fr-FR"/>
        </w:rPr>
        <w:t xml:space="preserve"> temps qu</w:t>
      </w:r>
      <w:r>
        <w:rPr>
          <w:lang w:val="fr-FR"/>
        </w:rPr>
        <w:t>’</w:t>
      </w:r>
      <w:r w:rsidRPr="00404765">
        <w:rPr>
          <w:lang w:val="fr-FR"/>
        </w:rPr>
        <w:t>un autre ami confirme qu</w:t>
      </w:r>
      <w:r>
        <w:rPr>
          <w:lang w:val="fr-FR"/>
        </w:rPr>
        <w:t>’</w:t>
      </w:r>
      <w:r w:rsidRPr="00404765">
        <w:rPr>
          <w:lang w:val="fr-FR"/>
        </w:rPr>
        <w:t>elle n</w:t>
      </w:r>
      <w:r>
        <w:rPr>
          <w:lang w:val="fr-FR"/>
        </w:rPr>
        <w:t>’</w:t>
      </w:r>
      <w:r w:rsidRPr="00404765">
        <w:rPr>
          <w:lang w:val="fr-FR"/>
        </w:rPr>
        <w:t>était pas fichée par la police, et le 25</w:t>
      </w:r>
      <w:r>
        <w:rPr>
          <w:lang w:val="fr-FR"/>
        </w:rPr>
        <w:t> </w:t>
      </w:r>
      <w:r w:rsidRPr="00404765">
        <w:rPr>
          <w:lang w:val="fr-FR"/>
        </w:rPr>
        <w:t>octobre 2014, elle a reçu son passeport délivré par les autorités de la province. Le 31</w:t>
      </w:r>
      <w:r>
        <w:rPr>
          <w:lang w:val="fr-FR"/>
        </w:rPr>
        <w:t> </w:t>
      </w:r>
      <w:r w:rsidRPr="00404765">
        <w:rPr>
          <w:lang w:val="fr-FR"/>
        </w:rPr>
        <w:t>octobre 2014, des policiers ont fouillé, sans mandat, l</w:t>
      </w:r>
      <w:r>
        <w:rPr>
          <w:lang w:val="fr-FR"/>
        </w:rPr>
        <w:t>’</w:t>
      </w:r>
      <w:r w:rsidRPr="00404765">
        <w:rPr>
          <w:lang w:val="fr-FR"/>
        </w:rPr>
        <w:t>appartement de son père mais n</w:t>
      </w:r>
      <w:r>
        <w:rPr>
          <w:lang w:val="fr-FR"/>
        </w:rPr>
        <w:t>’</w:t>
      </w:r>
      <w:r w:rsidRPr="00404765">
        <w:rPr>
          <w:lang w:val="fr-FR"/>
        </w:rPr>
        <w:t>ont rien trouvé d</w:t>
      </w:r>
      <w:r>
        <w:rPr>
          <w:lang w:val="fr-FR"/>
        </w:rPr>
        <w:t>’</w:t>
      </w:r>
      <w:r w:rsidRPr="00404765">
        <w:rPr>
          <w:lang w:val="fr-FR"/>
        </w:rPr>
        <w:t>incriminant.</w:t>
      </w:r>
    </w:p>
    <w:p w14:paraId="1DDFA20E" w14:textId="77777777" w:rsidR="00BB1DAA" w:rsidRPr="00404765" w:rsidRDefault="00BB1DAA" w:rsidP="00BB1DAA">
      <w:pPr>
        <w:pStyle w:val="SingleTxtG"/>
        <w:rPr>
          <w:lang w:val="fr-FR"/>
        </w:rPr>
      </w:pPr>
      <w:r w:rsidRPr="00404765">
        <w:rPr>
          <w:lang w:val="fr-FR"/>
        </w:rPr>
        <w:t>2.3</w:t>
      </w:r>
      <w:r w:rsidRPr="00404765">
        <w:rPr>
          <w:lang w:val="fr-FR"/>
        </w:rPr>
        <w:tab/>
        <w:t>Le 16</w:t>
      </w:r>
      <w:r>
        <w:rPr>
          <w:lang w:val="fr-FR"/>
        </w:rPr>
        <w:t> </w:t>
      </w:r>
      <w:r w:rsidRPr="00404765">
        <w:rPr>
          <w:lang w:val="fr-FR"/>
        </w:rPr>
        <w:t>avril 2015, la requérante est arrivée en Suisse, où elle a déposé une demande d</w:t>
      </w:r>
      <w:r>
        <w:rPr>
          <w:lang w:val="fr-FR"/>
        </w:rPr>
        <w:t>’</w:t>
      </w:r>
      <w:r w:rsidRPr="00404765">
        <w:rPr>
          <w:lang w:val="fr-FR"/>
        </w:rPr>
        <w:t>asile deux mois plus tard. En juillet 2015, elle s</w:t>
      </w:r>
      <w:r>
        <w:rPr>
          <w:lang w:val="fr-FR"/>
        </w:rPr>
        <w:t>’</w:t>
      </w:r>
      <w:r w:rsidRPr="00404765">
        <w:rPr>
          <w:lang w:val="fr-FR"/>
        </w:rPr>
        <w:t xml:space="preserve">est installée </w:t>
      </w:r>
      <w:r>
        <w:rPr>
          <w:lang w:val="fr-FR"/>
        </w:rPr>
        <w:t>dans le canton d’</w:t>
      </w:r>
      <w:r w:rsidRPr="00404765">
        <w:rPr>
          <w:lang w:val="fr-FR"/>
        </w:rPr>
        <w:t>Aargau. En septembre 2015, elle a appris par l</w:t>
      </w:r>
      <w:r>
        <w:rPr>
          <w:lang w:val="fr-FR"/>
        </w:rPr>
        <w:t>’</w:t>
      </w:r>
      <w:r w:rsidRPr="00404765">
        <w:rPr>
          <w:lang w:val="fr-FR"/>
        </w:rPr>
        <w:t>intermédiaire d</w:t>
      </w:r>
      <w:r>
        <w:rPr>
          <w:lang w:val="fr-FR"/>
        </w:rPr>
        <w:t>’</w:t>
      </w:r>
      <w:r w:rsidRPr="00404765">
        <w:rPr>
          <w:lang w:val="fr-FR"/>
        </w:rPr>
        <w:t>un proche que la police avait découvert qu</w:t>
      </w:r>
      <w:r>
        <w:rPr>
          <w:lang w:val="fr-FR"/>
        </w:rPr>
        <w:t>’</w:t>
      </w:r>
      <w:r w:rsidRPr="00404765">
        <w:rPr>
          <w:lang w:val="fr-FR"/>
        </w:rPr>
        <w:t>elle avait fui en Suisse et que des policiers étaient revenus fouiller l</w:t>
      </w:r>
      <w:r>
        <w:rPr>
          <w:lang w:val="fr-FR"/>
        </w:rPr>
        <w:t>’</w:t>
      </w:r>
      <w:r w:rsidRPr="00404765">
        <w:rPr>
          <w:lang w:val="fr-FR"/>
        </w:rPr>
        <w:t>appartement de son père, avec un mandat</w:t>
      </w:r>
      <w:r>
        <w:rPr>
          <w:lang w:val="fr-FR"/>
        </w:rPr>
        <w:t xml:space="preserve"> cette fois</w:t>
      </w:r>
      <w:r w:rsidRPr="00404765">
        <w:rPr>
          <w:lang w:val="fr-FR"/>
        </w:rPr>
        <w:t>, afin de trouver des preuves la concernant. Les policiers ont enjoint à son père de la persuader de revenir et l</w:t>
      </w:r>
      <w:r>
        <w:rPr>
          <w:lang w:val="fr-FR"/>
        </w:rPr>
        <w:t>’</w:t>
      </w:r>
      <w:r w:rsidRPr="00404765">
        <w:rPr>
          <w:lang w:val="fr-FR"/>
        </w:rPr>
        <w:t>ont menacé en lui disant que s</w:t>
      </w:r>
      <w:r>
        <w:rPr>
          <w:lang w:val="fr-FR"/>
        </w:rPr>
        <w:t>’</w:t>
      </w:r>
      <w:r w:rsidRPr="00404765">
        <w:rPr>
          <w:lang w:val="fr-FR"/>
        </w:rPr>
        <w:t>il savait où elle se trouvait et ne le révélait pas, il serait poursuivi pour avoir hébergé une criminelle et sa maison serait saisie. Sa cousine lui a conseillé de ne pas contacter ses parents directement pour ne pas leur causer plus d</w:t>
      </w:r>
      <w:r>
        <w:rPr>
          <w:lang w:val="fr-FR"/>
        </w:rPr>
        <w:t>’</w:t>
      </w:r>
      <w:r w:rsidRPr="00404765">
        <w:rPr>
          <w:lang w:val="fr-FR"/>
        </w:rPr>
        <w:t xml:space="preserve">ennuis. </w:t>
      </w:r>
    </w:p>
    <w:p w14:paraId="2758BE9E" w14:textId="77777777" w:rsidR="00BB1DAA" w:rsidRPr="00404765" w:rsidRDefault="00BB1DAA" w:rsidP="00BB1DAA">
      <w:pPr>
        <w:pStyle w:val="SingleTxtG"/>
        <w:rPr>
          <w:lang w:val="fr-FR"/>
        </w:rPr>
      </w:pPr>
      <w:r w:rsidRPr="00404765">
        <w:rPr>
          <w:lang w:val="fr-FR"/>
        </w:rPr>
        <w:t>2.4</w:t>
      </w:r>
      <w:r w:rsidRPr="00404765">
        <w:rPr>
          <w:lang w:val="fr-FR"/>
        </w:rPr>
        <w:tab/>
        <w:t>Le 21</w:t>
      </w:r>
      <w:r>
        <w:rPr>
          <w:lang w:val="fr-FR"/>
        </w:rPr>
        <w:t> </w:t>
      </w:r>
      <w:r w:rsidRPr="00404765">
        <w:rPr>
          <w:lang w:val="fr-FR"/>
        </w:rPr>
        <w:t>novembre 2016, le Secrétariat d</w:t>
      </w:r>
      <w:r>
        <w:rPr>
          <w:lang w:val="fr-FR"/>
        </w:rPr>
        <w:t>’</w:t>
      </w:r>
      <w:r w:rsidRPr="00404765">
        <w:rPr>
          <w:lang w:val="fr-FR"/>
        </w:rPr>
        <w:t>État aux migrations a jugé que la requérante ne remplissait pas les conditions requises pour prétendre au statut de réfugié et a rejeté sa demande</w:t>
      </w:r>
      <w:r>
        <w:rPr>
          <w:lang w:val="fr-FR"/>
        </w:rPr>
        <w:t>,</w:t>
      </w:r>
      <w:r w:rsidRPr="00404765">
        <w:rPr>
          <w:lang w:val="fr-FR"/>
        </w:rPr>
        <w:t xml:space="preserve"> estim</w:t>
      </w:r>
      <w:r>
        <w:rPr>
          <w:lang w:val="fr-FR"/>
        </w:rPr>
        <w:t>ant</w:t>
      </w:r>
      <w:r w:rsidRPr="00404765">
        <w:rPr>
          <w:lang w:val="fr-FR"/>
        </w:rPr>
        <w:t xml:space="preserve"> que les arguments présentés n</w:t>
      </w:r>
      <w:r>
        <w:rPr>
          <w:lang w:val="fr-FR"/>
        </w:rPr>
        <w:t>’</w:t>
      </w:r>
      <w:r w:rsidRPr="00404765">
        <w:rPr>
          <w:lang w:val="fr-FR"/>
        </w:rPr>
        <w:t>étaient pas suffisamment étayés et que la description des faits ne répondait pas aux prescriptions en la matière. Le 19</w:t>
      </w:r>
      <w:r>
        <w:rPr>
          <w:lang w:val="fr-FR"/>
        </w:rPr>
        <w:t> </w:t>
      </w:r>
      <w:r w:rsidRPr="00404765">
        <w:rPr>
          <w:lang w:val="fr-FR"/>
        </w:rPr>
        <w:t>décembre 2016, la requérante a déposé un recours devant le Tribunal administratif fédéral, arguant que</w:t>
      </w:r>
      <w:r>
        <w:rPr>
          <w:lang w:val="fr-FR"/>
        </w:rPr>
        <w:t xml:space="preserve"> les services d’interprétation fournis lors de ses échanges avec</w:t>
      </w:r>
      <w:r w:rsidRPr="00404765">
        <w:rPr>
          <w:lang w:val="fr-FR"/>
        </w:rPr>
        <w:t xml:space="preserve"> le Secrétariat d</w:t>
      </w:r>
      <w:r>
        <w:rPr>
          <w:lang w:val="fr-FR"/>
        </w:rPr>
        <w:t>’</w:t>
      </w:r>
      <w:r w:rsidRPr="00404765">
        <w:rPr>
          <w:lang w:val="fr-FR"/>
        </w:rPr>
        <w:t xml:space="preserve">État </w:t>
      </w:r>
      <w:r>
        <w:rPr>
          <w:lang w:val="fr-FR"/>
        </w:rPr>
        <w:t xml:space="preserve">laissaient à désirer </w:t>
      </w:r>
      <w:r w:rsidRPr="00404765">
        <w:rPr>
          <w:lang w:val="fr-FR"/>
        </w:rPr>
        <w:t>et que les observations écrites qu</w:t>
      </w:r>
      <w:r>
        <w:rPr>
          <w:lang w:val="fr-FR"/>
        </w:rPr>
        <w:t>’</w:t>
      </w:r>
      <w:r w:rsidRPr="00404765">
        <w:rPr>
          <w:lang w:val="fr-FR"/>
        </w:rPr>
        <w:t>elle avait présentées n</w:t>
      </w:r>
      <w:r>
        <w:rPr>
          <w:lang w:val="fr-FR"/>
        </w:rPr>
        <w:t>’</w:t>
      </w:r>
      <w:r w:rsidRPr="00404765">
        <w:rPr>
          <w:lang w:val="fr-FR"/>
        </w:rPr>
        <w:t>avaient pas été traduites. Elle avait rédigé ses observations en chinois et celles-ci n</w:t>
      </w:r>
      <w:r>
        <w:rPr>
          <w:lang w:val="fr-FR"/>
        </w:rPr>
        <w:t>’</w:t>
      </w:r>
      <w:r w:rsidRPr="00404765">
        <w:rPr>
          <w:lang w:val="fr-FR"/>
        </w:rPr>
        <w:t xml:space="preserve">avaient pas été prises en compte dans la procédure. </w:t>
      </w:r>
      <w:r>
        <w:rPr>
          <w:lang w:val="fr-FR"/>
        </w:rPr>
        <w:t>Selon elle,</w:t>
      </w:r>
      <w:r w:rsidRPr="00404765">
        <w:rPr>
          <w:lang w:val="fr-FR"/>
        </w:rPr>
        <w:t xml:space="preserve"> l</w:t>
      </w:r>
      <w:r>
        <w:rPr>
          <w:lang w:val="fr-FR"/>
        </w:rPr>
        <w:t>’</w:t>
      </w:r>
      <w:r w:rsidRPr="00404765">
        <w:rPr>
          <w:lang w:val="fr-FR"/>
        </w:rPr>
        <w:t>interprète a</w:t>
      </w:r>
      <w:r>
        <w:rPr>
          <w:lang w:val="fr-FR"/>
        </w:rPr>
        <w:t>urait</w:t>
      </w:r>
      <w:r w:rsidRPr="00404765">
        <w:rPr>
          <w:lang w:val="fr-FR"/>
        </w:rPr>
        <w:t xml:space="preserve"> déclaré qu</w:t>
      </w:r>
      <w:r>
        <w:rPr>
          <w:lang w:val="fr-FR"/>
        </w:rPr>
        <w:t>’</w:t>
      </w:r>
      <w:r w:rsidRPr="00404765">
        <w:rPr>
          <w:lang w:val="fr-FR"/>
        </w:rPr>
        <w:t>il n</w:t>
      </w:r>
      <w:r>
        <w:rPr>
          <w:lang w:val="fr-FR"/>
        </w:rPr>
        <w:t>’</w:t>
      </w:r>
      <w:r w:rsidRPr="00404765">
        <w:rPr>
          <w:lang w:val="fr-FR"/>
        </w:rPr>
        <w:t>était pas chrétien et qu</w:t>
      </w:r>
      <w:r>
        <w:rPr>
          <w:lang w:val="fr-FR"/>
        </w:rPr>
        <w:t>’</w:t>
      </w:r>
      <w:r w:rsidRPr="00404765">
        <w:rPr>
          <w:lang w:val="fr-FR"/>
        </w:rPr>
        <w:t>il ne pouvait pas traduire ce qu</w:t>
      </w:r>
      <w:r>
        <w:rPr>
          <w:lang w:val="fr-FR"/>
        </w:rPr>
        <w:t>’</w:t>
      </w:r>
      <w:r w:rsidRPr="00404765">
        <w:rPr>
          <w:lang w:val="fr-FR"/>
        </w:rPr>
        <w:t>elle disait. Elle affirme donc que son droit d</w:t>
      </w:r>
      <w:r>
        <w:rPr>
          <w:lang w:val="fr-FR"/>
        </w:rPr>
        <w:t>’</w:t>
      </w:r>
      <w:r w:rsidRPr="00404765">
        <w:rPr>
          <w:lang w:val="fr-FR"/>
        </w:rPr>
        <w:t>être entendue n</w:t>
      </w:r>
      <w:r>
        <w:rPr>
          <w:lang w:val="fr-FR"/>
        </w:rPr>
        <w:t>’</w:t>
      </w:r>
      <w:r w:rsidRPr="00404765">
        <w:rPr>
          <w:lang w:val="fr-FR"/>
        </w:rPr>
        <w:t>a pas été respecté. Dans son appel, elle indiquait que le Secrétariat d</w:t>
      </w:r>
      <w:r>
        <w:rPr>
          <w:lang w:val="fr-FR"/>
        </w:rPr>
        <w:t>’</w:t>
      </w:r>
      <w:r w:rsidRPr="00404765">
        <w:rPr>
          <w:lang w:val="fr-FR"/>
        </w:rPr>
        <w:t>État avait mis en doute l</w:t>
      </w:r>
      <w:r>
        <w:rPr>
          <w:lang w:val="fr-FR"/>
        </w:rPr>
        <w:t>’</w:t>
      </w:r>
      <w:r w:rsidRPr="00404765">
        <w:rPr>
          <w:lang w:val="fr-FR"/>
        </w:rPr>
        <w:t>authenticité de sa foi et que cette décision était arbitraire. Le Tribunal administratif fédéral a rejeté l</w:t>
      </w:r>
      <w:r>
        <w:rPr>
          <w:lang w:val="fr-FR"/>
        </w:rPr>
        <w:t>’</w:t>
      </w:r>
      <w:r w:rsidRPr="00404765">
        <w:rPr>
          <w:lang w:val="fr-FR"/>
        </w:rPr>
        <w:t>appel le 24</w:t>
      </w:r>
      <w:r>
        <w:rPr>
          <w:lang w:val="fr-FR"/>
        </w:rPr>
        <w:t> </w:t>
      </w:r>
      <w:r w:rsidRPr="00404765">
        <w:rPr>
          <w:lang w:val="fr-FR"/>
        </w:rPr>
        <w:t>janvier 2017</w:t>
      </w:r>
      <w:r>
        <w:rPr>
          <w:lang w:val="fr-FR"/>
        </w:rPr>
        <w:t xml:space="preserve"> par une</w:t>
      </w:r>
      <w:r w:rsidRPr="00404765">
        <w:rPr>
          <w:lang w:val="fr-FR"/>
        </w:rPr>
        <w:t xml:space="preserve"> décision définitive.</w:t>
      </w:r>
    </w:p>
    <w:p w14:paraId="12956A79" w14:textId="77777777" w:rsidR="00BB1DAA" w:rsidRPr="00404765" w:rsidRDefault="00BB1DAA" w:rsidP="00BB1DAA">
      <w:pPr>
        <w:pStyle w:val="SingleTxtG"/>
        <w:rPr>
          <w:lang w:val="fr-FR"/>
        </w:rPr>
      </w:pPr>
      <w:r w:rsidRPr="00404765">
        <w:rPr>
          <w:lang w:val="fr-FR"/>
        </w:rPr>
        <w:t>2.5</w:t>
      </w:r>
      <w:r w:rsidRPr="00404765">
        <w:rPr>
          <w:lang w:val="fr-FR"/>
        </w:rPr>
        <w:tab/>
        <w:t>Le 10</w:t>
      </w:r>
      <w:r>
        <w:rPr>
          <w:lang w:val="fr-FR"/>
        </w:rPr>
        <w:t> </w:t>
      </w:r>
      <w:r w:rsidRPr="00404765">
        <w:rPr>
          <w:lang w:val="fr-FR"/>
        </w:rPr>
        <w:t xml:space="preserve">octobre 2016, la requérante a été élue diacre de </w:t>
      </w:r>
      <w:r>
        <w:rPr>
          <w:rFonts w:eastAsia="SimSun"/>
          <w:lang w:eastAsia="zh-CN"/>
        </w:rPr>
        <w:t>Quannengshen</w:t>
      </w:r>
      <w:r w:rsidRPr="00404765" w:rsidDel="00F312A1">
        <w:rPr>
          <w:lang w:val="fr-FR"/>
        </w:rPr>
        <w:t xml:space="preserve"> </w:t>
      </w:r>
      <w:r w:rsidRPr="00404765">
        <w:rPr>
          <w:lang w:val="fr-FR"/>
        </w:rPr>
        <w:t xml:space="preserve">en Suisse. </w:t>
      </w:r>
    </w:p>
    <w:p w14:paraId="09226AD8" w14:textId="77777777" w:rsidR="00BB1DAA" w:rsidRPr="00404765" w:rsidRDefault="00BB1DAA" w:rsidP="00BB1DAA">
      <w:pPr>
        <w:pStyle w:val="SingleTxtG"/>
        <w:rPr>
          <w:lang w:val="fr-FR"/>
        </w:rPr>
      </w:pPr>
      <w:r w:rsidRPr="00404765">
        <w:rPr>
          <w:lang w:val="fr-FR"/>
        </w:rPr>
        <w:t>2.6</w:t>
      </w:r>
      <w:r w:rsidRPr="00404765">
        <w:rPr>
          <w:lang w:val="fr-FR"/>
        </w:rPr>
        <w:tab/>
        <w:t>La requérante pense que non seulement elle fera l</w:t>
      </w:r>
      <w:r>
        <w:rPr>
          <w:lang w:val="fr-FR"/>
        </w:rPr>
        <w:t>’</w:t>
      </w:r>
      <w:r w:rsidRPr="00404765">
        <w:rPr>
          <w:lang w:val="fr-FR"/>
        </w:rPr>
        <w:t>objet de poursuites à son retour en Chine en raison de ses convictions religieuses, mais la sanction qu</w:t>
      </w:r>
      <w:r>
        <w:rPr>
          <w:lang w:val="fr-FR"/>
        </w:rPr>
        <w:t>’</w:t>
      </w:r>
      <w:r w:rsidRPr="00404765">
        <w:rPr>
          <w:lang w:val="fr-FR"/>
        </w:rPr>
        <w:t>on lui infligera sera plus lourde étant donné qu</w:t>
      </w:r>
      <w:r>
        <w:rPr>
          <w:lang w:val="fr-FR"/>
        </w:rPr>
        <w:t>’</w:t>
      </w:r>
      <w:r w:rsidRPr="00404765">
        <w:rPr>
          <w:lang w:val="fr-FR"/>
        </w:rPr>
        <w:t xml:space="preserve">elle a fui le pays. Elle affirme que les autorités </w:t>
      </w:r>
      <w:r>
        <w:rPr>
          <w:lang w:val="fr-FR"/>
        </w:rPr>
        <w:t xml:space="preserve">chinoises </w:t>
      </w:r>
      <w:r w:rsidRPr="00404765">
        <w:rPr>
          <w:lang w:val="fr-FR"/>
        </w:rPr>
        <w:t xml:space="preserve">ont stigmatisé la communauté en la présentant comme une « secte maléfique ». </w:t>
      </w:r>
    </w:p>
    <w:p w14:paraId="08698D81" w14:textId="77777777" w:rsidR="00BB1DAA" w:rsidRPr="00404765" w:rsidRDefault="00BB1DAA" w:rsidP="00BB1DAA">
      <w:pPr>
        <w:pStyle w:val="SingleTxtG"/>
        <w:rPr>
          <w:lang w:val="fr-FR"/>
        </w:rPr>
      </w:pPr>
      <w:r w:rsidRPr="00404765">
        <w:rPr>
          <w:lang w:val="fr-FR"/>
        </w:rPr>
        <w:t>2.7</w:t>
      </w:r>
      <w:r w:rsidRPr="00404765">
        <w:rPr>
          <w:lang w:val="fr-FR"/>
        </w:rPr>
        <w:tab/>
        <w:t>Le 6</w:t>
      </w:r>
      <w:r>
        <w:rPr>
          <w:lang w:val="fr-FR"/>
        </w:rPr>
        <w:t> </w:t>
      </w:r>
      <w:r w:rsidRPr="00404765">
        <w:rPr>
          <w:lang w:val="fr-FR"/>
        </w:rPr>
        <w:t>février 2017, la requérante a saisi la Cour européenne des droits de l</w:t>
      </w:r>
      <w:r>
        <w:rPr>
          <w:lang w:val="fr-FR"/>
        </w:rPr>
        <w:t>’</w:t>
      </w:r>
      <w:r w:rsidRPr="00404765">
        <w:rPr>
          <w:lang w:val="fr-FR"/>
        </w:rPr>
        <w:t>homme d</w:t>
      </w:r>
      <w:r>
        <w:rPr>
          <w:lang w:val="fr-FR"/>
        </w:rPr>
        <w:t>’</w:t>
      </w:r>
      <w:r w:rsidRPr="00404765">
        <w:rPr>
          <w:lang w:val="fr-FR"/>
        </w:rPr>
        <w:t>une requête et d</w:t>
      </w:r>
      <w:r>
        <w:rPr>
          <w:lang w:val="fr-FR"/>
        </w:rPr>
        <w:t>’</w:t>
      </w:r>
      <w:r w:rsidRPr="00404765">
        <w:rPr>
          <w:lang w:val="fr-FR"/>
        </w:rPr>
        <w:t>une demande de mesures provisoires. Le 13</w:t>
      </w:r>
      <w:r>
        <w:rPr>
          <w:lang w:val="fr-FR"/>
        </w:rPr>
        <w:t> </w:t>
      </w:r>
      <w:r w:rsidRPr="00404765">
        <w:rPr>
          <w:lang w:val="fr-FR"/>
        </w:rPr>
        <w:t>février 2017, la Cour a rejeté la demande de mesures provisoires. La Cour, statuant en formation à juge unique, a déclaré la requête irrecevable</w:t>
      </w:r>
      <w:r>
        <w:rPr>
          <w:lang w:val="fr-FR"/>
        </w:rPr>
        <w:t xml:space="preserve"> au motif</w:t>
      </w:r>
      <w:r w:rsidRPr="00404765">
        <w:rPr>
          <w:lang w:val="fr-FR"/>
        </w:rPr>
        <w:t xml:space="preserve"> que les conditions de recevabilité énoncées aux articles</w:t>
      </w:r>
      <w:r>
        <w:rPr>
          <w:lang w:val="fr-FR"/>
        </w:rPr>
        <w:t> </w:t>
      </w:r>
      <w:r w:rsidRPr="00404765">
        <w:rPr>
          <w:lang w:val="fr-FR"/>
        </w:rPr>
        <w:t>34 et</w:t>
      </w:r>
      <w:r>
        <w:rPr>
          <w:lang w:val="fr-FR"/>
        </w:rPr>
        <w:t> </w:t>
      </w:r>
      <w:r w:rsidRPr="00404765">
        <w:rPr>
          <w:lang w:val="fr-FR"/>
        </w:rPr>
        <w:t xml:space="preserve">35 de la Convention </w:t>
      </w:r>
      <w:r w:rsidRPr="00C37746">
        <w:rPr>
          <w:lang w:val="fr-FR"/>
        </w:rPr>
        <w:t xml:space="preserve">de sauvegarde des droits de l’homme et des libertés fondamentales </w:t>
      </w:r>
      <w:r w:rsidRPr="00404765">
        <w:rPr>
          <w:lang w:val="fr-FR"/>
        </w:rPr>
        <w:t>n</w:t>
      </w:r>
      <w:r>
        <w:rPr>
          <w:lang w:val="fr-FR"/>
        </w:rPr>
        <w:t>’</w:t>
      </w:r>
      <w:r w:rsidRPr="00404765">
        <w:rPr>
          <w:lang w:val="fr-FR"/>
        </w:rPr>
        <w:t xml:space="preserve">étaient pas remplies. </w:t>
      </w:r>
      <w:r>
        <w:rPr>
          <w:lang w:val="fr-FR"/>
        </w:rPr>
        <w:t xml:space="preserve">Les griefs tirés des </w:t>
      </w:r>
      <w:r w:rsidRPr="00404765">
        <w:rPr>
          <w:lang w:val="fr-FR"/>
        </w:rPr>
        <w:t>articles</w:t>
      </w:r>
      <w:r>
        <w:rPr>
          <w:lang w:val="fr-FR"/>
        </w:rPr>
        <w:t> </w:t>
      </w:r>
      <w:r w:rsidRPr="00404765">
        <w:rPr>
          <w:lang w:val="fr-FR"/>
        </w:rPr>
        <w:t>3 et 5 de la Convention étaient manifestement infondés</w:t>
      </w:r>
      <w:r>
        <w:rPr>
          <w:lang w:val="fr-FR"/>
        </w:rPr>
        <w:t xml:space="preserve"> et celui tiré</w:t>
      </w:r>
      <w:r w:rsidRPr="00404765">
        <w:rPr>
          <w:lang w:val="fr-FR"/>
        </w:rPr>
        <w:t xml:space="preserve"> de l</w:t>
      </w:r>
      <w:r>
        <w:rPr>
          <w:lang w:val="fr-FR"/>
        </w:rPr>
        <w:t>’</w:t>
      </w:r>
      <w:r w:rsidRPr="00404765">
        <w:rPr>
          <w:lang w:val="fr-FR"/>
        </w:rPr>
        <w:t>article</w:t>
      </w:r>
      <w:r>
        <w:rPr>
          <w:lang w:val="fr-FR"/>
        </w:rPr>
        <w:t> </w:t>
      </w:r>
      <w:r w:rsidRPr="00404765">
        <w:rPr>
          <w:lang w:val="fr-FR"/>
        </w:rPr>
        <w:t xml:space="preserve">6 était irrecevable pour incompatibilité </w:t>
      </w:r>
      <w:r w:rsidRPr="00404765">
        <w:rPr>
          <w:i/>
          <w:iCs/>
          <w:lang w:val="fr-FR"/>
        </w:rPr>
        <w:t>ratione materiae</w:t>
      </w:r>
      <w:r w:rsidRPr="00404765">
        <w:rPr>
          <w:lang w:val="fr-FR"/>
        </w:rPr>
        <w:t>.</w:t>
      </w:r>
    </w:p>
    <w:p w14:paraId="546647B5" w14:textId="77777777" w:rsidR="00BB1DAA" w:rsidRPr="00404765" w:rsidRDefault="00BB1DAA" w:rsidP="00BB1DAA">
      <w:pPr>
        <w:pStyle w:val="H23G"/>
        <w:rPr>
          <w:lang w:val="fr-FR"/>
        </w:rPr>
      </w:pPr>
      <w:r w:rsidRPr="00404765">
        <w:rPr>
          <w:lang w:val="fr-FR"/>
        </w:rPr>
        <w:tab/>
      </w:r>
      <w:r w:rsidRPr="00404765">
        <w:rPr>
          <w:lang w:val="fr-FR"/>
        </w:rPr>
        <w:tab/>
        <w:t xml:space="preserve">Teneur </w:t>
      </w:r>
      <w:r w:rsidRPr="00BB1DAA">
        <w:t>de</w:t>
      </w:r>
      <w:r w:rsidRPr="00404765">
        <w:rPr>
          <w:lang w:val="fr-FR"/>
        </w:rPr>
        <w:t xml:space="preserve"> la plainte</w:t>
      </w:r>
    </w:p>
    <w:p w14:paraId="72D9CD48" w14:textId="77777777" w:rsidR="00BB1DAA" w:rsidRPr="00404765" w:rsidRDefault="00BB1DAA" w:rsidP="00BB1DAA">
      <w:pPr>
        <w:pStyle w:val="SingleTxtG"/>
        <w:rPr>
          <w:lang w:val="fr-FR"/>
        </w:rPr>
      </w:pPr>
      <w:r w:rsidRPr="00404765">
        <w:rPr>
          <w:lang w:val="fr-FR"/>
        </w:rPr>
        <w:t>3.</w:t>
      </w:r>
      <w:r w:rsidRPr="00404765">
        <w:rPr>
          <w:lang w:val="fr-FR"/>
        </w:rPr>
        <w:tab/>
        <w:t>La requérante soutient qu</w:t>
      </w:r>
      <w:r>
        <w:rPr>
          <w:lang w:val="fr-FR"/>
        </w:rPr>
        <w:t>’</w:t>
      </w:r>
      <w:r w:rsidRPr="00404765">
        <w:rPr>
          <w:lang w:val="fr-FR"/>
        </w:rPr>
        <w:t>en la renvoyant de force en Chine, l</w:t>
      </w:r>
      <w:r>
        <w:rPr>
          <w:lang w:val="fr-FR"/>
        </w:rPr>
        <w:t>’</w:t>
      </w:r>
      <w:r w:rsidRPr="00404765">
        <w:rPr>
          <w:lang w:val="fr-FR"/>
        </w:rPr>
        <w:t>État partie manquerait aux obligations qui lui incombent en vertu de l</w:t>
      </w:r>
      <w:r>
        <w:rPr>
          <w:lang w:val="fr-FR"/>
        </w:rPr>
        <w:t>’</w:t>
      </w:r>
      <w:r w:rsidRPr="00404765">
        <w:rPr>
          <w:lang w:val="fr-FR"/>
        </w:rPr>
        <w:t>article</w:t>
      </w:r>
      <w:r w:rsidR="005C5336">
        <w:rPr>
          <w:lang w:val="fr-FR"/>
        </w:rPr>
        <w:t> </w:t>
      </w:r>
      <w:r w:rsidRPr="00404765">
        <w:rPr>
          <w:lang w:val="fr-FR"/>
        </w:rPr>
        <w:t>3 de la Convention. Elle affirme que les autorités n</w:t>
      </w:r>
      <w:r>
        <w:rPr>
          <w:lang w:val="fr-FR"/>
        </w:rPr>
        <w:t>’</w:t>
      </w:r>
      <w:r w:rsidRPr="00404765">
        <w:rPr>
          <w:lang w:val="fr-FR"/>
        </w:rPr>
        <w:t>ont pas tenu compte de tous les éléments pertinents. En outre, étant donné qu</w:t>
      </w:r>
      <w:r>
        <w:rPr>
          <w:lang w:val="fr-FR"/>
        </w:rPr>
        <w:t>’</w:t>
      </w:r>
      <w:r w:rsidRPr="00404765">
        <w:rPr>
          <w:lang w:val="fr-FR"/>
        </w:rPr>
        <w:t>elle fait partie de la communauté Quannengshen, elle risquerait d</w:t>
      </w:r>
      <w:r>
        <w:rPr>
          <w:lang w:val="fr-FR"/>
        </w:rPr>
        <w:t>’</w:t>
      </w:r>
      <w:r w:rsidRPr="00404765">
        <w:rPr>
          <w:lang w:val="fr-FR"/>
        </w:rPr>
        <w:t>être condamnée à une peine d</w:t>
      </w:r>
      <w:r>
        <w:rPr>
          <w:lang w:val="fr-FR"/>
        </w:rPr>
        <w:t>’</w:t>
      </w:r>
      <w:r w:rsidRPr="00404765">
        <w:rPr>
          <w:lang w:val="fr-FR"/>
        </w:rPr>
        <w:t>emprisonnement de trois à sept ans à son retour dans le pays et, partant, d</w:t>
      </w:r>
      <w:r>
        <w:rPr>
          <w:lang w:val="fr-FR"/>
        </w:rPr>
        <w:t>’</w:t>
      </w:r>
      <w:r w:rsidRPr="00404765">
        <w:rPr>
          <w:lang w:val="fr-FR"/>
        </w:rPr>
        <w:t>être persécutée par les autorités locales. À cet égard, la requérante souligne que l</w:t>
      </w:r>
      <w:r>
        <w:rPr>
          <w:lang w:val="fr-FR"/>
        </w:rPr>
        <w:t>’</w:t>
      </w:r>
      <w:r w:rsidRPr="00404765">
        <w:rPr>
          <w:lang w:val="fr-FR"/>
        </w:rPr>
        <w:t>Église Quannengshen est considérée comme une secte maléfique et qu</w:t>
      </w:r>
      <w:r>
        <w:rPr>
          <w:lang w:val="fr-FR"/>
        </w:rPr>
        <w:t>’</w:t>
      </w:r>
      <w:r w:rsidRPr="00404765">
        <w:rPr>
          <w:lang w:val="fr-FR"/>
        </w:rPr>
        <w:t xml:space="preserve">elle est interdite par le Parti communiste chinois. </w:t>
      </w:r>
    </w:p>
    <w:p w14:paraId="28A53DE4" w14:textId="77777777" w:rsidR="00BB1DAA" w:rsidRPr="00404765" w:rsidRDefault="00BB1DAA" w:rsidP="00BB1DAA">
      <w:pPr>
        <w:pStyle w:val="H23G"/>
        <w:rPr>
          <w:lang w:val="fr-FR"/>
        </w:rPr>
      </w:pPr>
      <w:r w:rsidRPr="00404765">
        <w:rPr>
          <w:lang w:val="fr-FR"/>
        </w:rPr>
        <w:lastRenderedPageBreak/>
        <w:tab/>
      </w:r>
      <w:r w:rsidRPr="00404765">
        <w:rPr>
          <w:lang w:val="fr-FR"/>
        </w:rPr>
        <w:tab/>
        <w:t>Observations de l</w:t>
      </w:r>
      <w:r>
        <w:rPr>
          <w:lang w:val="fr-FR"/>
        </w:rPr>
        <w:t>’</w:t>
      </w:r>
      <w:r w:rsidRPr="00404765">
        <w:rPr>
          <w:lang w:val="fr-FR"/>
        </w:rPr>
        <w:t>État partie sur la recevabilité</w:t>
      </w:r>
    </w:p>
    <w:p w14:paraId="66441BAF" w14:textId="77777777" w:rsidR="00BB1DAA" w:rsidRPr="00404765" w:rsidRDefault="00BB1DAA" w:rsidP="00BB1DAA">
      <w:pPr>
        <w:pStyle w:val="SingleTxtG"/>
        <w:rPr>
          <w:lang w:val="fr-FR"/>
        </w:rPr>
      </w:pPr>
      <w:r w:rsidRPr="00404765">
        <w:rPr>
          <w:lang w:val="fr-FR"/>
        </w:rPr>
        <w:t>4.1</w:t>
      </w:r>
      <w:r w:rsidRPr="00404765">
        <w:rPr>
          <w:lang w:val="fr-FR"/>
        </w:rPr>
        <w:tab/>
        <w:t>Le 1</w:t>
      </w:r>
      <w:r w:rsidRPr="00404765">
        <w:rPr>
          <w:vertAlign w:val="superscript"/>
          <w:lang w:val="fr-FR"/>
        </w:rPr>
        <w:t>er</w:t>
      </w:r>
      <w:r>
        <w:rPr>
          <w:lang w:val="fr-FR"/>
        </w:rPr>
        <w:t> </w:t>
      </w:r>
      <w:r w:rsidRPr="00404765">
        <w:rPr>
          <w:lang w:val="fr-FR"/>
        </w:rPr>
        <w:t>juin 2017, l</w:t>
      </w:r>
      <w:r>
        <w:rPr>
          <w:lang w:val="fr-FR"/>
        </w:rPr>
        <w:t>’</w:t>
      </w:r>
      <w:r w:rsidRPr="00404765">
        <w:rPr>
          <w:lang w:val="fr-FR"/>
        </w:rPr>
        <w:t>État partie, se fondant sur l</w:t>
      </w:r>
      <w:r>
        <w:rPr>
          <w:lang w:val="fr-FR"/>
        </w:rPr>
        <w:t>’</w:t>
      </w:r>
      <w:r w:rsidRPr="00404765">
        <w:rPr>
          <w:lang w:val="fr-FR"/>
        </w:rPr>
        <w:t>article</w:t>
      </w:r>
      <w:r>
        <w:rPr>
          <w:lang w:val="fr-FR"/>
        </w:rPr>
        <w:t> </w:t>
      </w:r>
      <w:r w:rsidRPr="00404765">
        <w:rPr>
          <w:lang w:val="fr-FR"/>
        </w:rPr>
        <w:t xml:space="preserve">22 </w:t>
      </w:r>
      <w:r>
        <w:rPr>
          <w:lang w:val="fr-FR"/>
        </w:rPr>
        <w:t>(par.</w:t>
      </w:r>
      <w:r>
        <w:rPr>
          <w:lang w:val="fr-FR"/>
        </w:rPr>
        <w:t> </w:t>
      </w:r>
      <w:r>
        <w:rPr>
          <w:lang w:val="fr-FR"/>
        </w:rPr>
        <w:t xml:space="preserve">5 a)) </w:t>
      </w:r>
      <w:r w:rsidRPr="00404765">
        <w:rPr>
          <w:lang w:val="fr-FR"/>
        </w:rPr>
        <w:t>de la Convention, a contesté la recevabilité de la requête au motif que la même question avait déjà été examinée par la Cour européenne des droits de l</w:t>
      </w:r>
      <w:r>
        <w:rPr>
          <w:lang w:val="fr-FR"/>
        </w:rPr>
        <w:t>’</w:t>
      </w:r>
      <w:r w:rsidRPr="00404765">
        <w:rPr>
          <w:lang w:val="fr-FR"/>
        </w:rPr>
        <w:t>homme. L</w:t>
      </w:r>
      <w:r>
        <w:rPr>
          <w:lang w:val="fr-FR"/>
        </w:rPr>
        <w:t>’</w:t>
      </w:r>
      <w:r w:rsidRPr="00404765">
        <w:rPr>
          <w:lang w:val="fr-FR"/>
        </w:rPr>
        <w:t>État partie souligne que la requérante a introduit une requête devant la Cour en affirmant, entre autres, que son retour en Chine l</w:t>
      </w:r>
      <w:r>
        <w:rPr>
          <w:lang w:val="fr-FR"/>
        </w:rPr>
        <w:t>’</w:t>
      </w:r>
      <w:r w:rsidRPr="00404765">
        <w:rPr>
          <w:lang w:val="fr-FR"/>
        </w:rPr>
        <w:t>exposerait au risque d</w:t>
      </w:r>
      <w:r>
        <w:rPr>
          <w:lang w:val="fr-FR"/>
        </w:rPr>
        <w:t>’</w:t>
      </w:r>
      <w:r w:rsidRPr="00404765">
        <w:rPr>
          <w:lang w:val="fr-FR"/>
        </w:rPr>
        <w:t>être soumise à la torture et constituerait par conséquent une violation de l</w:t>
      </w:r>
      <w:r>
        <w:rPr>
          <w:lang w:val="fr-FR"/>
        </w:rPr>
        <w:t>’</w:t>
      </w:r>
      <w:r w:rsidRPr="00404765">
        <w:rPr>
          <w:lang w:val="fr-FR"/>
        </w:rPr>
        <w:t>article</w:t>
      </w:r>
      <w:r>
        <w:rPr>
          <w:lang w:val="fr-FR"/>
        </w:rPr>
        <w:t> </w:t>
      </w:r>
      <w:r w:rsidRPr="00404765">
        <w:rPr>
          <w:lang w:val="fr-FR"/>
        </w:rPr>
        <w:t>3 de la Convention européenne des droits de l</w:t>
      </w:r>
      <w:r>
        <w:rPr>
          <w:lang w:val="fr-FR"/>
        </w:rPr>
        <w:t>’</w:t>
      </w:r>
      <w:r w:rsidRPr="00404765">
        <w:rPr>
          <w:lang w:val="fr-FR"/>
        </w:rPr>
        <w:t>homme</w:t>
      </w:r>
      <w:r w:rsidRPr="00404765">
        <w:rPr>
          <w:rStyle w:val="Appelnotedebasdep"/>
          <w:lang w:val="fr-FR"/>
        </w:rPr>
        <w:footnoteReference w:id="4"/>
      </w:r>
      <w:r w:rsidRPr="00404765">
        <w:rPr>
          <w:lang w:val="fr-FR"/>
        </w:rPr>
        <w:t>. Il rappelle que le 13</w:t>
      </w:r>
      <w:r>
        <w:rPr>
          <w:lang w:val="fr-FR"/>
        </w:rPr>
        <w:t> </w:t>
      </w:r>
      <w:r w:rsidRPr="00404765">
        <w:rPr>
          <w:lang w:val="fr-FR"/>
        </w:rPr>
        <w:t>février 2017, la Cour a fait savoir à la requérante qu</w:t>
      </w:r>
      <w:r>
        <w:rPr>
          <w:lang w:val="fr-FR"/>
        </w:rPr>
        <w:t>’</w:t>
      </w:r>
      <w:r w:rsidRPr="00404765">
        <w:rPr>
          <w:lang w:val="fr-FR"/>
        </w:rPr>
        <w:t>elle avait décidé de ne pas donner suite à sa demande de mesures provisoires tendant à suspendre son expulsion et a indiqué expressément qu</w:t>
      </w:r>
      <w:r>
        <w:rPr>
          <w:lang w:val="fr-FR"/>
        </w:rPr>
        <w:t>’</w:t>
      </w:r>
      <w:r w:rsidRPr="00404765">
        <w:rPr>
          <w:lang w:val="fr-FR"/>
        </w:rPr>
        <w:t>elle n</w:t>
      </w:r>
      <w:r>
        <w:rPr>
          <w:lang w:val="fr-FR"/>
        </w:rPr>
        <w:t>’</w:t>
      </w:r>
      <w:r w:rsidRPr="00404765">
        <w:rPr>
          <w:lang w:val="fr-FR"/>
        </w:rPr>
        <w:t>interviendrait donc pas pour empêcher l</w:t>
      </w:r>
      <w:r>
        <w:rPr>
          <w:lang w:val="fr-FR"/>
        </w:rPr>
        <w:t>’</w:t>
      </w:r>
      <w:r w:rsidRPr="00404765">
        <w:rPr>
          <w:lang w:val="fr-FR"/>
        </w:rPr>
        <w:t>exécution de la mesure de renvoi. Selon la deuxième partie de cette décision, la Cour, statuant en formation à juge unique, a déclaré les griefs de la requérante irrecevables au motif que ceux-ci ne remplissaient pas les conditions de recevabilité énoncées aux articles</w:t>
      </w:r>
      <w:r>
        <w:rPr>
          <w:lang w:val="fr-FR"/>
        </w:rPr>
        <w:t> </w:t>
      </w:r>
      <w:r w:rsidRPr="00404765">
        <w:rPr>
          <w:lang w:val="fr-FR"/>
        </w:rPr>
        <w:t>34 et 35 de la Convention européenne des droits de l</w:t>
      </w:r>
      <w:r>
        <w:rPr>
          <w:lang w:val="fr-FR"/>
        </w:rPr>
        <w:t>’</w:t>
      </w:r>
      <w:r w:rsidRPr="00404765">
        <w:rPr>
          <w:lang w:val="fr-FR"/>
        </w:rPr>
        <w:t>homme.</w:t>
      </w:r>
    </w:p>
    <w:p w14:paraId="5DE6E9D4" w14:textId="77777777" w:rsidR="00BB1DAA" w:rsidRPr="00404765" w:rsidRDefault="00BB1DAA" w:rsidP="00BB1DAA">
      <w:pPr>
        <w:pStyle w:val="SingleTxtG"/>
        <w:rPr>
          <w:lang w:val="fr-FR"/>
        </w:rPr>
      </w:pPr>
      <w:r w:rsidRPr="00404765">
        <w:rPr>
          <w:lang w:val="fr-FR"/>
        </w:rPr>
        <w:t>4.2</w:t>
      </w:r>
      <w:r w:rsidRPr="00404765">
        <w:rPr>
          <w:lang w:val="fr-FR"/>
        </w:rPr>
        <w:tab/>
        <w:t>L</w:t>
      </w:r>
      <w:r>
        <w:rPr>
          <w:lang w:val="fr-FR"/>
        </w:rPr>
        <w:t>’</w:t>
      </w:r>
      <w:r w:rsidRPr="00404765">
        <w:rPr>
          <w:lang w:val="fr-FR"/>
        </w:rPr>
        <w:t>État partie fait observer que la décision de la Cour européenne n</w:t>
      </w:r>
      <w:r>
        <w:rPr>
          <w:lang w:val="fr-FR"/>
        </w:rPr>
        <w:t>’</w:t>
      </w:r>
      <w:r w:rsidRPr="00404765">
        <w:rPr>
          <w:lang w:val="fr-FR"/>
        </w:rPr>
        <w:t>était pas uniquement fondée sur de simples questions de procédure, mais aussi sur des motifs de fond, ce qui signifie que le fond de l</w:t>
      </w:r>
      <w:r>
        <w:rPr>
          <w:lang w:val="fr-FR"/>
        </w:rPr>
        <w:t>’</w:t>
      </w:r>
      <w:r w:rsidRPr="00404765">
        <w:rPr>
          <w:lang w:val="fr-FR"/>
        </w:rPr>
        <w:t>affaire a été dûment pris en considération. Par conséquent, il y a tout lieu de considérer que la Cour a examiné la requête de la requérante au sens de l</w:t>
      </w:r>
      <w:r>
        <w:rPr>
          <w:lang w:val="fr-FR"/>
        </w:rPr>
        <w:t>’</w:t>
      </w:r>
      <w:r w:rsidRPr="00404765">
        <w:rPr>
          <w:lang w:val="fr-FR"/>
        </w:rPr>
        <w:t>article</w:t>
      </w:r>
      <w:r>
        <w:rPr>
          <w:lang w:val="fr-FR"/>
        </w:rPr>
        <w:t> </w:t>
      </w:r>
      <w:r w:rsidRPr="00404765">
        <w:rPr>
          <w:lang w:val="fr-FR"/>
        </w:rPr>
        <w:t xml:space="preserve">22 </w:t>
      </w:r>
      <w:r>
        <w:rPr>
          <w:lang w:val="fr-FR"/>
        </w:rPr>
        <w:t>(par.</w:t>
      </w:r>
      <w:r>
        <w:rPr>
          <w:lang w:val="fr-FR"/>
        </w:rPr>
        <w:t> </w:t>
      </w:r>
      <w:r>
        <w:rPr>
          <w:lang w:val="fr-FR"/>
        </w:rPr>
        <w:t xml:space="preserve">5 a)) </w:t>
      </w:r>
      <w:r w:rsidRPr="00404765">
        <w:rPr>
          <w:lang w:val="fr-FR"/>
        </w:rPr>
        <w:t>de la Convention</w:t>
      </w:r>
      <w:r>
        <w:rPr>
          <w:lang w:val="fr-FR"/>
        </w:rPr>
        <w:t xml:space="preserve"> contre la torture</w:t>
      </w:r>
      <w:r w:rsidRPr="00404765">
        <w:rPr>
          <w:rStyle w:val="Appelnotedebasdep"/>
          <w:lang w:val="fr-FR"/>
        </w:rPr>
        <w:footnoteReference w:id="5"/>
      </w:r>
      <w:r w:rsidRPr="00404765">
        <w:rPr>
          <w:lang w:val="fr-FR"/>
        </w:rPr>
        <w:t xml:space="preserve">. </w:t>
      </w:r>
    </w:p>
    <w:p w14:paraId="7EA5615F" w14:textId="77777777" w:rsidR="00BB1DAA" w:rsidRPr="00404765" w:rsidRDefault="00BB1DAA" w:rsidP="00BB1DAA">
      <w:pPr>
        <w:pStyle w:val="H23G"/>
        <w:rPr>
          <w:lang w:val="fr-FR"/>
        </w:rPr>
      </w:pPr>
      <w:r w:rsidRPr="00404765">
        <w:rPr>
          <w:lang w:val="fr-FR"/>
        </w:rPr>
        <w:tab/>
      </w:r>
      <w:r w:rsidRPr="00404765">
        <w:rPr>
          <w:lang w:val="fr-FR"/>
        </w:rPr>
        <w:tab/>
        <w:t>Commentaires de la requérante sur les observations de l</w:t>
      </w:r>
      <w:r>
        <w:rPr>
          <w:lang w:val="fr-FR"/>
        </w:rPr>
        <w:t>’</w:t>
      </w:r>
      <w:r w:rsidRPr="00404765">
        <w:rPr>
          <w:lang w:val="fr-FR"/>
        </w:rPr>
        <w:t xml:space="preserve">État partie </w:t>
      </w:r>
      <w:r w:rsidR="00EF4ED5">
        <w:rPr>
          <w:lang w:val="fr-FR"/>
        </w:rPr>
        <w:br/>
      </w:r>
      <w:r w:rsidRPr="00404765">
        <w:rPr>
          <w:lang w:val="fr-FR"/>
        </w:rPr>
        <w:t>concernant la</w:t>
      </w:r>
      <w:r w:rsidR="00EF4ED5">
        <w:rPr>
          <w:lang w:val="fr-FR"/>
        </w:rPr>
        <w:t xml:space="preserve"> </w:t>
      </w:r>
      <w:r w:rsidRPr="00404765">
        <w:rPr>
          <w:lang w:val="fr-FR"/>
        </w:rPr>
        <w:t>recevabilité</w:t>
      </w:r>
    </w:p>
    <w:p w14:paraId="29958747" w14:textId="77777777" w:rsidR="00BB1DAA" w:rsidRPr="00404765" w:rsidRDefault="00BB1DAA" w:rsidP="00BB1DAA">
      <w:pPr>
        <w:pStyle w:val="SingleTxtG"/>
        <w:rPr>
          <w:lang w:val="fr-FR"/>
        </w:rPr>
      </w:pPr>
      <w:r w:rsidRPr="00404765">
        <w:rPr>
          <w:lang w:val="fr-FR"/>
        </w:rPr>
        <w:t>5.1</w:t>
      </w:r>
      <w:r w:rsidRPr="00404765">
        <w:rPr>
          <w:lang w:val="fr-FR"/>
        </w:rPr>
        <w:tab/>
        <w:t>Le 25</w:t>
      </w:r>
      <w:r>
        <w:rPr>
          <w:lang w:val="fr-FR"/>
        </w:rPr>
        <w:t> </w:t>
      </w:r>
      <w:r w:rsidRPr="00404765">
        <w:rPr>
          <w:lang w:val="fr-FR"/>
        </w:rPr>
        <w:t>mai 2018, la requérante a rappelé les risques qu</w:t>
      </w:r>
      <w:r>
        <w:rPr>
          <w:lang w:val="fr-FR"/>
        </w:rPr>
        <w:t>’</w:t>
      </w:r>
      <w:r w:rsidRPr="00404765">
        <w:rPr>
          <w:lang w:val="fr-FR"/>
        </w:rPr>
        <w:t>elle courrait si elle était renvoyée en Chine. Elle a ajouté qu</w:t>
      </w:r>
      <w:r>
        <w:rPr>
          <w:lang w:val="fr-FR"/>
        </w:rPr>
        <w:t>’</w:t>
      </w:r>
      <w:r w:rsidRPr="00404765">
        <w:rPr>
          <w:lang w:val="fr-FR"/>
        </w:rPr>
        <w:t>un membre de la même Église qu</w:t>
      </w:r>
      <w:r>
        <w:rPr>
          <w:lang w:val="fr-FR"/>
        </w:rPr>
        <w:t>’</w:t>
      </w:r>
      <w:r w:rsidRPr="00404765">
        <w:rPr>
          <w:lang w:val="fr-FR"/>
        </w:rPr>
        <w:t>elle en Suisse était retourné en Chine en janvier 2017 et qu</w:t>
      </w:r>
      <w:r>
        <w:rPr>
          <w:lang w:val="fr-FR"/>
        </w:rPr>
        <w:t>’</w:t>
      </w:r>
      <w:r w:rsidRPr="00404765">
        <w:rPr>
          <w:lang w:val="fr-FR"/>
        </w:rPr>
        <w:t>il avait été arrêté à son arrivée et condamné à trois ans et demi d</w:t>
      </w:r>
      <w:r>
        <w:rPr>
          <w:lang w:val="fr-FR"/>
        </w:rPr>
        <w:t>’</w:t>
      </w:r>
      <w:r w:rsidRPr="00404765">
        <w:rPr>
          <w:lang w:val="fr-FR"/>
        </w:rPr>
        <w:t xml:space="preserve">emprisonnement. </w:t>
      </w:r>
    </w:p>
    <w:p w14:paraId="68737BBE" w14:textId="77777777" w:rsidR="00BB1DAA" w:rsidRPr="00404765" w:rsidRDefault="00BB1DAA" w:rsidP="00BB1DAA">
      <w:pPr>
        <w:pStyle w:val="SingleTxtG"/>
        <w:rPr>
          <w:lang w:val="fr-FR"/>
        </w:rPr>
      </w:pPr>
      <w:r w:rsidRPr="00404765">
        <w:rPr>
          <w:lang w:val="fr-FR"/>
        </w:rPr>
        <w:t>5.2</w:t>
      </w:r>
      <w:r w:rsidRPr="00404765">
        <w:rPr>
          <w:lang w:val="fr-FR"/>
        </w:rPr>
        <w:tab/>
        <w:t>La requérante réaffirme qu</w:t>
      </w:r>
      <w:r>
        <w:rPr>
          <w:lang w:val="fr-FR"/>
        </w:rPr>
        <w:t>’</w:t>
      </w:r>
      <w:r w:rsidRPr="00404765">
        <w:rPr>
          <w:lang w:val="fr-FR"/>
        </w:rPr>
        <w:t>elle est véritablement croyante et que les autorités locales suisses n</w:t>
      </w:r>
      <w:r>
        <w:rPr>
          <w:lang w:val="fr-FR"/>
        </w:rPr>
        <w:t>’</w:t>
      </w:r>
      <w:r w:rsidRPr="00404765">
        <w:rPr>
          <w:lang w:val="fr-FR"/>
        </w:rPr>
        <w:t>ont pas prêté attention aux éléments de preuve soumis mais se sont fondées sur des affaires non pertinentes pour justifier la décision rendue par le Secrétariat d</w:t>
      </w:r>
      <w:r>
        <w:rPr>
          <w:lang w:val="fr-FR"/>
        </w:rPr>
        <w:t>’</w:t>
      </w:r>
      <w:r w:rsidRPr="00404765">
        <w:rPr>
          <w:lang w:val="fr-FR"/>
        </w:rPr>
        <w:t>État aux migrations</w:t>
      </w:r>
      <w:r w:rsidRPr="00404765">
        <w:rPr>
          <w:rStyle w:val="Appelnotedebasdep"/>
          <w:lang w:val="fr-FR"/>
        </w:rPr>
        <w:footnoteReference w:id="6"/>
      </w:r>
      <w:r w:rsidRPr="00404765">
        <w:rPr>
          <w:lang w:val="fr-FR"/>
        </w:rPr>
        <w:t xml:space="preserve">. </w:t>
      </w:r>
    </w:p>
    <w:p w14:paraId="315F16C5" w14:textId="77777777" w:rsidR="00BB1DAA" w:rsidRPr="00404765" w:rsidRDefault="00BB1DAA" w:rsidP="00BB1DAA">
      <w:pPr>
        <w:pStyle w:val="H23G"/>
        <w:rPr>
          <w:lang w:val="fr-FR"/>
        </w:rPr>
      </w:pPr>
      <w:r w:rsidRPr="00404765">
        <w:rPr>
          <w:lang w:val="fr-FR"/>
        </w:rPr>
        <w:tab/>
      </w:r>
      <w:r w:rsidRPr="00404765">
        <w:rPr>
          <w:lang w:val="fr-FR"/>
        </w:rPr>
        <w:tab/>
        <w:t>Délibérations du Comité</w:t>
      </w:r>
    </w:p>
    <w:p w14:paraId="27F948E0" w14:textId="77777777" w:rsidR="00BB1DAA" w:rsidRPr="00404765" w:rsidRDefault="00BB1DAA" w:rsidP="00BB1DAA">
      <w:pPr>
        <w:pStyle w:val="H4G"/>
        <w:rPr>
          <w:lang w:val="fr-FR"/>
        </w:rPr>
      </w:pPr>
      <w:r w:rsidRPr="00404765">
        <w:rPr>
          <w:lang w:val="fr-FR"/>
        </w:rPr>
        <w:tab/>
      </w:r>
      <w:r w:rsidRPr="00404765">
        <w:rPr>
          <w:lang w:val="fr-FR"/>
        </w:rPr>
        <w:tab/>
        <w:t xml:space="preserve">Examen de la recevabilité </w:t>
      </w:r>
    </w:p>
    <w:p w14:paraId="216D93E4" w14:textId="77777777" w:rsidR="00BB1DAA" w:rsidRPr="00404765" w:rsidRDefault="00BB1DAA" w:rsidP="00BB1DAA">
      <w:pPr>
        <w:pStyle w:val="SingleTxtG"/>
        <w:rPr>
          <w:lang w:val="fr-FR"/>
        </w:rPr>
      </w:pPr>
      <w:r w:rsidRPr="00404765">
        <w:rPr>
          <w:lang w:val="fr-FR"/>
        </w:rPr>
        <w:t>6.1</w:t>
      </w:r>
      <w:r w:rsidRPr="00404765">
        <w:rPr>
          <w:lang w:val="fr-FR"/>
        </w:rPr>
        <w:tab/>
        <w:t>Avant d</w:t>
      </w:r>
      <w:r>
        <w:rPr>
          <w:lang w:val="fr-FR"/>
        </w:rPr>
        <w:t>’</w:t>
      </w:r>
      <w:r w:rsidRPr="00404765">
        <w:rPr>
          <w:lang w:val="fr-FR"/>
        </w:rPr>
        <w:t>examiner tout grief formulé dans une communication, le Comité doit déterminer s</w:t>
      </w:r>
      <w:r>
        <w:rPr>
          <w:lang w:val="fr-FR"/>
        </w:rPr>
        <w:t>’</w:t>
      </w:r>
      <w:r w:rsidRPr="00404765">
        <w:rPr>
          <w:lang w:val="fr-FR"/>
        </w:rPr>
        <w:t>il est recevable au regard de l</w:t>
      </w:r>
      <w:r>
        <w:rPr>
          <w:lang w:val="fr-FR"/>
        </w:rPr>
        <w:t>’</w:t>
      </w:r>
      <w:r w:rsidRPr="00404765">
        <w:rPr>
          <w:lang w:val="fr-FR"/>
        </w:rPr>
        <w:t>article</w:t>
      </w:r>
      <w:r>
        <w:rPr>
          <w:lang w:val="fr-FR"/>
        </w:rPr>
        <w:t> </w:t>
      </w:r>
      <w:r w:rsidRPr="00404765">
        <w:rPr>
          <w:lang w:val="fr-FR"/>
        </w:rPr>
        <w:t>22 de la Convention.</w:t>
      </w:r>
    </w:p>
    <w:p w14:paraId="03CF557E" w14:textId="77777777" w:rsidR="00BB1DAA" w:rsidRPr="00404765" w:rsidRDefault="00BB1DAA" w:rsidP="00BB1DAA">
      <w:pPr>
        <w:pStyle w:val="SingleTxtG"/>
        <w:rPr>
          <w:lang w:val="fr-FR"/>
        </w:rPr>
      </w:pPr>
      <w:r w:rsidRPr="00404765">
        <w:rPr>
          <w:lang w:val="fr-FR"/>
        </w:rPr>
        <w:t>6.2</w:t>
      </w:r>
      <w:r w:rsidRPr="00404765">
        <w:rPr>
          <w:lang w:val="fr-FR"/>
        </w:rPr>
        <w:tab/>
        <w:t>Le Comité note que, selon l</w:t>
      </w:r>
      <w:r>
        <w:rPr>
          <w:lang w:val="fr-FR"/>
        </w:rPr>
        <w:t>’</w:t>
      </w:r>
      <w:r w:rsidRPr="00404765">
        <w:rPr>
          <w:lang w:val="fr-FR"/>
        </w:rPr>
        <w:t>État partie, la requête devrait être déclarée irrecevable au regard de l</w:t>
      </w:r>
      <w:r>
        <w:rPr>
          <w:lang w:val="fr-FR"/>
        </w:rPr>
        <w:t>’</w:t>
      </w:r>
      <w:r w:rsidRPr="00404765">
        <w:rPr>
          <w:lang w:val="fr-FR"/>
        </w:rPr>
        <w:t>article</w:t>
      </w:r>
      <w:r>
        <w:rPr>
          <w:lang w:val="fr-FR"/>
        </w:rPr>
        <w:t> </w:t>
      </w:r>
      <w:r w:rsidRPr="00404765">
        <w:rPr>
          <w:lang w:val="fr-FR"/>
        </w:rPr>
        <w:t xml:space="preserve">22 </w:t>
      </w:r>
      <w:r>
        <w:rPr>
          <w:lang w:val="fr-FR"/>
        </w:rPr>
        <w:t>(par.</w:t>
      </w:r>
      <w:r>
        <w:rPr>
          <w:lang w:val="fr-FR"/>
        </w:rPr>
        <w:t> </w:t>
      </w:r>
      <w:r>
        <w:rPr>
          <w:lang w:val="fr-FR"/>
        </w:rPr>
        <w:t xml:space="preserve">5 a)) </w:t>
      </w:r>
      <w:r w:rsidRPr="00404765">
        <w:rPr>
          <w:lang w:val="fr-FR"/>
        </w:rPr>
        <w:t>de la Convention, étant donné que la même question a déjà été examinée par la Cour européenne des droits de l</w:t>
      </w:r>
      <w:r>
        <w:rPr>
          <w:lang w:val="fr-FR"/>
        </w:rPr>
        <w:t>’</w:t>
      </w:r>
      <w:r w:rsidRPr="00404765">
        <w:rPr>
          <w:lang w:val="fr-FR"/>
        </w:rPr>
        <w:t>homme.</w:t>
      </w:r>
    </w:p>
    <w:p w14:paraId="440F7713" w14:textId="77777777" w:rsidR="00BB1DAA" w:rsidRPr="00404765" w:rsidRDefault="00BB1DAA" w:rsidP="00BB1DAA">
      <w:pPr>
        <w:pStyle w:val="SingleTxtG"/>
        <w:rPr>
          <w:lang w:val="fr-FR"/>
        </w:rPr>
      </w:pPr>
      <w:r w:rsidRPr="00404765">
        <w:rPr>
          <w:lang w:val="fr-FR"/>
        </w:rPr>
        <w:t>6.3</w:t>
      </w:r>
      <w:r w:rsidRPr="00404765">
        <w:rPr>
          <w:lang w:val="fr-FR"/>
        </w:rPr>
        <w:tab/>
        <w:t xml:space="preserve">Le Comité rappelle sa jurisprudence constante selon laquelle, conformément </w:t>
      </w:r>
      <w:r>
        <w:rPr>
          <w:lang w:val="fr-FR"/>
        </w:rPr>
        <w:t>à</w:t>
      </w:r>
      <w:r w:rsidRPr="00404765">
        <w:rPr>
          <w:lang w:val="fr-FR"/>
        </w:rPr>
        <w:t xml:space="preserve"> l</w:t>
      </w:r>
      <w:r>
        <w:rPr>
          <w:lang w:val="fr-FR"/>
        </w:rPr>
        <w:t>’</w:t>
      </w:r>
      <w:r w:rsidRPr="00404765">
        <w:rPr>
          <w:lang w:val="fr-FR"/>
        </w:rPr>
        <w:t>article</w:t>
      </w:r>
      <w:r>
        <w:rPr>
          <w:lang w:val="fr-FR"/>
        </w:rPr>
        <w:t> </w:t>
      </w:r>
      <w:r w:rsidRPr="00404765">
        <w:rPr>
          <w:lang w:val="fr-FR"/>
        </w:rPr>
        <w:t xml:space="preserve">22 </w:t>
      </w:r>
      <w:r>
        <w:rPr>
          <w:lang w:val="fr-FR"/>
        </w:rPr>
        <w:t>(par.</w:t>
      </w:r>
      <w:r>
        <w:rPr>
          <w:lang w:val="fr-FR"/>
        </w:rPr>
        <w:t> </w:t>
      </w:r>
      <w:r>
        <w:rPr>
          <w:lang w:val="fr-FR"/>
        </w:rPr>
        <w:t xml:space="preserve">5 a)) </w:t>
      </w:r>
      <w:r w:rsidRPr="00404765">
        <w:rPr>
          <w:lang w:val="fr-FR"/>
        </w:rPr>
        <w:t>de la Convention, il n</w:t>
      </w:r>
      <w:r>
        <w:rPr>
          <w:lang w:val="fr-FR"/>
        </w:rPr>
        <w:t>’</w:t>
      </w:r>
      <w:r w:rsidRPr="00404765">
        <w:rPr>
          <w:lang w:val="fr-FR"/>
        </w:rPr>
        <w:t>examine aucune communication d</w:t>
      </w:r>
      <w:r>
        <w:rPr>
          <w:lang w:val="fr-FR"/>
        </w:rPr>
        <w:t>’</w:t>
      </w:r>
      <w:r w:rsidRPr="00404765">
        <w:rPr>
          <w:lang w:val="fr-FR"/>
        </w:rPr>
        <w:t>un particulier sans s</w:t>
      </w:r>
      <w:r>
        <w:rPr>
          <w:lang w:val="fr-FR"/>
        </w:rPr>
        <w:t>’</w:t>
      </w:r>
      <w:r w:rsidRPr="00404765">
        <w:rPr>
          <w:lang w:val="fr-FR"/>
        </w:rPr>
        <w:t>être assuré que la même question n</w:t>
      </w:r>
      <w:r>
        <w:rPr>
          <w:lang w:val="fr-FR"/>
        </w:rPr>
        <w:t>’</w:t>
      </w:r>
      <w:r w:rsidRPr="00404765">
        <w:rPr>
          <w:lang w:val="fr-FR"/>
        </w:rPr>
        <w:t>a pas été et n</w:t>
      </w:r>
      <w:r>
        <w:rPr>
          <w:lang w:val="fr-FR"/>
        </w:rPr>
        <w:t>’</w:t>
      </w:r>
      <w:r w:rsidRPr="00404765">
        <w:rPr>
          <w:lang w:val="fr-FR"/>
        </w:rPr>
        <w:t>est pas actuellement examinée par une autre instance internationale d</w:t>
      </w:r>
      <w:r>
        <w:rPr>
          <w:lang w:val="fr-FR"/>
        </w:rPr>
        <w:t>’</w:t>
      </w:r>
      <w:r w:rsidRPr="00404765">
        <w:rPr>
          <w:lang w:val="fr-FR"/>
        </w:rPr>
        <w:t>enquête ou de règlement</w:t>
      </w:r>
      <w:r>
        <w:rPr>
          <w:rStyle w:val="Appelnotedebasdep"/>
        </w:rPr>
        <w:footnoteReference w:id="7"/>
      </w:r>
      <w:r w:rsidRPr="00404765">
        <w:rPr>
          <w:lang w:val="fr-FR"/>
        </w:rPr>
        <w:t>. Il considère qu</w:t>
      </w:r>
      <w:r>
        <w:rPr>
          <w:lang w:val="fr-FR"/>
        </w:rPr>
        <w:t>’</w:t>
      </w:r>
      <w:r w:rsidRPr="00404765">
        <w:rPr>
          <w:lang w:val="fr-FR"/>
        </w:rPr>
        <w:t xml:space="preserve">une communication a été ou est actuellement examinée par une autre instance internationale </w:t>
      </w:r>
      <w:r w:rsidRPr="00404765">
        <w:rPr>
          <w:lang w:val="fr-FR"/>
        </w:rPr>
        <w:lastRenderedPageBreak/>
        <w:t>d</w:t>
      </w:r>
      <w:r>
        <w:rPr>
          <w:lang w:val="fr-FR"/>
        </w:rPr>
        <w:t>’</w:t>
      </w:r>
      <w:r w:rsidRPr="00404765">
        <w:rPr>
          <w:lang w:val="fr-FR"/>
        </w:rPr>
        <w:t>enquête ou de règlement si l</w:t>
      </w:r>
      <w:r>
        <w:rPr>
          <w:lang w:val="fr-FR"/>
        </w:rPr>
        <w:t>’</w:t>
      </w:r>
      <w:r w:rsidRPr="00404765">
        <w:rPr>
          <w:lang w:val="fr-FR"/>
        </w:rPr>
        <w:t>examen par l</w:t>
      </w:r>
      <w:r>
        <w:rPr>
          <w:lang w:val="fr-FR"/>
        </w:rPr>
        <w:t>’</w:t>
      </w:r>
      <w:r w:rsidRPr="00404765">
        <w:rPr>
          <w:lang w:val="fr-FR"/>
        </w:rPr>
        <w:t>autre instance portait ou porte sur « la même question » au sens de l</w:t>
      </w:r>
      <w:r>
        <w:rPr>
          <w:lang w:val="fr-FR"/>
        </w:rPr>
        <w:t>’</w:t>
      </w:r>
      <w:r w:rsidRPr="00404765">
        <w:rPr>
          <w:lang w:val="fr-FR"/>
        </w:rPr>
        <w:t>article</w:t>
      </w:r>
      <w:r>
        <w:rPr>
          <w:lang w:val="fr-FR"/>
        </w:rPr>
        <w:t> </w:t>
      </w:r>
      <w:r w:rsidRPr="00404765">
        <w:rPr>
          <w:lang w:val="fr-FR"/>
        </w:rPr>
        <w:t>22</w:t>
      </w:r>
      <w:r>
        <w:rPr>
          <w:lang w:val="fr-FR"/>
        </w:rPr>
        <w:t xml:space="preserve"> (par.</w:t>
      </w:r>
      <w:r>
        <w:rPr>
          <w:lang w:val="fr-FR"/>
        </w:rPr>
        <w:t> </w:t>
      </w:r>
      <w:r>
        <w:rPr>
          <w:lang w:val="fr-FR"/>
        </w:rPr>
        <w:t>5 a))</w:t>
      </w:r>
      <w:r w:rsidRPr="00404765">
        <w:rPr>
          <w:lang w:val="fr-FR"/>
        </w:rPr>
        <w:t xml:space="preserve"> de la Convention, c</w:t>
      </w:r>
      <w:r>
        <w:rPr>
          <w:lang w:val="fr-FR"/>
        </w:rPr>
        <w:t>’</w:t>
      </w:r>
      <w:r w:rsidRPr="00404765">
        <w:rPr>
          <w:lang w:val="fr-FR"/>
        </w:rPr>
        <w:t>est</w:t>
      </w:r>
      <w:r>
        <w:rPr>
          <w:lang w:val="fr-FR"/>
        </w:rPr>
        <w:noBreakHyphen/>
      </w:r>
      <w:r w:rsidRPr="00404765">
        <w:rPr>
          <w:lang w:val="fr-FR"/>
        </w:rPr>
        <w:t>à</w:t>
      </w:r>
      <w:r>
        <w:rPr>
          <w:lang w:val="fr-FR"/>
        </w:rPr>
        <w:noBreakHyphen/>
      </w:r>
      <w:r w:rsidRPr="00404765">
        <w:rPr>
          <w:lang w:val="fr-FR"/>
        </w:rPr>
        <w:t>dire avait ou a trait aux mêmes parties, aux mêmes faits, et au même contenu des droits</w:t>
      </w:r>
      <w:r w:rsidRPr="00404765">
        <w:rPr>
          <w:rStyle w:val="Appelnotedebasdep"/>
          <w:lang w:val="fr-FR"/>
        </w:rPr>
        <w:footnoteReference w:id="8"/>
      </w:r>
      <w:r w:rsidRPr="00404765">
        <w:rPr>
          <w:lang w:val="fr-FR"/>
        </w:rPr>
        <w:t>.</w:t>
      </w:r>
    </w:p>
    <w:p w14:paraId="2057E580" w14:textId="77777777" w:rsidR="00BB1DAA" w:rsidRPr="00404765" w:rsidRDefault="00BB1DAA" w:rsidP="00BB1DAA">
      <w:pPr>
        <w:pStyle w:val="SingleTxtG"/>
        <w:rPr>
          <w:lang w:val="fr-FR"/>
        </w:rPr>
      </w:pPr>
      <w:r w:rsidRPr="00404765">
        <w:rPr>
          <w:lang w:val="fr-FR"/>
        </w:rPr>
        <w:t>6.4</w:t>
      </w:r>
      <w:r w:rsidRPr="00404765">
        <w:rPr>
          <w:lang w:val="fr-FR"/>
        </w:rPr>
        <w:tab/>
        <w:t>Le Comité constate que la requérante a déposé auprès de la Cour européenne des droits de l</w:t>
      </w:r>
      <w:r>
        <w:rPr>
          <w:lang w:val="fr-FR"/>
        </w:rPr>
        <w:t>’</w:t>
      </w:r>
      <w:r w:rsidRPr="00404765">
        <w:rPr>
          <w:lang w:val="fr-FR"/>
        </w:rPr>
        <w:t>homme une requête qui concernait les mêmes faits et qui contenait notamment des griefs tirés de l</w:t>
      </w:r>
      <w:r>
        <w:rPr>
          <w:lang w:val="fr-FR"/>
        </w:rPr>
        <w:t>’</w:t>
      </w:r>
      <w:r w:rsidRPr="00404765">
        <w:rPr>
          <w:lang w:val="fr-FR"/>
        </w:rPr>
        <w:t>article</w:t>
      </w:r>
      <w:r>
        <w:rPr>
          <w:lang w:val="fr-FR"/>
        </w:rPr>
        <w:t> </w:t>
      </w:r>
      <w:r w:rsidRPr="00404765">
        <w:rPr>
          <w:lang w:val="fr-FR"/>
        </w:rPr>
        <w:t>3 de la Convention européenne des droits de l</w:t>
      </w:r>
      <w:r>
        <w:rPr>
          <w:lang w:val="fr-FR"/>
        </w:rPr>
        <w:t>’</w:t>
      </w:r>
      <w:r w:rsidRPr="00404765">
        <w:rPr>
          <w:lang w:val="fr-FR"/>
        </w:rPr>
        <w:t>homme (interdiction de la torture). Il note en outre que dans sa décision en date du 13</w:t>
      </w:r>
      <w:r>
        <w:rPr>
          <w:lang w:val="fr-FR"/>
        </w:rPr>
        <w:t> </w:t>
      </w:r>
      <w:r w:rsidRPr="00404765">
        <w:rPr>
          <w:lang w:val="fr-FR"/>
        </w:rPr>
        <w:t>février 2017, la Cour a déclaré la requête irrecevable, considérant que les griefs tirés des articles</w:t>
      </w:r>
      <w:r>
        <w:rPr>
          <w:lang w:val="fr-FR"/>
        </w:rPr>
        <w:t> </w:t>
      </w:r>
      <w:r w:rsidRPr="00404765">
        <w:rPr>
          <w:lang w:val="fr-FR"/>
        </w:rPr>
        <w:t>3 et 5 de la Convention étaient manifestement infondés et que le grief tiré de l</w:t>
      </w:r>
      <w:r>
        <w:rPr>
          <w:lang w:val="fr-FR"/>
        </w:rPr>
        <w:t>’</w:t>
      </w:r>
      <w:r w:rsidRPr="00404765">
        <w:rPr>
          <w:lang w:val="fr-FR"/>
        </w:rPr>
        <w:t>article</w:t>
      </w:r>
      <w:r>
        <w:rPr>
          <w:lang w:val="fr-FR"/>
        </w:rPr>
        <w:t> </w:t>
      </w:r>
      <w:r w:rsidRPr="00404765">
        <w:rPr>
          <w:lang w:val="fr-FR"/>
        </w:rPr>
        <w:t xml:space="preserve">6 était irrecevable pour incompatibilité </w:t>
      </w:r>
      <w:r w:rsidRPr="00404765">
        <w:rPr>
          <w:i/>
          <w:lang w:val="fr-FR"/>
        </w:rPr>
        <w:t>ratione materiae.</w:t>
      </w:r>
    </w:p>
    <w:p w14:paraId="670C31EB" w14:textId="77777777" w:rsidR="00BB1DAA" w:rsidRPr="00404765" w:rsidRDefault="00BB1DAA" w:rsidP="00BB1DAA">
      <w:pPr>
        <w:pStyle w:val="SingleTxtG"/>
        <w:rPr>
          <w:lang w:val="fr-FR"/>
        </w:rPr>
      </w:pPr>
      <w:r w:rsidRPr="00404765">
        <w:rPr>
          <w:lang w:val="fr-FR"/>
        </w:rPr>
        <w:t>6.5</w:t>
      </w:r>
      <w:r w:rsidRPr="00404765">
        <w:rPr>
          <w:lang w:val="fr-FR"/>
        </w:rPr>
        <w:tab/>
        <w:t>Le Comité rappelle que, lorsque la Cour européenne des droits de l</w:t>
      </w:r>
      <w:r>
        <w:rPr>
          <w:lang w:val="fr-FR"/>
        </w:rPr>
        <w:t>’</w:t>
      </w:r>
      <w:r w:rsidRPr="00404765">
        <w:rPr>
          <w:lang w:val="fr-FR"/>
        </w:rPr>
        <w:t>homme déclare une requête irrecevable, non seulement pour vice de forme, mais aussi pour des motifs reposant, dans une certaine mesure, sur un examen au fond, il est considéré que la question a déjà été examinée</w:t>
      </w:r>
      <w:r>
        <w:rPr>
          <w:lang w:val="fr-FR"/>
        </w:rPr>
        <w:t xml:space="preserve"> </w:t>
      </w:r>
      <w:r w:rsidRPr="00404765">
        <w:rPr>
          <w:lang w:val="fr-FR"/>
        </w:rPr>
        <w:t>au sens de l</w:t>
      </w:r>
      <w:r>
        <w:rPr>
          <w:lang w:val="fr-FR"/>
        </w:rPr>
        <w:t>’</w:t>
      </w:r>
      <w:r w:rsidRPr="00404765">
        <w:rPr>
          <w:lang w:val="fr-FR"/>
        </w:rPr>
        <w:t>article</w:t>
      </w:r>
      <w:r>
        <w:rPr>
          <w:lang w:val="fr-FR"/>
        </w:rPr>
        <w:t> </w:t>
      </w:r>
      <w:r>
        <w:rPr>
          <w:lang w:val="fr-FR"/>
        </w:rPr>
        <w:t>22</w:t>
      </w:r>
      <w:r w:rsidRPr="00404765">
        <w:rPr>
          <w:lang w:val="fr-FR"/>
        </w:rPr>
        <w:t xml:space="preserve"> </w:t>
      </w:r>
      <w:r>
        <w:rPr>
          <w:lang w:val="fr-FR"/>
        </w:rPr>
        <w:t>(par.</w:t>
      </w:r>
      <w:r>
        <w:rPr>
          <w:lang w:val="fr-FR"/>
        </w:rPr>
        <w:t> </w:t>
      </w:r>
      <w:r>
        <w:rPr>
          <w:lang w:val="fr-FR"/>
        </w:rPr>
        <w:t>5 a))</w:t>
      </w:r>
      <w:r>
        <w:rPr>
          <w:lang w:val="fr-FR"/>
        </w:rPr>
        <w:t xml:space="preserve"> </w:t>
      </w:r>
      <w:r>
        <w:rPr>
          <w:lang w:val="fr-FR"/>
        </w:rPr>
        <w:t xml:space="preserve">de la </w:t>
      </w:r>
      <w:r w:rsidRPr="00565495">
        <w:rPr>
          <w:lang w:val="fr-FR"/>
        </w:rPr>
        <w:t>Convention contre</w:t>
      </w:r>
      <w:r>
        <w:rPr>
          <w:lang w:val="fr-FR"/>
        </w:rPr>
        <w:t xml:space="preserve"> </w:t>
      </w:r>
      <w:r w:rsidRPr="00565495">
        <w:rPr>
          <w:lang w:val="fr-FR"/>
        </w:rPr>
        <w:t>la torture et autres peines</w:t>
      </w:r>
      <w:r>
        <w:rPr>
          <w:lang w:val="fr-FR"/>
        </w:rPr>
        <w:t xml:space="preserve"> </w:t>
      </w:r>
      <w:r w:rsidRPr="00565495">
        <w:rPr>
          <w:lang w:val="fr-FR"/>
        </w:rPr>
        <w:t>ou traitements cruels,</w:t>
      </w:r>
      <w:r>
        <w:rPr>
          <w:lang w:val="fr-FR"/>
        </w:rPr>
        <w:t xml:space="preserve"> </w:t>
      </w:r>
      <w:r w:rsidRPr="00565495">
        <w:rPr>
          <w:lang w:val="fr-FR"/>
        </w:rPr>
        <w:t>inhumains ou dégradants</w:t>
      </w:r>
      <w:r w:rsidRPr="00404765">
        <w:rPr>
          <w:rStyle w:val="Appelnotedebasdep"/>
          <w:lang w:val="fr-FR"/>
        </w:rPr>
        <w:footnoteReference w:id="9"/>
      </w:r>
      <w:r w:rsidRPr="00404765">
        <w:rPr>
          <w:lang w:val="fr-FR"/>
        </w:rPr>
        <w:t>. Il s</w:t>
      </w:r>
      <w:r>
        <w:rPr>
          <w:lang w:val="fr-FR"/>
        </w:rPr>
        <w:t>’</w:t>
      </w:r>
      <w:r w:rsidRPr="00404765">
        <w:rPr>
          <w:lang w:val="fr-FR"/>
        </w:rPr>
        <w:t>agit donc pour lui de déterminer si, en l</w:t>
      </w:r>
      <w:r>
        <w:rPr>
          <w:lang w:val="fr-FR"/>
        </w:rPr>
        <w:t>’</w:t>
      </w:r>
      <w:r w:rsidRPr="00404765">
        <w:rPr>
          <w:lang w:val="fr-FR"/>
        </w:rPr>
        <w:t>espèce, la Cour est allée au-delà d</w:t>
      </w:r>
      <w:r>
        <w:rPr>
          <w:lang w:val="fr-FR"/>
        </w:rPr>
        <w:t>’</w:t>
      </w:r>
      <w:r w:rsidRPr="00404765">
        <w:rPr>
          <w:lang w:val="fr-FR"/>
        </w:rPr>
        <w:t>un simple examen des critères de recevabilité purement formels lorsqu</w:t>
      </w:r>
      <w:r>
        <w:rPr>
          <w:lang w:val="fr-FR"/>
        </w:rPr>
        <w:t>’</w:t>
      </w:r>
      <w:r w:rsidRPr="00404765">
        <w:rPr>
          <w:lang w:val="fr-FR"/>
        </w:rPr>
        <w:t>elle a déclaré la requête irrecevable au motif que les conditions de recevabilité énoncées aux articles</w:t>
      </w:r>
      <w:r>
        <w:rPr>
          <w:lang w:val="fr-FR"/>
        </w:rPr>
        <w:t> </w:t>
      </w:r>
      <w:r w:rsidRPr="00404765">
        <w:rPr>
          <w:lang w:val="fr-FR"/>
        </w:rPr>
        <w:t>34 et</w:t>
      </w:r>
      <w:r>
        <w:rPr>
          <w:lang w:val="fr-FR"/>
        </w:rPr>
        <w:t xml:space="preserve"> </w:t>
      </w:r>
      <w:r w:rsidRPr="00404765">
        <w:rPr>
          <w:lang w:val="fr-FR"/>
        </w:rPr>
        <w:t>35 de la Convention n</w:t>
      </w:r>
      <w:r>
        <w:rPr>
          <w:lang w:val="fr-FR"/>
        </w:rPr>
        <w:t>’</w:t>
      </w:r>
      <w:r w:rsidRPr="00404765">
        <w:rPr>
          <w:lang w:val="fr-FR"/>
        </w:rPr>
        <w:t>avaient pas été remplies.</w:t>
      </w:r>
    </w:p>
    <w:p w14:paraId="59E3FD14" w14:textId="77777777" w:rsidR="00BB1DAA" w:rsidRPr="00404765" w:rsidRDefault="00BB1DAA" w:rsidP="00BB1DAA">
      <w:pPr>
        <w:pStyle w:val="SingleTxtG"/>
        <w:rPr>
          <w:lang w:val="fr-FR"/>
        </w:rPr>
      </w:pPr>
      <w:r w:rsidRPr="00404765">
        <w:rPr>
          <w:lang w:val="fr-FR"/>
        </w:rPr>
        <w:t>6.6</w:t>
      </w:r>
      <w:r w:rsidRPr="00404765">
        <w:rPr>
          <w:lang w:val="fr-FR"/>
        </w:rPr>
        <w:tab/>
        <w:t>Le Comité constate à la lecture de la décision de la Cour européenne des droits de l</w:t>
      </w:r>
      <w:r>
        <w:rPr>
          <w:lang w:val="fr-FR"/>
        </w:rPr>
        <w:t>’</w:t>
      </w:r>
      <w:r w:rsidRPr="00404765">
        <w:rPr>
          <w:lang w:val="fr-FR"/>
        </w:rPr>
        <w:t>homme que les griefs que la requérante tire de l</w:t>
      </w:r>
      <w:r>
        <w:rPr>
          <w:lang w:val="fr-FR"/>
        </w:rPr>
        <w:t>’</w:t>
      </w:r>
      <w:r w:rsidRPr="00404765">
        <w:rPr>
          <w:lang w:val="fr-FR"/>
        </w:rPr>
        <w:t>article</w:t>
      </w:r>
      <w:r>
        <w:rPr>
          <w:lang w:val="fr-FR"/>
        </w:rPr>
        <w:t> </w:t>
      </w:r>
      <w:r w:rsidRPr="00404765">
        <w:rPr>
          <w:lang w:val="fr-FR"/>
        </w:rPr>
        <w:t>3, qui ont été jugés infondés, ne semblent pas avoir été déclarés irrecevables pour des motifs exclusivement procéduraux. Il note qu</w:t>
      </w:r>
      <w:r>
        <w:rPr>
          <w:lang w:val="fr-FR"/>
        </w:rPr>
        <w:t>’</w:t>
      </w:r>
      <w:r w:rsidRPr="00404765">
        <w:rPr>
          <w:lang w:val="fr-FR"/>
        </w:rPr>
        <w:t>au contraire, les motifs avancés par la Cour montrent sans équivoque que celle-ci a bien examiné le fond de l</w:t>
      </w:r>
      <w:r>
        <w:rPr>
          <w:lang w:val="fr-FR"/>
        </w:rPr>
        <w:t>’</w:t>
      </w:r>
      <w:r w:rsidRPr="00404765">
        <w:rPr>
          <w:lang w:val="fr-FR"/>
        </w:rPr>
        <w:t>affaire, quoique de manière limitée</w:t>
      </w:r>
      <w:r w:rsidRPr="00404765">
        <w:rPr>
          <w:rStyle w:val="Appelnotedebasdep"/>
          <w:lang w:val="fr-FR"/>
        </w:rPr>
        <w:footnoteReference w:id="10"/>
      </w:r>
      <w:r w:rsidRPr="00404765">
        <w:rPr>
          <w:lang w:val="fr-FR"/>
        </w:rPr>
        <w:t>. Il conclut donc que la même question a déjà été examinée par la Cour.</w:t>
      </w:r>
      <w:r>
        <w:rPr>
          <w:lang w:val="fr-FR"/>
        </w:rPr>
        <w:t xml:space="preserve"> </w:t>
      </w:r>
    </w:p>
    <w:p w14:paraId="1A70DA02" w14:textId="77777777" w:rsidR="00BB1DAA" w:rsidRPr="00404765" w:rsidRDefault="00BB1DAA" w:rsidP="00BB1DAA">
      <w:pPr>
        <w:pStyle w:val="SingleTxtG"/>
        <w:keepNext/>
        <w:rPr>
          <w:lang w:val="fr-FR"/>
        </w:rPr>
      </w:pPr>
      <w:r w:rsidRPr="00404765">
        <w:rPr>
          <w:lang w:val="fr-FR"/>
        </w:rPr>
        <w:t>7.</w:t>
      </w:r>
      <w:r w:rsidRPr="00404765">
        <w:rPr>
          <w:lang w:val="fr-FR"/>
        </w:rPr>
        <w:tab/>
        <w:t xml:space="preserve">Compte tenu de ce qui précède, le Comité considère que la condition posée </w:t>
      </w:r>
      <w:r>
        <w:rPr>
          <w:lang w:val="fr-FR"/>
        </w:rPr>
        <w:t>à</w:t>
      </w:r>
      <w:r w:rsidRPr="00404765">
        <w:rPr>
          <w:lang w:val="fr-FR"/>
        </w:rPr>
        <w:t xml:space="preserve"> l</w:t>
      </w:r>
      <w:r>
        <w:rPr>
          <w:lang w:val="fr-FR"/>
        </w:rPr>
        <w:t>’</w:t>
      </w:r>
      <w:r w:rsidRPr="00404765">
        <w:rPr>
          <w:lang w:val="fr-FR"/>
        </w:rPr>
        <w:t>article</w:t>
      </w:r>
      <w:r>
        <w:rPr>
          <w:lang w:val="fr-FR"/>
        </w:rPr>
        <w:t> </w:t>
      </w:r>
      <w:r w:rsidRPr="00404765">
        <w:rPr>
          <w:lang w:val="fr-FR"/>
        </w:rPr>
        <w:t xml:space="preserve">22 </w:t>
      </w:r>
      <w:r>
        <w:rPr>
          <w:lang w:val="fr-FR"/>
        </w:rPr>
        <w:t>(par.</w:t>
      </w:r>
      <w:r>
        <w:rPr>
          <w:lang w:val="fr-FR"/>
        </w:rPr>
        <w:t> </w:t>
      </w:r>
      <w:r>
        <w:rPr>
          <w:lang w:val="fr-FR"/>
        </w:rPr>
        <w:t xml:space="preserve">5 a)) </w:t>
      </w:r>
      <w:r w:rsidRPr="00404765">
        <w:rPr>
          <w:lang w:val="fr-FR"/>
        </w:rPr>
        <w:t>de la Convention n</w:t>
      </w:r>
      <w:r>
        <w:rPr>
          <w:lang w:val="fr-FR"/>
        </w:rPr>
        <w:t>’</w:t>
      </w:r>
      <w:r w:rsidRPr="00404765">
        <w:rPr>
          <w:lang w:val="fr-FR"/>
        </w:rPr>
        <w:t>est pas remplie en l</w:t>
      </w:r>
      <w:r>
        <w:rPr>
          <w:lang w:val="fr-FR"/>
        </w:rPr>
        <w:t>’</w:t>
      </w:r>
      <w:r w:rsidRPr="00404765">
        <w:rPr>
          <w:lang w:val="fr-FR"/>
        </w:rPr>
        <w:t>espèce.</w:t>
      </w:r>
    </w:p>
    <w:p w14:paraId="76684E39" w14:textId="77777777" w:rsidR="00BB1DAA" w:rsidRPr="00404765" w:rsidRDefault="00BB1DAA" w:rsidP="00BB1DAA">
      <w:pPr>
        <w:pStyle w:val="SingleTxtG"/>
        <w:rPr>
          <w:lang w:val="fr-FR"/>
        </w:rPr>
      </w:pPr>
      <w:r w:rsidRPr="00404765">
        <w:rPr>
          <w:lang w:val="fr-FR"/>
        </w:rPr>
        <w:t>8.</w:t>
      </w:r>
      <w:r w:rsidRPr="00404765">
        <w:rPr>
          <w:lang w:val="fr-FR"/>
        </w:rPr>
        <w:tab/>
        <w:t>En conséquence, le Comité décide</w:t>
      </w:r>
      <w:r>
        <w:rPr>
          <w:lang w:val="fr-FR"/>
        </w:rPr>
        <w:t> </w:t>
      </w:r>
      <w:r w:rsidRPr="00404765">
        <w:rPr>
          <w:lang w:val="fr-FR"/>
        </w:rPr>
        <w:t xml:space="preserve">: </w:t>
      </w:r>
    </w:p>
    <w:p w14:paraId="1A8DD632" w14:textId="77777777" w:rsidR="00BB1DAA" w:rsidRPr="00404765" w:rsidRDefault="00BB1DAA" w:rsidP="00BB1DAA">
      <w:pPr>
        <w:pStyle w:val="SingleTxtG"/>
        <w:ind w:firstLine="567"/>
        <w:rPr>
          <w:lang w:val="fr-FR"/>
        </w:rPr>
      </w:pPr>
      <w:r w:rsidRPr="00404765">
        <w:rPr>
          <w:lang w:val="fr-FR"/>
        </w:rPr>
        <w:t>a)</w:t>
      </w:r>
      <w:r w:rsidRPr="00404765">
        <w:rPr>
          <w:lang w:val="fr-FR"/>
        </w:rPr>
        <w:tab/>
      </w:r>
      <w:bookmarkStart w:id="0" w:name="_GoBack"/>
      <w:bookmarkEnd w:id="0"/>
      <w:r w:rsidRPr="00404765">
        <w:rPr>
          <w:lang w:val="fr-FR"/>
        </w:rPr>
        <w:t>Que la communication est irrecevable au regard de l</w:t>
      </w:r>
      <w:r>
        <w:rPr>
          <w:lang w:val="fr-FR"/>
        </w:rPr>
        <w:t>’</w:t>
      </w:r>
      <w:r w:rsidRPr="00404765">
        <w:rPr>
          <w:lang w:val="fr-FR"/>
        </w:rPr>
        <w:t>article</w:t>
      </w:r>
      <w:r>
        <w:rPr>
          <w:lang w:val="fr-FR"/>
        </w:rPr>
        <w:t> </w:t>
      </w:r>
      <w:r w:rsidRPr="00404765">
        <w:rPr>
          <w:lang w:val="fr-FR"/>
        </w:rPr>
        <w:t xml:space="preserve">22 </w:t>
      </w:r>
      <w:r>
        <w:rPr>
          <w:lang w:val="fr-FR"/>
        </w:rPr>
        <w:t>(par.</w:t>
      </w:r>
      <w:r>
        <w:rPr>
          <w:lang w:val="fr-FR"/>
        </w:rPr>
        <w:t> </w:t>
      </w:r>
      <w:r>
        <w:rPr>
          <w:lang w:val="fr-FR"/>
        </w:rPr>
        <w:t xml:space="preserve">5 a)) </w:t>
      </w:r>
      <w:r w:rsidRPr="00404765">
        <w:rPr>
          <w:lang w:val="fr-FR"/>
        </w:rPr>
        <w:t>de la Convention</w:t>
      </w:r>
      <w:r>
        <w:rPr>
          <w:lang w:val="fr-FR"/>
        </w:rPr>
        <w:t> </w:t>
      </w:r>
      <w:r w:rsidRPr="00404765">
        <w:rPr>
          <w:lang w:val="fr-FR"/>
        </w:rPr>
        <w:t>;</w:t>
      </w:r>
    </w:p>
    <w:p w14:paraId="4E5F0ECF" w14:textId="77777777" w:rsidR="00BB1DAA" w:rsidRDefault="00BB1DAA" w:rsidP="00BB1DAA">
      <w:pPr>
        <w:pStyle w:val="SingleTxtG"/>
        <w:ind w:firstLine="567"/>
        <w:rPr>
          <w:lang w:val="fr-FR"/>
        </w:rPr>
      </w:pPr>
      <w:r w:rsidRPr="00404765">
        <w:rPr>
          <w:lang w:val="fr-FR"/>
        </w:rPr>
        <w:t>b)</w:t>
      </w:r>
      <w:r w:rsidRPr="00404765">
        <w:rPr>
          <w:lang w:val="fr-FR"/>
        </w:rPr>
        <w:tab/>
        <w:t>Que la présente décision sera communiquée à la requérante et à l</w:t>
      </w:r>
      <w:r>
        <w:rPr>
          <w:lang w:val="fr-FR"/>
        </w:rPr>
        <w:t>’</w:t>
      </w:r>
      <w:r w:rsidRPr="00404765">
        <w:rPr>
          <w:lang w:val="fr-FR"/>
        </w:rPr>
        <w:t>État partie.</w:t>
      </w:r>
    </w:p>
    <w:p w14:paraId="2FC80274" w14:textId="77777777" w:rsidR="00BB1DAA" w:rsidRPr="00BB1DAA" w:rsidRDefault="00BB1DAA" w:rsidP="00BB1DA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BB1DAA" w:rsidRPr="00BB1DAA" w:rsidSect="006D2FD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461D5" w14:textId="77777777" w:rsidR="005B0404" w:rsidRPr="009C4D45" w:rsidRDefault="005B0404" w:rsidP="009C4D45">
      <w:pPr>
        <w:pStyle w:val="Pieddepage"/>
      </w:pPr>
    </w:p>
  </w:endnote>
  <w:endnote w:type="continuationSeparator" w:id="0">
    <w:p w14:paraId="7846CFE2" w14:textId="77777777" w:rsidR="005B0404" w:rsidRPr="009C4D45" w:rsidRDefault="005B0404" w:rsidP="009C4D45">
      <w:pPr>
        <w:pStyle w:val="Pieddepage"/>
      </w:pPr>
    </w:p>
  </w:endnote>
  <w:endnote w:type="continuationNotice" w:id="1">
    <w:p w14:paraId="16D236D8" w14:textId="77777777" w:rsidR="005B0404" w:rsidRDefault="005B04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DC371" w14:textId="77777777" w:rsidR="006D2FD1" w:rsidRPr="006D2FD1" w:rsidRDefault="006D2FD1" w:rsidP="006D2FD1">
    <w:pPr>
      <w:pStyle w:val="Pieddepage"/>
      <w:tabs>
        <w:tab w:val="right" w:pos="9638"/>
      </w:tabs>
    </w:pPr>
    <w:r w:rsidRPr="006D2FD1">
      <w:rPr>
        <w:b/>
        <w:sz w:val="18"/>
      </w:rPr>
      <w:fldChar w:fldCharType="begin"/>
    </w:r>
    <w:r w:rsidRPr="006D2FD1">
      <w:rPr>
        <w:b/>
        <w:sz w:val="18"/>
      </w:rPr>
      <w:instrText xml:space="preserve"> PAGE  \* MERGEFORMAT </w:instrText>
    </w:r>
    <w:r w:rsidRPr="006D2FD1">
      <w:rPr>
        <w:b/>
        <w:sz w:val="18"/>
      </w:rPr>
      <w:fldChar w:fldCharType="separate"/>
    </w:r>
    <w:r w:rsidRPr="006D2FD1">
      <w:rPr>
        <w:b/>
        <w:noProof/>
        <w:sz w:val="18"/>
      </w:rPr>
      <w:t>2</w:t>
    </w:r>
    <w:r w:rsidRPr="006D2FD1">
      <w:rPr>
        <w:b/>
        <w:sz w:val="18"/>
      </w:rPr>
      <w:fldChar w:fldCharType="end"/>
    </w:r>
    <w:r>
      <w:rPr>
        <w:b/>
        <w:sz w:val="18"/>
      </w:rPr>
      <w:tab/>
    </w:r>
    <w:r>
      <w:t>GE.21-00910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6151" w14:textId="77777777" w:rsidR="006D2FD1" w:rsidRPr="006D2FD1" w:rsidRDefault="006D2FD1" w:rsidP="006D2FD1">
    <w:pPr>
      <w:pStyle w:val="Pieddepage"/>
      <w:tabs>
        <w:tab w:val="right" w:pos="9638"/>
      </w:tabs>
      <w:rPr>
        <w:b/>
        <w:sz w:val="18"/>
      </w:rPr>
    </w:pPr>
    <w:r>
      <w:t>GE.21-00910</w:t>
    </w:r>
    <w:r>
      <w:tab/>
    </w:r>
    <w:r w:rsidRPr="006D2FD1">
      <w:rPr>
        <w:b/>
        <w:sz w:val="18"/>
      </w:rPr>
      <w:fldChar w:fldCharType="begin"/>
    </w:r>
    <w:r w:rsidRPr="006D2FD1">
      <w:rPr>
        <w:b/>
        <w:sz w:val="18"/>
      </w:rPr>
      <w:instrText xml:space="preserve"> PAGE  \* MERGEFORMAT </w:instrText>
    </w:r>
    <w:r w:rsidRPr="006D2FD1">
      <w:rPr>
        <w:b/>
        <w:sz w:val="18"/>
      </w:rPr>
      <w:fldChar w:fldCharType="separate"/>
    </w:r>
    <w:r w:rsidRPr="006D2FD1">
      <w:rPr>
        <w:b/>
        <w:noProof/>
        <w:sz w:val="18"/>
      </w:rPr>
      <w:t>3</w:t>
    </w:r>
    <w:r w:rsidRPr="006D2F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93465" w14:textId="77777777" w:rsidR="00621144" w:rsidRPr="006D2FD1" w:rsidRDefault="006D2FD1" w:rsidP="006D2FD1">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3C22A717" wp14:editId="1870E72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21-00910  (F)</w:t>
    </w:r>
    <w:r>
      <w:rPr>
        <w:noProof/>
        <w:sz w:val="20"/>
      </w:rPr>
      <w:drawing>
        <wp:anchor distT="0" distB="0" distL="114300" distR="114300" simplePos="0" relativeHeight="251660288" behindDoc="0" locked="0" layoutInCell="1" allowOverlap="1" wp14:anchorId="107AD653" wp14:editId="537CE440">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300321    300321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963D9" w14:textId="77777777" w:rsidR="005B0404" w:rsidRPr="009C4D45" w:rsidRDefault="005B0404" w:rsidP="009C4D45">
      <w:pPr>
        <w:pStyle w:val="Pieddepage"/>
        <w:tabs>
          <w:tab w:val="right" w:pos="2155"/>
        </w:tabs>
        <w:spacing w:after="80" w:line="240" w:lineRule="atLeast"/>
        <w:ind w:left="680"/>
        <w:rPr>
          <w:u w:val="single"/>
        </w:rPr>
      </w:pPr>
      <w:r>
        <w:rPr>
          <w:u w:val="single"/>
        </w:rPr>
        <w:tab/>
      </w:r>
    </w:p>
  </w:footnote>
  <w:footnote w:type="continuationSeparator" w:id="0">
    <w:p w14:paraId="77FBAF11" w14:textId="77777777" w:rsidR="005B0404" w:rsidRPr="00035AE4" w:rsidRDefault="005B0404" w:rsidP="00035AE4">
      <w:pPr>
        <w:pStyle w:val="Pieddepage"/>
        <w:tabs>
          <w:tab w:val="right" w:pos="2155"/>
        </w:tabs>
        <w:spacing w:after="80" w:line="240" w:lineRule="atLeast"/>
        <w:ind w:left="680"/>
        <w:rPr>
          <w:u w:val="single"/>
        </w:rPr>
      </w:pPr>
      <w:r>
        <w:rPr>
          <w:u w:val="single"/>
        </w:rPr>
        <w:tab/>
      </w:r>
    </w:p>
  </w:footnote>
  <w:footnote w:type="continuationNotice" w:id="1">
    <w:p w14:paraId="5219B7D9" w14:textId="77777777" w:rsidR="005B0404" w:rsidRPr="00035AE4" w:rsidRDefault="005B0404">
      <w:pPr>
        <w:spacing w:line="240" w:lineRule="auto"/>
        <w:rPr>
          <w:sz w:val="2"/>
          <w:szCs w:val="2"/>
        </w:rPr>
      </w:pPr>
    </w:p>
  </w:footnote>
  <w:footnote w:id="2">
    <w:p w14:paraId="794D4AA1" w14:textId="77777777" w:rsidR="00BB1DAA" w:rsidRPr="0090138A" w:rsidRDefault="00BB1DAA" w:rsidP="00BB1DAA">
      <w:pPr>
        <w:pStyle w:val="Notedebasdepage"/>
      </w:pPr>
      <w:r>
        <w:tab/>
      </w:r>
      <w:r w:rsidRPr="0090138A">
        <w:rPr>
          <w:sz w:val="20"/>
        </w:rPr>
        <w:t>*</w:t>
      </w:r>
      <w:r>
        <w:rPr>
          <w:sz w:val="20"/>
        </w:rPr>
        <w:tab/>
      </w:r>
      <w:r>
        <w:rPr>
          <w:color w:val="000000"/>
        </w:rPr>
        <w:t>Adoptée par le Comité le</w:t>
      </w:r>
      <w:r w:rsidRPr="0090138A" w:rsidDel="00741A0C">
        <w:rPr>
          <w:szCs w:val="18"/>
        </w:rPr>
        <w:t xml:space="preserve"> </w:t>
      </w:r>
      <w:r>
        <w:rPr>
          <w:szCs w:val="18"/>
        </w:rPr>
        <w:t xml:space="preserve">30 décembre 2020, </w:t>
      </w:r>
      <w:r>
        <w:rPr>
          <w:color w:val="000000"/>
        </w:rPr>
        <w:t>pendant la période intersessions</w:t>
      </w:r>
      <w:r w:rsidRPr="0090138A">
        <w:rPr>
          <w:szCs w:val="18"/>
        </w:rPr>
        <w:t>.</w:t>
      </w:r>
    </w:p>
  </w:footnote>
  <w:footnote w:id="3">
    <w:p w14:paraId="25350B76" w14:textId="77777777" w:rsidR="00BB1DAA" w:rsidRPr="0090138A" w:rsidRDefault="00BB1DAA" w:rsidP="00BB1DAA">
      <w:pPr>
        <w:pStyle w:val="Notedebasdepage"/>
      </w:pPr>
      <w:r>
        <w:tab/>
      </w:r>
      <w:r w:rsidRPr="0090138A">
        <w:rPr>
          <w:sz w:val="20"/>
        </w:rPr>
        <w:t>**</w:t>
      </w:r>
      <w:r>
        <w:rPr>
          <w:sz w:val="20"/>
        </w:rPr>
        <w:tab/>
      </w:r>
      <w:r w:rsidRPr="009438E0">
        <w:rPr>
          <w:szCs w:val="18"/>
        </w:rPr>
        <w:t>Les membres du Comité dont le nom suit ont participé à l’examen de la</w:t>
      </w:r>
      <w:r w:rsidRPr="004E43EE">
        <w:rPr>
          <w:szCs w:val="18"/>
        </w:rPr>
        <w:t xml:space="preserve"> communication</w:t>
      </w:r>
      <w:r>
        <w:rPr>
          <w:szCs w:val="18"/>
        </w:rPr>
        <w:t> </w:t>
      </w:r>
      <w:r w:rsidRPr="004E1030">
        <w:t>:</w:t>
      </w:r>
      <w:r w:rsidRPr="004E1030">
        <w:rPr>
          <w:color w:val="000000"/>
          <w:szCs w:val="24"/>
        </w:rPr>
        <w:t xml:space="preserve"> Essadia</w:t>
      </w:r>
      <w:r>
        <w:rPr>
          <w:color w:val="000000"/>
          <w:szCs w:val="24"/>
        </w:rPr>
        <w:t> </w:t>
      </w:r>
      <w:r w:rsidRPr="004E1030">
        <w:rPr>
          <w:color w:val="000000"/>
          <w:szCs w:val="24"/>
        </w:rPr>
        <w:t xml:space="preserve">Belmir, </w:t>
      </w:r>
      <w:r>
        <w:rPr>
          <w:snapToGrid w:val="0"/>
          <w:szCs w:val="24"/>
        </w:rPr>
        <w:t>Claude Heller</w:t>
      </w:r>
      <w:r w:rsidRPr="004E1030">
        <w:rPr>
          <w:snapToGrid w:val="0"/>
          <w:szCs w:val="24"/>
        </w:rPr>
        <w:t>,</w:t>
      </w:r>
      <w:r w:rsidRPr="004E1030">
        <w:rPr>
          <w:szCs w:val="24"/>
        </w:rPr>
        <w:t xml:space="preserve"> </w:t>
      </w:r>
      <w:r w:rsidRPr="00F86FD0">
        <w:rPr>
          <w:szCs w:val="24"/>
        </w:rPr>
        <w:t>Erdogan Iscan,</w:t>
      </w:r>
      <w:r>
        <w:rPr>
          <w:szCs w:val="24"/>
        </w:rPr>
        <w:t xml:space="preserve"> Liu</w:t>
      </w:r>
      <w:r w:rsidRPr="00F86FD0">
        <w:t xml:space="preserve"> </w:t>
      </w:r>
      <w:r w:rsidRPr="00F86FD0">
        <w:rPr>
          <w:szCs w:val="24"/>
        </w:rPr>
        <w:t xml:space="preserve">Huawen, </w:t>
      </w:r>
      <w:r w:rsidRPr="00F86FD0">
        <w:rPr>
          <w:snapToGrid w:val="0"/>
          <w:szCs w:val="24"/>
        </w:rPr>
        <w:t>Jens Modvig</w:t>
      </w:r>
      <w:r w:rsidRPr="004E1030">
        <w:rPr>
          <w:snapToGrid w:val="0"/>
          <w:szCs w:val="24"/>
        </w:rPr>
        <w:t xml:space="preserve">, </w:t>
      </w:r>
      <w:r>
        <w:rPr>
          <w:snapToGrid w:val="0"/>
          <w:szCs w:val="24"/>
        </w:rPr>
        <w:t>Ilvija Puce,</w:t>
      </w:r>
      <w:r w:rsidRPr="004E1030">
        <w:rPr>
          <w:snapToGrid w:val="0"/>
          <w:szCs w:val="24"/>
        </w:rPr>
        <w:t xml:space="preserve"> </w:t>
      </w:r>
      <w:r w:rsidRPr="00686A7A">
        <w:rPr>
          <w:bCs/>
          <w:snapToGrid w:val="0"/>
          <w:szCs w:val="24"/>
        </w:rPr>
        <w:t>Diego</w:t>
      </w:r>
      <w:r>
        <w:rPr>
          <w:b/>
          <w:snapToGrid w:val="0"/>
          <w:szCs w:val="24"/>
        </w:rPr>
        <w:t> </w:t>
      </w:r>
      <w:r>
        <w:rPr>
          <w:snapToGrid w:val="0"/>
          <w:szCs w:val="24"/>
        </w:rPr>
        <w:t>Ro</w:t>
      </w:r>
      <w:r w:rsidRPr="006D081A">
        <w:rPr>
          <w:snapToGrid w:val="0"/>
          <w:szCs w:val="24"/>
        </w:rPr>
        <w:t>dríguez-Pinzón,</w:t>
      </w:r>
      <w:r w:rsidRPr="00686A7A">
        <w:rPr>
          <w:snapToGrid w:val="0"/>
          <w:szCs w:val="24"/>
        </w:rPr>
        <w:t xml:space="preserve"> </w:t>
      </w:r>
      <w:r w:rsidRPr="004E1030">
        <w:rPr>
          <w:snapToGrid w:val="0"/>
          <w:szCs w:val="24"/>
        </w:rPr>
        <w:t>Sébastien Touz</w:t>
      </w:r>
      <w:r>
        <w:rPr>
          <w:snapToGrid w:val="0"/>
          <w:szCs w:val="24"/>
        </w:rPr>
        <w:t xml:space="preserve">é et </w:t>
      </w:r>
      <w:r w:rsidRPr="00686A7A">
        <w:rPr>
          <w:bCs/>
          <w:snapToGrid w:val="0"/>
          <w:szCs w:val="24"/>
        </w:rPr>
        <w:t>Bakhtiyar</w:t>
      </w:r>
      <w:r w:rsidRPr="006D081A">
        <w:rPr>
          <w:snapToGrid w:val="0"/>
          <w:szCs w:val="24"/>
        </w:rPr>
        <w:t xml:space="preserve"> </w:t>
      </w:r>
      <w:r w:rsidRPr="00D32DEC">
        <w:rPr>
          <w:snapToGrid w:val="0"/>
          <w:szCs w:val="24"/>
        </w:rPr>
        <w:t>Tuzmukhamedov</w:t>
      </w:r>
      <w:r w:rsidRPr="00D32DEC">
        <w:t xml:space="preserve">. </w:t>
      </w:r>
    </w:p>
  </w:footnote>
  <w:footnote w:id="4">
    <w:p w14:paraId="7F0562D7" w14:textId="77777777" w:rsidR="00BB1DAA" w:rsidRPr="00FE4DDD" w:rsidRDefault="00BB1DAA" w:rsidP="00BB1DAA">
      <w:pPr>
        <w:pStyle w:val="Notedebasdepage"/>
        <w:jc w:val="both"/>
        <w:rPr>
          <w:lang w:val="fr-FR"/>
        </w:rPr>
      </w:pPr>
      <w:r>
        <w:tab/>
      </w:r>
      <w:r>
        <w:rPr>
          <w:rStyle w:val="Appelnotedebasdep"/>
        </w:rPr>
        <w:footnoteRef/>
      </w:r>
      <w:r>
        <w:tab/>
      </w:r>
      <w:r w:rsidRPr="00FE4DDD">
        <w:rPr>
          <w:lang w:val="fr-FR"/>
        </w:rPr>
        <w:t xml:space="preserve">L’État partie renvoie à </w:t>
      </w:r>
      <w:r>
        <w:rPr>
          <w:lang w:val="fr-FR"/>
        </w:rPr>
        <w:t xml:space="preserve">l’affaire </w:t>
      </w:r>
      <w:r w:rsidRPr="00FE4DDD">
        <w:rPr>
          <w:i/>
          <w:lang w:val="fr-FR"/>
        </w:rPr>
        <w:t>M.</w:t>
      </w:r>
      <w:r>
        <w:rPr>
          <w:i/>
          <w:lang w:val="fr-FR"/>
        </w:rPr>
        <w:t> </w:t>
      </w:r>
      <w:r w:rsidRPr="00FE4DDD">
        <w:rPr>
          <w:i/>
          <w:lang w:val="fr-FR"/>
        </w:rPr>
        <w:t>T. c. Suède</w:t>
      </w:r>
      <w:r>
        <w:rPr>
          <w:i/>
        </w:rPr>
        <w:t xml:space="preserve"> </w:t>
      </w:r>
      <w:r>
        <w:rPr>
          <w:iCs/>
        </w:rPr>
        <w:t>(</w:t>
      </w:r>
      <w:r>
        <w:t>CAT/C/55/D/642/2014)</w:t>
      </w:r>
      <w:r w:rsidRPr="00FE4DDD">
        <w:rPr>
          <w:lang w:val="fr-FR"/>
        </w:rPr>
        <w:t>, par.</w:t>
      </w:r>
      <w:r>
        <w:rPr>
          <w:lang w:val="fr-FR"/>
        </w:rPr>
        <w:t> </w:t>
      </w:r>
      <w:r w:rsidRPr="00FE4DDD">
        <w:rPr>
          <w:lang w:val="fr-FR"/>
        </w:rPr>
        <w:t>8.5</w:t>
      </w:r>
      <w:r>
        <w:rPr>
          <w:lang w:val="fr-FR"/>
        </w:rPr>
        <w:t>.</w:t>
      </w:r>
      <w:r w:rsidRPr="00FE4DDD">
        <w:rPr>
          <w:lang w:val="fr-FR"/>
        </w:rPr>
        <w:t xml:space="preserve"> </w:t>
      </w:r>
    </w:p>
  </w:footnote>
  <w:footnote w:id="5">
    <w:p w14:paraId="0CADBC0F" w14:textId="77777777" w:rsidR="00BB1DAA" w:rsidRPr="00346A18" w:rsidRDefault="00BB1DAA" w:rsidP="00BB1DAA">
      <w:pPr>
        <w:pStyle w:val="Notedebasdepage"/>
        <w:widowControl w:val="0"/>
        <w:tabs>
          <w:tab w:val="clear" w:pos="1021"/>
          <w:tab w:val="right" w:pos="1020"/>
        </w:tabs>
        <w:jc w:val="both"/>
        <w:rPr>
          <w:lang w:val="fr-FR"/>
        </w:rPr>
      </w:pPr>
      <w:r w:rsidRPr="00FE4DDD">
        <w:rPr>
          <w:lang w:val="fr-FR"/>
        </w:rPr>
        <w:tab/>
      </w:r>
      <w:r w:rsidRPr="00FE4DDD">
        <w:rPr>
          <w:rStyle w:val="Appelnotedebasdep"/>
          <w:lang w:val="fr-FR"/>
        </w:rPr>
        <w:footnoteRef/>
      </w:r>
      <w:r w:rsidRPr="00FE4DDD">
        <w:rPr>
          <w:lang w:val="fr-FR"/>
        </w:rPr>
        <w:tab/>
      </w:r>
      <w:r>
        <w:rPr>
          <w:lang w:val="fr-FR"/>
        </w:rPr>
        <w:t xml:space="preserve">L’État </w:t>
      </w:r>
      <w:r w:rsidRPr="00346A18">
        <w:rPr>
          <w:lang w:val="fr-FR"/>
        </w:rPr>
        <w:t xml:space="preserve">partie renvoie à </w:t>
      </w:r>
      <w:r w:rsidRPr="00346A18">
        <w:rPr>
          <w:i/>
          <w:lang w:val="fr-FR"/>
        </w:rPr>
        <w:t>M.</w:t>
      </w:r>
      <w:r>
        <w:rPr>
          <w:i/>
          <w:lang w:val="fr-FR"/>
        </w:rPr>
        <w:t> </w:t>
      </w:r>
      <w:r w:rsidRPr="00346A18">
        <w:rPr>
          <w:i/>
          <w:lang w:val="fr-FR"/>
        </w:rPr>
        <w:t>T. c. Suède</w:t>
      </w:r>
      <w:r w:rsidRPr="00346A18">
        <w:rPr>
          <w:lang w:val="fr-FR"/>
        </w:rPr>
        <w:t>, par.</w:t>
      </w:r>
      <w:r>
        <w:rPr>
          <w:lang w:val="fr-FR"/>
        </w:rPr>
        <w:t> </w:t>
      </w:r>
      <w:r w:rsidRPr="00346A18">
        <w:rPr>
          <w:lang w:val="fr-FR"/>
        </w:rPr>
        <w:t>8.5</w:t>
      </w:r>
      <w:r>
        <w:rPr>
          <w:lang w:val="fr-FR"/>
        </w:rPr>
        <w:t>.</w:t>
      </w:r>
      <w:r w:rsidRPr="00346A18">
        <w:rPr>
          <w:lang w:val="fr-FR"/>
        </w:rPr>
        <w:t xml:space="preserve"> Voir aussi </w:t>
      </w:r>
      <w:r w:rsidRPr="00346A18">
        <w:rPr>
          <w:i/>
          <w:lang w:val="fr-FR"/>
        </w:rPr>
        <w:t>U. c. Suède</w:t>
      </w:r>
      <w:r>
        <w:rPr>
          <w:i/>
          <w:lang w:val="fr-FR"/>
        </w:rPr>
        <w:t xml:space="preserve"> </w:t>
      </w:r>
      <w:r>
        <w:t>(</w:t>
      </w:r>
      <w:r w:rsidRPr="00A80EF9">
        <w:t>CAT/C/56/D/643/2014</w:t>
      </w:r>
      <w:r>
        <w:t>)</w:t>
      </w:r>
      <w:r w:rsidRPr="00346A18">
        <w:rPr>
          <w:lang w:val="fr-FR"/>
        </w:rPr>
        <w:t>, par.</w:t>
      </w:r>
      <w:r>
        <w:rPr>
          <w:lang w:val="fr-FR"/>
        </w:rPr>
        <w:t> </w:t>
      </w:r>
      <w:r w:rsidRPr="00346A18">
        <w:rPr>
          <w:lang w:val="fr-FR"/>
        </w:rPr>
        <w:t>6.4</w:t>
      </w:r>
      <w:r>
        <w:rPr>
          <w:lang w:val="fr-FR"/>
        </w:rPr>
        <w:t>, et</w:t>
      </w:r>
      <w:r w:rsidRPr="00346A18">
        <w:rPr>
          <w:lang w:val="fr-FR"/>
        </w:rPr>
        <w:t xml:space="preserve"> </w:t>
      </w:r>
      <w:r w:rsidRPr="00346A18">
        <w:rPr>
          <w:i/>
          <w:lang w:val="fr-FR"/>
        </w:rPr>
        <w:t>E.</w:t>
      </w:r>
      <w:r>
        <w:rPr>
          <w:i/>
          <w:lang w:val="fr-FR"/>
        </w:rPr>
        <w:t> </w:t>
      </w:r>
      <w:r w:rsidRPr="00346A18">
        <w:rPr>
          <w:i/>
          <w:lang w:val="fr-FR"/>
        </w:rPr>
        <w:t>E. c. Fédération de Russie</w:t>
      </w:r>
      <w:r>
        <w:rPr>
          <w:i/>
          <w:lang w:val="fr-FR"/>
        </w:rPr>
        <w:t xml:space="preserve"> </w:t>
      </w:r>
      <w:r>
        <w:t>(</w:t>
      </w:r>
      <w:r w:rsidRPr="00B256DB">
        <w:t>CAT/C/50/D/479/2011</w:t>
      </w:r>
      <w:r>
        <w:t>)</w:t>
      </w:r>
      <w:r w:rsidRPr="00346A18">
        <w:rPr>
          <w:lang w:val="fr-FR"/>
        </w:rPr>
        <w:t>, par.</w:t>
      </w:r>
      <w:r>
        <w:rPr>
          <w:lang w:val="fr-FR"/>
        </w:rPr>
        <w:t> </w:t>
      </w:r>
      <w:r w:rsidRPr="00346A18">
        <w:rPr>
          <w:lang w:val="fr-FR"/>
        </w:rPr>
        <w:t>8.4.</w:t>
      </w:r>
    </w:p>
  </w:footnote>
  <w:footnote w:id="6">
    <w:p w14:paraId="001438EF" w14:textId="77777777" w:rsidR="00BB1DAA" w:rsidRPr="008B0FC0" w:rsidRDefault="00BB1DAA" w:rsidP="00BB1DAA">
      <w:pPr>
        <w:pStyle w:val="Notedebasdepage"/>
        <w:rPr>
          <w:lang w:val="fr-FR"/>
        </w:rPr>
      </w:pPr>
      <w:r>
        <w:tab/>
      </w:r>
      <w:r>
        <w:rPr>
          <w:rStyle w:val="Appelnotedebasdep"/>
        </w:rPr>
        <w:footnoteRef/>
      </w:r>
      <w:r>
        <w:tab/>
      </w:r>
      <w:r w:rsidRPr="00486976">
        <w:rPr>
          <w:lang w:val="fr-FR"/>
        </w:rPr>
        <w:t xml:space="preserve">La requérante joint des informations relatives à </w:t>
      </w:r>
      <w:r>
        <w:rPr>
          <w:lang w:val="fr-FR"/>
        </w:rPr>
        <w:t>une manifestation parallèle que la Coordination des associations et des particuliers sur la liberté de conscience (CapLC) avait organisée le 1</w:t>
      </w:r>
      <w:r w:rsidRPr="00F2571F">
        <w:rPr>
          <w:vertAlign w:val="superscript"/>
          <w:lang w:val="fr-FR"/>
        </w:rPr>
        <w:t>er</w:t>
      </w:r>
      <w:r>
        <w:rPr>
          <w:lang w:val="fr-FR"/>
        </w:rPr>
        <w:t xml:space="preserve"> mars 2018 et qui portait sur le déni de liberté de religion en Chine, notamment sur les persécutions subies par des </w:t>
      </w:r>
      <w:r w:rsidRPr="00F6184F">
        <w:t>membres</w:t>
      </w:r>
      <w:r>
        <w:rPr>
          <w:lang w:val="fr-FR"/>
        </w:rPr>
        <w:t xml:space="preserve"> de </w:t>
      </w:r>
      <w:r>
        <w:rPr>
          <w:rFonts w:eastAsia="SimSun"/>
          <w:lang w:eastAsia="zh-CN"/>
        </w:rPr>
        <w:t>Quannengshen</w:t>
      </w:r>
      <w:r>
        <w:rPr>
          <w:lang w:val="fr-FR"/>
        </w:rPr>
        <w:t xml:space="preserve">. </w:t>
      </w:r>
      <w:r w:rsidRPr="00C944B4">
        <w:rPr>
          <w:lang w:val="fr-FR"/>
        </w:rPr>
        <w:t xml:space="preserve">Elle joint aussi trois déclarations </w:t>
      </w:r>
      <w:r w:rsidRPr="009438E0">
        <w:rPr>
          <w:lang w:val="fr-FR"/>
        </w:rPr>
        <w:t xml:space="preserve">sur des sujets </w:t>
      </w:r>
      <w:r w:rsidRPr="00C944B4">
        <w:rPr>
          <w:lang w:val="fr-FR"/>
        </w:rPr>
        <w:t>similaires dans lesquelles des organisations non gouvernementales exhortent les autorités allemandes, françaises, grecques, italiennes, néerlandaises et suisses à accorder l’asile politique aux citoyens chinois qui ont été persécutés en Chine en raison de leu</w:t>
      </w:r>
      <w:r>
        <w:rPr>
          <w:lang w:val="fr-FR"/>
        </w:rPr>
        <w:t xml:space="preserve">rs </w:t>
      </w:r>
      <w:r w:rsidRPr="008B0FC0">
        <w:rPr>
          <w:lang w:val="fr-FR"/>
        </w:rPr>
        <w:t>croyances religieuses.</w:t>
      </w:r>
    </w:p>
  </w:footnote>
  <w:footnote w:id="7">
    <w:p w14:paraId="22D8E61E" w14:textId="77777777" w:rsidR="00BB1DAA" w:rsidRPr="00DD60DC" w:rsidRDefault="00BB1DAA" w:rsidP="00BB1DAA">
      <w:pPr>
        <w:pStyle w:val="Notedebasdepage"/>
        <w:rPr>
          <w:lang w:val="fr-FR"/>
        </w:rPr>
      </w:pPr>
      <w:r>
        <w:tab/>
      </w:r>
      <w:r>
        <w:rPr>
          <w:rStyle w:val="Appelnotedebasdep"/>
        </w:rPr>
        <w:footnoteRef/>
      </w:r>
      <w:r>
        <w:tab/>
      </w:r>
      <w:r w:rsidRPr="008B0FC0">
        <w:rPr>
          <w:lang w:val="fr-FR"/>
        </w:rPr>
        <w:t xml:space="preserve">Voir, par exemple, </w:t>
      </w:r>
      <w:r w:rsidRPr="008B0FC0">
        <w:rPr>
          <w:i/>
          <w:lang w:val="fr-FR"/>
        </w:rPr>
        <w:t>A.</w:t>
      </w:r>
      <w:r>
        <w:rPr>
          <w:i/>
          <w:lang w:val="fr-FR"/>
        </w:rPr>
        <w:t> </w:t>
      </w:r>
      <w:r w:rsidRPr="008B0FC0">
        <w:rPr>
          <w:i/>
          <w:lang w:val="fr-FR"/>
        </w:rPr>
        <w:t>R.</w:t>
      </w:r>
      <w:r>
        <w:rPr>
          <w:i/>
          <w:lang w:val="fr-FR"/>
        </w:rPr>
        <w:t> </w:t>
      </w:r>
      <w:r w:rsidRPr="008B0FC0">
        <w:rPr>
          <w:i/>
          <w:lang w:val="fr-FR"/>
        </w:rPr>
        <w:t>A. c. Suède</w:t>
      </w:r>
      <w:r>
        <w:rPr>
          <w:lang w:val="fr-FR"/>
        </w:rPr>
        <w:t xml:space="preserve"> </w:t>
      </w:r>
      <w:r>
        <w:t>(CAT/C/38/D/305/2006),</w:t>
      </w:r>
      <w:r w:rsidRPr="00A93BF8">
        <w:t xml:space="preserve"> par</w:t>
      </w:r>
      <w:r>
        <w:t>.</w:t>
      </w:r>
      <w:r>
        <w:t> </w:t>
      </w:r>
      <w:r>
        <w:t xml:space="preserve">6.1, et </w:t>
      </w:r>
      <w:r w:rsidRPr="00070277">
        <w:rPr>
          <w:i/>
          <w:iCs/>
        </w:rPr>
        <w:t>M.</w:t>
      </w:r>
      <w:r>
        <w:rPr>
          <w:i/>
          <w:iCs/>
        </w:rPr>
        <w:t> </w:t>
      </w:r>
      <w:r w:rsidRPr="00070277">
        <w:rPr>
          <w:i/>
          <w:iCs/>
        </w:rPr>
        <w:t xml:space="preserve">T. </w:t>
      </w:r>
      <w:r>
        <w:rPr>
          <w:i/>
          <w:iCs/>
        </w:rPr>
        <w:t>c</w:t>
      </w:r>
      <w:r w:rsidRPr="00070277">
        <w:rPr>
          <w:i/>
          <w:iCs/>
        </w:rPr>
        <w:t>. S</w:t>
      </w:r>
      <w:r>
        <w:rPr>
          <w:i/>
          <w:iCs/>
        </w:rPr>
        <w:t>uède</w:t>
      </w:r>
      <w:r>
        <w:t>, par.</w:t>
      </w:r>
      <w:r>
        <w:t> </w:t>
      </w:r>
      <w:r>
        <w:t>8.3.</w:t>
      </w:r>
    </w:p>
  </w:footnote>
  <w:footnote w:id="8">
    <w:p w14:paraId="7600D6B4" w14:textId="77777777" w:rsidR="00BB1DAA" w:rsidRPr="008F7742" w:rsidRDefault="00BB1DAA" w:rsidP="00BB1DAA">
      <w:pPr>
        <w:pStyle w:val="Notedebasdepage"/>
        <w:widowControl w:val="0"/>
        <w:tabs>
          <w:tab w:val="clear" w:pos="1021"/>
          <w:tab w:val="right" w:pos="1020"/>
        </w:tabs>
        <w:jc w:val="both"/>
        <w:rPr>
          <w:lang w:val="fr-FR"/>
        </w:rPr>
      </w:pPr>
      <w:r w:rsidRPr="008F7742">
        <w:rPr>
          <w:lang w:val="fr-FR"/>
        </w:rPr>
        <w:tab/>
      </w:r>
      <w:r w:rsidRPr="008F7742">
        <w:rPr>
          <w:rStyle w:val="Appelnotedebasdep"/>
          <w:lang w:val="fr-FR"/>
        </w:rPr>
        <w:footnoteRef/>
      </w:r>
      <w:r w:rsidRPr="008F7742">
        <w:rPr>
          <w:lang w:val="fr-FR"/>
        </w:rPr>
        <w:tab/>
        <w:t xml:space="preserve">Voir, par exemple, </w:t>
      </w:r>
      <w:r w:rsidRPr="008F7742">
        <w:rPr>
          <w:i/>
          <w:lang w:val="fr-FR"/>
        </w:rPr>
        <w:t>A.</w:t>
      </w:r>
      <w:r>
        <w:rPr>
          <w:i/>
          <w:lang w:val="fr-FR"/>
        </w:rPr>
        <w:t> </w:t>
      </w:r>
      <w:r w:rsidRPr="008F7742">
        <w:rPr>
          <w:i/>
          <w:lang w:val="fr-FR"/>
        </w:rPr>
        <w:t>A. c. Azerbaïdjan</w:t>
      </w:r>
      <w:r>
        <w:rPr>
          <w:i/>
          <w:lang w:val="fr-FR"/>
        </w:rPr>
        <w:t xml:space="preserve"> </w:t>
      </w:r>
      <w:r>
        <w:t>(</w:t>
      </w:r>
      <w:r w:rsidRPr="004175CD">
        <w:t>CAT/C/35/D/247/2004</w:t>
      </w:r>
      <w:r>
        <w:t>)</w:t>
      </w:r>
      <w:r w:rsidRPr="008F7742">
        <w:rPr>
          <w:lang w:val="fr-FR"/>
        </w:rPr>
        <w:t>, par.</w:t>
      </w:r>
      <w:r>
        <w:rPr>
          <w:lang w:val="fr-FR"/>
        </w:rPr>
        <w:t> </w:t>
      </w:r>
      <w:r w:rsidRPr="008F7742">
        <w:rPr>
          <w:lang w:val="fr-FR"/>
        </w:rPr>
        <w:t xml:space="preserve">6.8, </w:t>
      </w:r>
      <w:r w:rsidRPr="008F7742">
        <w:rPr>
          <w:i/>
          <w:lang w:val="fr-FR"/>
        </w:rPr>
        <w:t>E.</w:t>
      </w:r>
      <w:r>
        <w:rPr>
          <w:i/>
          <w:lang w:val="fr-FR"/>
        </w:rPr>
        <w:t> </w:t>
      </w:r>
      <w:r w:rsidRPr="008F7742">
        <w:rPr>
          <w:i/>
          <w:lang w:val="fr-FR"/>
        </w:rPr>
        <w:t>E. c. Fédération de Russie</w:t>
      </w:r>
      <w:r w:rsidRPr="008F7742">
        <w:rPr>
          <w:lang w:val="fr-FR"/>
        </w:rPr>
        <w:t>, par.</w:t>
      </w:r>
      <w:r>
        <w:rPr>
          <w:lang w:val="fr-FR"/>
        </w:rPr>
        <w:t> </w:t>
      </w:r>
      <w:r w:rsidRPr="008F7742">
        <w:rPr>
          <w:lang w:val="fr-FR"/>
        </w:rPr>
        <w:t xml:space="preserve">8.4, et </w:t>
      </w:r>
      <w:r w:rsidRPr="008F7742">
        <w:rPr>
          <w:i/>
          <w:iCs/>
          <w:lang w:val="fr-FR"/>
        </w:rPr>
        <w:t>M.</w:t>
      </w:r>
      <w:r>
        <w:rPr>
          <w:i/>
          <w:iCs/>
          <w:lang w:val="fr-FR"/>
        </w:rPr>
        <w:t> </w:t>
      </w:r>
      <w:r w:rsidRPr="008F7742">
        <w:rPr>
          <w:i/>
          <w:iCs/>
          <w:lang w:val="fr-FR"/>
        </w:rPr>
        <w:t xml:space="preserve">T. </w:t>
      </w:r>
      <w:r>
        <w:rPr>
          <w:i/>
          <w:iCs/>
          <w:lang w:val="fr-FR"/>
        </w:rPr>
        <w:t>c</w:t>
      </w:r>
      <w:r w:rsidRPr="008F7742">
        <w:rPr>
          <w:i/>
          <w:iCs/>
          <w:lang w:val="fr-FR"/>
        </w:rPr>
        <w:t>. S</w:t>
      </w:r>
      <w:r>
        <w:rPr>
          <w:i/>
          <w:iCs/>
          <w:lang w:val="fr-FR"/>
        </w:rPr>
        <w:t>uède</w:t>
      </w:r>
      <w:r w:rsidRPr="008F7742">
        <w:rPr>
          <w:lang w:val="fr-FR"/>
        </w:rPr>
        <w:t>, par.</w:t>
      </w:r>
      <w:r>
        <w:rPr>
          <w:lang w:val="fr-FR"/>
        </w:rPr>
        <w:t> </w:t>
      </w:r>
      <w:r w:rsidRPr="008F7742">
        <w:rPr>
          <w:lang w:val="fr-FR"/>
        </w:rPr>
        <w:t xml:space="preserve">8.3. </w:t>
      </w:r>
    </w:p>
  </w:footnote>
  <w:footnote w:id="9">
    <w:p w14:paraId="19399BA6" w14:textId="77777777" w:rsidR="00BB1DAA" w:rsidRPr="002D4400" w:rsidRDefault="00BB1DAA" w:rsidP="00BB1DAA">
      <w:pPr>
        <w:pStyle w:val="Notedebasdepage"/>
        <w:jc w:val="both"/>
      </w:pPr>
      <w:r w:rsidRPr="008F7742">
        <w:rPr>
          <w:lang w:val="fr-FR"/>
        </w:rPr>
        <w:tab/>
      </w:r>
      <w:r w:rsidRPr="008F7742">
        <w:rPr>
          <w:rStyle w:val="Appelnotedebasdep"/>
          <w:lang w:val="fr-FR"/>
        </w:rPr>
        <w:footnoteRef/>
      </w:r>
      <w:r w:rsidRPr="008F7742">
        <w:rPr>
          <w:lang w:val="fr-FR"/>
        </w:rPr>
        <w:tab/>
      </w:r>
      <w:r>
        <w:rPr>
          <w:lang w:val="fr-FR"/>
        </w:rPr>
        <w:t xml:space="preserve">Voir notamment </w:t>
      </w:r>
      <w:r w:rsidRPr="008F7742">
        <w:rPr>
          <w:i/>
          <w:iCs/>
          <w:lang w:val="fr-FR"/>
        </w:rPr>
        <w:t xml:space="preserve">Mahabir </w:t>
      </w:r>
      <w:r>
        <w:rPr>
          <w:i/>
          <w:iCs/>
          <w:lang w:val="fr-FR"/>
        </w:rPr>
        <w:t>c</w:t>
      </w:r>
      <w:r w:rsidRPr="008F7742">
        <w:rPr>
          <w:i/>
          <w:iCs/>
          <w:lang w:val="fr-FR"/>
        </w:rPr>
        <w:t>. Au</w:t>
      </w:r>
      <w:r>
        <w:rPr>
          <w:i/>
          <w:iCs/>
          <w:lang w:val="fr-FR"/>
        </w:rPr>
        <w:t>triche</w:t>
      </w:r>
      <w:r w:rsidRPr="008F7742">
        <w:rPr>
          <w:lang w:val="fr-FR"/>
        </w:rPr>
        <w:t xml:space="preserve"> (CCPR/C/82/D/944/2000), par.</w:t>
      </w:r>
      <w:r>
        <w:rPr>
          <w:lang w:val="fr-FR"/>
        </w:rPr>
        <w:t> </w:t>
      </w:r>
      <w:r w:rsidRPr="008F7742">
        <w:rPr>
          <w:lang w:val="fr-FR"/>
        </w:rPr>
        <w:t>8.3</w:t>
      </w:r>
      <w:r>
        <w:rPr>
          <w:lang w:val="fr-FR"/>
        </w:rPr>
        <w:t> </w:t>
      </w:r>
      <w:r w:rsidRPr="008F7742">
        <w:rPr>
          <w:lang w:val="fr-FR"/>
        </w:rPr>
        <w:t xml:space="preserve">; </w:t>
      </w:r>
      <w:r w:rsidRPr="008F7742">
        <w:rPr>
          <w:i/>
          <w:iCs/>
          <w:lang w:val="fr-FR"/>
        </w:rPr>
        <w:t xml:space="preserve">Linderholm </w:t>
      </w:r>
      <w:r>
        <w:rPr>
          <w:i/>
          <w:iCs/>
          <w:lang w:val="fr-FR"/>
        </w:rPr>
        <w:t>c</w:t>
      </w:r>
      <w:r w:rsidRPr="008F7742">
        <w:rPr>
          <w:i/>
          <w:iCs/>
          <w:lang w:val="fr-FR"/>
        </w:rPr>
        <w:t>. Croati</w:t>
      </w:r>
      <w:r>
        <w:rPr>
          <w:i/>
          <w:iCs/>
          <w:lang w:val="fr-FR"/>
        </w:rPr>
        <w:t>e</w:t>
      </w:r>
      <w:r w:rsidRPr="008F7742">
        <w:rPr>
          <w:lang w:val="fr-FR"/>
        </w:rPr>
        <w:t xml:space="preserve"> (CCPR/C/66/D/744/1997), par.</w:t>
      </w:r>
      <w:r>
        <w:rPr>
          <w:lang w:val="fr-FR"/>
        </w:rPr>
        <w:t> </w:t>
      </w:r>
      <w:r w:rsidRPr="008F7742">
        <w:rPr>
          <w:lang w:val="fr-FR"/>
        </w:rPr>
        <w:t>4.2</w:t>
      </w:r>
      <w:r>
        <w:rPr>
          <w:lang w:val="fr-FR"/>
        </w:rPr>
        <w:t> </w:t>
      </w:r>
      <w:r w:rsidRPr="008F7742">
        <w:rPr>
          <w:lang w:val="fr-FR"/>
        </w:rPr>
        <w:t xml:space="preserve">; </w:t>
      </w:r>
      <w:r w:rsidRPr="008F7742">
        <w:rPr>
          <w:i/>
          <w:iCs/>
          <w:lang w:val="fr-FR"/>
        </w:rPr>
        <w:t>A.</w:t>
      </w:r>
      <w:r>
        <w:rPr>
          <w:i/>
          <w:iCs/>
          <w:lang w:val="fr-FR"/>
        </w:rPr>
        <w:t> </w:t>
      </w:r>
      <w:r w:rsidRPr="008F7742">
        <w:rPr>
          <w:i/>
          <w:iCs/>
          <w:lang w:val="fr-FR"/>
        </w:rPr>
        <w:t xml:space="preserve">M. </w:t>
      </w:r>
      <w:r>
        <w:rPr>
          <w:i/>
          <w:iCs/>
          <w:lang w:val="fr-FR"/>
        </w:rPr>
        <w:t>c</w:t>
      </w:r>
      <w:r w:rsidRPr="008F7742">
        <w:rPr>
          <w:i/>
          <w:iCs/>
          <w:lang w:val="fr-FR"/>
        </w:rPr>
        <w:t>. D</w:t>
      </w:r>
      <w:r>
        <w:rPr>
          <w:i/>
          <w:iCs/>
          <w:lang w:val="fr-FR"/>
        </w:rPr>
        <w:t>a</w:t>
      </w:r>
      <w:r w:rsidRPr="008F7742">
        <w:rPr>
          <w:i/>
          <w:iCs/>
          <w:lang w:val="fr-FR"/>
        </w:rPr>
        <w:t>n</w:t>
      </w:r>
      <w:r>
        <w:rPr>
          <w:i/>
          <w:iCs/>
          <w:lang w:val="fr-FR"/>
        </w:rPr>
        <w:t>e</w:t>
      </w:r>
      <w:r w:rsidRPr="008F7742">
        <w:rPr>
          <w:i/>
          <w:iCs/>
          <w:lang w:val="fr-FR"/>
        </w:rPr>
        <w:t>mark</w:t>
      </w:r>
      <w:r w:rsidRPr="008F7742">
        <w:rPr>
          <w:lang w:val="fr-FR"/>
        </w:rPr>
        <w:t xml:space="preserve"> (CCPR/C/16/</w:t>
      </w:r>
      <w:r>
        <w:rPr>
          <w:lang w:val="fr-FR"/>
        </w:rPr>
        <w:t xml:space="preserve"> </w:t>
      </w:r>
      <w:r w:rsidRPr="008F7742">
        <w:rPr>
          <w:lang w:val="fr-FR"/>
        </w:rPr>
        <w:t>D/121/1982), par</w:t>
      </w:r>
      <w:r>
        <w:t>. </w:t>
      </w:r>
      <w:r w:rsidRPr="002D4400">
        <w:t>6.</w:t>
      </w:r>
    </w:p>
  </w:footnote>
  <w:footnote w:id="10">
    <w:p w14:paraId="5214E447" w14:textId="77777777" w:rsidR="00BB1DAA" w:rsidRPr="00E71EF0" w:rsidRDefault="00BB1DAA" w:rsidP="00BB1DAA">
      <w:pPr>
        <w:pStyle w:val="Notedebasdepage"/>
        <w:jc w:val="both"/>
        <w:rPr>
          <w:lang w:val="fr-FR"/>
        </w:rPr>
      </w:pPr>
      <w:r>
        <w:tab/>
      </w:r>
      <w:r>
        <w:rPr>
          <w:rStyle w:val="Appelnotedebasdep"/>
        </w:rPr>
        <w:footnoteRef/>
      </w:r>
      <w:r>
        <w:tab/>
      </w:r>
      <w:r w:rsidRPr="00E71EF0">
        <w:rPr>
          <w:lang w:val="fr-FR"/>
        </w:rPr>
        <w:t xml:space="preserve">Voir </w:t>
      </w:r>
      <w:r w:rsidRPr="00E71EF0">
        <w:rPr>
          <w:i/>
          <w:iCs/>
          <w:lang w:val="fr-FR"/>
        </w:rPr>
        <w:t>Walmann et consorts c. Autriche</w:t>
      </w:r>
      <w:r w:rsidRPr="00E71EF0">
        <w:rPr>
          <w:lang w:val="fr-FR"/>
        </w:rPr>
        <w:t xml:space="preserve"> (</w:t>
      </w:r>
      <w:r w:rsidRPr="00E71EF0">
        <w:rPr>
          <w:bCs/>
          <w:lang w:val="fr-FR"/>
        </w:rPr>
        <w:t>CCPR/C/80/D/1002/2001</w:t>
      </w:r>
      <w:r w:rsidRPr="00E71EF0">
        <w:rPr>
          <w:lang w:val="fr-FR"/>
        </w:rPr>
        <w:t>), par.</w:t>
      </w:r>
      <w:r>
        <w:rPr>
          <w:lang w:val="fr-FR"/>
        </w:rPr>
        <w:t> </w:t>
      </w:r>
      <w:r w:rsidRPr="00E71EF0">
        <w:rPr>
          <w:lang w:val="fr-FR"/>
        </w:rPr>
        <w:t>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A1FDA" w14:textId="024488ED" w:rsidR="006D2FD1" w:rsidRPr="006D2FD1" w:rsidRDefault="006D2FD1">
    <w:pPr>
      <w:pStyle w:val="En-tte"/>
    </w:pPr>
    <w:fldSimple w:instr=" TITLE  \* MERGEFORMAT ">
      <w:r w:rsidR="00DC1880">
        <w:t>CAT/C/70/D/819/2017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6B33" w14:textId="7AB18B77" w:rsidR="006D2FD1" w:rsidRPr="006D2FD1" w:rsidRDefault="006D2FD1" w:rsidP="006D2FD1">
    <w:pPr>
      <w:pStyle w:val="En-tte"/>
      <w:jc w:val="right"/>
    </w:pPr>
    <w:fldSimple w:instr=" TITLE  \* MERGEFORMAT ">
      <w:r w:rsidR="00DC1880">
        <w:t>CAT/C/70/D/819/2017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04"/>
    <w:rsid w:val="00023842"/>
    <w:rsid w:val="00035AE4"/>
    <w:rsid w:val="00037DF1"/>
    <w:rsid w:val="0007796D"/>
    <w:rsid w:val="000F61F9"/>
    <w:rsid w:val="00101756"/>
    <w:rsid w:val="00111F2F"/>
    <w:rsid w:val="0014365E"/>
    <w:rsid w:val="00176178"/>
    <w:rsid w:val="001D14FC"/>
    <w:rsid w:val="001F525A"/>
    <w:rsid w:val="00446FE5"/>
    <w:rsid w:val="004D6539"/>
    <w:rsid w:val="004F046A"/>
    <w:rsid w:val="00553A1F"/>
    <w:rsid w:val="00573BE5"/>
    <w:rsid w:val="00586ED3"/>
    <w:rsid w:val="00587A52"/>
    <w:rsid w:val="005970D5"/>
    <w:rsid w:val="005A51D3"/>
    <w:rsid w:val="005B0404"/>
    <w:rsid w:val="005B4E23"/>
    <w:rsid w:val="005C5336"/>
    <w:rsid w:val="00616CB0"/>
    <w:rsid w:val="00621144"/>
    <w:rsid w:val="006D2FD1"/>
    <w:rsid w:val="0071601D"/>
    <w:rsid w:val="007432FB"/>
    <w:rsid w:val="0080684C"/>
    <w:rsid w:val="00807D21"/>
    <w:rsid w:val="00840C6C"/>
    <w:rsid w:val="00853AFA"/>
    <w:rsid w:val="00871C75"/>
    <w:rsid w:val="008776DC"/>
    <w:rsid w:val="00945222"/>
    <w:rsid w:val="009705C8"/>
    <w:rsid w:val="009C4D45"/>
    <w:rsid w:val="009F531E"/>
    <w:rsid w:val="00A05770"/>
    <w:rsid w:val="00A37C92"/>
    <w:rsid w:val="00A704A8"/>
    <w:rsid w:val="00AA0CD3"/>
    <w:rsid w:val="00AB1B55"/>
    <w:rsid w:val="00AE323C"/>
    <w:rsid w:val="00BA41F4"/>
    <w:rsid w:val="00BB1DAA"/>
    <w:rsid w:val="00C02897"/>
    <w:rsid w:val="00C26921"/>
    <w:rsid w:val="00CA5CE1"/>
    <w:rsid w:val="00CD326D"/>
    <w:rsid w:val="00D21E12"/>
    <w:rsid w:val="00DB1831"/>
    <w:rsid w:val="00DC1880"/>
    <w:rsid w:val="00DD3BFD"/>
    <w:rsid w:val="00E554A4"/>
    <w:rsid w:val="00EA0D23"/>
    <w:rsid w:val="00EA3F83"/>
    <w:rsid w:val="00EE6EA3"/>
    <w:rsid w:val="00EF4ED5"/>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09AA70"/>
  <w15:docId w15:val="{3DBE2DF2-83E6-4D96-B6D7-A7AE0373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4</Pages>
  <Words>2059</Words>
  <Characters>10334</Characters>
  <Application>Microsoft Office Word</Application>
  <DocSecurity>0</DocSecurity>
  <Lines>180</Lines>
  <Paragraphs>57</Paragraphs>
  <ScaleCrop>false</ScaleCrop>
  <HeadingPairs>
    <vt:vector size="2" baseType="variant">
      <vt:variant>
        <vt:lpstr>Titre</vt:lpstr>
      </vt:variant>
      <vt:variant>
        <vt:i4>1</vt:i4>
      </vt:variant>
    </vt:vector>
  </HeadingPairs>
  <TitlesOfParts>
    <vt:vector size="1" baseType="lpstr">
      <vt:lpstr>CAT/C/70/D/819/2017</vt:lpstr>
    </vt:vector>
  </TitlesOfParts>
  <Company>DCM</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CAT/C/70/D/819/2017</dc:title>
  <dc:subject/>
  <dc:creator>Christine CHAUTAGNAT</dc:creator>
  <cp:keywords/>
  <cp:lastModifiedBy>Christine Chautagnat</cp:lastModifiedBy>
  <cp:revision>3</cp:revision>
  <cp:lastPrinted>2021-03-30T12:38:00Z</cp:lastPrinted>
  <dcterms:created xsi:type="dcterms:W3CDTF">2021-03-30T12:38:00Z</dcterms:created>
  <dcterms:modified xsi:type="dcterms:W3CDTF">2021-03-30T12:39:00Z</dcterms:modified>
</cp:coreProperties>
</file>