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BB76A1" w:rsidRPr="005E0092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BB76A1" w:rsidRPr="00635870" w:rsidRDefault="00BB76A1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BB76A1" w:rsidRPr="00A67FB1" w:rsidRDefault="00BB76A1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76A1" w:rsidRPr="005E0092" w:rsidRDefault="00BB76A1" w:rsidP="000D6216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r w:rsidR="000D6216" w:rsidRPr="000D6216">
              <w:t>C/KAZ/CO/1</w:t>
            </w:r>
            <w:r>
              <w:fldChar w:fldCharType="begin"/>
            </w:r>
            <w:r>
              <w:instrText xml:space="preserve"> FILLIN  "Введите часть символа после C</w:instrText>
            </w:r>
            <w:r>
              <w:rPr>
                <w:lang w:val="en-US"/>
              </w:rPr>
              <w:instrText>ED</w:instrText>
            </w:r>
            <w:r>
              <w:instrText xml:space="preserve">/"  \* MERGEFORMAT </w:instrText>
            </w:r>
            <w:r>
              <w:fldChar w:fldCharType="end"/>
            </w:r>
          </w:p>
        </w:tc>
      </w:tr>
      <w:tr w:rsidR="00BB76A1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635870" w:rsidRDefault="00BB76A1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B2BB1B" wp14:editId="6CC0C86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B76A1" w:rsidRPr="008B759B" w:rsidRDefault="00BB76A1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CF2D5C" w:rsidRDefault="00BB76A1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40434">
              <w:fldChar w:fldCharType="separate"/>
            </w:r>
            <w:r w:rsidRPr="00CF2D5C">
              <w:fldChar w:fldCharType="end"/>
            </w:r>
          </w:p>
          <w:p w:rsidR="00BB76A1" w:rsidRPr="00CF2D5C" w:rsidRDefault="009B1633" w:rsidP="00FE47AD">
            <w:pPr>
              <w:rPr>
                <w:lang w:val="en-US"/>
              </w:rPr>
            </w:pPr>
            <w:r>
              <w:rPr>
                <w:lang w:val="en-US"/>
              </w:rPr>
              <w:t>26 May 2016</w:t>
            </w:r>
            <w:r w:rsidR="00BB76A1" w:rsidRPr="00CF2D5C">
              <w:rPr>
                <w:lang w:val="en-US"/>
              </w:rPr>
              <w:fldChar w:fldCharType="begin"/>
            </w:r>
            <w:r w:rsidR="00BB76A1"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BB76A1" w:rsidRPr="00CF2D5C">
              <w:rPr>
                <w:lang w:val="en-US"/>
              </w:rPr>
              <w:fldChar w:fldCharType="end"/>
            </w:r>
          </w:p>
          <w:p w:rsidR="00BB76A1" w:rsidRPr="00CF2D5C" w:rsidRDefault="00BB76A1" w:rsidP="00FE47AD">
            <w:r w:rsidRPr="00CF2D5C">
              <w:rPr>
                <w:lang w:val="en-US"/>
              </w:rPr>
              <w:t>Russian</w:t>
            </w:r>
          </w:p>
          <w:p w:rsidR="00BB76A1" w:rsidRPr="00861C52" w:rsidRDefault="00BB76A1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40434">
              <w:fldChar w:fldCharType="separate"/>
            </w:r>
            <w:r w:rsidRPr="00CF2D5C">
              <w:fldChar w:fldCharType="end"/>
            </w:r>
          </w:p>
          <w:p w:rsidR="00BB76A1" w:rsidRPr="00635870" w:rsidRDefault="00BB76A1" w:rsidP="00FE47AD"/>
        </w:tc>
      </w:tr>
    </w:tbl>
    <w:p w:rsidR="009B1633" w:rsidRPr="00C14770" w:rsidRDefault="009B1633" w:rsidP="009B1633">
      <w:pPr>
        <w:spacing w:before="120"/>
        <w:rPr>
          <w:b/>
          <w:sz w:val="24"/>
          <w:szCs w:val="24"/>
        </w:rPr>
      </w:pPr>
      <w:r w:rsidRPr="00C14770">
        <w:rPr>
          <w:b/>
          <w:sz w:val="24"/>
          <w:szCs w:val="24"/>
        </w:rPr>
        <w:t>Комитет по насильственным исчезновениям</w:t>
      </w:r>
    </w:p>
    <w:p w:rsidR="009B1633" w:rsidRPr="00C14770" w:rsidRDefault="009B1633" w:rsidP="009B1633">
      <w:pPr>
        <w:pStyle w:val="HChGR"/>
      </w:pPr>
      <w:r w:rsidRPr="00C14770">
        <w:tab/>
      </w:r>
      <w:r w:rsidRPr="00C14770">
        <w:tab/>
        <w:t>Заключительные замечания по докладу, представленно</w:t>
      </w:r>
      <w:r>
        <w:t>му Казахстаном в соответствии с</w:t>
      </w:r>
      <w:r>
        <w:rPr>
          <w:lang w:val="en-US"/>
        </w:rPr>
        <w:t> </w:t>
      </w:r>
      <w:r w:rsidRPr="00C14770">
        <w:t>пунктом 1 статьи 29 Конвенции</w:t>
      </w:r>
      <w:r w:rsidR="005C12CA" w:rsidRPr="005C12CA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C14770">
        <w:t xml:space="preserve"> </w:t>
      </w:r>
    </w:p>
    <w:p w:rsidR="009B1633" w:rsidRPr="00C14770" w:rsidRDefault="009B1633" w:rsidP="009B1633">
      <w:pPr>
        <w:pStyle w:val="SingleTxtGR"/>
      </w:pPr>
      <w:r w:rsidRPr="00C14770">
        <w:t>1.</w:t>
      </w:r>
      <w:r w:rsidRPr="00C14770">
        <w:tab/>
        <w:t>Комитет по насильственным исчезновениям рассмотрел доклад, пре</w:t>
      </w:r>
      <w:r w:rsidRPr="00C14770">
        <w:t>д</w:t>
      </w:r>
      <w:r w:rsidRPr="00C14770">
        <w:t>ставленный Казахстаном в соответствии с пунктом 1 статьи 29 Конвенции (CED/C/KAZ/1), на своих 162-м и 163-м заседаниях (CED/C/SR.162 и 163), с</w:t>
      </w:r>
      <w:r w:rsidRPr="00C14770">
        <w:t>о</w:t>
      </w:r>
      <w:r w:rsidRPr="00C14770">
        <w:t>стоявшихся 9 и 10 марта 2016 года. На своем 172-м заседании 16 марта 2016 г</w:t>
      </w:r>
      <w:r w:rsidRPr="00C14770">
        <w:t>о</w:t>
      </w:r>
      <w:r w:rsidRPr="00C14770">
        <w:t>да он принял настоящие заключительные замечания.</w:t>
      </w:r>
    </w:p>
    <w:p w:rsidR="009B1633" w:rsidRPr="00C14770" w:rsidRDefault="009B1633" w:rsidP="009B1633">
      <w:pPr>
        <w:pStyle w:val="H1GR"/>
      </w:pPr>
      <w:r w:rsidRPr="00C14770">
        <w:tab/>
        <w:t>A.</w:t>
      </w:r>
      <w:r w:rsidRPr="00C14770">
        <w:tab/>
        <w:t>Введение</w:t>
      </w:r>
    </w:p>
    <w:p w:rsidR="009B1633" w:rsidRPr="00C14770" w:rsidRDefault="009B1633" w:rsidP="009B1633">
      <w:pPr>
        <w:pStyle w:val="SingleTxtGR"/>
      </w:pPr>
      <w:r w:rsidRPr="00C14770">
        <w:t>2.</w:t>
      </w:r>
      <w:r w:rsidRPr="00C14770">
        <w:tab/>
        <w:t>Комитет приветствует доклад, представленный Казахстаном в соотве</w:t>
      </w:r>
      <w:r w:rsidRPr="00C14770">
        <w:t>т</w:t>
      </w:r>
      <w:r w:rsidRPr="00C14770">
        <w:t>ствии с пунктом 1 статьи 29 Конвенции, и содержащуюся в нем информацию. Комитет выражает признательность за конструктивный диалог с делегацией высокого уровня государства-участника, посвященный принятым им мерам по осуществлению положений Конвенции. Помимо этого, Комитет благодарит го</w:t>
      </w:r>
      <w:r w:rsidRPr="00C14770">
        <w:t>с</w:t>
      </w:r>
      <w:r w:rsidRPr="00C14770">
        <w:t>ударство-участник за его письменные ответы (CED/C/KAZ/Q/1/Add.1) на пер</w:t>
      </w:r>
      <w:r w:rsidRPr="00C14770">
        <w:t>е</w:t>
      </w:r>
      <w:r w:rsidRPr="00C14770">
        <w:t>чень вопросов (CED/C/KAZ/Q/1), которые были дополнены подробными ус</w:t>
      </w:r>
      <w:r w:rsidRPr="00C14770">
        <w:t>т</w:t>
      </w:r>
      <w:r w:rsidRPr="00C14770">
        <w:t>ными ответами делегации в ходе диалога.</w:t>
      </w:r>
    </w:p>
    <w:p w:rsidR="009B1633" w:rsidRPr="00C14770" w:rsidRDefault="009B1633" w:rsidP="009B1633">
      <w:pPr>
        <w:pStyle w:val="H1GR"/>
      </w:pPr>
      <w:r w:rsidRPr="00C14770">
        <w:tab/>
        <w:t>B.</w:t>
      </w:r>
      <w:r w:rsidRPr="00C14770">
        <w:tab/>
        <w:t>Позитивные аспекты</w:t>
      </w:r>
    </w:p>
    <w:p w:rsidR="009B1633" w:rsidRPr="00C14770" w:rsidRDefault="009B1633" w:rsidP="009B1633">
      <w:pPr>
        <w:pStyle w:val="SingleTxtGR"/>
      </w:pPr>
      <w:r w:rsidRPr="00C14770">
        <w:t>3.</w:t>
      </w:r>
      <w:r w:rsidRPr="00C14770">
        <w:tab/>
        <w:t>Комитет высоко оценивает тот факт, что государство-участник ратифиц</w:t>
      </w:r>
      <w:r w:rsidRPr="00C14770">
        <w:t>и</w:t>
      </w:r>
      <w:r w:rsidRPr="00C14770">
        <w:t>ровало практически все основные договоры Организации Объединенных Наций по правам человека и большинство факультативных протоколов к ним или пр</w:t>
      </w:r>
      <w:r w:rsidRPr="00C14770">
        <w:t>и</w:t>
      </w:r>
      <w:r w:rsidRPr="00C14770">
        <w:t xml:space="preserve">соединилось к ним. </w:t>
      </w:r>
    </w:p>
    <w:p w:rsidR="009B1633" w:rsidRPr="00C14770" w:rsidRDefault="009B1633" w:rsidP="009B1633">
      <w:pPr>
        <w:pStyle w:val="SingleTxtGR"/>
      </w:pPr>
      <w:r w:rsidRPr="00C14770">
        <w:t>4.</w:t>
      </w:r>
      <w:r w:rsidRPr="00C14770">
        <w:tab/>
        <w:t xml:space="preserve">Комитет также приветствует меры, принятые государством-участником в сферах, имеющих отношение к Конвенции, включая: </w:t>
      </w:r>
    </w:p>
    <w:p w:rsidR="009B1633" w:rsidRPr="00C14770" w:rsidRDefault="009B1633" w:rsidP="009B1633">
      <w:pPr>
        <w:pStyle w:val="SingleTxtGR"/>
      </w:pPr>
      <w:r w:rsidRPr="00C14770">
        <w:tab/>
        <w:t>а)</w:t>
      </w:r>
      <w:r w:rsidRPr="00C14770">
        <w:tab/>
        <w:t>принятие нового Уголовного кодекса, 3 июля 2014 года;</w:t>
      </w:r>
    </w:p>
    <w:p w:rsidR="009B1633" w:rsidRPr="00C14770" w:rsidRDefault="009B1633" w:rsidP="009B1633">
      <w:pPr>
        <w:pStyle w:val="SingleTxtGR"/>
      </w:pPr>
      <w:r w:rsidRPr="00C14770">
        <w:tab/>
        <w:t>b)</w:t>
      </w:r>
      <w:r w:rsidRPr="00C14770">
        <w:tab/>
        <w:t>принятие нового Уголовно-проце</w:t>
      </w:r>
      <w:r w:rsidR="005C12CA">
        <w:t>ссуального кодекса, 4 июля 2014</w:t>
      </w:r>
      <w:r w:rsidR="005C12CA">
        <w:rPr>
          <w:lang w:val="en-US"/>
        </w:rPr>
        <w:t> </w:t>
      </w:r>
      <w:r w:rsidRPr="00C14770">
        <w:t>года;</w:t>
      </w:r>
    </w:p>
    <w:p w:rsidR="009B1633" w:rsidRPr="00C14770" w:rsidRDefault="009B1633" w:rsidP="009B1633">
      <w:pPr>
        <w:pStyle w:val="SingleTxtGR"/>
      </w:pPr>
      <w:r w:rsidRPr="00C14770">
        <w:lastRenderedPageBreak/>
        <w:tab/>
        <w:t>с)</w:t>
      </w:r>
      <w:r w:rsidRPr="00C14770">
        <w:tab/>
        <w:t>принятие закона о внесении изменений в законодательство по в</w:t>
      </w:r>
      <w:r w:rsidRPr="00C14770">
        <w:t>о</w:t>
      </w:r>
      <w:r w:rsidRPr="00C14770">
        <w:t>просам создания национального превентивного механизма, направленного на предупреждение пыток и других жестоких, бесчеловечных или унижающих д</w:t>
      </w:r>
      <w:r w:rsidRPr="00C14770">
        <w:t>о</w:t>
      </w:r>
      <w:r w:rsidRPr="00C14770">
        <w:t>стоинство видов обращения и наказания, 2 июля 2013 года.</w:t>
      </w:r>
    </w:p>
    <w:p w:rsidR="009B1633" w:rsidRPr="00C14770" w:rsidRDefault="009B1633" w:rsidP="009B1633">
      <w:pPr>
        <w:pStyle w:val="SingleTxtGR"/>
      </w:pPr>
      <w:r w:rsidRPr="00C14770">
        <w:t>5.</w:t>
      </w:r>
      <w:r w:rsidRPr="00C14770">
        <w:tab/>
        <w:t>Комитет с удовлетворением отмечает, что государство-участник направ</w:t>
      </w:r>
      <w:r w:rsidRPr="00C14770">
        <w:t>и</w:t>
      </w:r>
      <w:r w:rsidRPr="00C14770">
        <w:t>ло всем мандатариям специальных процедур Совета по правам человека откр</w:t>
      </w:r>
      <w:r w:rsidRPr="00C14770">
        <w:t>ы</w:t>
      </w:r>
      <w:r w:rsidRPr="00C14770">
        <w:t>тое приглашение посетить страну.</w:t>
      </w:r>
    </w:p>
    <w:p w:rsidR="009B1633" w:rsidRPr="00C14770" w:rsidRDefault="009B1633" w:rsidP="009B1633">
      <w:pPr>
        <w:pStyle w:val="H1GR"/>
      </w:pPr>
      <w:r w:rsidRPr="00C14770">
        <w:tab/>
        <w:t>C.</w:t>
      </w:r>
      <w:r w:rsidRPr="00C14770">
        <w:tab/>
        <w:t>Основные вопросы</w:t>
      </w:r>
      <w:r w:rsidR="005C12CA">
        <w:t>, вызывающие обеспокоенность, и</w:t>
      </w:r>
      <w:r w:rsidR="005C12CA">
        <w:rPr>
          <w:lang w:val="en-US"/>
        </w:rPr>
        <w:t> </w:t>
      </w:r>
      <w:r w:rsidRPr="00C14770">
        <w:t>рекомендации</w:t>
      </w:r>
    </w:p>
    <w:p w:rsidR="009B1633" w:rsidRPr="00C14770" w:rsidRDefault="009B1633" w:rsidP="009B1633">
      <w:pPr>
        <w:pStyle w:val="SingleTxtGR"/>
      </w:pPr>
      <w:r w:rsidRPr="00C14770">
        <w:t>6.</w:t>
      </w:r>
      <w:r w:rsidRPr="00C14770">
        <w:tab/>
        <w:t>По мнению Комитета, на момент принятия настоящих заключительных замечаний действующее законодательство государства-участника и деятел</w:t>
      </w:r>
      <w:r w:rsidRPr="00C14770">
        <w:t>ь</w:t>
      </w:r>
      <w:r w:rsidRPr="00C14770">
        <w:t>ность некоторых из его компетентных органов не в полной мере соответствов</w:t>
      </w:r>
      <w:r w:rsidRPr="00C14770">
        <w:t>а</w:t>
      </w:r>
      <w:r w:rsidRPr="00C14770">
        <w:t>ли обязательствам, возложенным на государства, которые стали участниками Конвенции. Комитет призывает государство-участник выполнить его рекоме</w:t>
      </w:r>
      <w:r w:rsidRPr="00C14770">
        <w:t>н</w:t>
      </w:r>
      <w:r w:rsidRPr="00C14770">
        <w:t>дации, которые были сделаны в конструктивном духе сотрудничества для ок</w:t>
      </w:r>
      <w:r w:rsidRPr="00C14770">
        <w:t>а</w:t>
      </w:r>
      <w:r w:rsidRPr="00C14770">
        <w:t>зания помощи государству-участнику в целях осуществления де-юре и де-факто своих обязательств в соответствии с Конвенцией.</w:t>
      </w:r>
    </w:p>
    <w:p w:rsidR="009B1633" w:rsidRPr="00C14770" w:rsidRDefault="009B1633" w:rsidP="009B1633">
      <w:pPr>
        <w:pStyle w:val="H1GR"/>
      </w:pPr>
      <w:r w:rsidRPr="00C14770">
        <w:tab/>
      </w:r>
      <w:r w:rsidRPr="00C14770">
        <w:tab/>
        <w:t>Общая информация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Индивидуальные и межгосударственные сообщения</w:t>
      </w:r>
    </w:p>
    <w:p w:rsidR="009B1633" w:rsidRPr="00C14770" w:rsidRDefault="009B1633" w:rsidP="009B1633">
      <w:pPr>
        <w:pStyle w:val="SingleTxtGR"/>
      </w:pPr>
      <w:r w:rsidRPr="00C14770">
        <w:t>7.</w:t>
      </w:r>
      <w:r w:rsidRPr="00C14770">
        <w:tab/>
        <w:t>Комитет отмечает, что государство-участник все еще не признало комп</w:t>
      </w:r>
      <w:r w:rsidRPr="00C14770">
        <w:t>е</w:t>
      </w:r>
      <w:r w:rsidRPr="00C14770">
        <w:t>тенцию Комитета получать и рассматривать индивидуальные и межгосуда</w:t>
      </w:r>
      <w:r w:rsidRPr="00C14770">
        <w:t>р</w:t>
      </w:r>
      <w:r w:rsidRPr="00C14770">
        <w:t>ственные сообщения согласно статьям 31 и 32 Конвенции, но в настоящее вр</w:t>
      </w:r>
      <w:r w:rsidRPr="00C14770">
        <w:t>е</w:t>
      </w:r>
      <w:r w:rsidRPr="00C14770">
        <w:t>мя профильные государственные органы из</w:t>
      </w:r>
      <w:r w:rsidR="00011050">
        <w:t>учают такую возможность (ст</w:t>
      </w:r>
      <w:r w:rsidR="00011050">
        <w:t>а</w:t>
      </w:r>
      <w:r w:rsidR="00011050">
        <w:t>тьи </w:t>
      </w:r>
      <w:r w:rsidRPr="00C14770">
        <w:t>31 и 32).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8.</w:t>
      </w:r>
      <w:r w:rsidRPr="00C14770">
        <w:tab/>
      </w:r>
      <w:r w:rsidRPr="00D9636E">
        <w:rPr>
          <w:b/>
        </w:rPr>
        <w:t>Комитет призывает государство-участник признать как можно ск</w:t>
      </w:r>
      <w:r w:rsidRPr="00D9636E">
        <w:rPr>
          <w:b/>
        </w:rPr>
        <w:t>о</w:t>
      </w:r>
      <w:r w:rsidRPr="00D9636E">
        <w:rPr>
          <w:b/>
        </w:rPr>
        <w:t>рее компетенцию Комитета получать и рассматривать индивидуальные и межгосударственные сообщения соответственно согласно статьям 31 и 32 Конвенции в целях укрепления предусмотренного Конвенцией режима з</w:t>
      </w:r>
      <w:r w:rsidRPr="00D9636E">
        <w:rPr>
          <w:b/>
        </w:rPr>
        <w:t>а</w:t>
      </w:r>
      <w:r w:rsidRPr="00D9636E">
        <w:rPr>
          <w:b/>
        </w:rPr>
        <w:t>щиты от насильственных исчезновений.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Национальное правозащитное учреждение</w:t>
      </w:r>
    </w:p>
    <w:p w:rsidR="009B1633" w:rsidRPr="00C14770" w:rsidRDefault="009B1633" w:rsidP="009B1633">
      <w:pPr>
        <w:pStyle w:val="SingleTxtGR"/>
      </w:pPr>
      <w:r w:rsidRPr="00C14770">
        <w:t>9.</w:t>
      </w:r>
      <w:r w:rsidRPr="00C14770">
        <w:tab/>
        <w:t>С обеспокоенностью отмечая, что деятельность Управления Уполном</w:t>
      </w:r>
      <w:r w:rsidRPr="00C14770">
        <w:t>о</w:t>
      </w:r>
      <w:r w:rsidRPr="00C14770">
        <w:t>ченного по правам человека не в полной мере соответствует принципам, кас</w:t>
      </w:r>
      <w:r w:rsidRPr="00C14770">
        <w:t>а</w:t>
      </w:r>
      <w:r w:rsidRPr="00C14770">
        <w:t>ющимся статуса национальных учреждений, занимающихся поощрением и з</w:t>
      </w:r>
      <w:r w:rsidRPr="00C14770">
        <w:t>а</w:t>
      </w:r>
      <w:r w:rsidRPr="00C14770">
        <w:t>щитой прав человека (Парижские принципы), Комитет принимает к сведению представленную государством-участником информацию о том, что в настоящее время ведутся дискуссии по поводу разработки единого закона, направленного на укрепление статуса Управления.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10.</w:t>
      </w:r>
      <w:r w:rsidRPr="00C14770">
        <w:tab/>
      </w:r>
      <w:r w:rsidRPr="00D9636E">
        <w:rPr>
          <w:b/>
        </w:rPr>
        <w:t>Комитет рекомендует государству-участнику принять законодател</w:t>
      </w:r>
      <w:r w:rsidRPr="00D9636E">
        <w:rPr>
          <w:b/>
        </w:rPr>
        <w:t>ь</w:t>
      </w:r>
      <w:r w:rsidRPr="00D9636E">
        <w:rPr>
          <w:b/>
        </w:rPr>
        <w:t>ные или иные меры, необходимые для приведения деятельности Управл</w:t>
      </w:r>
      <w:r w:rsidRPr="00D9636E">
        <w:rPr>
          <w:b/>
        </w:rPr>
        <w:t>е</w:t>
      </w:r>
      <w:r w:rsidRPr="00D9636E">
        <w:rPr>
          <w:b/>
        </w:rPr>
        <w:t>ния Уполномоченного по правам человека в полное соответствие с Пари</w:t>
      </w:r>
      <w:r w:rsidRPr="00D9636E">
        <w:rPr>
          <w:b/>
        </w:rPr>
        <w:t>ж</w:t>
      </w:r>
      <w:r w:rsidRPr="00D9636E">
        <w:rPr>
          <w:b/>
        </w:rPr>
        <w:t>скими принципами.</w:t>
      </w:r>
    </w:p>
    <w:p w:rsidR="009B1633" w:rsidRPr="00C14770" w:rsidRDefault="009B1633" w:rsidP="005C12CA">
      <w:pPr>
        <w:pStyle w:val="H1GR"/>
      </w:pPr>
      <w:r w:rsidRPr="00C14770">
        <w:lastRenderedPageBreak/>
        <w:tab/>
      </w:r>
      <w:r w:rsidRPr="00C14770">
        <w:tab/>
        <w:t>Определение насильственного ис</w:t>
      </w:r>
      <w:r w:rsidR="005C12CA">
        <w:t>чезновения и квалификация его в</w:t>
      </w:r>
      <w:r w:rsidR="005C12CA">
        <w:rPr>
          <w:lang w:val="en-US"/>
        </w:rPr>
        <w:t> </w:t>
      </w:r>
      <w:r w:rsidRPr="00C14770">
        <w:t>качестве уголовно-наказуемого деяния (статьи 1−7)</w:t>
      </w:r>
    </w:p>
    <w:p w:rsidR="009B1633" w:rsidRPr="00C14770" w:rsidRDefault="009B1633" w:rsidP="005C12CA">
      <w:pPr>
        <w:pStyle w:val="H23GR"/>
      </w:pPr>
      <w:r w:rsidRPr="00C14770">
        <w:tab/>
      </w:r>
      <w:r w:rsidRPr="00C14770">
        <w:tab/>
        <w:t>Преступление, квалифицируемое как насильственное исчезновение</w:t>
      </w:r>
    </w:p>
    <w:p w:rsidR="009B1633" w:rsidRPr="00C14770" w:rsidRDefault="009B1633" w:rsidP="009B1633">
      <w:pPr>
        <w:pStyle w:val="SingleTxtGR"/>
      </w:pPr>
      <w:r w:rsidRPr="00C14770">
        <w:t>11.</w:t>
      </w:r>
      <w:r w:rsidRPr="00C14770">
        <w:tab/>
        <w:t>Комитет принимает к сведению заявление государства-участника о том, что статья 414 Уголовного кодекса устанавливает ответственность за насил</w:t>
      </w:r>
      <w:r w:rsidRPr="00C14770">
        <w:t>ь</w:t>
      </w:r>
      <w:r w:rsidRPr="00C14770">
        <w:t>ственное исчезновение, как это понятие определено в Конвенции, и что, по его мнению, нет необходимости включать во внутреннее законодательство пр</w:t>
      </w:r>
      <w:r w:rsidRPr="00C14770">
        <w:t>е</w:t>
      </w:r>
      <w:r w:rsidRPr="00C14770">
        <w:t>ступление насильственного исчезновения в качестве отдельного преступления. В то же время Комитет обеспокоен тем, что, несмотря на то, что статья 414 и другие преступления против свободы, содержащиеся в Уголовном кодексе, с</w:t>
      </w:r>
      <w:r w:rsidRPr="00C14770">
        <w:t>о</w:t>
      </w:r>
      <w:r w:rsidRPr="00C14770">
        <w:t>держат элементы, связанные с насильственным исчезновением, они недост</w:t>
      </w:r>
      <w:r w:rsidRPr="00C14770">
        <w:t>а</w:t>
      </w:r>
      <w:r w:rsidRPr="00C14770">
        <w:t>точны для того, чтобы надлежащим образом охватить все составные элементы и условия насильственного исчезновения, как оно определено в статье 2 Конве</w:t>
      </w:r>
      <w:r w:rsidRPr="00C14770">
        <w:t>н</w:t>
      </w:r>
      <w:r w:rsidRPr="00C14770">
        <w:t>ции, и тем самым выполнить обязательство согласно статье 4, которое тесно связано с другими договорными обязательствами в отношении законодател</w:t>
      </w:r>
      <w:r w:rsidRPr="00C14770">
        <w:t>ь</w:t>
      </w:r>
      <w:r w:rsidRPr="00C14770">
        <w:t>ства, как, например, содержащиеся в статьях 6 и 7. В этой связи, принимая во внимание, что в соответствии с пунктом 1.16 статьи 54 Уголовного кодекса с</w:t>
      </w:r>
      <w:r w:rsidRPr="00C14770">
        <w:t>о</w:t>
      </w:r>
      <w:r w:rsidRPr="00C14770">
        <w:t>вершение преступления сотрудником правоохранительных органов или спец</w:t>
      </w:r>
      <w:r w:rsidRPr="00C14770">
        <w:t>и</w:t>
      </w:r>
      <w:r w:rsidRPr="00C14770">
        <w:t>ального государственного органа или судьей с использованием своего служе</w:t>
      </w:r>
      <w:r w:rsidRPr="00C14770">
        <w:t>б</w:t>
      </w:r>
      <w:r w:rsidRPr="00C14770">
        <w:t>ного положения рассматривается в качестве отягчающего обстоятельства, К</w:t>
      </w:r>
      <w:r w:rsidRPr="00C14770">
        <w:t>о</w:t>
      </w:r>
      <w:r w:rsidRPr="00C14770">
        <w:t>митет считает, что статья 414 Уголовного кодекса не предусматривает соотве</w:t>
      </w:r>
      <w:r w:rsidRPr="00C14770">
        <w:t>т</w:t>
      </w:r>
      <w:r w:rsidRPr="00C14770">
        <w:t>ствующее наказание, учитывающее чрезвычайно тяжкий характер насильстве</w:t>
      </w:r>
      <w:r w:rsidRPr="00C14770">
        <w:t>н</w:t>
      </w:r>
      <w:r w:rsidRPr="00C14770">
        <w:t>ного исчезновения. Кроме того, Комитет отмечает, что в национальном закон</w:t>
      </w:r>
      <w:r w:rsidRPr="00C14770">
        <w:t>о</w:t>
      </w:r>
      <w:r w:rsidRPr="00C14770">
        <w:t>дательстве отсутствуют конкретные положения, устанавливающие уголовную ответственность за насильственное исчезновение как преступление против ч</w:t>
      </w:r>
      <w:r w:rsidRPr="00C14770">
        <w:t>е</w:t>
      </w:r>
      <w:r w:rsidRPr="00C14770">
        <w:t>ловечности в соответствии со стандартами, предусмотренными в статье 5 Ко</w:t>
      </w:r>
      <w:r w:rsidRPr="00C14770">
        <w:t>н</w:t>
      </w:r>
      <w:r w:rsidR="00011050">
        <w:t>венции (статьи 2 и 4–</w:t>
      </w:r>
      <w:r w:rsidRPr="00C14770">
        <w:t>7).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12.</w:t>
      </w:r>
      <w:r w:rsidRPr="00C14770">
        <w:tab/>
      </w:r>
      <w:r w:rsidRPr="00D9636E">
        <w:rPr>
          <w:b/>
        </w:rPr>
        <w:t>Комитет рекомендует государству-участнику принять необходимые законодательные меры для обеспечения того, чтобы как можно скорее:</w:t>
      </w:r>
    </w:p>
    <w:p w:rsidR="009B1633" w:rsidRPr="00D9636E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а)</w:t>
      </w:r>
      <w:r w:rsidRPr="00D9636E">
        <w:rPr>
          <w:b/>
        </w:rPr>
        <w:tab/>
        <w:t>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 так, чтобы это прав</w:t>
      </w:r>
      <w:r w:rsidRPr="00D9636E">
        <w:rPr>
          <w:b/>
        </w:rPr>
        <w:t>о</w:t>
      </w:r>
      <w:r w:rsidRPr="00D9636E">
        <w:rPr>
          <w:b/>
        </w:rPr>
        <w:t>нарушение влекло за собой соответствующие наказания с учетом его тяж</w:t>
      </w:r>
      <w:r w:rsidRPr="00D9636E">
        <w:rPr>
          <w:b/>
        </w:rPr>
        <w:t>е</w:t>
      </w:r>
      <w:r w:rsidRPr="00D9636E">
        <w:rPr>
          <w:b/>
        </w:rPr>
        <w:t>сти, избегая применения смертной казни;</w:t>
      </w:r>
    </w:p>
    <w:p w:rsidR="009B1633" w:rsidRPr="00D9636E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b)</w:t>
      </w:r>
      <w:r w:rsidRPr="00D9636E">
        <w:rPr>
          <w:b/>
        </w:rPr>
        <w:tab/>
        <w:t>признать насильственное исчезновение как преступление пр</w:t>
      </w:r>
      <w:r w:rsidRPr="00D9636E">
        <w:rPr>
          <w:b/>
        </w:rPr>
        <w:t>о</w:t>
      </w:r>
      <w:r w:rsidRPr="00D9636E">
        <w:rPr>
          <w:b/>
        </w:rPr>
        <w:t>тив человечности уголовно наказуемым деянием в соответствии с норм</w:t>
      </w:r>
      <w:r w:rsidRPr="00D9636E">
        <w:rPr>
          <w:b/>
        </w:rPr>
        <w:t>а</w:t>
      </w:r>
      <w:r w:rsidRPr="00D9636E">
        <w:rPr>
          <w:b/>
        </w:rPr>
        <w:t>ми, предусмотренными в статье 5 Конвенции.</w:t>
      </w:r>
    </w:p>
    <w:p w:rsidR="009B1633" w:rsidRPr="00C14770" w:rsidRDefault="009B1633" w:rsidP="009B1633">
      <w:pPr>
        <w:pStyle w:val="H1GR"/>
      </w:pPr>
      <w:r w:rsidRPr="00C14770">
        <w:tab/>
      </w:r>
      <w:r w:rsidRPr="00C14770">
        <w:tab/>
        <w:t>Уголовная ответственность и сотрудничество судебных органов в связи с насильствен</w:t>
      </w:r>
      <w:r>
        <w:t>ными исчезновениями (статьи</w:t>
      </w:r>
      <w:r>
        <w:rPr>
          <w:lang w:val="en-US"/>
        </w:rPr>
        <w:t> </w:t>
      </w:r>
      <w:r w:rsidRPr="00C14770">
        <w:t>8−15)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Закон об исковой давности</w:t>
      </w:r>
    </w:p>
    <w:p w:rsidR="009B1633" w:rsidRPr="00C14770" w:rsidRDefault="009B1633" w:rsidP="009B1633">
      <w:pPr>
        <w:pStyle w:val="SingleTxtGR"/>
      </w:pPr>
      <w:r w:rsidRPr="00C14770">
        <w:t>13.</w:t>
      </w:r>
      <w:r w:rsidRPr="00C14770">
        <w:tab/>
        <w:t>Комитет с интересом отмечает, что внутреннее законодательство пред</w:t>
      </w:r>
      <w:r w:rsidRPr="00C14770">
        <w:t>у</w:t>
      </w:r>
      <w:r w:rsidRPr="00C14770">
        <w:t>сматривает отсутствие срока давности для некоторых преступлений, таких как пытки. Вместе с тем он отмечает, что в соответствии со статьей 71 Уголовного кодекса срок давности исчисляется со дня совершения преступного деяния, а не с его завершения и выражает обеспокоенность в связи с тем, что внутреннее з</w:t>
      </w:r>
      <w:r w:rsidRPr="00C14770">
        <w:t>а</w:t>
      </w:r>
      <w:r w:rsidRPr="00C14770">
        <w:t xml:space="preserve">конодательство, как представляется, не предусматривает никаких исключений в </w:t>
      </w:r>
      <w:r w:rsidRPr="00C14770">
        <w:lastRenderedPageBreak/>
        <w:t>отношении преступлений длящегося характера, которые могли бы применяться в случае насильственного исчезновения (статья 8).</w:t>
      </w:r>
    </w:p>
    <w:p w:rsidR="009B1633" w:rsidRPr="00D9636E" w:rsidRDefault="009B1633" w:rsidP="009B1633">
      <w:pPr>
        <w:pStyle w:val="SingleTxtGR"/>
        <w:rPr>
          <w:b/>
          <w:bCs/>
        </w:rPr>
      </w:pPr>
      <w:r w:rsidRPr="00C14770">
        <w:t>14.</w:t>
      </w:r>
      <w:r w:rsidRPr="00C14770">
        <w:tab/>
      </w:r>
      <w:r w:rsidRPr="00D9636E">
        <w:rPr>
          <w:b/>
        </w:rPr>
        <w:t>Подчеркивая длящийся характер насильственных исчезновений, К</w:t>
      </w:r>
      <w:r w:rsidRPr="00D9636E">
        <w:rPr>
          <w:b/>
        </w:rPr>
        <w:t>о</w:t>
      </w:r>
      <w:r w:rsidRPr="00D9636E">
        <w:rPr>
          <w:b/>
        </w:rPr>
        <w:t>митет рекомендует государству-участнику принять необходимые меры для обеспечения того, чтобы в соответствии с пунктом 1 b) статьи 8 Конвенции срок давности для уголовного разбирательства в отношении акта насил</w:t>
      </w:r>
      <w:r w:rsidRPr="00D9636E">
        <w:rPr>
          <w:b/>
        </w:rPr>
        <w:t>ь</w:t>
      </w:r>
      <w:r w:rsidRPr="00D9636E">
        <w:rPr>
          <w:b/>
        </w:rPr>
        <w:t>ственного исчезновения или других преступлений длящегося характера, применяющихся вместо него в тех случаях, когда уголовная ответстве</w:t>
      </w:r>
      <w:r w:rsidRPr="00D9636E">
        <w:rPr>
          <w:b/>
        </w:rPr>
        <w:t>н</w:t>
      </w:r>
      <w:r w:rsidRPr="00D9636E">
        <w:rPr>
          <w:b/>
        </w:rPr>
        <w:t>ность за насильственное исчезновение конкретно не установлена, начинал исчисляться с того момента, когда насильственное исчезновение заканч</w:t>
      </w:r>
      <w:r w:rsidRPr="00D9636E">
        <w:rPr>
          <w:b/>
        </w:rPr>
        <w:t>и</w:t>
      </w:r>
      <w:r w:rsidRPr="00D9636E">
        <w:rPr>
          <w:b/>
        </w:rPr>
        <w:t xml:space="preserve">вается (в частности, с момента обнаружения исчезнувшего лица живым, в случае смерти </w:t>
      </w:r>
      <w:r w:rsidR="00011050">
        <w:rPr>
          <w:b/>
        </w:rPr>
        <w:t>–</w:t>
      </w:r>
      <w:r w:rsidRPr="00D9636E">
        <w:rPr>
          <w:b/>
        </w:rPr>
        <w:t xml:space="preserve"> с момента обнаружения и идентификации его останков или когда личность ребенка, подвергшегося неправомерному изъятию, восст</w:t>
      </w:r>
      <w:r w:rsidRPr="00D9636E">
        <w:rPr>
          <w:b/>
        </w:rPr>
        <w:t>а</w:t>
      </w:r>
      <w:r w:rsidRPr="00D9636E">
        <w:rPr>
          <w:b/>
        </w:rPr>
        <w:t>новлена). Комитет предлагает государству-участнику при установлении уголовной ответственности за насильственное исчезновение как самосто</w:t>
      </w:r>
      <w:r w:rsidRPr="00D9636E">
        <w:rPr>
          <w:b/>
        </w:rPr>
        <w:t>я</w:t>
      </w:r>
      <w:r w:rsidRPr="00D9636E">
        <w:rPr>
          <w:b/>
        </w:rPr>
        <w:t>тельное преступление предусмотреть, что в отношении этого преступления какой-либо срок давности не применим.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Предупреждение действий, мешающих проведению расследова</w:t>
      </w:r>
      <w:r>
        <w:t>ния, и</w:t>
      </w:r>
      <w:r>
        <w:rPr>
          <w:lang w:val="en-US"/>
        </w:rPr>
        <w:t> </w:t>
      </w:r>
      <w:r w:rsidRPr="00C14770">
        <w:t>наказание за них</w:t>
      </w:r>
    </w:p>
    <w:p w:rsidR="009B1633" w:rsidRPr="00C14770" w:rsidRDefault="009B1633" w:rsidP="009B1633">
      <w:pPr>
        <w:pStyle w:val="SingleTxtGR"/>
      </w:pPr>
      <w:r w:rsidRPr="00C14770">
        <w:t>15.</w:t>
      </w:r>
      <w:r w:rsidRPr="00C14770">
        <w:tab/>
        <w:t>Комитет приветствует представленную государством-участником инфо</w:t>
      </w:r>
      <w:r w:rsidRPr="00C14770">
        <w:t>р</w:t>
      </w:r>
      <w:r w:rsidRPr="00C14770">
        <w:t>мацию о шагах, предпринятых для обеспечения проведения беспристрастных и независимых уголовных дел против государственных должностных лиц, вкл</w:t>
      </w:r>
      <w:r w:rsidRPr="00C14770">
        <w:t>ю</w:t>
      </w:r>
      <w:r w:rsidRPr="00C14770">
        <w:t>чая создание специальных подразделений прокуратуры. В то же время Комитет обеспокоен тем, что, согласно имеющейся у него информации, отделы внутре</w:t>
      </w:r>
      <w:r w:rsidRPr="00C14770">
        <w:t>н</w:t>
      </w:r>
      <w:r w:rsidRPr="00C14770">
        <w:t>ней безопасности или внутренних следственных правоохранительных органов или служб безопасности, должностные лица которых обвиняются в совершении какого-либо преступления, по-прежнему могут участвовать на начальных ст</w:t>
      </w:r>
      <w:r w:rsidRPr="00C14770">
        <w:t>а</w:t>
      </w:r>
      <w:r w:rsidRPr="00C14770">
        <w:t>диях расследования (статья 12).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16.</w:t>
      </w:r>
      <w:r w:rsidRPr="00C14770">
        <w:tab/>
      </w:r>
      <w:proofErr w:type="gramStart"/>
      <w:r w:rsidRPr="00D9636E">
        <w:rPr>
          <w:b/>
        </w:rPr>
        <w:t>Комитет рекомендует государству-участнику принять все необход</w:t>
      </w:r>
      <w:r w:rsidRPr="00D9636E">
        <w:rPr>
          <w:b/>
        </w:rPr>
        <w:t>и</w:t>
      </w:r>
      <w:r w:rsidRPr="00D9636E">
        <w:rPr>
          <w:b/>
        </w:rPr>
        <w:t>мые меры для предупреждения актов, которые могут затруднять или вл</w:t>
      </w:r>
      <w:r w:rsidRPr="00D9636E">
        <w:rPr>
          <w:b/>
        </w:rPr>
        <w:t>и</w:t>
      </w:r>
      <w:r w:rsidRPr="00D9636E">
        <w:rPr>
          <w:b/>
        </w:rPr>
        <w:t>ять на расследовани</w:t>
      </w:r>
      <w:r w:rsidR="00011050">
        <w:rPr>
          <w:b/>
        </w:rPr>
        <w:t>е</w:t>
      </w:r>
      <w:r w:rsidRPr="00D9636E">
        <w:rPr>
          <w:b/>
        </w:rPr>
        <w:t xml:space="preserve"> преступлени</w:t>
      </w:r>
      <w:r w:rsidR="00011050">
        <w:rPr>
          <w:b/>
        </w:rPr>
        <w:t>я</w:t>
      </w:r>
      <w:r w:rsidRPr="00D9636E">
        <w:rPr>
          <w:b/>
        </w:rPr>
        <w:t xml:space="preserve"> насильственного исчезновения, в час</w:t>
      </w:r>
      <w:r w:rsidRPr="00D9636E">
        <w:rPr>
          <w:b/>
        </w:rPr>
        <w:t>т</w:t>
      </w:r>
      <w:r w:rsidRPr="00D9636E">
        <w:rPr>
          <w:b/>
        </w:rPr>
        <w:t>ности посредством гарантирования на практике того, что должностные лица, принадлежащие к одним и тем же правоохранительным органам или силам безопасности, что и лицо, обвиняемое в совершении акта насил</w:t>
      </w:r>
      <w:r w:rsidRPr="00D9636E">
        <w:rPr>
          <w:b/>
        </w:rPr>
        <w:t>ь</w:t>
      </w:r>
      <w:r w:rsidRPr="00D9636E">
        <w:rPr>
          <w:b/>
        </w:rPr>
        <w:t>ственного исчезновения, не участвуют в расследовании.</w:t>
      </w:r>
      <w:proofErr w:type="gramEnd"/>
    </w:p>
    <w:p w:rsidR="009B1633" w:rsidRPr="00C14770" w:rsidRDefault="009B1633" w:rsidP="009B1633">
      <w:pPr>
        <w:pStyle w:val="H1GR"/>
      </w:pPr>
      <w:r w:rsidRPr="00C14770">
        <w:tab/>
      </w:r>
      <w:r w:rsidRPr="00C14770">
        <w:tab/>
        <w:t>Меры по предупреждению насильственных исчезновений (статьи 16−23)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Невысылка</w:t>
      </w:r>
    </w:p>
    <w:p w:rsidR="009B1633" w:rsidRPr="00440A19" w:rsidRDefault="009B1633" w:rsidP="009B1633">
      <w:pPr>
        <w:pStyle w:val="SingleTxtGR"/>
      </w:pPr>
      <w:r w:rsidRPr="00C14770">
        <w:t>17.</w:t>
      </w:r>
      <w:r w:rsidRPr="00C14770">
        <w:tab/>
        <w:t>Комитет принимает к сведению представленную государством-участником информацию о законодательных и иных мерах, принимаемых в о</w:t>
      </w:r>
      <w:r w:rsidRPr="00C14770">
        <w:t>б</w:t>
      </w:r>
      <w:r w:rsidRPr="00C14770">
        <w:t>ласти экстрадиции и предоставлении убежища в целях обеспечения соблюдения принципа невыдворения. Вместе с тем он обеспокоен сообщениями о случаях, когда: a) просители убежища, не имеющие действительных проездных док</w:t>
      </w:r>
      <w:r w:rsidRPr="00C14770">
        <w:t>у</w:t>
      </w:r>
      <w:r w:rsidRPr="00C14770">
        <w:t>ментов и виз, не были допущены на территорию государства-участника и не смогли ходатайствовать о предоставлении убежища, несмотря на тот факт, что в Законе о беженцах предусмотрено иное; и b) просители убежища были прин</w:t>
      </w:r>
      <w:r w:rsidRPr="00C14770">
        <w:t>у</w:t>
      </w:r>
      <w:r w:rsidRPr="00C14770">
        <w:t>дительно возвращены в свои страны происхождения до вынесения окончател</w:t>
      </w:r>
      <w:r w:rsidRPr="00C14770">
        <w:t>ь</w:t>
      </w:r>
      <w:r w:rsidRPr="00C14770">
        <w:lastRenderedPageBreak/>
        <w:t>ного решения по их ходатайству о предоставлении убежища. Комитет приним</w:t>
      </w:r>
      <w:r w:rsidRPr="00C14770">
        <w:t>а</w:t>
      </w:r>
      <w:r w:rsidRPr="00C14770">
        <w:t>ет к сведению утверждение государства-участника о том, что дипломатические заверения от государства, требующего выдачи, не принимаются в качестве единственной гарантии в случае возможной опасности того, что лицо может стать жертвой насильственного исчезновения (статья 16).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18.</w:t>
      </w:r>
      <w:r w:rsidRPr="00C14770">
        <w:tab/>
      </w:r>
      <w:r w:rsidRPr="00D9636E">
        <w:rPr>
          <w:b/>
        </w:rPr>
        <w:t>Комитет рекомендует государству-участнику обеспечить строгое с</w:t>
      </w:r>
      <w:r w:rsidRPr="00D9636E">
        <w:rPr>
          <w:b/>
        </w:rPr>
        <w:t>о</w:t>
      </w:r>
      <w:r w:rsidRPr="00D9636E">
        <w:rPr>
          <w:b/>
        </w:rPr>
        <w:t>блюдение при любых обстоятельствах принципа невозвращения, закре</w:t>
      </w:r>
      <w:r w:rsidRPr="00D9636E">
        <w:rPr>
          <w:b/>
        </w:rPr>
        <w:t>п</w:t>
      </w:r>
      <w:r w:rsidRPr="00D9636E">
        <w:rPr>
          <w:b/>
        </w:rPr>
        <w:t>ленного в подпункте 1 статье 16 Конвенции. В частности, Комитет рек</w:t>
      </w:r>
      <w:r w:rsidRPr="00D9636E">
        <w:rPr>
          <w:b/>
        </w:rPr>
        <w:t>о</w:t>
      </w:r>
      <w:r w:rsidRPr="00D9636E">
        <w:rPr>
          <w:b/>
        </w:rPr>
        <w:t>мендует государству-участнику принять необходимые меры для обеспеч</w:t>
      </w:r>
      <w:r w:rsidRPr="00D9636E">
        <w:rPr>
          <w:b/>
        </w:rPr>
        <w:t>е</w:t>
      </w:r>
      <w:r w:rsidRPr="00D9636E">
        <w:rPr>
          <w:b/>
        </w:rPr>
        <w:t>ния на практике того, чтобы:</w:t>
      </w:r>
    </w:p>
    <w:p w:rsidR="009B1633" w:rsidRPr="00440A19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а)</w:t>
      </w:r>
      <w:r w:rsidRPr="00D9636E">
        <w:rPr>
          <w:b/>
        </w:rPr>
        <w:tab/>
        <w:t>все просители убежища, включая тех, которые не имеют де</w:t>
      </w:r>
      <w:r w:rsidRPr="00D9636E">
        <w:rPr>
          <w:b/>
        </w:rPr>
        <w:t>й</w:t>
      </w:r>
      <w:r w:rsidRPr="00D9636E">
        <w:rPr>
          <w:b/>
        </w:rPr>
        <w:t>ствительных проездных документов и виз, имели беспрепятственный д</w:t>
      </w:r>
      <w:r w:rsidRPr="00D9636E">
        <w:rPr>
          <w:b/>
        </w:rPr>
        <w:t>о</w:t>
      </w:r>
      <w:r w:rsidRPr="00D9636E">
        <w:rPr>
          <w:b/>
        </w:rPr>
        <w:t>ступ к эффективным процедурам определения статуса беженца, которые в полной мере соответствуют обязательствам по статье 16 Конвенции;</w:t>
      </w:r>
    </w:p>
    <w:p w:rsidR="009B1633" w:rsidRPr="00440A19" w:rsidRDefault="009B1633" w:rsidP="009B1633">
      <w:pPr>
        <w:pStyle w:val="SingleTxtGR"/>
        <w:rPr>
          <w:b/>
        </w:rPr>
      </w:pPr>
      <w:r w:rsidRPr="00D9636E">
        <w:rPr>
          <w:b/>
        </w:rPr>
        <w:tab/>
      </w:r>
      <w:proofErr w:type="gramStart"/>
      <w:r w:rsidRPr="00D9636E">
        <w:rPr>
          <w:b/>
        </w:rPr>
        <w:t>b)</w:t>
      </w:r>
      <w:r w:rsidRPr="00D9636E">
        <w:rPr>
          <w:b/>
        </w:rPr>
        <w:tab/>
        <w:t>до того как оно приступит к высылке, возвращению или эк</w:t>
      </w:r>
      <w:r w:rsidRPr="00D9636E">
        <w:rPr>
          <w:b/>
        </w:rPr>
        <w:t>с</w:t>
      </w:r>
      <w:r w:rsidRPr="00D9636E">
        <w:rPr>
          <w:b/>
        </w:rPr>
        <w:t>традиции, были исчерпаны все соответствующие процедуры и была пров</w:t>
      </w:r>
      <w:r w:rsidRPr="00D9636E">
        <w:rPr>
          <w:b/>
        </w:rPr>
        <w:t>е</w:t>
      </w:r>
      <w:r w:rsidRPr="00D9636E">
        <w:rPr>
          <w:b/>
        </w:rPr>
        <w:t>дена тщательная индивидуальная оценка с целью определить, существуют ли серьезные основания полагать, что лицу будет угрожать опасность по</w:t>
      </w:r>
      <w:r w:rsidRPr="00D9636E">
        <w:rPr>
          <w:b/>
        </w:rPr>
        <w:t>д</w:t>
      </w:r>
      <w:r w:rsidRPr="00D9636E">
        <w:rPr>
          <w:b/>
        </w:rPr>
        <w:t xml:space="preserve">вергнуться насильственному исчезновению, и чтобы при наличии таких оснований лицо не подвергалось высылке, экстрадиции или возвращению; </w:t>
      </w:r>
      <w:proofErr w:type="gramEnd"/>
    </w:p>
    <w:p w:rsidR="009B1633" w:rsidRPr="00440A19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с)</w:t>
      </w:r>
      <w:r w:rsidRPr="00D9636E">
        <w:rPr>
          <w:b/>
        </w:rPr>
        <w:tab/>
        <w:t>дипломатические заверения всегда оценивались с максимал</w:t>
      </w:r>
      <w:r w:rsidRPr="00D9636E">
        <w:rPr>
          <w:b/>
        </w:rPr>
        <w:t>ь</w:t>
      </w:r>
      <w:r w:rsidRPr="00D9636E">
        <w:rPr>
          <w:b/>
        </w:rPr>
        <w:t>ной тщательностью и никогда не принимались, если есть веские основания полагать, что соответствующему лицу может угрожать опасность подвер</w:t>
      </w:r>
      <w:r w:rsidRPr="00D9636E">
        <w:rPr>
          <w:b/>
        </w:rPr>
        <w:t>г</w:t>
      </w:r>
      <w:r w:rsidRPr="00D9636E">
        <w:rPr>
          <w:b/>
        </w:rPr>
        <w:t>нуться насильственному исчезновению.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Связь с лицами, лишенными свободы</w:t>
      </w:r>
    </w:p>
    <w:p w:rsidR="009B1633" w:rsidRPr="00440A19" w:rsidRDefault="009B1633" w:rsidP="009B1633">
      <w:pPr>
        <w:pStyle w:val="SingleTxtGR"/>
      </w:pPr>
      <w:r w:rsidRPr="00C14770">
        <w:t>19.</w:t>
      </w:r>
      <w:r w:rsidRPr="00C14770">
        <w:tab/>
        <w:t>Комитет с удовлетворением отмечает, что статья 414 Уголовного кодекса устанавливает уголовную ответственность, в частности, за умышленный отказ предоставить родственникам подозреваемого информацию о факте его заде</w:t>
      </w:r>
      <w:r w:rsidRPr="00C14770">
        <w:t>р</w:t>
      </w:r>
      <w:r w:rsidRPr="00C14770">
        <w:t>жания и его местонахождении и за незаконный отказ предоставить информ</w:t>
      </w:r>
      <w:r w:rsidRPr="00C14770">
        <w:t>а</w:t>
      </w:r>
      <w:r w:rsidRPr="00C14770">
        <w:t>цию о месте содержания лица</w:t>
      </w:r>
      <w:r>
        <w:t xml:space="preserve"> </w:t>
      </w:r>
      <w:r w:rsidRPr="00C14770">
        <w:t>под стражей гражданину, который имеет право получать такую информацию. Кроме того, Комитет принимает к сведению представленную государством-участником информацию об отсутствии каких-либо жалоб на несоблюдение правовых положений, которые устанавливают обязательство для должностного лица, ответственного за проведение предвар</w:t>
      </w:r>
      <w:r w:rsidRPr="00C14770">
        <w:t>и</w:t>
      </w:r>
      <w:r w:rsidRPr="00C14770">
        <w:t>тельного следствия, оперативно предоставлять информацию об аресте и мест</w:t>
      </w:r>
      <w:r w:rsidRPr="00C14770">
        <w:t>о</w:t>
      </w:r>
      <w:r w:rsidRPr="00C14770">
        <w:t>нахождении лица его родственникам или другим близким ему лицам или дать соответствующему лицу возможность сделать это самостоятельно; обязател</w:t>
      </w:r>
      <w:r w:rsidRPr="00C14770">
        <w:t>ь</w:t>
      </w:r>
      <w:r w:rsidRPr="00C14770">
        <w:t>ство незамедлительно сообщать об аресте иностранных граждан соответств</w:t>
      </w:r>
      <w:r w:rsidRPr="00C14770">
        <w:t>у</w:t>
      </w:r>
      <w:r w:rsidRPr="00C14770">
        <w:t>ющим представителям их государств; и право на встречу с адвокатом с момента задержания. Вместе с тем он обеспокоен сообщениями о случаях, когда лица, лишенные свободы, не могли незамедлительно встретиться со своим адвокатом или проинформировать лицо по своему выбору о факте лишения свободы (ст</w:t>
      </w:r>
      <w:r w:rsidRPr="00C14770">
        <w:t>а</w:t>
      </w:r>
      <w:r w:rsidRPr="00C14770">
        <w:t>тьи 17–18 и 23).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20.</w:t>
      </w:r>
      <w:r w:rsidRPr="00C14770">
        <w:tab/>
      </w:r>
      <w:r w:rsidRPr="00D9636E">
        <w:rPr>
          <w:b/>
        </w:rPr>
        <w:t>Комитет рекомендует государству-участнику принять необходимые меры с целью гарантировать на практике, чтобы с момента лишения св</w:t>
      </w:r>
      <w:r w:rsidRPr="00D9636E">
        <w:rPr>
          <w:b/>
        </w:rPr>
        <w:t>о</w:t>
      </w:r>
      <w:r w:rsidRPr="00D9636E">
        <w:rPr>
          <w:b/>
        </w:rPr>
        <w:t xml:space="preserve">боды все лица имели доступ к адвокату, а </w:t>
      </w:r>
      <w:proofErr w:type="gramStart"/>
      <w:r w:rsidRPr="00D9636E">
        <w:rPr>
          <w:b/>
        </w:rPr>
        <w:t>также</w:t>
      </w:r>
      <w:proofErr w:type="gramEnd"/>
      <w:r w:rsidRPr="00D9636E">
        <w:rPr>
          <w:b/>
        </w:rPr>
        <w:t xml:space="preserve"> чтобы их родственники или любое другое лицо по их выбору и в случае иностранцев их консул</w:t>
      </w:r>
      <w:r w:rsidRPr="00D9636E">
        <w:rPr>
          <w:b/>
        </w:rPr>
        <w:t>ь</w:t>
      </w:r>
      <w:r w:rsidRPr="00D9636E">
        <w:rPr>
          <w:b/>
        </w:rPr>
        <w:t>ские власти информировались о факте лишения свободы и о месте соде</w:t>
      </w:r>
      <w:r w:rsidRPr="00D9636E">
        <w:rPr>
          <w:b/>
        </w:rPr>
        <w:t>р</w:t>
      </w:r>
      <w:r w:rsidRPr="00D9636E">
        <w:rPr>
          <w:b/>
        </w:rPr>
        <w:t>жания лица под стражей. Он также рекомендует государству-участнику г</w:t>
      </w:r>
      <w:r w:rsidRPr="00D9636E">
        <w:rPr>
          <w:b/>
        </w:rPr>
        <w:t>а</w:t>
      </w:r>
      <w:r w:rsidRPr="00D9636E">
        <w:rPr>
          <w:b/>
        </w:rPr>
        <w:lastRenderedPageBreak/>
        <w:t>рантировать на практике надлежащее наказание за любые действия, кот</w:t>
      </w:r>
      <w:r w:rsidRPr="00D9636E">
        <w:rPr>
          <w:b/>
        </w:rPr>
        <w:t>о</w:t>
      </w:r>
      <w:r w:rsidRPr="00D9636E">
        <w:rPr>
          <w:b/>
        </w:rPr>
        <w:t>рые препятствуют соблюдению этих прав.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Реестры учета лиц, лишенных свободы</w:t>
      </w:r>
    </w:p>
    <w:p w:rsidR="009B1633" w:rsidRPr="00D9636E" w:rsidRDefault="009B1633" w:rsidP="009B1633">
      <w:pPr>
        <w:pStyle w:val="SingleTxtGR"/>
      </w:pPr>
      <w:r w:rsidRPr="00C14770">
        <w:t>21.</w:t>
      </w:r>
      <w:r w:rsidRPr="00C14770">
        <w:tab/>
        <w:t>Комитет приветствует представленную государством-участником инфо</w:t>
      </w:r>
      <w:r w:rsidRPr="00C14770">
        <w:t>р</w:t>
      </w:r>
      <w:r w:rsidRPr="00C14770">
        <w:t>мацию об электронной базе данных, содержащей информацию о лицах, соде</w:t>
      </w:r>
      <w:r w:rsidRPr="00C14770">
        <w:t>р</w:t>
      </w:r>
      <w:r w:rsidRPr="00C14770">
        <w:t>жащихся в местах временного содержания под стражей и в учреждениях, где они отбывают наказание, которая объединена с базами данных других госуда</w:t>
      </w:r>
      <w:r w:rsidRPr="00C14770">
        <w:t>р</w:t>
      </w:r>
      <w:r w:rsidRPr="00C14770">
        <w:t>ственных органов. Вместе с тем он сожалеет о том, что не получил разъяснений относительно того, включена ли в реестры учета во всех местах, где лица могут быть лишены свободы, независимо от их статуса, вся информация, перечисле</w:t>
      </w:r>
      <w:r w:rsidRPr="00C14770">
        <w:t>н</w:t>
      </w:r>
      <w:r w:rsidRPr="00C14770">
        <w:t>ная в пункте 3 статьи 17 Конвенции. Приветствуя тот факт, что статья 414 Уг</w:t>
      </w:r>
      <w:r w:rsidRPr="00C14770">
        <w:t>о</w:t>
      </w:r>
      <w:r w:rsidRPr="00C14770">
        <w:t>ловного кодекса предусматривает наказание за ложное указание времени с</w:t>
      </w:r>
      <w:r w:rsidRPr="00C14770">
        <w:t>о</w:t>
      </w:r>
      <w:r w:rsidRPr="00C14770">
        <w:t>ставления отчета об аресте или времени фактического ареста, и принимая к сведению заявление государства-участника о том, что не было получено ник</w:t>
      </w:r>
      <w:r w:rsidRPr="00C14770">
        <w:t>а</w:t>
      </w:r>
      <w:r w:rsidRPr="00C14770">
        <w:t>ких жалоб относительно неверной регистрации факта лишения свободы, Ком</w:t>
      </w:r>
      <w:r w:rsidRPr="00C14770">
        <w:t>и</w:t>
      </w:r>
      <w:r w:rsidRPr="00C14770">
        <w:t>тет по-прежнему обеспокоен сообщениями о том, что в некоторых случаях, с</w:t>
      </w:r>
      <w:r w:rsidRPr="00C14770">
        <w:t>о</w:t>
      </w:r>
      <w:r w:rsidRPr="00C14770">
        <w:t>трудники правоохранительных органов, как утверждается, не точно регистр</w:t>
      </w:r>
      <w:r w:rsidRPr="00C14770">
        <w:t>и</w:t>
      </w:r>
      <w:r w:rsidRPr="00C14770">
        <w:t>ровали время ареста (статьи 17 и 22).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22.</w:t>
      </w:r>
      <w:r w:rsidRPr="00C14770">
        <w:tab/>
      </w:r>
      <w:r w:rsidRPr="00D9636E">
        <w:rPr>
          <w:b/>
        </w:rPr>
        <w:t>Комитет рекомендует государству-участнику принять все необход</w:t>
      </w:r>
      <w:r w:rsidRPr="00D9636E">
        <w:rPr>
          <w:b/>
        </w:rPr>
        <w:t>и</w:t>
      </w:r>
      <w:r w:rsidRPr="00D9636E">
        <w:rPr>
          <w:b/>
        </w:rPr>
        <w:t>мые меры для обеспечения того, чтобы:</w:t>
      </w:r>
    </w:p>
    <w:p w:rsidR="009B1633" w:rsidRPr="00D9636E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а)</w:t>
      </w:r>
      <w:r w:rsidRPr="00D9636E">
        <w:rPr>
          <w:b/>
        </w:rPr>
        <w:tab/>
        <w:t>велась запись всех случаев лишения свободы в единых р</w:t>
      </w:r>
      <w:r w:rsidRPr="00D9636E">
        <w:rPr>
          <w:b/>
        </w:rPr>
        <w:t>е</w:t>
      </w:r>
      <w:r w:rsidRPr="00D9636E">
        <w:rPr>
          <w:b/>
        </w:rPr>
        <w:t>естрах учета и/или досье, в которых как минимум указывалась информ</w:t>
      </w:r>
      <w:r w:rsidRPr="00D9636E">
        <w:rPr>
          <w:b/>
        </w:rPr>
        <w:t>а</w:t>
      </w:r>
      <w:r w:rsidRPr="00D9636E">
        <w:rPr>
          <w:b/>
        </w:rPr>
        <w:t>ция, требуемая в соответствии с пунктом 3 статьи 17 Конвенции;</w:t>
      </w:r>
    </w:p>
    <w:p w:rsidR="009B1633" w:rsidRPr="00D9636E" w:rsidRDefault="009B1633" w:rsidP="009B1633">
      <w:pPr>
        <w:pStyle w:val="SingleTxtGR"/>
        <w:rPr>
          <w:b/>
        </w:rPr>
      </w:pPr>
      <w:r w:rsidRPr="00D9636E">
        <w:rPr>
          <w:b/>
        </w:rPr>
        <w:tab/>
        <w:t>b)</w:t>
      </w:r>
      <w:r w:rsidRPr="00D9636E">
        <w:rPr>
          <w:b/>
        </w:rPr>
        <w:tab/>
        <w:t>реестры учета и/или досье лиц, лишенных свободы, регулярно и точно составлялись и обновлялись и подлежали периодической проверке, а в случае выявления нарушений ответственные должностные лица соо</w:t>
      </w:r>
      <w:r w:rsidRPr="00D9636E">
        <w:rPr>
          <w:b/>
        </w:rPr>
        <w:t>т</w:t>
      </w:r>
      <w:r w:rsidRPr="00D9636E">
        <w:rPr>
          <w:b/>
        </w:rPr>
        <w:t>ветствующим обр</w:t>
      </w:r>
      <w:r w:rsidR="00011050">
        <w:rPr>
          <w:b/>
        </w:rPr>
        <w:t>азом наказывались.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Национальный превентивный механизм</w:t>
      </w:r>
    </w:p>
    <w:p w:rsidR="009B1633" w:rsidRPr="00D9636E" w:rsidRDefault="009B1633" w:rsidP="009B1633">
      <w:pPr>
        <w:pStyle w:val="SingleTxtGR"/>
      </w:pPr>
      <w:r w:rsidRPr="00C14770">
        <w:t>23.</w:t>
      </w:r>
      <w:r w:rsidRPr="00C14770">
        <w:tab/>
      </w:r>
      <w:proofErr w:type="gramStart"/>
      <w:r w:rsidRPr="00C14770">
        <w:t>Комитет приветствует ратификацию государством</w:t>
      </w:r>
      <w:r w:rsidR="00011050">
        <w:t xml:space="preserve"> – </w:t>
      </w:r>
      <w:r w:rsidRPr="00C14770">
        <w:t>участником Факул</w:t>
      </w:r>
      <w:r w:rsidRPr="00C14770">
        <w:t>ь</w:t>
      </w:r>
      <w:r w:rsidRPr="00C14770">
        <w:t>тативного протокола к Конвенции против пыток и других жестоких, бесчел</w:t>
      </w:r>
      <w:r w:rsidRPr="00C14770">
        <w:t>о</w:t>
      </w:r>
      <w:r w:rsidRPr="00C14770">
        <w:t>вечных или унижающих достоинство видов обращения и наказания, принятие закона о внесении поправок в Закон о создании национального механизма по предупреждению пыток и других жестоких, бесчеловечных или унижающих достоинство видов обращения и наказания и назначение Уполномоченного по правам человека в качестве национального превентивного механизма, поскол</w:t>
      </w:r>
      <w:r w:rsidRPr="00C14770">
        <w:t>ь</w:t>
      </w:r>
      <w:r w:rsidRPr="00C14770">
        <w:t>ку он</w:t>
      </w:r>
      <w:proofErr w:type="gramEnd"/>
      <w:r w:rsidRPr="00C14770">
        <w:t xml:space="preserve"> считает, что эти меры могут играть важную роль в деле предупреждения насильственных исчезновений и других нарушений прав и обязательств, пред</w:t>
      </w:r>
      <w:r w:rsidRPr="00C14770">
        <w:t>у</w:t>
      </w:r>
      <w:r w:rsidRPr="00C14770">
        <w:t>смотренных в Конвенции. Принимая к сведению ряд мест, посещенных наци</w:t>
      </w:r>
      <w:r w:rsidRPr="00C14770">
        <w:t>о</w:t>
      </w:r>
      <w:r w:rsidRPr="00C14770">
        <w:t>нальным превентивным механизмом, Комитет обеспокоен информацией о том, что соответствующее законодательство оставляет за рамками его мандата нек</w:t>
      </w:r>
      <w:r w:rsidRPr="00C14770">
        <w:t>о</w:t>
      </w:r>
      <w:r w:rsidRPr="00C14770">
        <w:t>торые места, в которых лица могут быть лишены свободы. В этой связи Ком</w:t>
      </w:r>
      <w:r w:rsidRPr="00C14770">
        <w:t>и</w:t>
      </w:r>
      <w:r w:rsidRPr="00C14770">
        <w:t>тет с интересом отмечает представленную государством-участником информ</w:t>
      </w:r>
      <w:r w:rsidRPr="00C14770">
        <w:t>а</w:t>
      </w:r>
      <w:r w:rsidRPr="00C14770">
        <w:t>цию о том, что в настоящее время ведется работа по внесению поправок в соо</w:t>
      </w:r>
      <w:r w:rsidRPr="00C14770">
        <w:t>т</w:t>
      </w:r>
      <w:r w:rsidRPr="00C14770">
        <w:t>ветствующее законодательство, с тем чтобы расширить круг мест для посещ</w:t>
      </w:r>
      <w:r w:rsidRPr="00C14770">
        <w:t>е</w:t>
      </w:r>
      <w:r w:rsidRPr="00C14770">
        <w:t>ния национальным превентивным механизмом. Принимая к сведению заявл</w:t>
      </w:r>
      <w:r w:rsidRPr="00C14770">
        <w:t>е</w:t>
      </w:r>
      <w:r w:rsidRPr="00C14770">
        <w:t>ние государства-участника о том, что не существует каких-либо препятствий, ограничивающих способность национального превентивного механизма пре</w:t>
      </w:r>
      <w:r w:rsidRPr="00C14770">
        <w:t>д</w:t>
      </w:r>
      <w:r w:rsidRPr="00C14770">
        <w:t>принимать неотложные посещения без предварительного уведомления, Комитет обеспокоен сообщениями о том, что этот механизм уже сталкивался с бюрокр</w:t>
      </w:r>
      <w:r w:rsidRPr="00C14770">
        <w:t>а</w:t>
      </w:r>
      <w:r w:rsidRPr="00C14770">
        <w:lastRenderedPageBreak/>
        <w:t>тическими препятствиями, которые на практике ограничили его способность осуществлять этот вид посещения (статья 17).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24.</w:t>
      </w:r>
      <w:r w:rsidRPr="00C14770">
        <w:tab/>
      </w:r>
      <w:r w:rsidRPr="00D9636E">
        <w:rPr>
          <w:b/>
        </w:rPr>
        <w:t>Комитет рекомендует государству-участнику ускорить процесс, направленный на внесение поправок в законодательство, касающееся национального превентивного механизма, с тем чтобы обеспечить в зак</w:t>
      </w:r>
      <w:r w:rsidRPr="00D9636E">
        <w:rPr>
          <w:b/>
        </w:rPr>
        <w:t>о</w:t>
      </w:r>
      <w:r w:rsidRPr="00D9636E">
        <w:rPr>
          <w:b/>
        </w:rPr>
        <w:t>нодательном порядке распространение его мандата на все места, в которых могут содержаться лица, лишенные свободы, независимо от характера м</w:t>
      </w:r>
      <w:r w:rsidRPr="00D9636E">
        <w:rPr>
          <w:b/>
        </w:rPr>
        <w:t>е</w:t>
      </w:r>
      <w:r w:rsidRPr="00D9636E">
        <w:rPr>
          <w:b/>
        </w:rPr>
        <w:t>ста лишения свободы. Он также рекомендует государству-участнику пр</w:t>
      </w:r>
      <w:r w:rsidRPr="00D9636E">
        <w:rPr>
          <w:b/>
        </w:rPr>
        <w:t>и</w:t>
      </w:r>
      <w:r w:rsidRPr="00D9636E">
        <w:rPr>
          <w:b/>
        </w:rPr>
        <w:t>нять необходимые меры для обеспечения на практике того, чтобы наци</w:t>
      </w:r>
      <w:r w:rsidRPr="00D9636E">
        <w:rPr>
          <w:b/>
        </w:rPr>
        <w:t>о</w:t>
      </w:r>
      <w:r w:rsidRPr="00D9636E">
        <w:rPr>
          <w:b/>
        </w:rPr>
        <w:t>нальный превентивный механизм мог выполнять неотложные, незаплан</w:t>
      </w:r>
      <w:r w:rsidRPr="00D9636E">
        <w:rPr>
          <w:b/>
        </w:rPr>
        <w:t>и</w:t>
      </w:r>
      <w:r w:rsidRPr="00D9636E">
        <w:rPr>
          <w:b/>
        </w:rPr>
        <w:t>рованные посещения без предварительного уведомления всех мест лиш</w:t>
      </w:r>
      <w:r w:rsidRPr="00D9636E">
        <w:rPr>
          <w:b/>
        </w:rPr>
        <w:t>е</w:t>
      </w:r>
      <w:r w:rsidRPr="00D9636E">
        <w:rPr>
          <w:b/>
        </w:rPr>
        <w:t>ния свободы без каких бы то ни было препятствий.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Профессиональная подготовка по проблематике Конвенции</w:t>
      </w:r>
    </w:p>
    <w:p w:rsidR="009B1633" w:rsidRPr="00C14770" w:rsidRDefault="009B1633" w:rsidP="009B1633">
      <w:pPr>
        <w:pStyle w:val="SingleTxtGR"/>
      </w:pPr>
      <w:r w:rsidRPr="00C14770">
        <w:t>25.</w:t>
      </w:r>
      <w:r w:rsidRPr="00C14770">
        <w:tab/>
        <w:t>Комитет с признательностью отмечает информацию, представленную государством-участником относительно регулярной профессиональной подг</w:t>
      </w:r>
      <w:r w:rsidRPr="00C14770">
        <w:t>о</w:t>
      </w:r>
      <w:r w:rsidRPr="00C14770">
        <w:t>товки судей, военнослужащих и сотрудников органов внутренних дел, в том числе по вопросам международного права прав человека, и в частности инфо</w:t>
      </w:r>
      <w:r w:rsidRPr="00C14770">
        <w:t>р</w:t>
      </w:r>
      <w:r w:rsidRPr="00C14770">
        <w:t>мацию о подготовке, предоставляемой сотрудникам правоохранительных орг</w:t>
      </w:r>
      <w:r w:rsidRPr="00C14770">
        <w:t>а</w:t>
      </w:r>
      <w:r w:rsidRPr="00C14770">
        <w:t>нов, относительно путей решения вопросов, связанных с пропавшими без вести лицами, и других вопросов, связанных с Конвенцией. Однако Комитет отмечает, что не все сотрудники государственных органов проходят специализированную и регулярную подготовку по соответствующим положениям Конвенции, как это требуется в соответствии с пунктом статьи 23 Конвенции (статья 23).</w:t>
      </w:r>
    </w:p>
    <w:p w:rsidR="009B1633" w:rsidRPr="00440A19" w:rsidRDefault="009B1633" w:rsidP="009B1633">
      <w:pPr>
        <w:pStyle w:val="SingleTxtGR"/>
        <w:rPr>
          <w:b/>
        </w:rPr>
      </w:pPr>
      <w:r w:rsidRPr="00C14770">
        <w:t>26.</w:t>
      </w:r>
      <w:r w:rsidRPr="00C14770">
        <w:tab/>
      </w:r>
      <w:r w:rsidRPr="00D9636E">
        <w:rPr>
          <w:b/>
        </w:rPr>
        <w:t>Комитет рекомендует государству-участнику обеспечить, чтобы все сотрудники правоохранительных органов и органов безопасности, гра</w:t>
      </w:r>
      <w:r w:rsidRPr="00D9636E">
        <w:rPr>
          <w:b/>
        </w:rPr>
        <w:t>ж</w:t>
      </w:r>
      <w:r w:rsidRPr="00D9636E">
        <w:rPr>
          <w:b/>
        </w:rPr>
        <w:t>данские или военные, медицинские работники, государственные дол</w:t>
      </w:r>
      <w:r w:rsidRPr="00D9636E">
        <w:rPr>
          <w:b/>
        </w:rPr>
        <w:t>ж</w:t>
      </w:r>
      <w:r w:rsidRPr="00D9636E">
        <w:rPr>
          <w:b/>
        </w:rPr>
        <w:t>ностные лица, а также другие лица, которые могут иметь отношение к с</w:t>
      </w:r>
      <w:r w:rsidRPr="00D9636E">
        <w:rPr>
          <w:b/>
        </w:rPr>
        <w:t>о</w:t>
      </w:r>
      <w:r w:rsidRPr="00D9636E">
        <w:rPr>
          <w:b/>
        </w:rPr>
        <w:t>держанию под стражей или обращению с лицами, лишенными свободы, включая судей, прокуроров и других судебных работников, на регулярной основе проходили специализированную подготовку по положениям Ко</w:t>
      </w:r>
      <w:r w:rsidRPr="00D9636E">
        <w:rPr>
          <w:b/>
        </w:rPr>
        <w:t>н</w:t>
      </w:r>
      <w:r w:rsidRPr="00D9636E">
        <w:rPr>
          <w:b/>
        </w:rPr>
        <w:t>венции в соответствии с пунктом 1 статьей 23 Конвенции.</w:t>
      </w:r>
    </w:p>
    <w:p w:rsidR="009B1633" w:rsidRPr="00C14770" w:rsidRDefault="009B1633" w:rsidP="009B1633">
      <w:pPr>
        <w:pStyle w:val="H1GR"/>
      </w:pPr>
      <w:r w:rsidRPr="00C14770">
        <w:tab/>
      </w:r>
      <w:r w:rsidRPr="00C14770">
        <w:tab/>
        <w:t>Меры по возмещению у</w:t>
      </w:r>
      <w:r w:rsidR="001F71A3">
        <w:t>щерба и меры по защите детей от</w:t>
      </w:r>
      <w:r w:rsidR="001F71A3">
        <w:rPr>
          <w:lang w:val="en-US"/>
        </w:rPr>
        <w:t> </w:t>
      </w:r>
      <w:r w:rsidRPr="00C14770">
        <w:t>насильственных исчезновений (статьи 24 и 25)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Определение жертвы и права на получение возмещения нанесенного ущерба и быстрой, справедливой и адекватной компенсации</w:t>
      </w:r>
    </w:p>
    <w:p w:rsidR="009B1633" w:rsidRPr="00440A19" w:rsidRDefault="009B1633" w:rsidP="009B1633">
      <w:pPr>
        <w:pStyle w:val="SingleTxtGR"/>
      </w:pPr>
      <w:r w:rsidRPr="00C14770">
        <w:t>27.</w:t>
      </w:r>
      <w:r w:rsidRPr="00C14770">
        <w:tab/>
        <w:t>Отметив, что внутреннее законодательство не предусматривает определ</w:t>
      </w:r>
      <w:r w:rsidRPr="00C14770">
        <w:t>е</w:t>
      </w:r>
      <w:r w:rsidRPr="00C14770">
        <w:t>ние жертвы в соответствии с положениями пункта 1 статьи 24 Конвенции, К</w:t>
      </w:r>
      <w:r w:rsidRPr="00C14770">
        <w:t>о</w:t>
      </w:r>
      <w:r w:rsidRPr="00C14770">
        <w:t>митет принимает к сведению заявление государства-участника о том, что пон</w:t>
      </w:r>
      <w:r w:rsidRPr="00C14770">
        <w:t>я</w:t>
      </w:r>
      <w:r w:rsidRPr="00C14770">
        <w:t>тие потерпевшего лица в соответствии со статьей 71 Уголовно-процессуального кодекса распространяется на всех лиц, которые понесли ущерб в результате уголовного деяния. Кроме того, Комитет принимает к сведению представле</w:t>
      </w:r>
      <w:r w:rsidRPr="00C14770">
        <w:t>н</w:t>
      </w:r>
      <w:r w:rsidRPr="00C14770">
        <w:t>ную государством-участником информацию о законодательстве, касающемся компенсации и возмещения ущерба, в том числе о статье 71 Уголовно-процессуального кодекса и Законе о специальных социальных услугах, а также о случаях, в которых выплата компенсации и возмещение ущерба должны ос</w:t>
      </w:r>
      <w:r w:rsidRPr="00C14770">
        <w:t>у</w:t>
      </w:r>
      <w:r w:rsidRPr="00C14770">
        <w:t>ществляться за счет средств государственного бюджета. В то же время Комитет отмечает, что в рамках внутреннего законодательства не предусмотрено ник</w:t>
      </w:r>
      <w:r w:rsidRPr="00C14770">
        <w:t>а</w:t>
      </w:r>
      <w:r w:rsidRPr="00C14770">
        <w:lastRenderedPageBreak/>
        <w:t>ких положений, направленных на создание всеобъемлющей системы возмещ</w:t>
      </w:r>
      <w:r w:rsidRPr="00C14770">
        <w:t>е</w:t>
      </w:r>
      <w:r w:rsidRPr="00C14770">
        <w:t>ния ущерба, которая бы в полной мере отвечала требованиям положений 4 и 5 статьи 24 Конвенции (статья 24).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28.</w:t>
      </w:r>
      <w:r w:rsidRPr="00C14770">
        <w:tab/>
      </w:r>
      <w:r w:rsidRPr="00D9636E">
        <w:rPr>
          <w:b/>
        </w:rPr>
        <w:t>Комитет рекомендует государству-участнику принять надлежащие меры, включая обеспечение надлежащей подготовки для сотрудников с</w:t>
      </w:r>
      <w:r w:rsidRPr="00D9636E">
        <w:rPr>
          <w:b/>
        </w:rPr>
        <w:t>у</w:t>
      </w:r>
      <w:r w:rsidRPr="00D9636E">
        <w:rPr>
          <w:b/>
        </w:rPr>
        <w:t>дебных органов, в целях обеспечения применения понятия потерпевшего лица в статье 71 Уголовно-процессуального кодекса в соответствии с опр</w:t>
      </w:r>
      <w:r w:rsidRPr="00D9636E">
        <w:rPr>
          <w:b/>
        </w:rPr>
        <w:t>е</w:t>
      </w:r>
      <w:r w:rsidRPr="00D9636E">
        <w:rPr>
          <w:b/>
        </w:rPr>
        <w:t>делением жертвы, содержащимся в пункте 1 статьи 24 Конвенции. Комитет также рекомендует государству-участнику принять необходимые меры для обеспечения того, чтобы любое лицо, которому был причинен ущерб неп</w:t>
      </w:r>
      <w:r w:rsidRPr="00D9636E">
        <w:rPr>
          <w:b/>
        </w:rPr>
        <w:t>о</w:t>
      </w:r>
      <w:r w:rsidRPr="00D9636E">
        <w:rPr>
          <w:b/>
        </w:rPr>
        <w:t>средственно в результате насильственного исчезновения, получало полное возмещение в соответствии с пунктом 5 статьи 24 Конвенции и операти</w:t>
      </w:r>
      <w:r w:rsidRPr="00D9636E">
        <w:rPr>
          <w:b/>
        </w:rPr>
        <w:t>в</w:t>
      </w:r>
      <w:r w:rsidRPr="00D9636E">
        <w:rPr>
          <w:b/>
        </w:rPr>
        <w:t>ную, справедливую и адекватную компенсацию. В этой связи Комитет р</w:t>
      </w:r>
      <w:r w:rsidRPr="00D9636E">
        <w:rPr>
          <w:b/>
        </w:rPr>
        <w:t>е</w:t>
      </w:r>
      <w:r w:rsidRPr="00D9636E">
        <w:rPr>
          <w:b/>
        </w:rPr>
        <w:t>комендует государству-участнику создать комплексную, учитывающую гендерные аспекты систему возмещения и компенсации, которая бы была приведена в полное соответствие с пунктами 4 и 5 статьи 24 Конвенции и другими соответствующими международными стандартами.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 xml:space="preserve">Правовое положение исчезнувших лиц, судьба которых неизвестна, </w:t>
      </w:r>
      <w:r w:rsidR="00011050">
        <w:br/>
      </w:r>
      <w:r w:rsidRPr="00C14770">
        <w:t xml:space="preserve">и их родственников </w:t>
      </w:r>
    </w:p>
    <w:p w:rsidR="009B1633" w:rsidRPr="00440A19" w:rsidRDefault="009B1633" w:rsidP="009B1633">
      <w:pPr>
        <w:pStyle w:val="SingleTxtGR"/>
      </w:pPr>
      <w:r w:rsidRPr="00C14770">
        <w:t>29.</w:t>
      </w:r>
      <w:r w:rsidRPr="00C14770">
        <w:tab/>
        <w:t>Комитет принимает к сведению утверждение государства-участника о том, что национальное законодательство обеспечивает соблюдение имущ</w:t>
      </w:r>
      <w:r w:rsidRPr="00C14770">
        <w:t>е</w:t>
      </w:r>
      <w:r w:rsidRPr="00C14770">
        <w:t>ственных прав пропавших без вести лиц и их семей. Вместе с тем он выражает сожаление в связи с тем, что он не получил надлежащей информации о закон</w:t>
      </w:r>
      <w:r w:rsidRPr="00C14770">
        <w:t>о</w:t>
      </w:r>
      <w:r w:rsidRPr="00C14770">
        <w:t>дательстве, которое будет применяться в отношении правового положения и</w:t>
      </w:r>
      <w:r w:rsidRPr="00C14770">
        <w:t>с</w:t>
      </w:r>
      <w:r w:rsidRPr="00C14770">
        <w:t>чезнувших лиц, судьба которых неизвестна, и их родственников в других обл</w:t>
      </w:r>
      <w:r w:rsidRPr="00C14770">
        <w:t>а</w:t>
      </w:r>
      <w:r w:rsidRPr="00C14770">
        <w:t>стях, таких как социальное обеспечение и семейное право (статья 24).</w:t>
      </w:r>
    </w:p>
    <w:p w:rsidR="009B1633" w:rsidRPr="00440A19" w:rsidRDefault="009B1633" w:rsidP="009B1633">
      <w:pPr>
        <w:pStyle w:val="SingleTxtGR"/>
        <w:rPr>
          <w:b/>
        </w:rPr>
      </w:pPr>
      <w:r w:rsidRPr="00C14770">
        <w:t>30.</w:t>
      </w:r>
      <w:r w:rsidRPr="00C14770">
        <w:tab/>
      </w:r>
      <w:r w:rsidRPr="00D9636E">
        <w:rPr>
          <w:b/>
        </w:rPr>
        <w:t>Комитет рекомендует государству-участнику принять в соответствии с пунктом 6 статьи 24 Конвенции необходимые меры с целью гарантир</w:t>
      </w:r>
      <w:r w:rsidRPr="00D9636E">
        <w:rPr>
          <w:b/>
        </w:rPr>
        <w:t>о</w:t>
      </w:r>
      <w:r w:rsidRPr="00D9636E">
        <w:rPr>
          <w:b/>
        </w:rPr>
        <w:t>вать, что внутреннее законодательство предусматривает надлежащее ур</w:t>
      </w:r>
      <w:r w:rsidRPr="00D9636E">
        <w:rPr>
          <w:b/>
        </w:rPr>
        <w:t>е</w:t>
      </w:r>
      <w:r w:rsidRPr="00D9636E">
        <w:rPr>
          <w:b/>
        </w:rPr>
        <w:t>гулирование правового положения исчезнувших лиц, чья судьба неизвес</w:t>
      </w:r>
      <w:r w:rsidRPr="00D9636E">
        <w:rPr>
          <w:b/>
        </w:rPr>
        <w:t>т</w:t>
      </w:r>
      <w:r w:rsidRPr="00D9636E">
        <w:rPr>
          <w:b/>
        </w:rPr>
        <w:t>на, и их родственников в таких сферах, как социальная защита, финанс</w:t>
      </w:r>
      <w:r w:rsidRPr="00D9636E">
        <w:rPr>
          <w:b/>
        </w:rPr>
        <w:t>о</w:t>
      </w:r>
      <w:r w:rsidRPr="00D9636E">
        <w:rPr>
          <w:b/>
        </w:rPr>
        <w:t>вые вопросы, семейное право и имущественные права. В этой связи Ком</w:t>
      </w:r>
      <w:r w:rsidRPr="00D9636E">
        <w:rPr>
          <w:b/>
        </w:rPr>
        <w:t>и</w:t>
      </w:r>
      <w:r w:rsidRPr="00D9636E">
        <w:rPr>
          <w:b/>
        </w:rPr>
        <w:t>тет призывает государство-участник установить процедуру получения св</w:t>
      </w:r>
      <w:r w:rsidRPr="00D9636E">
        <w:rPr>
          <w:b/>
        </w:rPr>
        <w:t>и</w:t>
      </w:r>
      <w:r w:rsidRPr="00D9636E">
        <w:rPr>
          <w:b/>
        </w:rPr>
        <w:t>детельства о безвестном отсутствии в результате насильственного исчезн</w:t>
      </w:r>
      <w:r w:rsidRPr="00D9636E">
        <w:rPr>
          <w:b/>
        </w:rPr>
        <w:t>о</w:t>
      </w:r>
      <w:r w:rsidRPr="00D9636E">
        <w:rPr>
          <w:b/>
        </w:rPr>
        <w:t>вения.</w:t>
      </w:r>
    </w:p>
    <w:p w:rsidR="009B1633" w:rsidRPr="00C14770" w:rsidRDefault="009B1633" w:rsidP="009B1633">
      <w:pPr>
        <w:pStyle w:val="H23GR"/>
      </w:pPr>
      <w:r w:rsidRPr="00C14770">
        <w:tab/>
      </w:r>
      <w:r w:rsidRPr="00C14770">
        <w:tab/>
        <w:t>Законодательство в отношении неправомерного изъятия детей</w:t>
      </w:r>
    </w:p>
    <w:p w:rsidR="009B1633" w:rsidRPr="00C14770" w:rsidRDefault="009B1633" w:rsidP="009B1633">
      <w:pPr>
        <w:pStyle w:val="SingleTxtGR"/>
      </w:pPr>
      <w:r w:rsidRPr="00C14770">
        <w:t>31.</w:t>
      </w:r>
      <w:r w:rsidRPr="00C14770">
        <w:tab/>
        <w:t>Принимая к сведению информацию, представленную государством-участником в отношении существующих законодательных механизмов по защ</w:t>
      </w:r>
      <w:r w:rsidRPr="00C14770">
        <w:t>и</w:t>
      </w:r>
      <w:r w:rsidRPr="00C14770">
        <w:t>те прав детей, Комитет с обеспокоенностью отмечает отсутствие в действу</w:t>
      </w:r>
      <w:r w:rsidRPr="00C14770">
        <w:t>ю</w:t>
      </w:r>
      <w:r w:rsidRPr="00C14770">
        <w:t>щем законодательстве каких-либо положений, конкретно предусматривающих уголовную ответственность за действия, касающиеся неправомерного изъятия детей, о которых говорится в пункте 1 статьи 25 Конвенции (статья 25).</w:t>
      </w:r>
    </w:p>
    <w:p w:rsidR="009B1633" w:rsidRPr="00D9636E" w:rsidRDefault="009B1633" w:rsidP="009B1633">
      <w:pPr>
        <w:pStyle w:val="SingleTxtGR"/>
        <w:rPr>
          <w:b/>
        </w:rPr>
      </w:pPr>
      <w:r w:rsidRPr="00C14770">
        <w:t>32.</w:t>
      </w:r>
      <w:r w:rsidRPr="00C14770">
        <w:tab/>
      </w:r>
      <w:r w:rsidRPr="00D9636E">
        <w:rPr>
          <w:b/>
        </w:rPr>
        <w:t>Комитет рекомендует государству-участнику принять необходимые законодательные меры в целях квалификации действий, описанных в пункте 1 статьи 25 Конвенции, в качестве конкретных преступлений и установить применительно к ним надлежащие меры наказания с учетом их особо тяжкого характера.</w:t>
      </w:r>
    </w:p>
    <w:p w:rsidR="009B1633" w:rsidRPr="00C14770" w:rsidRDefault="009B1633" w:rsidP="009B1633">
      <w:pPr>
        <w:pStyle w:val="H1GR"/>
      </w:pPr>
      <w:r w:rsidRPr="00C14770">
        <w:lastRenderedPageBreak/>
        <w:tab/>
        <w:t>D.</w:t>
      </w:r>
      <w:r w:rsidRPr="00C14770">
        <w:tab/>
        <w:t>Распространение информации и принятие последующих мер</w:t>
      </w:r>
    </w:p>
    <w:p w:rsidR="009B1633" w:rsidRPr="00440A19" w:rsidRDefault="009B1633" w:rsidP="009B1633">
      <w:pPr>
        <w:pStyle w:val="SingleTxtGR"/>
      </w:pPr>
      <w:r w:rsidRPr="00C14770">
        <w:t>33.</w:t>
      </w:r>
      <w:r w:rsidRPr="00C14770">
        <w:tab/>
        <w:t>Комитет хотел бы напомнить об обязательствах, взятых на себя госуда</w:t>
      </w:r>
      <w:r w:rsidRPr="00C14770">
        <w:t>р</w:t>
      </w:r>
      <w:r w:rsidRPr="00C14770">
        <w:t>ствами при присоединении к Конвенции, и в этой связи настоятельно призывает государство-участник обеспечить полное соответствие всех принимаемых им мер, независимо от характера таких мер и органа, который их принимает, обяз</w:t>
      </w:r>
      <w:r w:rsidRPr="00C14770">
        <w:t>а</w:t>
      </w:r>
      <w:r w:rsidRPr="00C14770">
        <w:t>тельствам, которые оно взяло на себя при присоединении к Конвенции и др</w:t>
      </w:r>
      <w:r w:rsidRPr="00C14770">
        <w:t>у</w:t>
      </w:r>
      <w:r w:rsidRPr="00C14770">
        <w:t xml:space="preserve">гим соответствующим международным договорам. </w:t>
      </w:r>
    </w:p>
    <w:p w:rsidR="009B1633" w:rsidRPr="00440A19" w:rsidRDefault="009B1633" w:rsidP="009B1633">
      <w:pPr>
        <w:pStyle w:val="SingleTxtGR"/>
      </w:pPr>
      <w:r w:rsidRPr="00C14770">
        <w:t>34.</w:t>
      </w:r>
      <w:r w:rsidRPr="00C14770">
        <w:tab/>
        <w:t>Комитет хотел бы также указать на особо тяжелые последствия насил</w:t>
      </w:r>
      <w:r w:rsidRPr="00C14770">
        <w:t>ь</w:t>
      </w:r>
      <w:r w:rsidRPr="00C14770">
        <w:t>ственных исчезновений для прав человека женщин и детей. Женщины, ставшие жертвами насильственных исчезновений,</w:t>
      </w:r>
      <w:r>
        <w:t xml:space="preserve"> </w:t>
      </w:r>
      <w:r w:rsidRPr="00C14770">
        <w:t>в наибольшей степени подвержены сексуальному и другим видам насилия на гендерной почве. Женщины, ро</w:t>
      </w:r>
      <w:r w:rsidRPr="00C14770">
        <w:t>д</w:t>
      </w:r>
      <w:r w:rsidRPr="00C14770">
        <w:t>ственники которых стали жертвами насильственного исчезновения, особенно подвержены риску столкнуться с неблагоприятными социально-экономическими последствиями,</w:t>
      </w:r>
      <w:r>
        <w:t xml:space="preserve"> </w:t>
      </w:r>
      <w:r w:rsidRPr="00C14770">
        <w:t>а также с насилием, преследованиями и пр</w:t>
      </w:r>
      <w:r w:rsidRPr="00C14770">
        <w:t>и</w:t>
      </w:r>
      <w:r w:rsidRPr="00C14770">
        <w:t>теснениями в связи с их усилиями по установлению местонахождения своих близких. Дети, ставшие жертвами насильственного исчезновения, будь то в личном качестве или в результате исчезновения их родственников, особенно уязвимы для многочисленных нарушений их прав человека, в том числе подм</w:t>
      </w:r>
      <w:r w:rsidRPr="00C14770">
        <w:t>е</w:t>
      </w:r>
      <w:r w:rsidRPr="00C14770">
        <w:t>ны их подлинной личности. В связи с этим Комитет особо подчеркивает нео</w:t>
      </w:r>
      <w:r w:rsidRPr="00C14770">
        <w:t>б</w:t>
      </w:r>
      <w:r w:rsidRPr="00C14770">
        <w:t>ходимость учета государством-участником гендерных факторов и интересов д</w:t>
      </w:r>
      <w:r w:rsidRPr="00C14770">
        <w:t>е</w:t>
      </w:r>
      <w:r w:rsidRPr="00C14770">
        <w:t>тей при осуществлении прав и обязательств, закрепленных в Конвенции.</w:t>
      </w:r>
    </w:p>
    <w:p w:rsidR="009B1633" w:rsidRPr="00440A19" w:rsidRDefault="009B1633" w:rsidP="009B1633">
      <w:pPr>
        <w:pStyle w:val="SingleTxtGR"/>
      </w:pPr>
      <w:r w:rsidRPr="00C14770">
        <w:t>35.</w:t>
      </w:r>
      <w:r w:rsidRPr="00C14770">
        <w:tab/>
      </w:r>
      <w:proofErr w:type="gramStart"/>
      <w:r w:rsidRPr="00C14770">
        <w:t>Государству-участнику предлагается обеспечить широкое распростран</w:t>
      </w:r>
      <w:r w:rsidRPr="00C14770">
        <w:t>е</w:t>
      </w:r>
      <w:r w:rsidRPr="00C14770">
        <w:t>ние текста Конвенции, его доклада, представл</w:t>
      </w:r>
      <w:r w:rsidR="003B6E35">
        <w:t>енного в соответствии с пун</w:t>
      </w:r>
      <w:r w:rsidR="003B6E35">
        <w:t>к</w:t>
      </w:r>
      <w:r w:rsidR="003B6E35">
        <w:t>том </w:t>
      </w:r>
      <w:r w:rsidRPr="00C14770">
        <w:t>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широких слоев населения.</w:t>
      </w:r>
      <w:proofErr w:type="gramEnd"/>
      <w:r w:rsidRPr="00C14770">
        <w:t xml:space="preserve"> Комитет также пр</w:t>
      </w:r>
      <w:r w:rsidRPr="00C14770">
        <w:t>и</w:t>
      </w:r>
      <w:r w:rsidRPr="00C14770">
        <w:t>зывает государство-участник поощрять участие гражданского общества в ос</w:t>
      </w:r>
      <w:r w:rsidRPr="00C14770">
        <w:t>у</w:t>
      </w:r>
      <w:r w:rsidRPr="00C14770">
        <w:t>ществлении мер в соответствии с настоящими заключительными замечаниями.</w:t>
      </w:r>
    </w:p>
    <w:p w:rsidR="009B1633" w:rsidRPr="00C14770" w:rsidRDefault="009B1633" w:rsidP="009B1633">
      <w:pPr>
        <w:pStyle w:val="SingleTxtGR"/>
      </w:pPr>
      <w:r w:rsidRPr="00C14770">
        <w:t>36.</w:t>
      </w:r>
      <w:r w:rsidRPr="00C14770">
        <w:tab/>
        <w:t xml:space="preserve">Согласно правилам процедуры Комитета </w:t>
      </w:r>
      <w:proofErr w:type="gramStart"/>
      <w:r w:rsidRPr="00C14770">
        <w:t>государство-участнику</w:t>
      </w:r>
      <w:proofErr w:type="gramEnd"/>
      <w:r w:rsidRPr="00C14770">
        <w:t xml:space="preserve"> </w:t>
      </w:r>
      <w:r w:rsidR="003B6E35">
        <w:t>следует не позднее 18 марта 2017</w:t>
      </w:r>
      <w:r w:rsidRPr="00C14770">
        <w:t xml:space="preserve"> года представить соответствующую информацию о выполнении рекомендаций Комитета, содержащихся в пунктах 12, 20 и 22.</w:t>
      </w:r>
    </w:p>
    <w:p w:rsidR="009B1633" w:rsidRPr="00440A19" w:rsidRDefault="009B1633" w:rsidP="009B1633">
      <w:pPr>
        <w:pStyle w:val="SingleTxtGR"/>
      </w:pPr>
      <w:r w:rsidRPr="00C14770">
        <w:t>37.</w:t>
      </w:r>
      <w:r w:rsidRPr="00C14770">
        <w:tab/>
      </w:r>
      <w:proofErr w:type="gramStart"/>
      <w:r w:rsidRPr="00C14770">
        <w:t>В соответствии с пунктом 4 статьи 29 Конвенции Комитет просит гос</w:t>
      </w:r>
      <w:r w:rsidRPr="00C14770">
        <w:t>у</w:t>
      </w:r>
      <w:r w:rsidRPr="00C14770">
        <w:t>дарство-участник представить не позднее 18 марта 2022 года конкретную о</w:t>
      </w:r>
      <w:r w:rsidRPr="00C14770">
        <w:t>б</w:t>
      </w:r>
      <w:r w:rsidRPr="00C14770">
        <w:t>новленную информацию, касающуюся выполнения всех его рекомендаций, а также любую другую новую информацию о выполнении обязательств, пред</w:t>
      </w:r>
      <w:r w:rsidRPr="00C14770">
        <w:t>у</w:t>
      </w:r>
      <w:r w:rsidRPr="00C14770">
        <w:t>смотренных Конвенцией, в документе, подготовленном в соответствии с рук</w:t>
      </w:r>
      <w:r w:rsidRPr="00C14770">
        <w:t>о</w:t>
      </w:r>
      <w:r w:rsidRPr="00C14770">
        <w:t>водящими принципами относительно формы и содержания докладов, которые должны быть представлены государствами</w:t>
      </w:r>
      <w:r w:rsidR="003B6E35">
        <w:t xml:space="preserve"> – </w:t>
      </w:r>
      <w:r w:rsidRPr="00C14770">
        <w:t>участниками Конвенции в соо</w:t>
      </w:r>
      <w:r w:rsidRPr="00C14770">
        <w:t>т</w:t>
      </w:r>
      <w:r w:rsidRPr="00C14770">
        <w:t>ветствии со</w:t>
      </w:r>
      <w:proofErr w:type="gramEnd"/>
      <w:r w:rsidRPr="00C14770">
        <w:t xml:space="preserve"> статьей 29</w:t>
      </w:r>
      <w:r>
        <w:t xml:space="preserve"> </w:t>
      </w:r>
      <w:r w:rsidRPr="00C14770">
        <w:t>Конвенции (CED/C/2, пункт 39). Комитет рекомендует государству-участнику поощрять и облегчать участие гражданского общества в подготовке такой информации.</w:t>
      </w:r>
    </w:p>
    <w:p w:rsidR="009B1633" w:rsidRPr="00C14770" w:rsidRDefault="009B1633" w:rsidP="009B16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76A1" w:rsidRPr="00011050" w:rsidRDefault="00BB76A1" w:rsidP="00BB76A1"/>
    <w:sectPr w:rsidR="00BB76A1" w:rsidRPr="00011050" w:rsidSect="00BB7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33" w:rsidRDefault="009B1633" w:rsidP="00B471C5">
      <w:r>
        <w:separator/>
      </w:r>
    </w:p>
  </w:endnote>
  <w:endnote w:type="continuationSeparator" w:id="0">
    <w:p w:rsidR="009B1633" w:rsidRDefault="009B163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0434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345175">
      <w:rPr>
        <w:lang w:val="en-US"/>
      </w:rPr>
      <w:t>08091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lang w:val="en-US"/>
      </w:rPr>
      <w:t>GE.16-</w:t>
    </w:r>
    <w:r w:rsidR="00345175">
      <w:rPr>
        <w:lang w:val="en-US"/>
      </w:rPr>
      <w:t>08091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0434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C689C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1C3ABC" w:rsidRDefault="00AC689C" w:rsidP="002B6F8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45175">
            <w:rPr>
              <w:lang w:val="en-US"/>
            </w:rPr>
            <w:t>08091</w:t>
          </w:r>
          <w:r w:rsidRPr="001C3ABC">
            <w:rPr>
              <w:lang w:val="en-US"/>
            </w:rPr>
            <w:t xml:space="preserve"> (R)</w:t>
          </w:r>
          <w:r w:rsidR="00345175">
            <w:rPr>
              <w:lang w:val="en-US"/>
            </w:rPr>
            <w:t xml:space="preserve">  010616  0</w:t>
          </w:r>
          <w:r w:rsidR="002B6F88">
            <w:rPr>
              <w:lang w:val="en-US"/>
            </w:rPr>
            <w:t>7</w:t>
          </w:r>
          <w:r w:rsidR="00345175"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C689C" w:rsidRDefault="00AC689C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2EC6C4E" wp14:editId="6303BA1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C689C" w:rsidRDefault="00345175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D/C/KAZ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D/C/KAZ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689C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345175" w:rsidRDefault="0034517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51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</w:tr>
  </w:tbl>
  <w:p w:rsidR="00BD440F" w:rsidRDefault="00B40434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33" w:rsidRPr="009141DC" w:rsidRDefault="009B163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B1633" w:rsidRPr="00D1261C" w:rsidRDefault="009B163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C12CA" w:rsidRPr="005C12CA" w:rsidRDefault="005C12CA">
      <w:pPr>
        <w:pStyle w:val="aa"/>
        <w:rPr>
          <w:lang w:val="ru-RU"/>
        </w:rPr>
      </w:pPr>
      <w:r>
        <w:tab/>
      </w:r>
      <w:r w:rsidRPr="005C12CA">
        <w:rPr>
          <w:rStyle w:val="a6"/>
          <w:sz w:val="20"/>
          <w:vertAlign w:val="baseline"/>
          <w:lang w:val="ru-RU"/>
        </w:rPr>
        <w:t>*</w:t>
      </w:r>
      <w:r w:rsidRPr="005C12CA">
        <w:rPr>
          <w:sz w:val="20"/>
          <w:lang w:val="ru-RU"/>
        </w:rPr>
        <w:t xml:space="preserve"> </w:t>
      </w:r>
      <w:r w:rsidRPr="005C12CA">
        <w:rPr>
          <w:lang w:val="ru-RU"/>
        </w:rPr>
        <w:tab/>
      </w:r>
      <w:r>
        <w:rPr>
          <w:lang w:val="ru-RU"/>
        </w:rPr>
        <w:t xml:space="preserve">Принято Комитетом на его </w:t>
      </w:r>
      <w:r w:rsidR="00011050">
        <w:rPr>
          <w:lang w:val="ru-RU"/>
        </w:rPr>
        <w:t>десятой</w:t>
      </w:r>
      <w:r>
        <w:rPr>
          <w:lang w:val="ru-RU"/>
        </w:rPr>
        <w:t xml:space="preserve"> сессии (7–18 марта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BB76A1">
    <w:pPr>
      <w:pStyle w:val="a3"/>
      <w:rPr>
        <w:lang w:val="en-US"/>
      </w:rPr>
    </w:pPr>
    <w:r>
      <w:rPr>
        <w:lang w:val="en-US"/>
      </w:rPr>
      <w:t>CED/</w:t>
    </w:r>
    <w:r w:rsidR="000D6216" w:rsidRPr="000D6216">
      <w:rPr>
        <w:lang w:val="en-US"/>
      </w:rPr>
      <w:t>C/KAZ/CO/1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3"/>
      <w:rPr>
        <w:lang w:val="en-US"/>
      </w:rPr>
    </w:pPr>
    <w:r>
      <w:rPr>
        <w:lang w:val="en-US"/>
      </w:rPr>
      <w:tab/>
      <w:t>CED/</w:t>
    </w:r>
    <w:r w:rsidR="000D6216" w:rsidRPr="000D6216">
      <w:rPr>
        <w:lang w:val="en-US"/>
      </w:rPr>
      <w:t>C/KAZ/CO/1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88" w:rsidRPr="003832E4" w:rsidRDefault="002B6F88" w:rsidP="00B40434">
    <w:pPr>
      <w:pStyle w:val="a3"/>
      <w:pBdr>
        <w:bottom w:val="none" w:sz="0" w:space="0" w:color="auto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33"/>
    <w:rsid w:val="00011050"/>
    <w:rsid w:val="000450D1"/>
    <w:rsid w:val="000D6216"/>
    <w:rsid w:val="000F2A4F"/>
    <w:rsid w:val="00102382"/>
    <w:rsid w:val="001F71A3"/>
    <w:rsid w:val="00203F84"/>
    <w:rsid w:val="00275188"/>
    <w:rsid w:val="0028464D"/>
    <w:rsid w:val="0028687D"/>
    <w:rsid w:val="002B091C"/>
    <w:rsid w:val="002B6F88"/>
    <w:rsid w:val="002D0CCB"/>
    <w:rsid w:val="00345175"/>
    <w:rsid w:val="00345C79"/>
    <w:rsid w:val="00366A39"/>
    <w:rsid w:val="003832E4"/>
    <w:rsid w:val="003B6E35"/>
    <w:rsid w:val="0048005C"/>
    <w:rsid w:val="004E242B"/>
    <w:rsid w:val="00514AC7"/>
    <w:rsid w:val="00544379"/>
    <w:rsid w:val="0056384F"/>
    <w:rsid w:val="00566944"/>
    <w:rsid w:val="00573E8E"/>
    <w:rsid w:val="005C12CA"/>
    <w:rsid w:val="005D56BF"/>
    <w:rsid w:val="00665D8D"/>
    <w:rsid w:val="006A7A3B"/>
    <w:rsid w:val="006B6B57"/>
    <w:rsid w:val="00705394"/>
    <w:rsid w:val="00725404"/>
    <w:rsid w:val="00743F62"/>
    <w:rsid w:val="00760D3A"/>
    <w:rsid w:val="007A1F42"/>
    <w:rsid w:val="007D76DD"/>
    <w:rsid w:val="00864641"/>
    <w:rsid w:val="008717E8"/>
    <w:rsid w:val="008D01AE"/>
    <w:rsid w:val="008E0423"/>
    <w:rsid w:val="009141DC"/>
    <w:rsid w:val="009174A1"/>
    <w:rsid w:val="00923A15"/>
    <w:rsid w:val="0097159C"/>
    <w:rsid w:val="0098674D"/>
    <w:rsid w:val="00997ACA"/>
    <w:rsid w:val="009B1633"/>
    <w:rsid w:val="00A03FB7"/>
    <w:rsid w:val="00A75A11"/>
    <w:rsid w:val="00AC689C"/>
    <w:rsid w:val="00AD7EAD"/>
    <w:rsid w:val="00AE2E51"/>
    <w:rsid w:val="00B35A32"/>
    <w:rsid w:val="00B40434"/>
    <w:rsid w:val="00B432C6"/>
    <w:rsid w:val="00B471C5"/>
    <w:rsid w:val="00B6474A"/>
    <w:rsid w:val="00BB76A1"/>
    <w:rsid w:val="00BE1742"/>
    <w:rsid w:val="00D1261C"/>
    <w:rsid w:val="00D75DCE"/>
    <w:rsid w:val="00DD35AC"/>
    <w:rsid w:val="00DD479F"/>
    <w:rsid w:val="00E15E48"/>
    <w:rsid w:val="00E26747"/>
    <w:rsid w:val="00E4569D"/>
    <w:rsid w:val="00EB0723"/>
    <w:rsid w:val="00EE6F37"/>
    <w:rsid w:val="00F1599F"/>
    <w:rsid w:val="00F31EF2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B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F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B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F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0914-B2C0-4225-AC0F-F5CB0C5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3</TotalTime>
  <Pages>9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TPSRUS2</cp:lastModifiedBy>
  <cp:revision>3</cp:revision>
  <cp:lastPrinted>2016-06-07T10:05:00Z</cp:lastPrinted>
  <dcterms:created xsi:type="dcterms:W3CDTF">2016-06-07T10:05:00Z</dcterms:created>
  <dcterms:modified xsi:type="dcterms:W3CDTF">2016-06-07T10:08:00Z</dcterms:modified>
</cp:coreProperties>
</file>