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8D3AA6" w:rsidRPr="00400E0F" w:rsidTr="004E5C20">
        <w:trPr>
          <w:trHeight w:hRule="exact" w:val="851"/>
        </w:trPr>
        <w:tc>
          <w:tcPr>
            <w:tcW w:w="4600" w:type="dxa"/>
            <w:gridSpan w:val="2"/>
            <w:vAlign w:val="bottom"/>
          </w:tcPr>
          <w:p w:rsidR="008D3AA6" w:rsidRPr="00635870" w:rsidRDefault="008D3AA6" w:rsidP="00CF001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vAlign w:val="bottom"/>
          </w:tcPr>
          <w:p w:rsidR="008D3AA6" w:rsidRPr="00400E0F" w:rsidRDefault="008D3AA6" w:rsidP="00CF0015">
            <w:pPr>
              <w:jc w:val="right"/>
              <w:rPr>
                <w:lang w:val="en-US"/>
              </w:rPr>
            </w:pPr>
            <w:proofErr w:type="spellStart"/>
            <w:r w:rsidRPr="00FC6AB2">
              <w:rPr>
                <w:sz w:val="40"/>
                <w:szCs w:val="40"/>
                <w:lang w:val="en-US"/>
              </w:rPr>
              <w:t>CMW</w:t>
            </w:r>
            <w:proofErr w:type="spellEnd"/>
            <w:r w:rsidRPr="00400E0F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CMW/"  \* MERGEFORMAT </w:instrText>
            </w:r>
            <w:r>
              <w:fldChar w:fldCharType="separate"/>
            </w:r>
            <w:r w:rsidR="00364D01">
              <w:t>C/</w:t>
            </w:r>
            <w:proofErr w:type="spellStart"/>
            <w:r w:rsidR="00364D01">
              <w:t>SEN</w:t>
            </w:r>
            <w:proofErr w:type="spellEnd"/>
            <w:r w:rsidR="00364D01">
              <w:t>/</w:t>
            </w:r>
            <w:proofErr w:type="spellStart"/>
            <w:r w:rsidR="00364D01">
              <w:t>CO</w:t>
            </w:r>
            <w:proofErr w:type="spellEnd"/>
            <w:r w:rsidR="00364D01">
              <w:t>/2-3</w:t>
            </w:r>
            <w:r>
              <w:fldChar w:fldCharType="end"/>
            </w:r>
          </w:p>
        </w:tc>
      </w:tr>
      <w:tr w:rsidR="008D3AA6" w:rsidRPr="00635870" w:rsidTr="004E5C20">
        <w:trPr>
          <w:trHeight w:hRule="exact" w:val="2835"/>
        </w:trPr>
        <w:tc>
          <w:tcPr>
            <w:tcW w:w="1280" w:type="dxa"/>
            <w:tcBorders>
              <w:bottom w:val="single" w:sz="12" w:space="0" w:color="auto"/>
            </w:tcBorders>
          </w:tcPr>
          <w:p w:rsidR="008D3AA6" w:rsidRPr="00635870" w:rsidRDefault="008D3AA6" w:rsidP="00CF001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7C0DC6" wp14:editId="2D2939A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bottom w:val="single" w:sz="12" w:space="0" w:color="auto"/>
            </w:tcBorders>
          </w:tcPr>
          <w:p w:rsidR="008D3AA6" w:rsidRPr="00CD6A00" w:rsidRDefault="008D3AA6" w:rsidP="00CF0015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</w:t>
            </w:r>
            <w:bookmarkStart w:id="0" w:name="_GoBack"/>
            <w:bookmarkEnd w:id="0"/>
            <w:r w:rsidRPr="00CD6A00">
              <w:rPr>
                <w:b/>
                <w:spacing w:val="-4"/>
                <w:w w:val="100"/>
                <w:sz w:val="34"/>
                <w:szCs w:val="40"/>
              </w:rPr>
              <w:t>ленов их семей</w:t>
            </w:r>
          </w:p>
        </w:tc>
        <w:tc>
          <w:tcPr>
            <w:tcW w:w="2819" w:type="dxa"/>
            <w:tcBorders>
              <w:bottom w:val="single" w:sz="12" w:space="0" w:color="auto"/>
            </w:tcBorders>
          </w:tcPr>
          <w:p w:rsidR="008D3AA6" w:rsidRPr="00400E0F" w:rsidRDefault="008D3AA6" w:rsidP="00CF0015">
            <w:pPr>
              <w:spacing w:before="240"/>
              <w:rPr>
                <w:lang w:val="en-US"/>
              </w:rPr>
            </w:pPr>
            <w:r w:rsidRPr="00400E0F">
              <w:rPr>
                <w:lang w:val="en-US"/>
              </w:rPr>
              <w:t>Distr</w:t>
            </w:r>
            <w:r w:rsidRPr="00400E0F">
              <w:t>.:</w:t>
            </w:r>
            <w:r w:rsidRPr="00400E0F">
              <w:rPr>
                <w:lang w:val="en-US"/>
              </w:rPr>
              <w:t xml:space="preserve"> </w:t>
            </w:r>
            <w:bookmarkStart w:id="1" w:name="ПолеСоСписком1"/>
            <w:r w:rsidRPr="00400E0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lang w:val="en-US"/>
              </w:rPr>
              <w:instrText xml:space="preserve"> FORMDROPDOWN </w:instrText>
            </w:r>
            <w:r w:rsidR="004E5C20">
              <w:fldChar w:fldCharType="separate"/>
            </w:r>
            <w:r w:rsidRPr="00400E0F">
              <w:fldChar w:fldCharType="end"/>
            </w:r>
            <w:bookmarkEnd w:id="1"/>
          </w:p>
          <w:p w:rsidR="008D3AA6" w:rsidRPr="00400E0F" w:rsidRDefault="008D3AA6" w:rsidP="00CF0015">
            <w:pPr>
              <w:rPr>
                <w:lang w:val="en-US"/>
              </w:rPr>
            </w:pPr>
            <w:r w:rsidRPr="00400E0F">
              <w:rPr>
                <w:lang w:val="en-US"/>
              </w:rPr>
              <w:fldChar w:fldCharType="begin"/>
            </w:r>
            <w:r w:rsidRPr="00400E0F">
              <w:rPr>
                <w:lang w:val="en-US"/>
              </w:rPr>
              <w:instrText xml:space="preserve"> FILLIN  "Введите дату документа" \* MERGEFORMAT </w:instrText>
            </w:r>
            <w:r w:rsidRPr="00400E0F">
              <w:rPr>
                <w:lang w:val="en-US"/>
              </w:rPr>
              <w:fldChar w:fldCharType="separate"/>
            </w:r>
            <w:r w:rsidR="00364D01">
              <w:rPr>
                <w:lang w:val="en-US"/>
              </w:rPr>
              <w:t>20 May 2016</w:t>
            </w:r>
            <w:r w:rsidRPr="00400E0F">
              <w:rPr>
                <w:lang w:val="en-US"/>
              </w:rPr>
              <w:fldChar w:fldCharType="end"/>
            </w:r>
          </w:p>
          <w:p w:rsidR="008D3AA6" w:rsidRPr="00400E0F" w:rsidRDefault="008D3AA6" w:rsidP="00CF0015">
            <w:r w:rsidRPr="00400E0F">
              <w:rPr>
                <w:lang w:val="en-US"/>
              </w:rPr>
              <w:t>Russian</w:t>
            </w:r>
          </w:p>
          <w:p w:rsidR="008D3AA6" w:rsidRPr="00400E0F" w:rsidRDefault="008D3AA6" w:rsidP="00CF0015">
            <w:r w:rsidRPr="00400E0F">
              <w:rPr>
                <w:lang w:val="en-US"/>
              </w:rPr>
              <w:t>Original</w:t>
            </w:r>
            <w:r w:rsidRPr="00400E0F">
              <w:t xml:space="preserve">: </w:t>
            </w:r>
            <w:bookmarkStart w:id="2" w:name="ПолеСоСписком2"/>
            <w:r w:rsidRPr="00400E0F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lang w:val="en-US"/>
              </w:rPr>
              <w:instrText xml:space="preserve"> FORMDROPDOWN </w:instrText>
            </w:r>
            <w:r w:rsidR="004E5C20">
              <w:fldChar w:fldCharType="separate"/>
            </w:r>
            <w:r w:rsidRPr="00400E0F">
              <w:fldChar w:fldCharType="end"/>
            </w:r>
            <w:bookmarkEnd w:id="2"/>
          </w:p>
          <w:p w:rsidR="008D3AA6" w:rsidRPr="00635870" w:rsidRDefault="008D3AA6" w:rsidP="00CF0015"/>
        </w:tc>
      </w:tr>
    </w:tbl>
    <w:p w:rsidR="00CF0015" w:rsidRPr="00CF0015" w:rsidRDefault="00CF0015" w:rsidP="00CF0015">
      <w:pPr>
        <w:pStyle w:val="SingleTxtGR"/>
        <w:spacing w:before="120"/>
        <w:ind w:left="0" w:right="0"/>
        <w:jc w:val="left"/>
        <w:rPr>
          <w:b/>
          <w:sz w:val="24"/>
          <w:szCs w:val="24"/>
        </w:rPr>
      </w:pPr>
      <w:r w:rsidRPr="00CF0015">
        <w:rPr>
          <w:b/>
          <w:sz w:val="24"/>
          <w:szCs w:val="24"/>
        </w:rPr>
        <w:t xml:space="preserve">Комитет по защите прав </w:t>
      </w:r>
      <w:r w:rsidRPr="00CF0015">
        <w:rPr>
          <w:b/>
          <w:sz w:val="24"/>
          <w:szCs w:val="24"/>
        </w:rPr>
        <w:br/>
        <w:t xml:space="preserve">всех трудящихся-мигрантов </w:t>
      </w:r>
      <w:r w:rsidRPr="00CF0015">
        <w:rPr>
          <w:b/>
          <w:sz w:val="24"/>
          <w:szCs w:val="24"/>
        </w:rPr>
        <w:br/>
        <w:t>и членов их семей</w:t>
      </w:r>
    </w:p>
    <w:p w:rsidR="00CF0015" w:rsidRPr="00CF0015" w:rsidRDefault="00CF0015" w:rsidP="00CF0015">
      <w:pPr>
        <w:pStyle w:val="HChGR"/>
      </w:pPr>
      <w:r w:rsidRPr="00CF0015">
        <w:tab/>
      </w:r>
      <w:r w:rsidRPr="00CF0015">
        <w:tab/>
        <w:t>Заключительные замечания по объединенным второму и третьему периодическим докладам Сенегала</w:t>
      </w:r>
      <w:r w:rsidRPr="00CF0015">
        <w:rPr>
          <w:b w:val="0"/>
          <w:bCs/>
          <w:sz w:val="20"/>
        </w:rPr>
        <w:footnoteReference w:customMarkFollows="1" w:id="1"/>
        <w:t>*</w:t>
      </w:r>
      <w:r w:rsidRPr="00CF0015">
        <w:t xml:space="preserve"> </w:t>
      </w:r>
    </w:p>
    <w:p w:rsidR="00CF0015" w:rsidRPr="00CF0015" w:rsidRDefault="00CF0015" w:rsidP="00CF0015">
      <w:pPr>
        <w:pStyle w:val="SingleTxtGR"/>
      </w:pPr>
      <w:r w:rsidRPr="00CF0015">
        <w:t>1.</w:t>
      </w:r>
      <w:r w:rsidRPr="00CF0015">
        <w:tab/>
        <w:t>Комитет рассмотрел объединенные второй и третий периодические д</w:t>
      </w:r>
      <w:r w:rsidRPr="00CF0015">
        <w:t>о</w:t>
      </w:r>
      <w:r w:rsidRPr="00CF0015">
        <w:t xml:space="preserve">клады Сенегала (CMW/C/SEN/2-3) на своих 312-м и 313-м заседаниях (CMW/C/SR.312 и 313), состоявшихся 13 и 14 апреля 2016 года, и на своем </w:t>
      </w:r>
      <w:r w:rsidRPr="00CF0015">
        <w:br/>
        <w:t>323-м заседании, состоявшемся 21 апреля 2016 года, принял следующие закл</w:t>
      </w:r>
      <w:r w:rsidRPr="00CF0015">
        <w:t>ю</w:t>
      </w:r>
      <w:r w:rsidRPr="00CF0015">
        <w:t xml:space="preserve">чительные замечания.  </w:t>
      </w:r>
    </w:p>
    <w:p w:rsidR="00CF0015" w:rsidRPr="00CF0015" w:rsidRDefault="00CF0015" w:rsidP="00CF0015">
      <w:pPr>
        <w:pStyle w:val="H1GR"/>
      </w:pPr>
      <w:r w:rsidRPr="00CF0015">
        <w:tab/>
        <w:t>A.</w:t>
      </w:r>
      <w:r w:rsidRPr="00CF0015">
        <w:tab/>
        <w:t>Введение</w:t>
      </w:r>
    </w:p>
    <w:p w:rsidR="00CF0015" w:rsidRPr="00CF0015" w:rsidRDefault="00CF0015" w:rsidP="00CF0015">
      <w:pPr>
        <w:pStyle w:val="SingleTxtGR"/>
      </w:pPr>
      <w:r w:rsidRPr="00CF0015">
        <w:t>2.</w:t>
      </w:r>
      <w:r w:rsidRPr="00CF0015">
        <w:tab/>
      </w:r>
      <w:proofErr w:type="gramStart"/>
      <w:r w:rsidRPr="00CF0015">
        <w:t>Комитет приветствует представление объединенных второго и третьего периодических докладов государства-участника, которые были подготовлены в ответ на перечень вопросов, направленный до представления доклада (CMW/C/SEN/QPR/2-3), а также дополнительной информации, приведенной в рамках диалога межведомственной делегацией под руководством Постоянного представителя Сенегала при Отделении Организации Объединенных Наций в Женеве Маме Баба Сиссе, в состав которой также входили представители М</w:t>
      </w:r>
      <w:r w:rsidRPr="00CF0015">
        <w:t>и</w:t>
      </w:r>
      <w:r w:rsidRPr="00CF0015">
        <w:t>нистерства юстиции</w:t>
      </w:r>
      <w:proofErr w:type="gramEnd"/>
      <w:r w:rsidRPr="00CF0015">
        <w:t>, Министерства по делам женщин, семьи и детей, Мин</w:t>
      </w:r>
      <w:r w:rsidRPr="00CF0015">
        <w:t>и</w:t>
      </w:r>
      <w:r w:rsidRPr="00CF0015">
        <w:t>стерства труда, по вопросам социального диалога, профессиональных орган</w:t>
      </w:r>
      <w:r w:rsidRPr="00CF0015">
        <w:t>и</w:t>
      </w:r>
      <w:r w:rsidRPr="00CF0015">
        <w:t>заций и по межведомственным связям, Министерства иностранных дел и по д</w:t>
      </w:r>
      <w:r w:rsidRPr="00CF0015">
        <w:t>е</w:t>
      </w:r>
      <w:r w:rsidRPr="00CF0015">
        <w:t>лам сенегальцев, проживающих за границей, а также Постоянного представ</w:t>
      </w:r>
      <w:r w:rsidRPr="00CF0015">
        <w:t>и</w:t>
      </w:r>
      <w:r w:rsidRPr="00CF0015">
        <w:t>тельства Сенегала при Отделении Организации Объединенных Наций в Жен</w:t>
      </w:r>
      <w:r w:rsidRPr="00CF0015">
        <w:t>е</w:t>
      </w:r>
      <w:r w:rsidRPr="00CF0015">
        <w:t xml:space="preserve">ве. Комитет также высоко оценил откровенный, открытый и конструктивный диалог с делегацией. </w:t>
      </w:r>
    </w:p>
    <w:p w:rsidR="00CF0015" w:rsidRPr="00CF0015" w:rsidRDefault="00CF0015" w:rsidP="00CF0015">
      <w:pPr>
        <w:pStyle w:val="SingleTxtGR"/>
      </w:pPr>
      <w:r w:rsidRPr="00CF0015">
        <w:t>3.</w:t>
      </w:r>
      <w:r w:rsidRPr="00CF0015">
        <w:tab/>
        <w:t>Комитет отмечает, что в качестве страны происхождения трудящихся-мигрантов Сенегал добился прогресса в защите прав своих соотечественников, трудящихся за границей. В то же время Комитет отмечает, что в качестве стр</w:t>
      </w:r>
      <w:r w:rsidRPr="00CF0015">
        <w:t>а</w:t>
      </w:r>
      <w:r w:rsidRPr="00CF0015">
        <w:t xml:space="preserve">ны транзита и назначения Сенегал по-прежнему сталкивается с некоторыми </w:t>
      </w:r>
      <w:r w:rsidRPr="00CF0015">
        <w:lastRenderedPageBreak/>
        <w:t>трудностями в области защиты прав трудящихся-мигрантов на своей террит</w:t>
      </w:r>
      <w:r w:rsidRPr="00CF0015">
        <w:t>о</w:t>
      </w:r>
      <w:r w:rsidRPr="00CF0015">
        <w:t>рии.</w:t>
      </w:r>
    </w:p>
    <w:p w:rsidR="00CF0015" w:rsidRPr="00CF0015" w:rsidRDefault="00CF0015" w:rsidP="00CF0015">
      <w:pPr>
        <w:pStyle w:val="SingleTxtGR"/>
      </w:pPr>
      <w:r w:rsidRPr="00CF0015">
        <w:t>4.</w:t>
      </w:r>
      <w:r w:rsidRPr="00CF0015">
        <w:tab/>
        <w:t>Комитет констатирует, что некоторые из стран, в которых работают сен</w:t>
      </w:r>
      <w:r w:rsidRPr="00CF0015">
        <w:t>е</w:t>
      </w:r>
      <w:r w:rsidRPr="00CF0015">
        <w:t>гальские трудящиеся-мигранты, еще не присоединились к Конвенции и что это может препятствовать осуществлению прав трудящихся-мигрантов в соотве</w:t>
      </w:r>
      <w:r w:rsidRPr="00CF0015">
        <w:t>т</w:t>
      </w:r>
      <w:r w:rsidRPr="00CF0015">
        <w:t>ствии с Конвенцией.</w:t>
      </w:r>
    </w:p>
    <w:p w:rsidR="00CF0015" w:rsidRPr="00CF0015" w:rsidRDefault="00CF0015" w:rsidP="00CF0015">
      <w:pPr>
        <w:pStyle w:val="H1GR"/>
      </w:pPr>
      <w:r w:rsidRPr="00CF0015">
        <w:tab/>
        <w:t>B.</w:t>
      </w:r>
      <w:r w:rsidRPr="00CF0015">
        <w:tab/>
        <w:t>Позитивные аспекты</w:t>
      </w:r>
    </w:p>
    <w:p w:rsidR="00CF0015" w:rsidRPr="00CF0015" w:rsidRDefault="00CF0015" w:rsidP="00CF0015">
      <w:pPr>
        <w:pStyle w:val="SingleTxtGR"/>
      </w:pPr>
      <w:r w:rsidRPr="00CF0015">
        <w:t>5.</w:t>
      </w:r>
      <w:r w:rsidRPr="00CF0015">
        <w:tab/>
        <w:t>Комитет с удовлетворением отмечает ратификацию государством-участником следующих международных договоров или присоединение к ним: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Конвенция о правах инвалидов (сентябрь 2010 года);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>Многосторонняя конвенция о социальном обеспечении Межафр</w:t>
      </w:r>
      <w:r w:rsidRPr="00CF0015">
        <w:t>и</w:t>
      </w:r>
      <w:r w:rsidRPr="00CF0015">
        <w:t xml:space="preserve">канской конференции по социальному прогнозированию (июнь 2014 года); </w:t>
      </w:r>
    </w:p>
    <w:p w:rsidR="00CF0015" w:rsidRPr="00CF0015" w:rsidRDefault="00CF0015" w:rsidP="00CF0015">
      <w:pPr>
        <w:pStyle w:val="SingleTxtGR"/>
      </w:pPr>
      <w:r w:rsidRPr="00CF0015">
        <w:tab/>
        <w:t>c)</w:t>
      </w:r>
      <w:r w:rsidRPr="00CF0015">
        <w:tab/>
        <w:t>Гаагская конвенция о защите детей и сотрудничестве в области межгосударственного усыновления (удочерения) (август 2011 года).</w:t>
      </w:r>
    </w:p>
    <w:p w:rsidR="00CF0015" w:rsidRPr="00CF0015" w:rsidRDefault="00CF0015" w:rsidP="00CF0015">
      <w:pPr>
        <w:pStyle w:val="SingleTxtGR"/>
      </w:pPr>
      <w:r w:rsidRPr="00CF0015">
        <w:t>6.</w:t>
      </w:r>
      <w:r w:rsidRPr="00CF0015">
        <w:tab/>
        <w:t>Комитет высоко оценивает принятие следующих законодательных мер: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поправки к министерским декретам № 3748-3750/MFPTEOP/DTSS 2003 года и к статье 145 Трудового кодекса 1997 года (2015 год);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>закон № 2013-05 с новой редакцией</w:t>
      </w:r>
      <w:r>
        <w:t xml:space="preserve"> закона № 61-10 от 7 марта 1961</w:t>
      </w:r>
      <w:r>
        <w:rPr>
          <w:lang w:val="en-US"/>
        </w:rPr>
        <w:t> </w:t>
      </w:r>
      <w:r w:rsidRPr="00CF0015">
        <w:t>года, касающегося сенегальского гражданства.</w:t>
      </w:r>
    </w:p>
    <w:p w:rsidR="00CF0015" w:rsidRPr="00CF0015" w:rsidRDefault="00CF0015" w:rsidP="00CF0015">
      <w:pPr>
        <w:pStyle w:val="SingleTxtGR"/>
      </w:pPr>
      <w:r w:rsidRPr="00CF0015">
        <w:t>7.</w:t>
      </w:r>
      <w:r w:rsidRPr="00CF0015">
        <w:tab/>
        <w:t>Комитет с удовлетворением отмечает принятие следующих политических и институциональных мер: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национальная рамочная программа по предотвращению и искор</w:t>
      </w:r>
      <w:r w:rsidRPr="00CF0015">
        <w:t>е</w:t>
      </w:r>
      <w:r w:rsidRPr="00CF0015">
        <w:t xml:space="preserve">нению детского труда и ее план действий </w:t>
      </w:r>
      <w:r>
        <w:t>(2012–</w:t>
      </w:r>
      <w:r w:rsidRPr="00CF0015">
        <w:t xml:space="preserve">2016 годы); 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 xml:space="preserve">национальная рамочная программа по искоренению детского </w:t>
      </w:r>
      <w:proofErr w:type="gramStart"/>
      <w:r w:rsidRPr="00CF0015">
        <w:t>п</w:t>
      </w:r>
      <w:r w:rsidRPr="00CF0015">
        <w:t>о</w:t>
      </w:r>
      <w:r w:rsidRPr="00CF0015">
        <w:t>прошайничества</w:t>
      </w:r>
      <w:proofErr w:type="gramEnd"/>
      <w:r>
        <w:t xml:space="preserve"> (2013–</w:t>
      </w:r>
      <w:r w:rsidRPr="00CF0015">
        <w:t>2015 годы);</w:t>
      </w:r>
    </w:p>
    <w:p w:rsidR="00CF0015" w:rsidRPr="00CF0015" w:rsidRDefault="00CF0015" w:rsidP="00CF0015">
      <w:pPr>
        <w:pStyle w:val="SingleTxtGR"/>
      </w:pPr>
      <w:r w:rsidRPr="00CF0015">
        <w:tab/>
        <w:t>c)</w:t>
      </w:r>
      <w:r w:rsidRPr="00CF0015">
        <w:tab/>
        <w:t>национальный план действий по борьбе с торговлей</w:t>
      </w:r>
      <w:r>
        <w:t xml:space="preserve"> людьми </w:t>
      </w:r>
      <w:r w:rsidRPr="00CF0015">
        <w:br/>
      </w:r>
      <w:r>
        <w:t>(2012</w:t>
      </w:r>
      <w:r w:rsidRPr="00CF0015">
        <w:t>–2014 годы);</w:t>
      </w:r>
    </w:p>
    <w:p w:rsidR="00CF0015" w:rsidRPr="00CF0015" w:rsidRDefault="00CF0015" w:rsidP="00CF0015">
      <w:pPr>
        <w:pStyle w:val="SingleTxtGR"/>
      </w:pPr>
      <w:r w:rsidRPr="00CF0015">
        <w:tab/>
        <w:t>d)</w:t>
      </w:r>
      <w:r w:rsidRPr="00CF0015">
        <w:tab/>
        <w:t xml:space="preserve">программа всеобщего медицинского страхования (2013 год); </w:t>
      </w:r>
    </w:p>
    <w:p w:rsidR="00CF0015" w:rsidRPr="00CF0015" w:rsidRDefault="00CF0015" w:rsidP="00CF0015">
      <w:pPr>
        <w:pStyle w:val="SingleTxtGR"/>
      </w:pPr>
      <w:r w:rsidRPr="00CF0015">
        <w:tab/>
        <w:t>e)</w:t>
      </w:r>
      <w:r w:rsidRPr="00CF0015">
        <w:tab/>
        <w:t xml:space="preserve">проект по обеспечению развития на местном уровне и законной миграции в качестве альтернативы </w:t>
      </w:r>
      <w:r>
        <w:t>нел</w:t>
      </w:r>
      <w:r w:rsidRPr="00CF0015">
        <w:t>егальной иммиграции (2011–2012 годы);</w:t>
      </w:r>
    </w:p>
    <w:p w:rsidR="00CF0015" w:rsidRPr="00CF0015" w:rsidRDefault="00CF0015" w:rsidP="00CF0015">
      <w:pPr>
        <w:pStyle w:val="SingleTxtGR"/>
      </w:pPr>
      <w:r w:rsidRPr="00CF0015">
        <w:tab/>
        <w:t>f)</w:t>
      </w:r>
      <w:r w:rsidRPr="00CF0015">
        <w:tab/>
        <w:t xml:space="preserve">программа поддержки инициатив в области развития </w:t>
      </w:r>
      <w:r w:rsidRPr="00CF0015">
        <w:br/>
        <w:t>(2009–2011 годы);</w:t>
      </w:r>
    </w:p>
    <w:p w:rsidR="00CF0015" w:rsidRPr="00CF0015" w:rsidRDefault="00CF0015" w:rsidP="00CF0015">
      <w:pPr>
        <w:pStyle w:val="SingleTxtGR"/>
      </w:pPr>
      <w:r w:rsidRPr="00CF0015">
        <w:tab/>
        <w:t>g)</w:t>
      </w:r>
      <w:r w:rsidRPr="00CF0015">
        <w:tab/>
        <w:t>создание Национального координационного бюро по борьбе с то</w:t>
      </w:r>
      <w:r w:rsidRPr="00CF0015">
        <w:t>р</w:t>
      </w:r>
      <w:r w:rsidRPr="00CF0015">
        <w:t>говлей людьми (2010 год);</w:t>
      </w:r>
    </w:p>
    <w:p w:rsidR="00CF0015" w:rsidRPr="00CF0015" w:rsidRDefault="00CF0015" w:rsidP="00CF0015">
      <w:pPr>
        <w:pStyle w:val="SingleTxtGR"/>
      </w:pPr>
      <w:r w:rsidRPr="00CF0015">
        <w:tab/>
        <w:t>h)</w:t>
      </w:r>
      <w:r w:rsidRPr="00CF0015">
        <w:tab/>
        <w:t>проект по предотвращению незаконной миграции из Сенегала в страны Европейского союза;</w:t>
      </w:r>
    </w:p>
    <w:p w:rsidR="00CF0015" w:rsidRPr="00CF0015" w:rsidRDefault="00CF0015" w:rsidP="00CF0015">
      <w:pPr>
        <w:pStyle w:val="SingleTxtGR"/>
      </w:pPr>
      <w:r w:rsidRPr="00CF0015">
        <w:tab/>
        <w:t>i)</w:t>
      </w:r>
      <w:r w:rsidRPr="00CF0015">
        <w:tab/>
        <w:t>проект по поддержке интеграции нелегальных эмигрантов.</w:t>
      </w:r>
    </w:p>
    <w:p w:rsidR="00CF0015" w:rsidRPr="00CF0015" w:rsidRDefault="00CF0015" w:rsidP="00CF0015">
      <w:pPr>
        <w:pStyle w:val="H1GR"/>
      </w:pPr>
      <w:r w:rsidRPr="00CF0015">
        <w:tab/>
        <w:t>C.</w:t>
      </w:r>
      <w:r w:rsidRPr="00CF0015">
        <w:tab/>
        <w:t>Основные вопро</w:t>
      </w:r>
      <w:r>
        <w:t>сы, вызывающие озабоченность, и </w:t>
      </w:r>
      <w:r w:rsidRPr="00CF0015">
        <w:t>рекомендации</w:t>
      </w:r>
    </w:p>
    <w:p w:rsidR="00CF0015" w:rsidRPr="00CF0015" w:rsidRDefault="00CF0015" w:rsidP="00CF0015">
      <w:pPr>
        <w:pStyle w:val="H23GR"/>
      </w:pPr>
      <w:r w:rsidRPr="00CF0015">
        <w:tab/>
        <w:t>1.</w:t>
      </w:r>
      <w:r w:rsidRPr="00CF0015">
        <w:tab/>
        <w:t>Общие меры по осуществлению (статьи 73 и 84)</w:t>
      </w:r>
    </w:p>
    <w:p w:rsidR="00CF0015" w:rsidRPr="00CF0015" w:rsidRDefault="00CF0015" w:rsidP="00CF0015">
      <w:pPr>
        <w:pStyle w:val="H23GR"/>
      </w:pPr>
      <w:r w:rsidRPr="00CF0015">
        <w:tab/>
      </w:r>
      <w:r w:rsidRPr="00CF0015">
        <w:tab/>
        <w:t>Законодательство и применение</w:t>
      </w:r>
    </w:p>
    <w:p w:rsidR="00CF0015" w:rsidRPr="00CF0015" w:rsidRDefault="00CF0015" w:rsidP="00CF0015">
      <w:pPr>
        <w:pStyle w:val="SingleTxtGR"/>
      </w:pPr>
      <w:r w:rsidRPr="00CF0015">
        <w:t>8.</w:t>
      </w:r>
      <w:r w:rsidRPr="00CF0015">
        <w:tab/>
        <w:t>Комитет с удовлетворением принимает к сведению заявления делегации о том, что государство-участник применяет монистическую модель с приматом международного права по отношению к национальному законодательству и р</w:t>
      </w:r>
      <w:r w:rsidRPr="00CF0015">
        <w:t>е</w:t>
      </w:r>
      <w:r w:rsidRPr="00CF0015">
        <w:t>ализует прямое применение положений международных договоров в судебно-правовой системе страны. В то же время Комитет по-прежнему обеспокоен тем, что положения Конвенции не полностью отражены во внутреннем законод</w:t>
      </w:r>
      <w:r w:rsidRPr="00CF0015">
        <w:t>а</w:t>
      </w:r>
      <w:r w:rsidRPr="00CF0015">
        <w:t>тельстве. Кроме этого, Комитет обеспокоен отсутствием информации о факт</w:t>
      </w:r>
      <w:r w:rsidRPr="00CF0015">
        <w:t>и</w:t>
      </w:r>
      <w:r w:rsidRPr="00CF0015">
        <w:t>ческом применении Конвенции в судах страны.</w:t>
      </w:r>
    </w:p>
    <w:p w:rsidR="00CF0015" w:rsidRPr="00CF0015" w:rsidRDefault="00CF0015" w:rsidP="00CF0015">
      <w:pPr>
        <w:pStyle w:val="SingleTxtGR"/>
      </w:pPr>
      <w:r w:rsidRPr="00CF0015">
        <w:t>9.</w:t>
      </w:r>
      <w:r w:rsidRPr="00CF0015">
        <w:tab/>
      </w:r>
      <w:r w:rsidRPr="00CF0015">
        <w:rPr>
          <w:b/>
        </w:rPr>
        <w:t>Комитет настоятельно призывает государство-участник принять все необходимые меры для включения Конвенции в полном объеме во вну</w:t>
      </w:r>
      <w:r w:rsidRPr="00CF0015">
        <w:rPr>
          <w:b/>
        </w:rPr>
        <w:t>т</w:t>
      </w:r>
      <w:r w:rsidRPr="00CF0015">
        <w:rPr>
          <w:b/>
        </w:rPr>
        <w:t>реннее законодательство и обеспечения соответствия внутренних законов и национальной политики на всех направлениях положениям Конвенции. Комитет также предлагает государству-участнику представить в своем четвертом периодическом докладе сведения о применении положений Ко</w:t>
      </w:r>
      <w:r w:rsidRPr="00CF0015">
        <w:rPr>
          <w:b/>
        </w:rPr>
        <w:t>н</w:t>
      </w:r>
      <w:r w:rsidRPr="00CF0015">
        <w:rPr>
          <w:b/>
        </w:rPr>
        <w:t>венции национальными судами.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Статьи 76 и 77</w:t>
      </w:r>
    </w:p>
    <w:p w:rsidR="00CF0015" w:rsidRPr="00CF0015" w:rsidRDefault="00CF0015" w:rsidP="00CF0015">
      <w:pPr>
        <w:pStyle w:val="SingleTxtGR"/>
      </w:pPr>
      <w:r w:rsidRPr="00CF0015">
        <w:t>10.</w:t>
      </w:r>
      <w:r w:rsidRPr="00CF0015">
        <w:tab/>
        <w:t>Комитет отмечает, что государство-участник еще не сделало заявлений, предусмотренных в статьях 76 и 77 Конвенции и касающихся компетенции К</w:t>
      </w:r>
      <w:r w:rsidRPr="00CF0015">
        <w:t>о</w:t>
      </w:r>
      <w:r w:rsidRPr="00CF0015">
        <w:t>митета получать и рассматривать сообщения государств-участников и частных лиц относительно нарушения прав, закрепленных в Конвенции.</w:t>
      </w:r>
    </w:p>
    <w:p w:rsidR="00CF0015" w:rsidRPr="00CF0015" w:rsidRDefault="00CF0015" w:rsidP="00CF0015">
      <w:pPr>
        <w:pStyle w:val="SingleTxtGR"/>
      </w:pPr>
      <w:r w:rsidRPr="00CF0015">
        <w:t>11.</w:t>
      </w:r>
      <w:r w:rsidRPr="00CF0015">
        <w:tab/>
      </w:r>
      <w:r w:rsidRPr="00CF0015">
        <w:rPr>
          <w:b/>
        </w:rPr>
        <w:t>Комитет призывает государство</w:t>
      </w:r>
      <w:r w:rsidR="000E3698">
        <w:rPr>
          <w:b/>
        </w:rPr>
        <w:t xml:space="preserve">-участник рассмотреть вопрос о </w:t>
      </w:r>
      <w:r w:rsidRPr="00CF0015">
        <w:rPr>
          <w:b/>
        </w:rPr>
        <w:t>том, чтобы выступить с заявлениями, предусмотренными в статьях 76 и 77 Конвенции.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Ратификация соответствующих договоров</w:t>
      </w:r>
    </w:p>
    <w:p w:rsidR="00CF0015" w:rsidRPr="00CF0015" w:rsidRDefault="00CF0015" w:rsidP="00CF0015">
      <w:pPr>
        <w:pStyle w:val="SingleTxtGR"/>
      </w:pPr>
      <w:r w:rsidRPr="00CF0015">
        <w:t>12.</w:t>
      </w:r>
      <w:r w:rsidRPr="00CF0015">
        <w:tab/>
        <w:t xml:space="preserve">Комитет с удовлетворением отмечает ратификацию государством-участником всех основных договоров в области прав человека, а также целого ряда конвенций Международной организации труда. </w:t>
      </w:r>
      <w:proofErr w:type="gramStart"/>
      <w:r w:rsidRPr="00CF0015">
        <w:t>В то же время он указыв</w:t>
      </w:r>
      <w:r w:rsidRPr="00CF0015">
        <w:t>а</w:t>
      </w:r>
      <w:r w:rsidRPr="00CF0015">
        <w:t>ет на то, что государство-участник еще не ратифицировало Факультативный протокол к Международному пакту об экономических, социальных и культу</w:t>
      </w:r>
      <w:r w:rsidRPr="00CF0015">
        <w:t>р</w:t>
      </w:r>
      <w:r w:rsidRPr="00CF0015">
        <w:t>ных правах, второй Факультативный протокол к Международному пакту о гражданских и политических правах, направленный на отмену смертной казни, Факультативный протокол к Конвенции о правах ребенка, касающийся проц</w:t>
      </w:r>
      <w:r w:rsidRPr="00CF0015">
        <w:t>е</w:t>
      </w:r>
      <w:r w:rsidRPr="00CF0015">
        <w:t>дуры сообщений, Факультативный протокол к Конвенции о правах инвалидов, Конвенцию Международной организации</w:t>
      </w:r>
      <w:proofErr w:type="gramEnd"/>
      <w:r w:rsidRPr="00CF0015">
        <w:t xml:space="preserve"> труда (МОТ) № 97 о трудящихся-мигрантах (пересмотренную в 1949 году), Конвенцию № 143 о трудящихся-мигрантах (дополнительные положения, прин</w:t>
      </w:r>
      <w:r w:rsidR="000E3698">
        <w:t>ятые в 1975 году) и Конве</w:t>
      </w:r>
      <w:r w:rsidR="000E3698">
        <w:t>н</w:t>
      </w:r>
      <w:r w:rsidR="000E3698">
        <w:t>цию № </w:t>
      </w:r>
      <w:r w:rsidRPr="00CF0015">
        <w:t>189 о достойном труде домашних работников (2011 год).</w:t>
      </w:r>
    </w:p>
    <w:p w:rsidR="00CF0015" w:rsidRPr="00CF0015" w:rsidRDefault="00CF0015" w:rsidP="00CF0015">
      <w:pPr>
        <w:pStyle w:val="SingleTxtGR"/>
      </w:pPr>
      <w:r w:rsidRPr="00CF0015">
        <w:t>13.</w:t>
      </w:r>
      <w:r w:rsidRPr="00CF0015">
        <w:tab/>
      </w:r>
      <w:proofErr w:type="gramStart"/>
      <w:r w:rsidRPr="00CF0015">
        <w:rPr>
          <w:b/>
        </w:rPr>
        <w:t xml:space="preserve">Комитет рекомендует государству-участнику рассмотреть как можно скорее вопрос о ратификации факультативных протоколов к упомянутым выше международным договорам о правах человека, а также Конвенции Международной организации труда (МОТ) № 97 о трудящихся-мигрантах (пересмотренной в 1949 году), Конвенции № 143 о трудящихся-мигрантах (дополнительные положения, принятые в 1975 году) и Конвенцию № 189 о достойном труде домашних работников (2011 год). </w:t>
      </w:r>
      <w:proofErr w:type="gramEnd"/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Глобальная политика и стратегия</w:t>
      </w:r>
    </w:p>
    <w:p w:rsidR="00CF0015" w:rsidRPr="00CF0015" w:rsidRDefault="00CF0015" w:rsidP="00CF0015">
      <w:pPr>
        <w:pStyle w:val="SingleTxtGR"/>
      </w:pPr>
      <w:r w:rsidRPr="00CF0015">
        <w:t>14.</w:t>
      </w:r>
      <w:r w:rsidRPr="00CF0015">
        <w:tab/>
        <w:t>Комитет положительно оценивает принятие ряда программ и проектов, касающихся миграции, а также осуществление национальной политики в обл</w:t>
      </w:r>
      <w:r w:rsidRPr="00CF0015">
        <w:t>а</w:t>
      </w:r>
      <w:r w:rsidRPr="00CF0015">
        <w:t>сти занятости</w:t>
      </w:r>
      <w:r w:rsidR="000E3698">
        <w:t xml:space="preserve"> 2011</w:t>
      </w:r>
      <w:r w:rsidRPr="00CF0015">
        <w:t xml:space="preserve">–2015 годов и согласованного с ней практического плана действий. Однако его по-прежнему беспокоит отсутствие глобальной политики и стратегии в области миграции. </w:t>
      </w:r>
    </w:p>
    <w:p w:rsidR="00CF0015" w:rsidRPr="00CF0015" w:rsidRDefault="00CF0015" w:rsidP="00CF0015">
      <w:pPr>
        <w:pStyle w:val="SingleTxtGR"/>
      </w:pPr>
      <w:r w:rsidRPr="00CF0015">
        <w:t>15.</w:t>
      </w:r>
      <w:r w:rsidRPr="00CF0015">
        <w:tab/>
      </w:r>
      <w:r w:rsidRPr="00CF0015">
        <w:rPr>
          <w:b/>
        </w:rPr>
        <w:t>Комитет рекомендует государству-участнику принять, реализовать и профинансировать в необходимых размерах глобальную политику в обл</w:t>
      </w:r>
      <w:r w:rsidRPr="00CF0015">
        <w:rPr>
          <w:b/>
        </w:rPr>
        <w:t>а</w:t>
      </w:r>
      <w:r w:rsidRPr="00CF0015">
        <w:rPr>
          <w:b/>
        </w:rPr>
        <w:t>сти миграции рабочей силы в соответствии с положениями Конвенции и с учетом различий между мужчинами и женщинами.</w:t>
      </w:r>
      <w:r w:rsidRPr="00CF0015">
        <w:t xml:space="preserve"> 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Координация</w:t>
      </w:r>
    </w:p>
    <w:p w:rsidR="00CF0015" w:rsidRPr="00CF0015" w:rsidRDefault="00CF0015" w:rsidP="00CF0015">
      <w:pPr>
        <w:pStyle w:val="SingleTxtGR"/>
      </w:pPr>
      <w:r w:rsidRPr="00CF0015">
        <w:t>16.</w:t>
      </w:r>
      <w:r w:rsidRPr="00CF0015">
        <w:tab/>
        <w:t>Комитет обеспокоен недостаточно эффективной координацией действий между учреждениями и службами, которые отвечают за реализацию различных мер по осуществлению прав согласно Конвенции.</w:t>
      </w:r>
    </w:p>
    <w:p w:rsidR="00CF0015" w:rsidRPr="00CF0015" w:rsidRDefault="00CF0015" w:rsidP="00CF0015">
      <w:pPr>
        <w:pStyle w:val="SingleTxtGR"/>
      </w:pPr>
      <w:r w:rsidRPr="00CF0015">
        <w:t>17.</w:t>
      </w:r>
      <w:r w:rsidRPr="00CF0015">
        <w:tab/>
      </w:r>
      <w:r w:rsidRPr="00CF0015">
        <w:rPr>
          <w:b/>
        </w:rPr>
        <w:t>Комитет рекомендует государству-участнику удвоить усилия, направленные на улучшение координации между министерствами и остальными органами государственного управления всех уровней с целью обеспечить практическое осуществлени</w:t>
      </w:r>
      <w:r w:rsidR="000E3698">
        <w:rPr>
          <w:b/>
        </w:rPr>
        <w:t xml:space="preserve">е защищенных Конвенцией прав. </w:t>
      </w:r>
      <w:proofErr w:type="gramStart"/>
      <w:r w:rsidR="000E3698">
        <w:rPr>
          <w:b/>
        </w:rPr>
        <w:t>В </w:t>
      </w:r>
      <w:r w:rsidRPr="00CF0015">
        <w:rPr>
          <w:b/>
        </w:rPr>
        <w:t>этой связи он призывает государство-участник создать независимый о</w:t>
      </w:r>
      <w:r w:rsidRPr="00CF0015">
        <w:rPr>
          <w:b/>
        </w:rPr>
        <w:t>р</w:t>
      </w:r>
      <w:r w:rsidRPr="00CF0015">
        <w:rPr>
          <w:b/>
        </w:rPr>
        <w:t>ган для координации, управления и принятия мер по осуществлению в о</w:t>
      </w:r>
      <w:r w:rsidRPr="00CF0015">
        <w:rPr>
          <w:b/>
        </w:rPr>
        <w:t>т</w:t>
      </w:r>
      <w:r w:rsidRPr="00CF0015">
        <w:rPr>
          <w:b/>
        </w:rPr>
        <w:t>ношении всех вопросов миграции рабочей силы, либо возродить Наци</w:t>
      </w:r>
      <w:r w:rsidRPr="00CF0015">
        <w:rPr>
          <w:b/>
        </w:rPr>
        <w:t>о</w:t>
      </w:r>
      <w:r w:rsidRPr="00CF0015">
        <w:rPr>
          <w:b/>
        </w:rPr>
        <w:t>нальную комиссию по регулированию и последующему использованию предложений в области занятости, предоставив тому или другому из этих двух органов необходимые людские и финансовые ресурсы и обеспечив ему достаточный оперативный потенциал.</w:t>
      </w:r>
      <w:proofErr w:type="gramEnd"/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Сбор данных</w:t>
      </w:r>
    </w:p>
    <w:p w:rsidR="00CF0015" w:rsidRPr="00CF0015" w:rsidRDefault="00CF0015" w:rsidP="00CF0015">
      <w:pPr>
        <w:pStyle w:val="SingleTxtGR"/>
      </w:pPr>
      <w:r w:rsidRPr="00CF0015">
        <w:t>18.</w:t>
      </w:r>
      <w:r w:rsidRPr="00CF0015">
        <w:tab/>
        <w:t>Комитет отмечает принятие национальной стратегии развития статистики (2014–2019 годы). Он также положительно оценивает представленные госуда</w:t>
      </w:r>
      <w:r w:rsidRPr="00CF0015">
        <w:t>р</w:t>
      </w:r>
      <w:r w:rsidRPr="00CF0015">
        <w:t>ством-участником данные, основанные на результатах общих исследований и переписей населения. В то же время он считает недостаточными статистич</w:t>
      </w:r>
      <w:r w:rsidRPr="00CF0015">
        <w:t>е</w:t>
      </w:r>
      <w:r w:rsidRPr="00CF0015">
        <w:t>ские данные о миграционных потоках, берущих свое начало на территории го</w:t>
      </w:r>
      <w:r w:rsidRPr="00CF0015">
        <w:t>с</w:t>
      </w:r>
      <w:r w:rsidRPr="00CF0015">
        <w:t>ударства-участника, либо имеющих его в качестве страны назначения или тра</w:t>
      </w:r>
      <w:r w:rsidRPr="00CF0015">
        <w:t>н</w:t>
      </w:r>
      <w:r w:rsidRPr="00CF0015">
        <w:t xml:space="preserve">зита, в </w:t>
      </w:r>
      <w:proofErr w:type="gramStart"/>
      <w:r w:rsidRPr="00CF0015">
        <w:t>частности</w:t>
      </w:r>
      <w:proofErr w:type="gramEnd"/>
      <w:r w:rsidRPr="00CF0015">
        <w:t xml:space="preserve"> данные о трудящихся-мигрантах, не имеющих постоянного статуса, и членах их семей а также некоторые другие сведения, связанные с м</w:t>
      </w:r>
      <w:r w:rsidRPr="00CF0015">
        <w:t>и</w:t>
      </w:r>
      <w:r w:rsidRPr="00CF0015">
        <w:t>грационной проблематикой, при наличии которых Комитет имел бы возмо</w:t>
      </w:r>
      <w:r w:rsidRPr="00CF0015">
        <w:t>ж</w:t>
      </w:r>
      <w:r w:rsidRPr="00CF0015">
        <w:t xml:space="preserve">ность точно оценивать, в какой </w:t>
      </w:r>
      <w:proofErr w:type="gramStart"/>
      <w:r w:rsidRPr="00CF0015">
        <w:t>степени</w:t>
      </w:r>
      <w:proofErr w:type="gramEnd"/>
      <w:r w:rsidRPr="00CF0015">
        <w:t xml:space="preserve"> и </w:t>
      </w:r>
      <w:proofErr w:type="gramStart"/>
      <w:r w:rsidRPr="00CF0015">
        <w:t>какими</w:t>
      </w:r>
      <w:proofErr w:type="gramEnd"/>
      <w:r w:rsidRPr="00CF0015">
        <w:t xml:space="preserve"> средствами в государстве-участнике осуществляются права, закрепленные в Конституции. </w:t>
      </w:r>
    </w:p>
    <w:p w:rsidR="00CF0015" w:rsidRPr="00CF0015" w:rsidRDefault="00CF0015" w:rsidP="00CF0015">
      <w:pPr>
        <w:pStyle w:val="SingleTxtGR"/>
      </w:pPr>
      <w:r w:rsidRPr="00CF0015">
        <w:t>19.</w:t>
      </w:r>
      <w:r w:rsidRPr="00CF0015">
        <w:tab/>
      </w:r>
      <w:r w:rsidRPr="00CF0015">
        <w:rPr>
          <w:b/>
        </w:rPr>
        <w:t>Комитет рекомендует государству-участнику создать централизова</w:t>
      </w:r>
      <w:r w:rsidRPr="00CF0015">
        <w:rPr>
          <w:b/>
        </w:rPr>
        <w:t>н</w:t>
      </w:r>
      <w:r w:rsidRPr="00CF0015">
        <w:rPr>
          <w:b/>
        </w:rPr>
        <w:t>ную базу данных для накопления статистической информации и сведений, касающихся миграции, как качественного, так и количественного хара</w:t>
      </w:r>
      <w:r w:rsidRPr="00CF0015">
        <w:rPr>
          <w:b/>
        </w:rPr>
        <w:t>к</w:t>
      </w:r>
      <w:r w:rsidRPr="00CF0015">
        <w:rPr>
          <w:b/>
        </w:rPr>
        <w:t>тера, и охватывающих все аспекты, связанные с Конвенцией, в том числе в отношении трудящихся-мигрантов, не</w:t>
      </w:r>
      <w:r w:rsidR="000E3698">
        <w:rPr>
          <w:b/>
        </w:rPr>
        <w:t xml:space="preserve"> имеющих постоянного статуса, а </w:t>
      </w:r>
      <w:r w:rsidRPr="00CF0015">
        <w:rPr>
          <w:b/>
        </w:rPr>
        <w:t>также обеспечить сбор подробных данных о положении трудящихся-мигрантов в государстве-участнике. Комитет предлагает собирать инфо</w:t>
      </w:r>
      <w:r w:rsidRPr="00CF0015">
        <w:rPr>
          <w:b/>
        </w:rPr>
        <w:t>р</w:t>
      </w:r>
      <w:r w:rsidRPr="00CF0015">
        <w:rPr>
          <w:b/>
        </w:rPr>
        <w:t>мацию и статистические данные, дезагрегированные по признакам пола, возраста, национальности, причинам въезда в страну и отъезда из нее и типу исполняемой работы согласно целевому показателю 17.18 целей устойчивого развития</w:t>
      </w:r>
      <w:r w:rsidRPr="000E3698">
        <w:rPr>
          <w:bCs/>
          <w:sz w:val="18"/>
          <w:szCs w:val="18"/>
          <w:vertAlign w:val="superscript"/>
        </w:rPr>
        <w:footnoteReference w:id="2"/>
      </w:r>
      <w:r w:rsidR="000E3698">
        <w:rPr>
          <w:b/>
        </w:rPr>
        <w:t>,</w:t>
      </w:r>
      <w:r w:rsidRPr="00CF0015">
        <w:rPr>
          <w:b/>
        </w:rPr>
        <w:t xml:space="preserve"> с </w:t>
      </w:r>
      <w:proofErr w:type="gramStart"/>
      <w:r w:rsidRPr="00CF0015">
        <w:rPr>
          <w:b/>
        </w:rPr>
        <w:t>тем</w:t>
      </w:r>
      <w:proofErr w:type="gramEnd"/>
      <w:r w:rsidRPr="00CF0015">
        <w:rPr>
          <w:b/>
        </w:rPr>
        <w:t xml:space="preserve"> чтобы конкретно определить необходимые направления национальной политики и работы по осуществлению Ко</w:t>
      </w:r>
      <w:r w:rsidRPr="00CF0015">
        <w:rPr>
          <w:b/>
        </w:rPr>
        <w:t>н</w:t>
      </w:r>
      <w:r w:rsidRPr="00CF0015">
        <w:rPr>
          <w:b/>
        </w:rPr>
        <w:t>венции. Комитет также рекомендует государству-участнику привлекать свои дипломатические и консульские представительства за рубежом к р</w:t>
      </w:r>
      <w:r w:rsidRPr="00CF0015">
        <w:rPr>
          <w:b/>
        </w:rPr>
        <w:t>а</w:t>
      </w:r>
      <w:r w:rsidRPr="00CF0015">
        <w:rPr>
          <w:b/>
        </w:rPr>
        <w:t>боте по сбору данных о миграционных процессах, в том числе о положении мигрантов, не имеющих постоянного статуса, и лиц, ставших жертвами торговли людьми. Если получение точных данных не представляется во</w:t>
      </w:r>
      <w:r w:rsidRPr="00CF0015">
        <w:rPr>
          <w:b/>
        </w:rPr>
        <w:t>з</w:t>
      </w:r>
      <w:r w:rsidRPr="00CF0015">
        <w:rPr>
          <w:b/>
        </w:rPr>
        <w:t>можным, например данных о положении мигрантов, не имеющих постоя</w:t>
      </w:r>
      <w:r w:rsidRPr="00CF0015">
        <w:rPr>
          <w:b/>
        </w:rPr>
        <w:t>н</w:t>
      </w:r>
      <w:r w:rsidRPr="00CF0015">
        <w:rPr>
          <w:b/>
        </w:rPr>
        <w:t>ного статуса, государству-участнику рекомендуется представлять сведения, основанные на результатах исследований или прогнозов.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Подготовка кадров и распространение информации о Конвенции</w:t>
      </w:r>
    </w:p>
    <w:p w:rsidR="00CF0015" w:rsidRPr="00CF0015" w:rsidRDefault="00CF0015" w:rsidP="00CF0015">
      <w:pPr>
        <w:pStyle w:val="SingleTxtGR"/>
      </w:pPr>
      <w:r w:rsidRPr="00CF0015">
        <w:t>20.</w:t>
      </w:r>
      <w:r w:rsidRPr="00CF0015">
        <w:tab/>
      </w:r>
      <w:proofErr w:type="gramStart"/>
      <w:r w:rsidRPr="00CF0015">
        <w:t>Комитет с удовлетворением отмечает наличие информационного сайта Министерства иностранных дел и по делам сенегальцев, проживающих за гр</w:t>
      </w:r>
      <w:r w:rsidRPr="00CF0015">
        <w:t>а</w:t>
      </w:r>
      <w:r w:rsidRPr="00CF0015">
        <w:t>ницей, посвященного правам по Конвенции и условиям приема, пребывания и проживания в Сенегале; проведение учебных семинаров для ознакомления с</w:t>
      </w:r>
      <w:r w:rsidRPr="00CF0015">
        <w:t>о</w:t>
      </w:r>
      <w:r w:rsidRPr="00CF0015">
        <w:t>трудников пограничных контрольно-пропускных пунктов с технологиями ра</w:t>
      </w:r>
      <w:r w:rsidRPr="00CF0015">
        <w:t>с</w:t>
      </w:r>
      <w:r w:rsidRPr="00CF0015">
        <w:t>познавания поддельных документов, процедурами регулирования миграцио</w:t>
      </w:r>
      <w:r w:rsidRPr="00CF0015">
        <w:t>н</w:t>
      </w:r>
      <w:r w:rsidRPr="00CF0015">
        <w:t>ных потоков и правилами соблюдения прав мигрантов;</w:t>
      </w:r>
      <w:proofErr w:type="gramEnd"/>
      <w:r w:rsidRPr="00CF0015">
        <w:t xml:space="preserve"> разработку двух уче</w:t>
      </w:r>
      <w:r w:rsidRPr="00CF0015">
        <w:t>б</w:t>
      </w:r>
      <w:r w:rsidRPr="00CF0015">
        <w:t>ных модулей для судей по вопросам примен</w:t>
      </w:r>
      <w:r w:rsidR="000E3698">
        <w:t xml:space="preserve">ения международных конвенций. </w:t>
      </w:r>
      <w:proofErr w:type="gramStart"/>
      <w:r w:rsidR="000E3698">
        <w:t>В </w:t>
      </w:r>
      <w:r w:rsidRPr="00CF0015">
        <w:t>то же время Комитет обеспокоен отсутствием информации и учебных пр</w:t>
      </w:r>
      <w:r w:rsidRPr="00CF0015">
        <w:t>о</w:t>
      </w:r>
      <w:r w:rsidRPr="00CF0015">
        <w:t>грамм, касающихся самой Конвенции и закрепленных в ней прав, а также нед</w:t>
      </w:r>
      <w:r w:rsidRPr="00CF0015">
        <w:t>о</w:t>
      </w:r>
      <w:r w:rsidRPr="00CF0015">
        <w:t>статочным распространением информации такого типа среди заинтересованных сторон, в частности среди национальных, региональных и местных органов государственного управления, сотрудников правоприменительных органов, с</w:t>
      </w:r>
      <w:r w:rsidRPr="00CF0015">
        <w:t>у</w:t>
      </w:r>
      <w:r w:rsidRPr="00CF0015">
        <w:t>дей, прокуроров, занимающихся этими вопросами консульских служащих, с</w:t>
      </w:r>
      <w:r w:rsidRPr="00CF0015">
        <w:t>о</w:t>
      </w:r>
      <w:r w:rsidRPr="00CF0015">
        <w:t>циальных работников, а также среди организаций гражданского общества, ун</w:t>
      </w:r>
      <w:r w:rsidRPr="00CF0015">
        <w:t>и</w:t>
      </w:r>
      <w:r w:rsidRPr="00CF0015">
        <w:t>верситетов, средств массовой</w:t>
      </w:r>
      <w:proofErr w:type="gramEnd"/>
      <w:r w:rsidRPr="00CF0015">
        <w:t xml:space="preserve"> информации, самих трудящихся-мигрантов и членов их семей. </w:t>
      </w:r>
    </w:p>
    <w:p w:rsidR="00CF0015" w:rsidRPr="00CF0015" w:rsidRDefault="00CF0015" w:rsidP="00CF0015">
      <w:pPr>
        <w:pStyle w:val="SingleTxtGR"/>
      </w:pPr>
      <w:r w:rsidRPr="00CF0015">
        <w:t>21.</w:t>
      </w:r>
      <w:r w:rsidRPr="00CF0015">
        <w:tab/>
      </w:r>
      <w:r w:rsidRPr="00CF0015">
        <w:rPr>
          <w:b/>
        </w:rPr>
        <w:t>Комитет рекомендует государству-участнику составить учебные и подготовительные программы по вопросам Конвенции и обеспечить, чт</w:t>
      </w:r>
      <w:r w:rsidRPr="00CF0015">
        <w:rPr>
          <w:b/>
        </w:rPr>
        <w:t>о</w:t>
      </w:r>
      <w:r w:rsidRPr="00CF0015">
        <w:rPr>
          <w:b/>
        </w:rPr>
        <w:t>бы соответствующая система подготовки охватила всех сотрудников гос</w:t>
      </w:r>
      <w:r w:rsidRPr="00CF0015">
        <w:rPr>
          <w:b/>
        </w:rPr>
        <w:t>у</w:t>
      </w:r>
      <w:r w:rsidRPr="00CF0015">
        <w:rPr>
          <w:b/>
        </w:rPr>
        <w:t>дарственных органов и других лиц, работающих в связанных с миграцией областях. Он также рекомендует государству-участнику обеспечить, чтобы трудящиеся-мигранты имели доступ к информации о правах, предусмо</w:t>
      </w:r>
      <w:r w:rsidRPr="00CF0015">
        <w:rPr>
          <w:b/>
        </w:rPr>
        <w:t>т</w:t>
      </w:r>
      <w:r w:rsidRPr="00CF0015">
        <w:rPr>
          <w:b/>
        </w:rPr>
        <w:t>ренных для них в Конвенции, и сотрудничать с университетами, организ</w:t>
      </w:r>
      <w:r w:rsidRPr="00CF0015">
        <w:rPr>
          <w:b/>
        </w:rPr>
        <w:t>а</w:t>
      </w:r>
      <w:r w:rsidRPr="00CF0015">
        <w:rPr>
          <w:b/>
        </w:rPr>
        <w:t>циями гражданского общества и средствами массовой информации с ц</w:t>
      </w:r>
      <w:r w:rsidRPr="00CF0015">
        <w:rPr>
          <w:b/>
        </w:rPr>
        <w:t>е</w:t>
      </w:r>
      <w:r w:rsidRPr="00CF0015">
        <w:rPr>
          <w:b/>
        </w:rPr>
        <w:t>лью распространения сведений о Конвенции и содействия ее более шир</w:t>
      </w:r>
      <w:r w:rsidRPr="00CF0015">
        <w:rPr>
          <w:b/>
        </w:rPr>
        <w:t>о</w:t>
      </w:r>
      <w:r w:rsidRPr="00CF0015">
        <w:rPr>
          <w:b/>
        </w:rPr>
        <w:t>кому применению.</w:t>
      </w:r>
      <w:r w:rsidRPr="00CF0015">
        <w:t xml:space="preserve"> </w:t>
      </w:r>
    </w:p>
    <w:p w:rsidR="000E3698" w:rsidRDefault="000E3698">
      <w:pPr>
        <w:spacing w:line="240" w:lineRule="auto"/>
        <w:rPr>
          <w:b/>
          <w:lang w:eastAsia="ru-RU"/>
        </w:rPr>
      </w:pPr>
      <w:r>
        <w:br w:type="page"/>
      </w:r>
    </w:p>
    <w:p w:rsidR="00CF0015" w:rsidRPr="00CF0015" w:rsidRDefault="00CF0015" w:rsidP="000E3698">
      <w:pPr>
        <w:pStyle w:val="H23GR"/>
      </w:pPr>
      <w:r w:rsidRPr="00CF0015">
        <w:tab/>
        <w:t>2.</w:t>
      </w:r>
      <w:r w:rsidRPr="00CF0015">
        <w:tab/>
        <w:t>Общие принципы (статьи 7 и 83)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Недискриминация</w:t>
      </w:r>
    </w:p>
    <w:p w:rsidR="00CF0015" w:rsidRPr="00CF0015" w:rsidRDefault="00CF0015" w:rsidP="00CF0015">
      <w:pPr>
        <w:pStyle w:val="SingleTxtGR"/>
      </w:pPr>
      <w:r w:rsidRPr="00CF0015">
        <w:t>22.</w:t>
      </w:r>
      <w:r w:rsidRPr="00CF0015">
        <w:tab/>
        <w:t>Комитет отмечает, что</w:t>
      </w:r>
      <w:r w:rsidR="002B1D92" w:rsidRPr="002B1D92">
        <w:t>,</w:t>
      </w:r>
      <w:r w:rsidRPr="00CF0015">
        <w:t xml:space="preserve"> помимо Конвенции</w:t>
      </w:r>
      <w:r w:rsidR="002B1D92" w:rsidRPr="002B1D92">
        <w:t>,</w:t>
      </w:r>
      <w:r w:rsidRPr="00CF0015">
        <w:t xml:space="preserve"> государство-участник рат</w:t>
      </w:r>
      <w:r w:rsidRPr="00CF0015">
        <w:t>и</w:t>
      </w:r>
      <w:r w:rsidRPr="00CF0015">
        <w:t>фицировало все основные международные дог</w:t>
      </w:r>
      <w:r w:rsidR="000E3698">
        <w:t xml:space="preserve">оворы в области прав человека, </w:t>
      </w:r>
      <w:r w:rsidRPr="00CF0015">
        <w:t>запрещающие любую дискриминацию на любой почве, и что они включены в национальную нормативно-правовую базу согласно положениям статьи 98 Ко</w:t>
      </w:r>
      <w:r w:rsidRPr="00CF0015">
        <w:t>н</w:t>
      </w:r>
      <w:r w:rsidRPr="00CF0015">
        <w:t>ституции 2001 года. Он также отмечает, что в собственную конституционную и законодательную основу государства-участника тоже включены направленные против дискриминации нормы, в частности в области занятости, здравоохран</w:t>
      </w:r>
      <w:r w:rsidRPr="00CF0015">
        <w:t>е</w:t>
      </w:r>
      <w:r w:rsidRPr="00CF0015">
        <w:t>ния, образования и социального обеспечения. В то же время Комитет обеспок</w:t>
      </w:r>
      <w:r w:rsidRPr="00CF0015">
        <w:t>о</w:t>
      </w:r>
      <w:r w:rsidRPr="00CF0015">
        <w:t>ен следующими моментами: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национальное законодательство, регулирующее занятость и усл</w:t>
      </w:r>
      <w:r w:rsidRPr="00CF0015">
        <w:t>о</w:t>
      </w:r>
      <w:r w:rsidRPr="00CF0015">
        <w:t>вия труда, не охватывает все запрещенные в Конвенции признаки, по которым возможна дискриминация (см. пункт 1 статьи 1 и статью 7 Конвенции), и не с</w:t>
      </w:r>
      <w:r w:rsidRPr="00CF0015">
        <w:t>о</w:t>
      </w:r>
      <w:r w:rsidRPr="00CF0015">
        <w:t>держит конкретного положения, запрещающего дискриминацию по признаку национальности;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>согласно поступающим сведениям трудящиеся-мигранты, приб</w:t>
      </w:r>
      <w:r w:rsidRPr="00CF0015">
        <w:t>ы</w:t>
      </w:r>
      <w:r w:rsidRPr="00CF0015">
        <w:t>вающие из стран, затронутых эпидемией лихорадки Эбола, подвергаются ди</w:t>
      </w:r>
      <w:r w:rsidRPr="00CF0015">
        <w:t>с</w:t>
      </w:r>
      <w:r w:rsidRPr="00CF0015">
        <w:t>криминации и стигматизации, которые сказываются, в частности, на их праве на здоровье, на образование, на достойный труд и на жилье; они также нередко подвергаются претеснениям;</w:t>
      </w:r>
    </w:p>
    <w:p w:rsidR="00CF0015" w:rsidRPr="00CF0015" w:rsidRDefault="00CF0015" w:rsidP="00CF0015">
      <w:pPr>
        <w:pStyle w:val="SingleTxtGR"/>
      </w:pPr>
      <w:r w:rsidRPr="00CF0015">
        <w:tab/>
        <w:t>c)</w:t>
      </w:r>
      <w:r w:rsidRPr="00CF0015">
        <w:tab/>
        <w:t>дети, родившиеся в Сенегале от родителей, не являющихся гра</w:t>
      </w:r>
      <w:r w:rsidRPr="00CF0015">
        <w:t>ж</w:t>
      </w:r>
      <w:r w:rsidRPr="00CF0015">
        <w:t>данами Сенегала, предположительно сталкиваются с трудностями при получ</w:t>
      </w:r>
      <w:r w:rsidRPr="00CF0015">
        <w:t>е</w:t>
      </w:r>
      <w:r w:rsidRPr="00CF0015">
        <w:t>нии гражданства, в основном по причине неповоротливости и запутанности связанной с этим процедуры;</w:t>
      </w:r>
    </w:p>
    <w:p w:rsidR="00CF0015" w:rsidRPr="00CF0015" w:rsidRDefault="00CF0015" w:rsidP="00CF0015">
      <w:pPr>
        <w:pStyle w:val="SingleTxtGR"/>
      </w:pPr>
      <w:r w:rsidRPr="00CF0015">
        <w:tab/>
        <w:t>d)</w:t>
      </w:r>
      <w:r w:rsidRPr="00CF0015">
        <w:tab/>
        <w:t>соблюдение прав трудящихся-мигрантов, не имеющих постоянного статуса и работающих в неформальном секторе или следующих через страну транзитом, а также прав сенегальских семей, работающих за рубежом, дол</w:t>
      </w:r>
      <w:r w:rsidRPr="00CF0015">
        <w:t>ж</w:t>
      </w:r>
      <w:r w:rsidRPr="00CF0015">
        <w:t>ным образом не обеспечено, в частности в отношении доступа к социальным пособиям;</w:t>
      </w:r>
    </w:p>
    <w:p w:rsidR="00CF0015" w:rsidRPr="00CF0015" w:rsidRDefault="00CF0015" w:rsidP="00CF0015">
      <w:pPr>
        <w:pStyle w:val="SingleTxtGR"/>
      </w:pPr>
      <w:r w:rsidRPr="00CF0015">
        <w:tab/>
        <w:t>e)</w:t>
      </w:r>
      <w:r w:rsidRPr="00CF0015">
        <w:tab/>
        <w:t>отсутствует информация о том, как на практике происходят пр</w:t>
      </w:r>
      <w:r w:rsidRPr="00CF0015">
        <w:t>о</w:t>
      </w:r>
      <w:r w:rsidRPr="00CF0015">
        <w:t>цессы, и нет конкретных примеров, с помощью которых можно было бы оц</w:t>
      </w:r>
      <w:r w:rsidRPr="00CF0015">
        <w:t>е</w:t>
      </w:r>
      <w:r w:rsidRPr="00CF0015">
        <w:t>нить, насколько полно в стране осуществляется закрепленное в Конвенции пр</w:t>
      </w:r>
      <w:r w:rsidRPr="00CF0015">
        <w:t>а</w:t>
      </w:r>
      <w:r w:rsidRPr="00CF0015">
        <w:t>во на недискриминацию в отношении трудящихся-мигрантов, независимо от т</w:t>
      </w:r>
      <w:r w:rsidRPr="00CF0015">
        <w:t>о</w:t>
      </w:r>
      <w:r w:rsidRPr="00CF0015">
        <w:t>го, имеют они оформленные документы или нет.</w:t>
      </w:r>
    </w:p>
    <w:p w:rsidR="00CF0015" w:rsidRPr="00CF0015" w:rsidRDefault="00CF0015" w:rsidP="00CF0015">
      <w:pPr>
        <w:pStyle w:val="SingleTxtGR"/>
      </w:pPr>
      <w:r w:rsidRPr="00CF0015">
        <w:t>23.</w:t>
      </w:r>
      <w:r w:rsidRPr="00CF0015">
        <w:tab/>
      </w:r>
      <w:proofErr w:type="gramStart"/>
      <w:r w:rsidRPr="00CF0015">
        <w:rPr>
          <w:b/>
        </w:rPr>
        <w:t>Комитет рекомендует государству-участнику принять все необход</w:t>
      </w:r>
      <w:r w:rsidRPr="00CF0015">
        <w:rPr>
          <w:b/>
        </w:rPr>
        <w:t>и</w:t>
      </w:r>
      <w:r w:rsidRPr="00CF0015">
        <w:rPr>
          <w:b/>
        </w:rPr>
        <w:t>мые меры, в частности путем внесения поправок в действующее законод</w:t>
      </w:r>
      <w:r w:rsidRPr="00CF0015">
        <w:rPr>
          <w:b/>
        </w:rPr>
        <w:t>а</w:t>
      </w:r>
      <w:r w:rsidRPr="00CF0015">
        <w:rPr>
          <w:b/>
        </w:rPr>
        <w:t>тельство, для того чтобы все трудящиеся-мигранты и члены их семей, находящиеся на его территории или под его юрисдикцией, независимо от того, имеют они оформленные документы или нет, могли пользоваться всеми правами, закрепленными в Конвенц</w:t>
      </w:r>
      <w:r w:rsidR="000E3698">
        <w:rPr>
          <w:b/>
        </w:rPr>
        <w:t>ии, в соответствии с ее стат</w:t>
      </w:r>
      <w:r w:rsidR="000E3698">
        <w:rPr>
          <w:b/>
        </w:rPr>
        <w:t>ь</w:t>
      </w:r>
      <w:r w:rsidR="000E3698">
        <w:rPr>
          <w:b/>
        </w:rPr>
        <w:t>ей </w:t>
      </w:r>
      <w:r w:rsidRPr="00CF0015">
        <w:rPr>
          <w:b/>
        </w:rPr>
        <w:t>7.</w:t>
      </w:r>
      <w:proofErr w:type="gramEnd"/>
      <w:r w:rsidRPr="00CF0015">
        <w:rPr>
          <w:b/>
        </w:rPr>
        <w:t xml:space="preserve"> В частности, Комитет рекомендует государству-участнику:</w:t>
      </w:r>
    </w:p>
    <w:p w:rsidR="00CF0015" w:rsidRPr="000E3698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0E3698">
        <w:rPr>
          <w:b/>
          <w:bCs/>
        </w:rPr>
        <w:t>a)</w:t>
      </w:r>
      <w:r w:rsidRPr="000E3698">
        <w:rPr>
          <w:b/>
        </w:rPr>
        <w:tab/>
        <w:t>включить в тексты национальных законов, касающихся зан</w:t>
      </w:r>
      <w:r w:rsidRPr="000E3698">
        <w:rPr>
          <w:b/>
        </w:rPr>
        <w:t>я</w:t>
      </w:r>
      <w:r w:rsidRPr="000E3698">
        <w:rPr>
          <w:b/>
        </w:rPr>
        <w:t xml:space="preserve">тости и условий труда, однозначный и конкретный запрет дискриминации по признаку национальности, с </w:t>
      </w:r>
      <w:proofErr w:type="gramStart"/>
      <w:r w:rsidRPr="000E3698">
        <w:rPr>
          <w:b/>
        </w:rPr>
        <w:t>тем</w:t>
      </w:r>
      <w:proofErr w:type="gramEnd"/>
      <w:r w:rsidRPr="000E3698">
        <w:rPr>
          <w:b/>
        </w:rPr>
        <w:t xml:space="preserve"> чтобы адресно обеспечить защиту тр</w:t>
      </w:r>
      <w:r w:rsidRPr="000E3698">
        <w:rPr>
          <w:b/>
        </w:rPr>
        <w:t>у</w:t>
      </w:r>
      <w:r w:rsidRPr="000E3698">
        <w:rPr>
          <w:b/>
        </w:rPr>
        <w:t>дящихся-мигрантов и членов их семей;</w:t>
      </w:r>
    </w:p>
    <w:p w:rsidR="000E3698" w:rsidRDefault="000E3698">
      <w:pPr>
        <w:spacing w:line="240" w:lineRule="auto"/>
        <w:rPr>
          <w:b/>
        </w:rPr>
      </w:pPr>
      <w:r>
        <w:rPr>
          <w:b/>
        </w:rPr>
        <w:br w:type="page"/>
      </w:r>
    </w:p>
    <w:p w:rsidR="00CF0015" w:rsidRPr="00CF0015" w:rsidRDefault="00CF0015" w:rsidP="00CF0015">
      <w:pPr>
        <w:pStyle w:val="SingleTxtGR"/>
        <w:rPr>
          <w:b/>
        </w:rPr>
      </w:pPr>
      <w:r w:rsidRPr="000E3698">
        <w:rPr>
          <w:b/>
        </w:rPr>
        <w:tab/>
      </w:r>
      <w:r w:rsidRPr="000E3698">
        <w:rPr>
          <w:b/>
          <w:bCs/>
        </w:rPr>
        <w:t>b)</w:t>
      </w:r>
      <w:r w:rsidRPr="000E3698">
        <w:rPr>
          <w:b/>
        </w:rPr>
        <w:tab/>
        <w:t>принять все необходимые меры для обеспечения фактической реализаци</w:t>
      </w:r>
      <w:r w:rsidRPr="00CF0015">
        <w:rPr>
          <w:b/>
        </w:rPr>
        <w:t>и защищенных Конвенцией прав трудящихся-мигрантов – в</w:t>
      </w:r>
      <w:r w:rsidRPr="00CF0015">
        <w:rPr>
          <w:b/>
        </w:rPr>
        <w:t>ы</w:t>
      </w:r>
      <w:r w:rsidRPr="00CF0015">
        <w:rPr>
          <w:b/>
        </w:rPr>
        <w:t>ходцев из стран, затронутых эпидемией лихорадки Эбола, а также пресл</w:t>
      </w:r>
      <w:r w:rsidRPr="00CF0015">
        <w:rPr>
          <w:b/>
        </w:rPr>
        <w:t>е</w:t>
      </w:r>
      <w:r w:rsidRPr="00CF0015">
        <w:rPr>
          <w:b/>
        </w:rPr>
        <w:t>довать и наказывать виновных в совершении актов дискриминации, сти</w:t>
      </w:r>
      <w:r w:rsidRPr="00CF0015">
        <w:rPr>
          <w:b/>
        </w:rPr>
        <w:t>г</w:t>
      </w:r>
      <w:r w:rsidRPr="00CF0015">
        <w:rPr>
          <w:b/>
        </w:rPr>
        <w:t>матизации и притеснений, которым подвергаются  эти трудящиеся-мигранты;</w:t>
      </w:r>
    </w:p>
    <w:p w:rsidR="00CF0015" w:rsidRPr="000E3698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0E3698">
        <w:rPr>
          <w:b/>
          <w:bCs/>
        </w:rPr>
        <w:t>c)</w:t>
      </w:r>
      <w:r w:rsidRPr="000E3698">
        <w:rPr>
          <w:b/>
        </w:rPr>
        <w:tab/>
        <w:t>ускорить и упростить процедуру получения гражданства дет</w:t>
      </w:r>
      <w:r w:rsidRPr="000E3698">
        <w:rPr>
          <w:b/>
        </w:rPr>
        <w:t>ь</w:t>
      </w:r>
      <w:r w:rsidRPr="000E3698">
        <w:rPr>
          <w:b/>
        </w:rPr>
        <w:t xml:space="preserve">ми, родившимися в Сенегале в семьях иностранцев, с </w:t>
      </w:r>
      <w:proofErr w:type="gramStart"/>
      <w:r w:rsidRPr="000E3698">
        <w:rPr>
          <w:b/>
        </w:rPr>
        <w:t>тем</w:t>
      </w:r>
      <w:proofErr w:type="gramEnd"/>
      <w:r w:rsidRPr="000E3698">
        <w:rPr>
          <w:b/>
        </w:rPr>
        <w:t xml:space="preserve"> чтобы они могли получать сенегальское гражданство в разумные сроки;</w:t>
      </w:r>
    </w:p>
    <w:p w:rsidR="00CF0015" w:rsidRPr="000E3698" w:rsidRDefault="00CF0015" w:rsidP="00CF0015">
      <w:pPr>
        <w:pStyle w:val="SingleTxtGR"/>
        <w:rPr>
          <w:b/>
        </w:rPr>
      </w:pPr>
      <w:r w:rsidRPr="000E3698">
        <w:rPr>
          <w:b/>
        </w:rPr>
        <w:tab/>
      </w:r>
      <w:r w:rsidRPr="000E3698">
        <w:rPr>
          <w:b/>
          <w:bCs/>
        </w:rPr>
        <w:t>d)</w:t>
      </w:r>
      <w:r w:rsidRPr="000E3698">
        <w:rPr>
          <w:b/>
        </w:rPr>
        <w:tab/>
        <w:t xml:space="preserve">принять необходимые меры, с </w:t>
      </w:r>
      <w:proofErr w:type="gramStart"/>
      <w:r w:rsidRPr="000E3698">
        <w:rPr>
          <w:b/>
        </w:rPr>
        <w:t>тем</w:t>
      </w:r>
      <w:proofErr w:type="gramEnd"/>
      <w:r w:rsidRPr="000E3698">
        <w:rPr>
          <w:b/>
        </w:rPr>
        <w:t xml:space="preserve"> чтобы все не имеющие п</w:t>
      </w:r>
      <w:r w:rsidRPr="000E3698">
        <w:rPr>
          <w:b/>
        </w:rPr>
        <w:t>о</w:t>
      </w:r>
      <w:r w:rsidRPr="000E3698">
        <w:rPr>
          <w:b/>
        </w:rPr>
        <w:t>стоянного статуса трудящиеся-мигранты, занятые в неформальном секторе или пребывающие в стране транзитом, а также члены семей граждан С</w:t>
      </w:r>
      <w:r w:rsidRPr="000E3698">
        <w:rPr>
          <w:b/>
        </w:rPr>
        <w:t>е</w:t>
      </w:r>
      <w:r w:rsidRPr="000E3698">
        <w:rPr>
          <w:b/>
        </w:rPr>
        <w:t>негала, работающих за границей, имели равные права с гражданами стр</w:t>
      </w:r>
      <w:r w:rsidRPr="000E3698">
        <w:rPr>
          <w:b/>
        </w:rPr>
        <w:t>а</w:t>
      </w:r>
      <w:r w:rsidRPr="000E3698">
        <w:rPr>
          <w:b/>
        </w:rPr>
        <w:t>ны, в частности в отношении доступа к социальным пособиям;</w:t>
      </w:r>
    </w:p>
    <w:p w:rsidR="00CF0015" w:rsidRPr="00CF0015" w:rsidRDefault="00CF0015" w:rsidP="00CF0015">
      <w:pPr>
        <w:pStyle w:val="SingleTxtGR"/>
        <w:rPr>
          <w:b/>
        </w:rPr>
      </w:pPr>
      <w:r w:rsidRPr="000E3698">
        <w:rPr>
          <w:b/>
        </w:rPr>
        <w:tab/>
      </w:r>
      <w:r w:rsidRPr="000E3698">
        <w:rPr>
          <w:b/>
          <w:bCs/>
        </w:rPr>
        <w:t>e)</w:t>
      </w:r>
      <w:r w:rsidRPr="000E3698">
        <w:rPr>
          <w:b/>
        </w:rPr>
        <w:tab/>
      </w:r>
      <w:r w:rsidRPr="00CF0015">
        <w:rPr>
          <w:b/>
        </w:rPr>
        <w:t>представить в своем четвертом периодическом докладе свед</w:t>
      </w:r>
      <w:r w:rsidRPr="00CF0015">
        <w:rPr>
          <w:b/>
        </w:rPr>
        <w:t>е</w:t>
      </w:r>
      <w:r w:rsidRPr="00CF0015">
        <w:rPr>
          <w:b/>
        </w:rPr>
        <w:t>ния о текущей практике в этой области и привести соответствующие пр</w:t>
      </w:r>
      <w:r w:rsidRPr="00CF0015">
        <w:rPr>
          <w:b/>
        </w:rPr>
        <w:t>и</w:t>
      </w:r>
      <w:r w:rsidRPr="00CF0015">
        <w:rPr>
          <w:b/>
        </w:rPr>
        <w:t>меры, а также заниматься повышением информированности представит</w:t>
      </w:r>
      <w:r w:rsidRPr="00CF0015">
        <w:rPr>
          <w:b/>
        </w:rPr>
        <w:t>е</w:t>
      </w:r>
      <w:r w:rsidRPr="00CF0015">
        <w:rPr>
          <w:b/>
        </w:rPr>
        <w:t>лей местных органов управления, сотрудников вед</w:t>
      </w:r>
      <w:r w:rsidR="000E3698">
        <w:rPr>
          <w:b/>
        </w:rPr>
        <w:t xml:space="preserve">омств, занимающихся миграцией, </w:t>
      </w:r>
      <w:r w:rsidRPr="00CF0015">
        <w:rPr>
          <w:b/>
        </w:rPr>
        <w:t xml:space="preserve">и широкой общественности о правах трудящихся-мигрантов и членов их семей. 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Право на средства правовой защиты</w:t>
      </w:r>
    </w:p>
    <w:p w:rsidR="00CF0015" w:rsidRPr="00CF0015" w:rsidRDefault="00CF0015" w:rsidP="00CF0015">
      <w:pPr>
        <w:pStyle w:val="SingleTxtGR"/>
      </w:pPr>
      <w:r w:rsidRPr="00CF0015">
        <w:t>24.</w:t>
      </w:r>
      <w:r w:rsidRPr="00CF0015">
        <w:tab/>
        <w:t>Комитет с удовлетворением принимает к сведению информацию госуда</w:t>
      </w:r>
      <w:r w:rsidRPr="00CF0015">
        <w:t>р</w:t>
      </w:r>
      <w:r w:rsidRPr="00CF0015">
        <w:t>ства-участника о том, что в случаях злоупотреблений властью по отношению к трудящимся-мигрантам и членам их семей или нарушения их прав в их расп</w:t>
      </w:r>
      <w:r w:rsidRPr="00CF0015">
        <w:t>о</w:t>
      </w:r>
      <w:r w:rsidRPr="00CF0015">
        <w:t xml:space="preserve">ряжении имеются различные средства правовой защиты. В то же время Комитет обеспокоен полным отсутствием информации о количестве возбужденных и/или принятых в производство дел по жалобам трудящихся-мигрантов или членов их семей, включая тех, кто не имеет постоянного статуса, поданных ими по факту нарушения их прав, закрепленных в Конвенции. </w:t>
      </w:r>
    </w:p>
    <w:p w:rsidR="00CF0015" w:rsidRPr="00CF0015" w:rsidRDefault="00CF0015" w:rsidP="00CF0015">
      <w:pPr>
        <w:pStyle w:val="SingleTxtGR"/>
      </w:pPr>
      <w:r w:rsidRPr="00CF0015">
        <w:t>25.</w:t>
      </w:r>
      <w:r w:rsidRPr="00CF0015">
        <w:tab/>
      </w:r>
      <w:proofErr w:type="gramStart"/>
      <w:r w:rsidRPr="00CF0015">
        <w:rPr>
          <w:b/>
        </w:rPr>
        <w:t>Комитет рекомендует государству-участнику следить за тем, чтобы и в нормативно-правовой базе, и на практике трудящимся-мигрантам и чл</w:t>
      </w:r>
      <w:r w:rsidRPr="00CF0015">
        <w:rPr>
          <w:b/>
        </w:rPr>
        <w:t>е</w:t>
      </w:r>
      <w:r w:rsidRPr="00CF0015">
        <w:rPr>
          <w:b/>
        </w:rPr>
        <w:t>нам их семей, включая тех, кто не имеет постоянного статуса, были обесп</w:t>
      </w:r>
      <w:r w:rsidRPr="00CF0015">
        <w:rPr>
          <w:b/>
        </w:rPr>
        <w:t>е</w:t>
      </w:r>
      <w:r w:rsidRPr="00CF0015">
        <w:rPr>
          <w:b/>
        </w:rPr>
        <w:t>чены те же возможности, что и гражданам страны для подачи жалоб в суды и получения через них компенсаций в тех случаях, когда нарушаются их права, предусмотренные в Конвенции.</w:t>
      </w:r>
      <w:proofErr w:type="gramEnd"/>
      <w:r w:rsidRPr="00CF0015">
        <w:rPr>
          <w:b/>
        </w:rPr>
        <w:t xml:space="preserve"> Комитет также рекомендует гос</w:t>
      </w:r>
      <w:r w:rsidRPr="00CF0015">
        <w:rPr>
          <w:b/>
        </w:rPr>
        <w:t>у</w:t>
      </w:r>
      <w:r w:rsidRPr="00CF0015">
        <w:rPr>
          <w:b/>
        </w:rPr>
        <w:t>дарству-участнику принять дополнительные меры по информированию трудящихся-мигрантов и членов их семей, включая тех, кто не имеет п</w:t>
      </w:r>
      <w:r w:rsidRPr="00CF0015">
        <w:rPr>
          <w:b/>
        </w:rPr>
        <w:t>о</w:t>
      </w:r>
      <w:r w:rsidRPr="00CF0015">
        <w:rPr>
          <w:b/>
        </w:rPr>
        <w:t>стоянного статуса, о доступных им средствах правовой и иной защиты в случае нарушения их предусмотренных в Конвенции прав.</w:t>
      </w:r>
    </w:p>
    <w:p w:rsidR="00CF0015" w:rsidRPr="00CF0015" w:rsidRDefault="00CF0015" w:rsidP="000E3698">
      <w:pPr>
        <w:pStyle w:val="H23GR"/>
      </w:pPr>
      <w:r w:rsidRPr="00CF0015">
        <w:tab/>
        <w:t>3.</w:t>
      </w:r>
      <w:r w:rsidRPr="00CF0015">
        <w:tab/>
        <w:t>Права человека всех трудящихся-мигранто</w:t>
      </w:r>
      <w:r w:rsidR="000E3698">
        <w:t xml:space="preserve">в и членов их семей </w:t>
      </w:r>
      <w:r w:rsidR="000E3698">
        <w:br/>
        <w:t>(статьи 8–</w:t>
      </w:r>
      <w:r w:rsidRPr="00CF0015">
        <w:t>35)</w:t>
      </w:r>
    </w:p>
    <w:p w:rsidR="00CF0015" w:rsidRPr="00CF0015" w:rsidRDefault="00CF0015" w:rsidP="000E3698">
      <w:pPr>
        <w:pStyle w:val="H23GR"/>
      </w:pPr>
      <w:r w:rsidRPr="00CF0015">
        <w:tab/>
      </w:r>
      <w:r w:rsidRPr="00CF0015">
        <w:tab/>
        <w:t>Справедливый суд, задержание и равенство перед судом</w:t>
      </w:r>
    </w:p>
    <w:p w:rsidR="00CF0015" w:rsidRPr="00CF0015" w:rsidRDefault="00CF0015" w:rsidP="00CF0015">
      <w:pPr>
        <w:pStyle w:val="SingleTxtGR"/>
      </w:pPr>
      <w:r w:rsidRPr="00CF0015">
        <w:t>26.</w:t>
      </w:r>
      <w:r w:rsidRPr="00CF0015">
        <w:tab/>
        <w:t>Комитет принимает к сведению заявления делегации, согласно которым закон № 78-12, принятый в январе 1978 года и</w:t>
      </w:r>
      <w:r w:rsidR="000E3698">
        <w:t xml:space="preserve"> заменивший закон № 71-10 от 25 </w:t>
      </w:r>
      <w:r w:rsidRPr="00CF0015">
        <w:t>января 1971 года об условиях въезда, пребывания и проживания иностранцев в Сенегале, на практике, как правило, не применяется. В то же время Комитет беспокоят следующие факты: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в статье 11 закона об условиях въезда и проживания иностранцев в Сенегале за не оформленную официально миграцию предусмотрена уголовная ответственность;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 xml:space="preserve">отсутствует конкретная и подробная информация о трудящихся-мигрантах и членах их семей, заключенных под стражу; </w:t>
      </w:r>
    </w:p>
    <w:p w:rsidR="00CF0015" w:rsidRPr="00CF0015" w:rsidRDefault="00CF0015" w:rsidP="00CF0015">
      <w:pPr>
        <w:pStyle w:val="SingleTxtGR"/>
      </w:pPr>
      <w:r w:rsidRPr="00CF0015">
        <w:tab/>
        <w:t>c)</w:t>
      </w:r>
      <w:r w:rsidRPr="00CF0015">
        <w:tab/>
        <w:t>помещенные под стражу трудящиеся-мигранты, не имеющие п</w:t>
      </w:r>
      <w:r w:rsidRPr="00CF0015">
        <w:t>о</w:t>
      </w:r>
      <w:r w:rsidRPr="00CF0015">
        <w:t>стоянного статуса, содержатся вместе с обычными заключенными, а детей не содержат отдельно от взрослых;</w:t>
      </w:r>
    </w:p>
    <w:p w:rsidR="00CF0015" w:rsidRPr="00CF0015" w:rsidRDefault="00CF0015" w:rsidP="00CF0015">
      <w:pPr>
        <w:pStyle w:val="SingleTxtGR"/>
      </w:pPr>
      <w:r w:rsidRPr="00CF0015">
        <w:tab/>
        <w:t>d)</w:t>
      </w:r>
      <w:r w:rsidRPr="00CF0015">
        <w:tab/>
        <w:t>неудовлетворительные условия содержания под стражей обусло</w:t>
      </w:r>
      <w:r w:rsidRPr="00CF0015">
        <w:t>в</w:t>
      </w:r>
      <w:r w:rsidRPr="00CF0015">
        <w:t>лены ветхостью инфраструктуры и переполненностью пенитенциарных учр</w:t>
      </w:r>
      <w:r w:rsidRPr="00CF0015">
        <w:t>е</w:t>
      </w:r>
      <w:r w:rsidRPr="00CF0015">
        <w:t xml:space="preserve">ждений; </w:t>
      </w:r>
    </w:p>
    <w:p w:rsidR="00CF0015" w:rsidRPr="00CF0015" w:rsidRDefault="00CF0015" w:rsidP="00CF0015">
      <w:pPr>
        <w:pStyle w:val="SingleTxtGR"/>
      </w:pPr>
      <w:r w:rsidRPr="00CF0015">
        <w:tab/>
        <w:t>e)</w:t>
      </w:r>
      <w:r w:rsidRPr="00CF0015">
        <w:tab/>
        <w:t>имеются сообщения, согласно которым административное заде</w:t>
      </w:r>
      <w:r w:rsidRPr="00CF0015">
        <w:t>р</w:t>
      </w:r>
      <w:r w:rsidRPr="00CF0015">
        <w:t>жание иностранцев, ожидающих высылки из страны, в отделениях полиции может длиться бесконечно из-за административных проволочек или логистич</w:t>
      </w:r>
      <w:r w:rsidRPr="00CF0015">
        <w:t>е</w:t>
      </w:r>
      <w:r w:rsidRPr="00CF0015">
        <w:t>ских проблем.</w:t>
      </w:r>
    </w:p>
    <w:p w:rsidR="00CF0015" w:rsidRPr="00CF0015" w:rsidRDefault="00CF0015" w:rsidP="00CF0015">
      <w:pPr>
        <w:pStyle w:val="SingleTxtGR"/>
      </w:pPr>
      <w:r w:rsidRPr="00CF0015">
        <w:t>27.</w:t>
      </w:r>
      <w:r w:rsidRPr="00CF0015">
        <w:tab/>
      </w:r>
      <w:r w:rsidRPr="00CF0015">
        <w:rPr>
          <w:b/>
        </w:rPr>
        <w:t>Комитет рекомендует государству-участнику: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proofErr w:type="gramStart"/>
      <w:r w:rsidRPr="00515CE2">
        <w:rPr>
          <w:b/>
          <w:bCs/>
        </w:rPr>
        <w:t>a)</w:t>
      </w:r>
      <w:r w:rsidRPr="00515CE2">
        <w:rPr>
          <w:b/>
        </w:rPr>
        <w:tab/>
        <w:t>внести в закон № 71-10 от 25 января 1971 года об условиях въезда, пребывания и проживания иностранцев в Сенегале поправку, о</w:t>
      </w:r>
      <w:r w:rsidRPr="00515CE2">
        <w:rPr>
          <w:b/>
        </w:rPr>
        <w:t>т</w:t>
      </w:r>
      <w:r w:rsidRPr="00515CE2">
        <w:rPr>
          <w:b/>
        </w:rPr>
        <w:t>меняющую уголовную ответственность за незаконную миграцию, поскол</w:t>
      </w:r>
      <w:r w:rsidRPr="00515CE2">
        <w:rPr>
          <w:b/>
        </w:rPr>
        <w:t>ь</w:t>
      </w:r>
      <w:r w:rsidRPr="00515CE2">
        <w:rPr>
          <w:b/>
        </w:rPr>
        <w:t xml:space="preserve">ку, по мнению Комитета, в соответствии </w:t>
      </w:r>
      <w:r w:rsidR="00515CE2" w:rsidRPr="00515CE2">
        <w:rPr>
          <w:b/>
        </w:rPr>
        <w:t>с его замечанием общего поря</w:t>
      </w:r>
      <w:r w:rsidR="00515CE2" w:rsidRPr="00515CE2">
        <w:rPr>
          <w:b/>
        </w:rPr>
        <w:t>д</w:t>
      </w:r>
      <w:r w:rsidR="00515CE2" w:rsidRPr="00515CE2">
        <w:rPr>
          <w:b/>
        </w:rPr>
        <w:t>ка </w:t>
      </w:r>
      <w:r w:rsidRPr="00515CE2">
        <w:rPr>
          <w:b/>
        </w:rPr>
        <w:t>№ 2 о правах трудящихся-мигрантов, не имеющих постоянного статуса, и членов их семей (2013 год) факт пребывания в стране без оформленного разрешения или без</w:t>
      </w:r>
      <w:proofErr w:type="gramEnd"/>
      <w:r w:rsidRPr="00515CE2">
        <w:rPr>
          <w:b/>
        </w:rPr>
        <w:t xml:space="preserve"> наличия необходимых документов либо проживания в стране после истечения срока действия вида на жительство не должен сл</w:t>
      </w:r>
      <w:r w:rsidRPr="00515CE2">
        <w:rPr>
          <w:b/>
        </w:rPr>
        <w:t>у</w:t>
      </w:r>
      <w:r w:rsidRPr="00515CE2">
        <w:rPr>
          <w:b/>
        </w:rPr>
        <w:t>жить основанием для возбуждения уголовного дела;</w:t>
      </w:r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proofErr w:type="gramStart"/>
      <w:r w:rsidRPr="00515CE2">
        <w:rPr>
          <w:b/>
          <w:bCs/>
        </w:rPr>
        <w:t>b)</w:t>
      </w:r>
      <w:r w:rsidRPr="00515CE2">
        <w:rPr>
          <w:b/>
        </w:rPr>
        <w:tab/>
        <w:t>сообщить в своем следующем периодическом докладе, дав при этом разбивку по возрасту, полу, национальности и/или происхождению, количество мигрантов, которые в настоящий момент содержатся под стр</w:t>
      </w:r>
      <w:r w:rsidRPr="00515CE2">
        <w:rPr>
          <w:b/>
        </w:rPr>
        <w:t>а</w:t>
      </w:r>
      <w:r w:rsidRPr="00515CE2">
        <w:rPr>
          <w:b/>
        </w:rPr>
        <w:t>жей, и указать место, среднюю продолжительность и условия содержания, а также привести сведения о количестве высланных из страны лиц и о пр</w:t>
      </w:r>
      <w:r w:rsidRPr="00515CE2">
        <w:rPr>
          <w:b/>
        </w:rPr>
        <w:t>и</w:t>
      </w:r>
      <w:r w:rsidRPr="00515CE2">
        <w:rPr>
          <w:b/>
        </w:rPr>
        <w:t>мененной к ним процедуре;</w:t>
      </w:r>
      <w:proofErr w:type="gramEnd"/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c)</w:t>
      </w:r>
      <w:r w:rsidRPr="00515CE2">
        <w:rPr>
          <w:b/>
        </w:rPr>
        <w:tab/>
        <w:t>помещать под стражу трудящихся-мигрантов, нарушивших нормы, касающиеся миграции, только в качестве крайней меры и в и</w:t>
      </w:r>
      <w:r w:rsidRPr="00515CE2">
        <w:rPr>
          <w:b/>
        </w:rPr>
        <w:t>с</w:t>
      </w:r>
      <w:r w:rsidRPr="00515CE2">
        <w:rPr>
          <w:b/>
        </w:rPr>
        <w:t xml:space="preserve">ключительных случаях; </w:t>
      </w:r>
      <w:proofErr w:type="gramStart"/>
      <w:r w:rsidRPr="00515CE2">
        <w:rPr>
          <w:b/>
        </w:rPr>
        <w:t>следить за тем, чтобы они содержались в спец</w:t>
      </w:r>
      <w:r w:rsidRPr="00515CE2">
        <w:rPr>
          <w:b/>
        </w:rPr>
        <w:t>и</w:t>
      </w:r>
      <w:r w:rsidRPr="00515CE2">
        <w:rPr>
          <w:b/>
        </w:rPr>
        <w:t>ально для этого предусмотренных учреждениях и чтобы они в любом сл</w:t>
      </w:r>
      <w:r w:rsidRPr="00515CE2">
        <w:rPr>
          <w:b/>
        </w:rPr>
        <w:t>у</w:t>
      </w:r>
      <w:r w:rsidRPr="00515CE2">
        <w:rPr>
          <w:b/>
        </w:rPr>
        <w:t>чае содержались отдельно от остальных заключенных, чтобы женщины с</w:t>
      </w:r>
      <w:r w:rsidRPr="00515CE2">
        <w:rPr>
          <w:b/>
        </w:rPr>
        <w:t>о</w:t>
      </w:r>
      <w:r w:rsidRPr="00515CE2">
        <w:rPr>
          <w:b/>
        </w:rPr>
        <w:t>держались отдельно от мужчин, чтобы условия содержания соответствов</w:t>
      </w:r>
      <w:r w:rsidRPr="00515CE2">
        <w:rPr>
          <w:b/>
        </w:rPr>
        <w:t>а</w:t>
      </w:r>
      <w:r w:rsidRPr="00515CE2">
        <w:rPr>
          <w:b/>
        </w:rPr>
        <w:t>ли международным стандартам и чтобы в отношении детей и их семей, а также в отношении несопровождаемых детей вместо помещения под стр</w:t>
      </w:r>
      <w:r w:rsidRPr="00515CE2">
        <w:rPr>
          <w:b/>
        </w:rPr>
        <w:t>а</w:t>
      </w:r>
      <w:r w:rsidRPr="00515CE2">
        <w:rPr>
          <w:b/>
        </w:rPr>
        <w:t>жу принимались альтернативные меры;</w:t>
      </w:r>
      <w:proofErr w:type="gramEnd"/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d)</w:t>
      </w:r>
      <w:r w:rsidRPr="00515CE2">
        <w:rPr>
          <w:b/>
        </w:rPr>
        <w:tab/>
        <w:t>запр</w:t>
      </w:r>
      <w:r w:rsidRPr="00CF0015">
        <w:rPr>
          <w:b/>
        </w:rPr>
        <w:t>етить содержание в полицейских участках ожидающих в</w:t>
      </w:r>
      <w:r w:rsidRPr="00CF0015">
        <w:rPr>
          <w:b/>
        </w:rPr>
        <w:t>ы</w:t>
      </w:r>
      <w:r w:rsidRPr="00CF0015">
        <w:rPr>
          <w:b/>
        </w:rPr>
        <w:t>сылки из страны иностранцев и рассмотреть вопрос о решении этой задачи иными способами.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Высылка из страны</w:t>
      </w:r>
    </w:p>
    <w:p w:rsidR="00CF0015" w:rsidRPr="00CF0015" w:rsidRDefault="00CF0015" w:rsidP="00CF0015">
      <w:pPr>
        <w:pStyle w:val="SingleTxtGR"/>
      </w:pPr>
      <w:r w:rsidRPr="00CF0015">
        <w:t>28.</w:t>
      </w:r>
      <w:r w:rsidRPr="00CF0015">
        <w:tab/>
        <w:t>Комитет отмечает, что согласно статьям 34, 35, 36, 37 и 38 постановления о реализации закона № 71-10 решение о высылке должно быть мотивирова</w:t>
      </w:r>
      <w:r w:rsidRPr="00CF0015">
        <w:t>н</w:t>
      </w:r>
      <w:r w:rsidRPr="00CF0015">
        <w:t>ным, а лицо, в отношении которого оно принимается, имеет право на обжал</w:t>
      </w:r>
      <w:r w:rsidRPr="00CF0015">
        <w:t>о</w:t>
      </w:r>
      <w:r w:rsidRPr="00CF0015">
        <w:t>вание административного решения на основании превышения власти с пр</w:t>
      </w:r>
      <w:r w:rsidRPr="00CF0015">
        <w:t>и</w:t>
      </w:r>
      <w:r w:rsidRPr="00CF0015">
        <w:t>остановкой его действия. Но в то же время Комитет обеспокоен сообщениями о том, что органы государственного управления государства-участника не всегда соблюдают указанную процедуру высылки трудящихся-мигрантов. Комитет также сожалеет об отсутствии сведений о том, в отношении  какого числа м</w:t>
      </w:r>
      <w:r w:rsidRPr="00CF0015">
        <w:t>и</w:t>
      </w:r>
      <w:r w:rsidRPr="00CF0015">
        <w:t>грантов и членов их семей в государстве-участнике принималось решение о высылке.</w:t>
      </w:r>
    </w:p>
    <w:p w:rsidR="00CF0015" w:rsidRPr="00CF0015" w:rsidRDefault="00CF0015" w:rsidP="00CF0015">
      <w:pPr>
        <w:pStyle w:val="SingleTxtGR"/>
      </w:pPr>
      <w:r w:rsidRPr="00CF0015">
        <w:t>29.</w:t>
      </w:r>
      <w:r w:rsidRPr="00CF0015">
        <w:tab/>
      </w:r>
      <w:r w:rsidRPr="00CF0015">
        <w:rPr>
          <w:b/>
        </w:rPr>
        <w:t>Комитет рекомендует государству-участнику принять все необход</w:t>
      </w:r>
      <w:r w:rsidRPr="00CF0015">
        <w:rPr>
          <w:b/>
        </w:rPr>
        <w:t>и</w:t>
      </w:r>
      <w:r w:rsidRPr="00CF0015">
        <w:rPr>
          <w:b/>
        </w:rPr>
        <w:t>мые меры, чтобы гарантировать реальное применение на практике проц</w:t>
      </w:r>
      <w:r w:rsidRPr="00CF0015">
        <w:rPr>
          <w:b/>
        </w:rPr>
        <w:t>е</w:t>
      </w:r>
      <w:r w:rsidRPr="00CF0015">
        <w:rPr>
          <w:b/>
        </w:rPr>
        <w:t>дуры высылки, предусмотренной в пост</w:t>
      </w:r>
      <w:r w:rsidR="00515CE2">
        <w:rPr>
          <w:b/>
        </w:rPr>
        <w:t>ановлении о реализации зак</w:t>
      </w:r>
      <w:r w:rsidR="00515CE2">
        <w:rPr>
          <w:b/>
        </w:rPr>
        <w:t>о</w:t>
      </w:r>
      <w:r w:rsidR="00515CE2">
        <w:rPr>
          <w:b/>
        </w:rPr>
        <w:t>на № </w:t>
      </w:r>
      <w:r w:rsidRPr="00CF0015">
        <w:rPr>
          <w:b/>
        </w:rPr>
        <w:t>71-10, а также соблюдение процедурных гарантий, предусмотренных в Конвенции для случаев высылки. Комитет также предлагает госуда</w:t>
      </w:r>
      <w:r w:rsidRPr="00CF0015">
        <w:rPr>
          <w:b/>
        </w:rPr>
        <w:t>р</w:t>
      </w:r>
      <w:r w:rsidRPr="00CF0015">
        <w:rPr>
          <w:b/>
        </w:rPr>
        <w:t xml:space="preserve">ству-участнику представить обновленные сведения, в </w:t>
      </w:r>
      <w:proofErr w:type="gramStart"/>
      <w:r w:rsidRPr="00CF0015">
        <w:rPr>
          <w:b/>
        </w:rPr>
        <w:t>частности</w:t>
      </w:r>
      <w:proofErr w:type="gramEnd"/>
      <w:r w:rsidRPr="00CF0015">
        <w:rPr>
          <w:b/>
        </w:rPr>
        <w:t xml:space="preserve"> дезагр</w:t>
      </w:r>
      <w:r w:rsidRPr="00CF0015">
        <w:rPr>
          <w:b/>
        </w:rPr>
        <w:t>е</w:t>
      </w:r>
      <w:r w:rsidRPr="00CF0015">
        <w:rPr>
          <w:b/>
        </w:rPr>
        <w:t>гированные статистические данные, о числе подвергшихся высылке тр</w:t>
      </w:r>
      <w:r w:rsidRPr="00CF0015">
        <w:rPr>
          <w:b/>
        </w:rPr>
        <w:t>у</w:t>
      </w:r>
      <w:r w:rsidRPr="00CF0015">
        <w:rPr>
          <w:b/>
        </w:rPr>
        <w:t>дящихся-мигрантов и о примененной по отношению к ним процедуре.</w:t>
      </w:r>
      <w:r w:rsidRPr="00CF0015">
        <w:t xml:space="preserve"> 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Консульская помощь</w:t>
      </w:r>
    </w:p>
    <w:p w:rsidR="00CF0015" w:rsidRPr="00CF0015" w:rsidRDefault="00CF0015" w:rsidP="00CF0015">
      <w:pPr>
        <w:pStyle w:val="SingleTxtGR"/>
      </w:pPr>
      <w:r w:rsidRPr="00CF0015">
        <w:t>30.</w:t>
      </w:r>
      <w:r w:rsidRPr="00CF0015">
        <w:tab/>
      </w:r>
      <w:proofErr w:type="gramStart"/>
      <w:r w:rsidRPr="00CF0015">
        <w:t>Комитет указывает, что государство-участник обязано использовать во</w:t>
      </w:r>
      <w:r w:rsidRPr="00CF0015">
        <w:t>з</w:t>
      </w:r>
      <w:r w:rsidRPr="00CF0015">
        <w:t>можности Управления юридических и консульских дел, Главного управления по делам сенегальцев, проживающих за рубежом, и дипломатические и консул</w:t>
      </w:r>
      <w:r w:rsidRPr="00CF0015">
        <w:t>ь</w:t>
      </w:r>
      <w:r w:rsidRPr="00CF0015">
        <w:t>ские представительства для оказания помощи выходцам из Сенегала, включая лиц с неурегулированным статусом, во время их пребывания за рубежом; это в первую очередь относится к тем из них, кто лишен свободы или подлежит в</w:t>
      </w:r>
      <w:r w:rsidRPr="00CF0015">
        <w:t>ы</w:t>
      </w:r>
      <w:r w:rsidRPr="00CF0015">
        <w:t>сылке.</w:t>
      </w:r>
      <w:proofErr w:type="gramEnd"/>
      <w:r w:rsidRPr="00CF0015">
        <w:t xml:space="preserve"> В этой связи Комитет обеспокоен поступившими сведениями, согласно которым помощь, предоставляемая сенегальскими дипломатическими и ко</w:t>
      </w:r>
      <w:r w:rsidRPr="00CF0015">
        <w:t>н</w:t>
      </w:r>
      <w:r w:rsidRPr="00CF0015">
        <w:t>сульскими учреждениями проживающим за рубежом сенегальским трудящимся-мигрантам, в частности тем из них, кто лишен свободы или подлежит высылке, по-прежнему является недостаточной. Комитет также сожалеет об отсутствии информации относительно посещений представителями дипломатических или консульских учреждений мест содержания под стражей в принимающих стр</w:t>
      </w:r>
      <w:r w:rsidRPr="00CF0015">
        <w:t>а</w:t>
      </w:r>
      <w:r w:rsidRPr="00CF0015">
        <w:t>нах для ус</w:t>
      </w:r>
      <w:r w:rsidR="00515CE2">
        <w:t>ы</w:t>
      </w:r>
      <w:r w:rsidRPr="00CF0015">
        <w:t>новления, в каком состоянии нахо</w:t>
      </w:r>
      <w:r w:rsidR="00515CE2">
        <w:t>дятся задержанные сенегальцы, а </w:t>
      </w:r>
      <w:r w:rsidRPr="00CF0015">
        <w:t>также относительно мер, принятых с целью информировать дипломатов и консульских работников стран происхождения о положении трудящихся-мигрантов, содержащихся под стражей в Сенегале.</w:t>
      </w:r>
    </w:p>
    <w:p w:rsidR="00CF0015" w:rsidRPr="00CF0015" w:rsidRDefault="00CF0015" w:rsidP="00CF0015">
      <w:pPr>
        <w:pStyle w:val="SingleTxtGR"/>
      </w:pPr>
      <w:r w:rsidRPr="00CF0015">
        <w:t>31.</w:t>
      </w:r>
      <w:r w:rsidRPr="00CF0015">
        <w:tab/>
      </w:r>
      <w:r w:rsidRPr="00CF0015">
        <w:rPr>
          <w:b/>
        </w:rPr>
        <w:t>Комитет рекомендует государству-участнику: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515CE2">
        <w:rPr>
          <w:b/>
          <w:bCs/>
        </w:rPr>
        <w:t>a)</w:t>
      </w:r>
      <w:r w:rsidRPr="00515CE2">
        <w:rPr>
          <w:b/>
          <w:bCs/>
        </w:rPr>
        <w:tab/>
      </w:r>
      <w:r w:rsidRPr="00515CE2">
        <w:rPr>
          <w:b/>
        </w:rPr>
        <w:t>облегчить сенегальским трудящимся-мигрантам, живущим за рубежом, доступ к помощи консульских и дипломатических учреждений государства-участника, в частности в случае задержания или высылки;</w:t>
      </w:r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b)</w:t>
      </w:r>
      <w:r w:rsidRPr="00515CE2">
        <w:rPr>
          <w:b/>
        </w:rPr>
        <w:tab/>
        <w:t>следить за тем, чтобы его консульская служба эффективно и</w:t>
      </w:r>
      <w:r w:rsidRPr="00515CE2">
        <w:rPr>
          <w:b/>
        </w:rPr>
        <w:t>с</w:t>
      </w:r>
      <w:r w:rsidRPr="00515CE2">
        <w:rPr>
          <w:b/>
        </w:rPr>
        <w:t>полняла свои обязанности по защите и поощрению прав сенегальских тр</w:t>
      </w:r>
      <w:r w:rsidRPr="00515CE2">
        <w:rPr>
          <w:b/>
        </w:rPr>
        <w:t>у</w:t>
      </w:r>
      <w:r w:rsidRPr="00515CE2">
        <w:rPr>
          <w:b/>
        </w:rPr>
        <w:t xml:space="preserve">дящихся-мигрантов и членов их семей, и в </w:t>
      </w:r>
      <w:proofErr w:type="gramStart"/>
      <w:r w:rsidRPr="00515CE2">
        <w:rPr>
          <w:b/>
        </w:rPr>
        <w:t>частности</w:t>
      </w:r>
      <w:proofErr w:type="gramEnd"/>
      <w:r w:rsidRPr="00515CE2">
        <w:rPr>
          <w:b/>
        </w:rPr>
        <w:t xml:space="preserve"> чтобы она оказывала необходимую помощь тем, кто лишен свободы или согласно принятому р</w:t>
      </w:r>
      <w:r w:rsidRPr="00515CE2">
        <w:rPr>
          <w:b/>
        </w:rPr>
        <w:t>е</w:t>
      </w:r>
      <w:r w:rsidRPr="00515CE2">
        <w:rPr>
          <w:b/>
        </w:rPr>
        <w:t xml:space="preserve">шению подлежит высылке из страны; </w:t>
      </w:r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c)</w:t>
      </w:r>
      <w:r w:rsidRPr="00CF0015">
        <w:rPr>
          <w:b/>
        </w:rPr>
        <w:tab/>
        <w:t>принять необходимые меры, чтобы консульские или диплом</w:t>
      </w:r>
      <w:r w:rsidRPr="00CF0015">
        <w:rPr>
          <w:b/>
        </w:rPr>
        <w:t>а</w:t>
      </w:r>
      <w:r w:rsidRPr="00CF0015">
        <w:rPr>
          <w:b/>
        </w:rPr>
        <w:t>тические учреждения стран происхождения или страны, представляющей их интересы, всегда получали уведомления, когда кого-то из их граждан помещают под стражу в государстве-участнике.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Социальное обеспечение</w:t>
      </w:r>
    </w:p>
    <w:p w:rsidR="00CF0015" w:rsidRPr="00CF0015" w:rsidRDefault="00CF0015" w:rsidP="00CF0015">
      <w:pPr>
        <w:pStyle w:val="SingleTxtGR"/>
      </w:pPr>
      <w:r w:rsidRPr="00CF0015">
        <w:t>32.</w:t>
      </w:r>
      <w:r w:rsidRPr="00CF0015">
        <w:tab/>
        <w:t>Комитет отмечает, что в Трудовом кодексе содержится запрет на любую дискриминацию в отношении как сенегальских, так и иностранных трудящи</w:t>
      </w:r>
      <w:r w:rsidRPr="00CF0015">
        <w:t>х</w:t>
      </w:r>
      <w:r w:rsidRPr="00CF0015">
        <w:t>ся, работающих по найму, в области вознаграждения, условий работы и соц</w:t>
      </w:r>
      <w:r w:rsidRPr="00CF0015">
        <w:t>и</w:t>
      </w:r>
      <w:r w:rsidRPr="00CF0015">
        <w:t>ального обеспечения, а также предусмотрено наказание за нее. В то же время он сожалеет, что положения, касающиеся права трудящихся-мигрантов и членов их семей на равное с гражданами страны обращение в области социального страхования, недостаточно проработаны в двухсторонних договорах, которые Сенегал заключил в частности с Францией, Испанией, Италией, Мали, Мавр</w:t>
      </w:r>
      <w:r w:rsidRPr="00CF0015">
        <w:t>и</w:t>
      </w:r>
      <w:r w:rsidRPr="00CF0015">
        <w:t xml:space="preserve">танией, Марокко и Габоном. </w:t>
      </w:r>
    </w:p>
    <w:p w:rsidR="00CF0015" w:rsidRPr="00CF0015" w:rsidRDefault="00CF0015" w:rsidP="00CF0015">
      <w:pPr>
        <w:pStyle w:val="SingleTxtGR"/>
      </w:pPr>
      <w:r w:rsidRPr="00CF0015">
        <w:t>33.</w:t>
      </w:r>
      <w:r w:rsidRPr="00CF0015">
        <w:tab/>
      </w:r>
      <w:r w:rsidRPr="00CF0015">
        <w:rPr>
          <w:b/>
        </w:rPr>
        <w:t>Комитет рекомендует государству-участнику: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515CE2">
        <w:rPr>
          <w:b/>
          <w:bCs/>
        </w:rPr>
        <w:t>a)</w:t>
      </w:r>
      <w:r w:rsidRPr="00515CE2">
        <w:rPr>
          <w:b/>
        </w:rPr>
        <w:tab/>
        <w:t>обеспечивать, чтобы для всех трудящих</w:t>
      </w:r>
      <w:r w:rsidR="00515CE2">
        <w:rPr>
          <w:b/>
        </w:rPr>
        <w:t>ся-мигрантов и членов их семей –</w:t>
      </w:r>
      <w:r w:rsidRPr="00515CE2">
        <w:rPr>
          <w:b/>
        </w:rPr>
        <w:t xml:space="preserve"> независи</w:t>
      </w:r>
      <w:r w:rsidR="00515CE2">
        <w:rPr>
          <w:b/>
        </w:rPr>
        <w:t>мо от их миграционного статуса –</w:t>
      </w:r>
      <w:r w:rsidRPr="00515CE2">
        <w:rPr>
          <w:b/>
        </w:rPr>
        <w:t xml:space="preserve"> и формально, и на практике был обеспечен одинаковый с сенегальскими трудящимися режим в вопросах вознаграждения и условий труда и доступ к социальному обе</w:t>
      </w:r>
      <w:r w:rsidRPr="00515CE2">
        <w:rPr>
          <w:b/>
        </w:rPr>
        <w:t>с</w:t>
      </w:r>
      <w:r w:rsidRPr="00515CE2">
        <w:rPr>
          <w:b/>
        </w:rPr>
        <w:t xml:space="preserve">печению, а </w:t>
      </w:r>
      <w:proofErr w:type="gramStart"/>
      <w:r w:rsidRPr="00515CE2">
        <w:rPr>
          <w:b/>
        </w:rPr>
        <w:t>также</w:t>
      </w:r>
      <w:proofErr w:type="gramEnd"/>
      <w:r w:rsidRPr="00515CE2">
        <w:rPr>
          <w:b/>
        </w:rPr>
        <w:t xml:space="preserve"> чтобы они были информированы о своих правах в этой области; </w:t>
      </w:r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b)</w:t>
      </w:r>
      <w:r w:rsidRPr="00CF0015">
        <w:rPr>
          <w:b/>
        </w:rPr>
        <w:tab/>
        <w:t xml:space="preserve">оговаривать включение положений, касающихся социального обеспечения, при подготовке всех новых двусторонних и многосторонних договоров о миграции рабочей силы, с тем </w:t>
      </w:r>
      <w:proofErr w:type="gramStart"/>
      <w:r w:rsidRPr="00CF0015">
        <w:rPr>
          <w:b/>
        </w:rPr>
        <w:t>чтобы</w:t>
      </w:r>
      <w:proofErr w:type="gramEnd"/>
      <w:r w:rsidRPr="00CF0015">
        <w:rPr>
          <w:b/>
        </w:rPr>
        <w:t xml:space="preserve"> в том числе облегчить перевод суммы взносов в фонды социального страхования, которые ранее эмигрировавшие и теперь возвращающиеся в страну сенегальцы накопили в принимающих странах.</w:t>
      </w:r>
    </w:p>
    <w:p w:rsidR="00CF0015" w:rsidRPr="00CF0015" w:rsidRDefault="00CF0015" w:rsidP="00CF0015">
      <w:pPr>
        <w:pStyle w:val="SingleTxtGR"/>
      </w:pPr>
      <w:r w:rsidRPr="00CF0015">
        <w:t>34.</w:t>
      </w:r>
      <w:r w:rsidRPr="00CF0015">
        <w:tab/>
        <w:t>Комитет положительно оценивает информацию государства-участника о том, что пенсии по инвалидности, по возрасту и в связи с потерей супруга м</w:t>
      </w:r>
      <w:r w:rsidRPr="00CF0015">
        <w:t>о</w:t>
      </w:r>
      <w:r w:rsidRPr="00CF0015">
        <w:t>гут выплачиваться за границу и что пенсионеры-иностранцы могут получать свою пенсию в странах происхождения при условии, что ими соблюдены треб</w:t>
      </w:r>
      <w:r w:rsidRPr="00CF0015">
        <w:t>о</w:t>
      </w:r>
      <w:r w:rsidRPr="00CF0015">
        <w:t xml:space="preserve">вания, предъявляемые при ее начислении. </w:t>
      </w:r>
      <w:proofErr w:type="gramStart"/>
      <w:r w:rsidRPr="00CF0015">
        <w:t>В то же время Комитет с обеспокое</w:t>
      </w:r>
      <w:r w:rsidRPr="00CF0015">
        <w:t>н</w:t>
      </w:r>
      <w:r w:rsidRPr="00CF0015">
        <w:t>ностью отмечает, что при отсутствии договора о социальном обеспечении ме</w:t>
      </w:r>
      <w:r w:rsidRPr="00CF0015">
        <w:t>ж</w:t>
      </w:r>
      <w:r w:rsidRPr="00CF0015">
        <w:t>ду государством-участником и страной происхождения трудящегося-мигранта, а также в случаях, когда в законодательстве таких стран сенегальцам не гара</w:t>
      </w:r>
      <w:r w:rsidRPr="00CF0015">
        <w:t>н</w:t>
      </w:r>
      <w:r w:rsidRPr="00CF0015">
        <w:t>тированы те же права, что и собственным гражданам, трудящиеся-мигранты, ставшие во время пребывания в Сенегале жертвами производственного травм</w:t>
      </w:r>
      <w:r w:rsidRPr="00CF0015">
        <w:t>а</w:t>
      </w:r>
      <w:r w:rsidRPr="00CF0015">
        <w:t>тизма и затем покинувшие страну,  согласно</w:t>
      </w:r>
      <w:r w:rsidR="00515CE2">
        <w:t xml:space="preserve"> статье 94 закона № 73-37 от</w:t>
      </w:r>
      <w:proofErr w:type="gramEnd"/>
      <w:r w:rsidR="00515CE2">
        <w:t xml:space="preserve"> 31 </w:t>
      </w:r>
      <w:r w:rsidRPr="00CF0015">
        <w:t xml:space="preserve">июля 1973 года имеют право лишь на разовое пособие, а членам их семей, если они в момент несчастного случая находились за пределами сенегальской территории, в таких случаях не положено вообще никакой компенсации. </w:t>
      </w:r>
    </w:p>
    <w:p w:rsidR="00CF0015" w:rsidRPr="00CF0015" w:rsidRDefault="00CF0015" w:rsidP="00CF0015">
      <w:pPr>
        <w:pStyle w:val="SingleTxtGR"/>
      </w:pPr>
      <w:r w:rsidRPr="00CF0015">
        <w:t>35.</w:t>
      </w:r>
      <w:r w:rsidRPr="00CF0015">
        <w:tab/>
      </w:r>
      <w:proofErr w:type="gramStart"/>
      <w:r w:rsidRPr="00CF0015">
        <w:rPr>
          <w:b/>
        </w:rPr>
        <w:t>Комитет рекомендует государству-участнику внести в свое законод</w:t>
      </w:r>
      <w:r w:rsidRPr="00CF0015">
        <w:rPr>
          <w:b/>
        </w:rPr>
        <w:t>а</w:t>
      </w:r>
      <w:r w:rsidRPr="00CF0015">
        <w:rPr>
          <w:b/>
        </w:rPr>
        <w:t>тельство необходимые поправки, чтобы гарантировать всем трудящимся-мигрантам и членам их семей равные с гражданами страны права доступа к социальным услугам и пособиям, в том числе для получения пенсии по инвалидности, при условия соблюдения всех требований, предъявляемых в отношении участия в соответствующих программах, согласно статье 43 Конвенци</w:t>
      </w:r>
      <w:r w:rsidRPr="007172DF">
        <w:rPr>
          <w:b/>
        </w:rPr>
        <w:t>и.</w:t>
      </w:r>
      <w:proofErr w:type="gramEnd"/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Неотложная медицинская помощь</w:t>
      </w:r>
    </w:p>
    <w:p w:rsidR="00CF0015" w:rsidRPr="00CF0015" w:rsidRDefault="00CF0015" w:rsidP="00CF0015">
      <w:pPr>
        <w:pStyle w:val="SingleTxtGR"/>
      </w:pPr>
      <w:r w:rsidRPr="00CF0015">
        <w:t>36.</w:t>
      </w:r>
      <w:r w:rsidRPr="00CF0015">
        <w:tab/>
        <w:t>Комитет принимает к сведению представленную государством-участником информацию, согласно которой условия доступа к медицинским ус</w:t>
      </w:r>
      <w:r w:rsidR="00515CE2">
        <w:t>лугам для трудящихся-мигрантов –</w:t>
      </w:r>
      <w:r w:rsidRPr="00CF0015">
        <w:t xml:space="preserve"> как имеющих постоянны</w:t>
      </w:r>
      <w:r w:rsidR="00515CE2">
        <w:t>й статус, так и не имеющих его –</w:t>
      </w:r>
      <w:r w:rsidRPr="00CF0015">
        <w:t xml:space="preserve"> установлены те же, что и для</w:t>
      </w:r>
      <w:r w:rsidR="00515CE2">
        <w:t xml:space="preserve"> трудящихся – граждан страны. </w:t>
      </w:r>
      <w:proofErr w:type="gramStart"/>
      <w:r w:rsidR="00515CE2">
        <w:t>В </w:t>
      </w:r>
      <w:r w:rsidRPr="00CF0015">
        <w:t>то же время Комитет сожалеет об отсутствии внятной информации о том, пользуются ли трудящ</w:t>
      </w:r>
      <w:r w:rsidR="00515CE2">
        <w:t>иеся-мигранты и члены их семей –</w:t>
      </w:r>
      <w:r w:rsidRPr="00CF0015">
        <w:t xml:space="preserve"> как имеющие пост</w:t>
      </w:r>
      <w:r w:rsidRPr="00CF0015">
        <w:t>о</w:t>
      </w:r>
      <w:r w:rsidRPr="00CF0015">
        <w:t>янны</w:t>
      </w:r>
      <w:r w:rsidR="00515CE2">
        <w:t>й статус, так и не имеющие его –</w:t>
      </w:r>
      <w:r w:rsidRPr="00CF0015">
        <w:t xml:space="preserve"> формально и на практике доступом к услугам неотложной медицинской помощи, крайне необходимым для сохран</w:t>
      </w:r>
      <w:r w:rsidRPr="00CF0015">
        <w:t>е</w:t>
      </w:r>
      <w:r w:rsidRPr="00CF0015">
        <w:t>ния их жизни или избежания непоправимого ущерба их здоровью, на тех же о</w:t>
      </w:r>
      <w:r w:rsidRPr="00CF0015">
        <w:t>с</w:t>
      </w:r>
      <w:r w:rsidRPr="00CF0015">
        <w:t>нованиях, что и граждане государства-участника.</w:t>
      </w:r>
      <w:proofErr w:type="gramEnd"/>
      <w:r w:rsidRPr="00CF0015">
        <w:t xml:space="preserve"> Комитет также сожалеет об отсутствии каких-либо сведений о материнских и семейных пособиях, досту</w:t>
      </w:r>
      <w:r w:rsidRPr="00CF0015">
        <w:t>п</w:t>
      </w:r>
      <w:r w:rsidRPr="00CF0015">
        <w:t xml:space="preserve">ных проживающим в государстве-участнике трудящимся-мигрантам. </w:t>
      </w:r>
    </w:p>
    <w:p w:rsidR="00CF0015" w:rsidRPr="00CF0015" w:rsidRDefault="00CF0015" w:rsidP="00CF0015">
      <w:pPr>
        <w:pStyle w:val="SingleTxtGR"/>
      </w:pPr>
      <w:r w:rsidRPr="00CF0015">
        <w:t>37.</w:t>
      </w:r>
      <w:r w:rsidRPr="00CF0015">
        <w:tab/>
      </w:r>
      <w:r w:rsidRPr="00CF0015">
        <w:rPr>
          <w:b/>
        </w:rPr>
        <w:t>Комитет рекомендует государству-участнику представить в своем следующем периодическом докладе информацию по следующим вопросам: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proofErr w:type="gramStart"/>
      <w:r w:rsidRPr="00515CE2">
        <w:rPr>
          <w:b/>
          <w:bCs/>
        </w:rPr>
        <w:t>a)</w:t>
      </w:r>
      <w:r w:rsidRPr="00515CE2">
        <w:rPr>
          <w:b/>
        </w:rPr>
        <w:tab/>
        <w:t>пользуются ли все трудящ</w:t>
      </w:r>
      <w:r w:rsidR="00515CE2" w:rsidRPr="00515CE2">
        <w:rPr>
          <w:b/>
        </w:rPr>
        <w:t>иеся-мигранты и члены их семей –</w:t>
      </w:r>
      <w:r w:rsidRPr="00515CE2">
        <w:rPr>
          <w:b/>
        </w:rPr>
        <w:t xml:space="preserve"> как имеющие постоянный статус, так и не имеющие его </w:t>
      </w:r>
      <w:r w:rsidR="00515CE2">
        <w:rPr>
          <w:b/>
        </w:rPr>
        <w:t>–</w:t>
      </w:r>
      <w:r w:rsidRPr="00515CE2">
        <w:rPr>
          <w:b/>
        </w:rPr>
        <w:t xml:space="preserve"> формально и на практике доступом к услугам неотложной медицинской помощи, крайне необходимой для сохранения их жизни или избежания непоправимого ущерба их здоровью, на тех же основаниях, что и граждане государства-участника, в соответствии со статьей 28 Конвенции;</w:t>
      </w:r>
      <w:proofErr w:type="gramEnd"/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b)</w:t>
      </w:r>
      <w:r w:rsidRPr="00CF0015">
        <w:rPr>
          <w:b/>
        </w:rPr>
        <w:tab/>
        <w:t>доступны ли трудящимся-мигрантам, проживающим на терр</w:t>
      </w:r>
      <w:r w:rsidRPr="00CF0015">
        <w:rPr>
          <w:b/>
        </w:rPr>
        <w:t>и</w:t>
      </w:r>
      <w:r w:rsidRPr="00CF0015">
        <w:rPr>
          <w:b/>
        </w:rPr>
        <w:t>тории государства-участника, материнские и семейные пособия.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Образование</w:t>
      </w:r>
    </w:p>
    <w:p w:rsidR="00CF0015" w:rsidRPr="00CF0015" w:rsidRDefault="00CF0015" w:rsidP="00CF0015">
      <w:pPr>
        <w:pStyle w:val="SingleTxtGR"/>
      </w:pPr>
      <w:r w:rsidRPr="00CF0015">
        <w:t>38.</w:t>
      </w:r>
      <w:r w:rsidRPr="00CF0015">
        <w:tab/>
        <w:t>Комитет отмечает, что закон № 91-22 от 16 февраля 1991 года о напра</w:t>
      </w:r>
      <w:r w:rsidRPr="00CF0015">
        <w:t>в</w:t>
      </w:r>
      <w:r w:rsidRPr="00CF0015">
        <w:t>лениях развития национального образования с добавлениями и изменениями согласно закону № 2004-37 от 15 декабря 2004 года предоставляет доступ к с</w:t>
      </w:r>
      <w:r w:rsidRPr="00CF0015">
        <w:t>и</w:t>
      </w:r>
      <w:r w:rsidRPr="00CF0015">
        <w:t>стеме образования всем детям, проживающим на территории Сенегала, в том числе детям трудящихся-мигрантов. Комитет также отмечает, что на школы ни в какой форме не возлагается обязанность уведомлять органы власти о миграц</w:t>
      </w:r>
      <w:r w:rsidRPr="00CF0015">
        <w:t>и</w:t>
      </w:r>
      <w:r w:rsidRPr="00CF0015">
        <w:t>онном статусе их учеников. Однако Комитет обеспокоен отсутствием информ</w:t>
      </w:r>
      <w:r w:rsidRPr="00CF0015">
        <w:t>а</w:t>
      </w:r>
      <w:r w:rsidRPr="00CF0015">
        <w:t>ции о конкретных программах, обеспечивающих трудящимся-мигрантам и чл</w:t>
      </w:r>
      <w:r w:rsidRPr="00CF0015">
        <w:t>е</w:t>
      </w:r>
      <w:r w:rsidRPr="00CF0015">
        <w:t>нам их семей фактический доступ к образованию в государстве-участнике.</w:t>
      </w:r>
    </w:p>
    <w:p w:rsidR="00CF0015" w:rsidRPr="00CF0015" w:rsidRDefault="00CF0015" w:rsidP="00CF0015">
      <w:pPr>
        <w:pStyle w:val="SingleTxtGR"/>
      </w:pPr>
      <w:r w:rsidRPr="00CF0015">
        <w:t>39.</w:t>
      </w:r>
      <w:r w:rsidRPr="00CF0015">
        <w:tab/>
      </w:r>
      <w:r w:rsidRPr="00CF0015">
        <w:rPr>
          <w:b/>
        </w:rPr>
        <w:t xml:space="preserve">Комитет рекомендует государству-участнику принять конкретные и эффективные меры, с </w:t>
      </w:r>
      <w:proofErr w:type="gramStart"/>
      <w:r w:rsidRPr="00CF0015">
        <w:rPr>
          <w:b/>
        </w:rPr>
        <w:t>тем</w:t>
      </w:r>
      <w:proofErr w:type="gramEnd"/>
      <w:r w:rsidRPr="00CF0015">
        <w:rPr>
          <w:b/>
        </w:rPr>
        <w:t xml:space="preserve"> чтобы гарантировать трудящимся-мигрантам</w:t>
      </w:r>
      <w:r w:rsidR="00F36202" w:rsidRPr="00F36202">
        <w:rPr>
          <w:b/>
        </w:rPr>
        <w:t>,</w:t>
      </w:r>
      <w:r w:rsidRPr="00CF0015">
        <w:rPr>
          <w:b/>
        </w:rPr>
        <w:t xml:space="preserve"> и в частности их детям</w:t>
      </w:r>
      <w:r w:rsidR="00F36202" w:rsidRPr="00F36202">
        <w:rPr>
          <w:b/>
        </w:rPr>
        <w:t>,</w:t>
      </w:r>
      <w:r w:rsidRPr="00CF0015">
        <w:rPr>
          <w:b/>
        </w:rPr>
        <w:t xml:space="preserve"> доступ к системе образования, в том числе путем устранения языковых барьеров, в соответствии со статьей 30 Конвенции.</w:t>
      </w:r>
    </w:p>
    <w:p w:rsidR="00CF0015" w:rsidRPr="00CF0015" w:rsidRDefault="00CF0015" w:rsidP="00515CE2">
      <w:pPr>
        <w:pStyle w:val="H23GR"/>
      </w:pPr>
      <w:r w:rsidRPr="00CF0015">
        <w:tab/>
        <w:t>4.</w:t>
      </w:r>
      <w:r w:rsidRPr="00CF0015">
        <w:tab/>
        <w:t>Другие права трудящихся-мигрантов и членов их семей, имеющих документы и</w:t>
      </w:r>
      <w:r w:rsidR="00515CE2">
        <w:t>ли постоянный статус (статьи 36–</w:t>
      </w:r>
      <w:r w:rsidRPr="00CF0015">
        <w:t>56)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Программы подготовки к отъезду за границу, право на получение информации</w:t>
      </w:r>
    </w:p>
    <w:p w:rsidR="00CF0015" w:rsidRPr="00CF0015" w:rsidRDefault="00CF0015" w:rsidP="00CF0015">
      <w:pPr>
        <w:pStyle w:val="SingleTxtGR"/>
      </w:pPr>
      <w:r w:rsidRPr="00CF0015">
        <w:t>40.</w:t>
      </w:r>
      <w:r w:rsidRPr="00CF0015">
        <w:tab/>
        <w:t>Комитет отмечает создание информационного сайта Министерства ин</w:t>
      </w:r>
      <w:r w:rsidRPr="00CF0015">
        <w:t>о</w:t>
      </w:r>
      <w:r w:rsidRPr="00CF0015">
        <w:t>странных дел и по делам сенегальцев, проживающих за границей, предназн</w:t>
      </w:r>
      <w:r w:rsidRPr="00CF0015">
        <w:t>а</w:t>
      </w:r>
      <w:r w:rsidRPr="00CF0015">
        <w:t>ченного для ознакомления трудящихся-мигрантов с правами, предусмотренн</w:t>
      </w:r>
      <w:r w:rsidRPr="00CF0015">
        <w:t>ы</w:t>
      </w:r>
      <w:r w:rsidRPr="00CF0015">
        <w:t>ми для них в Конвенции, и с условиями их допуска, пребывания и проживания в Сенегале. Он также отмечает создание в рамках указанного министерства Верховного совета по делам сенегальцев, проживающих за границей, и Бюро по приему, консультированию и текущей поддержке эмигрантов. В то же время Комитет обеспокоен тем, что эти меры дают лишь ограниченный результат и что отсутствует информация о мерах, принимаемых государством-участником для ознакомления собирающихся выехать за границу сенегальцев с условиями их допуска и проживания в принимающих странах и с опасностями, возника</w:t>
      </w:r>
      <w:r w:rsidRPr="00CF0015">
        <w:t>ю</w:t>
      </w:r>
      <w:r w:rsidRPr="00CF0015">
        <w:t>щими при миграции без постоянного статуса.</w:t>
      </w:r>
    </w:p>
    <w:p w:rsidR="00CF0015" w:rsidRPr="00CF0015" w:rsidRDefault="00CF0015" w:rsidP="00CF0015">
      <w:pPr>
        <w:pStyle w:val="SingleTxtGR"/>
      </w:pPr>
      <w:r w:rsidRPr="00CF0015">
        <w:t>41.</w:t>
      </w:r>
      <w:r w:rsidRPr="00CF0015">
        <w:tab/>
      </w:r>
      <w:r w:rsidRPr="00CF0015">
        <w:rPr>
          <w:b/>
        </w:rPr>
        <w:t>Комитет рекомендует государству-участнику активизировать усилия по распространению на его территории информации о закрепленных в Конвенции правах трудящихся-мигрантов и об условиях их допуска и во</w:t>
      </w:r>
      <w:r w:rsidRPr="00CF0015">
        <w:rPr>
          <w:b/>
        </w:rPr>
        <w:t>з</w:t>
      </w:r>
      <w:r w:rsidRPr="00CF0015">
        <w:rPr>
          <w:b/>
        </w:rPr>
        <w:t xml:space="preserve">можного трудоустройства. Он также рекомендует государству-участнику </w:t>
      </w:r>
      <w:proofErr w:type="gramStart"/>
      <w:r w:rsidRPr="00CF0015">
        <w:rPr>
          <w:b/>
        </w:rPr>
        <w:t>знакомить собирающихся выехать</w:t>
      </w:r>
      <w:proofErr w:type="gramEnd"/>
      <w:r w:rsidRPr="00CF0015">
        <w:rPr>
          <w:b/>
        </w:rPr>
        <w:t xml:space="preserve"> за рубеж сенегальцев и членов их семей с правами, которые для них предусмотрены в Конвенции, а также с их правами и обязанностями в государстве-участнике и с опасностями, возн</w:t>
      </w:r>
      <w:r w:rsidRPr="00CF0015">
        <w:rPr>
          <w:b/>
        </w:rPr>
        <w:t>и</w:t>
      </w:r>
      <w:r w:rsidRPr="00CF0015">
        <w:rPr>
          <w:b/>
        </w:rPr>
        <w:t>кающими при миграции без постоянного статуса.</w:t>
      </w:r>
      <w:r w:rsidRPr="00CF0015">
        <w:t xml:space="preserve"> </w:t>
      </w:r>
      <w:r w:rsidRPr="00CF0015">
        <w:rPr>
          <w:b/>
        </w:rPr>
        <w:t>В этой связи Комитет р</w:t>
      </w:r>
      <w:r w:rsidRPr="00CF0015">
        <w:rPr>
          <w:b/>
        </w:rPr>
        <w:t>е</w:t>
      </w:r>
      <w:r w:rsidRPr="00CF0015">
        <w:rPr>
          <w:b/>
        </w:rPr>
        <w:t xml:space="preserve">комендует государству-участнику осуществлять специальные программы для подготовки к отъезду за границу и </w:t>
      </w:r>
      <w:r w:rsidR="00515CE2">
        <w:rPr>
          <w:b/>
        </w:rPr>
        <w:t>получения необходимых знаний, в </w:t>
      </w:r>
      <w:r w:rsidRPr="00CF0015">
        <w:rPr>
          <w:b/>
        </w:rPr>
        <w:t>том числе путем консультаций с соответствующими неправительстве</w:t>
      </w:r>
      <w:r w:rsidRPr="00CF0015">
        <w:rPr>
          <w:b/>
        </w:rPr>
        <w:t>н</w:t>
      </w:r>
      <w:r w:rsidRPr="00CF0015">
        <w:rPr>
          <w:b/>
        </w:rPr>
        <w:t>ными организациями, трудящимися-мигрантами и членами их семей и признанными и надежными агентствами по трудоустройству</w:t>
      </w:r>
      <w:r w:rsidRPr="00CF0015">
        <w:t>.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 xml:space="preserve">Право создавать профессиональные союзы </w:t>
      </w:r>
    </w:p>
    <w:p w:rsidR="00CF0015" w:rsidRPr="00CF0015" w:rsidRDefault="00CF0015" w:rsidP="00CF0015">
      <w:pPr>
        <w:pStyle w:val="SingleTxtGR"/>
      </w:pPr>
      <w:r w:rsidRPr="00CF0015">
        <w:t>42.</w:t>
      </w:r>
      <w:r w:rsidRPr="00CF0015">
        <w:tab/>
        <w:t>Комитет с сожалением вновь отмечает (CMW/C/SEN/CO/1, пункт 16), что в соответствии со статьей L.9 Трудового кодек</w:t>
      </w:r>
      <w:r w:rsidR="00515CE2">
        <w:t>са Сенегала (закон № 97-17 от 1 </w:t>
      </w:r>
      <w:r w:rsidRPr="00CF0015">
        <w:t>декабря 1997 года) право трудящихся-мигрантов занимать должности в рук</w:t>
      </w:r>
      <w:r w:rsidRPr="00CF0015">
        <w:t>о</w:t>
      </w:r>
      <w:r w:rsidRPr="00CF0015">
        <w:t>водящих органах ассоциаций и профессиональных союзов обусловлено нал</w:t>
      </w:r>
      <w:r w:rsidRPr="00CF0015">
        <w:t>и</w:t>
      </w:r>
      <w:r w:rsidRPr="00CF0015">
        <w:t xml:space="preserve">чием соглашения о взаимности, заключенного с их странами происхождения, и не </w:t>
      </w:r>
      <w:proofErr w:type="gramStart"/>
      <w:r w:rsidRPr="00CF0015">
        <w:t>является</w:t>
      </w:r>
      <w:proofErr w:type="gramEnd"/>
      <w:r w:rsidRPr="00CF0015">
        <w:t xml:space="preserve"> поэтому гарантированным всем мигрантам на равной основе.</w:t>
      </w:r>
    </w:p>
    <w:p w:rsidR="00CF0015" w:rsidRPr="00CF0015" w:rsidRDefault="00CF0015" w:rsidP="00CF0015">
      <w:pPr>
        <w:pStyle w:val="SingleTxtGR"/>
      </w:pPr>
      <w:r w:rsidRPr="00CF0015">
        <w:t>43.</w:t>
      </w:r>
      <w:r w:rsidRPr="00CF0015">
        <w:tab/>
      </w:r>
      <w:proofErr w:type="gramStart"/>
      <w:r w:rsidRPr="00CF0015">
        <w:rPr>
          <w:b/>
        </w:rPr>
        <w:t>Комитет вновь рекомендует государству-участнику (CMW/C/SEN/</w:t>
      </w:r>
      <w:r w:rsidR="00515CE2">
        <w:rPr>
          <w:b/>
        </w:rPr>
        <w:br/>
      </w:r>
      <w:r w:rsidRPr="00CF0015">
        <w:rPr>
          <w:b/>
        </w:rPr>
        <w:t>CO/1, пункт 16) принять все необходимые меры, для того чтобы гарант</w:t>
      </w:r>
      <w:r w:rsidRPr="00CF0015">
        <w:rPr>
          <w:b/>
        </w:rPr>
        <w:t>и</w:t>
      </w:r>
      <w:r w:rsidRPr="00CF0015">
        <w:rPr>
          <w:b/>
        </w:rPr>
        <w:t>ровать право на занятие должностей в руководящих органах ассоциаций или профессиональных союзов, членами которых они являются, для всех трудящихся-мигрантов и членов их семей, которые обладают в Сенегале постоянным статусом, без какого-либо условия взаимности в отношении страны происхождения</w:t>
      </w:r>
      <w:r w:rsidRPr="00CF0015">
        <w:t>.</w:t>
      </w:r>
      <w:proofErr w:type="gramEnd"/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Право избирать и быть избранным на выборах в стране происхождения</w:t>
      </w:r>
    </w:p>
    <w:p w:rsidR="00CF0015" w:rsidRPr="00CF0015" w:rsidRDefault="00CF0015" w:rsidP="00CF0015">
      <w:pPr>
        <w:pStyle w:val="SingleTxtGR"/>
      </w:pPr>
      <w:r w:rsidRPr="00CF0015">
        <w:t>44.</w:t>
      </w:r>
      <w:r w:rsidRPr="00CF0015">
        <w:tab/>
        <w:t>Комитет отмечает проведение 20 марта 2016 года референдума, по р</w:t>
      </w:r>
      <w:r w:rsidRPr="00CF0015">
        <w:t>е</w:t>
      </w:r>
      <w:r w:rsidRPr="00CF0015">
        <w:t>зультатам которого была принята конституционная реформа, предусматрива</w:t>
      </w:r>
      <w:r w:rsidRPr="00CF0015">
        <w:t>ю</w:t>
      </w:r>
      <w:r w:rsidRPr="00CF0015">
        <w:t>щая среди прочего представительство в Национальной ассамблее сообщества сенегальцев-мигрантов, проживающих за рубежом. В то же время Комитет обеспокоен отсутствием внятной информации о том, пользуются ли сенегал</w:t>
      </w:r>
      <w:r w:rsidRPr="00CF0015">
        <w:t>ь</w:t>
      </w:r>
      <w:r w:rsidRPr="00CF0015">
        <w:t xml:space="preserve">цы-мигранты на практике правом участвовать в государственных делах в своей стране происхождения, а также избирать и быть избранными в </w:t>
      </w:r>
      <w:proofErr w:type="gramStart"/>
      <w:r w:rsidRPr="00CF0015">
        <w:t>рамках</w:t>
      </w:r>
      <w:proofErr w:type="gramEnd"/>
      <w:r w:rsidRPr="00CF0015">
        <w:t xml:space="preserve"> пров</w:t>
      </w:r>
      <w:r w:rsidRPr="00CF0015">
        <w:t>о</w:t>
      </w:r>
      <w:r w:rsidRPr="00CF0015">
        <w:t>димых в этой стране выборов.</w:t>
      </w:r>
    </w:p>
    <w:p w:rsidR="00CF0015" w:rsidRPr="00CF0015" w:rsidRDefault="00CF0015" w:rsidP="00CF0015">
      <w:pPr>
        <w:pStyle w:val="SingleTxtGR"/>
      </w:pPr>
      <w:r w:rsidRPr="00CF0015">
        <w:t>45.</w:t>
      </w:r>
      <w:r w:rsidRPr="00CF0015">
        <w:tab/>
      </w:r>
      <w:r w:rsidRPr="00CF0015">
        <w:rPr>
          <w:b/>
        </w:rPr>
        <w:t>Комитет предлагает государству-участнику представить в своем сл</w:t>
      </w:r>
      <w:r w:rsidRPr="00CF0015">
        <w:rPr>
          <w:b/>
        </w:rPr>
        <w:t>е</w:t>
      </w:r>
      <w:r w:rsidRPr="00CF0015">
        <w:rPr>
          <w:b/>
        </w:rPr>
        <w:t>дующем периодическом докладе информацию о том, могут ли прожива</w:t>
      </w:r>
      <w:r w:rsidRPr="00CF0015">
        <w:rPr>
          <w:b/>
        </w:rPr>
        <w:t>ю</w:t>
      </w:r>
      <w:r w:rsidRPr="00CF0015">
        <w:rPr>
          <w:b/>
        </w:rPr>
        <w:t>щие за рубежом сенегальцы принимать участие в государственных делах в государстве-участнике, а также сведения об участии сенегальцев, прож</w:t>
      </w:r>
      <w:r w:rsidRPr="00CF0015">
        <w:rPr>
          <w:b/>
        </w:rPr>
        <w:t>и</w:t>
      </w:r>
      <w:r w:rsidRPr="00CF0015">
        <w:rPr>
          <w:b/>
        </w:rPr>
        <w:t>вающих за рубежом, в президентских и парламентских выборах. Комитет призывает государство-участник принять все необходимые меры, для того чтобы обеспечить сенегальцам-мигрантам возможность пользоваться на практике своим правом голоса, в частности путем организации предназн</w:t>
      </w:r>
      <w:r w:rsidRPr="00CF0015">
        <w:rPr>
          <w:b/>
        </w:rPr>
        <w:t>а</w:t>
      </w:r>
      <w:r w:rsidRPr="00CF0015">
        <w:rPr>
          <w:b/>
        </w:rPr>
        <w:t>ченных для них информационных кампаний.</w:t>
      </w:r>
      <w:r w:rsidRPr="00CF0015">
        <w:t xml:space="preserve"> 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Воссоединение семей</w:t>
      </w:r>
    </w:p>
    <w:p w:rsidR="00CF0015" w:rsidRPr="00CF0015" w:rsidRDefault="00CF0015" w:rsidP="00CF0015">
      <w:pPr>
        <w:pStyle w:val="SingleTxtGR"/>
      </w:pPr>
      <w:r w:rsidRPr="00CF0015">
        <w:t>46.</w:t>
      </w:r>
      <w:r w:rsidRPr="00CF0015">
        <w:tab/>
        <w:t>Комитет озабочен отсутствием информации о соблюдении права труд</w:t>
      </w:r>
      <w:r w:rsidRPr="00CF0015">
        <w:t>я</w:t>
      </w:r>
      <w:r w:rsidRPr="00CF0015">
        <w:t>щихся-мигрантов на воссоединение семьи.</w:t>
      </w:r>
    </w:p>
    <w:p w:rsidR="00CF0015" w:rsidRPr="00CF0015" w:rsidRDefault="00CF0015" w:rsidP="00CF0015">
      <w:pPr>
        <w:pStyle w:val="SingleTxtGR"/>
      </w:pPr>
      <w:r w:rsidRPr="00CF0015">
        <w:t>47.</w:t>
      </w:r>
      <w:r w:rsidRPr="00CF0015">
        <w:tab/>
      </w:r>
      <w:r w:rsidRPr="00CF0015">
        <w:rPr>
          <w:b/>
        </w:rPr>
        <w:t>Комитет предлагает государству-участнику представить в своем че</w:t>
      </w:r>
      <w:r w:rsidRPr="00CF0015">
        <w:rPr>
          <w:b/>
        </w:rPr>
        <w:t>т</w:t>
      </w:r>
      <w:r w:rsidRPr="00CF0015">
        <w:rPr>
          <w:b/>
        </w:rPr>
        <w:t>вертом периодическом докладе информацию о мерах, принятых им с ц</w:t>
      </w:r>
      <w:r w:rsidRPr="00CF0015">
        <w:rPr>
          <w:b/>
        </w:rPr>
        <w:t>е</w:t>
      </w:r>
      <w:r w:rsidRPr="00CF0015">
        <w:rPr>
          <w:b/>
        </w:rPr>
        <w:t>лью облегчить в соответствии со статьей 44 Конвенции воссоединение тр</w:t>
      </w:r>
      <w:r w:rsidRPr="00CF0015">
        <w:rPr>
          <w:b/>
        </w:rPr>
        <w:t>у</w:t>
      </w:r>
      <w:r w:rsidRPr="00CF0015">
        <w:rPr>
          <w:b/>
        </w:rPr>
        <w:t>дящихся-мигрантов с супругами или лицами, состоящими с ними в таких отношениях, которые на основании применимого права могут быть пр</w:t>
      </w:r>
      <w:r w:rsidRPr="00CF0015">
        <w:rPr>
          <w:b/>
        </w:rPr>
        <w:t>и</w:t>
      </w:r>
      <w:r w:rsidRPr="00CF0015">
        <w:rPr>
          <w:b/>
        </w:rPr>
        <w:t xml:space="preserve">равнены к браку, а также с находящимися на их </w:t>
      </w:r>
      <w:proofErr w:type="gramStart"/>
      <w:r w:rsidRPr="00CF0015">
        <w:rPr>
          <w:b/>
        </w:rPr>
        <w:t>иждивении</w:t>
      </w:r>
      <w:proofErr w:type="gramEnd"/>
      <w:r w:rsidRPr="00CF0015">
        <w:rPr>
          <w:b/>
        </w:rPr>
        <w:t xml:space="preserve"> не состоящими в браке и несовершеннолетними детьми. 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Банковские переводы заработанных средств и сбережений</w:t>
      </w:r>
    </w:p>
    <w:p w:rsidR="00CF0015" w:rsidRPr="00CF0015" w:rsidRDefault="00CF0015" w:rsidP="00CF0015">
      <w:pPr>
        <w:pStyle w:val="SingleTxtGR"/>
      </w:pPr>
      <w:r w:rsidRPr="00CF0015">
        <w:t>48.</w:t>
      </w:r>
      <w:r w:rsidRPr="00CF0015">
        <w:tab/>
        <w:t>Комитет с удовлетворением отмечает объем денежных средств, перев</w:t>
      </w:r>
      <w:r w:rsidRPr="00CF0015">
        <w:t>о</w:t>
      </w:r>
      <w:r w:rsidRPr="00CF0015">
        <w:t xml:space="preserve">димых </w:t>
      </w:r>
      <w:proofErr w:type="gramStart"/>
      <w:r w:rsidRPr="00CF0015">
        <w:t>в</w:t>
      </w:r>
      <w:proofErr w:type="gramEnd"/>
      <w:r w:rsidRPr="00CF0015">
        <w:t xml:space="preserve"> </w:t>
      </w:r>
      <w:proofErr w:type="gramStart"/>
      <w:r w:rsidRPr="00CF0015">
        <w:t>государство-участник</w:t>
      </w:r>
      <w:proofErr w:type="gramEnd"/>
      <w:r w:rsidRPr="00CF0015">
        <w:t xml:space="preserve"> проживающими за границей трудящимися-мигрантами, значимость содействия, которое такие переводы оказывают разв</w:t>
      </w:r>
      <w:r w:rsidRPr="00CF0015">
        <w:t>и</w:t>
      </w:r>
      <w:r w:rsidRPr="00CF0015">
        <w:t>тию государства-участника, и внедрение новых механизмов и каналов, позв</w:t>
      </w:r>
      <w:r w:rsidRPr="00CF0015">
        <w:t>о</w:t>
      </w:r>
      <w:r w:rsidRPr="00CF0015">
        <w:t>ляющих облегчить оформление этих переводов и сократить связанные с ними расходы. В то же время он сожалеет об отсутствии точных сведений о партне</w:t>
      </w:r>
      <w:r w:rsidRPr="00CF0015">
        <w:t>р</w:t>
      </w:r>
      <w:r w:rsidRPr="00CF0015">
        <w:t>ских соглашениях с финансовыми учреждениями, направленных на облегчение оформления переводов заработанных денег и сбережений сенегальских труд</w:t>
      </w:r>
      <w:r w:rsidRPr="00CF0015">
        <w:t>я</w:t>
      </w:r>
      <w:r w:rsidRPr="00CF0015">
        <w:t>щихся-мигрантов, проживающих за рубежом, и трудящихся-мигрантов, прож</w:t>
      </w:r>
      <w:r w:rsidRPr="00CF0015">
        <w:t>и</w:t>
      </w:r>
      <w:r w:rsidRPr="00CF0015">
        <w:t xml:space="preserve">вающих в государстве-участнике. </w:t>
      </w:r>
    </w:p>
    <w:p w:rsidR="00CF0015" w:rsidRPr="00CF0015" w:rsidRDefault="00CF0015" w:rsidP="00CF0015">
      <w:pPr>
        <w:pStyle w:val="SingleTxtGR"/>
      </w:pPr>
      <w:r w:rsidRPr="00CF0015">
        <w:t>49.</w:t>
      </w:r>
      <w:r w:rsidRPr="00CF0015">
        <w:tab/>
      </w:r>
      <w:r w:rsidRPr="00CF0015">
        <w:rPr>
          <w:b/>
        </w:rPr>
        <w:t>Комитет призывает государство-участник:</w:t>
      </w:r>
      <w:r w:rsidRPr="00CF0015">
        <w:t xml:space="preserve"> 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515CE2">
        <w:rPr>
          <w:b/>
          <w:bCs/>
        </w:rPr>
        <w:t>a)</w:t>
      </w:r>
      <w:r w:rsidRPr="00515CE2">
        <w:rPr>
          <w:b/>
        </w:rPr>
        <w:tab/>
        <w:t>сообщить информацию об имеющихся партнерских соглашен</w:t>
      </w:r>
      <w:r w:rsidRPr="00515CE2">
        <w:rPr>
          <w:b/>
        </w:rPr>
        <w:t>и</w:t>
      </w:r>
      <w:r w:rsidRPr="00515CE2">
        <w:rPr>
          <w:b/>
        </w:rPr>
        <w:t>ях с финансовыми учреждениями, направленных на облегчение оформл</w:t>
      </w:r>
      <w:r w:rsidRPr="00515CE2">
        <w:rPr>
          <w:b/>
        </w:rPr>
        <w:t>е</w:t>
      </w:r>
      <w:r w:rsidRPr="00515CE2">
        <w:rPr>
          <w:b/>
        </w:rPr>
        <w:t xml:space="preserve">ния перевода денег </w:t>
      </w:r>
      <w:proofErr w:type="gramStart"/>
      <w:r w:rsidRPr="00515CE2">
        <w:rPr>
          <w:b/>
        </w:rPr>
        <w:t>в</w:t>
      </w:r>
      <w:proofErr w:type="gramEnd"/>
      <w:r w:rsidRPr="00515CE2">
        <w:rPr>
          <w:b/>
        </w:rPr>
        <w:t xml:space="preserve"> государство-участник сенегальскими трудящимися-мигрантами, проживающими за рубежом; </w:t>
      </w:r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b)</w:t>
      </w:r>
      <w:r w:rsidRPr="00515CE2">
        <w:rPr>
          <w:b/>
        </w:rPr>
        <w:tab/>
        <w:t>удвоить усилия по сокращению стоимости отправки и получ</w:t>
      </w:r>
      <w:r w:rsidRPr="00515CE2">
        <w:rPr>
          <w:b/>
        </w:rPr>
        <w:t>е</w:t>
      </w:r>
      <w:r w:rsidRPr="00515CE2">
        <w:rPr>
          <w:b/>
        </w:rPr>
        <w:t xml:space="preserve">ния переводимых денег, в частности путем применения льготных тарифов в соответствии с целями в области устойчивого развития (цель 10.с); </w:t>
      </w:r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c)</w:t>
      </w:r>
      <w:r w:rsidRPr="00515CE2">
        <w:rPr>
          <w:b/>
        </w:rPr>
        <w:tab/>
        <w:t>облегчить трудящимся-мигрантам и членам их семей возмо</w:t>
      </w:r>
      <w:r w:rsidRPr="00515CE2">
        <w:rPr>
          <w:b/>
        </w:rPr>
        <w:t>ж</w:t>
      </w:r>
      <w:r w:rsidRPr="00515CE2">
        <w:rPr>
          <w:b/>
        </w:rPr>
        <w:t>ность накапливать сбережения;</w:t>
      </w:r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d)</w:t>
      </w:r>
      <w:r w:rsidRPr="00515CE2">
        <w:rPr>
          <w:b/>
        </w:rPr>
        <w:tab/>
        <w:t>и далее</w:t>
      </w:r>
      <w:r w:rsidRPr="00CF0015">
        <w:rPr>
          <w:b/>
        </w:rPr>
        <w:t xml:space="preserve"> прилагать усилия с целью помочь получателям сре</w:t>
      </w:r>
      <w:proofErr w:type="gramStart"/>
      <w:r w:rsidRPr="00CF0015">
        <w:rPr>
          <w:b/>
        </w:rPr>
        <w:t>дств пр</w:t>
      </w:r>
      <w:proofErr w:type="gramEnd"/>
      <w:r w:rsidRPr="00CF0015">
        <w:rPr>
          <w:b/>
        </w:rPr>
        <w:t>иобрести необходимый потенциал для их инвестирования в виды де</w:t>
      </w:r>
      <w:r w:rsidRPr="00CF0015">
        <w:rPr>
          <w:b/>
        </w:rPr>
        <w:t>я</w:t>
      </w:r>
      <w:r w:rsidRPr="00CF0015">
        <w:rPr>
          <w:b/>
        </w:rPr>
        <w:t>тельности, обеспечивающие устойчивый доход.</w:t>
      </w:r>
    </w:p>
    <w:p w:rsidR="00CF0015" w:rsidRPr="00CF0015" w:rsidRDefault="00CF0015" w:rsidP="00F36202">
      <w:pPr>
        <w:pStyle w:val="H23GR"/>
      </w:pPr>
      <w:r w:rsidRPr="00CF0015">
        <w:tab/>
        <w:t>5.</w:t>
      </w:r>
      <w:r w:rsidRPr="00CF0015">
        <w:tab/>
        <w:t>Содействие созданию нормальных, справедливых, гуманных и законных условий в отношении международной миграции трудящихся и членов их</w:t>
      </w:r>
      <w:r w:rsidR="00F36202">
        <w:rPr>
          <w:lang w:val="en-US"/>
        </w:rPr>
        <w:t> </w:t>
      </w:r>
      <w:r w:rsidR="00515CE2">
        <w:t>семей (статьи 64–</w:t>
      </w:r>
      <w:r w:rsidRPr="00CF0015">
        <w:t>71)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Нормальные, справедливые и гуманные условия в отношении международной миграции</w:t>
      </w:r>
    </w:p>
    <w:p w:rsidR="00CF0015" w:rsidRPr="00CF0015" w:rsidRDefault="00CF0015" w:rsidP="00CF0015">
      <w:pPr>
        <w:pStyle w:val="SingleTxtGR"/>
      </w:pPr>
      <w:r w:rsidRPr="00CF0015">
        <w:t>50.</w:t>
      </w:r>
      <w:r w:rsidRPr="00CF0015">
        <w:tab/>
        <w:t>Комитет приветствует наличие соглашений о сотрудничестве и проток</w:t>
      </w:r>
      <w:r w:rsidRPr="00CF0015">
        <w:t>о</w:t>
      </w:r>
      <w:r w:rsidRPr="00CF0015">
        <w:t>лов о договоренности в области миграции, подписанных с Францией, Испан</w:t>
      </w:r>
      <w:r w:rsidRPr="00CF0015">
        <w:t>и</w:t>
      </w:r>
      <w:r w:rsidRPr="00CF0015">
        <w:t>ей, Италией, Мавританией, Габоном, Мали, Джибути и Марокко, а также ос</w:t>
      </w:r>
      <w:r w:rsidRPr="00CF0015">
        <w:t>у</w:t>
      </w:r>
      <w:r w:rsidRPr="00CF0015">
        <w:t>ществление учредительного документа Экономического сообщества стран З</w:t>
      </w:r>
      <w:r w:rsidRPr="00CF0015">
        <w:t>а</w:t>
      </w:r>
      <w:r w:rsidRPr="00CF0015">
        <w:t>падной Африки, провозглашающего свободное передвижение граждан гос</w:t>
      </w:r>
      <w:r w:rsidRPr="00CF0015">
        <w:t>у</w:t>
      </w:r>
      <w:r w:rsidRPr="00CF0015">
        <w:t>дарств-членов и их имущества внутри этого экономического пространства на западе Африки. Комитет также отмечает наличие договоров о репатриации, подписанных с Францией, Италией и Испанией. В то же время Комитет сожал</w:t>
      </w:r>
      <w:r w:rsidRPr="00CF0015">
        <w:t>е</w:t>
      </w:r>
      <w:r w:rsidRPr="00CF0015">
        <w:t>ет, что государство-участник не подписало двухсторонние и многосторонние договоры также и с другими государствами работы по найму, в которых прож</w:t>
      </w:r>
      <w:r w:rsidRPr="00CF0015">
        <w:t>и</w:t>
      </w:r>
      <w:r w:rsidRPr="00CF0015">
        <w:t xml:space="preserve">вает значительное число сенегальских мигрантов, такими как Гамбия, Гвинея, Гвинея-Бисау, Буркина-Фасо, Нигерия и некоторые </w:t>
      </w:r>
      <w:proofErr w:type="gramStart"/>
      <w:r w:rsidRPr="00CF0015">
        <w:t>другие</w:t>
      </w:r>
      <w:proofErr w:type="gramEnd"/>
      <w:r w:rsidRPr="00CF0015">
        <w:t xml:space="preserve"> североафриканские и европейские государства, поскольку эти договоры могли бы гарантировать с</w:t>
      </w:r>
      <w:r w:rsidRPr="00CF0015">
        <w:t>е</w:t>
      </w:r>
      <w:r w:rsidRPr="00CF0015">
        <w:t>негальским мигрантам и членам их семей нормальные, справедливые и гума</w:t>
      </w:r>
      <w:r w:rsidRPr="00CF0015">
        <w:t>н</w:t>
      </w:r>
      <w:r w:rsidRPr="00CF0015">
        <w:t>ные условия миграции и позволили бы обеспечить удовлетворение их социал</w:t>
      </w:r>
      <w:r w:rsidRPr="00CF0015">
        <w:t>ь</w:t>
      </w:r>
      <w:r w:rsidRPr="00CF0015">
        <w:t>ных, экономических и культурных нужд.</w:t>
      </w:r>
    </w:p>
    <w:p w:rsidR="00CF0015" w:rsidRPr="00CF0015" w:rsidRDefault="00CF0015" w:rsidP="00CF0015">
      <w:pPr>
        <w:pStyle w:val="SingleTxtGR"/>
      </w:pPr>
      <w:r w:rsidRPr="00CF0015">
        <w:t>51.</w:t>
      </w:r>
      <w:r w:rsidRPr="00CF0015">
        <w:tab/>
      </w:r>
      <w:proofErr w:type="gramStart"/>
      <w:r w:rsidRPr="00CF0015">
        <w:rPr>
          <w:b/>
        </w:rPr>
        <w:t>Комитет рекомендует государству-участнику активизировать усилия по подписанию поощряющих упорядоченную миграцию двусторонних и многосторонних договоров со странами назначения и транзита, которые могли бы гарантировать нормальные, справедливые и гуманные условия для сенегальских трудящихся-мигрантов, проживающих за рубежом, предусматривали процедурные гарантии в их пользу и обеспечивали, чт</w:t>
      </w:r>
      <w:r w:rsidRPr="00CF0015">
        <w:rPr>
          <w:b/>
        </w:rPr>
        <w:t>о</w:t>
      </w:r>
      <w:r w:rsidRPr="00CF0015">
        <w:rPr>
          <w:b/>
        </w:rPr>
        <w:t>бы подлежащие высылке сенегальские мигранты не подвергались нена</w:t>
      </w:r>
      <w:r w:rsidRPr="00CF0015">
        <w:rPr>
          <w:b/>
        </w:rPr>
        <w:t>д</w:t>
      </w:r>
      <w:r w:rsidRPr="00CF0015">
        <w:rPr>
          <w:b/>
        </w:rPr>
        <w:t>лежащему обращению.</w:t>
      </w:r>
      <w:proofErr w:type="gramEnd"/>
      <w:r w:rsidRPr="00CF0015">
        <w:rPr>
          <w:b/>
        </w:rPr>
        <w:t xml:space="preserve"> </w:t>
      </w:r>
      <w:proofErr w:type="gramStart"/>
      <w:r w:rsidRPr="00CF0015">
        <w:rPr>
          <w:b/>
        </w:rPr>
        <w:t>Комитет вновь рекомендует государству-участнику</w:t>
      </w:r>
      <w:r w:rsidRPr="00CF0015">
        <w:t xml:space="preserve"> </w:t>
      </w:r>
      <w:r w:rsidRPr="00CF0015">
        <w:rPr>
          <w:b/>
        </w:rPr>
        <w:t>(CMW/C/SEN/CO/1, пункт 17) обеспечить, чтобы положения протоколов о договоренности и двусторонних соглашений, заключенных им со странами, принимающими сенегальских трудящихся-мигрантов, были приведены в соответствие со статьями 22 и 67 Конвенции и чтобы его граждане, нах</w:t>
      </w:r>
      <w:r w:rsidRPr="00CF0015">
        <w:rPr>
          <w:b/>
        </w:rPr>
        <w:t>о</w:t>
      </w:r>
      <w:r w:rsidRPr="00CF0015">
        <w:rPr>
          <w:b/>
        </w:rPr>
        <w:t>дящиеся в принимающих странах, имели возможность пользоваться защ</w:t>
      </w:r>
      <w:r w:rsidRPr="00CF0015">
        <w:rPr>
          <w:b/>
        </w:rPr>
        <w:t>и</w:t>
      </w:r>
      <w:r w:rsidRPr="00CF0015">
        <w:rPr>
          <w:b/>
        </w:rPr>
        <w:t>той и помощью, включая юридическую помощь, если в этом есть необх</w:t>
      </w:r>
      <w:r w:rsidRPr="00CF0015">
        <w:rPr>
          <w:b/>
        </w:rPr>
        <w:t>о</w:t>
      </w:r>
      <w:r w:rsidRPr="00CF0015">
        <w:rPr>
          <w:b/>
        </w:rPr>
        <w:t>димость, со</w:t>
      </w:r>
      <w:proofErr w:type="gramEnd"/>
      <w:r w:rsidRPr="00CF0015">
        <w:rPr>
          <w:b/>
        </w:rPr>
        <w:t xml:space="preserve"> стороны консульских органов в целях обеспечения уважения их пра</w:t>
      </w:r>
      <w:r w:rsidRPr="009F620E">
        <w:rPr>
          <w:b/>
        </w:rPr>
        <w:t>в.</w:t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Агентства по трудоустройству</w:t>
      </w:r>
    </w:p>
    <w:p w:rsidR="00CF0015" w:rsidRPr="00CF0015" w:rsidRDefault="00CF0015" w:rsidP="00CF0015">
      <w:pPr>
        <w:pStyle w:val="SingleTxtGR"/>
      </w:pPr>
      <w:r w:rsidRPr="00CF0015">
        <w:t>52.</w:t>
      </w:r>
      <w:r w:rsidRPr="00CF0015">
        <w:tab/>
        <w:t>Комитет сожалеет, что имеет в своем распоряжении только весьма огр</w:t>
      </w:r>
      <w:r w:rsidRPr="00CF0015">
        <w:t>а</w:t>
      </w:r>
      <w:r w:rsidRPr="00CF0015">
        <w:t xml:space="preserve">ниченную информацию о действующих в государстве-участнике частных агентствах по найму рабочей силы, которые набирают трудящихся-мигрантов для работы за рубежом, а также о законах, правилах и нормах, регулирующих трудоустройство с участием частных фирм. </w:t>
      </w:r>
    </w:p>
    <w:p w:rsidR="00CF0015" w:rsidRPr="00CF0015" w:rsidRDefault="00CF0015" w:rsidP="00CF0015">
      <w:pPr>
        <w:pStyle w:val="SingleTxtGR"/>
      </w:pPr>
      <w:r w:rsidRPr="00CF0015">
        <w:t>53.</w:t>
      </w:r>
      <w:r w:rsidRPr="00CF0015">
        <w:tab/>
      </w:r>
      <w:r w:rsidRPr="00CF0015">
        <w:rPr>
          <w:b/>
        </w:rPr>
        <w:t>Комитет рекомендует государству-участнику принять следующие м</w:t>
      </w:r>
      <w:r w:rsidRPr="00CF0015">
        <w:rPr>
          <w:b/>
        </w:rPr>
        <w:t>е</w:t>
      </w:r>
      <w:r w:rsidR="00515CE2">
        <w:rPr>
          <w:b/>
        </w:rPr>
        <w:t>ры</w:t>
      </w:r>
      <w:r w:rsidRPr="00CF0015">
        <w:rPr>
          <w:b/>
        </w:rPr>
        <w:t xml:space="preserve">: </w:t>
      </w:r>
    </w:p>
    <w:p w:rsidR="00CF0015" w:rsidRPr="00515CE2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515CE2">
        <w:rPr>
          <w:b/>
          <w:bCs/>
        </w:rPr>
        <w:t>a)</w:t>
      </w:r>
      <w:r w:rsidRPr="00515CE2">
        <w:rPr>
          <w:b/>
        </w:rPr>
        <w:tab/>
        <w:t xml:space="preserve">принять правила, регламентирующие деятельность частных агентств по найму, в частности ввести систему лицензирования, контроля и инспектирования порядка найма, с </w:t>
      </w:r>
      <w:proofErr w:type="gramStart"/>
      <w:r w:rsidRPr="00515CE2">
        <w:rPr>
          <w:b/>
        </w:rPr>
        <w:t>тем</w:t>
      </w:r>
      <w:proofErr w:type="gramEnd"/>
      <w:r w:rsidRPr="00515CE2">
        <w:rPr>
          <w:b/>
        </w:rPr>
        <w:t xml:space="preserve"> чтобы не позволять указанным агентствам в</w:t>
      </w:r>
      <w:r w:rsidR="008A2736">
        <w:rPr>
          <w:b/>
        </w:rPr>
        <w:t>зи</w:t>
      </w:r>
      <w:r w:rsidR="00515CE2" w:rsidRPr="00515CE2">
        <w:rPr>
          <w:b/>
        </w:rPr>
        <w:t>мать слишком большую комиссию</w:t>
      </w:r>
      <w:r w:rsidRPr="00515CE2">
        <w:rPr>
          <w:b/>
        </w:rPr>
        <w:t xml:space="preserve"> за свои услуги и не д</w:t>
      </w:r>
      <w:r w:rsidRPr="00515CE2">
        <w:rPr>
          <w:b/>
        </w:rPr>
        <w:t>о</w:t>
      </w:r>
      <w:r w:rsidRPr="00515CE2">
        <w:rPr>
          <w:b/>
        </w:rPr>
        <w:t>пускать выполнения ими функций посредников иностранных агентов, де</w:t>
      </w:r>
      <w:r w:rsidRPr="00515CE2">
        <w:rPr>
          <w:b/>
        </w:rPr>
        <w:t>й</w:t>
      </w:r>
      <w:r w:rsidRPr="00515CE2">
        <w:rPr>
          <w:b/>
        </w:rPr>
        <w:t xml:space="preserve">ствующих в незаконном порядке; </w:t>
      </w:r>
    </w:p>
    <w:p w:rsidR="00CF0015" w:rsidRPr="00515CE2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b)</w:t>
      </w:r>
      <w:r w:rsidRPr="00515CE2">
        <w:rPr>
          <w:b/>
        </w:rPr>
        <w:tab/>
        <w:t>следить за тем, чтобы частные агентства по найму предоста</w:t>
      </w:r>
      <w:r w:rsidRPr="00515CE2">
        <w:rPr>
          <w:b/>
        </w:rPr>
        <w:t>в</w:t>
      </w:r>
      <w:r w:rsidRPr="00515CE2">
        <w:rPr>
          <w:b/>
        </w:rPr>
        <w:t>ляли лицам, ищущим работу за рубежом, исчерпывающую информацию и обеспечивали реальное выполнение обязательств, связанных со всеми ог</w:t>
      </w:r>
      <w:r w:rsidRPr="00515CE2">
        <w:rPr>
          <w:b/>
        </w:rPr>
        <w:t>о</w:t>
      </w:r>
      <w:r w:rsidRPr="00515CE2">
        <w:rPr>
          <w:b/>
        </w:rPr>
        <w:t xml:space="preserve">воренными формами вознаграждения за труд, в частности с зарплатами; </w:t>
      </w:r>
    </w:p>
    <w:p w:rsidR="00CF0015" w:rsidRPr="00CF0015" w:rsidRDefault="00CF0015" w:rsidP="00CF0015">
      <w:pPr>
        <w:pStyle w:val="SingleTxtGR"/>
        <w:rPr>
          <w:b/>
        </w:rPr>
      </w:pPr>
      <w:r w:rsidRPr="00515CE2">
        <w:rPr>
          <w:b/>
        </w:rPr>
        <w:tab/>
      </w:r>
      <w:r w:rsidRPr="00515CE2">
        <w:rPr>
          <w:b/>
          <w:bCs/>
        </w:rPr>
        <w:t>c)</w:t>
      </w:r>
      <w:r w:rsidRPr="00515CE2">
        <w:rPr>
          <w:b/>
        </w:rPr>
        <w:tab/>
      </w:r>
      <w:r w:rsidRPr="00CF0015">
        <w:rPr>
          <w:b/>
        </w:rPr>
        <w:t>рассмотреть вопрос о принятии политики «бесплатного труд</w:t>
      </w:r>
      <w:r w:rsidRPr="00CF0015">
        <w:rPr>
          <w:b/>
        </w:rPr>
        <w:t>о</w:t>
      </w:r>
      <w:r w:rsidRPr="00CF0015">
        <w:rPr>
          <w:b/>
        </w:rPr>
        <w:t>устройства» для лиц, намеревающихся выехать на работу за рубеж.</w:t>
      </w:r>
    </w:p>
    <w:p w:rsidR="00515CE2" w:rsidRDefault="00515CE2">
      <w:pPr>
        <w:spacing w:line="240" w:lineRule="auto"/>
        <w:rPr>
          <w:b/>
          <w:lang w:eastAsia="ru-RU"/>
        </w:rPr>
      </w:pPr>
      <w:r>
        <w:br w:type="page"/>
      </w:r>
    </w:p>
    <w:p w:rsidR="00CF0015" w:rsidRPr="00CF0015" w:rsidRDefault="00CF0015" w:rsidP="00515CE2">
      <w:pPr>
        <w:pStyle w:val="H23GR"/>
      </w:pPr>
      <w:r w:rsidRPr="00CF0015">
        <w:tab/>
      </w:r>
      <w:r w:rsidRPr="00CF0015">
        <w:tab/>
        <w:t>Возвращение и реинтеграция</w:t>
      </w:r>
    </w:p>
    <w:p w:rsidR="00CF0015" w:rsidRPr="00CF0015" w:rsidRDefault="00CF0015" w:rsidP="00CF0015">
      <w:pPr>
        <w:pStyle w:val="SingleTxtGR"/>
      </w:pPr>
      <w:r w:rsidRPr="00CF0015">
        <w:t>54.</w:t>
      </w:r>
      <w:r w:rsidRPr="00CF0015">
        <w:tab/>
        <w:t>Комитет принимает к сведению, что государство-участник имеет в своем распоряжении специал</w:t>
      </w:r>
      <w:r w:rsidR="00515CE2">
        <w:t>изированную оперативную службу –</w:t>
      </w:r>
      <w:r w:rsidRPr="00CF0015">
        <w:t xml:space="preserve"> Комитет по оказ</w:t>
      </w:r>
      <w:r w:rsidRPr="00CF0015">
        <w:t>а</w:t>
      </w:r>
      <w:r w:rsidRPr="00CF0015">
        <w:t>нию помощи и поддержки беженцам и репатриантам, который занимается реп</w:t>
      </w:r>
      <w:r w:rsidRPr="00CF0015">
        <w:t>а</w:t>
      </w:r>
      <w:r w:rsidRPr="00CF0015">
        <w:t>триацией проживающих за рубежом сенегальцев в кризисных ситуациях. Ком</w:t>
      </w:r>
      <w:r w:rsidRPr="00CF0015">
        <w:t>и</w:t>
      </w:r>
      <w:r w:rsidRPr="00CF0015">
        <w:t>тет также принимает к сведению, что Министерство иностранных дел и по д</w:t>
      </w:r>
      <w:r w:rsidRPr="00CF0015">
        <w:t>е</w:t>
      </w:r>
      <w:r w:rsidRPr="00CF0015">
        <w:t>лам сенегальцев, проживающих за границей, учредило специальный фонд п</w:t>
      </w:r>
      <w:r w:rsidRPr="00CF0015">
        <w:t>о</w:t>
      </w:r>
      <w:r w:rsidRPr="00CF0015">
        <w:t xml:space="preserve">мощи и поддержки для мигрантов, в задачу </w:t>
      </w:r>
      <w:proofErr w:type="gramStart"/>
      <w:r w:rsidRPr="00CF0015">
        <w:t>которого</w:t>
      </w:r>
      <w:proofErr w:type="gramEnd"/>
      <w:r w:rsidRPr="00CF0015">
        <w:t xml:space="preserve"> входит облегчать возвр</w:t>
      </w:r>
      <w:r w:rsidRPr="00CF0015">
        <w:t>а</w:t>
      </w:r>
      <w:r w:rsidRPr="00CF0015">
        <w:t>щение и реинтеграцию сенегальских мигрантов. Однако Комитет сожалеет, что не имеет подробных данных о порядке функционирования и условиях доступа к этому фонду, а также о мерах, предусмотренных Министерством иностранных дел и по делам сенегальцев, проживающих за границей, и рядом других упо</w:t>
      </w:r>
      <w:r w:rsidRPr="00CF0015">
        <w:t>л</w:t>
      </w:r>
      <w:r w:rsidRPr="00CF0015">
        <w:t>номоченных ведомств в целях обеспечения упорядоченного возвращения сен</w:t>
      </w:r>
      <w:r w:rsidRPr="00CF0015">
        <w:t>е</w:t>
      </w:r>
      <w:r w:rsidRPr="00CF0015">
        <w:t xml:space="preserve">гальских мигрантов из-за рубежа. Комитет также с озабоченностью обращает внимание на отсутствие данных  о количестве сенегальцев, которые до сих пор находятся на территории Ливии и желают, чтобы их репатриировали. </w:t>
      </w:r>
    </w:p>
    <w:p w:rsidR="00CF0015" w:rsidRPr="00CF0015" w:rsidRDefault="00CF0015" w:rsidP="00CF0015">
      <w:pPr>
        <w:pStyle w:val="SingleTxtGR"/>
      </w:pPr>
      <w:r w:rsidRPr="00CF0015">
        <w:t>55.</w:t>
      </w:r>
      <w:r w:rsidRPr="00CF0015">
        <w:tab/>
      </w:r>
      <w:proofErr w:type="gramStart"/>
      <w:r w:rsidRPr="00CF0015">
        <w:rPr>
          <w:b/>
        </w:rPr>
        <w:t>Комитет предлагает государству-участнику представить в своем сл</w:t>
      </w:r>
      <w:r w:rsidRPr="00CF0015">
        <w:rPr>
          <w:b/>
        </w:rPr>
        <w:t>е</w:t>
      </w:r>
      <w:r w:rsidRPr="00CF0015">
        <w:rPr>
          <w:b/>
        </w:rPr>
        <w:t>дующем периодическом докладе дополнительные сведения о порядке функционирования специального фонда помощи и поддержки для мигра</w:t>
      </w:r>
      <w:r w:rsidRPr="00CF0015">
        <w:rPr>
          <w:b/>
        </w:rPr>
        <w:t>н</w:t>
      </w:r>
      <w:r w:rsidRPr="00CF0015">
        <w:rPr>
          <w:b/>
        </w:rPr>
        <w:t>тов и об условиях доступа к нему, а также о тех конкретных мерах, которые Министерство иностранных дел и по делам сенегальцев, проживающих за границей, примет для создания социальных, экономических и культурных условий, которые будут должным образом способствовать упрощению пр</w:t>
      </w:r>
      <w:r w:rsidRPr="00CF0015">
        <w:rPr>
          <w:b/>
        </w:rPr>
        <w:t>о</w:t>
      </w:r>
      <w:r w:rsidRPr="00CF0015">
        <w:rPr>
          <w:b/>
        </w:rPr>
        <w:t>цедуры возвращения</w:t>
      </w:r>
      <w:proofErr w:type="gramEnd"/>
      <w:r w:rsidRPr="00CF0015">
        <w:rPr>
          <w:b/>
        </w:rPr>
        <w:t xml:space="preserve"> и </w:t>
      </w:r>
      <w:proofErr w:type="gramStart"/>
      <w:r w:rsidRPr="00CF0015">
        <w:rPr>
          <w:b/>
        </w:rPr>
        <w:t>устойчивой</w:t>
      </w:r>
      <w:proofErr w:type="gramEnd"/>
      <w:r w:rsidRPr="00CF0015">
        <w:rPr>
          <w:b/>
        </w:rPr>
        <w:t xml:space="preserve"> реинтеграции сенегальских трудящи</w:t>
      </w:r>
      <w:r w:rsidRPr="00CF0015">
        <w:rPr>
          <w:b/>
        </w:rPr>
        <w:t>х</w:t>
      </w:r>
      <w:r w:rsidRPr="00CF0015">
        <w:rPr>
          <w:b/>
        </w:rPr>
        <w:t>ся-мигрантов и членов их семей в государстве-участнике. Комитет также предлагает государству-участнику обеспечить, чтобы для всех сенегальцев, находящихся в Ливии и желающих, чтобы их репатриировали, Комитетом помощи и поддержки беженцам и репатриантам была организована де</w:t>
      </w:r>
      <w:r w:rsidRPr="00CF0015">
        <w:rPr>
          <w:b/>
        </w:rPr>
        <w:t>й</w:t>
      </w:r>
      <w:r w:rsidRPr="00CF0015">
        <w:rPr>
          <w:b/>
        </w:rPr>
        <w:t>ственная процедура репатриации.</w:t>
      </w:r>
    </w:p>
    <w:p w:rsidR="00CF0015" w:rsidRPr="00CF0015" w:rsidRDefault="00CF0015" w:rsidP="00515CE2">
      <w:pPr>
        <w:pStyle w:val="H23GR"/>
        <w:rPr>
          <w:bCs/>
        </w:rPr>
      </w:pPr>
      <w:r w:rsidRPr="00CF0015">
        <w:tab/>
      </w:r>
      <w:r w:rsidRPr="00CF0015">
        <w:tab/>
        <w:t xml:space="preserve">Незаконные или нелегальные перемещения и наем на работу </w:t>
      </w:r>
      <w:r w:rsidR="00515CE2">
        <w:br/>
      </w:r>
      <w:r w:rsidRPr="00CF0015">
        <w:t>трудящихся-мигрантов с неурегулированным  статусом</w:t>
      </w:r>
    </w:p>
    <w:p w:rsidR="00CF0015" w:rsidRPr="00CF0015" w:rsidRDefault="00CF0015" w:rsidP="00CF0015">
      <w:pPr>
        <w:pStyle w:val="SingleTxtGR"/>
      </w:pPr>
      <w:r w:rsidRPr="00CF0015">
        <w:t>56.</w:t>
      </w:r>
      <w:r w:rsidRPr="00CF0015">
        <w:tab/>
      </w:r>
      <w:proofErr w:type="gramStart"/>
      <w:r w:rsidRPr="00CF0015">
        <w:t>Комитет с удовлетворением принимает к сведению принятие госуда</w:t>
      </w:r>
      <w:r w:rsidRPr="00CF0015">
        <w:t>р</w:t>
      </w:r>
      <w:r w:rsidRPr="00CF0015">
        <w:t>ством-участником важных законодательных, политических и институционал</w:t>
      </w:r>
      <w:r w:rsidRPr="00CF0015">
        <w:t>ь</w:t>
      </w:r>
      <w:r w:rsidRPr="00CF0015">
        <w:t>ных мер, направленных на борьбу с торговл</w:t>
      </w:r>
      <w:r w:rsidR="00515CE2">
        <w:t>ей людьми и схожей практикой, в </w:t>
      </w:r>
      <w:r w:rsidRPr="00CF0015">
        <w:t xml:space="preserve">частности национальный план действий  по борьбе с торговлей людьми </w:t>
      </w:r>
      <w:r w:rsidR="00515CE2">
        <w:br/>
        <w:t>(2012–</w:t>
      </w:r>
      <w:r w:rsidRPr="00CF0015">
        <w:t>2014 годы) и национальный рамочная программа по искоренению де</w:t>
      </w:r>
      <w:r w:rsidRPr="00CF0015">
        <w:t>т</w:t>
      </w:r>
      <w:r w:rsidRPr="00CF0015">
        <w:t>ского по</w:t>
      </w:r>
      <w:r w:rsidR="00515CE2">
        <w:t>прошайничества (2013–</w:t>
      </w:r>
      <w:r w:rsidRPr="00CF0015">
        <w:t>2015 годы), а также создание Национального координационного бюро по борьбе с торговлей людьми и подписание договоров с</w:t>
      </w:r>
      <w:proofErr w:type="gramEnd"/>
      <w:r w:rsidRPr="00CF0015">
        <w:t xml:space="preserve"> соседними странами, </w:t>
      </w:r>
      <w:proofErr w:type="gramStart"/>
      <w:r w:rsidRPr="00CF0015">
        <w:t>направленных</w:t>
      </w:r>
      <w:proofErr w:type="gramEnd"/>
      <w:r w:rsidRPr="00CF0015">
        <w:t xml:space="preserve"> на предотвращение и пресечение торго</w:t>
      </w:r>
      <w:r w:rsidRPr="00CF0015">
        <w:t>в</w:t>
      </w:r>
      <w:r w:rsidRPr="00CF0015">
        <w:t>ли детьми. Но в то же время у Комитета вызывают обеспокоенность следующие соображения:</w:t>
      </w:r>
    </w:p>
    <w:p w:rsidR="00CF0015" w:rsidRPr="00CF0015" w:rsidRDefault="00CF0015" w:rsidP="00CF0015">
      <w:pPr>
        <w:pStyle w:val="SingleTxtGR"/>
      </w:pPr>
      <w:r w:rsidRPr="00CF0015">
        <w:tab/>
        <w:t>a)</w:t>
      </w:r>
      <w:r w:rsidRPr="00CF0015">
        <w:tab/>
        <w:t>отсутствуют исследования, аналитические обзоры и дезагрегир</w:t>
      </w:r>
      <w:r w:rsidRPr="00CF0015">
        <w:t>о</w:t>
      </w:r>
      <w:r w:rsidRPr="00CF0015">
        <w:t>ванные данные, благодаря которым можно было бы оценить масштабы незако</w:t>
      </w:r>
      <w:r w:rsidRPr="00CF0015">
        <w:t>н</w:t>
      </w:r>
      <w:r w:rsidRPr="00CF0015">
        <w:t>ной торговли, как направленной на внутренний рынок государства-участника, так и следующей транзитом через него и из него за рубеж;</w:t>
      </w:r>
    </w:p>
    <w:p w:rsidR="00CF0015" w:rsidRPr="00CF0015" w:rsidRDefault="00CF0015" w:rsidP="00CF0015">
      <w:pPr>
        <w:pStyle w:val="SingleTxtGR"/>
      </w:pPr>
      <w:r w:rsidRPr="00CF0015">
        <w:tab/>
        <w:t>b)</w:t>
      </w:r>
      <w:r w:rsidRPr="00CF0015">
        <w:tab/>
        <w:t xml:space="preserve">полученная информация касается в том числе: </w:t>
      </w:r>
    </w:p>
    <w:p w:rsidR="00CF0015" w:rsidRPr="00CF0015" w:rsidRDefault="00515CE2" w:rsidP="00515CE2">
      <w:pPr>
        <w:pStyle w:val="SingleTxtGR"/>
        <w:ind w:left="1701" w:hanging="567"/>
      </w:pPr>
      <w:r>
        <w:tab/>
      </w:r>
      <w:r w:rsidR="00CF0015" w:rsidRPr="00CF0015">
        <w:t>i)</w:t>
      </w:r>
      <w:r w:rsidR="00CF0015" w:rsidRPr="00CF0015">
        <w:tab/>
        <w:t>сенегальских граждан, ставших жертвами торговли людьми и пр</w:t>
      </w:r>
      <w:r w:rsidR="00CF0015" w:rsidRPr="00CF0015">
        <w:t>и</w:t>
      </w:r>
      <w:r w:rsidR="00CF0015" w:rsidRPr="00CF0015">
        <w:t>нужденных против их желания к труду в сельском хозяйстве, на золотых приисках и в качестве домашних работников в различных странах реги</w:t>
      </w:r>
      <w:r w:rsidR="00CF0015" w:rsidRPr="00CF0015">
        <w:t>о</w:t>
      </w:r>
      <w:r w:rsidR="00CF0015" w:rsidRPr="00CF0015">
        <w:t xml:space="preserve">на, а также оказавшихся в подневольном состоянии в качестве домашней прислуги в европейских странах, в Соединенных Штатах и на Ближнем Востоке; </w:t>
      </w:r>
    </w:p>
    <w:p w:rsidR="00CF0015" w:rsidRPr="00CF0015" w:rsidRDefault="00515CE2" w:rsidP="00515CE2">
      <w:pPr>
        <w:pStyle w:val="SingleTxtGR"/>
        <w:ind w:left="1701" w:hanging="567"/>
      </w:pPr>
      <w:r>
        <w:tab/>
      </w:r>
      <w:proofErr w:type="gramStart"/>
      <w:r w:rsidR="00CF0015" w:rsidRPr="00CF0015">
        <w:t>ii)</w:t>
      </w:r>
      <w:r w:rsidR="00CF0015" w:rsidRPr="00CF0015">
        <w:tab/>
        <w:t>сенегальских детей, которых принуждают заниматься попрошайн</w:t>
      </w:r>
      <w:r w:rsidR="00CF0015" w:rsidRPr="00CF0015">
        <w:t>и</w:t>
      </w:r>
      <w:r w:rsidR="00CF0015" w:rsidRPr="00CF0015">
        <w:t>чеством и эксп</w:t>
      </w:r>
      <w:r>
        <w:t>луатируют религиозные деятели («</w:t>
      </w:r>
      <w:r w:rsidR="00CF0015" w:rsidRPr="00CF0015">
        <w:t>марабу</w:t>
      </w:r>
      <w:r>
        <w:t>»</w:t>
      </w:r>
      <w:r w:rsidR="00CF0015" w:rsidRPr="00CF0015">
        <w:t xml:space="preserve">) в соседних странах; </w:t>
      </w:r>
      <w:proofErr w:type="gramEnd"/>
    </w:p>
    <w:p w:rsidR="00CF0015" w:rsidRPr="00CF0015" w:rsidRDefault="00515CE2" w:rsidP="00CF0015">
      <w:pPr>
        <w:pStyle w:val="SingleTxtGR"/>
      </w:pPr>
      <w:r>
        <w:tab/>
      </w:r>
      <w:r w:rsidR="00CF0015" w:rsidRPr="00CF0015">
        <w:t>c)</w:t>
      </w:r>
      <w:r w:rsidR="00CF0015" w:rsidRPr="00CF0015">
        <w:tab/>
        <w:t>поступившие сведения указывают, среди прочего, на присутствие в государстве-участнике:</w:t>
      </w:r>
    </w:p>
    <w:p w:rsidR="00CF0015" w:rsidRPr="00CF0015" w:rsidRDefault="00515CE2" w:rsidP="00515CE2">
      <w:pPr>
        <w:pStyle w:val="SingleTxtGR"/>
        <w:ind w:left="1701" w:hanging="567"/>
      </w:pPr>
      <w:r>
        <w:tab/>
      </w:r>
      <w:r w:rsidR="00CF0015" w:rsidRPr="00CF0015">
        <w:t>i)</w:t>
      </w:r>
      <w:r w:rsidR="00CF0015" w:rsidRPr="00CF0015">
        <w:tab/>
        <w:t>женщин и детей из других стран Западной Африки, таких как Гана, Либерия, Нигерия и Сьерра-Леоне, ставших жертвами сексуальной эк</w:t>
      </w:r>
      <w:r w:rsidR="00CF0015" w:rsidRPr="00CF0015">
        <w:t>с</w:t>
      </w:r>
      <w:r w:rsidR="00CF0015" w:rsidRPr="00CF0015">
        <w:t>плуатации, в том числе для целей сексуального туризма, принудительного труда и подне</w:t>
      </w:r>
      <w:r>
        <w:t xml:space="preserve">вольного состояния в </w:t>
      </w:r>
      <w:r w:rsidR="00CF0015" w:rsidRPr="00CF0015">
        <w:t>домашних условиях;</w:t>
      </w:r>
    </w:p>
    <w:p w:rsidR="00CF0015" w:rsidRPr="00CF0015" w:rsidRDefault="00515CE2" w:rsidP="00515CE2">
      <w:pPr>
        <w:pStyle w:val="SingleTxtGR"/>
        <w:ind w:left="1701" w:hanging="567"/>
      </w:pPr>
      <w:r>
        <w:tab/>
      </w:r>
      <w:proofErr w:type="gramStart"/>
      <w:r w:rsidR="00CF0015" w:rsidRPr="00CF0015">
        <w:t>ii)</w:t>
      </w:r>
      <w:r w:rsidR="00CF0015" w:rsidRPr="00CF0015">
        <w:tab/>
        <w:t>детей из стран региона, работающих в старательских артелях на золотых приисках, в том числе детей, ставших жертвами торговли люд</w:t>
      </w:r>
      <w:r w:rsidR="00CF0015" w:rsidRPr="00CF0015">
        <w:t>ь</w:t>
      </w:r>
      <w:r w:rsidR="00CF0015" w:rsidRPr="00CF0015">
        <w:t>ми, надругательств и сексуальной эксплуатации;</w:t>
      </w:r>
      <w:proofErr w:type="gramEnd"/>
    </w:p>
    <w:p w:rsidR="00CF0015" w:rsidRPr="00CF0015" w:rsidRDefault="00515CE2" w:rsidP="00515CE2">
      <w:pPr>
        <w:pStyle w:val="SingleTxtGR"/>
        <w:ind w:left="1701" w:hanging="567"/>
      </w:pPr>
      <w:r>
        <w:tab/>
      </w:r>
      <w:proofErr w:type="gramStart"/>
      <w:r w:rsidR="00CF0015" w:rsidRPr="00CF0015">
        <w:t>iii)</w:t>
      </w:r>
      <w:r w:rsidR="00CF0015" w:rsidRPr="00CF0015">
        <w:tab/>
        <w:t>детей из Гамбии, Гвинеи, Гвинеи-Бисау и Мали, которых прину</w:t>
      </w:r>
      <w:r w:rsidR="00CF0015" w:rsidRPr="00CF0015">
        <w:t>ж</w:t>
      </w:r>
      <w:r w:rsidR="00CF0015" w:rsidRPr="00CF0015">
        <w:t>дают к попрошайничеству и эксплуатируют в экономических целях рел</w:t>
      </w:r>
      <w:r w:rsidR="00CF0015" w:rsidRPr="00CF0015">
        <w:t>и</w:t>
      </w:r>
      <w:r w:rsidR="00CF0015" w:rsidRPr="00CF0015">
        <w:t>гиозные деятели (</w:t>
      </w:r>
      <w:r>
        <w:t>«</w:t>
      </w:r>
      <w:r w:rsidR="00CF0015" w:rsidRPr="00CF0015">
        <w:t>марабу</w:t>
      </w:r>
      <w:r w:rsidR="00391906">
        <w:t>»</w:t>
      </w:r>
      <w:r w:rsidR="00CF0015" w:rsidRPr="00CF0015">
        <w:t>);</w:t>
      </w:r>
      <w:proofErr w:type="gramEnd"/>
    </w:p>
    <w:p w:rsidR="00CF0015" w:rsidRPr="00CF0015" w:rsidRDefault="00CF0015" w:rsidP="00CF0015">
      <w:pPr>
        <w:pStyle w:val="SingleTxtGR"/>
      </w:pPr>
      <w:r w:rsidRPr="00CF0015">
        <w:tab/>
        <w:t>d)</w:t>
      </w:r>
      <w:r w:rsidRPr="00CF0015">
        <w:tab/>
        <w:t>на предотвращение и пресечение торговли людьми, в частности на работу Национального координационного бюро по борьбе с торговлей людьми, выделяется недостаточно человеческих и финансовых ресурсов;</w:t>
      </w:r>
    </w:p>
    <w:p w:rsidR="00CF0015" w:rsidRPr="00CF0015" w:rsidRDefault="00CF0015" w:rsidP="00CF0015">
      <w:pPr>
        <w:pStyle w:val="SingleTxtGR"/>
      </w:pPr>
      <w:r w:rsidRPr="00CF0015">
        <w:tab/>
        <w:t>e)</w:t>
      </w:r>
      <w:r w:rsidRPr="00CF0015">
        <w:tab/>
        <w:t xml:space="preserve">прилагается недостаточно усилий для выявления жертв торговли людьми и эксплуатации, в частности детей, принуждаемых к </w:t>
      </w:r>
      <w:proofErr w:type="gramStart"/>
      <w:r w:rsidRPr="00CF0015">
        <w:t>попрошайнич</w:t>
      </w:r>
      <w:r w:rsidRPr="00CF0015">
        <w:t>е</w:t>
      </w:r>
      <w:r w:rsidRPr="00CF0015">
        <w:t>ству</w:t>
      </w:r>
      <w:proofErr w:type="gramEnd"/>
      <w:r w:rsidRPr="00CF0015">
        <w:t xml:space="preserve">; </w:t>
      </w:r>
    </w:p>
    <w:p w:rsidR="00CF0015" w:rsidRPr="00CF0015" w:rsidRDefault="00CF0015" w:rsidP="00CF0015">
      <w:pPr>
        <w:pStyle w:val="SingleTxtGR"/>
      </w:pPr>
      <w:r w:rsidRPr="00CF0015">
        <w:tab/>
        <w:t>f)</w:t>
      </w:r>
      <w:r w:rsidRPr="00CF0015">
        <w:tab/>
        <w:t xml:space="preserve">не применяется в достаточной мере закон № 2005-06 о борьбе с торговлей людьми и схожей практикой и не </w:t>
      </w:r>
      <w:proofErr w:type="gramStart"/>
      <w:r w:rsidRPr="00CF0015">
        <w:t>проводится</w:t>
      </w:r>
      <w:proofErr w:type="gramEnd"/>
      <w:r w:rsidRPr="00CF0015">
        <w:t xml:space="preserve"> на должном уровне по</w:t>
      </w:r>
      <w:r w:rsidRPr="00CF0015">
        <w:t>д</w:t>
      </w:r>
      <w:r w:rsidRPr="00CF0015">
        <w:t>готовка сотрудников, в чьи обязанности входит обеспечение применения данн</w:t>
      </w:r>
      <w:r w:rsidRPr="00CF0015">
        <w:t>о</w:t>
      </w:r>
      <w:r w:rsidRPr="00CF0015">
        <w:t>го закона;</w:t>
      </w:r>
    </w:p>
    <w:p w:rsidR="00CF0015" w:rsidRPr="00CF0015" w:rsidRDefault="00CF0015" w:rsidP="00CF0015">
      <w:pPr>
        <w:pStyle w:val="SingleTxtGR"/>
      </w:pPr>
      <w:r w:rsidRPr="00CF0015">
        <w:tab/>
        <w:t>g)</w:t>
      </w:r>
      <w:r w:rsidRPr="00CF0015">
        <w:tab/>
        <w:t>закон № 2005-06 был использован для преследования сенегальских мигрантов, пытавшихся добраться морем до Европы.</w:t>
      </w:r>
    </w:p>
    <w:p w:rsidR="00CF0015" w:rsidRPr="00CF0015" w:rsidRDefault="00CF0015" w:rsidP="00CF0015">
      <w:pPr>
        <w:pStyle w:val="SingleTxtGR"/>
      </w:pPr>
      <w:r w:rsidRPr="00CF0015">
        <w:t>57.</w:t>
      </w:r>
      <w:r w:rsidRPr="00CF0015">
        <w:tab/>
      </w:r>
      <w:r w:rsidRPr="00CF0015">
        <w:rPr>
          <w:b/>
        </w:rPr>
        <w:t>Комитет рекомендует государству-участнику:</w:t>
      </w:r>
    </w:p>
    <w:p w:rsidR="00CF0015" w:rsidRPr="00391906" w:rsidRDefault="00CF0015" w:rsidP="00CF0015">
      <w:pPr>
        <w:pStyle w:val="SingleTxtGR"/>
        <w:rPr>
          <w:b/>
        </w:rPr>
      </w:pPr>
      <w:r w:rsidRPr="00CF0015">
        <w:rPr>
          <w:b/>
        </w:rPr>
        <w:tab/>
      </w:r>
      <w:r w:rsidRPr="00391906">
        <w:rPr>
          <w:b/>
        </w:rPr>
        <w:t>a)</w:t>
      </w:r>
      <w:r w:rsidRPr="00391906">
        <w:rPr>
          <w:b/>
        </w:rPr>
        <w:tab/>
        <w:t>в целях повышения эффективности борьбы с незаконным вв</w:t>
      </w:r>
      <w:r w:rsidRPr="00391906">
        <w:rPr>
          <w:b/>
        </w:rPr>
        <w:t>о</w:t>
      </w:r>
      <w:r w:rsidRPr="00391906">
        <w:rPr>
          <w:b/>
        </w:rPr>
        <w:t xml:space="preserve">зом и торговлей людьми собирать на систематической основе </w:t>
      </w:r>
      <w:r w:rsidR="00391906" w:rsidRPr="00391906">
        <w:rPr>
          <w:b/>
        </w:rPr>
        <w:t>соответств</w:t>
      </w:r>
      <w:r w:rsidR="00391906" w:rsidRPr="00391906">
        <w:rPr>
          <w:b/>
        </w:rPr>
        <w:t>у</w:t>
      </w:r>
      <w:r w:rsidR="00391906" w:rsidRPr="00391906">
        <w:rPr>
          <w:b/>
        </w:rPr>
        <w:t>ющие</w:t>
      </w:r>
      <w:r w:rsidRPr="00391906">
        <w:rPr>
          <w:b/>
        </w:rPr>
        <w:t xml:space="preserve"> данные с разбивкой по признаку пола, возраста и происхождения;</w:t>
      </w:r>
    </w:p>
    <w:p w:rsidR="00CF0015" w:rsidRPr="00391906" w:rsidRDefault="00CF0015" w:rsidP="00CF0015">
      <w:pPr>
        <w:pStyle w:val="SingleTxtGR"/>
        <w:rPr>
          <w:b/>
        </w:rPr>
      </w:pPr>
      <w:r w:rsidRPr="00391906">
        <w:rPr>
          <w:b/>
        </w:rPr>
        <w:tab/>
        <w:t>b)</w:t>
      </w:r>
      <w:r w:rsidRPr="00391906">
        <w:rPr>
          <w:b/>
        </w:rPr>
        <w:tab/>
        <w:t>активизировать кампании по предотвращению незаконного ввоза трудящихся-мигрантов и торговли людьми и принять необходимые меры с целью пресечь распространение вводящих в заблуждение сведений об эмиграции и иммиграции;</w:t>
      </w:r>
    </w:p>
    <w:p w:rsidR="00CF0015" w:rsidRPr="00391906" w:rsidRDefault="00CF0015" w:rsidP="00CF0015">
      <w:pPr>
        <w:pStyle w:val="SingleTxtGR"/>
        <w:rPr>
          <w:b/>
        </w:rPr>
      </w:pPr>
      <w:r w:rsidRPr="00391906">
        <w:rPr>
          <w:b/>
        </w:rPr>
        <w:tab/>
        <w:t>c)</w:t>
      </w:r>
      <w:r w:rsidRPr="00391906">
        <w:rPr>
          <w:b/>
        </w:rPr>
        <w:tab/>
        <w:t>активнее вести подготовку сотрудников полиции, других пр</w:t>
      </w:r>
      <w:r w:rsidRPr="00391906">
        <w:rPr>
          <w:b/>
        </w:rPr>
        <w:t>а</w:t>
      </w:r>
      <w:r w:rsidRPr="00391906">
        <w:rPr>
          <w:b/>
        </w:rPr>
        <w:t>воохранительных органов и пограничной службы, судей, прокуроров, тр</w:t>
      </w:r>
      <w:r w:rsidRPr="00391906">
        <w:rPr>
          <w:b/>
        </w:rPr>
        <w:t>у</w:t>
      </w:r>
      <w:r w:rsidRPr="00391906">
        <w:rPr>
          <w:b/>
        </w:rPr>
        <w:t>довых инспекторов, преподавателей, а также медицинских работников и сотрудников посольств и консульств государства-участника по вопросам борьбы против незаконного ввоза и торговли людьми;</w:t>
      </w:r>
    </w:p>
    <w:p w:rsidR="00CF0015" w:rsidRPr="00CF0015" w:rsidRDefault="00CF0015" w:rsidP="00CF0015">
      <w:pPr>
        <w:pStyle w:val="SingleTxtGR"/>
        <w:rPr>
          <w:b/>
        </w:rPr>
      </w:pPr>
      <w:r w:rsidRPr="00391906">
        <w:rPr>
          <w:b/>
        </w:rPr>
        <w:tab/>
        <w:t>d)</w:t>
      </w:r>
      <w:r w:rsidRPr="00391906">
        <w:rPr>
          <w:b/>
        </w:rPr>
        <w:tab/>
      </w:r>
      <w:r w:rsidRPr="00CF0015">
        <w:rPr>
          <w:b/>
        </w:rPr>
        <w:t>проводить быстрое, эффективное и беспристрастное расслед</w:t>
      </w:r>
      <w:r w:rsidRPr="00CF0015">
        <w:rPr>
          <w:b/>
        </w:rPr>
        <w:t>о</w:t>
      </w:r>
      <w:r w:rsidRPr="00CF0015">
        <w:rPr>
          <w:b/>
        </w:rPr>
        <w:t>вание по всем фактам торговли людьми, их незаконного ввоза и иных св</w:t>
      </w:r>
      <w:r w:rsidRPr="00CF0015">
        <w:rPr>
          <w:b/>
        </w:rPr>
        <w:t>я</w:t>
      </w:r>
      <w:r w:rsidRPr="00CF0015">
        <w:rPr>
          <w:b/>
        </w:rPr>
        <w:t>занных с этим нарушений, преследовать и наказывать лиц, виновных в с</w:t>
      </w:r>
      <w:r w:rsidRPr="00CF0015">
        <w:rPr>
          <w:b/>
        </w:rPr>
        <w:t>о</w:t>
      </w:r>
      <w:r w:rsidRPr="00CF0015">
        <w:rPr>
          <w:b/>
        </w:rPr>
        <w:t>вершении этих деяний, и незамедлительно обрабатывать все поступающие жалобы, касающиеся торговцев людьми и их поставщиков;</w:t>
      </w:r>
    </w:p>
    <w:p w:rsidR="00CF0015" w:rsidRPr="00391906" w:rsidRDefault="00CF0015" w:rsidP="00CF0015">
      <w:pPr>
        <w:pStyle w:val="SingleTxtGR"/>
        <w:rPr>
          <w:b/>
        </w:rPr>
      </w:pPr>
      <w:r w:rsidRPr="00CF0015">
        <w:rPr>
          <w:b/>
          <w:bCs/>
        </w:rPr>
        <w:tab/>
      </w:r>
      <w:r w:rsidRPr="00391906">
        <w:rPr>
          <w:b/>
        </w:rPr>
        <w:t>e)</w:t>
      </w:r>
      <w:r w:rsidRPr="00391906">
        <w:rPr>
          <w:b/>
          <w:bCs/>
        </w:rPr>
        <w:tab/>
        <w:t>выделить достаточные людские и финансовые ресурсы Наци</w:t>
      </w:r>
      <w:r w:rsidRPr="00391906">
        <w:rPr>
          <w:b/>
          <w:bCs/>
        </w:rPr>
        <w:t>о</w:t>
      </w:r>
      <w:r w:rsidRPr="00391906">
        <w:rPr>
          <w:b/>
          <w:bCs/>
        </w:rPr>
        <w:t>нальному координационному бюро по борьбе с торговлей людьми с целью обеспечить эффективную реализацию стратегий, направленных на предо</w:t>
      </w:r>
      <w:r w:rsidRPr="00391906">
        <w:rPr>
          <w:b/>
          <w:bCs/>
        </w:rPr>
        <w:t>т</w:t>
      </w:r>
      <w:r w:rsidRPr="00391906">
        <w:rPr>
          <w:b/>
          <w:bCs/>
        </w:rPr>
        <w:t>вращение и искоренение торговли людьми;</w:t>
      </w:r>
    </w:p>
    <w:p w:rsidR="00CF0015" w:rsidRPr="00391906" w:rsidRDefault="00CF0015" w:rsidP="00CF0015">
      <w:pPr>
        <w:pStyle w:val="SingleTxtGR"/>
        <w:rPr>
          <w:b/>
        </w:rPr>
      </w:pPr>
      <w:r w:rsidRPr="00391906">
        <w:rPr>
          <w:b/>
        </w:rPr>
        <w:tab/>
        <w:t>f)</w:t>
      </w:r>
      <w:r w:rsidRPr="00391906">
        <w:rPr>
          <w:b/>
        </w:rPr>
        <w:tab/>
        <w:t>удвоить усилия по выявлению жертв, предоставить защиту и помощь всем жертвам торговли людьми, в частности путем обеспечения их жильем, медицинскими услугами и психосоциальной поддержкой и прин</w:t>
      </w:r>
      <w:r w:rsidRPr="00391906">
        <w:rPr>
          <w:b/>
        </w:rPr>
        <w:t>я</w:t>
      </w:r>
      <w:r w:rsidRPr="00391906">
        <w:rPr>
          <w:b/>
        </w:rPr>
        <w:t xml:space="preserve">тия других мер по облегчению их реинтеграции в общество; </w:t>
      </w:r>
    </w:p>
    <w:p w:rsidR="00CF0015" w:rsidRPr="00391906" w:rsidRDefault="00CF0015" w:rsidP="00CF0015">
      <w:pPr>
        <w:pStyle w:val="SingleTxtGR"/>
        <w:rPr>
          <w:b/>
        </w:rPr>
      </w:pPr>
      <w:r w:rsidRPr="00391906">
        <w:rPr>
          <w:b/>
        </w:rPr>
        <w:tab/>
      </w:r>
      <w:r w:rsidRPr="00391906">
        <w:rPr>
          <w:b/>
          <w:bCs/>
        </w:rPr>
        <w:t>g)</w:t>
      </w:r>
      <w:r w:rsidRPr="00391906">
        <w:rPr>
          <w:b/>
        </w:rPr>
        <w:tab/>
        <w:t>внести в закон № 2005-06 о борьбе с торговлей людьми и схожей практикой и о защите потерпевших поправку, гарантирующую иммунитет от уголовной ответственности мигрантам, ставшим жертвами торговли людьми;</w:t>
      </w:r>
    </w:p>
    <w:p w:rsidR="00CF0015" w:rsidRPr="00CF0015" w:rsidRDefault="00CF0015" w:rsidP="00CF0015">
      <w:pPr>
        <w:pStyle w:val="SingleTxtGR"/>
        <w:rPr>
          <w:b/>
        </w:rPr>
      </w:pPr>
      <w:r w:rsidRPr="00391906">
        <w:rPr>
          <w:b/>
        </w:rPr>
        <w:tab/>
        <w:t>h)</w:t>
      </w:r>
      <w:r w:rsidRPr="00391906">
        <w:rPr>
          <w:b/>
        </w:rPr>
        <w:tab/>
        <w:t>активи</w:t>
      </w:r>
      <w:r w:rsidRPr="00CF0015">
        <w:rPr>
          <w:b/>
        </w:rPr>
        <w:t>зировать международное, региональное и двухстороннее сотрудничество с целью предотвращения незаконного ввоза и торговли людьми и борьбы с ними.</w:t>
      </w:r>
    </w:p>
    <w:p w:rsidR="00CF0015" w:rsidRPr="00CF0015" w:rsidRDefault="00CF0015" w:rsidP="00CF0015">
      <w:pPr>
        <w:pStyle w:val="SingleTxtGR"/>
      </w:pPr>
      <w:r w:rsidRPr="00CF0015">
        <w:t>58.</w:t>
      </w:r>
      <w:r w:rsidRPr="00CF0015">
        <w:tab/>
      </w:r>
      <w:proofErr w:type="gramStart"/>
      <w:r w:rsidRPr="00CF0015">
        <w:t>Комитет обеспокоен тем, как много сенегальцев лишаются жизни при  попытках эмигрировать в Европу и как мало уголовных дел возбуждается в го</w:t>
      </w:r>
      <w:r w:rsidRPr="00CF0015">
        <w:t>с</w:t>
      </w:r>
      <w:r w:rsidRPr="00CF0015">
        <w:t>ударствах транзита и назначения для привлечения виновных к ответственности, а также тем, что эти государства не принимают мер для идентификации и реп</w:t>
      </w:r>
      <w:r w:rsidRPr="00CF0015">
        <w:t>а</w:t>
      </w:r>
      <w:r w:rsidRPr="00CF0015">
        <w:t>триации останков погибших и что государства-участники довольствуются очень ограниченным набором действий в плане устранения коренных причин нел</w:t>
      </w:r>
      <w:r w:rsidRPr="00CF0015">
        <w:t>е</w:t>
      </w:r>
      <w:r w:rsidRPr="00CF0015">
        <w:t>гальной миграции.</w:t>
      </w:r>
      <w:proofErr w:type="gramEnd"/>
    </w:p>
    <w:p w:rsidR="00CF0015" w:rsidRPr="00CF0015" w:rsidRDefault="00CF0015" w:rsidP="00CF0015">
      <w:pPr>
        <w:pStyle w:val="SingleTxtGR"/>
      </w:pPr>
      <w:r w:rsidRPr="00CF0015">
        <w:t>59.</w:t>
      </w:r>
      <w:r w:rsidRPr="00CF0015">
        <w:tab/>
      </w:r>
      <w:r w:rsidRPr="00CF0015">
        <w:rPr>
          <w:b/>
        </w:rPr>
        <w:t>Комитет рекомендует государству-участнику наращивать междун</w:t>
      </w:r>
      <w:r w:rsidRPr="00CF0015">
        <w:rPr>
          <w:b/>
        </w:rPr>
        <w:t>а</w:t>
      </w:r>
      <w:r w:rsidRPr="00CF0015">
        <w:rPr>
          <w:b/>
        </w:rPr>
        <w:t>родное сотрудничество с государствами транзита и назначения сенегал</w:t>
      </w:r>
      <w:r w:rsidRPr="00CF0015">
        <w:rPr>
          <w:b/>
        </w:rPr>
        <w:t>ь</w:t>
      </w:r>
      <w:r w:rsidRPr="00CF0015">
        <w:rPr>
          <w:b/>
        </w:rPr>
        <w:t>ских трудящихся-мигрантов с целью развития официальных каналов м</w:t>
      </w:r>
      <w:r w:rsidRPr="00CF0015">
        <w:rPr>
          <w:b/>
        </w:rPr>
        <w:t>и</w:t>
      </w:r>
      <w:r w:rsidRPr="00CF0015">
        <w:rPr>
          <w:b/>
        </w:rPr>
        <w:t>грации; проводить необходимые расследования и бороться с уголовными группировками, причастными к незаконному ввозу мигрантов; активиз</w:t>
      </w:r>
      <w:r w:rsidRPr="00CF0015">
        <w:rPr>
          <w:b/>
        </w:rPr>
        <w:t>и</w:t>
      </w:r>
      <w:r w:rsidRPr="00CF0015">
        <w:rPr>
          <w:b/>
        </w:rPr>
        <w:t xml:space="preserve">ровать на местном уровне кампании по повышению информированности населения об опасностях, связанных с нелегальной миграцией; принять все надлежащие меры для облегчения идентификации и репатриации </w:t>
      </w:r>
      <w:proofErr w:type="gramStart"/>
      <w:r w:rsidRPr="00CF0015">
        <w:rPr>
          <w:b/>
        </w:rPr>
        <w:t>в</w:t>
      </w:r>
      <w:proofErr w:type="gramEnd"/>
      <w:r w:rsidRPr="00CF0015">
        <w:rPr>
          <w:b/>
        </w:rPr>
        <w:t xml:space="preserve"> </w:t>
      </w:r>
      <w:proofErr w:type="gramStart"/>
      <w:r w:rsidRPr="00CF0015">
        <w:rPr>
          <w:b/>
        </w:rPr>
        <w:t>государство-участник</w:t>
      </w:r>
      <w:proofErr w:type="gramEnd"/>
      <w:r w:rsidRPr="00CF0015">
        <w:t xml:space="preserve"> </w:t>
      </w:r>
      <w:r w:rsidRPr="00CF0015">
        <w:rPr>
          <w:b/>
        </w:rPr>
        <w:t>останков сенегальцев, лишившихся жизни при п</w:t>
      </w:r>
      <w:r w:rsidRPr="00CF0015">
        <w:rPr>
          <w:b/>
        </w:rPr>
        <w:t>о</w:t>
      </w:r>
      <w:r w:rsidRPr="00CF0015">
        <w:rPr>
          <w:b/>
        </w:rPr>
        <w:t xml:space="preserve">пытке эмигрировать в другую страну; принять все необходимые меры для устранения коренных причин нелегальной миграции. </w:t>
      </w:r>
    </w:p>
    <w:p w:rsidR="00CF0015" w:rsidRPr="00CF0015" w:rsidRDefault="00CF0015" w:rsidP="00391906">
      <w:pPr>
        <w:pStyle w:val="H23GR"/>
      </w:pPr>
      <w:r w:rsidRPr="00CF0015">
        <w:tab/>
      </w:r>
      <w:r w:rsidRPr="00CF0015">
        <w:tab/>
        <w:t>Урегулирование положения</w:t>
      </w:r>
    </w:p>
    <w:p w:rsidR="00CF0015" w:rsidRPr="00CF0015" w:rsidRDefault="00CF0015" w:rsidP="00CF0015">
      <w:pPr>
        <w:pStyle w:val="SingleTxtGR"/>
      </w:pPr>
      <w:r w:rsidRPr="00CF0015">
        <w:t>60.</w:t>
      </w:r>
      <w:r w:rsidRPr="00CF0015">
        <w:tab/>
      </w:r>
      <w:proofErr w:type="gramStart"/>
      <w:r w:rsidRPr="00CF0015">
        <w:t>Комитет вновь выражает свою обеспокоенность (CMW/C/SEN/CO/1, пункт 23) в связи с тем, что ответственность за прекращение нелегального п</w:t>
      </w:r>
      <w:r w:rsidRPr="00CF0015">
        <w:t>о</w:t>
      </w:r>
      <w:r w:rsidRPr="00CF0015">
        <w:t>ложения, в котором может оказаться трудящийся-мигрант, возлагается на сам</w:t>
      </w:r>
      <w:r w:rsidRPr="00CF0015">
        <w:t>о</w:t>
      </w:r>
      <w:r w:rsidRPr="00CF0015">
        <w:t>го трудящегося-мигранта, который обязан обратиться в службы Управления п</w:t>
      </w:r>
      <w:r w:rsidRPr="00CF0015">
        <w:t>о</w:t>
      </w:r>
      <w:r w:rsidRPr="00CF0015">
        <w:t>лиции, занимающиеся делами иностранцев и вопросами проездных докуме</w:t>
      </w:r>
      <w:r w:rsidRPr="00CF0015">
        <w:t>н</w:t>
      </w:r>
      <w:r w:rsidRPr="00CF0015">
        <w:t>тов, с целью получения информации, необходимой для урегулирования его п</w:t>
      </w:r>
      <w:r w:rsidRPr="00CF0015">
        <w:t>о</w:t>
      </w:r>
      <w:r w:rsidRPr="00CF0015">
        <w:t>ложения.</w:t>
      </w:r>
      <w:proofErr w:type="gramEnd"/>
      <w:r w:rsidRPr="00CF0015">
        <w:t xml:space="preserve"> Комитет выражает сожаление в связи с отсутствием надлежащих мер по предоставлению информации и оказанию помощи трудящимся-мигрантам, предпринимающим эти шаги, и подчеркивает, что принятие надлежащих мер по применению статей 68 и 69 Конвенции является обязанностью государства-участника. </w:t>
      </w:r>
    </w:p>
    <w:p w:rsidR="00CF0015" w:rsidRPr="00CF0015" w:rsidRDefault="00CF0015" w:rsidP="00CF0015">
      <w:pPr>
        <w:pStyle w:val="SingleTxtGR"/>
      </w:pPr>
      <w:r w:rsidRPr="00CF0015">
        <w:t>61.</w:t>
      </w:r>
      <w:r w:rsidRPr="00CF0015">
        <w:tab/>
      </w:r>
      <w:r w:rsidRPr="00CF0015">
        <w:rPr>
          <w:b/>
        </w:rPr>
        <w:t>Комитет вновь рек</w:t>
      </w:r>
      <w:r w:rsidR="00391906">
        <w:rPr>
          <w:b/>
        </w:rPr>
        <w:t xml:space="preserve">омендует государству участнику </w:t>
      </w:r>
      <w:r w:rsidRPr="00CF0015">
        <w:rPr>
          <w:b/>
        </w:rPr>
        <w:t>(CMW/C/SEN/</w:t>
      </w:r>
      <w:r w:rsidR="00391906">
        <w:rPr>
          <w:b/>
        </w:rPr>
        <w:br/>
      </w:r>
      <w:r w:rsidRPr="00CF0015">
        <w:rPr>
          <w:b/>
        </w:rPr>
        <w:t>CO/1, пункт 23) принимать эффективные упреждающие меры для обесп</w:t>
      </w:r>
      <w:r w:rsidRPr="00CF0015">
        <w:rPr>
          <w:b/>
        </w:rPr>
        <w:t>е</w:t>
      </w:r>
      <w:r w:rsidRPr="00CF0015">
        <w:rPr>
          <w:b/>
        </w:rPr>
        <w:t>чения того, чтобы трудящиеся-мигранты и члены их семей не оставались без постоянного статуса. С этой целью государству-участнику предлагается начать кампанию по распространению информации о правах трудящихся-мигрантов и процедуре получения постоянного статуса трудящимися-мигрантами, не имеющими его. Комитет рекомендует использовать д</w:t>
      </w:r>
      <w:r w:rsidRPr="00CF0015">
        <w:rPr>
          <w:b/>
        </w:rPr>
        <w:t>о</w:t>
      </w:r>
      <w:r w:rsidRPr="00CF0015">
        <w:rPr>
          <w:b/>
        </w:rPr>
        <w:t>ступную и быструю процедуру получения постоянного статуса и оказывать неизменную помощь трудящимся-мигрантам, не имеющим постоянного статуса, в течение всего этого процесса.</w:t>
      </w:r>
    </w:p>
    <w:p w:rsidR="00CF0015" w:rsidRPr="00CF0015" w:rsidRDefault="00CF0015" w:rsidP="00391906">
      <w:pPr>
        <w:pStyle w:val="H23GR"/>
      </w:pPr>
      <w:r w:rsidRPr="00CF0015">
        <w:tab/>
        <w:t>6.</w:t>
      </w:r>
      <w:r w:rsidRPr="00CF0015">
        <w:tab/>
        <w:t xml:space="preserve">Последующие меры и распространение информации </w:t>
      </w:r>
    </w:p>
    <w:p w:rsidR="00CF0015" w:rsidRPr="00CF0015" w:rsidRDefault="00CF0015" w:rsidP="00391906">
      <w:pPr>
        <w:pStyle w:val="H23GR"/>
      </w:pPr>
      <w:r w:rsidRPr="00CF0015">
        <w:tab/>
      </w:r>
      <w:r w:rsidRPr="00CF0015">
        <w:tab/>
        <w:t>Последующие меры</w:t>
      </w:r>
    </w:p>
    <w:p w:rsidR="00CF0015" w:rsidRPr="00CF0015" w:rsidRDefault="00CF0015" w:rsidP="00CF0015">
      <w:pPr>
        <w:pStyle w:val="SingleTxtGR"/>
      </w:pPr>
      <w:r w:rsidRPr="00CF0015">
        <w:t>62.</w:t>
      </w:r>
      <w:r w:rsidRPr="00CF0015">
        <w:tab/>
      </w:r>
      <w:proofErr w:type="gramStart"/>
      <w:r w:rsidRPr="00CF0015">
        <w:rPr>
          <w:b/>
        </w:rPr>
        <w:t xml:space="preserve">Комитет просит </w:t>
      </w:r>
      <w:r w:rsidRPr="00CF0015">
        <w:rPr>
          <w:b/>
          <w:bCs/>
        </w:rPr>
        <w:t>государство-участник включить в свой четвертый периодический доклад подробную информацию о принятых мерах по ре</w:t>
      </w:r>
      <w:r w:rsidRPr="00CF0015">
        <w:rPr>
          <w:b/>
          <w:bCs/>
        </w:rPr>
        <w:t>а</w:t>
      </w:r>
      <w:r w:rsidRPr="00CF0015">
        <w:rPr>
          <w:b/>
          <w:bCs/>
        </w:rPr>
        <w:t>лизации рекомендаций, содержащихся в настоящих заключительных зам</w:t>
      </w:r>
      <w:r w:rsidRPr="00CF0015">
        <w:rPr>
          <w:b/>
          <w:bCs/>
        </w:rPr>
        <w:t>е</w:t>
      </w:r>
      <w:r w:rsidRPr="00CF0015">
        <w:rPr>
          <w:b/>
          <w:bCs/>
        </w:rPr>
        <w:t>чаниях.</w:t>
      </w:r>
      <w:proofErr w:type="gramEnd"/>
      <w:r w:rsidRPr="00CF0015">
        <w:rPr>
          <w:b/>
          <w:bCs/>
        </w:rPr>
        <w:t xml:space="preserve"> Комитет рекомендует государству-участнику принять все соотве</w:t>
      </w:r>
      <w:r w:rsidRPr="00CF0015">
        <w:rPr>
          <w:b/>
          <w:bCs/>
        </w:rPr>
        <w:t>т</w:t>
      </w:r>
      <w:r w:rsidRPr="00CF0015">
        <w:rPr>
          <w:b/>
          <w:bCs/>
        </w:rPr>
        <w:t xml:space="preserve">ствующие меры с целью обеспечить выполнение этих рекомендаций, в том числе путем их препровождения для рассмотрения и </w:t>
      </w:r>
      <w:proofErr w:type="gramStart"/>
      <w:r w:rsidRPr="00CF0015">
        <w:rPr>
          <w:b/>
          <w:bCs/>
        </w:rPr>
        <w:t>принятия</w:t>
      </w:r>
      <w:proofErr w:type="gramEnd"/>
      <w:r w:rsidRPr="00CF0015">
        <w:rPr>
          <w:b/>
          <w:bCs/>
        </w:rPr>
        <w:t xml:space="preserve"> последу</w:t>
      </w:r>
      <w:r w:rsidRPr="00CF0015">
        <w:rPr>
          <w:b/>
          <w:bCs/>
        </w:rPr>
        <w:t>ю</w:t>
      </w:r>
      <w:r w:rsidRPr="00CF0015">
        <w:rPr>
          <w:b/>
          <w:bCs/>
        </w:rPr>
        <w:t>щих мер членам правительства и парламента, а также местным органам власти</w:t>
      </w:r>
      <w:r w:rsidRPr="00CF0015">
        <w:rPr>
          <w:b/>
        </w:rPr>
        <w:t>.</w:t>
      </w:r>
    </w:p>
    <w:p w:rsidR="00CF0015" w:rsidRPr="00CF0015" w:rsidRDefault="00CF0015" w:rsidP="00CF0015">
      <w:pPr>
        <w:pStyle w:val="SingleTxtGR"/>
      </w:pPr>
      <w:r w:rsidRPr="00CF0015">
        <w:t>63.</w:t>
      </w:r>
      <w:r w:rsidRPr="00CF0015">
        <w:tab/>
      </w:r>
      <w:proofErr w:type="gramStart"/>
      <w:r w:rsidRPr="00CF0015">
        <w:rPr>
          <w:b/>
        </w:rPr>
        <w:t xml:space="preserve">Комитет просит </w:t>
      </w:r>
      <w:r w:rsidRPr="00CF0015">
        <w:rPr>
          <w:b/>
          <w:bCs/>
        </w:rPr>
        <w:t>государство-участник привлечь организации гра</w:t>
      </w:r>
      <w:r w:rsidRPr="00CF0015">
        <w:rPr>
          <w:b/>
          <w:bCs/>
        </w:rPr>
        <w:t>ж</w:t>
      </w:r>
      <w:r w:rsidRPr="00CF0015">
        <w:rPr>
          <w:b/>
          <w:bCs/>
        </w:rPr>
        <w:t>данского общества к осуществлению рекомендаций, содержащихся в настоящих заключительных замечаниях</w:t>
      </w:r>
      <w:r w:rsidRPr="00CF0015">
        <w:rPr>
          <w:b/>
        </w:rPr>
        <w:t>.</w:t>
      </w:r>
      <w:proofErr w:type="gramEnd"/>
    </w:p>
    <w:p w:rsidR="00CF0015" w:rsidRPr="00CF0015" w:rsidRDefault="00CF0015" w:rsidP="00391906">
      <w:pPr>
        <w:pStyle w:val="H23GR"/>
      </w:pPr>
      <w:r w:rsidRPr="00CF0015">
        <w:tab/>
      </w:r>
      <w:r w:rsidRPr="00CF0015">
        <w:tab/>
        <w:t>Последующий доклад</w:t>
      </w:r>
    </w:p>
    <w:p w:rsidR="00CF0015" w:rsidRPr="00CF0015" w:rsidRDefault="00CF0015" w:rsidP="00CF0015">
      <w:pPr>
        <w:pStyle w:val="SingleTxtGR"/>
      </w:pPr>
      <w:r w:rsidRPr="00CF0015">
        <w:t>64.</w:t>
      </w:r>
      <w:r w:rsidRPr="00CF0015">
        <w:tab/>
      </w:r>
      <w:r w:rsidRPr="00CF0015">
        <w:rPr>
          <w:b/>
        </w:rPr>
        <w:t>Комитет предлагает государству-участнику предоставить в течение двух лет, т.е. не позднее 1 мая 2018 года, письменную информацию о в</w:t>
      </w:r>
      <w:r w:rsidRPr="00CF0015">
        <w:rPr>
          <w:b/>
        </w:rPr>
        <w:t>ы</w:t>
      </w:r>
      <w:r w:rsidRPr="00CF0015">
        <w:rPr>
          <w:b/>
        </w:rPr>
        <w:t>полнении рекомендаций, содержащихся в пунктах 15, 27, 57 и 59 выше.</w:t>
      </w:r>
    </w:p>
    <w:p w:rsidR="00CF0015" w:rsidRPr="00CF0015" w:rsidRDefault="00CF0015" w:rsidP="00391906">
      <w:pPr>
        <w:pStyle w:val="H23GR"/>
      </w:pPr>
      <w:r w:rsidRPr="00CF0015">
        <w:tab/>
      </w:r>
      <w:r w:rsidRPr="00CF0015">
        <w:tab/>
        <w:t xml:space="preserve">Распространение информации </w:t>
      </w:r>
    </w:p>
    <w:p w:rsidR="00CF0015" w:rsidRPr="00CF0015" w:rsidRDefault="00CF0015" w:rsidP="00CF0015">
      <w:pPr>
        <w:pStyle w:val="SingleTxtGR"/>
      </w:pPr>
      <w:r w:rsidRPr="00CF0015">
        <w:t>65.</w:t>
      </w:r>
      <w:r w:rsidRPr="00CF0015">
        <w:tab/>
      </w:r>
      <w:r w:rsidRPr="00CF0015">
        <w:rPr>
          <w:b/>
        </w:rPr>
        <w:t>Комитет также просит государство-участник</w:t>
      </w:r>
      <w:r w:rsidRPr="00CF0015">
        <w:t xml:space="preserve"> </w:t>
      </w:r>
      <w:r w:rsidRPr="00CF0015">
        <w:rPr>
          <w:b/>
          <w:bCs/>
        </w:rPr>
        <w:t>широко распространять Конвенцию и настоящие заключительные замечания, в том числе среди государственных учреждений, судебных органов, неправительственных о</w:t>
      </w:r>
      <w:r w:rsidRPr="00CF0015">
        <w:rPr>
          <w:b/>
          <w:bCs/>
        </w:rPr>
        <w:t>р</w:t>
      </w:r>
      <w:r w:rsidRPr="00CF0015">
        <w:rPr>
          <w:b/>
          <w:bCs/>
        </w:rPr>
        <w:t xml:space="preserve">ганизаций и других субъектов гражданского общества, с </w:t>
      </w:r>
      <w:proofErr w:type="gramStart"/>
      <w:r w:rsidRPr="00CF0015">
        <w:rPr>
          <w:b/>
          <w:bCs/>
        </w:rPr>
        <w:t>тем</w:t>
      </w:r>
      <w:proofErr w:type="gramEnd"/>
      <w:r w:rsidRPr="00CF0015">
        <w:rPr>
          <w:b/>
          <w:bCs/>
        </w:rPr>
        <w:t xml:space="preserve"> чтобы пов</w:t>
      </w:r>
      <w:r w:rsidRPr="00CF0015">
        <w:rPr>
          <w:b/>
          <w:bCs/>
        </w:rPr>
        <w:t>ы</w:t>
      </w:r>
      <w:r w:rsidRPr="00CF0015">
        <w:rPr>
          <w:b/>
          <w:bCs/>
        </w:rPr>
        <w:t>сить осведомленность о Конвенции среди судебных, законодательных и а</w:t>
      </w:r>
      <w:r w:rsidRPr="00CF0015">
        <w:rPr>
          <w:b/>
          <w:bCs/>
        </w:rPr>
        <w:t>д</w:t>
      </w:r>
      <w:r w:rsidRPr="00CF0015">
        <w:rPr>
          <w:b/>
          <w:bCs/>
        </w:rPr>
        <w:t>министративных органов, гражданского общества и общественности в ц</w:t>
      </w:r>
      <w:r w:rsidRPr="00CF0015">
        <w:rPr>
          <w:b/>
          <w:bCs/>
        </w:rPr>
        <w:t>е</w:t>
      </w:r>
      <w:r w:rsidRPr="00CF0015">
        <w:rPr>
          <w:b/>
          <w:bCs/>
        </w:rPr>
        <w:t>лом</w:t>
      </w:r>
      <w:r w:rsidRPr="00CF0015">
        <w:rPr>
          <w:b/>
        </w:rPr>
        <w:t>.</w:t>
      </w:r>
    </w:p>
    <w:p w:rsidR="00CF0015" w:rsidRPr="00CF0015" w:rsidRDefault="00CF0015" w:rsidP="00391906">
      <w:pPr>
        <w:pStyle w:val="H23GR"/>
      </w:pPr>
      <w:r w:rsidRPr="00CF0015">
        <w:tab/>
        <w:t>7.</w:t>
      </w:r>
      <w:r w:rsidRPr="00CF0015">
        <w:tab/>
        <w:t>Техническая помощь</w:t>
      </w:r>
    </w:p>
    <w:p w:rsidR="00CF0015" w:rsidRPr="00CF0015" w:rsidRDefault="00CF0015" w:rsidP="00CF0015">
      <w:pPr>
        <w:pStyle w:val="SingleTxtGR"/>
      </w:pPr>
      <w:r w:rsidRPr="00CF0015">
        <w:t>66.</w:t>
      </w:r>
      <w:r w:rsidRPr="00CF0015">
        <w:tab/>
      </w:r>
      <w:r w:rsidRPr="00CF0015">
        <w:rPr>
          <w:b/>
        </w:rPr>
        <w:t xml:space="preserve">Комитет рекомендует государству-участнику обратиться к </w:t>
      </w:r>
      <w:r w:rsidRPr="00CF0015">
        <w:rPr>
          <w:b/>
          <w:bCs/>
        </w:rPr>
        <w:t>междун</w:t>
      </w:r>
      <w:r w:rsidRPr="00CF0015">
        <w:rPr>
          <w:b/>
          <w:bCs/>
        </w:rPr>
        <w:t>а</w:t>
      </w:r>
      <w:r w:rsidRPr="00CF0015">
        <w:rPr>
          <w:b/>
          <w:bCs/>
        </w:rPr>
        <w:t>родному сообществу за помощью, включая техническую помощь, для ра</w:t>
      </w:r>
      <w:r w:rsidRPr="00CF0015">
        <w:rPr>
          <w:b/>
          <w:bCs/>
        </w:rPr>
        <w:t>з</w:t>
      </w:r>
      <w:r w:rsidRPr="00CF0015">
        <w:rPr>
          <w:b/>
          <w:bCs/>
        </w:rPr>
        <w:t xml:space="preserve">работки всеобъемлющей программы по выполнению </w:t>
      </w:r>
      <w:proofErr w:type="gramStart"/>
      <w:r w:rsidRPr="00CF0015">
        <w:rPr>
          <w:b/>
          <w:bCs/>
        </w:rPr>
        <w:t>вышеизложенных</w:t>
      </w:r>
      <w:proofErr w:type="gramEnd"/>
      <w:r w:rsidRPr="00CF0015">
        <w:rPr>
          <w:b/>
          <w:bCs/>
        </w:rPr>
        <w:t xml:space="preserve"> р</w:t>
      </w:r>
      <w:r w:rsidRPr="00CF0015">
        <w:rPr>
          <w:b/>
          <w:bCs/>
        </w:rPr>
        <w:t>е</w:t>
      </w:r>
      <w:r w:rsidRPr="00CF0015">
        <w:rPr>
          <w:b/>
          <w:bCs/>
        </w:rPr>
        <w:t>комендаций и Конвенции в целом. Комитет также призывает государство-участник продолжить свое сотрудничество со специализированными учр</w:t>
      </w:r>
      <w:r w:rsidRPr="00CF0015">
        <w:rPr>
          <w:b/>
          <w:bCs/>
        </w:rPr>
        <w:t>е</w:t>
      </w:r>
      <w:r w:rsidRPr="00CF0015">
        <w:rPr>
          <w:b/>
          <w:bCs/>
        </w:rPr>
        <w:t>ждениями и программами системы Организации Объединенных Наций и в частности обратиться к Управлению Верховного комиссара по правам ч</w:t>
      </w:r>
      <w:r w:rsidRPr="00CF0015">
        <w:rPr>
          <w:b/>
          <w:bCs/>
        </w:rPr>
        <w:t>е</w:t>
      </w:r>
      <w:r w:rsidRPr="00CF0015">
        <w:rPr>
          <w:b/>
          <w:bCs/>
        </w:rPr>
        <w:t>ловека с просьбой о предоставлении технической помощи и дополнител</w:t>
      </w:r>
      <w:r w:rsidRPr="00CF0015">
        <w:rPr>
          <w:b/>
          <w:bCs/>
        </w:rPr>
        <w:t>ь</w:t>
      </w:r>
      <w:r w:rsidRPr="00CF0015">
        <w:rPr>
          <w:b/>
          <w:bCs/>
        </w:rPr>
        <w:t>ного потенциала, необходимых для подготовки докладов</w:t>
      </w:r>
      <w:r w:rsidRPr="00CF0015">
        <w:rPr>
          <w:b/>
        </w:rPr>
        <w:t>.</w:t>
      </w:r>
    </w:p>
    <w:p w:rsidR="00CF0015" w:rsidRPr="00CF0015" w:rsidRDefault="00CF0015" w:rsidP="00391906">
      <w:pPr>
        <w:pStyle w:val="H23GR"/>
      </w:pPr>
      <w:r w:rsidRPr="00CF0015">
        <w:tab/>
        <w:t>8.</w:t>
      </w:r>
      <w:r w:rsidRPr="00CF0015">
        <w:tab/>
        <w:t>Следующий периодический доклад</w:t>
      </w:r>
    </w:p>
    <w:p w:rsidR="00CF0015" w:rsidRPr="00CF0015" w:rsidRDefault="00CF0015" w:rsidP="00CF0015">
      <w:pPr>
        <w:pStyle w:val="SingleTxtGR"/>
      </w:pPr>
      <w:r w:rsidRPr="00CF0015">
        <w:t>67.</w:t>
      </w:r>
      <w:r w:rsidRPr="00CF0015">
        <w:tab/>
      </w:r>
      <w:proofErr w:type="gramStart"/>
      <w:r w:rsidRPr="00CF0015">
        <w:rPr>
          <w:b/>
        </w:rPr>
        <w:t xml:space="preserve">Комитет просит государство-участник </w:t>
      </w:r>
      <w:r w:rsidRPr="00CF0015">
        <w:rPr>
          <w:b/>
          <w:bCs/>
        </w:rPr>
        <w:t>представить свой четвертый периодический доклад не позднее 1 мая 2021 года и включить в него и</w:t>
      </w:r>
      <w:r w:rsidRPr="00CF0015">
        <w:rPr>
          <w:b/>
          <w:bCs/>
        </w:rPr>
        <w:t>н</w:t>
      </w:r>
      <w:r w:rsidRPr="00CF0015">
        <w:rPr>
          <w:b/>
          <w:bCs/>
        </w:rPr>
        <w:t>формацию об осуществлении настоящих заключительных замечаний. Гос</w:t>
      </w:r>
      <w:r w:rsidRPr="00CF0015">
        <w:rPr>
          <w:b/>
          <w:bCs/>
        </w:rPr>
        <w:t>у</w:t>
      </w:r>
      <w:r w:rsidRPr="00CF0015">
        <w:rPr>
          <w:b/>
          <w:bCs/>
        </w:rPr>
        <w:t>дарство-участник может также сделать выбор в пользу упрощенной проц</w:t>
      </w:r>
      <w:r w:rsidRPr="00CF0015">
        <w:rPr>
          <w:b/>
          <w:bCs/>
        </w:rPr>
        <w:t>е</w:t>
      </w:r>
      <w:r w:rsidRPr="00CF0015">
        <w:rPr>
          <w:b/>
          <w:bCs/>
        </w:rPr>
        <w:t xml:space="preserve">дуры представления отчетности, в соответствии с </w:t>
      </w:r>
      <w:r w:rsidR="00391906" w:rsidRPr="00CF0015">
        <w:rPr>
          <w:b/>
          <w:bCs/>
        </w:rPr>
        <w:t>которой</w:t>
      </w:r>
      <w:r w:rsidRPr="00CF0015">
        <w:rPr>
          <w:b/>
          <w:bCs/>
        </w:rPr>
        <w:t>̆ Комитет с</w:t>
      </w:r>
      <w:r w:rsidRPr="00CF0015">
        <w:rPr>
          <w:b/>
          <w:bCs/>
        </w:rPr>
        <w:t>о</w:t>
      </w:r>
      <w:r w:rsidRPr="00CF0015">
        <w:rPr>
          <w:b/>
          <w:bCs/>
        </w:rPr>
        <w:t>ставляет перечень вопросов, препровождаемый государству-участнику до представления его следующего доклада.</w:t>
      </w:r>
      <w:proofErr w:type="gramEnd"/>
      <w:r w:rsidRPr="00CF0015">
        <w:rPr>
          <w:b/>
          <w:bCs/>
        </w:rPr>
        <w:t xml:space="preserve"> Ответы государства-участника на этот перечень вопросы и будут представлять собой его доклад по статье 73 Конвенции, и, соответственно, необходимость направлять обычный пери</w:t>
      </w:r>
      <w:r w:rsidRPr="00CF0015">
        <w:rPr>
          <w:b/>
          <w:bCs/>
        </w:rPr>
        <w:t>о</w:t>
      </w:r>
      <w:r w:rsidRPr="00CF0015">
        <w:rPr>
          <w:b/>
          <w:bCs/>
        </w:rPr>
        <w:t>дический доклад отпадает. Эта новая факультативная процедура была принята Комитетом на его четырнадцатой</w:t>
      </w:r>
      <w:r w:rsidR="00391906">
        <w:rPr>
          <w:b/>
          <w:bCs/>
        </w:rPr>
        <w:t xml:space="preserve"> сессии в апреле 2011 года (см. </w:t>
      </w:r>
      <w:r w:rsidRPr="00CF0015">
        <w:rPr>
          <w:b/>
          <w:bCs/>
        </w:rPr>
        <w:t xml:space="preserve">A/66/48, пункт 26). </w:t>
      </w:r>
    </w:p>
    <w:p w:rsidR="00CF0015" w:rsidRPr="00CF0015" w:rsidRDefault="00CF0015" w:rsidP="00CF0015">
      <w:pPr>
        <w:pStyle w:val="SingleTxtGR"/>
      </w:pPr>
      <w:r w:rsidRPr="00CF0015">
        <w:t>68.</w:t>
      </w:r>
      <w:r w:rsidRPr="00CF0015">
        <w:tab/>
      </w:r>
      <w:r w:rsidRPr="00CF0015">
        <w:rPr>
          <w:b/>
        </w:rPr>
        <w:t xml:space="preserve">Комитет обращает внимание государства-участника на </w:t>
      </w:r>
      <w:r w:rsidRPr="00CF0015">
        <w:rPr>
          <w:b/>
          <w:bCs/>
        </w:rPr>
        <w:t>свои руков</w:t>
      </w:r>
      <w:r w:rsidRPr="00CF0015">
        <w:rPr>
          <w:b/>
          <w:bCs/>
        </w:rPr>
        <w:t>о</w:t>
      </w:r>
      <w:r w:rsidRPr="00CF0015">
        <w:rPr>
          <w:b/>
          <w:bCs/>
        </w:rPr>
        <w:t xml:space="preserve">дящие принципы составления периодических докладов (CMW/C/2008/1) и напоминает ему, что согласно резолюции 68/268 </w:t>
      </w:r>
      <w:r w:rsidR="00391906" w:rsidRPr="00CF0015">
        <w:rPr>
          <w:b/>
          <w:bCs/>
        </w:rPr>
        <w:t>Генеральной</w:t>
      </w:r>
      <w:r w:rsidRPr="00CF0015">
        <w:rPr>
          <w:b/>
          <w:bCs/>
        </w:rPr>
        <w:t xml:space="preserve">̆ Ассамблеи объем периодических докладов не должен </w:t>
      </w:r>
      <w:r w:rsidR="00AC17F5">
        <w:rPr>
          <w:b/>
          <w:bCs/>
        </w:rPr>
        <w:t>превышать 21 200 слов. В случае</w:t>
      </w:r>
      <w:r w:rsidRPr="00CF0015">
        <w:rPr>
          <w:b/>
          <w:bCs/>
        </w:rPr>
        <w:t xml:space="preserve"> если представляемый доклад превышает этот объем, государству-участнику будет предложено сократить его в соответствии с вышеупомян</w:t>
      </w:r>
      <w:r w:rsidRPr="00CF0015">
        <w:rPr>
          <w:b/>
          <w:bCs/>
        </w:rPr>
        <w:t>у</w:t>
      </w:r>
      <w:r w:rsidRPr="00CF0015">
        <w:rPr>
          <w:b/>
          <w:bCs/>
        </w:rPr>
        <w:t>тыми руководящими принципами. Если государство-участник окажется не в состоянии пересмотреть доклад и представить его вновь, перевод докл</w:t>
      </w:r>
      <w:r w:rsidRPr="00CF0015">
        <w:rPr>
          <w:b/>
          <w:bCs/>
        </w:rPr>
        <w:t>а</w:t>
      </w:r>
      <w:r w:rsidRPr="00CF0015">
        <w:rPr>
          <w:b/>
          <w:bCs/>
        </w:rPr>
        <w:t>да для целей его рассмотрения договорным органом не гарантируется</w:t>
      </w:r>
      <w:r w:rsidRPr="00CF0015">
        <w:rPr>
          <w:b/>
        </w:rPr>
        <w:t>.</w:t>
      </w:r>
    </w:p>
    <w:p w:rsidR="002106F2" w:rsidRDefault="00CF0015" w:rsidP="00CF0015">
      <w:pPr>
        <w:pStyle w:val="SingleTxtGR"/>
        <w:rPr>
          <w:b/>
        </w:rPr>
      </w:pPr>
      <w:r w:rsidRPr="00CF0015">
        <w:t>69.</w:t>
      </w:r>
      <w:r w:rsidRPr="00CF0015">
        <w:tab/>
      </w:r>
      <w:proofErr w:type="gramStart"/>
      <w:r w:rsidRPr="00CF0015">
        <w:rPr>
          <w:b/>
        </w:rPr>
        <w:t xml:space="preserve">Комитет просит государство-участник </w:t>
      </w:r>
      <w:r w:rsidRPr="00CF0015">
        <w:rPr>
          <w:b/>
          <w:bCs/>
        </w:rPr>
        <w:t>обеспечить широкое участие всех министерств и государственных органов в подготовке своего следу</w:t>
      </w:r>
      <w:r w:rsidRPr="00CF0015">
        <w:rPr>
          <w:b/>
          <w:bCs/>
        </w:rPr>
        <w:t>ю</w:t>
      </w:r>
      <w:r w:rsidRPr="00CF0015">
        <w:rPr>
          <w:b/>
          <w:bCs/>
        </w:rPr>
        <w:t>щего периодического доклада (или ответов на перечень вопросов в случае использования упрощенной процедуры представления отчетности) и нар</w:t>
      </w:r>
      <w:r w:rsidRPr="00CF0015">
        <w:rPr>
          <w:b/>
          <w:bCs/>
        </w:rPr>
        <w:t>я</w:t>
      </w:r>
      <w:r w:rsidRPr="00CF0015">
        <w:rPr>
          <w:b/>
          <w:bCs/>
        </w:rPr>
        <w:t>ду с этим провести широкие консультации со всеми заинтересованными субъектами, включая гражданское общество, организации по защите прав трудящихся-мигрантов и правозащитные организации</w:t>
      </w:r>
      <w:r w:rsidRPr="00CF0015">
        <w:rPr>
          <w:b/>
        </w:rPr>
        <w:t>.</w:t>
      </w:r>
      <w:proofErr w:type="gramEnd"/>
    </w:p>
    <w:p w:rsidR="00391906" w:rsidRPr="00391906" w:rsidRDefault="00391906" w:rsidP="003919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1906" w:rsidRPr="00391906" w:rsidSect="00210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2" w:rsidRDefault="002B1D92" w:rsidP="00B471C5">
      <w:r>
        <w:separator/>
      </w:r>
    </w:p>
  </w:endnote>
  <w:endnote w:type="continuationSeparator" w:id="0">
    <w:p w:rsidR="002B1D92" w:rsidRDefault="002B1D9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2" w:rsidRPr="009A6F4A" w:rsidRDefault="002B1D92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E5C20">
      <w:rPr>
        <w:rStyle w:val="a9"/>
        <w:noProof/>
      </w:rPr>
      <w:t>18</w:t>
    </w:r>
    <w:r>
      <w:rPr>
        <w:rStyle w:val="a9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6-08075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2" w:rsidRPr="009A6F4A" w:rsidRDefault="002B1D92">
    <w:pPr>
      <w:pStyle w:val="a7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6-08075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E5C20">
      <w:rPr>
        <w:rStyle w:val="a9"/>
        <w:noProof/>
      </w:rPr>
      <w:t>19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B1D92" w:rsidRPr="00797A78" w:rsidTr="00CF001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B1D92" w:rsidRPr="001C3ABC" w:rsidRDefault="002B1D92" w:rsidP="00CF001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08075</w:t>
          </w:r>
          <w:r w:rsidRPr="001C3ABC">
            <w:rPr>
              <w:lang w:val="en-US"/>
            </w:rPr>
            <w:t xml:space="preserve"> (R)</w:t>
          </w:r>
          <w:r w:rsidR="00F149CA">
            <w:rPr>
              <w:lang w:val="en-US"/>
            </w:rPr>
            <w:t xml:space="preserve">  080616  0</w:t>
          </w:r>
          <w:r w:rsidR="00F149CA">
            <w:t>8</w:t>
          </w:r>
          <w:r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B1D92" w:rsidRDefault="002B1D92" w:rsidP="00CF001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27EF69F" wp14:editId="4BC811E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B1D92" w:rsidRDefault="002B1D92" w:rsidP="00CF001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CMW/C/SEN/CO/2-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MW/C/SEN/CO/2-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1D92" w:rsidRPr="00797A78" w:rsidTr="00CF001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B1D92" w:rsidRPr="00364D01" w:rsidRDefault="002B1D92" w:rsidP="00CF001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64D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B1D92" w:rsidRDefault="002B1D92" w:rsidP="00CF001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B1D92" w:rsidRDefault="002B1D92" w:rsidP="00CF0015"/>
      </w:tc>
    </w:tr>
  </w:tbl>
  <w:p w:rsidR="002B1D92" w:rsidRDefault="002B1D92" w:rsidP="00CF001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2" w:rsidRPr="009141DC" w:rsidRDefault="002B1D9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B1D92" w:rsidRPr="00D1261C" w:rsidRDefault="002B1D9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B1D92" w:rsidRPr="00B522CC" w:rsidRDefault="002B1D92" w:rsidP="00CF0015">
      <w:pPr>
        <w:pStyle w:val="aa"/>
        <w:rPr>
          <w:lang w:val="ru-RU"/>
        </w:rPr>
      </w:pPr>
      <w:r w:rsidRPr="00B522CC">
        <w:rPr>
          <w:rStyle w:val="a6"/>
          <w:lang w:val="ru-RU"/>
        </w:rPr>
        <w:tab/>
      </w:r>
      <w:r w:rsidRPr="00CF0015">
        <w:rPr>
          <w:rStyle w:val="a6"/>
          <w:sz w:val="20"/>
          <w:vertAlign w:val="baseline"/>
          <w:lang w:val="ru-RU"/>
        </w:rPr>
        <w:t>*</w:t>
      </w:r>
      <w:r w:rsidRPr="00B522CC">
        <w:rPr>
          <w:rStyle w:val="a6"/>
          <w:sz w:val="20"/>
          <w:lang w:val="ru-RU"/>
        </w:rPr>
        <w:tab/>
      </w:r>
      <w:r w:rsidRPr="00EE1A48">
        <w:rPr>
          <w:szCs w:val="18"/>
          <w:lang w:val="ru-RU"/>
        </w:rPr>
        <w:t>Приняты Комитетом на ег</w:t>
      </w:r>
      <w:r>
        <w:rPr>
          <w:szCs w:val="18"/>
          <w:lang w:val="ru-RU"/>
        </w:rPr>
        <w:t>о двадцать четвертой сессии (11</w:t>
      </w:r>
      <w:r w:rsidRPr="00CF0015">
        <w:rPr>
          <w:szCs w:val="18"/>
          <w:lang w:val="ru-RU"/>
        </w:rPr>
        <w:t>–</w:t>
      </w:r>
      <w:r w:rsidRPr="00EE1A48">
        <w:rPr>
          <w:szCs w:val="18"/>
          <w:lang w:val="ru-RU"/>
        </w:rPr>
        <w:t>22 апреля 2016 года).</w:t>
      </w:r>
    </w:p>
  </w:footnote>
  <w:footnote w:id="2">
    <w:p w:rsidR="002B1D92" w:rsidRPr="00B522CC" w:rsidRDefault="002B1D92" w:rsidP="00CF0015">
      <w:pPr>
        <w:pStyle w:val="aa"/>
        <w:rPr>
          <w:lang w:val="ru-RU"/>
        </w:rPr>
      </w:pPr>
      <w:r w:rsidRPr="00B522CC">
        <w:rPr>
          <w:lang w:val="ru-RU"/>
        </w:rPr>
        <w:tab/>
      </w:r>
      <w:r w:rsidRPr="002E601B">
        <w:rPr>
          <w:rStyle w:val="a6"/>
          <w:lang w:val="fr-FR"/>
        </w:rPr>
        <w:footnoteRef/>
      </w:r>
      <w:r w:rsidRPr="00B522CC">
        <w:rPr>
          <w:lang w:val="ru-RU"/>
        </w:rPr>
        <w:tab/>
      </w:r>
      <w:r w:rsidRPr="00EE1A48">
        <w:rPr>
          <w:lang w:val="ru-RU"/>
        </w:rPr>
        <w:t>Программа в области устойчивого развития на период до 2030 года была принята Генеральной Ассамблеей 25 сентября 2015 года в ее резолюции</w:t>
      </w:r>
      <w:r>
        <w:rPr>
          <w:lang w:val="ru-RU"/>
        </w:rPr>
        <w:t xml:space="preserve"> 70/1. Она</w:t>
      </w:r>
      <w:r w:rsidRPr="00EE1A48">
        <w:rPr>
          <w:lang w:val="ru-RU"/>
        </w:rPr>
        <w:t xml:space="preserve"> </w:t>
      </w:r>
      <w:r>
        <w:rPr>
          <w:lang w:val="ru-RU"/>
        </w:rPr>
        <w:t>включает 17 </w:t>
      </w:r>
      <w:r w:rsidRPr="00EE1A48">
        <w:rPr>
          <w:lang w:val="ru-RU"/>
        </w:rPr>
        <w:t>целей в области устойчивого развития, которые</w:t>
      </w:r>
      <w:r w:rsidRPr="00B522CC">
        <w:rPr>
          <w:lang w:val="ru-RU"/>
        </w:rPr>
        <w:t xml:space="preserve"> </w:t>
      </w:r>
      <w:r>
        <w:rPr>
          <w:lang w:val="ru-RU"/>
        </w:rPr>
        <w:t>в свою очередь разбиты на целевые показатели</w:t>
      </w:r>
      <w:r w:rsidRPr="00B522C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2" w:rsidRPr="00400E0F" w:rsidRDefault="002B1D92">
    <w:pPr>
      <w:pStyle w:val="a3"/>
      <w:rPr>
        <w:lang w:val="en-US"/>
      </w:rPr>
    </w:pPr>
    <w:r>
      <w:rPr>
        <w:lang w:val="en-US"/>
      </w:rPr>
      <w:t>CMW/C/SEN/CO/2-3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2" w:rsidRPr="009A6F4A" w:rsidRDefault="002B1D92">
    <w:pPr>
      <w:pStyle w:val="a3"/>
      <w:rPr>
        <w:lang w:val="en-US"/>
      </w:rPr>
    </w:pPr>
    <w:r>
      <w:rPr>
        <w:lang w:val="en-US"/>
      </w:rPr>
      <w:tab/>
      <w:t>CMW/C/SEN/CO/2-3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A" w:rsidRDefault="00F149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7E0"/>
    <w:multiLevelType w:val="hybridMultilevel"/>
    <w:tmpl w:val="4B06850C"/>
    <w:lvl w:ilvl="0" w:tplc="10AAB83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7A84E1D"/>
    <w:multiLevelType w:val="hybridMultilevel"/>
    <w:tmpl w:val="3E62B098"/>
    <w:lvl w:ilvl="0" w:tplc="23BA1D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0947FE3"/>
    <w:multiLevelType w:val="hybridMultilevel"/>
    <w:tmpl w:val="FD02D9F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6F257B3"/>
    <w:multiLevelType w:val="hybridMultilevel"/>
    <w:tmpl w:val="6BB809E4"/>
    <w:lvl w:ilvl="0" w:tplc="EC4810CC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3FBE1153"/>
    <w:multiLevelType w:val="hybridMultilevel"/>
    <w:tmpl w:val="BE56A440"/>
    <w:lvl w:ilvl="0" w:tplc="C3BE0CAE">
      <w:start w:val="5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1"/>
    <w:rsid w:val="000450D1"/>
    <w:rsid w:val="000E3698"/>
    <w:rsid w:val="000F2A4F"/>
    <w:rsid w:val="001D5856"/>
    <w:rsid w:val="00203F84"/>
    <w:rsid w:val="002106F2"/>
    <w:rsid w:val="00275188"/>
    <w:rsid w:val="0028687D"/>
    <w:rsid w:val="002B091C"/>
    <w:rsid w:val="002B1D92"/>
    <w:rsid w:val="002D0CCB"/>
    <w:rsid w:val="00345C79"/>
    <w:rsid w:val="00364D01"/>
    <w:rsid w:val="00366A39"/>
    <w:rsid w:val="0036720F"/>
    <w:rsid w:val="00391906"/>
    <w:rsid w:val="003A0B4C"/>
    <w:rsid w:val="003B415D"/>
    <w:rsid w:val="00400993"/>
    <w:rsid w:val="004518B0"/>
    <w:rsid w:val="0048005C"/>
    <w:rsid w:val="004E242B"/>
    <w:rsid w:val="004E5C20"/>
    <w:rsid w:val="00515CE2"/>
    <w:rsid w:val="00544379"/>
    <w:rsid w:val="00566944"/>
    <w:rsid w:val="005D56BF"/>
    <w:rsid w:val="00665D8D"/>
    <w:rsid w:val="006A7A3B"/>
    <w:rsid w:val="006B6B57"/>
    <w:rsid w:val="00705394"/>
    <w:rsid w:val="007172DF"/>
    <w:rsid w:val="00743F62"/>
    <w:rsid w:val="00760D3A"/>
    <w:rsid w:val="007A1F42"/>
    <w:rsid w:val="007D76DD"/>
    <w:rsid w:val="007E7A41"/>
    <w:rsid w:val="008717E8"/>
    <w:rsid w:val="008A2736"/>
    <w:rsid w:val="008D01AE"/>
    <w:rsid w:val="008D3AA6"/>
    <w:rsid w:val="008E0423"/>
    <w:rsid w:val="009141DC"/>
    <w:rsid w:val="009174A1"/>
    <w:rsid w:val="0098674D"/>
    <w:rsid w:val="00997ACA"/>
    <w:rsid w:val="009F620E"/>
    <w:rsid w:val="00A03FB7"/>
    <w:rsid w:val="00A75A11"/>
    <w:rsid w:val="00AC17F5"/>
    <w:rsid w:val="00AD7EAD"/>
    <w:rsid w:val="00B35A32"/>
    <w:rsid w:val="00B432C6"/>
    <w:rsid w:val="00B471C5"/>
    <w:rsid w:val="00B6474A"/>
    <w:rsid w:val="00BE1742"/>
    <w:rsid w:val="00CF0015"/>
    <w:rsid w:val="00D1261C"/>
    <w:rsid w:val="00D75DCE"/>
    <w:rsid w:val="00D929E2"/>
    <w:rsid w:val="00DD35AC"/>
    <w:rsid w:val="00DD479F"/>
    <w:rsid w:val="00E15E48"/>
    <w:rsid w:val="00EB0723"/>
    <w:rsid w:val="00EE6F37"/>
    <w:rsid w:val="00F149CA"/>
    <w:rsid w:val="00F1599F"/>
    <w:rsid w:val="00F31EF2"/>
    <w:rsid w:val="00F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6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0015"/>
    <w:pPr>
      <w:suppressAutoHyphens/>
      <w:outlineLvl w:val="1"/>
    </w:pPr>
    <w:rPr>
      <w:spacing w:val="0"/>
      <w:w w:val="100"/>
      <w:kern w:val="0"/>
      <w:lang w:val="fr-CH"/>
    </w:rPr>
  </w:style>
  <w:style w:type="paragraph" w:styleId="3">
    <w:name w:val="heading 3"/>
    <w:basedOn w:val="a"/>
    <w:next w:val="a"/>
    <w:link w:val="30"/>
    <w:qFormat/>
    <w:rsid w:val="00CF0015"/>
    <w:pPr>
      <w:suppressAutoHyphens/>
      <w:outlineLvl w:val="2"/>
    </w:pPr>
    <w:rPr>
      <w:spacing w:val="0"/>
      <w:w w:val="100"/>
      <w:kern w:val="0"/>
      <w:lang w:val="fr-CH"/>
    </w:rPr>
  </w:style>
  <w:style w:type="paragraph" w:styleId="4">
    <w:name w:val="heading 4"/>
    <w:basedOn w:val="a"/>
    <w:next w:val="a"/>
    <w:link w:val="40"/>
    <w:qFormat/>
    <w:rsid w:val="00CF0015"/>
    <w:pPr>
      <w:suppressAutoHyphens/>
      <w:outlineLvl w:val="3"/>
    </w:pPr>
    <w:rPr>
      <w:spacing w:val="0"/>
      <w:w w:val="100"/>
      <w:kern w:val="0"/>
      <w:lang w:val="fr-CH"/>
    </w:rPr>
  </w:style>
  <w:style w:type="paragraph" w:styleId="5">
    <w:name w:val="heading 5"/>
    <w:basedOn w:val="a"/>
    <w:next w:val="a"/>
    <w:link w:val="50"/>
    <w:qFormat/>
    <w:rsid w:val="00CF0015"/>
    <w:pPr>
      <w:suppressAutoHyphens/>
      <w:outlineLvl w:val="4"/>
    </w:pPr>
    <w:rPr>
      <w:spacing w:val="0"/>
      <w:w w:val="100"/>
      <w:kern w:val="0"/>
      <w:lang w:val="fr-CH"/>
    </w:rPr>
  </w:style>
  <w:style w:type="paragraph" w:styleId="6">
    <w:name w:val="heading 6"/>
    <w:basedOn w:val="a"/>
    <w:next w:val="a"/>
    <w:link w:val="60"/>
    <w:qFormat/>
    <w:rsid w:val="00CF0015"/>
    <w:pPr>
      <w:suppressAutoHyphens/>
      <w:outlineLvl w:val="5"/>
    </w:pPr>
    <w:rPr>
      <w:spacing w:val="0"/>
      <w:w w:val="100"/>
      <w:kern w:val="0"/>
      <w:lang w:val="fr-CH"/>
    </w:rPr>
  </w:style>
  <w:style w:type="paragraph" w:styleId="7">
    <w:name w:val="heading 7"/>
    <w:basedOn w:val="a"/>
    <w:next w:val="a"/>
    <w:link w:val="70"/>
    <w:qFormat/>
    <w:rsid w:val="00CF0015"/>
    <w:pPr>
      <w:suppressAutoHyphens/>
      <w:outlineLvl w:val="6"/>
    </w:pPr>
    <w:rPr>
      <w:spacing w:val="0"/>
      <w:w w:val="100"/>
      <w:kern w:val="0"/>
      <w:lang w:val="fr-CH"/>
    </w:rPr>
  </w:style>
  <w:style w:type="paragraph" w:styleId="8">
    <w:name w:val="heading 8"/>
    <w:basedOn w:val="a"/>
    <w:next w:val="a"/>
    <w:link w:val="80"/>
    <w:qFormat/>
    <w:rsid w:val="00CF0015"/>
    <w:pPr>
      <w:suppressAutoHyphens/>
      <w:outlineLvl w:val="7"/>
    </w:pPr>
    <w:rPr>
      <w:spacing w:val="0"/>
      <w:w w:val="100"/>
      <w:kern w:val="0"/>
      <w:lang w:val="fr-CH"/>
    </w:rPr>
  </w:style>
  <w:style w:type="paragraph" w:styleId="9">
    <w:name w:val="heading 9"/>
    <w:basedOn w:val="a"/>
    <w:next w:val="a"/>
    <w:link w:val="90"/>
    <w:qFormat/>
    <w:rsid w:val="00CF0015"/>
    <w:pPr>
      <w:suppressAutoHyphens/>
      <w:outlineLvl w:val="8"/>
    </w:pPr>
    <w:rPr>
      <w:spacing w:val="0"/>
      <w:w w:val="100"/>
      <w:kern w:val="0"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30">
    <w:name w:val="Заголовок 3 Знак"/>
    <w:basedOn w:val="a0"/>
    <w:link w:val="3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40">
    <w:name w:val="Заголовок 4 Знак"/>
    <w:basedOn w:val="a0"/>
    <w:link w:val="4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50">
    <w:name w:val="Заголовок 5 Знак"/>
    <w:basedOn w:val="a0"/>
    <w:link w:val="5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60">
    <w:name w:val="Заголовок 6 Знак"/>
    <w:basedOn w:val="a0"/>
    <w:link w:val="6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70">
    <w:name w:val="Заголовок 7 Знак"/>
    <w:basedOn w:val="a0"/>
    <w:link w:val="7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80">
    <w:name w:val="Заголовок 8 Знак"/>
    <w:basedOn w:val="a0"/>
    <w:link w:val="8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90">
    <w:name w:val="Заголовок 9 Знак"/>
    <w:basedOn w:val="a0"/>
    <w:link w:val="9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">
    <w:name w:val="_ H __M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a"/>
    <w:next w:val="a"/>
    <w:rsid w:val="00CF00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a"/>
    <w:next w:val="a"/>
    <w:rsid w:val="00CF001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a"/>
    <w:link w:val="SingleTxtGChar"/>
    <w:rsid w:val="00CF0015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SLG">
    <w:name w:val="__S_L_G"/>
    <w:basedOn w:val="a"/>
    <w:next w:val="a"/>
    <w:rsid w:val="00CF001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a"/>
    <w:next w:val="a"/>
    <w:rsid w:val="00CF001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a"/>
    <w:next w:val="a"/>
    <w:rsid w:val="00CF001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a"/>
    <w:next w:val="a"/>
    <w:rsid w:val="00CF001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a"/>
    <w:rsid w:val="00CF0015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a"/>
    <w:rsid w:val="00CF0015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styleId="af">
    <w:name w:val="annotation reference"/>
    <w:rsid w:val="00CF0015"/>
    <w:rPr>
      <w:sz w:val="16"/>
      <w:szCs w:val="16"/>
    </w:rPr>
  </w:style>
  <w:style w:type="paragraph" w:styleId="af0">
    <w:name w:val="annotation text"/>
    <w:basedOn w:val="a"/>
    <w:link w:val="af1"/>
    <w:rsid w:val="00CF0015"/>
    <w:pPr>
      <w:suppressAutoHyphens/>
    </w:pPr>
    <w:rPr>
      <w:spacing w:val="0"/>
      <w:w w:val="100"/>
      <w:kern w:val="0"/>
      <w:lang w:val="fr-CH"/>
    </w:rPr>
  </w:style>
  <w:style w:type="character" w:customStyle="1" w:styleId="af1">
    <w:name w:val="Текст примечания Знак"/>
    <w:basedOn w:val="a0"/>
    <w:link w:val="af0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af2">
    <w:name w:val="annotation subject"/>
    <w:basedOn w:val="af0"/>
    <w:next w:val="af0"/>
    <w:link w:val="af3"/>
    <w:rsid w:val="00CF0015"/>
    <w:rPr>
      <w:b/>
      <w:bCs/>
    </w:rPr>
  </w:style>
  <w:style w:type="character" w:customStyle="1" w:styleId="af3">
    <w:name w:val="Тема примечания Знак"/>
    <w:basedOn w:val="af1"/>
    <w:link w:val="af2"/>
    <w:rsid w:val="00CF0015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af4">
    <w:name w:val="Balloon Text"/>
    <w:basedOn w:val="a"/>
    <w:link w:val="af5"/>
    <w:rsid w:val="00CF0015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fr-CH"/>
    </w:rPr>
  </w:style>
  <w:style w:type="character" w:customStyle="1" w:styleId="af5">
    <w:name w:val="Текст выноски Знак"/>
    <w:basedOn w:val="a0"/>
    <w:link w:val="af4"/>
    <w:rsid w:val="00CF0015"/>
    <w:rPr>
      <w:rFonts w:ascii="Tahoma" w:eastAsia="Times New Roman" w:hAnsi="Tahoma" w:cs="Tahoma"/>
      <w:sz w:val="16"/>
      <w:szCs w:val="16"/>
      <w:lang w:val="fr-CH"/>
    </w:rPr>
  </w:style>
  <w:style w:type="paragraph" w:styleId="af6">
    <w:name w:val="List Paragraph"/>
    <w:basedOn w:val="a"/>
    <w:uiPriority w:val="34"/>
    <w:qFormat/>
    <w:rsid w:val="00CF0015"/>
    <w:pPr>
      <w:suppressAutoHyphens/>
      <w:ind w:left="720"/>
    </w:pPr>
    <w:rPr>
      <w:spacing w:val="0"/>
      <w:w w:val="100"/>
      <w:kern w:val="0"/>
      <w:lang w:val="fr-CH"/>
    </w:rPr>
  </w:style>
  <w:style w:type="paragraph" w:styleId="af7">
    <w:name w:val="Normal (Web)"/>
    <w:basedOn w:val="a"/>
    <w:uiPriority w:val="99"/>
    <w:unhideWhenUsed/>
    <w:rsid w:val="00CF0015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US" w:eastAsia="zh-CN"/>
    </w:rPr>
  </w:style>
  <w:style w:type="character" w:customStyle="1" w:styleId="st">
    <w:name w:val="st"/>
    <w:basedOn w:val="a0"/>
    <w:rsid w:val="00CF0015"/>
  </w:style>
  <w:style w:type="character" w:styleId="af8">
    <w:name w:val="Emphasis"/>
    <w:basedOn w:val="a0"/>
    <w:uiPriority w:val="20"/>
    <w:qFormat/>
    <w:rsid w:val="00CF00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6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0015"/>
    <w:pPr>
      <w:suppressAutoHyphens/>
      <w:outlineLvl w:val="1"/>
    </w:pPr>
    <w:rPr>
      <w:spacing w:val="0"/>
      <w:w w:val="100"/>
      <w:kern w:val="0"/>
      <w:lang w:val="fr-CH"/>
    </w:rPr>
  </w:style>
  <w:style w:type="paragraph" w:styleId="3">
    <w:name w:val="heading 3"/>
    <w:basedOn w:val="a"/>
    <w:next w:val="a"/>
    <w:link w:val="30"/>
    <w:qFormat/>
    <w:rsid w:val="00CF0015"/>
    <w:pPr>
      <w:suppressAutoHyphens/>
      <w:outlineLvl w:val="2"/>
    </w:pPr>
    <w:rPr>
      <w:spacing w:val="0"/>
      <w:w w:val="100"/>
      <w:kern w:val="0"/>
      <w:lang w:val="fr-CH"/>
    </w:rPr>
  </w:style>
  <w:style w:type="paragraph" w:styleId="4">
    <w:name w:val="heading 4"/>
    <w:basedOn w:val="a"/>
    <w:next w:val="a"/>
    <w:link w:val="40"/>
    <w:qFormat/>
    <w:rsid w:val="00CF0015"/>
    <w:pPr>
      <w:suppressAutoHyphens/>
      <w:outlineLvl w:val="3"/>
    </w:pPr>
    <w:rPr>
      <w:spacing w:val="0"/>
      <w:w w:val="100"/>
      <w:kern w:val="0"/>
      <w:lang w:val="fr-CH"/>
    </w:rPr>
  </w:style>
  <w:style w:type="paragraph" w:styleId="5">
    <w:name w:val="heading 5"/>
    <w:basedOn w:val="a"/>
    <w:next w:val="a"/>
    <w:link w:val="50"/>
    <w:qFormat/>
    <w:rsid w:val="00CF0015"/>
    <w:pPr>
      <w:suppressAutoHyphens/>
      <w:outlineLvl w:val="4"/>
    </w:pPr>
    <w:rPr>
      <w:spacing w:val="0"/>
      <w:w w:val="100"/>
      <w:kern w:val="0"/>
      <w:lang w:val="fr-CH"/>
    </w:rPr>
  </w:style>
  <w:style w:type="paragraph" w:styleId="6">
    <w:name w:val="heading 6"/>
    <w:basedOn w:val="a"/>
    <w:next w:val="a"/>
    <w:link w:val="60"/>
    <w:qFormat/>
    <w:rsid w:val="00CF0015"/>
    <w:pPr>
      <w:suppressAutoHyphens/>
      <w:outlineLvl w:val="5"/>
    </w:pPr>
    <w:rPr>
      <w:spacing w:val="0"/>
      <w:w w:val="100"/>
      <w:kern w:val="0"/>
      <w:lang w:val="fr-CH"/>
    </w:rPr>
  </w:style>
  <w:style w:type="paragraph" w:styleId="7">
    <w:name w:val="heading 7"/>
    <w:basedOn w:val="a"/>
    <w:next w:val="a"/>
    <w:link w:val="70"/>
    <w:qFormat/>
    <w:rsid w:val="00CF0015"/>
    <w:pPr>
      <w:suppressAutoHyphens/>
      <w:outlineLvl w:val="6"/>
    </w:pPr>
    <w:rPr>
      <w:spacing w:val="0"/>
      <w:w w:val="100"/>
      <w:kern w:val="0"/>
      <w:lang w:val="fr-CH"/>
    </w:rPr>
  </w:style>
  <w:style w:type="paragraph" w:styleId="8">
    <w:name w:val="heading 8"/>
    <w:basedOn w:val="a"/>
    <w:next w:val="a"/>
    <w:link w:val="80"/>
    <w:qFormat/>
    <w:rsid w:val="00CF0015"/>
    <w:pPr>
      <w:suppressAutoHyphens/>
      <w:outlineLvl w:val="7"/>
    </w:pPr>
    <w:rPr>
      <w:spacing w:val="0"/>
      <w:w w:val="100"/>
      <w:kern w:val="0"/>
      <w:lang w:val="fr-CH"/>
    </w:rPr>
  </w:style>
  <w:style w:type="paragraph" w:styleId="9">
    <w:name w:val="heading 9"/>
    <w:basedOn w:val="a"/>
    <w:next w:val="a"/>
    <w:link w:val="90"/>
    <w:qFormat/>
    <w:rsid w:val="00CF0015"/>
    <w:pPr>
      <w:suppressAutoHyphens/>
      <w:outlineLvl w:val="8"/>
    </w:pPr>
    <w:rPr>
      <w:spacing w:val="0"/>
      <w:w w:val="100"/>
      <w:kern w:val="0"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30">
    <w:name w:val="Заголовок 3 Знак"/>
    <w:basedOn w:val="a0"/>
    <w:link w:val="3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40">
    <w:name w:val="Заголовок 4 Знак"/>
    <w:basedOn w:val="a0"/>
    <w:link w:val="4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50">
    <w:name w:val="Заголовок 5 Знак"/>
    <w:basedOn w:val="a0"/>
    <w:link w:val="5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60">
    <w:name w:val="Заголовок 6 Знак"/>
    <w:basedOn w:val="a0"/>
    <w:link w:val="6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70">
    <w:name w:val="Заголовок 7 Знак"/>
    <w:basedOn w:val="a0"/>
    <w:link w:val="7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80">
    <w:name w:val="Заголовок 8 Знак"/>
    <w:basedOn w:val="a0"/>
    <w:link w:val="8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90">
    <w:name w:val="Заголовок 9 Знак"/>
    <w:basedOn w:val="a0"/>
    <w:link w:val="9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">
    <w:name w:val="_ H __M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a"/>
    <w:next w:val="a"/>
    <w:rsid w:val="00CF00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a"/>
    <w:next w:val="a"/>
    <w:rsid w:val="00CF001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a"/>
    <w:next w:val="a"/>
    <w:rsid w:val="00CF00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a"/>
    <w:link w:val="SingleTxtGChar"/>
    <w:rsid w:val="00CF0015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SLG">
    <w:name w:val="__S_L_G"/>
    <w:basedOn w:val="a"/>
    <w:next w:val="a"/>
    <w:rsid w:val="00CF001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a"/>
    <w:next w:val="a"/>
    <w:rsid w:val="00CF001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a"/>
    <w:next w:val="a"/>
    <w:rsid w:val="00CF001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a"/>
    <w:next w:val="a"/>
    <w:rsid w:val="00CF001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a"/>
    <w:rsid w:val="00CF0015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a"/>
    <w:rsid w:val="00CF0015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styleId="af">
    <w:name w:val="annotation reference"/>
    <w:rsid w:val="00CF0015"/>
    <w:rPr>
      <w:sz w:val="16"/>
      <w:szCs w:val="16"/>
    </w:rPr>
  </w:style>
  <w:style w:type="paragraph" w:styleId="af0">
    <w:name w:val="annotation text"/>
    <w:basedOn w:val="a"/>
    <w:link w:val="af1"/>
    <w:rsid w:val="00CF0015"/>
    <w:pPr>
      <w:suppressAutoHyphens/>
    </w:pPr>
    <w:rPr>
      <w:spacing w:val="0"/>
      <w:w w:val="100"/>
      <w:kern w:val="0"/>
      <w:lang w:val="fr-CH"/>
    </w:rPr>
  </w:style>
  <w:style w:type="character" w:customStyle="1" w:styleId="af1">
    <w:name w:val="Текст примечания Знак"/>
    <w:basedOn w:val="a0"/>
    <w:link w:val="af0"/>
    <w:rsid w:val="00CF0015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af2">
    <w:name w:val="annotation subject"/>
    <w:basedOn w:val="af0"/>
    <w:next w:val="af0"/>
    <w:link w:val="af3"/>
    <w:rsid w:val="00CF0015"/>
    <w:rPr>
      <w:b/>
      <w:bCs/>
    </w:rPr>
  </w:style>
  <w:style w:type="character" w:customStyle="1" w:styleId="af3">
    <w:name w:val="Тема примечания Знак"/>
    <w:basedOn w:val="af1"/>
    <w:link w:val="af2"/>
    <w:rsid w:val="00CF0015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af4">
    <w:name w:val="Balloon Text"/>
    <w:basedOn w:val="a"/>
    <w:link w:val="af5"/>
    <w:rsid w:val="00CF0015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fr-CH"/>
    </w:rPr>
  </w:style>
  <w:style w:type="character" w:customStyle="1" w:styleId="af5">
    <w:name w:val="Текст выноски Знак"/>
    <w:basedOn w:val="a0"/>
    <w:link w:val="af4"/>
    <w:rsid w:val="00CF0015"/>
    <w:rPr>
      <w:rFonts w:ascii="Tahoma" w:eastAsia="Times New Roman" w:hAnsi="Tahoma" w:cs="Tahoma"/>
      <w:sz w:val="16"/>
      <w:szCs w:val="16"/>
      <w:lang w:val="fr-CH"/>
    </w:rPr>
  </w:style>
  <w:style w:type="paragraph" w:styleId="af6">
    <w:name w:val="List Paragraph"/>
    <w:basedOn w:val="a"/>
    <w:uiPriority w:val="34"/>
    <w:qFormat/>
    <w:rsid w:val="00CF0015"/>
    <w:pPr>
      <w:suppressAutoHyphens/>
      <w:ind w:left="720"/>
    </w:pPr>
    <w:rPr>
      <w:spacing w:val="0"/>
      <w:w w:val="100"/>
      <w:kern w:val="0"/>
      <w:lang w:val="fr-CH"/>
    </w:rPr>
  </w:style>
  <w:style w:type="paragraph" w:styleId="af7">
    <w:name w:val="Normal (Web)"/>
    <w:basedOn w:val="a"/>
    <w:uiPriority w:val="99"/>
    <w:unhideWhenUsed/>
    <w:rsid w:val="00CF0015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US" w:eastAsia="zh-CN"/>
    </w:rPr>
  </w:style>
  <w:style w:type="character" w:customStyle="1" w:styleId="st">
    <w:name w:val="st"/>
    <w:basedOn w:val="a0"/>
    <w:rsid w:val="00CF0015"/>
  </w:style>
  <w:style w:type="character" w:styleId="af8">
    <w:name w:val="Emphasis"/>
    <w:basedOn w:val="a0"/>
    <w:uiPriority w:val="20"/>
    <w:qFormat/>
    <w:rsid w:val="00CF0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MW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AEC5-789A-4E1E-BEC4-42652A9E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19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Салынская Екатерина</cp:lastModifiedBy>
  <cp:revision>2</cp:revision>
  <dcterms:created xsi:type="dcterms:W3CDTF">2016-06-08T15:03:00Z</dcterms:created>
  <dcterms:modified xsi:type="dcterms:W3CDTF">2016-06-08T15:03:00Z</dcterms:modified>
</cp:coreProperties>
</file>