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6C" w:rsidRDefault="00323F6C" w:rsidP="00323F6C">
      <w:pPr>
        <w:spacing w:line="60" w:lineRule="exact"/>
        <w:rPr>
          <w:sz w:val="6"/>
        </w:rPr>
        <w:sectPr w:rsidR="00323F6C" w:rsidSect="00323F6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323F6C" w:rsidRDefault="00323F6C" w:rsidP="00323F6C">
      <w:pPr>
        <w:spacing w:line="60" w:lineRule="exact"/>
        <w:rPr>
          <w:rFonts w:hint="eastAsia"/>
          <w:sz w:val="6"/>
        </w:rPr>
      </w:pPr>
    </w:p>
    <w:p w:rsidR="00B11568" w:rsidRPr="00B11568" w:rsidRDefault="00B11568" w:rsidP="00B11568">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right="1259"/>
        <w:rPr>
          <w:rFonts w:ascii="SimHei" w:eastAsia="SimHei" w:hint="eastAsia"/>
          <w:sz w:val="24"/>
          <w:szCs w:val="24"/>
        </w:rPr>
      </w:pPr>
      <w:r w:rsidRPr="00B11568">
        <w:rPr>
          <w:rFonts w:ascii="SimHei" w:eastAsia="SimHei" w:hint="eastAsia"/>
          <w:sz w:val="24"/>
          <w:szCs w:val="24"/>
        </w:rPr>
        <w:t>消除对妇女歧视委员会</w:t>
      </w:r>
    </w:p>
    <w:p w:rsidR="00B11568" w:rsidRPr="00B11568" w:rsidRDefault="00B11568" w:rsidP="00B11568">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right="1259"/>
        <w:rPr>
          <w:rFonts w:ascii="SimHei" w:eastAsia="SimHei" w:hint="eastAsia"/>
        </w:rPr>
      </w:pPr>
      <w:r w:rsidRPr="00B11568">
        <w:rPr>
          <w:rFonts w:ascii="SimHei" w:eastAsia="SimHei" w:hint="eastAsia"/>
        </w:rPr>
        <w:t>第四十九届会议</w:t>
      </w:r>
    </w:p>
    <w:p w:rsidR="00B11568" w:rsidRDefault="00B11568" w:rsidP="00B11568">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right="1259"/>
        <w:rPr>
          <w:rFonts w:hint="eastAsia"/>
        </w:rPr>
      </w:pPr>
      <w:r>
        <w:rPr>
          <w:rFonts w:hint="eastAsia"/>
        </w:rPr>
        <w:t>2011年7月11日至29日</w:t>
      </w:r>
    </w:p>
    <w:p w:rsidR="00B11568" w:rsidRDefault="00B11568" w:rsidP="00B11568">
      <w:pPr>
        <w:pStyle w:val="SingleTxt"/>
      </w:pPr>
    </w:p>
    <w:p w:rsidR="00B11568" w:rsidRDefault="00B11568" w:rsidP="00B1156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有关审议定期报告的各类问题清单</w:t>
      </w:r>
    </w:p>
    <w:p w:rsidR="00B11568" w:rsidRPr="00B11568" w:rsidRDefault="00B11568" w:rsidP="00B11568">
      <w:pPr>
        <w:pStyle w:val="SingleTxt"/>
        <w:spacing w:after="0" w:line="120" w:lineRule="exact"/>
        <w:rPr>
          <w:rFonts w:hint="eastAsia"/>
          <w:sz w:val="10"/>
        </w:rPr>
      </w:pPr>
    </w:p>
    <w:p w:rsidR="00B11568" w:rsidRPr="00B11568" w:rsidRDefault="00B11568" w:rsidP="00B11568">
      <w:pPr>
        <w:pStyle w:val="SingleTxt"/>
        <w:spacing w:after="0" w:line="120" w:lineRule="exact"/>
        <w:rPr>
          <w:rFonts w:hint="eastAsia"/>
          <w:sz w:val="10"/>
        </w:rPr>
      </w:pPr>
    </w:p>
    <w:p w:rsidR="00B11568" w:rsidRDefault="00B11568" w:rsidP="00B1156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赞比亚</w:t>
      </w:r>
    </w:p>
    <w:p w:rsidR="00B11568" w:rsidRPr="00B11568" w:rsidRDefault="00B11568" w:rsidP="00B11568">
      <w:pPr>
        <w:pStyle w:val="SingleTxt"/>
        <w:spacing w:after="0" w:line="120" w:lineRule="exact"/>
        <w:rPr>
          <w:rFonts w:hint="eastAsia"/>
          <w:sz w:val="10"/>
        </w:rPr>
      </w:pPr>
    </w:p>
    <w:p w:rsidR="00B11568" w:rsidRPr="00B11568" w:rsidRDefault="00B11568" w:rsidP="00B11568">
      <w:pPr>
        <w:pStyle w:val="SingleTxt"/>
        <w:spacing w:after="0" w:line="120" w:lineRule="exact"/>
        <w:rPr>
          <w:rFonts w:hint="eastAsia"/>
          <w:sz w:val="10"/>
        </w:rPr>
      </w:pPr>
    </w:p>
    <w:p w:rsidR="00B11568" w:rsidRDefault="00B11568" w:rsidP="00B11568">
      <w:pPr>
        <w:pStyle w:val="SingleTxt"/>
        <w:rPr>
          <w:rFonts w:hint="eastAsia"/>
        </w:rPr>
      </w:pPr>
      <w:r>
        <w:tab/>
      </w:r>
      <w:r>
        <w:rPr>
          <w:rFonts w:hint="eastAsia"/>
        </w:rPr>
        <w:t>会前工作组审议了赞比亚合并第五和第六次定期报告(CEDAW/C/ZMB/5-6)。</w:t>
      </w:r>
    </w:p>
    <w:p w:rsidR="00B11568" w:rsidRPr="00B11568" w:rsidRDefault="00B11568" w:rsidP="00B11568">
      <w:pPr>
        <w:pStyle w:val="SingleTxt"/>
        <w:spacing w:after="0" w:line="120" w:lineRule="exact"/>
        <w:rPr>
          <w:rFonts w:hint="eastAsia"/>
          <w:sz w:val="10"/>
        </w:rPr>
      </w:pPr>
    </w:p>
    <w:p w:rsidR="00B11568" w:rsidRPr="00B11568" w:rsidRDefault="00B11568" w:rsidP="00B11568">
      <w:pPr>
        <w:pStyle w:val="SingleTxt"/>
        <w:rPr>
          <w:rFonts w:ascii="SimHei" w:eastAsia="SimHei" w:hint="eastAsia"/>
        </w:rPr>
      </w:pPr>
      <w:r w:rsidRPr="00B11568">
        <w:rPr>
          <w:rFonts w:ascii="SimHei" w:eastAsia="SimHei" w:hint="eastAsia"/>
        </w:rPr>
        <w:t>概述</w:t>
      </w:r>
    </w:p>
    <w:p w:rsidR="00B11568" w:rsidRDefault="00B11568" w:rsidP="00856B87">
      <w:pPr>
        <w:pStyle w:val="SingleTxt"/>
        <w:spacing w:line="340" w:lineRule="exact"/>
        <w:rPr>
          <w:rFonts w:hint="eastAsia"/>
        </w:rPr>
      </w:pPr>
      <w:r>
        <w:rPr>
          <w:rFonts w:hint="eastAsia"/>
        </w:rPr>
        <w:t>1.</w:t>
      </w:r>
      <w:r>
        <w:rPr>
          <w:rFonts w:hint="eastAsia"/>
        </w:rPr>
        <w:tab/>
      </w:r>
      <w:r w:rsidRPr="00856B87">
        <w:rPr>
          <w:rFonts w:hint="eastAsia"/>
          <w:spacing w:val="-2"/>
        </w:rPr>
        <w:t>除该报告导言提供的资料外，请进一步提供关于报告编写过程的详细资料，包括：有哪些政府部门和机构参与？该报告是否经政府通过并提交议会？请说明非政府组织(特别是妇女组织)参与此进程的性质和程度。还请说明：委员会审议赞比亚合并第三和第四次定期报告(CEDAW/C/Z</w:t>
      </w:r>
      <w:r w:rsidR="00ED3C6D" w:rsidRPr="00856B87">
        <w:rPr>
          <w:rFonts w:hint="eastAsia"/>
          <w:spacing w:val="-2"/>
        </w:rPr>
        <w:t>AM</w:t>
      </w:r>
      <w:r w:rsidRPr="00856B87">
        <w:rPr>
          <w:rFonts w:hint="eastAsia"/>
          <w:spacing w:val="-2"/>
        </w:rPr>
        <w:t>/3-4)后得出的结论意见</w:t>
      </w:r>
      <w:r w:rsidR="00ED3C6D" w:rsidRPr="00856B87">
        <w:rPr>
          <w:spacing w:val="-2"/>
        </w:rPr>
        <w:t>(A/57/38，</w:t>
      </w:r>
      <w:r w:rsidR="00ED3C6D" w:rsidRPr="00856B87">
        <w:rPr>
          <w:rFonts w:hint="eastAsia"/>
          <w:spacing w:val="-2"/>
        </w:rPr>
        <w:t>第225至261段</w:t>
      </w:r>
      <w:r w:rsidR="00ED3C6D" w:rsidRPr="00856B87">
        <w:rPr>
          <w:spacing w:val="-2"/>
        </w:rPr>
        <w:t>)</w:t>
      </w:r>
      <w:r w:rsidRPr="00856B87">
        <w:rPr>
          <w:rFonts w:hint="eastAsia"/>
          <w:spacing w:val="-2"/>
        </w:rPr>
        <w:t>是否译成当地主要语言？如何以及向什么人进行传播、以使赞比亚人民(特别是政府官员和政界人士)了解到为确保男女法律上和事实上的平等而需采取的步骤？</w:t>
      </w:r>
    </w:p>
    <w:p w:rsidR="00B11568" w:rsidRDefault="00B11568" w:rsidP="00856B87">
      <w:pPr>
        <w:pStyle w:val="SingleTxt"/>
        <w:spacing w:line="340" w:lineRule="exact"/>
        <w:rPr>
          <w:rFonts w:hint="eastAsia"/>
        </w:rPr>
      </w:pPr>
      <w:r>
        <w:rPr>
          <w:rFonts w:hint="eastAsia"/>
        </w:rPr>
        <w:t>2.</w:t>
      </w:r>
      <w:r>
        <w:rPr>
          <w:rFonts w:hint="eastAsia"/>
        </w:rPr>
        <w:tab/>
        <w:t>请提供按性别分列的、有关《公约》主要领域和条款的最新统计数据。请说明：为定期收集和分析数据、了解妇女(包括那些属于弱势群体的妇女，特别是农村妇女、老年妇女、残疾妇女以及女性移民和难民)的真实情况，已采取了哪些步骤？在这方面，请说明中央统计局是否建立了中央数据库？</w:t>
      </w:r>
    </w:p>
    <w:p w:rsidR="00B11568" w:rsidRPr="00A4084B" w:rsidRDefault="00B11568" w:rsidP="00856B87">
      <w:pPr>
        <w:pStyle w:val="SingleTxt"/>
        <w:spacing w:line="340" w:lineRule="exact"/>
        <w:rPr>
          <w:rFonts w:ascii="SimHei" w:eastAsia="SimHei" w:hint="eastAsia"/>
        </w:rPr>
      </w:pPr>
      <w:r w:rsidRPr="00A4084B">
        <w:rPr>
          <w:rFonts w:ascii="SimHei" w:eastAsia="SimHei" w:hint="eastAsia"/>
        </w:rPr>
        <w:t>《公约》的法律地位</w:t>
      </w:r>
    </w:p>
    <w:p w:rsidR="00B11568" w:rsidRDefault="00B11568" w:rsidP="00856B87">
      <w:pPr>
        <w:pStyle w:val="SingleTxt"/>
        <w:spacing w:line="340" w:lineRule="exact"/>
        <w:rPr>
          <w:rFonts w:hint="eastAsia"/>
        </w:rPr>
      </w:pPr>
      <w:r>
        <w:rPr>
          <w:rFonts w:hint="eastAsia"/>
        </w:rPr>
        <w:t>3.</w:t>
      </w:r>
      <w:r>
        <w:rPr>
          <w:rFonts w:hint="eastAsia"/>
        </w:rPr>
        <w:tab/>
        <w:t>委员会前一份结论意见(A/57/38)第232段指出：委员会感到关注的是，没有将《公约》直接纳入国内法，而且在法庭上不能直接援引《公约》的规定。该报告第6段表明，赞比亚以若干法律和立法修正案的形式，已将《公约》某些条款纳入赞比亚立法。请提供最新资料说明：缔约国采取或设想了哪些进一步步骤，以把《公约》内容融入国内法并使其适用于国内法院？</w:t>
      </w:r>
    </w:p>
    <w:p w:rsidR="00B11568" w:rsidRPr="00A4084B" w:rsidRDefault="00B11568" w:rsidP="00B11568">
      <w:pPr>
        <w:pStyle w:val="SingleTxt"/>
        <w:rPr>
          <w:rFonts w:ascii="SimHei" w:eastAsia="SimHei" w:hint="eastAsia"/>
        </w:rPr>
      </w:pPr>
      <w:r w:rsidRPr="00A4084B">
        <w:rPr>
          <w:rFonts w:ascii="SimHei" w:eastAsia="SimHei" w:hint="eastAsia"/>
        </w:rPr>
        <w:t>宪法、立法和体制框架</w:t>
      </w:r>
    </w:p>
    <w:p w:rsidR="00B11568" w:rsidRDefault="00B11568" w:rsidP="00B11568">
      <w:pPr>
        <w:pStyle w:val="SingleTxt"/>
        <w:rPr>
          <w:rFonts w:hint="eastAsia"/>
        </w:rPr>
      </w:pPr>
      <w:r>
        <w:rPr>
          <w:rFonts w:hint="eastAsia"/>
        </w:rPr>
        <w:t>4.</w:t>
      </w:r>
      <w:r>
        <w:rPr>
          <w:rFonts w:hint="eastAsia"/>
        </w:rPr>
        <w:tab/>
        <w:t>根据该报告(第23段)，在法律框架内并未对歧视妇女一词作出明确规定。请说明：缔约国是否正在考虑在《宪法》或其他有关立法中列入歧视的定义？按照《公约》第一条，定义中既包括直接歧视、又包括间接歧视，按照第二条，并延伸到由公共和私营行为者实施的歧视行为。</w:t>
      </w:r>
    </w:p>
    <w:p w:rsidR="00B11568" w:rsidRDefault="00B11568" w:rsidP="00B11568">
      <w:pPr>
        <w:pStyle w:val="SingleTxt"/>
        <w:rPr>
          <w:rFonts w:hint="eastAsia"/>
        </w:rPr>
      </w:pPr>
      <w:r>
        <w:rPr>
          <w:rFonts w:hint="eastAsia"/>
        </w:rPr>
        <w:t>5.</w:t>
      </w:r>
      <w:r>
        <w:rPr>
          <w:rFonts w:hint="eastAsia"/>
        </w:rPr>
        <w:tab/>
        <w:t>按照该报告(第26和27段)，政府于2003年8月设立了宪法审查委员会，除其他外，审查被认为具有歧视性的《宪法》条文，并建议加以删除；审查《宪法》中应在多大程度上讨论性别平等问题并就此提出建议。报告还指出，2005年，宪法审查委员会同时向政府和公众提交了建议及《宪法》草案。请详细说明在宪法审查程序范畴内取得的进展情况。</w:t>
      </w:r>
    </w:p>
    <w:p w:rsidR="00B11568" w:rsidRDefault="00B11568" w:rsidP="00B11568">
      <w:pPr>
        <w:pStyle w:val="SingleTxt"/>
        <w:rPr>
          <w:rFonts w:hint="eastAsia"/>
        </w:rPr>
      </w:pPr>
      <w:r>
        <w:rPr>
          <w:rFonts w:hint="eastAsia"/>
        </w:rPr>
        <w:t>6.</w:t>
      </w:r>
      <w:r>
        <w:rPr>
          <w:rFonts w:hint="eastAsia"/>
        </w:rPr>
        <w:tab/>
        <w:t>委员会在上一份结论意见中(第230段)，对《宪法》中自相矛盾的规定表示关注，其中第11条保障妇女的平等地位。但第23(4)条允许属人法领域存在歧视性法律，即：收入分配、领养子女、婚姻、离婚、埋葬、死亡后财产移交、或者与任何事项有关的属人法和习惯法的其他事项。请说明缔约国是否按照委员会先前的建议、正在考虑废除第23(4)条(包括在宪法审查工作范畴内这样做)？</w:t>
      </w:r>
    </w:p>
    <w:p w:rsidR="00B11568" w:rsidRPr="00A4084B" w:rsidRDefault="00B11568" w:rsidP="00B11568">
      <w:pPr>
        <w:pStyle w:val="SingleTxt"/>
        <w:rPr>
          <w:rFonts w:ascii="SimHei" w:eastAsia="SimHei" w:hint="eastAsia"/>
        </w:rPr>
      </w:pPr>
      <w:r w:rsidRPr="00A4084B">
        <w:rPr>
          <w:rFonts w:ascii="SimHei" w:eastAsia="SimHei" w:hint="eastAsia"/>
        </w:rPr>
        <w:t>提高妇女地位国家机构</w:t>
      </w:r>
    </w:p>
    <w:p w:rsidR="00B11568" w:rsidRDefault="00B11568" w:rsidP="00B11568">
      <w:pPr>
        <w:pStyle w:val="SingleTxt"/>
        <w:rPr>
          <w:rFonts w:hint="eastAsia"/>
        </w:rPr>
      </w:pPr>
      <w:r>
        <w:rPr>
          <w:rFonts w:hint="eastAsia"/>
        </w:rPr>
        <w:t>7.</w:t>
      </w:r>
      <w:r>
        <w:rPr>
          <w:rFonts w:hint="eastAsia"/>
        </w:rPr>
        <w:tab/>
        <w:t>在上一份结论意见中(第227段)，委员会欢迎在总统办公厅之下设立男女平等参与发展司。请提供有关该司的最新资料，包括其资源情况，并说明：它是否有权就政府所有政策对妇女的影响提出意见、全面监测妇女处境、帮助制定新政策以及有效执行消除歧视战略和措施？</w:t>
      </w:r>
    </w:p>
    <w:p w:rsidR="00B11568" w:rsidRDefault="00B11568" w:rsidP="00B11568">
      <w:pPr>
        <w:pStyle w:val="SingleTxt"/>
        <w:rPr>
          <w:rFonts w:hint="eastAsia"/>
        </w:rPr>
      </w:pPr>
      <w:r>
        <w:rPr>
          <w:rFonts w:hint="eastAsia"/>
        </w:rPr>
        <w:t>8.</w:t>
      </w:r>
      <w:r>
        <w:rPr>
          <w:rFonts w:hint="eastAsia"/>
        </w:rPr>
        <w:tab/>
        <w:t>该报告第55段提到继续执行分别</w:t>
      </w:r>
      <w:r w:rsidR="00ED3C6D">
        <w:rPr>
          <w:rFonts w:hint="eastAsia"/>
        </w:rPr>
        <w:t>于</w:t>
      </w:r>
      <w:r>
        <w:rPr>
          <w:rFonts w:hint="eastAsia"/>
        </w:rPr>
        <w:t>2000年和2004年获得通过的《国家性别政策》和《行动战略计划》，以加速提高妇女地位。请说明评估这些政策和行动的情况，以及它们对男女在《公约》所涉所有领域切实实现平等的影响。</w:t>
      </w:r>
    </w:p>
    <w:p w:rsidR="00B11568" w:rsidRPr="00A4084B" w:rsidRDefault="00B11568" w:rsidP="00B11568">
      <w:pPr>
        <w:pStyle w:val="SingleTxt"/>
        <w:rPr>
          <w:rFonts w:ascii="SimHei" w:eastAsia="SimHei" w:hint="eastAsia"/>
        </w:rPr>
      </w:pPr>
      <w:r w:rsidRPr="00A4084B">
        <w:rPr>
          <w:rFonts w:ascii="SimHei" w:eastAsia="SimHei" w:hint="eastAsia"/>
        </w:rPr>
        <w:t>定型观念和文化习俗</w:t>
      </w:r>
    </w:p>
    <w:p w:rsidR="00B11568" w:rsidRDefault="00B11568" w:rsidP="00B11568">
      <w:pPr>
        <w:pStyle w:val="SingleTxt"/>
        <w:rPr>
          <w:rFonts w:hint="eastAsia"/>
        </w:rPr>
      </w:pPr>
      <w:r>
        <w:rPr>
          <w:rFonts w:hint="eastAsia"/>
        </w:rPr>
        <w:t>9.</w:t>
      </w:r>
      <w:r>
        <w:rPr>
          <w:rFonts w:hint="eastAsia"/>
        </w:rPr>
        <w:tab/>
        <w:t>报告第45段指出，赞比亚法律发展委员会于2003年着手进行一项有关重述习惯法的研究报告。总的目标是要确定当前的习惯法、以及这种习惯法与赞比亚当前在社会、政治和经济方面的价值观相互一致。缔约国称，此项研究将确保处理关于性别角色的定型观念问题，从而加以消除。请详细说明就此项研究采取的措施。</w:t>
      </w:r>
    </w:p>
    <w:p w:rsidR="00B11568" w:rsidRDefault="00B11568" w:rsidP="00B11568">
      <w:pPr>
        <w:pStyle w:val="SingleTxt"/>
        <w:rPr>
          <w:rFonts w:hint="eastAsia"/>
        </w:rPr>
      </w:pPr>
      <w:r>
        <w:rPr>
          <w:rFonts w:hint="eastAsia"/>
        </w:rPr>
        <w:t>10.</w:t>
      </w:r>
      <w:r>
        <w:rPr>
          <w:rFonts w:hint="eastAsia"/>
        </w:rPr>
        <w:tab/>
        <w:t>据报告第14段称，普遍存在的成见和偏见情况正在迅速改变，特别是在城市地区，女孩获得了与男孩平等的待遇。然而，报告第47(c)段指出，继续使妇女处于从属地位的不良习俗往往阻止妇女行使她们享受自己的自由和权利的潜能。请详细说明采取了什么样的措施，来改变导致</w:t>
      </w:r>
      <w:r w:rsidR="00ED3C6D">
        <w:rPr>
          <w:rFonts w:hint="eastAsia"/>
        </w:rPr>
        <w:t>陈规定型</w:t>
      </w:r>
      <w:r>
        <w:rPr>
          <w:rFonts w:hint="eastAsia"/>
        </w:rPr>
        <w:t>观念或强化妇女地位低下思想的社会和文化模式，包括通过媒体对妇女的描述这样做。还请说明这些措施的影响。此外，请说明采取了什么措施，来增进偏远地区收听社区广播电台的机会(报告第60(b)段提及)。</w:t>
      </w:r>
    </w:p>
    <w:p w:rsidR="00B11568" w:rsidRPr="00A4084B" w:rsidRDefault="00B11568" w:rsidP="00B11568">
      <w:pPr>
        <w:pStyle w:val="SingleTxt"/>
        <w:rPr>
          <w:rFonts w:ascii="SimHei" w:eastAsia="SimHei" w:hint="eastAsia"/>
        </w:rPr>
      </w:pPr>
      <w:r w:rsidRPr="00A4084B">
        <w:rPr>
          <w:rFonts w:ascii="SimHei" w:eastAsia="SimHei" w:hint="eastAsia"/>
        </w:rPr>
        <w:t>暴力侵害妇女行为</w:t>
      </w:r>
    </w:p>
    <w:p w:rsidR="00B11568" w:rsidRDefault="00B11568" w:rsidP="00B11568">
      <w:pPr>
        <w:pStyle w:val="SingleTxt"/>
        <w:rPr>
          <w:rFonts w:hint="eastAsia"/>
        </w:rPr>
      </w:pPr>
      <w:r>
        <w:rPr>
          <w:rFonts w:hint="eastAsia"/>
        </w:rPr>
        <w:t>11.</w:t>
      </w:r>
      <w:r>
        <w:rPr>
          <w:rFonts w:hint="eastAsia"/>
        </w:rPr>
        <w:tab/>
        <w:t>该报告第8段承认，基于性别的暴力行为，特别是针对妇女和儿童的暴力，仍然是一个令人关注的领域，需要立即引起注意。该报告提供了2000年至2005年所报告的强奸和污辱案件的趋势。但是，报告接着指出，然而，由于无法获得性别分类统计资料，很难提供对其他案件的估计。缔约国是否打算收集其他类型基于性别的暴力的分列数据？该报告指出，缔约国打算通过赞比亚法律发展委员会推动对《基于性别的暴力条例草案》的辩论(第28段)。请解释本条例草案将涵盖哪些形式的暴力行为和相应的制裁措施，及其立为法律的时限。</w:t>
      </w:r>
    </w:p>
    <w:p w:rsidR="00B11568" w:rsidRDefault="00B11568" w:rsidP="00B11568">
      <w:pPr>
        <w:pStyle w:val="SingleTxt"/>
        <w:rPr>
          <w:rFonts w:hint="eastAsia"/>
        </w:rPr>
      </w:pPr>
      <w:r>
        <w:rPr>
          <w:rFonts w:hint="eastAsia"/>
        </w:rPr>
        <w:t>12.</w:t>
      </w:r>
      <w:r>
        <w:rPr>
          <w:rFonts w:hint="eastAsia"/>
        </w:rPr>
        <w:tab/>
        <w:t>报告(第6段)指出，缔约国通过《刑法》(修订案文</w:t>
      </w:r>
      <w:r w:rsidR="00FB0389">
        <w:rPr>
          <w:rFonts w:hint="eastAsia"/>
        </w:rPr>
        <w:t>)</w:t>
      </w:r>
      <w:r>
        <w:rPr>
          <w:rFonts w:hint="eastAsia"/>
        </w:rPr>
        <w:t>2005年第5号法以保护妇女和儿童，使其不遭受非礼、性骚扰、污辱和贩卖。请提供最新资料说明这些修订案文的内容和执行情况，包括其对减少此类案件的影响，并请说明采取了哪些步骤把婚内强奸列入《刑法》。此外，请进一步介绍一站式服务中心的情况；报告第11段称，此类中心对基于性别的暴力受害者提供综合服务，服务内容包括辅导、疗伤、调查和提出检控。请说明这些中心在全国的分布情况，并解释它们如何提供检察服务。</w:t>
      </w:r>
    </w:p>
    <w:p w:rsidR="00B11568" w:rsidRDefault="00B11568" w:rsidP="00B11568">
      <w:pPr>
        <w:pStyle w:val="SingleTxt"/>
        <w:rPr>
          <w:rFonts w:hint="eastAsia"/>
        </w:rPr>
      </w:pPr>
      <w:r>
        <w:rPr>
          <w:rFonts w:hint="eastAsia"/>
        </w:rPr>
        <w:t>13.</w:t>
      </w:r>
      <w:r>
        <w:rPr>
          <w:rFonts w:hint="eastAsia"/>
        </w:rPr>
        <w:tab/>
        <w:t>请对《刑法》(修订案文)2005年第15号法第161条加以澄清；其中规定，年龄在16岁以上的任何女性，在她本人同意的情形下，与亲戚发生肉体关系，即犯有重罪，可判处不少于20年的监禁，也可能判处终身监禁。在这方面，《刑法》对男性亲属有什么相应的规定？就同意问题而言，举证责任在谁？</w:t>
      </w:r>
    </w:p>
    <w:p w:rsidR="00B11568" w:rsidRDefault="00B11568" w:rsidP="00B11568">
      <w:pPr>
        <w:pStyle w:val="SingleTxt"/>
        <w:rPr>
          <w:rFonts w:hint="eastAsia"/>
        </w:rPr>
      </w:pPr>
      <w:r>
        <w:rPr>
          <w:rFonts w:hint="eastAsia"/>
        </w:rPr>
        <w:t>14.</w:t>
      </w:r>
      <w:r>
        <w:rPr>
          <w:rFonts w:hint="eastAsia"/>
        </w:rPr>
        <w:tab/>
        <w:t>报告指出，对妇女和儿童的性侵犯行为正在增加；15%的15至19岁妇女受过性虐待(第139段)。委员会收到的资料显示，国家官员对妇女实施酷刑或虐待，包括在警务设施和看守所这样做，往往表现为性暴力以及有辱人格的待遇，如被迫在男性执法人员面前裸体行走。这种暴力实施者据称基本上都不受惩罚，受害者也没有得到赔偿。请对这些指控作出评论，并解释目前是如何处理这一问题的。报告第15段指出，性骚扰，特别是针对妇女的情况，是缔约国在人权方面令人关切的一个重要事项。缔约国已采取或正计划采取哪些措施，来使妇女认识到性暴力行为(包括“性骚扰”)的严重性，此种行为即属刑事犯罪？</w:t>
      </w:r>
    </w:p>
    <w:p w:rsidR="00B11568" w:rsidRDefault="00B11568" w:rsidP="00B11568">
      <w:pPr>
        <w:pStyle w:val="SingleTxt"/>
        <w:rPr>
          <w:rFonts w:hint="eastAsia"/>
        </w:rPr>
      </w:pPr>
      <w:r>
        <w:rPr>
          <w:rFonts w:hint="eastAsia"/>
        </w:rPr>
        <w:t>15.</w:t>
      </w:r>
      <w:r>
        <w:rPr>
          <w:rFonts w:hint="eastAsia"/>
        </w:rPr>
        <w:tab/>
        <w:t>报告第42和43段指出，成立了警察公共投诉局(申诉机关)，并于2003年5月7日开始运作。报告称，缔约国认为，该申诉机关为所有包括妇女和儿童在内的个人提供了一个举报任何警察人员滥用权力行为而要求予以平反的申诉渠道。如有以下方面的资料，请予以提供：申诉机关已收到的女性投诉量、投诉类型、调查这些投诉的情况和对肇事者的起诉及惩罚。</w:t>
      </w:r>
    </w:p>
    <w:p w:rsidR="00B11568" w:rsidRPr="00A4084B" w:rsidRDefault="00B11568" w:rsidP="00B11568">
      <w:pPr>
        <w:pStyle w:val="SingleTxt"/>
        <w:rPr>
          <w:rFonts w:ascii="SimHei" w:eastAsia="SimHei" w:hint="eastAsia"/>
        </w:rPr>
      </w:pPr>
      <w:r w:rsidRPr="00A4084B">
        <w:rPr>
          <w:rFonts w:ascii="SimHei" w:eastAsia="SimHei" w:hint="eastAsia"/>
        </w:rPr>
        <w:t>贩卖以及从卖淫中营利</w:t>
      </w:r>
    </w:p>
    <w:p w:rsidR="00B11568" w:rsidRDefault="00B11568" w:rsidP="00B11568">
      <w:pPr>
        <w:pStyle w:val="SingleTxt"/>
        <w:rPr>
          <w:rFonts w:hint="eastAsia"/>
        </w:rPr>
      </w:pPr>
      <w:r>
        <w:rPr>
          <w:rFonts w:hint="eastAsia"/>
        </w:rPr>
        <w:t>16.</w:t>
      </w:r>
      <w:r>
        <w:rPr>
          <w:rFonts w:hint="eastAsia"/>
        </w:rPr>
        <w:tab/>
        <w:t>报告第64(a)段称，2004年设立了贩运问题部际委员会，其任务是处理人口贩运问题，并制定初步的国家行动计划(该计划已经制定)。请详细介绍该委员会的任务、组成和活动情况。还请提供更多有关初步国家行动计划的信息，并说明在制定有关贩运人口的政策和立法方面有无进展。请详细说明为全国各地卖淫和贩卖人口受害者提供庇护和其他服务的任何计划。还请说明缔约国是否正在考虑对赞比亚境内贩运行为的性质、程度和因果关系进行研究，以影响政府的政策、战略和干预。</w:t>
      </w:r>
    </w:p>
    <w:p w:rsidR="00B11568" w:rsidRDefault="00B11568" w:rsidP="00B11568">
      <w:pPr>
        <w:pStyle w:val="SingleTxt"/>
        <w:rPr>
          <w:rFonts w:hint="eastAsia"/>
        </w:rPr>
      </w:pPr>
      <w:r>
        <w:rPr>
          <w:rFonts w:hint="eastAsia"/>
        </w:rPr>
        <w:t>17.</w:t>
      </w:r>
      <w:r>
        <w:rPr>
          <w:rFonts w:hint="eastAsia"/>
        </w:rPr>
        <w:tab/>
        <w:t>委员会收到的资料显示，赞比亚是贩运人口行为的原产地、目的地和过境点，大量儿童，特别是女孩、孤儿和弱势儿童，受商业剥削(包括卖淫和色情)之害，而且他们的人数还在增加。请提供统计数字(如果有)，说明有多少妇女和女孩沦为出于性剥削和经济剥削目的的贩运行为受害者。也请提供从事卖淫的妇女和女孩人数的统计资料，并说明为防止和惩罚从卖淫中营利行为而采取的措施，以及为希望脱离卖淫业的妇女融入社会提供康复和支持的措施。</w:t>
      </w:r>
    </w:p>
    <w:p w:rsidR="00B11568" w:rsidRPr="00A4084B" w:rsidRDefault="00B11568" w:rsidP="00B11568">
      <w:pPr>
        <w:pStyle w:val="SingleTxt"/>
        <w:rPr>
          <w:rFonts w:ascii="SimHei" w:eastAsia="SimHei" w:hint="eastAsia"/>
        </w:rPr>
      </w:pPr>
      <w:r w:rsidRPr="00A4084B">
        <w:rPr>
          <w:rFonts w:ascii="SimHei" w:eastAsia="SimHei" w:hint="eastAsia"/>
        </w:rPr>
        <w:t>政治参与和参与公共生活</w:t>
      </w:r>
    </w:p>
    <w:p w:rsidR="00B11568" w:rsidRDefault="00B11568" w:rsidP="00B11568">
      <w:pPr>
        <w:pStyle w:val="SingleTxt"/>
        <w:rPr>
          <w:rFonts w:hint="eastAsia"/>
        </w:rPr>
      </w:pPr>
      <w:r>
        <w:rPr>
          <w:rFonts w:hint="eastAsia"/>
        </w:rPr>
        <w:t>18.</w:t>
      </w:r>
      <w:r>
        <w:rPr>
          <w:rFonts w:hint="eastAsia"/>
        </w:rPr>
        <w:tab/>
        <w:t>报告第48段提供统计数字显示，妇女参与政治的程度提高。该报告(第22段)称，缔约国正在公共服务改革计划范围内制定2007</w:t>
      </w:r>
      <w:r w:rsidR="00ED3C6D">
        <w:rPr>
          <w:rFonts w:hint="eastAsia"/>
        </w:rPr>
        <w:t>年</w:t>
      </w:r>
      <w:r>
        <w:rPr>
          <w:rFonts w:hint="eastAsia"/>
        </w:rPr>
        <w:t>至2011年将性别观点主流化的战略，主要目标是确保增加妇女在公共部门决策职位中的代表性，并确保正在实施的所有方案符合性别观点。请详细说明该战略的现状和内容，并说明是否对这一战略的有效性，以及促进妇女参与公共生活和政治生活的其他措施的有效性，进行过评估。缔约国有没有考虑过按照《公约》第四条第一款采取临时特别措施，来加强推升妇女进入权力位置的努力(如设立配额制)？</w:t>
      </w:r>
    </w:p>
    <w:p w:rsidR="00B11568" w:rsidRPr="00A4084B" w:rsidRDefault="00B11568" w:rsidP="00B11568">
      <w:pPr>
        <w:pStyle w:val="SingleTxt"/>
        <w:rPr>
          <w:rFonts w:ascii="SimHei" w:eastAsia="SimHei" w:hint="eastAsia"/>
        </w:rPr>
      </w:pPr>
      <w:r w:rsidRPr="00A4084B">
        <w:rPr>
          <w:rFonts w:ascii="SimHei" w:eastAsia="SimHei" w:hint="eastAsia"/>
        </w:rPr>
        <w:t>国籍</w:t>
      </w:r>
    </w:p>
    <w:p w:rsidR="00B11568" w:rsidRDefault="00B11568" w:rsidP="00B11568">
      <w:pPr>
        <w:pStyle w:val="SingleTxt"/>
        <w:rPr>
          <w:rFonts w:hint="eastAsia"/>
        </w:rPr>
      </w:pPr>
      <w:r>
        <w:rPr>
          <w:rFonts w:hint="eastAsia"/>
        </w:rPr>
        <w:t>19.</w:t>
      </w:r>
      <w:r>
        <w:rPr>
          <w:rFonts w:hint="eastAsia"/>
        </w:rPr>
        <w:tab/>
        <w:t>报告第93段称，自上次报告以来，配偶为赞比亚人的外国国民在申请和获得赞比亚国籍方面被赋予了同等的机会。请告知委员会缔约国是否通过了允许在赞比亚的难民合法融入社会的文书，包括让父亲或母亲为赞比亚人的儿童有能力让有关方面确认其赞比亚公民身份。</w:t>
      </w:r>
    </w:p>
    <w:p w:rsidR="00B11568" w:rsidRPr="00A4084B" w:rsidRDefault="00B11568" w:rsidP="00B11568">
      <w:pPr>
        <w:pStyle w:val="SingleTxt"/>
        <w:rPr>
          <w:rFonts w:ascii="SimHei" w:eastAsia="SimHei" w:hint="eastAsia"/>
        </w:rPr>
      </w:pPr>
      <w:r w:rsidRPr="00A4084B">
        <w:rPr>
          <w:rFonts w:ascii="SimHei" w:eastAsia="SimHei" w:hint="eastAsia"/>
        </w:rPr>
        <w:t>教育</w:t>
      </w:r>
    </w:p>
    <w:p w:rsidR="00B11568" w:rsidRDefault="00B11568" w:rsidP="00B11568">
      <w:pPr>
        <w:pStyle w:val="SingleTxt"/>
        <w:rPr>
          <w:rFonts w:hint="eastAsia"/>
        </w:rPr>
      </w:pPr>
      <w:r>
        <w:rPr>
          <w:rFonts w:hint="eastAsia"/>
        </w:rPr>
        <w:t>20.</w:t>
      </w:r>
      <w:r>
        <w:rPr>
          <w:rFonts w:hint="eastAsia"/>
        </w:rPr>
        <w:tab/>
        <w:t>报告第104段称，初等教育的毕业率有所提高，从2000年到2005年，女生毕业率从11.6%升至15.0%，男生毕业率则从17.4%升至20.1%。但报告也承认，随着重新入学政策的继续实施，女生的保留率和升学率都有所提高。报告承认，尽管取得了这些进展，但男女生的毕业率差距仍然高达5.1%。请说明：缔约国是否已确定女孩失学的主要原因？重新入学政策是否针对所有这些原因？还请指出：是否对该政策的成效作了评估？缔约国已采取或正在计划采取什么具体步骤，以增加中学和高校的女生入学率？</w:t>
      </w:r>
    </w:p>
    <w:p w:rsidR="00B11568" w:rsidRDefault="00B11568" w:rsidP="00B11568">
      <w:pPr>
        <w:pStyle w:val="SingleTxt"/>
        <w:rPr>
          <w:rFonts w:hint="eastAsia"/>
        </w:rPr>
      </w:pPr>
      <w:r>
        <w:rPr>
          <w:rFonts w:hint="eastAsia"/>
        </w:rPr>
        <w:t>21.</w:t>
      </w:r>
      <w:r>
        <w:rPr>
          <w:rFonts w:hint="eastAsia"/>
        </w:rPr>
        <w:tab/>
        <w:t>报告第110段指出，入学率的性别不平衡与男女文盲率的不平衡相类似。该报告还承认，妇女和女孩识字率低、受教育机会有限，仍然严重妨碍她们享受自己的权利。请详细说明缔约国处理文盲问题(特别是女性低识字率)的措施的执行情况。</w:t>
      </w:r>
    </w:p>
    <w:p w:rsidR="00B11568" w:rsidRPr="00A4084B" w:rsidRDefault="00B11568" w:rsidP="00B11568">
      <w:pPr>
        <w:pStyle w:val="SingleTxt"/>
        <w:rPr>
          <w:rFonts w:ascii="SimHei" w:eastAsia="SimHei" w:hint="eastAsia"/>
        </w:rPr>
      </w:pPr>
      <w:r w:rsidRPr="00A4084B">
        <w:rPr>
          <w:rFonts w:ascii="SimHei" w:eastAsia="SimHei" w:hint="eastAsia"/>
        </w:rPr>
        <w:t>就业</w:t>
      </w:r>
    </w:p>
    <w:p w:rsidR="00B11568" w:rsidRDefault="00B11568" w:rsidP="00B11568">
      <w:pPr>
        <w:pStyle w:val="SingleTxt"/>
        <w:rPr>
          <w:rFonts w:hint="eastAsia"/>
        </w:rPr>
      </w:pPr>
      <w:r>
        <w:rPr>
          <w:rFonts w:hint="eastAsia"/>
        </w:rPr>
        <w:t>22.</w:t>
      </w:r>
      <w:r>
        <w:rPr>
          <w:rFonts w:hint="eastAsia"/>
        </w:rPr>
        <w:tab/>
        <w:t>报告(第6段)指出，通过《就业法》和《劳资关系法》来保障就业。请解释是如何监测这些法律的遵守情况的，特别是《劳资关系法》所含禁止性别歧视的内容。这些法律禁止在雇用方面的性骚扰吗？规定产假后有权返回同一工作吗？也请说明将其推广到非正规经济部门的任何计划。此外，请告知委员会，缔约国是否在国家立法中继续规定：自被聘用之日起连续工作两年，乃是休产假的条件(《就业法》第15(A)条)？</w:t>
      </w:r>
    </w:p>
    <w:p w:rsidR="00B11568" w:rsidRDefault="00B11568" w:rsidP="00B11568">
      <w:pPr>
        <w:pStyle w:val="SingleTxt"/>
        <w:rPr>
          <w:rFonts w:hint="eastAsia"/>
        </w:rPr>
      </w:pPr>
      <w:r>
        <w:rPr>
          <w:rFonts w:hint="eastAsia"/>
        </w:rPr>
        <w:t>23.</w:t>
      </w:r>
      <w:r>
        <w:rPr>
          <w:rFonts w:hint="eastAsia"/>
        </w:rPr>
        <w:tab/>
        <w:t>报告(第127段)称，正规部门的萎缩导致失业率上升，尤其是妇女失业率，因为她们大多资格较低。这导致非正规经济部门有所扩大，而该部门的大多数妇女薪酬较低，而且工作条件很危险。请介绍为使非正规经济部门走向正规化而采取的步骤，以及为工作于非正规经济部门的妇女提供社会保障而采取或打算采取的步骤。</w:t>
      </w:r>
    </w:p>
    <w:p w:rsidR="00B11568" w:rsidRPr="00A4084B" w:rsidRDefault="00B11568" w:rsidP="00B11568">
      <w:pPr>
        <w:pStyle w:val="SingleTxt"/>
        <w:rPr>
          <w:rFonts w:ascii="SimHei" w:eastAsia="SimHei" w:hint="eastAsia"/>
        </w:rPr>
      </w:pPr>
      <w:r w:rsidRPr="00A4084B">
        <w:rPr>
          <w:rFonts w:ascii="SimHei" w:eastAsia="SimHei" w:hint="eastAsia"/>
        </w:rPr>
        <w:t>保健</w:t>
      </w:r>
    </w:p>
    <w:p w:rsidR="00B11568" w:rsidRDefault="00B11568" w:rsidP="00B11568">
      <w:pPr>
        <w:pStyle w:val="SingleTxt"/>
        <w:rPr>
          <w:rFonts w:hint="eastAsia"/>
        </w:rPr>
      </w:pPr>
      <w:r>
        <w:rPr>
          <w:rFonts w:hint="eastAsia"/>
        </w:rPr>
        <w:t>24.</w:t>
      </w:r>
      <w:r>
        <w:rPr>
          <w:rFonts w:hint="eastAsia"/>
        </w:rPr>
        <w:tab/>
        <w:t>请介绍妇女在整个生命周期(包括在农村地区)获得保健服务的情况。报告第19段表明，产妇死亡率仍居高不下，在1996年，每10万名活产婴儿有649名产妇死亡，到2002年已经增加到每10万名活产婴儿有729名产妇死亡。请详细说明采取措施、确保优先注重孕产妇健康的情况，包括解决报告第131段所述产妇死亡率高的主要原因。</w:t>
      </w:r>
    </w:p>
    <w:p w:rsidR="00B11568" w:rsidRDefault="00B11568" w:rsidP="00B11568">
      <w:pPr>
        <w:pStyle w:val="SingleTxt"/>
        <w:rPr>
          <w:rFonts w:hint="eastAsia"/>
        </w:rPr>
      </w:pPr>
      <w:r>
        <w:rPr>
          <w:rFonts w:hint="eastAsia"/>
        </w:rPr>
        <w:t>25.</w:t>
      </w:r>
      <w:r>
        <w:rPr>
          <w:rFonts w:hint="eastAsia"/>
        </w:rPr>
        <w:tab/>
        <w:t>报告(第20段)称，政府正在实施若干方案，以防止青少年早期性行为，从而提高初次性交年龄的中位数。报告(第21段)还指出，初次性交年龄推迟是由于实施了政府同民间社会组织合作的青年同伴教育方案。请详细说明这些方案在全国的分布情况及其影响，特别是对意外怀孕的影响。还请详细说明：有什么措施已经到位，以加强计划生育倡议？并说明男孩和女孩在多大程度上认识到性与生殖健康问题，包括他们了解到如何保护自己不受性传播感染和防止意外怀孕。</w:t>
      </w:r>
    </w:p>
    <w:p w:rsidR="00B11568" w:rsidRDefault="00B11568" w:rsidP="00B11568">
      <w:pPr>
        <w:pStyle w:val="SingleTxt"/>
        <w:rPr>
          <w:rFonts w:hint="eastAsia"/>
        </w:rPr>
      </w:pPr>
      <w:r>
        <w:rPr>
          <w:rFonts w:hint="eastAsia"/>
        </w:rPr>
        <w:t>26.</w:t>
      </w:r>
      <w:r>
        <w:rPr>
          <w:rFonts w:hint="eastAsia"/>
        </w:rPr>
        <w:tab/>
        <w:t>报告第17段称，全国艾滋病理事会是国家应对艾滋病毒和艾滋病的一个多部门机制，负责协调和支持其开发、监测和评价工作。请进一步说明该理事会的组成情况、活动及其影响。报告第137段称，2004年，在15至49岁的年龄群中，女性感染率(13%)高于男性(8%)。15至24岁的男孩(8%)和女孩(17%)的感染情况类似。此外，虽然整体上感染率在下降，但30至39岁年龄群女性的艾滋病毒/艾滋病感染率有所增长。请详细说明制定了什么措施和方案来提高公众对艾滋病毒/艾滋病的风险和后果的认识，并说明这些措施中有无任何措施是明确针对妇女和女孩的。</w:t>
      </w:r>
    </w:p>
    <w:p w:rsidR="00B11568" w:rsidRDefault="00B11568" w:rsidP="00856B87">
      <w:pPr>
        <w:pStyle w:val="SingleTxt"/>
        <w:spacing w:line="326" w:lineRule="exact"/>
        <w:rPr>
          <w:rFonts w:hint="eastAsia"/>
        </w:rPr>
      </w:pPr>
      <w:r>
        <w:rPr>
          <w:rFonts w:hint="eastAsia"/>
        </w:rPr>
        <w:t>27.</w:t>
      </w:r>
      <w:r>
        <w:rPr>
          <w:rFonts w:hint="eastAsia"/>
        </w:rPr>
        <w:tab/>
        <w:t>请向委员会报告</w:t>
      </w:r>
      <w:r w:rsidR="00ED3C6D">
        <w:rPr>
          <w:rFonts w:hint="eastAsia"/>
        </w:rPr>
        <w:t>是否</w:t>
      </w:r>
      <w:r>
        <w:rPr>
          <w:rFonts w:hint="eastAsia"/>
        </w:rPr>
        <w:t>存在</w:t>
      </w:r>
      <w:r w:rsidR="00ED3C6D">
        <w:rPr>
          <w:rFonts w:hint="eastAsia"/>
        </w:rPr>
        <w:t>任何</w:t>
      </w:r>
      <w:r>
        <w:rPr>
          <w:rFonts w:hint="eastAsia"/>
        </w:rPr>
        <w:t>机制，以确保女囚犯可以平等和不受歧视地利用医疗设施，包括接受艾滋病毒/艾滋病和结核病测试和治疗。也请提供有关被拘留的孕妇和哺乳妇女可用的服务情况。</w:t>
      </w:r>
    </w:p>
    <w:p w:rsidR="00B11568" w:rsidRPr="00A4084B" w:rsidRDefault="00B11568" w:rsidP="00B11568">
      <w:pPr>
        <w:pStyle w:val="SingleTxt"/>
        <w:rPr>
          <w:rFonts w:ascii="SimHei" w:eastAsia="SimHei" w:hint="eastAsia"/>
        </w:rPr>
      </w:pPr>
      <w:r w:rsidRPr="00A4084B">
        <w:rPr>
          <w:rFonts w:ascii="SimHei" w:eastAsia="SimHei" w:hint="eastAsia"/>
        </w:rPr>
        <w:t>经济权力</w:t>
      </w:r>
    </w:p>
    <w:p w:rsidR="00B11568" w:rsidRDefault="00B11568" w:rsidP="00856B87">
      <w:pPr>
        <w:pStyle w:val="SingleTxt"/>
        <w:spacing w:line="326" w:lineRule="exact"/>
        <w:rPr>
          <w:rFonts w:hint="eastAsia"/>
        </w:rPr>
      </w:pPr>
      <w:r>
        <w:rPr>
          <w:rFonts w:hint="eastAsia"/>
        </w:rPr>
        <w:t>28.</w:t>
      </w:r>
      <w:r>
        <w:rPr>
          <w:rFonts w:hint="eastAsia"/>
        </w:rPr>
        <w:tab/>
        <w:t>报告第145段称，大多数妇女由于经济地位薄弱并且没有大多数金融机构着重要求的抵押物，因此不能够获得金融信贷。请说明缔约国采取或计划采取什么措施，来增进妇女获得金融信贷的机会；以及采取其他什么措施，来支持妇女创业，包括她们有机会获得土地和资本，泛泛而言，是要改善妇女在非正规经济部门的近况；以及这些措施的影响。此外，请更具体地介绍禁止性别歧视的2006年第9号《增强公民经济权能法》(报告第40段)，以及增强经济权能委员会的任务、组成和活动情况，尤其是它促进性别平等的活动。</w:t>
      </w:r>
    </w:p>
    <w:p w:rsidR="00B11568" w:rsidRPr="00A4084B" w:rsidRDefault="00B11568" w:rsidP="00B11568">
      <w:pPr>
        <w:pStyle w:val="SingleTxt"/>
        <w:rPr>
          <w:rFonts w:ascii="SimHei" w:eastAsia="SimHei" w:hint="eastAsia"/>
        </w:rPr>
      </w:pPr>
      <w:r w:rsidRPr="00A4084B">
        <w:rPr>
          <w:rFonts w:ascii="SimHei" w:eastAsia="SimHei" w:hint="eastAsia"/>
        </w:rPr>
        <w:t>妇女弱势群体</w:t>
      </w:r>
    </w:p>
    <w:p w:rsidR="00B11568" w:rsidRPr="00ED3C6D" w:rsidRDefault="00B11568" w:rsidP="00B11568">
      <w:pPr>
        <w:pStyle w:val="SingleTxt"/>
        <w:rPr>
          <w:rFonts w:ascii="KaiTi_GB2312" w:eastAsia="KaiTi_GB2312" w:hint="eastAsia"/>
        </w:rPr>
      </w:pPr>
      <w:r w:rsidRPr="00ED3C6D">
        <w:rPr>
          <w:rFonts w:ascii="KaiTi_GB2312" w:eastAsia="KaiTi_GB2312" w:hint="eastAsia"/>
        </w:rPr>
        <w:t>农村妇女</w:t>
      </w:r>
    </w:p>
    <w:p w:rsidR="00B11568" w:rsidRDefault="00B11568" w:rsidP="00856B87">
      <w:pPr>
        <w:pStyle w:val="SingleTxt"/>
        <w:spacing w:line="326" w:lineRule="exact"/>
        <w:rPr>
          <w:rFonts w:hint="eastAsia"/>
        </w:rPr>
      </w:pPr>
      <w:r>
        <w:rPr>
          <w:rFonts w:hint="eastAsia"/>
        </w:rPr>
        <w:t>29.</w:t>
      </w:r>
      <w:r>
        <w:rPr>
          <w:rFonts w:hint="eastAsia"/>
        </w:rPr>
        <w:tab/>
        <w:t>报告第55(c)段称，按照2000年《国家性别政策》的规定将30%有使用权的土地保留给妇女。请说明是如何落实此配额的，并阐述缔约国采取或打算采取什么措施，来改善农村妇女的境况，包括她们有机会伸张正义、得到生活水准、教育、保健、社会服务、土地所有权以及她们在所有各级参与决策过程的情况。</w:t>
      </w:r>
    </w:p>
    <w:p w:rsidR="00B11568" w:rsidRPr="00ED3C6D" w:rsidRDefault="00B11568" w:rsidP="00B11568">
      <w:pPr>
        <w:pStyle w:val="SingleTxt"/>
        <w:rPr>
          <w:rFonts w:ascii="KaiTi_GB2312" w:eastAsia="KaiTi_GB2312" w:hint="eastAsia"/>
        </w:rPr>
      </w:pPr>
      <w:r w:rsidRPr="00ED3C6D">
        <w:rPr>
          <w:rFonts w:ascii="KaiTi_GB2312" w:eastAsia="KaiTi_GB2312" w:hint="eastAsia"/>
        </w:rPr>
        <w:t>老年妇女、残疾妇女、寡妇和移民妇女和女孩</w:t>
      </w:r>
    </w:p>
    <w:p w:rsidR="00B11568" w:rsidRDefault="00B11568" w:rsidP="00856B87">
      <w:pPr>
        <w:pStyle w:val="SingleTxt"/>
        <w:spacing w:line="326" w:lineRule="exact"/>
        <w:rPr>
          <w:rFonts w:hint="eastAsia"/>
        </w:rPr>
      </w:pPr>
      <w:r>
        <w:rPr>
          <w:rFonts w:hint="eastAsia"/>
        </w:rPr>
        <w:t>30.</w:t>
      </w:r>
      <w:r>
        <w:rPr>
          <w:rFonts w:hint="eastAsia"/>
        </w:rPr>
        <w:tab/>
        <w:t>该报告没有谈到老年妇女、残疾妇女、寡妇和移民妇女和女孩的处境。请介绍这些妇女团体的经济和社会状况以及现有哪些措施支持这些团体。也请阐述她们获得教育、就业、安全用水和保健服务的机会，以及保护她们免受暴力之害。</w:t>
      </w:r>
    </w:p>
    <w:p w:rsidR="00B11568" w:rsidRPr="00ED3C6D" w:rsidRDefault="00B11568" w:rsidP="00B11568">
      <w:pPr>
        <w:pStyle w:val="SingleTxt"/>
        <w:rPr>
          <w:rFonts w:ascii="KaiTi_GB2312" w:eastAsia="KaiTi_GB2312" w:hint="eastAsia"/>
        </w:rPr>
      </w:pPr>
      <w:r w:rsidRPr="00ED3C6D">
        <w:rPr>
          <w:rFonts w:ascii="KaiTi_GB2312" w:eastAsia="KaiTi_GB2312" w:hint="eastAsia"/>
        </w:rPr>
        <w:t>难民妇女和女孩</w:t>
      </w:r>
    </w:p>
    <w:p w:rsidR="00B11568" w:rsidRDefault="00B11568" w:rsidP="00856B87">
      <w:pPr>
        <w:pStyle w:val="SingleTxt"/>
        <w:spacing w:line="326" w:lineRule="exact"/>
        <w:rPr>
          <w:rFonts w:hint="eastAsia"/>
        </w:rPr>
      </w:pPr>
      <w:r>
        <w:rPr>
          <w:rFonts w:hint="eastAsia"/>
        </w:rPr>
        <w:t>31.</w:t>
      </w:r>
      <w:r>
        <w:rPr>
          <w:rFonts w:hint="eastAsia"/>
        </w:rPr>
        <w:tab/>
        <w:t>在上一份结论意见中(A/57/38，第256段)，委员会赞扬缔约国努力接纳来自邻国的难民，但对缔约国保护和保证难民权利的能力表示关切。请提供向难民妇女和难民女孩提供援助方面的最新资料，并介绍针对她们的复原努力。根据委员会收到的资料，一份旨在取代1970年《难民(控制)法》的难民法案草案，正由政府各委员会审议，然后提交议会审查通过。请介绍该法案草案的内容和状况，以及予以通过的时限。</w:t>
      </w:r>
    </w:p>
    <w:p w:rsidR="00B11568" w:rsidRPr="00A4084B" w:rsidRDefault="00B11568" w:rsidP="00B11568">
      <w:pPr>
        <w:pStyle w:val="SingleTxt"/>
        <w:rPr>
          <w:rFonts w:ascii="SimHei" w:eastAsia="SimHei" w:hint="eastAsia"/>
        </w:rPr>
      </w:pPr>
      <w:r w:rsidRPr="00A4084B">
        <w:rPr>
          <w:rFonts w:ascii="SimHei" w:eastAsia="SimHei" w:hint="eastAsia"/>
        </w:rPr>
        <w:t>婚姻和家庭生活</w:t>
      </w:r>
    </w:p>
    <w:p w:rsidR="00B11568" w:rsidRDefault="00B11568" w:rsidP="00B11568">
      <w:pPr>
        <w:pStyle w:val="SingleTxt"/>
        <w:rPr>
          <w:rFonts w:hint="eastAsia"/>
        </w:rPr>
      </w:pPr>
      <w:r>
        <w:rPr>
          <w:rFonts w:hint="eastAsia"/>
        </w:rPr>
        <w:t>32.</w:t>
      </w:r>
      <w:r>
        <w:rPr>
          <w:rFonts w:hint="eastAsia"/>
        </w:rPr>
        <w:tab/>
        <w:t>在上一份结论意见中(第228段)，委员会赞扬缔约国颁布《婚姻法》和《无遗嘱继承法》，在婚姻和继承权方面向妇女提供保护。请提供最新资料，说明缔约国采取措施强制执行该《法》的情况。该报告证实，支付彩礼(lobola)仍是全国普遍存在的做法，是有效传统婚姻的基本要素。请通知委员会为解决此问题而采取或打算采取的任何措施。缔约国已采取或正计划采取哪些措施，以打击一个配偶死亡后、抢夺财产和“性清洗”的做法？</w:t>
      </w:r>
    </w:p>
    <w:p w:rsidR="00B11568" w:rsidRDefault="00B11568" w:rsidP="00B11568">
      <w:pPr>
        <w:pStyle w:val="SingleTxt"/>
        <w:rPr>
          <w:rFonts w:hint="eastAsia"/>
        </w:rPr>
      </w:pPr>
      <w:r>
        <w:rPr>
          <w:rFonts w:hint="eastAsia"/>
        </w:rPr>
        <w:t>33.</w:t>
      </w:r>
      <w:r>
        <w:rPr>
          <w:rFonts w:hint="eastAsia"/>
        </w:rPr>
        <w:tab/>
        <w:t>在上一份结论意见中(第250-253段)，委员会关切地指出，成文法和习惯法这两套法律制度同时并用，规范着婚姻和家庭关系，而且许多此类法律与公约不符。委员会进一步感到关切的是，一夫多妻现象被广为接受，而缔约国并没有予以有效取缔。请提供最新资料，说明缔约国针对此种关切问题而采取的步骤。缔约国报告第47(a)段指出，早期童婚继续阻止女孩求学，因为根据习惯法，与达到青春期的女童结婚是合法的。请说明习惯婚姻中妇女结婚的法定承诺年龄，并说明为打击早婚习俗而采取的措施。</w:t>
      </w:r>
    </w:p>
    <w:p w:rsidR="00B11568" w:rsidRPr="00A4084B" w:rsidRDefault="00B11568" w:rsidP="00B11568">
      <w:pPr>
        <w:pStyle w:val="SingleTxt"/>
        <w:rPr>
          <w:rFonts w:ascii="SimHei" w:eastAsia="SimHei" w:hint="eastAsia"/>
        </w:rPr>
      </w:pPr>
      <w:r w:rsidRPr="00A4084B">
        <w:rPr>
          <w:rFonts w:ascii="SimHei" w:eastAsia="SimHei" w:hint="eastAsia"/>
        </w:rPr>
        <w:t>任择议定书和第</w:t>
      </w:r>
      <w:r w:rsidR="00151F20">
        <w:rPr>
          <w:rFonts w:ascii="SimHei" w:eastAsia="SimHei" w:hint="eastAsia"/>
        </w:rPr>
        <w:t>二十</w:t>
      </w:r>
      <w:r w:rsidRPr="00A4084B">
        <w:rPr>
          <w:rFonts w:ascii="SimHei" w:eastAsia="SimHei" w:hint="eastAsia"/>
        </w:rPr>
        <w:t>条第1款修正案</w:t>
      </w:r>
    </w:p>
    <w:p w:rsidR="00EA31C3" w:rsidRDefault="00B11568" w:rsidP="00B11568">
      <w:pPr>
        <w:pStyle w:val="SingleTxt"/>
        <w:rPr>
          <w:rFonts w:hint="eastAsia"/>
        </w:rPr>
      </w:pPr>
      <w:r>
        <w:rPr>
          <w:rFonts w:hint="eastAsia"/>
        </w:rPr>
        <w:t>34.</w:t>
      </w:r>
      <w:r>
        <w:rPr>
          <w:rFonts w:hint="eastAsia"/>
        </w:rPr>
        <w:tab/>
        <w:t>请说明在批准《公约》任择议定书方面的任何进展。也请说明各方面接受《公约》第</w:t>
      </w:r>
      <w:r w:rsidR="00151F20">
        <w:rPr>
          <w:rFonts w:hint="eastAsia"/>
        </w:rPr>
        <w:t>二十</w:t>
      </w:r>
      <w:r>
        <w:rPr>
          <w:rFonts w:hint="eastAsia"/>
        </w:rPr>
        <w:t>条第1款(有关委员会会议时间)修正案方面的进展。</w:t>
      </w:r>
    </w:p>
    <w:p w:rsidR="00B11568" w:rsidRPr="00886801" w:rsidRDefault="00886801" w:rsidP="00886801">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pict>
      </w:r>
    </w:p>
    <w:sectPr w:rsidR="00B11568" w:rsidRPr="00886801" w:rsidSect="00323F6C">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12-22T11:54:00Z" w:initials="Start">
    <w:p w:rsidR="00FD2C35" w:rsidRDefault="00FD2C35">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NO&gt;&gt;N1062063C&lt;&lt;ODS JOB NO&gt;&gt;</w:t>
      </w:r>
    </w:p>
    <w:p w:rsidR="00FD2C35" w:rsidRDefault="00FD2C35">
      <w:pPr>
        <w:pStyle w:val="CommentText"/>
      </w:pPr>
      <w:r>
        <w:t>&lt;&lt;ODS DOC SYMBOL1&gt;&gt;CEDAW/C/ZMB/Q/5-6&lt;&lt;ODS DOC SYMBOL1&gt;&gt;</w:t>
      </w:r>
    </w:p>
    <w:p w:rsidR="00FD2C35" w:rsidRDefault="00FD2C3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FEB" w:rsidRDefault="00320FEB">
      <w:r>
        <w:separator/>
      </w:r>
    </w:p>
  </w:endnote>
  <w:endnote w:type="continuationSeparator" w:id="0">
    <w:p w:rsidR="00320FEB" w:rsidRDefault="003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D2C35" w:rsidTr="00323F6C">
      <w:tblPrEx>
        <w:tblCellMar>
          <w:top w:w="0" w:type="dxa"/>
          <w:bottom w:w="0" w:type="dxa"/>
        </w:tblCellMar>
      </w:tblPrEx>
      <w:tc>
        <w:tcPr>
          <w:tcW w:w="5033" w:type="dxa"/>
          <w:shd w:val="clear" w:color="auto" w:fill="auto"/>
        </w:tcPr>
        <w:p w:rsidR="00FD2C35" w:rsidRPr="00323F6C" w:rsidRDefault="00FD2C35" w:rsidP="00323F6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10-62063 (C)</w:t>
          </w:r>
          <w:r>
            <w:rPr>
              <w:b w:val="0"/>
              <w:w w:val="103"/>
              <w:sz w:val="14"/>
            </w:rPr>
            <w:fldChar w:fldCharType="end"/>
          </w:r>
        </w:p>
      </w:tc>
      <w:tc>
        <w:tcPr>
          <w:tcW w:w="5033" w:type="dxa"/>
          <w:shd w:val="clear" w:color="auto" w:fill="auto"/>
        </w:tcPr>
        <w:p w:rsidR="00FD2C35" w:rsidRPr="00323F6C" w:rsidRDefault="00FD2C35" w:rsidP="00323F6C">
          <w:pPr>
            <w:pStyle w:val="Footer"/>
            <w:jc w:val="left"/>
            <w:rPr>
              <w:w w:val="103"/>
            </w:rPr>
          </w:pPr>
          <w:r>
            <w:rPr>
              <w:w w:val="103"/>
            </w:rPr>
            <w:fldChar w:fldCharType="begin"/>
          </w:r>
          <w:r>
            <w:rPr>
              <w:w w:val="103"/>
            </w:rPr>
            <w:instrText xml:space="preserve"> PAGE  \* MERGEFORMAT </w:instrText>
          </w:r>
          <w:r>
            <w:rPr>
              <w:w w:val="103"/>
            </w:rPr>
            <w:fldChar w:fldCharType="separate"/>
          </w:r>
          <w:r w:rsidR="00901615">
            <w:rPr>
              <w:w w:val="103"/>
            </w:rPr>
            <w:t>2</w:t>
          </w:r>
          <w:r>
            <w:rPr>
              <w:w w:val="103"/>
            </w:rPr>
            <w:fldChar w:fldCharType="end"/>
          </w:r>
        </w:p>
      </w:tc>
    </w:tr>
  </w:tbl>
  <w:p w:rsidR="00FD2C35" w:rsidRPr="00323F6C" w:rsidRDefault="00FD2C35" w:rsidP="00323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D2C35" w:rsidTr="00323F6C">
      <w:tblPrEx>
        <w:tblCellMar>
          <w:top w:w="0" w:type="dxa"/>
          <w:bottom w:w="0" w:type="dxa"/>
        </w:tblCellMar>
      </w:tblPrEx>
      <w:tc>
        <w:tcPr>
          <w:tcW w:w="5033" w:type="dxa"/>
          <w:shd w:val="clear" w:color="auto" w:fill="auto"/>
        </w:tcPr>
        <w:p w:rsidR="00FD2C35" w:rsidRPr="00323F6C" w:rsidRDefault="00FD2C35" w:rsidP="00323F6C">
          <w:pPr>
            <w:pStyle w:val="Footer"/>
            <w:jc w:val="right"/>
          </w:pPr>
          <w:r>
            <w:fldChar w:fldCharType="begin"/>
          </w:r>
          <w:r>
            <w:instrText xml:space="preserve"> PAGE  \* MERGEFORMAT </w:instrText>
          </w:r>
          <w:r>
            <w:fldChar w:fldCharType="separate"/>
          </w:r>
          <w:r w:rsidR="00901615">
            <w:t>7</w:t>
          </w:r>
          <w:r>
            <w:fldChar w:fldCharType="end"/>
          </w:r>
        </w:p>
      </w:tc>
      <w:tc>
        <w:tcPr>
          <w:tcW w:w="5033" w:type="dxa"/>
          <w:shd w:val="clear" w:color="auto" w:fill="auto"/>
        </w:tcPr>
        <w:p w:rsidR="00FD2C35" w:rsidRPr="00323F6C" w:rsidRDefault="00FD2C35" w:rsidP="00323F6C">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10-62063 (C)</w:t>
          </w:r>
          <w:r>
            <w:rPr>
              <w:b w:val="0"/>
              <w:w w:val="103"/>
              <w:sz w:val="14"/>
            </w:rPr>
            <w:fldChar w:fldCharType="end"/>
          </w:r>
        </w:p>
      </w:tc>
    </w:tr>
  </w:tbl>
  <w:p w:rsidR="00FD2C35" w:rsidRPr="00323F6C" w:rsidRDefault="00FD2C35" w:rsidP="00323F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FD2C35">
      <w:tblPrEx>
        <w:tblCellMar>
          <w:top w:w="0" w:type="dxa"/>
          <w:bottom w:w="0" w:type="dxa"/>
        </w:tblCellMar>
      </w:tblPrEx>
      <w:tc>
        <w:tcPr>
          <w:tcW w:w="5033" w:type="dxa"/>
        </w:tcPr>
        <w:p w:rsidR="00FD2C35" w:rsidRDefault="00FD2C35" w:rsidP="00323F6C">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10-62063 (C)</w:t>
          </w:r>
          <w:r>
            <w:rPr>
              <w:b w:val="0"/>
              <w:sz w:val="21"/>
            </w:rPr>
            <w:fldChar w:fldCharType="end"/>
          </w:r>
          <w:r w:rsidR="00901615">
            <w:rPr>
              <w:b w:val="0"/>
              <w:sz w:val="21"/>
            </w:rPr>
            <w:t xml:space="preserve">    211210    1</w:t>
          </w:r>
          <w:r w:rsidR="00901615">
            <w:rPr>
              <w:rFonts w:hint="eastAsia"/>
              <w:b w:val="0"/>
              <w:sz w:val="21"/>
            </w:rPr>
            <w:t>7</w:t>
          </w:r>
          <w:r>
            <w:rPr>
              <w:b w:val="0"/>
              <w:sz w:val="21"/>
            </w:rPr>
            <w:t>0111</w:t>
          </w:r>
        </w:p>
        <w:p w:rsidR="00FD2C35" w:rsidRPr="00323F6C" w:rsidRDefault="00FD2C35" w:rsidP="00323F6C">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*1062063*</w:t>
          </w:r>
          <w:r>
            <w:rPr>
              <w:rFonts w:ascii="Barcode 3 of 9 by request" w:hAnsi="Barcode 3 of 9 by request"/>
              <w:sz w:val="24"/>
            </w:rPr>
            <w:fldChar w:fldCharType="end"/>
          </w:r>
        </w:p>
      </w:tc>
      <w:tc>
        <w:tcPr>
          <w:tcW w:w="5033" w:type="dxa"/>
        </w:tcPr>
        <w:p w:rsidR="00FD2C35" w:rsidRDefault="00FD2C35" w:rsidP="00323F6C">
          <w:pPr>
            <w:pStyle w:val="Footer"/>
            <w:jc w:val="right"/>
            <w:rPr>
              <w:b w:val="0"/>
              <w:sz w:val="21"/>
            </w:rPr>
          </w:pPr>
          <w:r w:rsidRPr="00323F6C">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FD2C35" w:rsidRPr="00323F6C" w:rsidRDefault="00FD2C35" w:rsidP="00323F6C">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FEB" w:rsidRDefault="00320FEB">
      <w:r>
        <w:separator/>
      </w:r>
    </w:p>
  </w:footnote>
  <w:footnote w:type="continuationSeparator" w:id="0">
    <w:p w:rsidR="00320FEB" w:rsidRDefault="00320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D2C35" w:rsidTr="00323F6C">
      <w:tblPrEx>
        <w:tblCellMar>
          <w:top w:w="0" w:type="dxa"/>
          <w:bottom w:w="0" w:type="dxa"/>
        </w:tblCellMar>
      </w:tblPrEx>
      <w:trPr>
        <w:trHeight w:hRule="exact" w:val="864"/>
      </w:trPr>
      <w:tc>
        <w:tcPr>
          <w:tcW w:w="4838" w:type="dxa"/>
          <w:shd w:val="clear" w:color="auto" w:fill="auto"/>
          <w:vAlign w:val="bottom"/>
        </w:tcPr>
        <w:p w:rsidR="00FD2C35" w:rsidRPr="00323F6C" w:rsidRDefault="00FD2C35" w:rsidP="00323F6C">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CEDAW/C/ZMB/Q/5-6</w:t>
          </w:r>
          <w:r>
            <w:rPr>
              <w:b/>
              <w:sz w:val="17"/>
            </w:rPr>
            <w:fldChar w:fldCharType="end"/>
          </w:r>
        </w:p>
      </w:tc>
      <w:tc>
        <w:tcPr>
          <w:tcW w:w="5033" w:type="dxa"/>
          <w:shd w:val="clear" w:color="auto" w:fill="auto"/>
          <w:vAlign w:val="bottom"/>
        </w:tcPr>
        <w:p w:rsidR="00FD2C35" w:rsidRDefault="00FD2C35" w:rsidP="00323F6C">
          <w:pPr>
            <w:pStyle w:val="Header"/>
          </w:pPr>
        </w:p>
      </w:tc>
    </w:tr>
  </w:tbl>
  <w:p w:rsidR="00FD2C35" w:rsidRPr="00323F6C" w:rsidRDefault="00FD2C35" w:rsidP="00323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D2C35" w:rsidTr="00323F6C">
      <w:tblPrEx>
        <w:tblCellMar>
          <w:top w:w="0" w:type="dxa"/>
          <w:bottom w:w="0" w:type="dxa"/>
        </w:tblCellMar>
      </w:tblPrEx>
      <w:trPr>
        <w:trHeight w:hRule="exact" w:val="864"/>
      </w:trPr>
      <w:tc>
        <w:tcPr>
          <w:tcW w:w="4838" w:type="dxa"/>
          <w:shd w:val="clear" w:color="auto" w:fill="auto"/>
          <w:vAlign w:val="bottom"/>
        </w:tcPr>
        <w:p w:rsidR="00FD2C35" w:rsidRDefault="00FD2C35" w:rsidP="00323F6C">
          <w:pPr>
            <w:pStyle w:val="Header"/>
          </w:pPr>
        </w:p>
      </w:tc>
      <w:tc>
        <w:tcPr>
          <w:tcW w:w="5033" w:type="dxa"/>
          <w:shd w:val="clear" w:color="auto" w:fill="auto"/>
          <w:vAlign w:val="bottom"/>
        </w:tcPr>
        <w:p w:rsidR="00FD2C35" w:rsidRPr="00323F6C" w:rsidRDefault="00FD2C35" w:rsidP="00323F6C">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CEDAW/C/ZMB/Q/5-6</w:t>
          </w:r>
          <w:r>
            <w:rPr>
              <w:b/>
              <w:sz w:val="17"/>
            </w:rPr>
            <w:fldChar w:fldCharType="end"/>
          </w:r>
        </w:p>
      </w:tc>
    </w:tr>
  </w:tbl>
  <w:p w:rsidR="00FD2C35" w:rsidRPr="00323F6C" w:rsidRDefault="00FD2C35" w:rsidP="00323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D2C35" w:rsidTr="00323F6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D2C35" w:rsidRDefault="00FD2C35" w:rsidP="00323F6C">
          <w:pPr>
            <w:pStyle w:val="Header"/>
            <w:spacing w:after="120"/>
          </w:pPr>
        </w:p>
      </w:tc>
      <w:tc>
        <w:tcPr>
          <w:tcW w:w="1872" w:type="dxa"/>
          <w:tcBorders>
            <w:bottom w:val="single" w:sz="4" w:space="0" w:color="auto"/>
          </w:tcBorders>
          <w:shd w:val="clear" w:color="auto" w:fill="auto"/>
          <w:vAlign w:val="bottom"/>
        </w:tcPr>
        <w:p w:rsidR="00FD2C35" w:rsidRPr="00323F6C" w:rsidRDefault="00FD2C35" w:rsidP="00323F6C">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D2C35" w:rsidRDefault="00FD2C35" w:rsidP="00323F6C">
          <w:pPr>
            <w:pStyle w:val="Header"/>
            <w:spacing w:after="120"/>
          </w:pPr>
        </w:p>
      </w:tc>
      <w:tc>
        <w:tcPr>
          <w:tcW w:w="6523" w:type="dxa"/>
          <w:gridSpan w:val="3"/>
          <w:tcBorders>
            <w:bottom w:val="single" w:sz="4" w:space="0" w:color="auto"/>
          </w:tcBorders>
          <w:shd w:val="clear" w:color="auto" w:fill="auto"/>
          <w:vAlign w:val="bottom"/>
        </w:tcPr>
        <w:p w:rsidR="00FD2C35" w:rsidRPr="00323F6C" w:rsidRDefault="00FD2C35" w:rsidP="00323F6C">
          <w:pPr>
            <w:spacing w:after="80" w:line="240" w:lineRule="auto"/>
            <w:jc w:val="right"/>
            <w:rPr>
              <w:rFonts w:ascii="Times New Roman"/>
              <w:position w:val="-4"/>
            </w:rPr>
          </w:pPr>
          <w:r>
            <w:rPr>
              <w:rFonts w:ascii="Times New Roman"/>
              <w:position w:val="-4"/>
              <w:sz w:val="40"/>
            </w:rPr>
            <w:t>CEDAW</w:t>
          </w:r>
          <w:r>
            <w:rPr>
              <w:rFonts w:ascii="Times New Roman"/>
              <w:position w:val="-4"/>
            </w:rPr>
            <w:t>/C/ZMB/Q/5-6</w:t>
          </w:r>
        </w:p>
      </w:tc>
    </w:tr>
    <w:tr w:rsidR="00FD2C35" w:rsidRPr="00323F6C" w:rsidTr="00323F6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D2C35" w:rsidRDefault="00FD2C35" w:rsidP="00323F6C">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D2C35" w:rsidRPr="00323F6C" w:rsidRDefault="00FD2C35" w:rsidP="00323F6C">
          <w:pPr>
            <w:pStyle w:val="Header"/>
            <w:spacing w:before="109"/>
            <w:ind w:left="-72"/>
          </w:pPr>
        </w:p>
      </w:tc>
      <w:tc>
        <w:tcPr>
          <w:tcW w:w="5227" w:type="dxa"/>
          <w:gridSpan w:val="3"/>
          <w:tcBorders>
            <w:top w:val="single" w:sz="4" w:space="0" w:color="auto"/>
            <w:bottom w:val="single" w:sz="12" w:space="0" w:color="auto"/>
          </w:tcBorders>
          <w:shd w:val="clear" w:color="auto" w:fill="auto"/>
        </w:tcPr>
        <w:p w:rsidR="00FD2C35" w:rsidRPr="00323F6C" w:rsidRDefault="00FD2C35" w:rsidP="00323F6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FD2C35" w:rsidRPr="00323F6C" w:rsidRDefault="00FD2C35" w:rsidP="00323F6C">
          <w:pPr>
            <w:pStyle w:val="Header"/>
            <w:spacing w:before="109"/>
          </w:pPr>
        </w:p>
      </w:tc>
      <w:tc>
        <w:tcPr>
          <w:tcW w:w="3180" w:type="dxa"/>
          <w:gridSpan w:val="2"/>
          <w:tcBorders>
            <w:top w:val="single" w:sz="4" w:space="0" w:color="auto"/>
            <w:bottom w:val="single" w:sz="12" w:space="0" w:color="auto"/>
          </w:tcBorders>
          <w:shd w:val="clear" w:color="auto" w:fill="auto"/>
        </w:tcPr>
        <w:p w:rsidR="00FD2C35" w:rsidRDefault="00FD2C35" w:rsidP="00323F6C">
          <w:pPr>
            <w:spacing w:before="240" w:line="240" w:lineRule="exact"/>
            <w:rPr>
              <w:rFonts w:ascii="Times New Roman"/>
            </w:rPr>
          </w:pPr>
          <w:r>
            <w:rPr>
              <w:rFonts w:ascii="Times New Roman"/>
            </w:rPr>
            <w:t>Distr.: General</w:t>
          </w:r>
        </w:p>
        <w:p w:rsidR="00FD2C35" w:rsidRDefault="00FD2C35" w:rsidP="00323F6C">
          <w:pPr>
            <w:spacing w:line="240" w:lineRule="exact"/>
            <w:rPr>
              <w:rFonts w:ascii="Times New Roman"/>
            </w:rPr>
          </w:pPr>
          <w:r>
            <w:rPr>
              <w:rFonts w:ascii="Times New Roman"/>
            </w:rPr>
            <w:t>4 November 2010</w:t>
          </w:r>
        </w:p>
        <w:p w:rsidR="00FD2C35" w:rsidRDefault="00FD2C35" w:rsidP="00323F6C">
          <w:pPr>
            <w:spacing w:line="240" w:lineRule="exact"/>
            <w:rPr>
              <w:rFonts w:ascii="Times New Roman"/>
            </w:rPr>
          </w:pPr>
          <w:r>
            <w:rPr>
              <w:rFonts w:ascii="Times New Roman"/>
            </w:rPr>
            <w:t>Chinese</w:t>
          </w:r>
        </w:p>
        <w:p w:rsidR="00FD2C35" w:rsidRPr="00323F6C" w:rsidRDefault="00FD2C35" w:rsidP="00323F6C">
          <w:pPr>
            <w:spacing w:line="240" w:lineRule="exact"/>
            <w:rPr>
              <w:rFonts w:ascii="Times New Roman"/>
            </w:rPr>
          </w:pPr>
          <w:r>
            <w:rPr>
              <w:rFonts w:ascii="Times New Roman"/>
            </w:rPr>
            <w:t>Original: English</w:t>
          </w:r>
        </w:p>
      </w:tc>
    </w:tr>
  </w:tbl>
  <w:p w:rsidR="00FD2C35" w:rsidRPr="00323F6C" w:rsidRDefault="00FD2C35" w:rsidP="00323F6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62063*"/>
    <w:docVar w:name="CreationDt" w:val="22/12/2010 11:26:47"/>
    <w:docVar w:name="DocCategory" w:val="Doc"/>
    <w:docVar w:name="DocType" w:val="Final"/>
    <w:docVar w:name="FooterJN" w:val="10-62063 (C)"/>
    <w:docVar w:name="jobn" w:val="10-62063 (C)"/>
    <w:docVar w:name="jobnDT" w:val="10-62063 (C)   221210"/>
    <w:docVar w:name="jobnDTDT" w:val="10-62063 (C)   221210   221210"/>
    <w:docVar w:name="JobNo" w:val="1062063C"/>
    <w:docVar w:name="OandT" w:val="wu"/>
    <w:docVar w:name="sss1" w:val="CEDAW/C/ZMB/Q/5-6"/>
    <w:docVar w:name="sss2" w:val="-"/>
    <w:docVar w:name="Symbol1" w:val="CEDAW/C/ZMB/Q/5-6"/>
    <w:docVar w:name="Symbol2" w:val="-"/>
  </w:docVars>
  <w:rsids>
    <w:rsidRoot w:val="00C55F5B"/>
    <w:rsid w:val="0000347C"/>
    <w:rsid w:val="000125BC"/>
    <w:rsid w:val="00021A2B"/>
    <w:rsid w:val="00037B39"/>
    <w:rsid w:val="00044CA4"/>
    <w:rsid w:val="00045EFE"/>
    <w:rsid w:val="0007337D"/>
    <w:rsid w:val="000758DF"/>
    <w:rsid w:val="00076EB8"/>
    <w:rsid w:val="00095C67"/>
    <w:rsid w:val="000A31F9"/>
    <w:rsid w:val="000C1786"/>
    <w:rsid w:val="000C4DDE"/>
    <w:rsid w:val="000E240F"/>
    <w:rsid w:val="000E49A4"/>
    <w:rsid w:val="000F1058"/>
    <w:rsid w:val="00101C4E"/>
    <w:rsid w:val="001113F8"/>
    <w:rsid w:val="001212F9"/>
    <w:rsid w:val="00121328"/>
    <w:rsid w:val="0012708E"/>
    <w:rsid w:val="001329F7"/>
    <w:rsid w:val="00141322"/>
    <w:rsid w:val="0015066B"/>
    <w:rsid w:val="00150D3A"/>
    <w:rsid w:val="00151F20"/>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16F7"/>
    <w:rsid w:val="00207135"/>
    <w:rsid w:val="00231575"/>
    <w:rsid w:val="00234507"/>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0B62"/>
    <w:rsid w:val="002D4ACE"/>
    <w:rsid w:val="002D5503"/>
    <w:rsid w:val="002E66D5"/>
    <w:rsid w:val="002F41E2"/>
    <w:rsid w:val="00320C99"/>
    <w:rsid w:val="00320FEB"/>
    <w:rsid w:val="00323F6C"/>
    <w:rsid w:val="003274A9"/>
    <w:rsid w:val="00331221"/>
    <w:rsid w:val="003649EE"/>
    <w:rsid w:val="00371BC6"/>
    <w:rsid w:val="00373A15"/>
    <w:rsid w:val="00383ACA"/>
    <w:rsid w:val="00394A02"/>
    <w:rsid w:val="003C7B20"/>
    <w:rsid w:val="003D075F"/>
    <w:rsid w:val="003E4565"/>
    <w:rsid w:val="003E748F"/>
    <w:rsid w:val="003E7612"/>
    <w:rsid w:val="00414423"/>
    <w:rsid w:val="004411AD"/>
    <w:rsid w:val="004424EF"/>
    <w:rsid w:val="00453BB0"/>
    <w:rsid w:val="00460162"/>
    <w:rsid w:val="004620A8"/>
    <w:rsid w:val="00466BB5"/>
    <w:rsid w:val="004700CF"/>
    <w:rsid w:val="00487444"/>
    <w:rsid w:val="004A06D1"/>
    <w:rsid w:val="004A11FC"/>
    <w:rsid w:val="004C0224"/>
    <w:rsid w:val="004C053E"/>
    <w:rsid w:val="004C3255"/>
    <w:rsid w:val="004D07E1"/>
    <w:rsid w:val="004D1C19"/>
    <w:rsid w:val="004F29B8"/>
    <w:rsid w:val="0050413E"/>
    <w:rsid w:val="00515657"/>
    <w:rsid w:val="00521275"/>
    <w:rsid w:val="0052216F"/>
    <w:rsid w:val="005232CA"/>
    <w:rsid w:val="00523636"/>
    <w:rsid w:val="005335B9"/>
    <w:rsid w:val="00536CCE"/>
    <w:rsid w:val="005541E4"/>
    <w:rsid w:val="00562FE7"/>
    <w:rsid w:val="0057450D"/>
    <w:rsid w:val="0058302A"/>
    <w:rsid w:val="005B7338"/>
    <w:rsid w:val="005C02AB"/>
    <w:rsid w:val="005C5FC3"/>
    <w:rsid w:val="005D0F04"/>
    <w:rsid w:val="005E2A11"/>
    <w:rsid w:val="005F12F0"/>
    <w:rsid w:val="005F3273"/>
    <w:rsid w:val="005F34A3"/>
    <w:rsid w:val="00610CF2"/>
    <w:rsid w:val="006328DE"/>
    <w:rsid w:val="006353DE"/>
    <w:rsid w:val="006479F1"/>
    <w:rsid w:val="00650BEE"/>
    <w:rsid w:val="006520FA"/>
    <w:rsid w:val="0065377D"/>
    <w:rsid w:val="00666F57"/>
    <w:rsid w:val="006740A7"/>
    <w:rsid w:val="006767D5"/>
    <w:rsid w:val="00691524"/>
    <w:rsid w:val="006A654B"/>
    <w:rsid w:val="006E2924"/>
    <w:rsid w:val="006E7A26"/>
    <w:rsid w:val="006F2B3D"/>
    <w:rsid w:val="007052CC"/>
    <w:rsid w:val="007319E0"/>
    <w:rsid w:val="007345AA"/>
    <w:rsid w:val="00737B00"/>
    <w:rsid w:val="0075155C"/>
    <w:rsid w:val="00753A05"/>
    <w:rsid w:val="00757193"/>
    <w:rsid w:val="00761190"/>
    <w:rsid w:val="00776537"/>
    <w:rsid w:val="00783A25"/>
    <w:rsid w:val="007877F4"/>
    <w:rsid w:val="007C74B9"/>
    <w:rsid w:val="007E1B5E"/>
    <w:rsid w:val="007E3C61"/>
    <w:rsid w:val="007E6253"/>
    <w:rsid w:val="007F2278"/>
    <w:rsid w:val="00803014"/>
    <w:rsid w:val="00805783"/>
    <w:rsid w:val="00806F57"/>
    <w:rsid w:val="00806F90"/>
    <w:rsid w:val="008246FC"/>
    <w:rsid w:val="00824C19"/>
    <w:rsid w:val="00826250"/>
    <w:rsid w:val="008378D1"/>
    <w:rsid w:val="00846462"/>
    <w:rsid w:val="00856B87"/>
    <w:rsid w:val="0086691F"/>
    <w:rsid w:val="00883DB0"/>
    <w:rsid w:val="00884C8F"/>
    <w:rsid w:val="00886801"/>
    <w:rsid w:val="00896D38"/>
    <w:rsid w:val="008C3296"/>
    <w:rsid w:val="008E2D03"/>
    <w:rsid w:val="008F2BB5"/>
    <w:rsid w:val="008F425D"/>
    <w:rsid w:val="008F5472"/>
    <w:rsid w:val="008F5D0F"/>
    <w:rsid w:val="00901615"/>
    <w:rsid w:val="009122E0"/>
    <w:rsid w:val="00913351"/>
    <w:rsid w:val="0096193C"/>
    <w:rsid w:val="009769E1"/>
    <w:rsid w:val="00977E0D"/>
    <w:rsid w:val="00986132"/>
    <w:rsid w:val="00986C04"/>
    <w:rsid w:val="009A2F76"/>
    <w:rsid w:val="009B3C23"/>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4084B"/>
    <w:rsid w:val="00A5206D"/>
    <w:rsid w:val="00A72E47"/>
    <w:rsid w:val="00A90956"/>
    <w:rsid w:val="00A95404"/>
    <w:rsid w:val="00A968C5"/>
    <w:rsid w:val="00AA3C28"/>
    <w:rsid w:val="00AA759D"/>
    <w:rsid w:val="00AB2786"/>
    <w:rsid w:val="00AD4308"/>
    <w:rsid w:val="00AF2A33"/>
    <w:rsid w:val="00B11568"/>
    <w:rsid w:val="00B309DD"/>
    <w:rsid w:val="00B36621"/>
    <w:rsid w:val="00B36D64"/>
    <w:rsid w:val="00B41B48"/>
    <w:rsid w:val="00B56194"/>
    <w:rsid w:val="00B60F41"/>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C0"/>
    <w:rsid w:val="00C464DD"/>
    <w:rsid w:val="00C55F5B"/>
    <w:rsid w:val="00C62EF9"/>
    <w:rsid w:val="00C76854"/>
    <w:rsid w:val="00C92AE0"/>
    <w:rsid w:val="00CA450F"/>
    <w:rsid w:val="00CB2B1E"/>
    <w:rsid w:val="00CC3E8B"/>
    <w:rsid w:val="00CC4E84"/>
    <w:rsid w:val="00CD5641"/>
    <w:rsid w:val="00CE64AC"/>
    <w:rsid w:val="00CF7718"/>
    <w:rsid w:val="00D177F1"/>
    <w:rsid w:val="00D323B5"/>
    <w:rsid w:val="00D42ACC"/>
    <w:rsid w:val="00D51DC5"/>
    <w:rsid w:val="00D63B9F"/>
    <w:rsid w:val="00D676D7"/>
    <w:rsid w:val="00D71517"/>
    <w:rsid w:val="00D7168D"/>
    <w:rsid w:val="00D874E1"/>
    <w:rsid w:val="00D9586D"/>
    <w:rsid w:val="00DA51B2"/>
    <w:rsid w:val="00DB0932"/>
    <w:rsid w:val="00DC2506"/>
    <w:rsid w:val="00DC49FA"/>
    <w:rsid w:val="00DD3D6B"/>
    <w:rsid w:val="00DD4467"/>
    <w:rsid w:val="00DD61C8"/>
    <w:rsid w:val="00DD772B"/>
    <w:rsid w:val="00E041F4"/>
    <w:rsid w:val="00E050BA"/>
    <w:rsid w:val="00E25442"/>
    <w:rsid w:val="00E25A1F"/>
    <w:rsid w:val="00E37EEB"/>
    <w:rsid w:val="00E710FB"/>
    <w:rsid w:val="00E806D9"/>
    <w:rsid w:val="00E82CA2"/>
    <w:rsid w:val="00E94E5A"/>
    <w:rsid w:val="00E95594"/>
    <w:rsid w:val="00EA31C3"/>
    <w:rsid w:val="00EB33AC"/>
    <w:rsid w:val="00EC6F21"/>
    <w:rsid w:val="00ED3C6D"/>
    <w:rsid w:val="00EE0913"/>
    <w:rsid w:val="00F01440"/>
    <w:rsid w:val="00F13305"/>
    <w:rsid w:val="00F40463"/>
    <w:rsid w:val="00F50336"/>
    <w:rsid w:val="00F55E5B"/>
    <w:rsid w:val="00F62E3F"/>
    <w:rsid w:val="00F67F90"/>
    <w:rsid w:val="00F77B3E"/>
    <w:rsid w:val="00F833CB"/>
    <w:rsid w:val="00F87754"/>
    <w:rsid w:val="00F90A4B"/>
    <w:rsid w:val="00F90C56"/>
    <w:rsid w:val="00FB0389"/>
    <w:rsid w:val="00FC1CE4"/>
    <w:rsid w:val="00FC4C77"/>
    <w:rsid w:val="00FD2C35"/>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Pages>
  <Words>956</Words>
  <Characters>5455</Characters>
  <Application>Microsoft Office Word</Application>
  <DocSecurity>4</DocSecurity>
  <Lines>45</Lines>
  <Paragraphs>12</Paragraphs>
  <ScaleCrop>false</ScaleCrop>
  <Company>United Nations</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WU</dc:creator>
  <cp:keywords/>
  <dc:description/>
  <cp:lastModifiedBy>FrontDesk2</cp:lastModifiedBy>
  <cp:revision>27</cp:revision>
  <cp:lastPrinted>2010-12-22T12:31:00Z</cp:lastPrinted>
  <dcterms:created xsi:type="dcterms:W3CDTF">2010-12-22T09:25:00Z</dcterms:created>
  <dcterms:modified xsi:type="dcterms:W3CDTF">2011-01-17T09:10:00Z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1062063</vt:lpwstr>
  </property>
  <property fmtid="{D5CDD505-2E9C-101B-9397-08002B2CF9AE}" pid="3" name="Symbol1">
    <vt:lpwstr>CEDAW/C/ZMB/Q/5-6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wu</vt:lpwstr>
  </property>
</Properties>
</file>