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69" w:rsidRDefault="00E10E69" w:rsidP="00E10E69">
      <w:pPr>
        <w:spacing w:line="60" w:lineRule="exact"/>
        <w:rPr>
          <w:sz w:val="6"/>
        </w:rPr>
        <w:sectPr w:rsidR="00E10E69" w:rsidSect="00E10E6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E10E69" w:rsidRDefault="00E10E69" w:rsidP="00E10E69">
      <w:pPr>
        <w:spacing w:line="60" w:lineRule="exact"/>
        <w:rPr>
          <w:sz w:val="6"/>
        </w:rPr>
      </w:pPr>
    </w:p>
    <w:p w:rsidR="00D976FC" w:rsidRPr="00D976FC" w:rsidRDefault="00D976FC" w:rsidP="00D976FC">
      <w:pPr>
        <w:pStyle w:val="SingleTxt"/>
        <w:spacing w:after="60"/>
        <w:ind w:left="0"/>
        <w:rPr>
          <w:rFonts w:ascii="SimHei" w:eastAsia="SimHei" w:hint="eastAsia"/>
          <w:sz w:val="24"/>
          <w:szCs w:val="24"/>
        </w:rPr>
      </w:pPr>
      <w:r w:rsidRPr="00D976FC">
        <w:rPr>
          <w:rFonts w:ascii="SimHei" w:eastAsia="SimHei" w:hint="eastAsia"/>
          <w:sz w:val="24"/>
          <w:szCs w:val="24"/>
        </w:rPr>
        <w:t>消除对妇女歧视委员会</w:t>
      </w:r>
    </w:p>
    <w:p w:rsidR="00D976FC" w:rsidRPr="00D976FC" w:rsidRDefault="00D976FC" w:rsidP="00D976FC">
      <w:pPr>
        <w:pStyle w:val="SingleTxt"/>
        <w:spacing w:after="60"/>
        <w:ind w:left="0"/>
        <w:rPr>
          <w:rFonts w:ascii="SimHei" w:eastAsia="SimHei" w:hint="eastAsia"/>
        </w:rPr>
      </w:pPr>
      <w:r w:rsidRPr="00D976FC">
        <w:rPr>
          <w:rFonts w:ascii="SimHei" w:eastAsia="SimHei" w:hint="eastAsia"/>
        </w:rPr>
        <w:t>会前工作组</w:t>
      </w:r>
    </w:p>
    <w:p w:rsidR="00D976FC" w:rsidRPr="00D976FC" w:rsidRDefault="00D976FC" w:rsidP="00D976FC">
      <w:pPr>
        <w:pStyle w:val="SingleTxt"/>
        <w:spacing w:after="60"/>
        <w:ind w:left="0"/>
        <w:rPr>
          <w:rFonts w:ascii="SimHei" w:eastAsia="SimHei" w:hint="eastAsia"/>
        </w:rPr>
      </w:pPr>
      <w:r w:rsidRPr="00D976FC">
        <w:rPr>
          <w:rFonts w:ascii="SimHei" w:eastAsia="SimHei" w:hint="eastAsia"/>
        </w:rPr>
        <w:t>第四十九届会议</w:t>
      </w:r>
    </w:p>
    <w:p w:rsidR="00D976FC" w:rsidRDefault="00D976FC" w:rsidP="00D976FC">
      <w:pPr>
        <w:pStyle w:val="SingleTxt"/>
        <w:spacing w:after="360"/>
        <w:ind w:left="0"/>
        <w:rPr>
          <w:rFonts w:hint="eastAsia"/>
        </w:rPr>
      </w:pPr>
      <w:r>
        <w:rPr>
          <w:rFonts w:hint="eastAsia"/>
        </w:rPr>
        <w:t>2011年7月11日至29日</w:t>
      </w:r>
    </w:p>
    <w:p w:rsidR="00D976FC" w:rsidRDefault="00D976FC" w:rsidP="00D976F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sidR="00BD10CE">
        <w:rPr>
          <w:rFonts w:hint="eastAsia"/>
        </w:rPr>
        <w:tab/>
      </w:r>
      <w:r>
        <w:rPr>
          <w:rFonts w:hint="eastAsia"/>
        </w:rPr>
        <w:t>对与审议第五次和第六次合并定期报告有关的议题和问题清单的答复</w:t>
      </w:r>
    </w:p>
    <w:p w:rsidR="00D976FC" w:rsidRDefault="00D976FC" w:rsidP="00D976F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赞比亚</w:t>
      </w:r>
      <w:r w:rsidRPr="00D976FC">
        <w:rPr>
          <w:rFonts w:ascii="Times New Roman"/>
          <w:vertAlign w:val="superscript"/>
        </w:rPr>
        <w:t>*</w:t>
      </w:r>
    </w:p>
    <w:p w:rsidR="00D976FC" w:rsidRPr="00D976FC" w:rsidRDefault="00D976FC" w:rsidP="00D976FC">
      <w:pPr>
        <w:framePr w:w="9792" w:h="432" w:hSpace="180" w:wrap="around" w:hAnchor="page" w:x="1210" w:yAlign="bottom"/>
        <w:spacing w:line="100" w:lineRule="exact"/>
        <w:rPr>
          <w:sz w:val="10"/>
        </w:rPr>
      </w:pPr>
    </w:p>
    <w:p w:rsidR="00D976FC" w:rsidRPr="00D976FC" w:rsidRDefault="00D976FC" w:rsidP="00D976FC">
      <w:pPr>
        <w:framePr w:w="9792" w:h="432" w:hSpace="180" w:wrap="around" w:hAnchor="page" w:x="1210" w:yAlign="bottom"/>
        <w:spacing w:line="60" w:lineRule="exact"/>
        <w:rPr>
          <w:sz w:val="6"/>
        </w:rPr>
      </w:pPr>
      <w:r w:rsidRPr="00D976FC">
        <w:rPr>
          <w:noProof/>
          <w:sz w:val="6"/>
        </w:rPr>
        <w:pict>
          <v:line id="_x0000_s1026" style="position:absolute;left:0;text-align:left;z-index:1;mso-position-horizontal-relative:page" from="108pt,-1pt" to="180pt,-1pt" strokeweight=".25pt">
            <w10:wrap anchorx="page"/>
          </v:line>
        </w:pict>
      </w:r>
    </w:p>
    <w:p w:rsidR="00D976FC" w:rsidRPr="00D976FC" w:rsidRDefault="00D976FC" w:rsidP="00D976FC">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D976FC">
        <w:rPr>
          <w:rFonts w:ascii="Times New Roman"/>
          <w:sz w:val="18"/>
        </w:rPr>
        <w:t>*</w:t>
      </w:r>
      <w:r>
        <w:rPr>
          <w:rFonts w:hint="eastAsia"/>
          <w:sz w:val="18"/>
        </w:rPr>
        <w:tab/>
      </w:r>
      <w:r w:rsidRPr="00D976FC">
        <w:rPr>
          <w:rFonts w:hint="eastAsia"/>
          <w:sz w:val="18"/>
        </w:rPr>
        <w:t>本文件未经正式编辑印发。</w:t>
      </w:r>
    </w:p>
    <w:p w:rsidR="00D976FC" w:rsidRDefault="00D976FC" w:rsidP="00D976FC">
      <w:pPr>
        <w:pStyle w:val="SingleTxt"/>
      </w:pPr>
    </w:p>
    <w:p w:rsidR="00D976FC" w:rsidRDefault="00D976FC" w:rsidP="00D976F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00"/>
        <w:ind w:left="1264" w:right="1259" w:hanging="1264"/>
        <w:rPr>
          <w:rFonts w:hint="eastAsia"/>
        </w:rPr>
      </w:pPr>
      <w:r>
        <w:br w:type="page"/>
      </w:r>
      <w:r>
        <w:rPr>
          <w:rFonts w:hint="eastAsia"/>
        </w:rPr>
        <w:tab/>
      </w:r>
      <w:r>
        <w:rPr>
          <w:rFonts w:hint="eastAsia"/>
        </w:rPr>
        <w:tab/>
        <w:t>对与审议第五次和第六次合并定期报告有关的议题和问题清单的答复</w:t>
      </w:r>
    </w:p>
    <w:p w:rsidR="00D976FC" w:rsidRDefault="00D976FC" w:rsidP="00D976F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概述</w:t>
      </w:r>
    </w:p>
    <w:p w:rsidR="00D976FC" w:rsidRDefault="00D976FC" w:rsidP="00D976FC">
      <w:pPr>
        <w:pStyle w:val="SingleTxt"/>
        <w:rPr>
          <w:rFonts w:hint="eastAsia"/>
        </w:rPr>
      </w:pPr>
      <w:r>
        <w:rPr>
          <w:rFonts w:hint="eastAsia"/>
        </w:rPr>
        <w:t>1.</w:t>
      </w:r>
      <w:r>
        <w:rPr>
          <w:rFonts w:hint="eastAsia"/>
        </w:rPr>
        <w:tab/>
      </w:r>
      <w:r w:rsidRPr="0040370E">
        <w:rPr>
          <w:rFonts w:ascii="SimHei" w:eastAsia="SimHei" w:hint="eastAsia"/>
        </w:rPr>
        <w:t>除该报告导言提供的资料外，请进一步提供关于报告编写过程的详细资料，包括：有哪些政府部门和机构参与？该报告是否经政府通过并提交议会？请说明非政府组织(特别是妇女组织)参与此进程的性质和程度。还请说明：委员会审议赞比亚第三次和第四次合并定期报告后得出的结论意见是否译成当地主要语言？如何以及向什么人进行传播、以使赞比亚人民(特别是政府官员和政界人士)了解到为确保男女法律上和事实上的平等而需采取的步骤</w:t>
      </w:r>
      <w:r>
        <w:rPr>
          <w:rFonts w:hint="eastAsia"/>
        </w:rPr>
        <w:t>？</w:t>
      </w:r>
    </w:p>
    <w:p w:rsidR="00D976FC" w:rsidRDefault="00D976FC" w:rsidP="00FF5DE3">
      <w:pPr>
        <w:pStyle w:val="SingleTxt"/>
        <w:rPr>
          <w:rFonts w:hint="eastAsia"/>
        </w:rPr>
      </w:pPr>
      <w:r>
        <w:rPr>
          <w:rFonts w:hint="eastAsia"/>
        </w:rPr>
        <w:t>1.1</w:t>
      </w:r>
      <w:r>
        <w:rPr>
          <w:rFonts w:hint="eastAsia"/>
        </w:rPr>
        <w:tab/>
        <w:t>赞比亚规定，编写国家报告时，需征求所有相关利益攸关方的意见。因此，在编写第五次和第六次定期报告时，在国家和省级咨询了以下政府部门和机构：</w:t>
      </w:r>
    </w:p>
    <w:p w:rsidR="00D976FC" w:rsidRDefault="00FF5DE3" w:rsidP="00FF5DE3">
      <w:pPr>
        <w:pStyle w:val="SingleTxt"/>
        <w:spacing w:after="124"/>
        <w:rPr>
          <w:rFonts w:hint="eastAsia"/>
        </w:rPr>
      </w:pPr>
      <w:r>
        <w:rPr>
          <w:rFonts w:hint="eastAsia"/>
        </w:rPr>
        <w:tab/>
      </w:r>
      <w:r w:rsidR="00D976FC">
        <w:rPr>
          <w:rFonts w:hint="eastAsia"/>
        </w:rPr>
        <w:t>(a)</w:t>
      </w:r>
      <w:r w:rsidR="00D976FC">
        <w:rPr>
          <w:rFonts w:hint="eastAsia"/>
        </w:rPr>
        <w:tab/>
        <w:t>性别发展司；</w:t>
      </w:r>
    </w:p>
    <w:p w:rsidR="00D976FC" w:rsidRDefault="00FF5DE3" w:rsidP="00FF5DE3">
      <w:pPr>
        <w:pStyle w:val="SingleTxt"/>
        <w:spacing w:after="124"/>
        <w:rPr>
          <w:rFonts w:hint="eastAsia"/>
        </w:rPr>
      </w:pPr>
      <w:r>
        <w:rPr>
          <w:rFonts w:hint="eastAsia"/>
        </w:rPr>
        <w:tab/>
      </w:r>
      <w:r w:rsidR="00D976FC">
        <w:rPr>
          <w:rFonts w:hint="eastAsia"/>
        </w:rPr>
        <w:t>(b)</w:t>
      </w:r>
      <w:r w:rsidR="00D976FC">
        <w:rPr>
          <w:rFonts w:hint="eastAsia"/>
        </w:rPr>
        <w:tab/>
        <w:t>内阁办公室；</w:t>
      </w:r>
    </w:p>
    <w:p w:rsidR="00D976FC" w:rsidRDefault="00FF5DE3" w:rsidP="00FF5DE3">
      <w:pPr>
        <w:pStyle w:val="SingleTxt"/>
        <w:spacing w:after="124"/>
        <w:rPr>
          <w:rFonts w:hint="eastAsia"/>
        </w:rPr>
      </w:pPr>
      <w:r>
        <w:rPr>
          <w:rFonts w:hint="eastAsia"/>
        </w:rPr>
        <w:tab/>
      </w:r>
      <w:r w:rsidR="00D976FC">
        <w:rPr>
          <w:rFonts w:hint="eastAsia"/>
        </w:rPr>
        <w:t>(c)</w:t>
      </w:r>
      <w:r w:rsidR="00D976FC">
        <w:rPr>
          <w:rFonts w:hint="eastAsia"/>
        </w:rPr>
        <w:tab/>
        <w:t>社区发展与社会服务部</w:t>
      </w:r>
    </w:p>
    <w:p w:rsidR="00D976FC" w:rsidRDefault="00FF5DE3" w:rsidP="00FF5DE3">
      <w:pPr>
        <w:pStyle w:val="SingleTxt"/>
        <w:spacing w:after="124"/>
        <w:rPr>
          <w:rFonts w:hint="eastAsia"/>
        </w:rPr>
      </w:pPr>
      <w:r>
        <w:rPr>
          <w:rFonts w:hint="eastAsia"/>
        </w:rPr>
        <w:tab/>
      </w:r>
      <w:r w:rsidR="00D976FC">
        <w:rPr>
          <w:rFonts w:hint="eastAsia"/>
        </w:rPr>
        <w:t>(d)</w:t>
      </w:r>
      <w:r w:rsidR="00D976FC">
        <w:rPr>
          <w:rFonts w:hint="eastAsia"/>
        </w:rPr>
        <w:tab/>
        <w:t>外交部；</w:t>
      </w:r>
    </w:p>
    <w:p w:rsidR="00D976FC" w:rsidRDefault="00FF5DE3" w:rsidP="00FF5DE3">
      <w:pPr>
        <w:pStyle w:val="SingleTxt"/>
        <w:spacing w:after="124"/>
        <w:rPr>
          <w:rFonts w:hint="eastAsia"/>
        </w:rPr>
      </w:pPr>
      <w:r>
        <w:rPr>
          <w:rFonts w:hint="eastAsia"/>
        </w:rPr>
        <w:tab/>
      </w:r>
      <w:r w:rsidR="00D976FC">
        <w:rPr>
          <w:rFonts w:hint="eastAsia"/>
        </w:rPr>
        <w:t>(e)</w:t>
      </w:r>
      <w:r w:rsidR="00D976FC">
        <w:rPr>
          <w:rFonts w:hint="eastAsia"/>
        </w:rPr>
        <w:tab/>
        <w:t>中央统计局；</w:t>
      </w:r>
    </w:p>
    <w:p w:rsidR="00D976FC" w:rsidRDefault="00FF5DE3" w:rsidP="00FF5DE3">
      <w:pPr>
        <w:pStyle w:val="SingleTxt"/>
        <w:spacing w:after="124"/>
        <w:rPr>
          <w:rFonts w:hint="eastAsia"/>
        </w:rPr>
      </w:pPr>
      <w:r>
        <w:rPr>
          <w:rFonts w:hint="eastAsia"/>
        </w:rPr>
        <w:tab/>
      </w:r>
      <w:r w:rsidR="00D976FC">
        <w:rPr>
          <w:rFonts w:hint="eastAsia"/>
        </w:rPr>
        <w:t>(f)</w:t>
      </w:r>
      <w:r w:rsidR="00D976FC">
        <w:rPr>
          <w:rFonts w:hint="eastAsia"/>
        </w:rPr>
        <w:tab/>
        <w:t>卫生部；</w:t>
      </w:r>
    </w:p>
    <w:p w:rsidR="00D976FC" w:rsidRDefault="00FF5DE3" w:rsidP="00FF5DE3">
      <w:pPr>
        <w:pStyle w:val="SingleTxt"/>
        <w:spacing w:after="124"/>
        <w:rPr>
          <w:rFonts w:hint="eastAsia"/>
        </w:rPr>
      </w:pPr>
      <w:r>
        <w:rPr>
          <w:rFonts w:hint="eastAsia"/>
        </w:rPr>
        <w:tab/>
      </w:r>
      <w:r w:rsidR="00D976FC">
        <w:rPr>
          <w:rFonts w:hint="eastAsia"/>
        </w:rPr>
        <w:t>(g)</w:t>
      </w:r>
      <w:r w:rsidR="00D976FC">
        <w:rPr>
          <w:rFonts w:hint="eastAsia"/>
        </w:rPr>
        <w:tab/>
        <w:t>教育部；</w:t>
      </w:r>
    </w:p>
    <w:p w:rsidR="00D976FC" w:rsidRDefault="00FF5DE3" w:rsidP="00FF5DE3">
      <w:pPr>
        <w:pStyle w:val="SingleTxt"/>
        <w:spacing w:after="124"/>
        <w:rPr>
          <w:rFonts w:hint="eastAsia"/>
        </w:rPr>
      </w:pPr>
      <w:r>
        <w:rPr>
          <w:rFonts w:hint="eastAsia"/>
        </w:rPr>
        <w:tab/>
      </w:r>
      <w:r w:rsidR="00D976FC">
        <w:rPr>
          <w:rFonts w:hint="eastAsia"/>
        </w:rPr>
        <w:t>(h)</w:t>
      </w:r>
      <w:r w:rsidR="00D976FC">
        <w:rPr>
          <w:rFonts w:hint="eastAsia"/>
        </w:rPr>
        <w:tab/>
        <w:t>劳动与社会保障部；</w:t>
      </w:r>
    </w:p>
    <w:p w:rsidR="00D976FC" w:rsidRDefault="00FF5DE3" w:rsidP="00FF5DE3">
      <w:pPr>
        <w:pStyle w:val="SingleTxt"/>
        <w:spacing w:after="124"/>
        <w:rPr>
          <w:rFonts w:hint="eastAsia"/>
        </w:rPr>
      </w:pPr>
      <w:r>
        <w:rPr>
          <w:rFonts w:hint="eastAsia"/>
        </w:rPr>
        <w:tab/>
      </w:r>
      <w:r w:rsidR="00D976FC">
        <w:rPr>
          <w:rFonts w:hint="eastAsia"/>
        </w:rPr>
        <w:t>(i)</w:t>
      </w:r>
      <w:r w:rsidR="00D976FC">
        <w:rPr>
          <w:rFonts w:hint="eastAsia"/>
        </w:rPr>
        <w:tab/>
        <w:t>新闻与广播服务部；</w:t>
      </w:r>
    </w:p>
    <w:p w:rsidR="00D976FC" w:rsidRDefault="00FF5DE3" w:rsidP="00FF5DE3">
      <w:pPr>
        <w:pStyle w:val="SingleTxt"/>
        <w:spacing w:after="124"/>
        <w:rPr>
          <w:rFonts w:hint="eastAsia"/>
        </w:rPr>
      </w:pPr>
      <w:r>
        <w:rPr>
          <w:rFonts w:hint="eastAsia"/>
        </w:rPr>
        <w:tab/>
      </w:r>
      <w:r w:rsidR="00D976FC">
        <w:rPr>
          <w:rFonts w:hint="eastAsia"/>
        </w:rPr>
        <w:t>(j)</w:t>
      </w:r>
      <w:r w:rsidR="00D976FC">
        <w:rPr>
          <w:rFonts w:hint="eastAsia"/>
        </w:rPr>
        <w:tab/>
        <w:t>科学技术部；</w:t>
      </w:r>
    </w:p>
    <w:p w:rsidR="00D976FC" w:rsidRDefault="00FF5DE3" w:rsidP="00FF5DE3">
      <w:pPr>
        <w:pStyle w:val="SingleTxt"/>
        <w:spacing w:after="124"/>
        <w:rPr>
          <w:rFonts w:hint="eastAsia"/>
        </w:rPr>
      </w:pPr>
      <w:r>
        <w:rPr>
          <w:rFonts w:hint="eastAsia"/>
        </w:rPr>
        <w:tab/>
      </w:r>
      <w:r w:rsidR="00D976FC">
        <w:rPr>
          <w:rFonts w:hint="eastAsia"/>
        </w:rPr>
        <w:t>(k)</w:t>
      </w:r>
      <w:r w:rsidR="00D976FC">
        <w:rPr>
          <w:rFonts w:hint="eastAsia"/>
        </w:rPr>
        <w:tab/>
        <w:t>农业与合作社部；</w:t>
      </w:r>
    </w:p>
    <w:p w:rsidR="00D976FC" w:rsidRDefault="00FF5DE3" w:rsidP="00FF5DE3">
      <w:pPr>
        <w:pStyle w:val="SingleTxt"/>
        <w:spacing w:after="124"/>
        <w:rPr>
          <w:rFonts w:hint="eastAsia"/>
        </w:rPr>
      </w:pPr>
      <w:r>
        <w:rPr>
          <w:rFonts w:hint="eastAsia"/>
        </w:rPr>
        <w:tab/>
      </w:r>
      <w:r w:rsidR="00D976FC">
        <w:rPr>
          <w:rFonts w:hint="eastAsia"/>
        </w:rPr>
        <w:t>(l)</w:t>
      </w:r>
      <w:r w:rsidR="00D976FC">
        <w:rPr>
          <w:rFonts w:hint="eastAsia"/>
        </w:rPr>
        <w:tab/>
        <w:t>国土部；</w:t>
      </w:r>
    </w:p>
    <w:p w:rsidR="00D976FC" w:rsidRDefault="00FF5DE3" w:rsidP="00FF5DE3">
      <w:pPr>
        <w:pStyle w:val="SingleTxt"/>
        <w:spacing w:after="124"/>
        <w:rPr>
          <w:rFonts w:hint="eastAsia"/>
        </w:rPr>
      </w:pPr>
      <w:r>
        <w:rPr>
          <w:rFonts w:hint="eastAsia"/>
        </w:rPr>
        <w:tab/>
      </w:r>
      <w:r w:rsidR="00D976FC">
        <w:rPr>
          <w:rFonts w:hint="eastAsia"/>
        </w:rPr>
        <w:t>(m)</w:t>
      </w:r>
      <w:r w:rsidR="00D976FC">
        <w:rPr>
          <w:rFonts w:hint="eastAsia"/>
        </w:rPr>
        <w:tab/>
        <w:t>内政部(赞比亚警察、警察公共投诉委员会和禁止人口贩运股)；</w:t>
      </w:r>
    </w:p>
    <w:p w:rsidR="00D976FC" w:rsidRDefault="00FF5DE3" w:rsidP="00FF5DE3">
      <w:pPr>
        <w:pStyle w:val="SingleTxt"/>
        <w:spacing w:after="124"/>
        <w:rPr>
          <w:rFonts w:hint="eastAsia"/>
        </w:rPr>
      </w:pPr>
      <w:r>
        <w:rPr>
          <w:rFonts w:hint="eastAsia"/>
        </w:rPr>
        <w:tab/>
      </w:r>
      <w:r w:rsidR="00D976FC">
        <w:rPr>
          <w:rFonts w:hint="eastAsia"/>
        </w:rPr>
        <w:t>(n)</w:t>
      </w:r>
      <w:r w:rsidR="00D976FC">
        <w:rPr>
          <w:rFonts w:hint="eastAsia"/>
        </w:rPr>
        <w:tab/>
        <w:t>赞比亚法律发展委员会；</w:t>
      </w:r>
    </w:p>
    <w:p w:rsidR="00D976FC" w:rsidRDefault="00FF5DE3" w:rsidP="00FF5DE3">
      <w:pPr>
        <w:pStyle w:val="SingleTxt"/>
        <w:spacing w:after="124"/>
        <w:rPr>
          <w:rFonts w:hint="eastAsia"/>
        </w:rPr>
      </w:pPr>
      <w:r>
        <w:rPr>
          <w:rFonts w:hint="eastAsia"/>
        </w:rPr>
        <w:tab/>
      </w:r>
      <w:r w:rsidR="00D976FC">
        <w:rPr>
          <w:rFonts w:hint="eastAsia"/>
        </w:rPr>
        <w:t>(o)</w:t>
      </w:r>
      <w:r w:rsidR="00D976FC">
        <w:rPr>
          <w:rFonts w:hint="eastAsia"/>
        </w:rPr>
        <w:tab/>
        <w:t>公民经济赋权委员会；</w:t>
      </w:r>
    </w:p>
    <w:p w:rsidR="00D976FC" w:rsidRDefault="00FF5DE3" w:rsidP="00FF5DE3">
      <w:pPr>
        <w:pStyle w:val="SingleTxt"/>
        <w:spacing w:after="124"/>
        <w:rPr>
          <w:rFonts w:hint="eastAsia"/>
        </w:rPr>
      </w:pPr>
      <w:r>
        <w:rPr>
          <w:rFonts w:hint="eastAsia"/>
        </w:rPr>
        <w:tab/>
      </w:r>
      <w:r w:rsidR="00D976FC">
        <w:rPr>
          <w:rFonts w:hint="eastAsia"/>
        </w:rPr>
        <w:t>(p)</w:t>
      </w:r>
      <w:r w:rsidR="00D976FC">
        <w:rPr>
          <w:rFonts w:hint="eastAsia"/>
        </w:rPr>
        <w:tab/>
        <w:t>人权委员会；</w:t>
      </w:r>
    </w:p>
    <w:p w:rsidR="00D976FC" w:rsidRDefault="00FF5DE3" w:rsidP="00FF5DE3">
      <w:pPr>
        <w:pStyle w:val="SingleTxt"/>
        <w:spacing w:after="124"/>
        <w:rPr>
          <w:rFonts w:hint="eastAsia"/>
        </w:rPr>
      </w:pPr>
      <w:r>
        <w:rPr>
          <w:rFonts w:hint="eastAsia"/>
        </w:rPr>
        <w:tab/>
      </w:r>
      <w:r w:rsidR="00D976FC">
        <w:rPr>
          <w:rFonts w:hint="eastAsia"/>
        </w:rPr>
        <w:t>(q)</w:t>
      </w:r>
      <w:r w:rsidR="00D976FC">
        <w:rPr>
          <w:rFonts w:hint="eastAsia"/>
        </w:rPr>
        <w:tab/>
        <w:t>国家食品与营养委员会；和</w:t>
      </w:r>
    </w:p>
    <w:p w:rsidR="00D976FC" w:rsidRDefault="00FF5DE3" w:rsidP="00D976FC">
      <w:pPr>
        <w:pStyle w:val="SingleTxt"/>
        <w:rPr>
          <w:rFonts w:hint="eastAsia"/>
        </w:rPr>
      </w:pPr>
      <w:r>
        <w:rPr>
          <w:rFonts w:hint="eastAsia"/>
        </w:rPr>
        <w:tab/>
      </w:r>
      <w:r w:rsidR="00D976FC">
        <w:rPr>
          <w:rFonts w:hint="eastAsia"/>
        </w:rPr>
        <w:t>(r)</w:t>
      </w:r>
      <w:r w:rsidR="00D976FC">
        <w:rPr>
          <w:rFonts w:hint="eastAsia"/>
        </w:rPr>
        <w:tab/>
        <w:t>全国艾滋病理事会。</w:t>
      </w:r>
    </w:p>
    <w:p w:rsidR="00D976FC" w:rsidRDefault="00D976FC" w:rsidP="00FF5DE3">
      <w:pPr>
        <w:pStyle w:val="SingleTxt"/>
        <w:spacing w:after="120" w:line="336" w:lineRule="exact"/>
        <w:rPr>
          <w:rFonts w:hint="eastAsia"/>
        </w:rPr>
      </w:pPr>
      <w:r>
        <w:rPr>
          <w:rFonts w:hint="eastAsia"/>
        </w:rPr>
        <w:t>1.2</w:t>
      </w:r>
      <w:r>
        <w:rPr>
          <w:rFonts w:hint="eastAsia"/>
        </w:rPr>
        <w:tab/>
      </w:r>
      <w:r w:rsidRPr="00FF5DE3">
        <w:rPr>
          <w:rFonts w:hint="eastAsia"/>
          <w:spacing w:val="2"/>
        </w:rPr>
        <w:t>此外，还咨询了赞比亚国民议会、司法部、非政府组织，特别是妇女组织和教会，以征求它们对《公约》条款执行情况的意见，并在缔约国的报告中有所反映。</w:t>
      </w:r>
    </w:p>
    <w:p w:rsidR="00D976FC" w:rsidRDefault="00D976FC" w:rsidP="00FF5DE3">
      <w:pPr>
        <w:pStyle w:val="SingleTxt"/>
        <w:spacing w:after="120" w:line="336" w:lineRule="exact"/>
        <w:rPr>
          <w:rFonts w:hint="eastAsia"/>
        </w:rPr>
      </w:pPr>
      <w:r>
        <w:rPr>
          <w:rFonts w:hint="eastAsia"/>
        </w:rPr>
        <w:t>1.3</w:t>
      </w:r>
      <w:r>
        <w:rPr>
          <w:rFonts w:hint="eastAsia"/>
        </w:rPr>
        <w:tab/>
        <w:t>在报告草案定稿时，政府举行了一次全国审核会议，以确保报告反映利益攸关方在咨询过程中提出的意见。</w:t>
      </w:r>
    </w:p>
    <w:p w:rsidR="00D976FC" w:rsidRDefault="00D976FC" w:rsidP="00FF5DE3">
      <w:pPr>
        <w:pStyle w:val="SingleTxt"/>
        <w:spacing w:line="336" w:lineRule="exact"/>
        <w:rPr>
          <w:rFonts w:hint="eastAsia"/>
        </w:rPr>
      </w:pPr>
      <w:r>
        <w:rPr>
          <w:rFonts w:hint="eastAsia"/>
        </w:rPr>
        <w:t>1.4</w:t>
      </w:r>
      <w:r>
        <w:rPr>
          <w:rFonts w:hint="eastAsia"/>
        </w:rPr>
        <w:tab/>
        <w:t>赞比亚希望进一步报告，按照规定，缔约国报告须经内阁而非议会通过。</w:t>
      </w:r>
    </w:p>
    <w:p w:rsidR="00D976FC" w:rsidRDefault="00D976FC" w:rsidP="00FF5DE3">
      <w:pPr>
        <w:pStyle w:val="SingleTxt"/>
        <w:spacing w:line="336" w:lineRule="exact"/>
        <w:rPr>
          <w:rFonts w:hint="eastAsia"/>
        </w:rPr>
      </w:pPr>
      <w:r>
        <w:rPr>
          <w:rFonts w:hint="eastAsia"/>
        </w:rPr>
        <w:t>1.5</w:t>
      </w:r>
      <w:r>
        <w:rPr>
          <w:rFonts w:hint="eastAsia"/>
        </w:rPr>
        <w:tab/>
        <w:t>关于传播委员会对第三次和第四次合并定期报告的结论意见，赞比亚谨报告，已在各级用赞比亚的官方语言——英语进行了宣传。</w:t>
      </w:r>
    </w:p>
    <w:p w:rsidR="00D976FC" w:rsidRDefault="00D976FC" w:rsidP="00FF5DE3">
      <w:pPr>
        <w:pStyle w:val="SingleTxt"/>
        <w:spacing w:line="336" w:lineRule="exact"/>
        <w:rPr>
          <w:rFonts w:hint="eastAsia"/>
        </w:rPr>
      </w:pPr>
      <w:r>
        <w:rPr>
          <w:rFonts w:hint="eastAsia"/>
        </w:rPr>
        <w:t>2.</w:t>
      </w:r>
      <w:r>
        <w:rPr>
          <w:rFonts w:hint="eastAsia"/>
        </w:rPr>
        <w:tab/>
      </w:r>
      <w:r w:rsidRPr="0040370E">
        <w:rPr>
          <w:rFonts w:ascii="SimHei" w:eastAsia="SimHei" w:hint="eastAsia"/>
        </w:rPr>
        <w:t>请提供按性别分列的、有关《公约》主要领域和条款的最新统计数据。请说明：为定期收集和分析数据、了解妇女(包括那些属于弱势群体的妇女，特别是农村妇女、老年妇女、残疾妇女以及女性移民和难民)的真实情况，已采取了哪些步骤？在这方面，请说明中央统计局是否建立了中央数据库</w:t>
      </w:r>
      <w:r>
        <w:rPr>
          <w:rFonts w:hint="eastAsia"/>
        </w:rPr>
        <w:t>？</w:t>
      </w:r>
    </w:p>
    <w:p w:rsidR="00D976FC" w:rsidRPr="0040370E" w:rsidRDefault="00D976FC" w:rsidP="00FF5DE3">
      <w:pPr>
        <w:pStyle w:val="SingleTxt"/>
        <w:spacing w:line="336" w:lineRule="exact"/>
        <w:rPr>
          <w:rFonts w:ascii="SimHei" w:eastAsia="SimHei" w:hint="eastAsia"/>
        </w:rPr>
      </w:pPr>
      <w:r w:rsidRPr="0040370E">
        <w:rPr>
          <w:rFonts w:ascii="SimHei" w:eastAsia="SimHei" w:hint="eastAsia"/>
        </w:rPr>
        <w:t>按性别分列的、有关《公约》主要领域和条款的统计数据</w:t>
      </w:r>
    </w:p>
    <w:p w:rsidR="00D976FC" w:rsidRPr="00FF5DE3" w:rsidRDefault="00D976FC" w:rsidP="00FF5DE3">
      <w:pPr>
        <w:pStyle w:val="SingleTxt"/>
        <w:spacing w:line="336" w:lineRule="exact"/>
        <w:rPr>
          <w:rFonts w:ascii="SimHei" w:eastAsia="SimHei" w:hint="eastAsia"/>
          <w:spacing w:val="-4"/>
        </w:rPr>
      </w:pPr>
      <w:r>
        <w:rPr>
          <w:rFonts w:hint="eastAsia"/>
        </w:rPr>
        <w:t>2.1</w:t>
      </w:r>
      <w:r w:rsidR="00FF5DE3">
        <w:rPr>
          <w:rFonts w:hint="eastAsia"/>
        </w:rPr>
        <w:tab/>
      </w:r>
      <w:r w:rsidRPr="00FF5DE3">
        <w:rPr>
          <w:rFonts w:ascii="SimHei" w:eastAsia="SimHei" w:hint="eastAsia"/>
          <w:spacing w:val="2"/>
        </w:rPr>
        <w:t>按省、农村和城市地区分列的女户主家庭，赞比亚，2006年生活条件监测调查</w:t>
      </w:r>
    </w:p>
    <w:tbl>
      <w:tblPr>
        <w:tblW w:w="7346" w:type="dxa"/>
        <w:tblInd w:w="1264" w:type="dxa"/>
        <w:tblLayout w:type="fixed"/>
        <w:tblCellMar>
          <w:left w:w="0" w:type="dxa"/>
          <w:right w:w="0" w:type="dxa"/>
        </w:tblCellMar>
        <w:tblLook w:val="0000" w:firstRow="0" w:lastRow="0" w:firstColumn="0" w:lastColumn="0" w:noHBand="0" w:noVBand="0"/>
      </w:tblPr>
      <w:tblGrid>
        <w:gridCol w:w="1421"/>
        <w:gridCol w:w="798"/>
        <w:gridCol w:w="798"/>
        <w:gridCol w:w="85"/>
        <w:gridCol w:w="713"/>
        <w:gridCol w:w="798"/>
        <w:gridCol w:w="87"/>
        <w:gridCol w:w="711"/>
        <w:gridCol w:w="798"/>
        <w:gridCol w:w="1137"/>
      </w:tblGrid>
      <w:tr w:rsidR="00FF5DE3" w:rsidRPr="00FF5DE3" w:rsidTr="00FF5DE3">
        <w:tblPrEx>
          <w:tblCellMar>
            <w:top w:w="0" w:type="dxa"/>
            <w:bottom w:w="0" w:type="dxa"/>
          </w:tblCellMar>
        </w:tblPrEx>
        <w:trPr>
          <w:tblHeader/>
        </w:trPr>
        <w:tc>
          <w:tcPr>
            <w:tcW w:w="1421" w:type="dxa"/>
            <w:tcBorders>
              <w:top w:val="single" w:sz="4" w:space="0" w:color="auto"/>
            </w:tcBorders>
            <w:shd w:val="clear" w:color="auto" w:fill="auto"/>
            <w:vAlign w:val="bottom"/>
          </w:tcPr>
          <w:p w:rsidR="00FF5DE3" w:rsidRPr="00FF5DE3" w:rsidRDefault="00FF5DE3" w:rsidP="00FF5DE3">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596" w:type="dxa"/>
            <w:gridSpan w:val="2"/>
            <w:tcBorders>
              <w:top w:val="single" w:sz="4" w:space="0" w:color="auto"/>
              <w:bottom w:val="single" w:sz="4" w:space="0" w:color="auto"/>
            </w:tcBorders>
            <w:shd w:val="clear" w:color="auto" w:fill="auto"/>
            <w:vAlign w:val="bottom"/>
          </w:tcPr>
          <w:p w:rsidR="00FF5DE3" w:rsidRPr="00FF5DE3" w:rsidRDefault="00FF5DE3" w:rsidP="00FF5DE3">
            <w:pPr>
              <w:tabs>
                <w:tab w:val="left" w:pos="1680"/>
              </w:tabs>
              <w:suppressAutoHyphens/>
              <w:spacing w:before="60" w:after="60" w:line="200" w:lineRule="exact"/>
              <w:ind w:right="57"/>
              <w:jc w:val="center"/>
              <w:rPr>
                <w:rFonts w:ascii="KaiTi_GB2312" w:eastAsia="KaiTi_GB2312"/>
                <w:sz w:val="15"/>
                <w:szCs w:val="18"/>
              </w:rPr>
            </w:pPr>
            <w:r w:rsidRPr="00FF5DE3">
              <w:rPr>
                <w:rFonts w:ascii="KaiTi_GB2312" w:eastAsia="KaiTi_GB2312" w:hAnsi="SimSun"/>
                <w:iCs/>
                <w:sz w:val="15"/>
                <w:szCs w:val="18"/>
              </w:rPr>
              <w:t>女户主家庭比例</w:t>
            </w:r>
          </w:p>
        </w:tc>
        <w:tc>
          <w:tcPr>
            <w:tcW w:w="85" w:type="dxa"/>
            <w:tcBorders>
              <w:top w:val="single" w:sz="4" w:space="0" w:color="auto"/>
            </w:tcBorders>
            <w:shd w:val="clear" w:color="auto" w:fill="auto"/>
            <w:vAlign w:val="bottom"/>
          </w:tcPr>
          <w:p w:rsidR="00FF5DE3" w:rsidRPr="00FF5DE3" w:rsidRDefault="00FF5DE3" w:rsidP="00FF5DE3">
            <w:pPr>
              <w:tabs>
                <w:tab w:val="left" w:pos="1680"/>
              </w:tabs>
              <w:suppressAutoHyphens/>
              <w:spacing w:before="60" w:after="60" w:line="200" w:lineRule="exact"/>
              <w:ind w:right="57"/>
              <w:jc w:val="center"/>
              <w:rPr>
                <w:rFonts w:ascii="KaiTi_GB2312" w:eastAsia="KaiTi_GB2312"/>
                <w:sz w:val="15"/>
                <w:szCs w:val="18"/>
              </w:rPr>
            </w:pPr>
          </w:p>
        </w:tc>
        <w:tc>
          <w:tcPr>
            <w:tcW w:w="1511" w:type="dxa"/>
            <w:gridSpan w:val="2"/>
            <w:tcBorders>
              <w:top w:val="single" w:sz="4" w:space="0" w:color="auto"/>
              <w:bottom w:val="single" w:sz="4" w:space="0" w:color="auto"/>
            </w:tcBorders>
            <w:shd w:val="clear" w:color="auto" w:fill="auto"/>
            <w:vAlign w:val="bottom"/>
          </w:tcPr>
          <w:p w:rsidR="00FF5DE3" w:rsidRPr="00FF5DE3" w:rsidRDefault="00FF5DE3" w:rsidP="00FF5DE3">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FF5DE3">
              <w:rPr>
                <w:rFonts w:ascii="KaiTi_GB2312" w:eastAsia="KaiTi_GB2312" w:hAnsi="SimSun"/>
                <w:iCs/>
                <w:sz w:val="15"/>
                <w:szCs w:val="18"/>
              </w:rPr>
              <w:t>农村</w:t>
            </w:r>
          </w:p>
        </w:tc>
        <w:tc>
          <w:tcPr>
            <w:tcW w:w="87" w:type="dxa"/>
            <w:tcBorders>
              <w:top w:val="single" w:sz="4" w:space="0" w:color="auto"/>
            </w:tcBorders>
            <w:shd w:val="clear" w:color="auto" w:fill="auto"/>
            <w:vAlign w:val="bottom"/>
          </w:tcPr>
          <w:p w:rsidR="00FF5DE3" w:rsidRPr="00FF5DE3" w:rsidRDefault="00FF5DE3" w:rsidP="00FF5DE3">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p>
        </w:tc>
        <w:tc>
          <w:tcPr>
            <w:tcW w:w="1509" w:type="dxa"/>
            <w:gridSpan w:val="2"/>
            <w:tcBorders>
              <w:top w:val="single" w:sz="4" w:space="0" w:color="auto"/>
              <w:bottom w:val="single" w:sz="4" w:space="0" w:color="auto"/>
            </w:tcBorders>
            <w:shd w:val="clear" w:color="auto" w:fill="auto"/>
            <w:vAlign w:val="bottom"/>
          </w:tcPr>
          <w:p w:rsidR="00FF5DE3" w:rsidRPr="00FF5DE3" w:rsidRDefault="00FF5DE3" w:rsidP="00FF5DE3">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FF5DE3">
              <w:rPr>
                <w:rFonts w:ascii="KaiTi_GB2312" w:eastAsia="KaiTi_GB2312" w:hAnsi="SimSun"/>
                <w:iCs/>
                <w:sz w:val="15"/>
                <w:szCs w:val="18"/>
              </w:rPr>
              <w:t>城市</w:t>
            </w:r>
          </w:p>
        </w:tc>
        <w:tc>
          <w:tcPr>
            <w:tcW w:w="1137" w:type="dxa"/>
            <w:tcBorders>
              <w:top w:val="single" w:sz="4" w:space="0" w:color="auto"/>
            </w:tcBorders>
            <w:shd w:val="clear" w:color="auto" w:fill="auto"/>
            <w:vAlign w:val="bottom"/>
          </w:tcPr>
          <w:p w:rsidR="00FF5DE3" w:rsidRPr="00FF5DE3" w:rsidRDefault="00FF5DE3" w:rsidP="00FF5DE3">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r>
      <w:tr w:rsidR="00FF5DE3" w:rsidRPr="00FF5DE3" w:rsidTr="00FF5DE3">
        <w:tblPrEx>
          <w:tblCellMar>
            <w:top w:w="0" w:type="dxa"/>
            <w:bottom w:w="0" w:type="dxa"/>
          </w:tblCellMar>
        </w:tblPrEx>
        <w:trPr>
          <w:tblHeader/>
        </w:trPr>
        <w:tc>
          <w:tcPr>
            <w:tcW w:w="1421" w:type="dxa"/>
            <w:tcBorders>
              <w:bottom w:val="single" w:sz="12" w:space="0" w:color="auto"/>
            </w:tcBorders>
            <w:shd w:val="clear" w:color="auto" w:fill="auto"/>
            <w:vAlign w:val="bottom"/>
          </w:tcPr>
          <w:p w:rsidR="00FF5DE3" w:rsidRPr="00FF5DE3" w:rsidRDefault="00FF5DE3" w:rsidP="00FF5DE3">
            <w:pPr>
              <w:tabs>
                <w:tab w:val="left" w:pos="1680"/>
              </w:tabs>
              <w:suppressAutoHyphens/>
              <w:spacing w:after="60" w:line="200" w:lineRule="exact"/>
              <w:ind w:right="57"/>
              <w:rPr>
                <w:rFonts w:ascii="KaiTi_GB2312" w:eastAsia="KaiTi_GB2312"/>
                <w:sz w:val="15"/>
                <w:szCs w:val="18"/>
              </w:rPr>
            </w:pPr>
            <w:r w:rsidRPr="00FF5DE3">
              <w:rPr>
                <w:rFonts w:ascii="KaiTi_GB2312" w:eastAsia="KaiTi_GB2312" w:hAnsi="SimSun"/>
                <w:iCs/>
                <w:sz w:val="15"/>
                <w:szCs w:val="18"/>
              </w:rPr>
              <w:t>省</w:t>
            </w:r>
          </w:p>
        </w:tc>
        <w:tc>
          <w:tcPr>
            <w:tcW w:w="798" w:type="dxa"/>
            <w:tcBorders>
              <w:top w:val="single" w:sz="4" w:space="0" w:color="auto"/>
              <w:bottom w:val="single" w:sz="12" w:space="0" w:color="auto"/>
            </w:tcBorders>
            <w:shd w:val="clear" w:color="auto" w:fill="auto"/>
            <w:vAlign w:val="bottom"/>
          </w:tcPr>
          <w:p w:rsidR="00FF5DE3" w:rsidRPr="00FF5DE3" w:rsidRDefault="00FF5DE3" w:rsidP="00FF5DE3">
            <w:pPr>
              <w:tabs>
                <w:tab w:val="left" w:pos="1680"/>
              </w:tabs>
              <w:suppressAutoHyphens/>
              <w:spacing w:after="60" w:line="200" w:lineRule="exact"/>
              <w:ind w:right="57"/>
              <w:jc w:val="right"/>
              <w:rPr>
                <w:rFonts w:ascii="KaiTi_GB2312" w:eastAsia="KaiTi_GB2312"/>
                <w:sz w:val="15"/>
                <w:szCs w:val="18"/>
              </w:rPr>
            </w:pPr>
            <w:r w:rsidRPr="00FF5DE3">
              <w:rPr>
                <w:rFonts w:ascii="KaiTi_GB2312" w:eastAsia="KaiTi_GB2312" w:hAnsi="SimSun"/>
                <w:sz w:val="15"/>
                <w:szCs w:val="18"/>
              </w:rPr>
              <w:t>男</w:t>
            </w:r>
          </w:p>
        </w:tc>
        <w:tc>
          <w:tcPr>
            <w:tcW w:w="798" w:type="dxa"/>
            <w:tcBorders>
              <w:top w:val="single" w:sz="4" w:space="0" w:color="auto"/>
              <w:bottom w:val="single" w:sz="12" w:space="0" w:color="auto"/>
            </w:tcBorders>
            <w:shd w:val="clear" w:color="auto" w:fill="auto"/>
            <w:vAlign w:val="bottom"/>
          </w:tcPr>
          <w:p w:rsidR="00FF5DE3" w:rsidRPr="00FF5DE3" w:rsidRDefault="00FF5DE3" w:rsidP="00FF5DE3">
            <w:pPr>
              <w:tabs>
                <w:tab w:val="left" w:pos="1680"/>
              </w:tabs>
              <w:suppressAutoHyphens/>
              <w:spacing w:after="60" w:line="200" w:lineRule="exact"/>
              <w:ind w:right="57"/>
              <w:jc w:val="right"/>
              <w:rPr>
                <w:rFonts w:ascii="KaiTi_GB2312" w:eastAsia="KaiTi_GB2312"/>
                <w:sz w:val="15"/>
                <w:szCs w:val="18"/>
              </w:rPr>
            </w:pPr>
            <w:r w:rsidRPr="00FF5DE3">
              <w:rPr>
                <w:rFonts w:ascii="KaiTi_GB2312" w:eastAsia="KaiTi_GB2312" w:hAnsi="SimSun"/>
                <w:sz w:val="15"/>
                <w:szCs w:val="18"/>
              </w:rPr>
              <w:t>女</w:t>
            </w:r>
          </w:p>
        </w:tc>
        <w:tc>
          <w:tcPr>
            <w:tcW w:w="798" w:type="dxa"/>
            <w:gridSpan w:val="2"/>
            <w:tcBorders>
              <w:bottom w:val="single" w:sz="12" w:space="0" w:color="auto"/>
            </w:tcBorders>
            <w:shd w:val="clear" w:color="auto" w:fill="auto"/>
            <w:vAlign w:val="bottom"/>
          </w:tcPr>
          <w:p w:rsidR="00FF5DE3" w:rsidRPr="00FF5DE3" w:rsidRDefault="00FF5DE3" w:rsidP="00FF5DE3">
            <w:pPr>
              <w:tabs>
                <w:tab w:val="left" w:pos="1680"/>
              </w:tabs>
              <w:suppressAutoHyphens/>
              <w:spacing w:after="60" w:line="200" w:lineRule="exact"/>
              <w:ind w:right="57"/>
              <w:jc w:val="right"/>
              <w:rPr>
                <w:rFonts w:ascii="KaiTi_GB2312" w:eastAsia="KaiTi_GB2312"/>
                <w:sz w:val="15"/>
                <w:szCs w:val="18"/>
              </w:rPr>
            </w:pPr>
            <w:r w:rsidRPr="00FF5DE3">
              <w:rPr>
                <w:rFonts w:ascii="KaiTi_GB2312" w:eastAsia="KaiTi_GB2312" w:hAnsi="SimSun"/>
                <w:sz w:val="15"/>
                <w:szCs w:val="18"/>
              </w:rPr>
              <w:t>男</w:t>
            </w:r>
          </w:p>
        </w:tc>
        <w:tc>
          <w:tcPr>
            <w:tcW w:w="798" w:type="dxa"/>
            <w:tcBorders>
              <w:bottom w:val="single" w:sz="12" w:space="0" w:color="auto"/>
            </w:tcBorders>
            <w:shd w:val="clear" w:color="auto" w:fill="auto"/>
            <w:vAlign w:val="bottom"/>
          </w:tcPr>
          <w:p w:rsidR="00FF5DE3" w:rsidRPr="00FF5DE3" w:rsidRDefault="00FF5DE3" w:rsidP="00FF5DE3">
            <w:pPr>
              <w:tabs>
                <w:tab w:val="left" w:pos="1680"/>
              </w:tabs>
              <w:suppressAutoHyphens/>
              <w:spacing w:after="60" w:line="200" w:lineRule="exact"/>
              <w:ind w:right="57"/>
              <w:jc w:val="right"/>
              <w:rPr>
                <w:rFonts w:ascii="KaiTi_GB2312" w:eastAsia="KaiTi_GB2312"/>
                <w:sz w:val="15"/>
                <w:szCs w:val="18"/>
              </w:rPr>
            </w:pPr>
            <w:r w:rsidRPr="00FF5DE3">
              <w:rPr>
                <w:rFonts w:ascii="KaiTi_GB2312" w:eastAsia="KaiTi_GB2312" w:hAnsi="SimSun"/>
                <w:sz w:val="15"/>
                <w:szCs w:val="18"/>
              </w:rPr>
              <w:t>女</w:t>
            </w:r>
          </w:p>
        </w:tc>
        <w:tc>
          <w:tcPr>
            <w:tcW w:w="798" w:type="dxa"/>
            <w:gridSpan w:val="2"/>
            <w:tcBorders>
              <w:bottom w:val="single" w:sz="12" w:space="0" w:color="auto"/>
            </w:tcBorders>
            <w:shd w:val="clear" w:color="auto" w:fill="auto"/>
            <w:vAlign w:val="bottom"/>
          </w:tcPr>
          <w:p w:rsidR="00FF5DE3" w:rsidRPr="00FF5DE3" w:rsidRDefault="00FF5DE3" w:rsidP="00FF5DE3">
            <w:pPr>
              <w:tabs>
                <w:tab w:val="left" w:pos="1680"/>
              </w:tabs>
              <w:suppressAutoHyphens/>
              <w:spacing w:after="60" w:line="200" w:lineRule="exact"/>
              <w:ind w:right="57"/>
              <w:jc w:val="right"/>
              <w:rPr>
                <w:rFonts w:ascii="KaiTi_GB2312" w:eastAsia="KaiTi_GB2312"/>
                <w:sz w:val="15"/>
                <w:szCs w:val="18"/>
              </w:rPr>
            </w:pPr>
            <w:r w:rsidRPr="00FF5DE3">
              <w:rPr>
                <w:rFonts w:ascii="KaiTi_GB2312" w:eastAsia="KaiTi_GB2312" w:hAnsi="SimSun"/>
                <w:sz w:val="15"/>
                <w:szCs w:val="18"/>
              </w:rPr>
              <w:t>男</w:t>
            </w:r>
          </w:p>
        </w:tc>
        <w:tc>
          <w:tcPr>
            <w:tcW w:w="798" w:type="dxa"/>
            <w:tcBorders>
              <w:bottom w:val="single" w:sz="12" w:space="0" w:color="auto"/>
            </w:tcBorders>
            <w:shd w:val="clear" w:color="auto" w:fill="auto"/>
            <w:vAlign w:val="bottom"/>
          </w:tcPr>
          <w:p w:rsidR="00FF5DE3" w:rsidRPr="00FF5DE3" w:rsidRDefault="00FF5DE3" w:rsidP="00FF5DE3">
            <w:pPr>
              <w:tabs>
                <w:tab w:val="left" w:pos="1680"/>
              </w:tabs>
              <w:suppressAutoHyphens/>
              <w:spacing w:after="60" w:line="200" w:lineRule="exact"/>
              <w:ind w:right="57"/>
              <w:jc w:val="right"/>
              <w:rPr>
                <w:rFonts w:ascii="KaiTi_GB2312" w:eastAsia="KaiTi_GB2312"/>
                <w:sz w:val="15"/>
                <w:szCs w:val="18"/>
              </w:rPr>
            </w:pPr>
            <w:r w:rsidRPr="00FF5DE3">
              <w:rPr>
                <w:rFonts w:ascii="KaiTi_GB2312" w:eastAsia="KaiTi_GB2312" w:hAnsi="SimSun"/>
                <w:sz w:val="15"/>
                <w:szCs w:val="18"/>
              </w:rPr>
              <w:t>女</w:t>
            </w:r>
          </w:p>
        </w:tc>
        <w:tc>
          <w:tcPr>
            <w:tcW w:w="1137" w:type="dxa"/>
            <w:tcBorders>
              <w:bottom w:val="single" w:sz="12" w:space="0" w:color="auto"/>
            </w:tcBorders>
            <w:shd w:val="clear" w:color="auto" w:fill="auto"/>
            <w:vAlign w:val="bottom"/>
          </w:tcPr>
          <w:p w:rsidR="00FF5DE3" w:rsidRPr="00FF5DE3" w:rsidRDefault="00FF5DE3" w:rsidP="00FF5DE3">
            <w:pPr>
              <w:tabs>
                <w:tab w:val="left" w:pos="360"/>
                <w:tab w:val="left" w:pos="720"/>
                <w:tab w:val="left" w:pos="1080"/>
                <w:tab w:val="left" w:pos="1440"/>
              </w:tabs>
              <w:suppressAutoHyphens/>
              <w:spacing w:after="60" w:line="200" w:lineRule="exact"/>
              <w:ind w:right="57"/>
              <w:jc w:val="right"/>
              <w:rPr>
                <w:rFonts w:ascii="KaiTi_GB2312" w:eastAsia="KaiTi_GB2312" w:hint="eastAsia"/>
                <w:sz w:val="15"/>
              </w:rPr>
            </w:pPr>
            <w:r w:rsidRPr="00FF5DE3">
              <w:rPr>
                <w:rFonts w:ascii="KaiTi_GB2312" w:eastAsia="KaiTi_GB2312" w:hAnsi="SimSun"/>
                <w:iCs/>
                <w:sz w:val="15"/>
                <w:szCs w:val="18"/>
              </w:rPr>
              <w:t>家庭数量</w:t>
            </w:r>
          </w:p>
        </w:tc>
      </w:tr>
      <w:tr w:rsidR="00FF5DE3" w:rsidRPr="00FF5DE3" w:rsidTr="00FF5DE3">
        <w:tblPrEx>
          <w:tblCellMar>
            <w:top w:w="0" w:type="dxa"/>
            <w:bottom w:w="0" w:type="dxa"/>
          </w:tblCellMar>
        </w:tblPrEx>
        <w:trPr>
          <w:trHeight w:hRule="exact" w:val="115"/>
          <w:tblHeader/>
        </w:trPr>
        <w:tc>
          <w:tcPr>
            <w:tcW w:w="1421" w:type="dxa"/>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rPr>
                <w:rFonts w:ascii="Times New Roman" w:hAnsi="SimSun"/>
                <w:sz w:val="17"/>
                <w:szCs w:val="18"/>
              </w:rPr>
            </w:pPr>
          </w:p>
        </w:tc>
        <w:tc>
          <w:tcPr>
            <w:tcW w:w="798" w:type="dxa"/>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jc w:val="right"/>
              <w:rPr>
                <w:rFonts w:ascii="Times New Roman"/>
                <w:sz w:val="17"/>
                <w:szCs w:val="18"/>
              </w:rPr>
            </w:pPr>
          </w:p>
        </w:tc>
        <w:tc>
          <w:tcPr>
            <w:tcW w:w="798" w:type="dxa"/>
            <w:gridSpan w:val="2"/>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jc w:val="right"/>
              <w:rPr>
                <w:rFonts w:ascii="Times New Roman"/>
                <w:sz w:val="17"/>
                <w:szCs w:val="18"/>
              </w:rPr>
            </w:pPr>
          </w:p>
        </w:tc>
        <w:tc>
          <w:tcPr>
            <w:tcW w:w="798" w:type="dxa"/>
            <w:gridSpan w:val="2"/>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jc w:val="right"/>
              <w:rPr>
                <w:rFonts w:ascii="Times New Roman"/>
                <w:sz w:val="17"/>
                <w:szCs w:val="18"/>
              </w:rPr>
            </w:pPr>
          </w:p>
        </w:tc>
        <w:tc>
          <w:tcPr>
            <w:tcW w:w="1137" w:type="dxa"/>
            <w:tcBorders>
              <w:top w:val="single" w:sz="12" w:space="0" w:color="auto"/>
            </w:tcBorders>
            <w:shd w:val="clear" w:color="auto" w:fill="auto"/>
            <w:vAlign w:val="bottom"/>
          </w:tcPr>
          <w:p w:rsidR="00FF5DE3" w:rsidRPr="00FF5DE3" w:rsidRDefault="00FF5DE3" w:rsidP="00FF5DE3">
            <w:pPr>
              <w:tabs>
                <w:tab w:val="left" w:pos="1680"/>
              </w:tabs>
              <w:suppressAutoHyphens/>
              <w:spacing w:after="60" w:line="280" w:lineRule="exact"/>
              <w:ind w:right="57"/>
              <w:jc w:val="right"/>
              <w:rPr>
                <w:rFonts w:ascii="Times New Roman"/>
                <w:sz w:val="17"/>
                <w:szCs w:val="18"/>
              </w:rPr>
            </w:pP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中央省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76</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24</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225 915</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铜带省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81</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19</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80</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20</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81</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19</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337 943</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东方省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76</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24</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75</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25</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320 393</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卢阿普拉省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80</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20</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79</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21</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80</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20</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177 793</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卢萨卡省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76</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24</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76</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24</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333 430</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北方省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81</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19</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82</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18</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79</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21</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296 021</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西北省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75</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25</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81</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19</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131 217</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南方省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78</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22</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78</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22</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284 250</w:t>
            </w:r>
          </w:p>
        </w:tc>
      </w:tr>
      <w:tr w:rsidR="00FF5DE3" w:rsidRPr="00FF5DE3" w:rsidTr="00FF5DE3">
        <w:tblPrEx>
          <w:tblCellMar>
            <w:top w:w="0" w:type="dxa"/>
            <w:bottom w:w="0" w:type="dxa"/>
          </w:tblCellMar>
        </w:tblPrEx>
        <w:tc>
          <w:tcPr>
            <w:tcW w:w="1421"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西方省</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iCs/>
                <w:sz w:val="17"/>
                <w:szCs w:val="18"/>
              </w:rPr>
              <w:t>66</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34</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65</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35</w:t>
            </w:r>
          </w:p>
        </w:tc>
        <w:tc>
          <w:tcPr>
            <w:tcW w:w="798" w:type="dxa"/>
            <w:gridSpan w:val="2"/>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68</w:t>
            </w:r>
          </w:p>
        </w:tc>
        <w:tc>
          <w:tcPr>
            <w:tcW w:w="798"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32</w:t>
            </w:r>
          </w:p>
        </w:tc>
        <w:tc>
          <w:tcPr>
            <w:tcW w:w="1137" w:type="dxa"/>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176 250</w:t>
            </w:r>
          </w:p>
        </w:tc>
      </w:tr>
      <w:tr w:rsidR="00FF5DE3" w:rsidRPr="00FF5DE3" w:rsidTr="00FF5DE3">
        <w:tblPrEx>
          <w:tblCellMar>
            <w:top w:w="0" w:type="dxa"/>
            <w:bottom w:w="0" w:type="dxa"/>
          </w:tblCellMar>
        </w:tblPrEx>
        <w:tc>
          <w:tcPr>
            <w:tcW w:w="1421" w:type="dxa"/>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rPr>
                <w:rFonts w:hAnsi="SimSun"/>
                <w:sz w:val="17"/>
                <w:szCs w:val="18"/>
              </w:rPr>
            </w:pPr>
            <w:r w:rsidRPr="00FF5DE3">
              <w:rPr>
                <w:rFonts w:hAnsi="SimSun"/>
                <w:sz w:val="17"/>
                <w:szCs w:val="18"/>
              </w:rPr>
              <w:t>整个赞比亚</w:t>
            </w:r>
          </w:p>
        </w:tc>
        <w:tc>
          <w:tcPr>
            <w:tcW w:w="798" w:type="dxa"/>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798" w:type="dxa"/>
            <w:gridSpan w:val="2"/>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77</w:t>
            </w:r>
          </w:p>
        </w:tc>
        <w:tc>
          <w:tcPr>
            <w:tcW w:w="798" w:type="dxa"/>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23</w:t>
            </w:r>
          </w:p>
        </w:tc>
        <w:tc>
          <w:tcPr>
            <w:tcW w:w="798" w:type="dxa"/>
            <w:gridSpan w:val="2"/>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78</w:t>
            </w:r>
          </w:p>
        </w:tc>
        <w:tc>
          <w:tcPr>
            <w:tcW w:w="798" w:type="dxa"/>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22</w:t>
            </w:r>
          </w:p>
        </w:tc>
        <w:tc>
          <w:tcPr>
            <w:tcW w:w="1137" w:type="dxa"/>
            <w:tcBorders>
              <w:bottom w:val="single" w:sz="12" w:space="0" w:color="auto"/>
            </w:tcBorders>
            <w:shd w:val="clear" w:color="auto" w:fill="auto"/>
            <w:vAlign w:val="bottom"/>
          </w:tcPr>
          <w:p w:rsidR="00FF5DE3" w:rsidRPr="00FF5DE3" w:rsidRDefault="00FF5DE3" w:rsidP="00FF5DE3">
            <w:pPr>
              <w:tabs>
                <w:tab w:val="left" w:pos="334"/>
                <w:tab w:val="left" w:pos="669"/>
                <w:tab w:val="left" w:pos="1003"/>
                <w:tab w:val="left" w:pos="1338"/>
              </w:tabs>
              <w:suppressAutoHyphens/>
              <w:spacing w:before="40" w:after="40" w:line="280" w:lineRule="exact"/>
              <w:ind w:right="57"/>
              <w:jc w:val="right"/>
              <w:rPr>
                <w:rFonts w:hAnsi="SimSun"/>
                <w:sz w:val="17"/>
                <w:szCs w:val="18"/>
              </w:rPr>
            </w:pPr>
            <w:r w:rsidRPr="00FF5DE3">
              <w:rPr>
                <w:rFonts w:hAnsi="SimSun"/>
                <w:sz w:val="17"/>
                <w:szCs w:val="18"/>
              </w:rPr>
              <w:t>2 283 211</w:t>
            </w:r>
          </w:p>
        </w:tc>
      </w:tr>
    </w:tbl>
    <w:p w:rsidR="00FF5DE3" w:rsidRPr="00FF5DE3" w:rsidRDefault="00FF5DE3" w:rsidP="00FF5DE3">
      <w:pPr>
        <w:pStyle w:val="SingleTxt"/>
        <w:spacing w:after="0" w:line="120" w:lineRule="exact"/>
        <w:rPr>
          <w:rFonts w:hint="eastAsia"/>
          <w:sz w:val="10"/>
        </w:rPr>
      </w:pPr>
    </w:p>
    <w:p w:rsidR="00D976FC" w:rsidRDefault="00D976FC" w:rsidP="00FF5DE3">
      <w:pPr>
        <w:pStyle w:val="FootnoteText"/>
        <w:tabs>
          <w:tab w:val="clear" w:pos="418"/>
          <w:tab w:val="right" w:pos="1476"/>
          <w:tab w:val="left" w:pos="1548"/>
          <w:tab w:val="right" w:pos="1836"/>
          <w:tab w:val="left" w:pos="1908"/>
        </w:tabs>
        <w:spacing w:after="180"/>
        <w:ind w:left="1548" w:right="1264" w:hanging="289"/>
        <w:rPr>
          <w:rFonts w:hint="eastAsia"/>
        </w:rPr>
      </w:pPr>
      <w:r w:rsidRPr="00FF5DE3">
        <w:rPr>
          <w:rFonts w:ascii="KaiTi_GB2312" w:eastAsia="KaiTi_GB2312" w:hint="eastAsia"/>
        </w:rPr>
        <w:t>资料来源</w:t>
      </w:r>
      <w:r>
        <w:rPr>
          <w:rFonts w:hint="eastAsia"/>
        </w:rPr>
        <w:t>：2006年生活条件监测调查。</w:t>
      </w:r>
    </w:p>
    <w:p w:rsidR="00D976FC" w:rsidRDefault="00D976FC" w:rsidP="00FF5DE3">
      <w:pPr>
        <w:pStyle w:val="SingleTxt"/>
        <w:spacing w:line="328" w:lineRule="exact"/>
        <w:rPr>
          <w:rFonts w:hint="eastAsia"/>
        </w:rPr>
      </w:pPr>
      <w:r w:rsidRPr="0040370E">
        <w:rPr>
          <w:rFonts w:ascii="SimHei" w:eastAsia="SimHei" w:hint="eastAsia"/>
        </w:rPr>
        <w:t>上表按省、农村和城市地区分列了女户主家庭的分布情况。该表显示，2006年，赞比亚的女户主家庭占23%。西方省的女户主家庭比例最高(34%)，卢萨卡和北方省最低(19%)。以下各省农村地区的女户主家庭比例较高，东方省、卢萨卡省、西北省、西方省和南方省</w:t>
      </w:r>
      <w:r>
        <w:rPr>
          <w:rFonts w:hint="eastAsia"/>
        </w:rPr>
        <w:t>。</w:t>
      </w:r>
    </w:p>
    <w:p w:rsidR="00D976FC" w:rsidRDefault="00D976FC" w:rsidP="00D976FC">
      <w:pPr>
        <w:pStyle w:val="SingleTxt"/>
        <w:rPr>
          <w:rFonts w:hint="eastAsia"/>
        </w:rPr>
      </w:pPr>
      <w:r>
        <w:rPr>
          <w:rFonts w:hint="eastAsia"/>
        </w:rPr>
        <w:t>2.2</w:t>
      </w:r>
      <w:r>
        <w:rPr>
          <w:rFonts w:hint="eastAsia"/>
        </w:rPr>
        <w:tab/>
      </w:r>
      <w:r w:rsidRPr="00FF5DE3">
        <w:rPr>
          <w:rFonts w:ascii="SimHei" w:eastAsia="SimHei" w:hint="eastAsia"/>
        </w:rPr>
        <w:t>按性别、年龄和婚姻状况分列的12岁及以上人口的分布情况，赞比亚，2006年生活条件监测调查</w:t>
      </w:r>
    </w:p>
    <w:tbl>
      <w:tblPr>
        <w:tblW w:w="7346" w:type="dxa"/>
        <w:tblInd w:w="1264" w:type="dxa"/>
        <w:tblLayout w:type="fixed"/>
        <w:tblCellMar>
          <w:left w:w="0" w:type="dxa"/>
          <w:right w:w="0" w:type="dxa"/>
        </w:tblCellMar>
        <w:tblLook w:val="0000" w:firstRow="0" w:lastRow="0" w:firstColumn="0" w:lastColumn="0" w:noHBand="0" w:noVBand="0"/>
      </w:tblPr>
      <w:tblGrid>
        <w:gridCol w:w="1421"/>
        <w:gridCol w:w="798"/>
        <w:gridCol w:w="798"/>
        <w:gridCol w:w="798"/>
        <w:gridCol w:w="798"/>
        <w:gridCol w:w="798"/>
        <w:gridCol w:w="798"/>
        <w:gridCol w:w="1137"/>
      </w:tblGrid>
      <w:tr w:rsidR="00C0006D" w:rsidRPr="00C0006D" w:rsidTr="00C0006D">
        <w:tblPrEx>
          <w:tblCellMar>
            <w:top w:w="0" w:type="dxa"/>
            <w:bottom w:w="0" w:type="dxa"/>
          </w:tblCellMar>
        </w:tblPrEx>
        <w:trPr>
          <w:tblHeader/>
        </w:trPr>
        <w:tc>
          <w:tcPr>
            <w:tcW w:w="1421" w:type="dxa"/>
            <w:tcBorders>
              <w:top w:val="single" w:sz="4"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before="40" w:after="40" w:line="200" w:lineRule="exact"/>
              <w:ind w:right="57"/>
              <w:rPr>
                <w:rFonts w:ascii="KaiTi_GB2312" w:eastAsia="KaiTi_GB2312" w:hAnsi="SimSun"/>
                <w:sz w:val="15"/>
                <w:szCs w:val="18"/>
              </w:rPr>
            </w:pPr>
          </w:p>
        </w:tc>
        <w:tc>
          <w:tcPr>
            <w:tcW w:w="798" w:type="dxa"/>
            <w:tcBorders>
              <w:top w:val="single" w:sz="4" w:space="0" w:color="auto"/>
              <w:bottom w:val="single" w:sz="4"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before="40" w:after="40" w:line="200" w:lineRule="exact"/>
              <w:ind w:right="57"/>
              <w:jc w:val="right"/>
              <w:rPr>
                <w:rFonts w:ascii="KaiTi_GB2312" w:eastAsia="KaiTi_GB2312" w:hAnsi="SimSun"/>
                <w:sz w:val="15"/>
                <w:szCs w:val="18"/>
              </w:rPr>
            </w:pPr>
          </w:p>
        </w:tc>
        <w:tc>
          <w:tcPr>
            <w:tcW w:w="798" w:type="dxa"/>
            <w:tcBorders>
              <w:top w:val="single" w:sz="4" w:space="0" w:color="auto"/>
              <w:bottom w:val="single" w:sz="4"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before="40" w:after="40" w:line="200" w:lineRule="exact"/>
              <w:ind w:right="57"/>
              <w:jc w:val="right"/>
              <w:rPr>
                <w:rFonts w:ascii="KaiTi_GB2312" w:eastAsia="KaiTi_GB2312" w:hAnsi="SimSun"/>
                <w:sz w:val="15"/>
                <w:szCs w:val="18"/>
              </w:rPr>
            </w:pPr>
          </w:p>
        </w:tc>
        <w:tc>
          <w:tcPr>
            <w:tcW w:w="798" w:type="dxa"/>
            <w:tcBorders>
              <w:top w:val="single" w:sz="4" w:space="0" w:color="auto"/>
              <w:bottom w:val="single" w:sz="4"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before="40" w:after="40" w:line="200" w:lineRule="exact"/>
              <w:ind w:right="57"/>
              <w:jc w:val="right"/>
              <w:rPr>
                <w:rFonts w:ascii="KaiTi_GB2312" w:eastAsia="KaiTi_GB2312" w:hAnsi="SimSun"/>
                <w:sz w:val="15"/>
                <w:szCs w:val="18"/>
              </w:rPr>
            </w:pPr>
            <w:r w:rsidRPr="00C0006D">
              <w:rPr>
                <w:rFonts w:ascii="KaiTi_GB2312" w:eastAsia="KaiTi_GB2312" w:hAnsi="SimSun"/>
                <w:iCs/>
                <w:sz w:val="15"/>
                <w:szCs w:val="18"/>
              </w:rPr>
              <w:t>婚姻状况</w:t>
            </w:r>
          </w:p>
        </w:tc>
        <w:tc>
          <w:tcPr>
            <w:tcW w:w="798" w:type="dxa"/>
            <w:tcBorders>
              <w:top w:val="single" w:sz="4" w:space="0" w:color="auto"/>
              <w:bottom w:val="single" w:sz="4"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before="40" w:after="40" w:line="200" w:lineRule="exact"/>
              <w:ind w:right="57"/>
              <w:jc w:val="right"/>
              <w:rPr>
                <w:rFonts w:ascii="KaiTi_GB2312" w:eastAsia="KaiTi_GB2312" w:hAnsi="SimSun"/>
                <w:sz w:val="15"/>
                <w:szCs w:val="18"/>
              </w:rPr>
            </w:pPr>
          </w:p>
        </w:tc>
        <w:tc>
          <w:tcPr>
            <w:tcW w:w="798" w:type="dxa"/>
            <w:tcBorders>
              <w:top w:val="single" w:sz="4" w:space="0" w:color="auto"/>
              <w:bottom w:val="single" w:sz="4"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before="40" w:after="40" w:line="200" w:lineRule="exact"/>
              <w:ind w:right="57"/>
              <w:jc w:val="right"/>
              <w:rPr>
                <w:rFonts w:ascii="KaiTi_GB2312" w:eastAsia="KaiTi_GB2312" w:hAnsi="SimSun"/>
                <w:sz w:val="15"/>
                <w:szCs w:val="18"/>
              </w:rPr>
            </w:pPr>
          </w:p>
        </w:tc>
        <w:tc>
          <w:tcPr>
            <w:tcW w:w="798" w:type="dxa"/>
            <w:tcBorders>
              <w:top w:val="single" w:sz="4"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before="40" w:after="40" w:line="200" w:lineRule="exact"/>
              <w:ind w:right="57"/>
              <w:jc w:val="right"/>
              <w:rPr>
                <w:rFonts w:ascii="KaiTi_GB2312" w:eastAsia="KaiTi_GB2312" w:hAnsi="SimSun"/>
                <w:sz w:val="15"/>
                <w:szCs w:val="18"/>
              </w:rPr>
            </w:pPr>
          </w:p>
        </w:tc>
        <w:tc>
          <w:tcPr>
            <w:tcW w:w="1137" w:type="dxa"/>
            <w:vMerge w:val="restart"/>
            <w:tcBorders>
              <w:top w:val="single" w:sz="4"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hAnsi="SimSun"/>
                <w:sz w:val="15"/>
                <w:szCs w:val="18"/>
              </w:rPr>
            </w:pPr>
            <w:r w:rsidRPr="00C0006D">
              <w:rPr>
                <w:rFonts w:ascii="KaiTi_GB2312" w:eastAsia="KaiTi_GB2312"/>
                <w:sz w:val="15"/>
                <w:szCs w:val="18"/>
              </w:rPr>
              <w:t>12</w:t>
            </w:r>
            <w:r w:rsidRPr="00C0006D">
              <w:rPr>
                <w:rFonts w:ascii="KaiTi_GB2312" w:eastAsia="KaiTi_GB2312" w:hAnsi="SimSun"/>
                <w:sz w:val="15"/>
                <w:szCs w:val="18"/>
              </w:rPr>
              <w:t>岁及以上</w:t>
            </w:r>
            <w:r>
              <w:rPr>
                <w:rFonts w:ascii="KaiTi_GB2312" w:eastAsia="KaiTi_GB2312" w:hAnsi="SimSun" w:hint="eastAsia"/>
                <w:sz w:val="15"/>
                <w:szCs w:val="18"/>
              </w:rPr>
              <w:br/>
            </w:r>
            <w:r w:rsidRPr="00C0006D">
              <w:rPr>
                <w:rFonts w:ascii="KaiTi_GB2312" w:eastAsia="KaiTi_GB2312" w:hAnsi="SimSun"/>
                <w:sz w:val="15"/>
                <w:szCs w:val="18"/>
              </w:rPr>
              <w:t>人口</w:t>
            </w:r>
          </w:p>
        </w:tc>
      </w:tr>
      <w:tr w:rsidR="00C0006D" w:rsidRPr="00C0006D" w:rsidTr="00C0006D">
        <w:tblPrEx>
          <w:tblCellMar>
            <w:top w:w="0" w:type="dxa"/>
            <w:bottom w:w="0" w:type="dxa"/>
          </w:tblCellMar>
        </w:tblPrEx>
        <w:trPr>
          <w:tblHeader/>
        </w:trPr>
        <w:tc>
          <w:tcPr>
            <w:tcW w:w="1421" w:type="dxa"/>
            <w:tcBorders>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rPr>
                <w:rFonts w:ascii="KaiTi_GB2312" w:eastAsia="KaiTi_GB2312"/>
                <w:sz w:val="15"/>
                <w:szCs w:val="18"/>
              </w:rPr>
            </w:pPr>
            <w:r w:rsidRPr="00C0006D">
              <w:rPr>
                <w:rFonts w:ascii="KaiTi_GB2312" w:eastAsia="KaiTi_GB2312" w:hAnsi="SimSun"/>
                <w:iCs/>
                <w:sz w:val="15"/>
                <w:szCs w:val="18"/>
              </w:rPr>
              <w:t>性别</w:t>
            </w:r>
            <w:r w:rsidRPr="00C0006D">
              <w:rPr>
                <w:rFonts w:ascii="KaiTi_GB2312" w:eastAsia="KaiTi_GB2312"/>
                <w:iCs/>
                <w:sz w:val="15"/>
                <w:szCs w:val="18"/>
              </w:rPr>
              <w:t>/</w:t>
            </w:r>
            <w:r w:rsidRPr="00C0006D">
              <w:rPr>
                <w:rFonts w:ascii="KaiTi_GB2312" w:eastAsia="KaiTi_GB2312" w:hAnsi="SimSun"/>
                <w:iCs/>
                <w:sz w:val="15"/>
                <w:szCs w:val="18"/>
              </w:rPr>
              <w:t>年龄组</w:t>
            </w:r>
          </w:p>
        </w:tc>
        <w:tc>
          <w:tcPr>
            <w:tcW w:w="798" w:type="dxa"/>
            <w:tcBorders>
              <w:top w:val="single" w:sz="4" w:space="0" w:color="auto"/>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未婚</w:t>
            </w:r>
          </w:p>
        </w:tc>
        <w:tc>
          <w:tcPr>
            <w:tcW w:w="798" w:type="dxa"/>
            <w:tcBorders>
              <w:top w:val="single" w:sz="4" w:space="0" w:color="auto"/>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已婚</w:t>
            </w:r>
          </w:p>
        </w:tc>
        <w:tc>
          <w:tcPr>
            <w:tcW w:w="798" w:type="dxa"/>
            <w:tcBorders>
              <w:top w:val="single" w:sz="4" w:space="0" w:color="auto"/>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分居</w:t>
            </w:r>
          </w:p>
        </w:tc>
        <w:tc>
          <w:tcPr>
            <w:tcW w:w="798" w:type="dxa"/>
            <w:tcBorders>
              <w:top w:val="single" w:sz="4" w:space="0" w:color="auto"/>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离异</w:t>
            </w:r>
          </w:p>
        </w:tc>
        <w:tc>
          <w:tcPr>
            <w:tcW w:w="798" w:type="dxa"/>
            <w:tcBorders>
              <w:top w:val="single" w:sz="4" w:space="0" w:color="auto"/>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丧偶</w:t>
            </w:r>
          </w:p>
        </w:tc>
        <w:tc>
          <w:tcPr>
            <w:tcW w:w="798" w:type="dxa"/>
            <w:tcBorders>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iCs/>
                <w:sz w:val="15"/>
                <w:szCs w:val="18"/>
              </w:rPr>
              <w:t>总计</w:t>
            </w:r>
          </w:p>
        </w:tc>
        <w:tc>
          <w:tcPr>
            <w:tcW w:w="1137" w:type="dxa"/>
            <w:vMerge/>
            <w:tcBorders>
              <w:bottom w:val="single" w:sz="12" w:space="0" w:color="auto"/>
            </w:tcBorders>
            <w:shd w:val="clear" w:color="auto" w:fill="auto"/>
            <w:vAlign w:val="bottom"/>
          </w:tcPr>
          <w:p w:rsidR="00C0006D" w:rsidRPr="00C0006D" w:rsidRDefault="00C0006D" w:rsidP="00C0006D">
            <w:pPr>
              <w:tabs>
                <w:tab w:val="left" w:pos="1680"/>
              </w:tabs>
              <w:suppressAutoHyphens/>
              <w:spacing w:before="40" w:after="40" w:line="200" w:lineRule="exact"/>
              <w:ind w:right="57"/>
              <w:jc w:val="right"/>
              <w:rPr>
                <w:rFonts w:ascii="KaiTi_GB2312" w:eastAsia="KaiTi_GB2312"/>
                <w:sz w:val="15"/>
                <w:szCs w:val="18"/>
              </w:rPr>
            </w:pPr>
          </w:p>
        </w:tc>
      </w:tr>
      <w:tr w:rsidR="00C0006D" w:rsidRPr="00C0006D" w:rsidTr="00C0006D">
        <w:tblPrEx>
          <w:tblCellMar>
            <w:top w:w="0" w:type="dxa"/>
            <w:bottom w:w="0" w:type="dxa"/>
          </w:tblCellMar>
        </w:tblPrEx>
        <w:trPr>
          <w:trHeight w:hRule="exact" w:val="115"/>
          <w:tblHeader/>
        </w:trPr>
        <w:tc>
          <w:tcPr>
            <w:tcW w:w="1421"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rPr>
                <w:rFonts w:ascii="Times New Roman" w:hAnsi="SimSun"/>
                <w:sz w:val="17"/>
                <w:szCs w:val="18"/>
              </w:rPr>
            </w:pPr>
          </w:p>
        </w:tc>
        <w:tc>
          <w:tcPr>
            <w:tcW w:w="798"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jc w:val="right"/>
              <w:rPr>
                <w:rFonts w:ascii="Times New Roman"/>
                <w:sz w:val="17"/>
                <w:szCs w:val="18"/>
              </w:rPr>
            </w:pPr>
          </w:p>
        </w:tc>
        <w:tc>
          <w:tcPr>
            <w:tcW w:w="798"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jc w:val="right"/>
              <w:rPr>
                <w:rFonts w:ascii="Times New Roman"/>
                <w:sz w:val="17"/>
                <w:szCs w:val="18"/>
              </w:rPr>
            </w:pPr>
          </w:p>
        </w:tc>
        <w:tc>
          <w:tcPr>
            <w:tcW w:w="1137" w:type="dxa"/>
            <w:tcBorders>
              <w:top w:val="single" w:sz="12" w:space="0" w:color="auto"/>
            </w:tcBorders>
            <w:shd w:val="clear" w:color="auto" w:fill="auto"/>
            <w:vAlign w:val="bottom"/>
          </w:tcPr>
          <w:p w:rsidR="00C0006D" w:rsidRPr="00C0006D" w:rsidRDefault="00C0006D" w:rsidP="00C0006D">
            <w:pPr>
              <w:tabs>
                <w:tab w:val="left" w:pos="1680"/>
              </w:tabs>
              <w:suppressAutoHyphens/>
              <w:spacing w:after="60" w:line="280" w:lineRule="exact"/>
              <w:ind w:right="57"/>
              <w:jc w:val="right"/>
              <w:rPr>
                <w:rFonts w:ascii="Times New Roman"/>
                <w:sz w:val="17"/>
                <w:szCs w:val="18"/>
              </w:rPr>
            </w:pP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整个赞比亚</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46</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45</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性别</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男</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45</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3 710 795</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女</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44</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9</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3 895 727</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年龄组</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12-14岁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99</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1 023 512</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15-19岁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92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8</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1 409 248</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20-24岁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57</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38</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1 194 289</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25-29岁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976 464</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30-49岁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7</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77</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7</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2 148 996</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50岁及以上</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67</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26</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854 013</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男</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12-14岁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501 823</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15-19岁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98</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697 817</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20-24岁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76</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543 893</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25-29岁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55</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467 249</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30-49岁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9</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84</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1 072 880</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50岁及以上</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88</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7</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427 133</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女</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12-14岁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99</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521 689</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15-19岁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85</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14</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711 431</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20-24岁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650 396</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25-29岁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67</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509 215</w:t>
            </w:r>
          </w:p>
        </w:tc>
      </w:tr>
      <w:tr w:rsidR="00C0006D" w:rsidRPr="00C0006D" w:rsidTr="00C0006D">
        <w:tblPrEx>
          <w:tblCellMar>
            <w:top w:w="0" w:type="dxa"/>
            <w:bottom w:w="0" w:type="dxa"/>
          </w:tblCellMar>
        </w:tblPrEx>
        <w:tc>
          <w:tcPr>
            <w:tcW w:w="1421"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30-49岁</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70</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8</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13</w:t>
            </w:r>
          </w:p>
        </w:tc>
        <w:tc>
          <w:tcPr>
            <w:tcW w:w="798"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1 076 116</w:t>
            </w:r>
          </w:p>
        </w:tc>
      </w:tr>
      <w:tr w:rsidR="00C0006D" w:rsidRPr="00C0006D" w:rsidTr="00C0006D">
        <w:tblPrEx>
          <w:tblCellMar>
            <w:top w:w="0" w:type="dxa"/>
            <w:bottom w:w="0" w:type="dxa"/>
          </w:tblCellMar>
        </w:tblPrEx>
        <w:tc>
          <w:tcPr>
            <w:tcW w:w="1421"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rPr>
                <w:rFonts w:hAnsi="SimSun"/>
                <w:sz w:val="17"/>
                <w:szCs w:val="18"/>
              </w:rPr>
            </w:pPr>
            <w:r w:rsidRPr="00C0006D">
              <w:rPr>
                <w:rFonts w:hAnsi="SimSun"/>
                <w:sz w:val="17"/>
                <w:szCs w:val="18"/>
              </w:rPr>
              <w:t>50岁及以上</w:t>
            </w:r>
          </w:p>
        </w:tc>
        <w:tc>
          <w:tcPr>
            <w:tcW w:w="798"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45</w:t>
            </w:r>
          </w:p>
        </w:tc>
        <w:tc>
          <w:tcPr>
            <w:tcW w:w="798"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2</w:t>
            </w:r>
          </w:p>
        </w:tc>
        <w:tc>
          <w:tcPr>
            <w:tcW w:w="798"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6</w:t>
            </w:r>
          </w:p>
        </w:tc>
        <w:tc>
          <w:tcPr>
            <w:tcW w:w="798"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45</w:t>
            </w:r>
          </w:p>
        </w:tc>
        <w:tc>
          <w:tcPr>
            <w:tcW w:w="798"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100</w:t>
            </w:r>
          </w:p>
        </w:tc>
        <w:tc>
          <w:tcPr>
            <w:tcW w:w="1137" w:type="dxa"/>
            <w:tcBorders>
              <w:bottom w:val="single" w:sz="12" w:space="0" w:color="auto"/>
            </w:tcBorders>
            <w:shd w:val="clear" w:color="auto" w:fill="auto"/>
            <w:vAlign w:val="bottom"/>
          </w:tcPr>
          <w:p w:rsidR="00C0006D" w:rsidRPr="00C0006D" w:rsidRDefault="00C0006D" w:rsidP="00C0006D">
            <w:pPr>
              <w:tabs>
                <w:tab w:val="left" w:pos="334"/>
                <w:tab w:val="left" w:pos="669"/>
                <w:tab w:val="left" w:pos="1003"/>
                <w:tab w:val="left" w:pos="1338"/>
              </w:tabs>
              <w:suppressAutoHyphens/>
              <w:spacing w:after="60" w:line="276" w:lineRule="exact"/>
              <w:ind w:right="57"/>
              <w:jc w:val="right"/>
              <w:rPr>
                <w:rFonts w:hAnsi="SimSun"/>
                <w:sz w:val="17"/>
                <w:szCs w:val="18"/>
              </w:rPr>
            </w:pPr>
            <w:r w:rsidRPr="00C0006D">
              <w:rPr>
                <w:rFonts w:hAnsi="SimSun"/>
                <w:sz w:val="17"/>
                <w:szCs w:val="18"/>
              </w:rPr>
              <w:t>426 880</w:t>
            </w:r>
          </w:p>
        </w:tc>
      </w:tr>
    </w:tbl>
    <w:p w:rsidR="00C0006D" w:rsidRPr="00C0006D" w:rsidRDefault="00C0006D" w:rsidP="00C0006D">
      <w:pPr>
        <w:pStyle w:val="SingleTxt"/>
        <w:spacing w:after="0" w:line="120" w:lineRule="exact"/>
        <w:rPr>
          <w:rFonts w:hint="eastAsia"/>
          <w:sz w:val="10"/>
        </w:rPr>
      </w:pPr>
    </w:p>
    <w:p w:rsidR="00D976FC" w:rsidRDefault="00D976FC" w:rsidP="00C0006D">
      <w:pPr>
        <w:pStyle w:val="FootnoteText"/>
        <w:tabs>
          <w:tab w:val="clear" w:pos="418"/>
          <w:tab w:val="right" w:pos="1476"/>
          <w:tab w:val="left" w:pos="1548"/>
          <w:tab w:val="right" w:pos="1836"/>
          <w:tab w:val="left" w:pos="1908"/>
        </w:tabs>
        <w:spacing w:after="180"/>
        <w:ind w:left="1548" w:right="1264" w:hanging="289"/>
        <w:rPr>
          <w:rFonts w:hint="eastAsia"/>
        </w:rPr>
      </w:pPr>
      <w:r w:rsidRPr="00C0006D">
        <w:rPr>
          <w:rFonts w:ascii="KaiTi_GB2312" w:eastAsia="KaiTi_GB2312" w:hint="eastAsia"/>
        </w:rPr>
        <w:t>资料来源</w:t>
      </w:r>
      <w:r>
        <w:rPr>
          <w:rFonts w:hint="eastAsia"/>
        </w:rPr>
        <w:t>：2006年生活条件监测调查。</w:t>
      </w:r>
    </w:p>
    <w:p w:rsidR="00D976FC" w:rsidRDefault="00D976FC" w:rsidP="00C0006D">
      <w:pPr>
        <w:pStyle w:val="SingleTxt"/>
        <w:tabs>
          <w:tab w:val="clear" w:pos="2126"/>
          <w:tab w:val="left" w:pos="1995"/>
        </w:tabs>
        <w:rPr>
          <w:rFonts w:hint="eastAsia"/>
        </w:rPr>
      </w:pPr>
      <w:r>
        <w:rPr>
          <w:rFonts w:hint="eastAsia"/>
        </w:rPr>
        <w:t>2.2.1</w:t>
      </w:r>
      <w:r>
        <w:rPr>
          <w:rFonts w:hint="eastAsia"/>
        </w:rPr>
        <w:tab/>
        <w:t>上表为按性别、年龄和婚姻状况分列的12岁及以上人口的百分比分布状况。该表显示，在12岁及以上人口中，46%未婚、45%已婚、5%丧偶、3%离异、还有2%在调查时分居。</w:t>
      </w:r>
    </w:p>
    <w:p w:rsidR="00D976FC" w:rsidRDefault="00D976FC" w:rsidP="00C0006D">
      <w:pPr>
        <w:pStyle w:val="SingleTxt"/>
        <w:tabs>
          <w:tab w:val="clear" w:pos="2126"/>
          <w:tab w:val="left" w:pos="1995"/>
        </w:tabs>
        <w:rPr>
          <w:rFonts w:hint="eastAsia"/>
        </w:rPr>
      </w:pPr>
      <w:r>
        <w:rPr>
          <w:rFonts w:hint="eastAsia"/>
        </w:rPr>
        <w:t>2.2.2</w:t>
      </w:r>
      <w:r>
        <w:rPr>
          <w:rFonts w:hint="eastAsia"/>
        </w:rPr>
        <w:tab/>
        <w:t>丧偶、分居或离异的女性多于男性，造成这种状况的原因可归结为男性的再婚率高于女性。</w:t>
      </w:r>
    </w:p>
    <w:p w:rsidR="00D976FC" w:rsidRPr="00C0006D" w:rsidRDefault="00D976FC" w:rsidP="00320147">
      <w:pPr>
        <w:pStyle w:val="SingleTxt"/>
        <w:spacing w:after="120"/>
        <w:rPr>
          <w:rFonts w:ascii="SimHei" w:eastAsia="SimHei" w:hint="eastAsia"/>
        </w:rPr>
      </w:pPr>
      <w:r w:rsidRPr="00C0006D">
        <w:rPr>
          <w:rFonts w:ascii="SimHei" w:eastAsia="SimHei" w:hint="eastAsia"/>
        </w:rPr>
        <w:t>移徙统计</w:t>
      </w:r>
    </w:p>
    <w:p w:rsidR="00D976FC" w:rsidRDefault="00D976FC" w:rsidP="00320147">
      <w:pPr>
        <w:pStyle w:val="SingleTxt"/>
        <w:spacing w:after="120"/>
        <w:rPr>
          <w:rFonts w:hint="eastAsia"/>
        </w:rPr>
      </w:pPr>
      <w:r>
        <w:rPr>
          <w:rFonts w:hint="eastAsia"/>
        </w:rPr>
        <w:t>2.3</w:t>
      </w:r>
      <w:r>
        <w:rPr>
          <w:rFonts w:hint="eastAsia"/>
        </w:rPr>
        <w:tab/>
      </w:r>
      <w:r w:rsidRPr="00C0006D">
        <w:rPr>
          <w:rFonts w:ascii="SimHei" w:eastAsia="SimHei" w:hint="eastAsia"/>
        </w:rPr>
        <w:t>调查前12个月按性别和年龄分列的移徙者和非移徙者，赞比亚，2006年</w:t>
      </w:r>
    </w:p>
    <w:tbl>
      <w:tblPr>
        <w:tblW w:w="7322" w:type="dxa"/>
        <w:tblInd w:w="1260" w:type="dxa"/>
        <w:tblLayout w:type="fixed"/>
        <w:tblCellMar>
          <w:left w:w="0" w:type="dxa"/>
          <w:right w:w="0" w:type="dxa"/>
        </w:tblCellMar>
        <w:tblLook w:val="0000" w:firstRow="0" w:lastRow="0" w:firstColumn="0" w:lastColumn="0" w:noHBand="0" w:noVBand="0"/>
      </w:tblPr>
      <w:tblGrid>
        <w:gridCol w:w="1414"/>
        <w:gridCol w:w="556"/>
        <w:gridCol w:w="892"/>
        <w:gridCol w:w="708"/>
        <w:gridCol w:w="105"/>
        <w:gridCol w:w="971"/>
        <w:gridCol w:w="709"/>
        <w:gridCol w:w="1075"/>
        <w:gridCol w:w="892"/>
      </w:tblGrid>
      <w:tr w:rsidR="00ED38D6" w:rsidRPr="00C0006D" w:rsidTr="00ED38D6">
        <w:tblPrEx>
          <w:tblCellMar>
            <w:top w:w="0" w:type="dxa"/>
            <w:bottom w:w="0" w:type="dxa"/>
          </w:tblCellMar>
        </w:tblPrEx>
        <w:trPr>
          <w:tblHeader/>
        </w:trPr>
        <w:tc>
          <w:tcPr>
            <w:tcW w:w="1414" w:type="dxa"/>
            <w:tcBorders>
              <w:top w:val="single" w:sz="4" w:space="0" w:color="auto"/>
            </w:tcBorders>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556" w:type="dxa"/>
            <w:tcBorders>
              <w:top w:val="single" w:sz="4" w:space="0" w:color="auto"/>
            </w:tcBorders>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3385" w:type="dxa"/>
            <w:gridSpan w:val="5"/>
            <w:tcBorders>
              <w:top w:val="single" w:sz="4" w:space="0" w:color="auto"/>
              <w:bottom w:val="single" w:sz="4" w:space="0" w:color="auto"/>
            </w:tcBorders>
            <w:shd w:val="clear" w:color="auto" w:fill="auto"/>
            <w:vAlign w:val="bottom"/>
          </w:tcPr>
          <w:p w:rsidR="00ED38D6" w:rsidRPr="00C0006D" w:rsidRDefault="00ED38D6" w:rsidP="00ED38D6">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r w:rsidRPr="00C0006D">
              <w:rPr>
                <w:rFonts w:ascii="KaiTi_GB2312" w:eastAsia="KaiTi_GB2312" w:hAnsi="SimSun"/>
                <w:iCs/>
                <w:sz w:val="15"/>
                <w:szCs w:val="18"/>
              </w:rPr>
              <w:t>移徙状况</w:t>
            </w:r>
          </w:p>
        </w:tc>
        <w:tc>
          <w:tcPr>
            <w:tcW w:w="1075" w:type="dxa"/>
            <w:tcBorders>
              <w:top w:val="single" w:sz="4" w:space="0" w:color="auto"/>
            </w:tcBorders>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c>
          <w:tcPr>
            <w:tcW w:w="892" w:type="dxa"/>
            <w:tcBorders>
              <w:top w:val="single" w:sz="4" w:space="0" w:color="auto"/>
            </w:tcBorders>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r>
      <w:tr w:rsidR="00ED38D6" w:rsidRPr="00C0006D" w:rsidTr="00ED38D6">
        <w:tblPrEx>
          <w:tblCellMar>
            <w:top w:w="0" w:type="dxa"/>
            <w:bottom w:w="0" w:type="dxa"/>
          </w:tblCellMar>
        </w:tblPrEx>
        <w:trPr>
          <w:tblHeader/>
        </w:trPr>
        <w:tc>
          <w:tcPr>
            <w:tcW w:w="1414" w:type="dxa"/>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556" w:type="dxa"/>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1600" w:type="dxa"/>
            <w:gridSpan w:val="2"/>
            <w:tcBorders>
              <w:top w:val="single" w:sz="4" w:space="0" w:color="auto"/>
              <w:bottom w:val="single" w:sz="4" w:space="0" w:color="auto"/>
            </w:tcBorders>
            <w:shd w:val="clear" w:color="auto" w:fill="auto"/>
            <w:vAlign w:val="bottom"/>
          </w:tcPr>
          <w:p w:rsidR="00ED38D6" w:rsidRPr="00C0006D" w:rsidRDefault="00ED38D6" w:rsidP="00ED38D6">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r w:rsidRPr="00C0006D">
              <w:rPr>
                <w:rFonts w:ascii="KaiTi_GB2312" w:eastAsia="KaiTi_GB2312" w:hAnsi="SimSun"/>
                <w:sz w:val="15"/>
                <w:szCs w:val="18"/>
              </w:rPr>
              <w:t>移徙者</w:t>
            </w:r>
          </w:p>
        </w:tc>
        <w:tc>
          <w:tcPr>
            <w:tcW w:w="105" w:type="dxa"/>
            <w:tcBorders>
              <w:top w:val="single" w:sz="4" w:space="0" w:color="auto"/>
            </w:tcBorders>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c>
          <w:tcPr>
            <w:tcW w:w="1680" w:type="dxa"/>
            <w:gridSpan w:val="2"/>
            <w:tcBorders>
              <w:top w:val="single" w:sz="4" w:space="0" w:color="auto"/>
              <w:bottom w:val="single" w:sz="4" w:space="0" w:color="auto"/>
            </w:tcBorders>
            <w:shd w:val="clear" w:color="auto" w:fill="auto"/>
            <w:vAlign w:val="bottom"/>
          </w:tcPr>
          <w:p w:rsidR="00ED38D6" w:rsidRPr="00C0006D" w:rsidRDefault="00ED38D6" w:rsidP="00ED38D6">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r w:rsidRPr="00C0006D">
              <w:rPr>
                <w:rFonts w:ascii="KaiTi_GB2312" w:eastAsia="KaiTi_GB2312" w:hAnsi="SimSun"/>
                <w:sz w:val="15"/>
                <w:szCs w:val="18"/>
              </w:rPr>
              <w:t>非移徙者</w:t>
            </w:r>
          </w:p>
        </w:tc>
        <w:tc>
          <w:tcPr>
            <w:tcW w:w="1075" w:type="dxa"/>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c>
          <w:tcPr>
            <w:tcW w:w="892" w:type="dxa"/>
            <w:shd w:val="clear" w:color="auto" w:fill="auto"/>
            <w:vAlign w:val="bottom"/>
          </w:tcPr>
          <w:p w:rsidR="00ED38D6" w:rsidRPr="00C0006D" w:rsidRDefault="00ED38D6" w:rsidP="00C0006D">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r w:rsidRPr="00C0006D">
              <w:rPr>
                <w:rFonts w:ascii="KaiTi_GB2312" w:eastAsia="KaiTi_GB2312" w:hAnsi="SimSun"/>
                <w:iCs/>
                <w:sz w:val="15"/>
                <w:szCs w:val="18"/>
              </w:rPr>
              <w:t>总计</w:t>
            </w:r>
          </w:p>
        </w:tc>
      </w:tr>
      <w:tr w:rsidR="00C0006D" w:rsidRPr="00C0006D" w:rsidTr="00ED38D6">
        <w:tblPrEx>
          <w:tblCellMar>
            <w:top w:w="0" w:type="dxa"/>
            <w:bottom w:w="0" w:type="dxa"/>
          </w:tblCellMar>
        </w:tblPrEx>
        <w:trPr>
          <w:tblHeader/>
        </w:trPr>
        <w:tc>
          <w:tcPr>
            <w:tcW w:w="1414" w:type="dxa"/>
            <w:tcBorders>
              <w:bottom w:val="single" w:sz="12" w:space="0" w:color="auto"/>
            </w:tcBorders>
            <w:shd w:val="clear" w:color="auto" w:fill="auto"/>
            <w:vAlign w:val="bottom"/>
          </w:tcPr>
          <w:p w:rsidR="00C0006D" w:rsidRPr="00C0006D" w:rsidRDefault="00C0006D" w:rsidP="00C0006D">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r w:rsidRPr="00C0006D">
              <w:rPr>
                <w:rFonts w:ascii="KaiTi_GB2312" w:eastAsia="KaiTi_GB2312" w:hAnsi="SimSun"/>
                <w:iCs/>
                <w:sz w:val="15"/>
                <w:szCs w:val="18"/>
              </w:rPr>
              <w:t>年龄(大组别)和性别</w:t>
            </w:r>
          </w:p>
        </w:tc>
        <w:tc>
          <w:tcPr>
            <w:tcW w:w="556" w:type="dxa"/>
            <w:tcBorders>
              <w:bottom w:val="single" w:sz="12" w:space="0" w:color="auto"/>
            </w:tcBorders>
            <w:shd w:val="clear" w:color="auto" w:fill="auto"/>
            <w:vAlign w:val="bottom"/>
          </w:tcPr>
          <w:p w:rsidR="00C0006D" w:rsidRPr="00C0006D" w:rsidRDefault="00C0006D" w:rsidP="00C0006D">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892" w:type="dxa"/>
            <w:tcBorders>
              <w:top w:val="single" w:sz="4" w:space="0" w:color="auto"/>
              <w:bottom w:val="single" w:sz="12" w:space="0" w:color="auto"/>
            </w:tcBorders>
            <w:shd w:val="clear" w:color="auto" w:fill="auto"/>
            <w:vAlign w:val="bottom"/>
          </w:tcPr>
          <w:p w:rsidR="00C0006D" w:rsidRPr="00C0006D" w:rsidRDefault="00C0006D" w:rsidP="00C0006D">
            <w:pPr>
              <w:tabs>
                <w:tab w:val="left" w:pos="1785"/>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人数</w:t>
            </w:r>
          </w:p>
        </w:tc>
        <w:tc>
          <w:tcPr>
            <w:tcW w:w="708" w:type="dxa"/>
            <w:tcBorders>
              <w:top w:val="single" w:sz="4" w:space="0" w:color="auto"/>
              <w:bottom w:val="single" w:sz="12" w:space="0" w:color="auto"/>
            </w:tcBorders>
            <w:shd w:val="clear" w:color="auto" w:fill="auto"/>
            <w:vAlign w:val="bottom"/>
          </w:tcPr>
          <w:p w:rsidR="00C0006D" w:rsidRPr="00C0006D" w:rsidRDefault="00C0006D" w:rsidP="00C0006D">
            <w:pPr>
              <w:tabs>
                <w:tab w:val="left" w:pos="1785"/>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百分比</w:t>
            </w:r>
          </w:p>
        </w:tc>
        <w:tc>
          <w:tcPr>
            <w:tcW w:w="1076" w:type="dxa"/>
            <w:gridSpan w:val="2"/>
            <w:tcBorders>
              <w:bottom w:val="single" w:sz="12" w:space="0" w:color="auto"/>
            </w:tcBorders>
            <w:shd w:val="clear" w:color="auto" w:fill="auto"/>
            <w:vAlign w:val="bottom"/>
          </w:tcPr>
          <w:p w:rsidR="00C0006D" w:rsidRPr="00C0006D" w:rsidRDefault="00C0006D" w:rsidP="00C0006D">
            <w:pPr>
              <w:tabs>
                <w:tab w:val="left" w:pos="1785"/>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人数</w:t>
            </w:r>
          </w:p>
        </w:tc>
        <w:tc>
          <w:tcPr>
            <w:tcW w:w="709" w:type="dxa"/>
            <w:tcBorders>
              <w:bottom w:val="single" w:sz="12" w:space="0" w:color="auto"/>
            </w:tcBorders>
            <w:shd w:val="clear" w:color="auto" w:fill="auto"/>
            <w:vAlign w:val="bottom"/>
          </w:tcPr>
          <w:p w:rsidR="00C0006D" w:rsidRPr="00C0006D" w:rsidRDefault="00C0006D" w:rsidP="00C0006D">
            <w:pPr>
              <w:tabs>
                <w:tab w:val="left" w:pos="1785"/>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百分比</w:t>
            </w:r>
          </w:p>
        </w:tc>
        <w:tc>
          <w:tcPr>
            <w:tcW w:w="1075" w:type="dxa"/>
            <w:tcBorders>
              <w:bottom w:val="single" w:sz="12" w:space="0" w:color="auto"/>
            </w:tcBorders>
            <w:shd w:val="clear" w:color="auto" w:fill="auto"/>
            <w:vAlign w:val="bottom"/>
          </w:tcPr>
          <w:p w:rsidR="00C0006D" w:rsidRPr="00C0006D" w:rsidRDefault="00C0006D" w:rsidP="00C0006D">
            <w:pPr>
              <w:tabs>
                <w:tab w:val="left" w:pos="1785"/>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人数</w:t>
            </w:r>
          </w:p>
        </w:tc>
        <w:tc>
          <w:tcPr>
            <w:tcW w:w="892" w:type="dxa"/>
            <w:tcBorders>
              <w:bottom w:val="single" w:sz="12" w:space="0" w:color="auto"/>
            </w:tcBorders>
            <w:shd w:val="clear" w:color="auto" w:fill="auto"/>
            <w:vAlign w:val="bottom"/>
          </w:tcPr>
          <w:p w:rsidR="00C0006D" w:rsidRPr="00C0006D" w:rsidRDefault="00C0006D" w:rsidP="00C0006D">
            <w:pPr>
              <w:tabs>
                <w:tab w:val="left" w:pos="1785"/>
              </w:tabs>
              <w:suppressAutoHyphens/>
              <w:spacing w:before="40" w:after="40" w:line="200" w:lineRule="exact"/>
              <w:ind w:right="57"/>
              <w:jc w:val="right"/>
              <w:rPr>
                <w:rFonts w:ascii="KaiTi_GB2312" w:eastAsia="KaiTi_GB2312"/>
                <w:sz w:val="15"/>
                <w:szCs w:val="18"/>
              </w:rPr>
            </w:pPr>
            <w:r w:rsidRPr="00C0006D">
              <w:rPr>
                <w:rFonts w:ascii="KaiTi_GB2312" w:eastAsia="KaiTi_GB2312" w:hAnsi="SimSun"/>
                <w:sz w:val="15"/>
                <w:szCs w:val="18"/>
              </w:rPr>
              <w:t>百分比</w:t>
            </w:r>
          </w:p>
        </w:tc>
      </w:tr>
      <w:tr w:rsidR="00C0006D" w:rsidRPr="00C0006D" w:rsidTr="00C0006D">
        <w:tblPrEx>
          <w:tblCellMar>
            <w:top w:w="0" w:type="dxa"/>
            <w:bottom w:w="0" w:type="dxa"/>
          </w:tblCellMar>
        </w:tblPrEx>
        <w:trPr>
          <w:trHeight w:hRule="exact" w:val="115"/>
          <w:tblHeader/>
        </w:trPr>
        <w:tc>
          <w:tcPr>
            <w:tcW w:w="1414" w:type="dxa"/>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rPr>
                <w:rFonts w:ascii="Times New Roman" w:hAnsi="SimSun"/>
                <w:sz w:val="17"/>
                <w:szCs w:val="18"/>
              </w:rPr>
            </w:pPr>
          </w:p>
        </w:tc>
        <w:tc>
          <w:tcPr>
            <w:tcW w:w="556" w:type="dxa"/>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rPr>
                <w:rFonts w:ascii="Times New Roman" w:hAnsi="SimSun"/>
                <w:sz w:val="17"/>
                <w:szCs w:val="18"/>
              </w:rPr>
            </w:pPr>
          </w:p>
        </w:tc>
        <w:tc>
          <w:tcPr>
            <w:tcW w:w="892" w:type="dxa"/>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jc w:val="right"/>
              <w:rPr>
                <w:rFonts w:ascii="Times New Roman"/>
                <w:sz w:val="17"/>
                <w:szCs w:val="18"/>
              </w:rPr>
            </w:pPr>
          </w:p>
        </w:tc>
        <w:tc>
          <w:tcPr>
            <w:tcW w:w="708" w:type="dxa"/>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jc w:val="right"/>
              <w:rPr>
                <w:rFonts w:ascii="Times New Roman"/>
                <w:sz w:val="17"/>
                <w:szCs w:val="18"/>
              </w:rPr>
            </w:pPr>
          </w:p>
        </w:tc>
        <w:tc>
          <w:tcPr>
            <w:tcW w:w="1076" w:type="dxa"/>
            <w:gridSpan w:val="2"/>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jc w:val="right"/>
              <w:rPr>
                <w:rFonts w:ascii="Times New Roman"/>
                <w:sz w:val="17"/>
                <w:szCs w:val="18"/>
              </w:rPr>
            </w:pPr>
          </w:p>
        </w:tc>
        <w:tc>
          <w:tcPr>
            <w:tcW w:w="709" w:type="dxa"/>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jc w:val="right"/>
              <w:rPr>
                <w:rFonts w:ascii="Times New Roman"/>
                <w:sz w:val="17"/>
                <w:szCs w:val="18"/>
              </w:rPr>
            </w:pPr>
          </w:p>
        </w:tc>
        <w:tc>
          <w:tcPr>
            <w:tcW w:w="1075" w:type="dxa"/>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jc w:val="right"/>
              <w:rPr>
                <w:rFonts w:ascii="Times New Roman"/>
                <w:sz w:val="17"/>
                <w:szCs w:val="18"/>
              </w:rPr>
            </w:pPr>
          </w:p>
        </w:tc>
        <w:tc>
          <w:tcPr>
            <w:tcW w:w="892" w:type="dxa"/>
            <w:tcBorders>
              <w:top w:val="single" w:sz="12" w:space="0" w:color="auto"/>
            </w:tcBorders>
            <w:shd w:val="clear" w:color="auto" w:fill="auto"/>
            <w:vAlign w:val="bottom"/>
          </w:tcPr>
          <w:p w:rsidR="00C0006D" w:rsidRPr="00C0006D" w:rsidRDefault="00C0006D" w:rsidP="00C0006D">
            <w:pPr>
              <w:tabs>
                <w:tab w:val="left" w:pos="1785"/>
              </w:tabs>
              <w:suppressAutoHyphens/>
              <w:spacing w:after="60" w:line="280" w:lineRule="exact"/>
              <w:ind w:right="57"/>
              <w:jc w:val="right"/>
              <w:rPr>
                <w:rFonts w:ascii="Times New Roman"/>
                <w:sz w:val="17"/>
                <w:szCs w:val="18"/>
              </w:rPr>
            </w:pP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整个赞比亚</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349 660</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11 347 766</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11 697 426</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0-11岁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119 064</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3 944 429</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4 063 493</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60 899</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1 968 705</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2 029 604</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58 166</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1 975 724</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2 033 890</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12-19岁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72 314</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2 368 070</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2 440 384</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29 210</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1 174 192</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98</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l 203i402</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43 104</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1 193 878</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1 236 982</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20-24岁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42 493</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1 156 203</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96</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1 198 696</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16 470</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529 070</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545 540</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26 023</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627 133</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96</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653 156</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25-29岁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40 350</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940 481</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96</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980 831</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20 946</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448 226</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96</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469 172</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19 404</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492 255</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96</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511 659</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30-39岁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47 045</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1 332 988</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1 380 033</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24 693</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667 230</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96</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691 923</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22 352</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665 759</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688 111</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40-49岁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18 695</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757 579</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98</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776 274</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10 059</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374 429</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97</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384 488</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8 637</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383 150</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98</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391 787</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50-59岁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5 050</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417 674</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99</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422 724</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3 772</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213 343</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98</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217 115</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1 278</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204 331</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99</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205 609</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60-64岁</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1 791</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145 427</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99</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147 218</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1237</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60 157</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98</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61 394</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553</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85 270</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99</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85 823</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65 岁及以上</w:t>
            </w: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男女</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2 857</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284 914</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99</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287 771</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男</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852</w:t>
            </w:r>
          </w:p>
        </w:tc>
        <w:tc>
          <w:tcPr>
            <w:tcW w:w="708"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w:t>
            </w:r>
          </w:p>
        </w:tc>
        <w:tc>
          <w:tcPr>
            <w:tcW w:w="1076" w:type="dxa"/>
            <w:gridSpan w:val="2"/>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149 675</w:t>
            </w:r>
          </w:p>
        </w:tc>
        <w:tc>
          <w:tcPr>
            <w:tcW w:w="709"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99</w:t>
            </w:r>
          </w:p>
        </w:tc>
        <w:tc>
          <w:tcPr>
            <w:tcW w:w="1075"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150 527</w:t>
            </w:r>
          </w:p>
        </w:tc>
        <w:tc>
          <w:tcPr>
            <w:tcW w:w="892" w:type="dxa"/>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r w:rsidR="00C0006D" w:rsidRPr="00C0006D" w:rsidTr="00C0006D">
        <w:tblPrEx>
          <w:tblCellMar>
            <w:top w:w="0" w:type="dxa"/>
            <w:bottom w:w="0" w:type="dxa"/>
          </w:tblCellMar>
        </w:tblPrEx>
        <w:tc>
          <w:tcPr>
            <w:tcW w:w="1414" w:type="dxa"/>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p>
        </w:tc>
        <w:tc>
          <w:tcPr>
            <w:tcW w:w="556" w:type="dxa"/>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rPr>
                <w:rFonts w:hAnsi="SimSun"/>
                <w:sz w:val="17"/>
                <w:szCs w:val="18"/>
              </w:rPr>
            </w:pPr>
            <w:r w:rsidRPr="00C0006D">
              <w:rPr>
                <w:rFonts w:hAnsi="SimSun"/>
                <w:sz w:val="17"/>
                <w:szCs w:val="18"/>
              </w:rPr>
              <w:t>女</w:t>
            </w:r>
          </w:p>
        </w:tc>
        <w:tc>
          <w:tcPr>
            <w:tcW w:w="892" w:type="dxa"/>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2 005</w:t>
            </w:r>
          </w:p>
        </w:tc>
        <w:tc>
          <w:tcPr>
            <w:tcW w:w="708" w:type="dxa"/>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w:t>
            </w:r>
          </w:p>
        </w:tc>
        <w:tc>
          <w:tcPr>
            <w:tcW w:w="1076" w:type="dxa"/>
            <w:gridSpan w:val="2"/>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135 239</w:t>
            </w:r>
          </w:p>
        </w:tc>
        <w:tc>
          <w:tcPr>
            <w:tcW w:w="709" w:type="dxa"/>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99</w:t>
            </w:r>
          </w:p>
        </w:tc>
        <w:tc>
          <w:tcPr>
            <w:tcW w:w="1075" w:type="dxa"/>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137 244</w:t>
            </w:r>
          </w:p>
        </w:tc>
        <w:tc>
          <w:tcPr>
            <w:tcW w:w="892" w:type="dxa"/>
            <w:tcBorders>
              <w:bottom w:val="single" w:sz="12" w:space="0" w:color="auto"/>
            </w:tcBorders>
            <w:shd w:val="clear" w:color="auto" w:fill="auto"/>
            <w:vAlign w:val="bottom"/>
          </w:tcPr>
          <w:p w:rsidR="00C0006D" w:rsidRPr="00C0006D" w:rsidRDefault="00C0006D" w:rsidP="00320147">
            <w:pPr>
              <w:tabs>
                <w:tab w:val="left" w:pos="334"/>
                <w:tab w:val="left" w:pos="669"/>
                <w:tab w:val="left" w:pos="1003"/>
                <w:tab w:val="left" w:pos="1338"/>
              </w:tabs>
              <w:suppressAutoHyphens/>
              <w:spacing w:after="46" w:line="280" w:lineRule="exact"/>
              <w:ind w:right="57"/>
              <w:jc w:val="right"/>
              <w:rPr>
                <w:rFonts w:hAnsi="SimSun"/>
                <w:sz w:val="17"/>
                <w:szCs w:val="18"/>
              </w:rPr>
            </w:pPr>
            <w:r w:rsidRPr="00C0006D">
              <w:rPr>
                <w:rFonts w:hAnsi="SimSun"/>
                <w:sz w:val="17"/>
                <w:szCs w:val="18"/>
              </w:rPr>
              <w:t>100</w:t>
            </w:r>
          </w:p>
        </w:tc>
      </w:tr>
    </w:tbl>
    <w:p w:rsidR="00ED38D6" w:rsidRPr="00ED38D6" w:rsidRDefault="00ED38D6" w:rsidP="00ED38D6">
      <w:pPr>
        <w:pStyle w:val="SingleTxt"/>
        <w:spacing w:after="0" w:line="120" w:lineRule="exact"/>
        <w:rPr>
          <w:rFonts w:hint="eastAsia"/>
          <w:sz w:val="10"/>
        </w:rPr>
      </w:pPr>
    </w:p>
    <w:p w:rsidR="00D976FC" w:rsidRDefault="00D976FC" w:rsidP="00ED38D6">
      <w:pPr>
        <w:pStyle w:val="FootnoteText"/>
        <w:tabs>
          <w:tab w:val="clear" w:pos="418"/>
          <w:tab w:val="right" w:pos="1476"/>
          <w:tab w:val="left" w:pos="1548"/>
          <w:tab w:val="right" w:pos="1836"/>
          <w:tab w:val="left" w:pos="1908"/>
        </w:tabs>
        <w:ind w:left="1548" w:right="1267" w:hanging="288"/>
        <w:rPr>
          <w:rFonts w:hint="eastAsia"/>
        </w:rPr>
      </w:pPr>
      <w:r w:rsidRPr="00ED38D6">
        <w:rPr>
          <w:rFonts w:ascii="KaiTi_GB2312" w:eastAsia="KaiTi_GB2312" w:hint="eastAsia"/>
        </w:rPr>
        <w:t>资料来源</w:t>
      </w:r>
      <w:r>
        <w:rPr>
          <w:rFonts w:hint="eastAsia"/>
        </w:rPr>
        <w:t>：2006年生活条件监测调查。</w:t>
      </w:r>
    </w:p>
    <w:p w:rsidR="00D976FC" w:rsidRDefault="00D976FC" w:rsidP="00ED38D6">
      <w:pPr>
        <w:pStyle w:val="SingleTxt"/>
        <w:tabs>
          <w:tab w:val="clear" w:pos="2126"/>
          <w:tab w:val="left" w:pos="1995"/>
        </w:tabs>
        <w:rPr>
          <w:rFonts w:hint="eastAsia"/>
        </w:rPr>
      </w:pPr>
      <w:r>
        <w:rPr>
          <w:rFonts w:hint="eastAsia"/>
        </w:rPr>
        <w:t>2.3.1</w:t>
      </w:r>
      <w:r>
        <w:rPr>
          <w:rFonts w:hint="eastAsia"/>
        </w:rPr>
        <w:tab/>
        <w:t>生活条件监测调查关于移徙的数据是通过以下信息获得的：调查前12个月的居住地，调查时的居住地以及在现居住地的居住期限。</w:t>
      </w:r>
    </w:p>
    <w:p w:rsidR="00D976FC" w:rsidRDefault="00D976FC" w:rsidP="00320147">
      <w:pPr>
        <w:pStyle w:val="SingleTxt"/>
        <w:tabs>
          <w:tab w:val="clear" w:pos="2126"/>
          <w:tab w:val="left" w:pos="1995"/>
        </w:tabs>
        <w:spacing w:after="120" w:line="312" w:lineRule="exact"/>
        <w:rPr>
          <w:rFonts w:hint="eastAsia"/>
        </w:rPr>
      </w:pPr>
      <w:r>
        <w:rPr>
          <w:rFonts w:hint="eastAsia"/>
        </w:rPr>
        <w:t>2.3.2</w:t>
      </w:r>
      <w:r>
        <w:rPr>
          <w:rFonts w:hint="eastAsia"/>
        </w:rPr>
        <w:tab/>
        <w:t>上表显示调查前12个月按性别和大年龄组分列的移徙者和非移徙者的比例情况。从中可得，在0-11岁、25-29岁和65岁及以上年龄组中，处于移徙过程中的男女在比例上没有差异。表中的结果进一步显示，与更大年龄组相比，20-29岁年龄段的移徙者更多。</w:t>
      </w:r>
    </w:p>
    <w:p w:rsidR="00D976FC" w:rsidRPr="00ED38D6" w:rsidRDefault="00D976FC" w:rsidP="00320147">
      <w:pPr>
        <w:pStyle w:val="SingleTxt"/>
        <w:spacing w:after="120" w:line="312" w:lineRule="exact"/>
        <w:rPr>
          <w:rFonts w:ascii="SimHei" w:eastAsia="SimHei" w:hint="eastAsia"/>
        </w:rPr>
      </w:pPr>
      <w:r w:rsidRPr="00ED38D6">
        <w:rPr>
          <w:rFonts w:ascii="SimHei" w:eastAsia="SimHei" w:hint="eastAsia"/>
        </w:rPr>
        <w:t>经济活动</w:t>
      </w:r>
    </w:p>
    <w:p w:rsidR="00D976FC" w:rsidRDefault="00D976FC" w:rsidP="00320147">
      <w:pPr>
        <w:pStyle w:val="SingleTxt"/>
        <w:spacing w:after="120" w:line="312" w:lineRule="exact"/>
        <w:rPr>
          <w:rFonts w:hint="eastAsia"/>
        </w:rPr>
      </w:pPr>
      <w:r>
        <w:rPr>
          <w:rFonts w:hint="eastAsia"/>
        </w:rPr>
        <w:t>2.4</w:t>
      </w:r>
      <w:r>
        <w:rPr>
          <w:rFonts w:hint="eastAsia"/>
        </w:rPr>
        <w:tab/>
      </w:r>
      <w:r w:rsidRPr="00ED38D6">
        <w:rPr>
          <w:rFonts w:ascii="SimHei" w:eastAsia="SimHei" w:hint="eastAsia"/>
        </w:rPr>
        <w:t>按主要经济活动状况、性别、农村/城市、社会阶层和省份分列的12岁及以上人口的百分比分布情况，2006年</w:t>
      </w:r>
    </w:p>
    <w:tbl>
      <w:tblPr>
        <w:tblW w:w="0" w:type="auto"/>
        <w:tblInd w:w="1264" w:type="dxa"/>
        <w:tblLayout w:type="fixed"/>
        <w:tblCellMar>
          <w:left w:w="0" w:type="dxa"/>
          <w:right w:w="0" w:type="dxa"/>
        </w:tblCellMar>
        <w:tblLook w:val="0000" w:firstRow="0" w:lastRow="0" w:firstColumn="0" w:lastColumn="0" w:noHBand="0" w:noVBand="0"/>
      </w:tblPr>
      <w:tblGrid>
        <w:gridCol w:w="1470"/>
        <w:gridCol w:w="705"/>
        <w:gridCol w:w="705"/>
        <w:gridCol w:w="705"/>
        <w:gridCol w:w="705"/>
        <w:gridCol w:w="705"/>
        <w:gridCol w:w="75"/>
        <w:gridCol w:w="630"/>
        <w:gridCol w:w="705"/>
        <w:gridCol w:w="941"/>
      </w:tblGrid>
      <w:tr w:rsidR="00320147" w:rsidRPr="00ED38D6" w:rsidTr="00320147">
        <w:tblPrEx>
          <w:tblCellMar>
            <w:top w:w="0" w:type="dxa"/>
            <w:bottom w:w="0" w:type="dxa"/>
          </w:tblCellMar>
        </w:tblPrEx>
        <w:trPr>
          <w:tblHeader/>
        </w:trPr>
        <w:tc>
          <w:tcPr>
            <w:tcW w:w="1470" w:type="dxa"/>
            <w:tcBorders>
              <w:top w:val="single" w:sz="4" w:space="0" w:color="auto"/>
            </w:tcBorders>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4935" w:type="dxa"/>
            <w:gridSpan w:val="8"/>
            <w:tcBorders>
              <w:top w:val="single" w:sz="4" w:space="0" w:color="auto"/>
              <w:bottom w:val="single" w:sz="4" w:space="0" w:color="auto"/>
            </w:tcBorders>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r w:rsidRPr="00ED38D6">
              <w:rPr>
                <w:rFonts w:ascii="KaiTi_GB2312" w:eastAsia="KaiTi_GB2312" w:hAnsi="SimSun"/>
                <w:iCs/>
                <w:sz w:val="15"/>
                <w:szCs w:val="18"/>
              </w:rPr>
              <w:t>经济状况</w:t>
            </w:r>
          </w:p>
        </w:tc>
        <w:tc>
          <w:tcPr>
            <w:tcW w:w="941" w:type="dxa"/>
            <w:vMerge w:val="restart"/>
            <w:tcBorders>
              <w:top w:val="single" w:sz="4" w:space="0" w:color="auto"/>
            </w:tcBorders>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r w:rsidRPr="00ED38D6">
              <w:rPr>
                <w:rFonts w:ascii="KaiTi_GB2312" w:eastAsia="KaiTi_GB2312"/>
                <w:iCs/>
                <w:sz w:val="15"/>
                <w:szCs w:val="18"/>
              </w:rPr>
              <w:t>12</w:t>
            </w:r>
            <w:r w:rsidRPr="00ED38D6">
              <w:rPr>
                <w:rFonts w:ascii="KaiTi_GB2312" w:eastAsia="KaiTi_GB2312" w:hAnsi="SimSun"/>
                <w:iCs/>
                <w:sz w:val="15"/>
                <w:szCs w:val="18"/>
              </w:rPr>
              <w:t>岁及</w:t>
            </w:r>
            <w:r>
              <w:rPr>
                <w:rFonts w:ascii="KaiTi_GB2312" w:eastAsia="KaiTi_GB2312" w:hAnsi="SimSun" w:hint="eastAsia"/>
                <w:iCs/>
                <w:sz w:val="15"/>
                <w:szCs w:val="18"/>
              </w:rPr>
              <w:br/>
            </w:r>
            <w:r w:rsidRPr="00ED38D6">
              <w:rPr>
                <w:rFonts w:ascii="KaiTi_GB2312" w:eastAsia="KaiTi_GB2312" w:hAnsi="SimSun"/>
                <w:iCs/>
                <w:sz w:val="15"/>
                <w:szCs w:val="18"/>
              </w:rPr>
              <w:t>以上人口</w:t>
            </w:r>
            <w:r>
              <w:rPr>
                <w:rFonts w:ascii="KaiTi_GB2312" w:eastAsia="KaiTi_GB2312" w:hAnsi="SimSun" w:hint="eastAsia"/>
                <w:iCs/>
                <w:sz w:val="15"/>
                <w:szCs w:val="18"/>
              </w:rPr>
              <w:br/>
            </w:r>
            <w:r w:rsidRPr="00ED38D6">
              <w:rPr>
                <w:rFonts w:ascii="KaiTi_GB2312" w:eastAsia="KaiTi_GB2312" w:hAnsi="SimSun"/>
                <w:iCs/>
                <w:sz w:val="15"/>
                <w:szCs w:val="18"/>
              </w:rPr>
              <w:t>总数</w:t>
            </w:r>
          </w:p>
        </w:tc>
      </w:tr>
      <w:tr w:rsidR="00320147" w:rsidRPr="00ED38D6" w:rsidTr="00320147">
        <w:tblPrEx>
          <w:tblCellMar>
            <w:top w:w="0" w:type="dxa"/>
            <w:bottom w:w="0" w:type="dxa"/>
          </w:tblCellMar>
        </w:tblPrEx>
        <w:trPr>
          <w:tblHeader/>
        </w:trPr>
        <w:tc>
          <w:tcPr>
            <w:tcW w:w="1470" w:type="dxa"/>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3525" w:type="dxa"/>
            <w:gridSpan w:val="5"/>
            <w:tcBorders>
              <w:top w:val="single" w:sz="4" w:space="0" w:color="auto"/>
              <w:bottom w:val="single" w:sz="4" w:space="0" w:color="auto"/>
            </w:tcBorders>
            <w:shd w:val="clear" w:color="auto" w:fill="auto"/>
            <w:vAlign w:val="bottom"/>
          </w:tcPr>
          <w:p w:rsidR="00320147" w:rsidRPr="00ED38D6" w:rsidRDefault="00320147" w:rsidP="00320147">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r w:rsidRPr="00ED38D6">
              <w:rPr>
                <w:rFonts w:ascii="KaiTi_GB2312" w:eastAsia="KaiTi_GB2312" w:hAnsi="SimSun"/>
                <w:sz w:val="15"/>
                <w:szCs w:val="18"/>
              </w:rPr>
              <w:t>劳动人口</w:t>
            </w:r>
          </w:p>
        </w:tc>
        <w:tc>
          <w:tcPr>
            <w:tcW w:w="75" w:type="dxa"/>
            <w:tcBorders>
              <w:top w:val="single" w:sz="4" w:space="0" w:color="auto"/>
            </w:tcBorders>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c>
          <w:tcPr>
            <w:tcW w:w="1335" w:type="dxa"/>
            <w:gridSpan w:val="2"/>
            <w:tcBorders>
              <w:top w:val="single" w:sz="4" w:space="0" w:color="auto"/>
              <w:bottom w:val="single" w:sz="4" w:space="0" w:color="auto"/>
            </w:tcBorders>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r w:rsidRPr="00ED38D6">
              <w:rPr>
                <w:rFonts w:ascii="KaiTi_GB2312" w:eastAsia="KaiTi_GB2312" w:hAnsi="SimSun"/>
                <w:sz w:val="15"/>
                <w:szCs w:val="18"/>
              </w:rPr>
              <w:t>非劳动人口</w:t>
            </w:r>
          </w:p>
        </w:tc>
        <w:tc>
          <w:tcPr>
            <w:tcW w:w="941" w:type="dxa"/>
            <w:vMerge/>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r>
      <w:tr w:rsidR="00320147" w:rsidRPr="00ED38D6" w:rsidTr="00320147">
        <w:tblPrEx>
          <w:tblCellMar>
            <w:top w:w="0" w:type="dxa"/>
            <w:bottom w:w="0" w:type="dxa"/>
          </w:tblCellMar>
        </w:tblPrEx>
        <w:trPr>
          <w:tblHeader/>
        </w:trPr>
        <w:tc>
          <w:tcPr>
            <w:tcW w:w="1470" w:type="dxa"/>
            <w:tcBorders>
              <w:bottom w:val="single" w:sz="12" w:space="0" w:color="auto"/>
            </w:tcBorders>
            <w:shd w:val="clear" w:color="auto" w:fill="auto"/>
            <w:vAlign w:val="bottom"/>
          </w:tcPr>
          <w:p w:rsidR="00320147" w:rsidRPr="00ED38D6" w:rsidRDefault="00320147" w:rsidP="00ED38D6">
            <w:pPr>
              <w:tabs>
                <w:tab w:val="left" w:pos="1785"/>
              </w:tabs>
              <w:suppressAutoHyphens/>
              <w:spacing w:before="40" w:after="40" w:line="200" w:lineRule="exact"/>
              <w:ind w:right="57"/>
              <w:rPr>
                <w:rFonts w:ascii="KaiTi_GB2312" w:eastAsia="KaiTi_GB2312"/>
                <w:spacing w:val="-4"/>
                <w:sz w:val="15"/>
                <w:szCs w:val="18"/>
              </w:rPr>
            </w:pPr>
            <w:r w:rsidRPr="00ED38D6">
              <w:rPr>
                <w:rFonts w:ascii="KaiTi_GB2312" w:eastAsia="KaiTi_GB2312" w:hAnsi="SimSun"/>
                <w:iCs/>
                <w:spacing w:val="-4"/>
                <w:sz w:val="15"/>
                <w:szCs w:val="18"/>
              </w:rPr>
              <w:t>居住地</w:t>
            </w:r>
            <w:r w:rsidRPr="00ED38D6">
              <w:rPr>
                <w:rFonts w:ascii="KaiTi_GB2312" w:eastAsia="KaiTi_GB2312"/>
                <w:iCs/>
                <w:spacing w:val="-4"/>
                <w:sz w:val="15"/>
                <w:szCs w:val="18"/>
              </w:rPr>
              <w:t>/</w:t>
            </w:r>
            <w:r w:rsidRPr="00ED38D6">
              <w:rPr>
                <w:rFonts w:ascii="KaiTi_GB2312" w:eastAsia="KaiTi_GB2312" w:hAnsi="SimSun"/>
                <w:iCs/>
                <w:spacing w:val="-4"/>
                <w:sz w:val="15"/>
                <w:szCs w:val="18"/>
              </w:rPr>
              <w:t>社会阶层</w:t>
            </w:r>
            <w:r w:rsidRPr="00ED38D6">
              <w:rPr>
                <w:rFonts w:ascii="KaiTi_GB2312" w:eastAsia="KaiTi_GB2312"/>
                <w:iCs/>
                <w:spacing w:val="-4"/>
                <w:sz w:val="15"/>
                <w:szCs w:val="18"/>
              </w:rPr>
              <w:t>/</w:t>
            </w:r>
            <w:r w:rsidRPr="00ED38D6">
              <w:rPr>
                <w:rFonts w:ascii="KaiTi_GB2312" w:eastAsia="KaiTi_GB2312" w:hAnsi="SimSun"/>
                <w:iCs/>
                <w:spacing w:val="-4"/>
                <w:sz w:val="15"/>
                <w:szCs w:val="18"/>
              </w:rPr>
              <w:t>省</w:t>
            </w:r>
          </w:p>
        </w:tc>
        <w:tc>
          <w:tcPr>
            <w:tcW w:w="705" w:type="dxa"/>
            <w:tcBorders>
              <w:top w:val="single" w:sz="4" w:space="0" w:color="auto"/>
              <w:bottom w:val="single" w:sz="12" w:space="0" w:color="auto"/>
            </w:tcBorders>
            <w:shd w:val="clear" w:color="auto" w:fill="auto"/>
            <w:vAlign w:val="bottom"/>
          </w:tcPr>
          <w:p w:rsidR="00320147" w:rsidRPr="00ED38D6" w:rsidRDefault="00320147" w:rsidP="00ED38D6">
            <w:pPr>
              <w:tabs>
                <w:tab w:val="left" w:pos="1785"/>
              </w:tabs>
              <w:suppressAutoHyphens/>
              <w:spacing w:before="40" w:after="40" w:line="200" w:lineRule="exact"/>
              <w:ind w:right="57"/>
              <w:jc w:val="right"/>
              <w:rPr>
                <w:rFonts w:ascii="KaiTi_GB2312" w:eastAsia="KaiTi_GB2312"/>
                <w:sz w:val="15"/>
                <w:szCs w:val="18"/>
              </w:rPr>
            </w:pPr>
            <w:r w:rsidRPr="00ED38D6">
              <w:rPr>
                <w:rFonts w:ascii="KaiTi_GB2312" w:eastAsia="KaiTi_GB2312" w:hAnsi="SimSun"/>
                <w:sz w:val="15"/>
                <w:szCs w:val="18"/>
              </w:rPr>
              <w:t>就业</w:t>
            </w:r>
          </w:p>
        </w:tc>
        <w:tc>
          <w:tcPr>
            <w:tcW w:w="705" w:type="dxa"/>
            <w:tcBorders>
              <w:top w:val="single" w:sz="4" w:space="0" w:color="auto"/>
              <w:bottom w:val="single" w:sz="12" w:space="0" w:color="auto"/>
            </w:tcBorders>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r w:rsidRPr="00ED38D6">
              <w:rPr>
                <w:rFonts w:ascii="KaiTi_GB2312" w:eastAsia="KaiTi_GB2312" w:hAnsi="SimSun"/>
                <w:sz w:val="15"/>
                <w:szCs w:val="18"/>
              </w:rPr>
              <w:t>无报酬</w:t>
            </w:r>
            <w:r>
              <w:rPr>
                <w:rFonts w:ascii="KaiTi_GB2312" w:eastAsia="KaiTi_GB2312" w:hAnsi="SimSun" w:hint="eastAsia"/>
                <w:sz w:val="15"/>
                <w:szCs w:val="18"/>
              </w:rPr>
              <w:br/>
            </w:r>
            <w:r w:rsidRPr="00320147">
              <w:rPr>
                <w:rFonts w:ascii="KaiTi_GB2312" w:eastAsia="KaiTi_GB2312" w:hAnsi="SimSun"/>
                <w:spacing w:val="-4"/>
                <w:sz w:val="15"/>
                <w:szCs w:val="18"/>
              </w:rPr>
              <w:t>家庭工人</w:t>
            </w:r>
          </w:p>
        </w:tc>
        <w:tc>
          <w:tcPr>
            <w:tcW w:w="705" w:type="dxa"/>
            <w:tcBorders>
              <w:top w:val="single" w:sz="4" w:space="0" w:color="auto"/>
              <w:bottom w:val="single" w:sz="12" w:space="0" w:color="auto"/>
            </w:tcBorders>
            <w:shd w:val="clear" w:color="auto" w:fill="auto"/>
            <w:vAlign w:val="bottom"/>
          </w:tcPr>
          <w:p w:rsidR="00320147" w:rsidRPr="00ED38D6" w:rsidRDefault="00320147" w:rsidP="00ED38D6">
            <w:pPr>
              <w:tabs>
                <w:tab w:val="left" w:pos="1785"/>
              </w:tabs>
              <w:suppressAutoHyphens/>
              <w:spacing w:before="40" w:after="40" w:line="200" w:lineRule="exact"/>
              <w:ind w:right="57"/>
              <w:jc w:val="right"/>
              <w:rPr>
                <w:rFonts w:ascii="KaiTi_GB2312" w:eastAsia="KaiTi_GB2312"/>
                <w:sz w:val="15"/>
                <w:szCs w:val="18"/>
              </w:rPr>
            </w:pPr>
            <w:r w:rsidRPr="00ED38D6">
              <w:rPr>
                <w:rFonts w:ascii="KaiTi_GB2312" w:eastAsia="KaiTi_GB2312" w:hAnsi="SimSun"/>
                <w:sz w:val="15"/>
                <w:szCs w:val="18"/>
              </w:rPr>
              <w:t>失业</w:t>
            </w:r>
          </w:p>
        </w:tc>
        <w:tc>
          <w:tcPr>
            <w:tcW w:w="705" w:type="dxa"/>
            <w:tcBorders>
              <w:top w:val="single" w:sz="4" w:space="0" w:color="auto"/>
              <w:bottom w:val="single" w:sz="12" w:space="0" w:color="auto"/>
            </w:tcBorders>
            <w:shd w:val="clear" w:color="auto" w:fill="auto"/>
            <w:vAlign w:val="bottom"/>
          </w:tcPr>
          <w:p w:rsidR="00320147" w:rsidRPr="00ED38D6" w:rsidRDefault="00320147" w:rsidP="00ED38D6">
            <w:pPr>
              <w:tabs>
                <w:tab w:val="left" w:pos="1785"/>
              </w:tabs>
              <w:suppressAutoHyphens/>
              <w:spacing w:before="40" w:after="40" w:line="200" w:lineRule="exact"/>
              <w:ind w:right="57"/>
              <w:jc w:val="right"/>
              <w:rPr>
                <w:rFonts w:ascii="KaiTi_GB2312" w:eastAsia="KaiTi_GB2312"/>
                <w:sz w:val="15"/>
                <w:szCs w:val="18"/>
              </w:rPr>
            </w:pPr>
            <w:r w:rsidRPr="00ED38D6">
              <w:rPr>
                <w:rFonts w:ascii="KaiTi_GB2312" w:eastAsia="KaiTi_GB2312" w:hAnsi="SimSun"/>
                <w:sz w:val="15"/>
                <w:szCs w:val="18"/>
              </w:rPr>
              <w:t>全职</w:t>
            </w:r>
            <w:r>
              <w:rPr>
                <w:rFonts w:ascii="KaiTi_GB2312" w:eastAsia="KaiTi_GB2312" w:hAnsi="SimSun" w:hint="eastAsia"/>
                <w:sz w:val="15"/>
                <w:szCs w:val="18"/>
              </w:rPr>
              <w:br/>
            </w:r>
            <w:r w:rsidRPr="00ED38D6">
              <w:rPr>
                <w:rFonts w:ascii="KaiTi_GB2312" w:eastAsia="KaiTi_GB2312" w:hAnsi="SimSun"/>
                <w:sz w:val="15"/>
                <w:szCs w:val="18"/>
              </w:rPr>
              <w:t>学生</w:t>
            </w:r>
          </w:p>
        </w:tc>
        <w:tc>
          <w:tcPr>
            <w:tcW w:w="705" w:type="dxa"/>
            <w:tcBorders>
              <w:top w:val="single" w:sz="4" w:space="0" w:color="auto"/>
              <w:bottom w:val="single" w:sz="12" w:space="0" w:color="auto"/>
            </w:tcBorders>
            <w:shd w:val="clear" w:color="auto" w:fill="auto"/>
            <w:vAlign w:val="bottom"/>
          </w:tcPr>
          <w:p w:rsidR="00320147" w:rsidRPr="00ED38D6" w:rsidRDefault="00320147" w:rsidP="00ED38D6">
            <w:pPr>
              <w:tabs>
                <w:tab w:val="left" w:pos="1785"/>
              </w:tabs>
              <w:suppressAutoHyphens/>
              <w:spacing w:before="40" w:after="40" w:line="200" w:lineRule="exact"/>
              <w:ind w:right="57"/>
              <w:jc w:val="right"/>
              <w:rPr>
                <w:rFonts w:ascii="KaiTi_GB2312" w:eastAsia="KaiTi_GB2312"/>
                <w:sz w:val="15"/>
                <w:szCs w:val="18"/>
              </w:rPr>
            </w:pPr>
            <w:r w:rsidRPr="00ED38D6">
              <w:rPr>
                <w:rFonts w:ascii="KaiTi_GB2312" w:eastAsia="KaiTi_GB2312" w:hAnsi="SimSun"/>
                <w:sz w:val="15"/>
                <w:szCs w:val="18"/>
              </w:rPr>
              <w:t>操持</w:t>
            </w:r>
            <w:r>
              <w:rPr>
                <w:rFonts w:ascii="KaiTi_GB2312" w:eastAsia="KaiTi_GB2312" w:hAnsi="SimSun" w:hint="eastAsia"/>
                <w:sz w:val="15"/>
                <w:szCs w:val="18"/>
              </w:rPr>
              <w:br/>
            </w:r>
            <w:r w:rsidRPr="00ED38D6">
              <w:rPr>
                <w:rFonts w:ascii="KaiTi_GB2312" w:eastAsia="KaiTi_GB2312" w:hAnsi="SimSun"/>
                <w:sz w:val="15"/>
                <w:szCs w:val="18"/>
              </w:rPr>
              <w:t>家务者</w:t>
            </w:r>
          </w:p>
        </w:tc>
        <w:tc>
          <w:tcPr>
            <w:tcW w:w="705" w:type="dxa"/>
            <w:gridSpan w:val="2"/>
            <w:tcBorders>
              <w:bottom w:val="single" w:sz="12" w:space="0" w:color="auto"/>
            </w:tcBorders>
            <w:shd w:val="clear" w:color="auto" w:fill="auto"/>
            <w:vAlign w:val="bottom"/>
          </w:tcPr>
          <w:p w:rsidR="00320147" w:rsidRPr="00ED38D6" w:rsidRDefault="00320147" w:rsidP="00ED38D6">
            <w:pPr>
              <w:tabs>
                <w:tab w:val="left" w:pos="1785"/>
              </w:tabs>
              <w:suppressAutoHyphens/>
              <w:spacing w:before="40" w:after="40" w:line="200" w:lineRule="exact"/>
              <w:ind w:right="57"/>
              <w:jc w:val="right"/>
              <w:rPr>
                <w:rFonts w:ascii="KaiTi_GB2312" w:eastAsia="KaiTi_GB2312" w:hint="eastAsia"/>
                <w:sz w:val="15"/>
                <w:szCs w:val="18"/>
              </w:rPr>
            </w:pPr>
            <w:r w:rsidRPr="00ED38D6">
              <w:rPr>
                <w:rFonts w:ascii="KaiTi_GB2312" w:eastAsia="KaiTi_GB2312" w:hAnsi="SimSun"/>
                <w:sz w:val="15"/>
                <w:szCs w:val="18"/>
              </w:rPr>
              <w:t>退休</w:t>
            </w:r>
            <w:r w:rsidRPr="00ED38D6">
              <w:rPr>
                <w:rFonts w:ascii="KaiTi_GB2312" w:eastAsia="KaiTi_GB2312"/>
                <w:sz w:val="15"/>
                <w:szCs w:val="18"/>
              </w:rPr>
              <w:t>/</w:t>
            </w:r>
            <w:r>
              <w:rPr>
                <w:rFonts w:ascii="KaiTi_GB2312" w:eastAsia="KaiTi_GB2312" w:hint="eastAsia"/>
                <w:sz w:val="15"/>
                <w:szCs w:val="18"/>
              </w:rPr>
              <w:br/>
            </w:r>
            <w:r w:rsidRPr="00ED38D6">
              <w:rPr>
                <w:rFonts w:ascii="KaiTi_GB2312" w:eastAsia="KaiTi_GB2312" w:hAnsi="SimSun"/>
                <w:sz w:val="15"/>
                <w:szCs w:val="18"/>
              </w:rPr>
              <w:t>老年</w:t>
            </w:r>
            <w:r w:rsidRPr="00ED38D6">
              <w:rPr>
                <w:rFonts w:ascii="KaiTi_GB2312" w:eastAsia="KaiTi_GB2312" w:hAnsi="SimSun" w:hint="eastAsia"/>
                <w:sz w:val="15"/>
                <w:szCs w:val="18"/>
              </w:rPr>
              <w:t>人</w:t>
            </w:r>
          </w:p>
        </w:tc>
        <w:tc>
          <w:tcPr>
            <w:tcW w:w="705" w:type="dxa"/>
            <w:tcBorders>
              <w:bottom w:val="single" w:sz="12" w:space="0" w:color="auto"/>
            </w:tcBorders>
            <w:shd w:val="clear" w:color="auto" w:fill="auto"/>
            <w:vAlign w:val="bottom"/>
          </w:tcPr>
          <w:p w:rsidR="00320147" w:rsidRPr="00ED38D6" w:rsidRDefault="00320147" w:rsidP="00ED38D6">
            <w:pPr>
              <w:tabs>
                <w:tab w:val="left" w:pos="1785"/>
              </w:tabs>
              <w:suppressAutoHyphens/>
              <w:spacing w:before="40" w:after="40" w:line="200" w:lineRule="exact"/>
              <w:ind w:right="57"/>
              <w:jc w:val="right"/>
              <w:rPr>
                <w:rFonts w:ascii="KaiTi_GB2312" w:eastAsia="KaiTi_GB2312"/>
                <w:sz w:val="15"/>
                <w:szCs w:val="18"/>
              </w:rPr>
            </w:pPr>
            <w:r w:rsidRPr="00ED38D6">
              <w:rPr>
                <w:rFonts w:ascii="KaiTi_GB2312" w:eastAsia="KaiTi_GB2312" w:hAnsi="SimSun"/>
                <w:sz w:val="15"/>
                <w:szCs w:val="18"/>
              </w:rPr>
              <w:t>其他</w:t>
            </w:r>
          </w:p>
        </w:tc>
        <w:tc>
          <w:tcPr>
            <w:tcW w:w="941" w:type="dxa"/>
            <w:vMerge/>
            <w:tcBorders>
              <w:bottom w:val="single" w:sz="12" w:space="0" w:color="auto"/>
            </w:tcBorders>
            <w:shd w:val="clear" w:color="auto" w:fill="auto"/>
            <w:vAlign w:val="bottom"/>
          </w:tcPr>
          <w:p w:rsidR="00320147" w:rsidRPr="00ED38D6" w:rsidRDefault="00320147" w:rsidP="00ED38D6">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r>
      <w:tr w:rsidR="00ED38D6" w:rsidRPr="00ED38D6" w:rsidTr="00320147">
        <w:tblPrEx>
          <w:tblCellMar>
            <w:top w:w="0" w:type="dxa"/>
            <w:bottom w:w="0" w:type="dxa"/>
          </w:tblCellMar>
        </w:tblPrEx>
        <w:trPr>
          <w:trHeight w:hRule="exact" w:val="115"/>
          <w:tblHeader/>
        </w:trPr>
        <w:tc>
          <w:tcPr>
            <w:tcW w:w="1470"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rPr>
                <w:rFonts w:ascii="Times New Roman" w:hAnsi="SimSun"/>
                <w:sz w:val="17"/>
                <w:szCs w:val="18"/>
              </w:rPr>
            </w:pPr>
          </w:p>
        </w:tc>
        <w:tc>
          <w:tcPr>
            <w:tcW w:w="705"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c>
          <w:tcPr>
            <w:tcW w:w="705"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c>
          <w:tcPr>
            <w:tcW w:w="705"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c>
          <w:tcPr>
            <w:tcW w:w="705"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c>
          <w:tcPr>
            <w:tcW w:w="705"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c>
          <w:tcPr>
            <w:tcW w:w="705" w:type="dxa"/>
            <w:gridSpan w:val="2"/>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c>
          <w:tcPr>
            <w:tcW w:w="705"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c>
          <w:tcPr>
            <w:tcW w:w="941" w:type="dxa"/>
            <w:tcBorders>
              <w:top w:val="single" w:sz="12" w:space="0" w:color="auto"/>
            </w:tcBorders>
            <w:shd w:val="clear" w:color="auto" w:fill="auto"/>
            <w:vAlign w:val="bottom"/>
          </w:tcPr>
          <w:p w:rsidR="00ED38D6" w:rsidRPr="00ED38D6" w:rsidRDefault="00ED38D6" w:rsidP="00ED38D6">
            <w:pPr>
              <w:tabs>
                <w:tab w:val="left" w:pos="1785"/>
              </w:tabs>
              <w:suppressAutoHyphens/>
              <w:spacing w:after="60" w:line="280" w:lineRule="exact"/>
              <w:ind w:right="57"/>
              <w:jc w:val="right"/>
              <w:rPr>
                <w:rFonts w:ascii="Times New Roman"/>
                <w:sz w:val="17"/>
                <w:szCs w:val="18"/>
              </w:rPr>
            </w:pP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整个赞比亚</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6</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7 584 269</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性别</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男</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53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3 702 275</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女</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35</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10</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25</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11</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3 881 994</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农村</w:t>
            </w:r>
            <w:r w:rsidRPr="00ED38D6">
              <w:rPr>
                <w:rFonts w:ascii="Times New Roman"/>
                <w:sz w:val="17"/>
                <w:szCs w:val="18"/>
              </w:rPr>
              <w:t>/</w:t>
            </w:r>
            <w:r w:rsidRPr="00ED38D6">
              <w:rPr>
                <w:rFonts w:ascii="Times New Roman" w:hAnsi="SimSun"/>
                <w:sz w:val="17"/>
                <w:szCs w:val="18"/>
              </w:rPr>
              <w:t>城市</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农村</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26</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4 758 956</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城市</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11</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2 825 313</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社会阶层</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农村</w:t>
            </w:r>
            <w:r w:rsidRPr="00ED38D6">
              <w:rPr>
                <w:rFonts w:ascii="Times New Roman"/>
                <w:sz w:val="17"/>
                <w:szCs w:val="18"/>
              </w:rPr>
              <w:t>—</w:t>
            </w:r>
            <w:r w:rsidRPr="00ED38D6">
              <w:rPr>
                <w:rFonts w:ascii="Times New Roman" w:hAnsi="SimSun"/>
                <w:sz w:val="17"/>
                <w:szCs w:val="18"/>
              </w:rPr>
              <w:t>小型</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26</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4 342 085</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农村</w:t>
            </w:r>
            <w:r w:rsidRPr="00ED38D6">
              <w:rPr>
                <w:rFonts w:ascii="Times New Roman"/>
                <w:sz w:val="17"/>
                <w:szCs w:val="18"/>
              </w:rPr>
              <w:t>—</w:t>
            </w:r>
            <w:r w:rsidRPr="00ED38D6">
              <w:rPr>
                <w:rFonts w:ascii="Times New Roman" w:hAnsi="SimSun"/>
                <w:sz w:val="17"/>
                <w:szCs w:val="18"/>
              </w:rPr>
              <w:t>中型</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35</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0</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175 119</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农村</w:t>
            </w:r>
            <w:r w:rsidRPr="00ED38D6">
              <w:rPr>
                <w:rFonts w:ascii="Times New Roman"/>
                <w:sz w:val="17"/>
                <w:szCs w:val="18"/>
              </w:rPr>
              <w:t>—</w:t>
            </w:r>
            <w:r w:rsidRPr="00ED38D6">
              <w:rPr>
                <w:rFonts w:ascii="Times New Roman" w:hAnsi="SimSun"/>
                <w:sz w:val="17"/>
                <w:szCs w:val="18"/>
              </w:rPr>
              <w:t>大型</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24</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6 007</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农村</w:t>
            </w:r>
            <w:r w:rsidRPr="00ED38D6">
              <w:rPr>
                <w:rFonts w:ascii="Times New Roman"/>
                <w:sz w:val="17"/>
                <w:szCs w:val="18"/>
              </w:rPr>
              <w:t>—</w:t>
            </w:r>
            <w:r w:rsidRPr="00ED38D6">
              <w:rPr>
                <w:rFonts w:ascii="Times New Roman" w:hAnsi="SimSun"/>
                <w:sz w:val="17"/>
                <w:szCs w:val="18"/>
              </w:rPr>
              <w:t>非农</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14</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13</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235 745</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城市</w:t>
            </w:r>
            <w:r w:rsidRPr="00ED38D6">
              <w:rPr>
                <w:rFonts w:ascii="Times New Roman"/>
                <w:sz w:val="17"/>
                <w:szCs w:val="18"/>
              </w:rPr>
              <w:t>—</w:t>
            </w:r>
            <w:r w:rsidRPr="00ED38D6">
              <w:rPr>
                <w:rFonts w:ascii="Times New Roman" w:hAnsi="SimSun"/>
                <w:sz w:val="17"/>
                <w:szCs w:val="18"/>
              </w:rPr>
              <w:t>低成本</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12</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2 220 752</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城市</w:t>
            </w:r>
            <w:r w:rsidRPr="00ED38D6">
              <w:rPr>
                <w:rFonts w:ascii="Times New Roman"/>
                <w:sz w:val="17"/>
                <w:szCs w:val="18"/>
              </w:rPr>
              <w:t>—</w:t>
            </w:r>
            <w:r w:rsidRPr="00ED38D6">
              <w:rPr>
                <w:rFonts w:ascii="Times New Roman" w:hAnsi="SimSun"/>
                <w:sz w:val="17"/>
                <w:szCs w:val="18"/>
              </w:rPr>
              <w:t>中成本</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35</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9</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363 949</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城市</w:t>
            </w:r>
            <w:r w:rsidRPr="00ED38D6">
              <w:rPr>
                <w:rFonts w:ascii="Times New Roman"/>
                <w:sz w:val="17"/>
                <w:szCs w:val="18"/>
              </w:rPr>
              <w:t>—</w:t>
            </w:r>
            <w:r w:rsidRPr="00ED38D6">
              <w:rPr>
                <w:rFonts w:ascii="Times New Roman" w:hAnsi="SimSun"/>
                <w:sz w:val="17"/>
                <w:szCs w:val="18"/>
              </w:rPr>
              <w:t>高成本</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7</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240 612</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中央省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6</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5</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795 739</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铜带省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17</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11</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1 230 907</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东方省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34</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0</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997 761</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卢阿普拉省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62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0</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559 190</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卢萨卡省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26</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11</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1 141 999</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北方省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24</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26</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0</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935 837</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西北省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50</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6</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3</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435 830</w:t>
            </w:r>
          </w:p>
        </w:tc>
      </w:tr>
      <w:tr w:rsidR="00ED38D6" w:rsidRPr="00ED38D6" w:rsidTr="00320147">
        <w:tblPrEx>
          <w:tblCellMar>
            <w:top w:w="0" w:type="dxa"/>
            <w:bottom w:w="0" w:type="dxa"/>
          </w:tblCellMar>
        </w:tblPrEx>
        <w:tc>
          <w:tcPr>
            <w:tcW w:w="1470"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南方省</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49</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6</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28</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7</w:t>
            </w:r>
          </w:p>
        </w:tc>
        <w:tc>
          <w:tcPr>
            <w:tcW w:w="705" w:type="dxa"/>
            <w:gridSpan w:val="2"/>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705"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0</w:t>
            </w:r>
          </w:p>
        </w:tc>
        <w:tc>
          <w:tcPr>
            <w:tcW w:w="941" w:type="dxa"/>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915 842</w:t>
            </w:r>
          </w:p>
        </w:tc>
      </w:tr>
      <w:tr w:rsidR="00ED38D6" w:rsidRPr="00ED38D6" w:rsidTr="00320147">
        <w:tblPrEx>
          <w:tblCellMar>
            <w:top w:w="0" w:type="dxa"/>
            <w:bottom w:w="0" w:type="dxa"/>
          </w:tblCellMar>
        </w:tblPrEx>
        <w:tc>
          <w:tcPr>
            <w:tcW w:w="1470"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rPr>
                <w:rFonts w:ascii="Times New Roman"/>
                <w:sz w:val="17"/>
                <w:szCs w:val="18"/>
              </w:rPr>
            </w:pPr>
            <w:r w:rsidRPr="00ED38D6">
              <w:rPr>
                <w:rFonts w:ascii="Times New Roman" w:hAnsi="SimSun"/>
                <w:sz w:val="17"/>
                <w:szCs w:val="18"/>
              </w:rPr>
              <w:t>西方省</w:t>
            </w:r>
          </w:p>
        </w:tc>
        <w:tc>
          <w:tcPr>
            <w:tcW w:w="705"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50</w:t>
            </w:r>
          </w:p>
        </w:tc>
        <w:tc>
          <w:tcPr>
            <w:tcW w:w="705"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11</w:t>
            </w:r>
          </w:p>
        </w:tc>
        <w:tc>
          <w:tcPr>
            <w:tcW w:w="705"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6</w:t>
            </w:r>
          </w:p>
        </w:tc>
        <w:tc>
          <w:tcPr>
            <w:tcW w:w="705"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26</w:t>
            </w:r>
          </w:p>
        </w:tc>
        <w:tc>
          <w:tcPr>
            <w:tcW w:w="705"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5</w:t>
            </w:r>
          </w:p>
        </w:tc>
        <w:tc>
          <w:tcPr>
            <w:tcW w:w="705" w:type="dxa"/>
            <w:gridSpan w:val="2"/>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2</w:t>
            </w:r>
          </w:p>
        </w:tc>
        <w:tc>
          <w:tcPr>
            <w:tcW w:w="705"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1</w:t>
            </w:r>
          </w:p>
        </w:tc>
        <w:tc>
          <w:tcPr>
            <w:tcW w:w="941" w:type="dxa"/>
            <w:tcBorders>
              <w:bottom w:val="single" w:sz="12" w:space="0" w:color="auto"/>
            </w:tcBorders>
            <w:shd w:val="clear" w:color="auto" w:fill="auto"/>
            <w:vAlign w:val="bottom"/>
          </w:tcPr>
          <w:p w:rsidR="00ED38D6" w:rsidRPr="00ED38D6" w:rsidRDefault="00ED38D6" w:rsidP="00320147">
            <w:pPr>
              <w:tabs>
                <w:tab w:val="left" w:pos="334"/>
                <w:tab w:val="left" w:pos="669"/>
                <w:tab w:val="left" w:pos="1003"/>
                <w:tab w:val="left" w:pos="1338"/>
              </w:tabs>
              <w:suppressAutoHyphens/>
              <w:spacing w:after="40" w:line="280" w:lineRule="exact"/>
              <w:ind w:right="57"/>
              <w:jc w:val="right"/>
              <w:rPr>
                <w:rFonts w:ascii="Times New Roman"/>
                <w:sz w:val="17"/>
                <w:szCs w:val="18"/>
              </w:rPr>
            </w:pPr>
            <w:r w:rsidRPr="00ED38D6">
              <w:rPr>
                <w:rFonts w:ascii="Times New Roman"/>
                <w:sz w:val="17"/>
                <w:szCs w:val="18"/>
              </w:rPr>
              <w:t>571 164</w:t>
            </w:r>
          </w:p>
        </w:tc>
      </w:tr>
    </w:tbl>
    <w:p w:rsidR="00320147" w:rsidRPr="00320147" w:rsidRDefault="00320147" w:rsidP="00320147">
      <w:pPr>
        <w:pStyle w:val="SingleTxt"/>
        <w:spacing w:after="0" w:line="160" w:lineRule="exact"/>
        <w:rPr>
          <w:rFonts w:hint="eastAsia"/>
          <w:sz w:val="10"/>
        </w:rPr>
      </w:pPr>
    </w:p>
    <w:p w:rsidR="00D976FC" w:rsidRDefault="00D976FC" w:rsidP="00320147">
      <w:pPr>
        <w:pStyle w:val="FootnoteText"/>
        <w:tabs>
          <w:tab w:val="clear" w:pos="418"/>
          <w:tab w:val="right" w:pos="1476"/>
          <w:tab w:val="left" w:pos="1548"/>
          <w:tab w:val="right" w:pos="1836"/>
          <w:tab w:val="left" w:pos="1908"/>
        </w:tabs>
        <w:ind w:left="1548" w:right="1267" w:hanging="288"/>
        <w:rPr>
          <w:rFonts w:hint="eastAsia"/>
        </w:rPr>
      </w:pPr>
      <w:r w:rsidRPr="00320147">
        <w:rPr>
          <w:rFonts w:ascii="KaiTi_GB2312" w:eastAsia="KaiTi_GB2312" w:hint="eastAsia"/>
        </w:rPr>
        <w:t>资料来源</w:t>
      </w:r>
      <w:r>
        <w:rPr>
          <w:rFonts w:hint="eastAsia"/>
        </w:rPr>
        <w:t>：2006年生活条件监测调查。</w:t>
      </w:r>
    </w:p>
    <w:p w:rsidR="00D976FC" w:rsidRDefault="00D976FC" w:rsidP="00320147">
      <w:pPr>
        <w:pStyle w:val="SingleTxt"/>
        <w:tabs>
          <w:tab w:val="clear" w:pos="2126"/>
          <w:tab w:val="left" w:pos="1995"/>
        </w:tabs>
        <w:rPr>
          <w:rFonts w:hint="eastAsia"/>
        </w:rPr>
      </w:pPr>
      <w:r>
        <w:rPr>
          <w:rFonts w:hint="eastAsia"/>
        </w:rPr>
        <w:t>2.4.1</w:t>
      </w:r>
      <w:r>
        <w:rPr>
          <w:rFonts w:hint="eastAsia"/>
        </w:rPr>
        <w:tab/>
        <w:t>上表显示男女经济活动状况的差异。男性就业率为53%，而女性仅为35%。作为无报酬家庭工人的女性(17%)多于男性(7%)。同样，作为操持家务者的女性(11%)也多于男性(1%)。这反映了男女的性别角色，意味着他们从事的经济活动已由性别事先决定。女性大多往往从事“家庭活动”，而男性通常进入劳动力市场，从事“创收活动”。</w:t>
      </w:r>
    </w:p>
    <w:p w:rsidR="00D976FC" w:rsidRDefault="00D976FC" w:rsidP="00320147">
      <w:pPr>
        <w:pStyle w:val="SingleTxt"/>
        <w:tabs>
          <w:tab w:val="clear" w:pos="2126"/>
          <w:tab w:val="left" w:pos="1995"/>
        </w:tabs>
        <w:rPr>
          <w:rFonts w:hint="eastAsia"/>
        </w:rPr>
      </w:pPr>
      <w:r>
        <w:rPr>
          <w:rFonts w:hint="eastAsia"/>
        </w:rPr>
        <w:t>2.4.2</w:t>
      </w:r>
      <w:r>
        <w:rPr>
          <w:rFonts w:hint="eastAsia"/>
        </w:rPr>
        <w:tab/>
        <w:t>按照农村/城市社会阶层分析的结果表明，农村地区的就业人口多于城市地区，分别为47%和37%。作为家庭工人的农村人口(18%)多于城市(2%)；而城市地区的失业人口(19%)多于农村地区(3%)。</w:t>
      </w:r>
    </w:p>
    <w:p w:rsidR="00D976FC" w:rsidRDefault="00D976FC" w:rsidP="00320147">
      <w:pPr>
        <w:pStyle w:val="SingleTxt"/>
        <w:tabs>
          <w:tab w:val="clear" w:pos="2126"/>
          <w:tab w:val="left" w:pos="1995"/>
        </w:tabs>
        <w:rPr>
          <w:rFonts w:hint="eastAsia"/>
        </w:rPr>
      </w:pPr>
      <w:r>
        <w:rPr>
          <w:rFonts w:hint="eastAsia"/>
        </w:rPr>
        <w:t>2.4.3</w:t>
      </w:r>
      <w:r>
        <w:rPr>
          <w:rFonts w:hint="eastAsia"/>
        </w:rPr>
        <w:tab/>
        <w:t>按省分列的分析表明，卢阿普拉省的就业人口比例最高(62%)，其次是西北省(50%)、西方省(50%)和南方省(49%)。东方省的无报酬家庭工人比例最高(34%)，其次是北方省(24%)和中央省(21%)。各省的全职学生比例相似，约为22%到29%不等。</w:t>
      </w:r>
    </w:p>
    <w:p w:rsidR="00D976FC" w:rsidRPr="00320147" w:rsidRDefault="00D976FC" w:rsidP="00D976FC">
      <w:pPr>
        <w:pStyle w:val="SingleTxt"/>
        <w:rPr>
          <w:rFonts w:ascii="SimHei" w:eastAsia="SimHei" w:hint="eastAsia"/>
        </w:rPr>
      </w:pPr>
      <w:r w:rsidRPr="00320147">
        <w:rPr>
          <w:rFonts w:ascii="SimHei" w:eastAsia="SimHei" w:hint="eastAsia"/>
        </w:rPr>
        <w:t>劳动力参与率</w:t>
      </w:r>
    </w:p>
    <w:p w:rsidR="00D976FC" w:rsidRDefault="00D976FC" w:rsidP="00D976FC">
      <w:pPr>
        <w:pStyle w:val="SingleTxt"/>
        <w:rPr>
          <w:rFonts w:hint="eastAsia"/>
        </w:rPr>
      </w:pPr>
      <w:r>
        <w:rPr>
          <w:rFonts w:hint="eastAsia"/>
        </w:rPr>
        <w:t>2.5</w:t>
      </w:r>
      <w:r>
        <w:rPr>
          <w:rFonts w:hint="eastAsia"/>
        </w:rPr>
        <w:tab/>
      </w:r>
      <w:r w:rsidRPr="00320147">
        <w:rPr>
          <w:rFonts w:ascii="SimHei" w:eastAsia="SimHei" w:hint="eastAsia"/>
        </w:rPr>
        <w:t>按性别、农村/城市、社会阶层和省份分列的12岁及以上人口的劳动力参与率，2006年</w:t>
      </w:r>
    </w:p>
    <w:tbl>
      <w:tblPr>
        <w:tblW w:w="0" w:type="auto"/>
        <w:tblInd w:w="1260" w:type="dxa"/>
        <w:tblLayout w:type="fixed"/>
        <w:tblCellMar>
          <w:left w:w="0" w:type="dxa"/>
          <w:right w:w="0" w:type="dxa"/>
        </w:tblCellMar>
        <w:tblLook w:val="0000" w:firstRow="0" w:lastRow="0" w:firstColumn="0" w:lastColumn="0" w:noHBand="0" w:noVBand="0"/>
      </w:tblPr>
      <w:tblGrid>
        <w:gridCol w:w="1995"/>
        <w:gridCol w:w="1287"/>
        <w:gridCol w:w="1287"/>
        <w:gridCol w:w="1287"/>
        <w:gridCol w:w="1464"/>
      </w:tblGrid>
      <w:tr w:rsidR="0040370E" w:rsidRPr="00320147" w:rsidTr="0040370E">
        <w:tblPrEx>
          <w:tblCellMar>
            <w:top w:w="0" w:type="dxa"/>
            <w:bottom w:w="0" w:type="dxa"/>
          </w:tblCellMar>
        </w:tblPrEx>
        <w:trPr>
          <w:tblHeader/>
        </w:trPr>
        <w:tc>
          <w:tcPr>
            <w:tcW w:w="1995" w:type="dxa"/>
            <w:tcBorders>
              <w:top w:val="single" w:sz="4" w:space="0" w:color="auto"/>
            </w:tcBorders>
            <w:shd w:val="clear" w:color="auto" w:fill="auto"/>
            <w:vAlign w:val="bottom"/>
          </w:tcPr>
          <w:p w:rsidR="0040370E" w:rsidRPr="00320147" w:rsidRDefault="0040370E" w:rsidP="0040370E">
            <w:pPr>
              <w:tabs>
                <w:tab w:val="left" w:pos="360"/>
                <w:tab w:val="left" w:pos="720"/>
                <w:tab w:val="left" w:pos="1080"/>
                <w:tab w:val="left" w:pos="1440"/>
              </w:tabs>
              <w:suppressAutoHyphens/>
              <w:spacing w:before="40" w:after="40" w:line="200" w:lineRule="exact"/>
              <w:ind w:right="57"/>
              <w:rPr>
                <w:rFonts w:ascii="KaiTi_GB2312" w:eastAsia="KaiTi_GB2312" w:hint="eastAsia"/>
                <w:sz w:val="15"/>
              </w:rPr>
            </w:pPr>
          </w:p>
        </w:tc>
        <w:tc>
          <w:tcPr>
            <w:tcW w:w="1287" w:type="dxa"/>
            <w:tcBorders>
              <w:top w:val="single" w:sz="4" w:space="0" w:color="auto"/>
              <w:bottom w:val="single" w:sz="4" w:space="0" w:color="auto"/>
            </w:tcBorders>
            <w:shd w:val="clear" w:color="auto" w:fill="auto"/>
            <w:vAlign w:val="bottom"/>
          </w:tcPr>
          <w:p w:rsidR="0040370E" w:rsidRPr="00320147" w:rsidRDefault="0040370E" w:rsidP="0040370E">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p>
        </w:tc>
        <w:tc>
          <w:tcPr>
            <w:tcW w:w="1287" w:type="dxa"/>
            <w:tcBorders>
              <w:top w:val="single" w:sz="4" w:space="0" w:color="auto"/>
              <w:bottom w:val="single" w:sz="4" w:space="0" w:color="auto"/>
            </w:tcBorders>
            <w:shd w:val="clear" w:color="auto" w:fill="auto"/>
            <w:vAlign w:val="bottom"/>
          </w:tcPr>
          <w:p w:rsidR="0040370E" w:rsidRPr="00320147" w:rsidRDefault="0040370E" w:rsidP="0040370E">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r w:rsidRPr="00320147">
              <w:rPr>
                <w:rFonts w:ascii="KaiTi_GB2312" w:eastAsia="KaiTi_GB2312" w:hAnsi="SimSun"/>
                <w:iCs/>
                <w:sz w:val="15"/>
                <w:szCs w:val="18"/>
              </w:rPr>
              <w:t>参与率</w:t>
            </w:r>
          </w:p>
        </w:tc>
        <w:tc>
          <w:tcPr>
            <w:tcW w:w="1287" w:type="dxa"/>
            <w:tcBorders>
              <w:top w:val="single" w:sz="4" w:space="0" w:color="auto"/>
              <w:bottom w:val="single" w:sz="4" w:space="0" w:color="auto"/>
            </w:tcBorders>
            <w:shd w:val="clear" w:color="auto" w:fill="auto"/>
            <w:vAlign w:val="bottom"/>
          </w:tcPr>
          <w:p w:rsidR="0040370E" w:rsidRPr="00320147" w:rsidRDefault="0040370E" w:rsidP="0040370E">
            <w:pPr>
              <w:tabs>
                <w:tab w:val="left" w:pos="360"/>
                <w:tab w:val="left" w:pos="720"/>
                <w:tab w:val="left" w:pos="1080"/>
                <w:tab w:val="left" w:pos="1440"/>
              </w:tabs>
              <w:suppressAutoHyphens/>
              <w:spacing w:before="40" w:after="40" w:line="200" w:lineRule="exact"/>
              <w:ind w:right="57"/>
              <w:jc w:val="center"/>
              <w:rPr>
                <w:rFonts w:ascii="KaiTi_GB2312" w:eastAsia="KaiTi_GB2312" w:hint="eastAsia"/>
                <w:sz w:val="15"/>
              </w:rPr>
            </w:pPr>
          </w:p>
        </w:tc>
        <w:tc>
          <w:tcPr>
            <w:tcW w:w="1464" w:type="dxa"/>
            <w:vMerge w:val="restart"/>
            <w:tcBorders>
              <w:top w:val="single" w:sz="4" w:space="0" w:color="auto"/>
            </w:tcBorders>
            <w:shd w:val="clear" w:color="auto" w:fill="auto"/>
            <w:vAlign w:val="bottom"/>
          </w:tcPr>
          <w:p w:rsidR="0040370E" w:rsidRPr="00320147" w:rsidRDefault="0040370E" w:rsidP="0040370E">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r w:rsidRPr="00320147">
              <w:rPr>
                <w:rFonts w:ascii="KaiTi_GB2312" w:eastAsia="KaiTi_GB2312"/>
                <w:iCs/>
                <w:sz w:val="15"/>
                <w:szCs w:val="18"/>
              </w:rPr>
              <w:t>12</w:t>
            </w:r>
            <w:r w:rsidRPr="00320147">
              <w:rPr>
                <w:rFonts w:ascii="KaiTi_GB2312" w:eastAsia="KaiTi_GB2312" w:hAnsi="SimSun"/>
                <w:iCs/>
                <w:sz w:val="15"/>
                <w:szCs w:val="18"/>
              </w:rPr>
              <w:t>岁及以上</w:t>
            </w:r>
            <w:r w:rsidRPr="00320147">
              <w:rPr>
                <w:rFonts w:ascii="KaiTi_GB2312" w:eastAsia="KaiTi_GB2312" w:hAnsi="SimSun"/>
                <w:iCs/>
                <w:sz w:val="15"/>
                <w:szCs w:val="18"/>
              </w:rPr>
              <w:br/>
              <w:t>人口总数</w:t>
            </w:r>
          </w:p>
        </w:tc>
      </w:tr>
      <w:tr w:rsidR="0040370E" w:rsidRPr="00320147" w:rsidTr="0040370E">
        <w:tblPrEx>
          <w:tblCellMar>
            <w:top w:w="0" w:type="dxa"/>
            <w:bottom w:w="0" w:type="dxa"/>
          </w:tblCellMar>
        </w:tblPrEx>
        <w:trPr>
          <w:tblHeader/>
        </w:trPr>
        <w:tc>
          <w:tcPr>
            <w:tcW w:w="1995" w:type="dxa"/>
            <w:tcBorders>
              <w:bottom w:val="single" w:sz="12" w:space="0" w:color="auto"/>
            </w:tcBorders>
            <w:shd w:val="clear" w:color="auto" w:fill="auto"/>
            <w:vAlign w:val="bottom"/>
          </w:tcPr>
          <w:p w:rsidR="0040370E" w:rsidRPr="00320147" w:rsidRDefault="0040370E" w:rsidP="0040370E">
            <w:pPr>
              <w:tabs>
                <w:tab w:val="left" w:pos="1785"/>
              </w:tabs>
              <w:suppressAutoHyphens/>
              <w:spacing w:before="40" w:after="40" w:line="200" w:lineRule="exact"/>
              <w:ind w:right="57"/>
              <w:rPr>
                <w:rFonts w:ascii="KaiTi_GB2312" w:eastAsia="KaiTi_GB2312"/>
                <w:sz w:val="15"/>
                <w:szCs w:val="18"/>
              </w:rPr>
            </w:pPr>
            <w:r w:rsidRPr="00320147">
              <w:rPr>
                <w:rFonts w:ascii="KaiTi_GB2312" w:eastAsia="KaiTi_GB2312" w:hAnsi="SimSun"/>
                <w:iCs/>
                <w:sz w:val="15"/>
                <w:szCs w:val="18"/>
              </w:rPr>
              <w:t>居住地</w:t>
            </w:r>
            <w:r w:rsidRPr="00320147">
              <w:rPr>
                <w:rFonts w:ascii="KaiTi_GB2312" w:eastAsia="KaiTi_GB2312"/>
                <w:iCs/>
                <w:sz w:val="15"/>
                <w:szCs w:val="18"/>
              </w:rPr>
              <w:t>/</w:t>
            </w:r>
            <w:r w:rsidRPr="00320147">
              <w:rPr>
                <w:rFonts w:ascii="KaiTi_GB2312" w:eastAsia="KaiTi_GB2312" w:hAnsi="SimSun"/>
                <w:iCs/>
                <w:sz w:val="15"/>
                <w:szCs w:val="18"/>
              </w:rPr>
              <w:t>省份</w:t>
            </w:r>
          </w:p>
        </w:tc>
        <w:tc>
          <w:tcPr>
            <w:tcW w:w="1287" w:type="dxa"/>
            <w:tcBorders>
              <w:top w:val="single" w:sz="4" w:space="0" w:color="auto"/>
              <w:bottom w:val="single" w:sz="12" w:space="0" w:color="auto"/>
            </w:tcBorders>
            <w:shd w:val="clear" w:color="auto" w:fill="auto"/>
            <w:vAlign w:val="bottom"/>
          </w:tcPr>
          <w:p w:rsidR="0040370E" w:rsidRPr="00320147" w:rsidRDefault="0040370E" w:rsidP="0040370E">
            <w:pPr>
              <w:tabs>
                <w:tab w:val="left" w:pos="1785"/>
              </w:tabs>
              <w:suppressAutoHyphens/>
              <w:spacing w:before="40" w:after="40" w:line="200" w:lineRule="exact"/>
              <w:ind w:right="57"/>
              <w:jc w:val="right"/>
              <w:rPr>
                <w:rFonts w:ascii="KaiTi_GB2312" w:eastAsia="KaiTi_GB2312"/>
                <w:sz w:val="15"/>
                <w:szCs w:val="18"/>
              </w:rPr>
            </w:pPr>
            <w:r w:rsidRPr="00320147">
              <w:rPr>
                <w:rFonts w:ascii="KaiTi_GB2312" w:eastAsia="KaiTi_GB2312" w:hAnsi="SimSun"/>
                <w:sz w:val="15"/>
                <w:szCs w:val="18"/>
              </w:rPr>
              <w:t>男女</w:t>
            </w:r>
          </w:p>
        </w:tc>
        <w:tc>
          <w:tcPr>
            <w:tcW w:w="1287" w:type="dxa"/>
            <w:tcBorders>
              <w:top w:val="single" w:sz="4" w:space="0" w:color="auto"/>
              <w:bottom w:val="single" w:sz="12" w:space="0" w:color="auto"/>
            </w:tcBorders>
            <w:shd w:val="clear" w:color="auto" w:fill="auto"/>
            <w:vAlign w:val="bottom"/>
          </w:tcPr>
          <w:p w:rsidR="0040370E" w:rsidRPr="00320147" w:rsidRDefault="0040370E" w:rsidP="0040370E">
            <w:pPr>
              <w:tabs>
                <w:tab w:val="left" w:pos="1785"/>
              </w:tabs>
              <w:suppressAutoHyphens/>
              <w:spacing w:before="40" w:after="40" w:line="200" w:lineRule="exact"/>
              <w:ind w:right="57"/>
              <w:jc w:val="right"/>
              <w:rPr>
                <w:rFonts w:ascii="KaiTi_GB2312" w:eastAsia="KaiTi_GB2312"/>
                <w:sz w:val="15"/>
                <w:szCs w:val="18"/>
              </w:rPr>
            </w:pPr>
            <w:r w:rsidRPr="00320147">
              <w:rPr>
                <w:rFonts w:ascii="KaiTi_GB2312" w:eastAsia="KaiTi_GB2312" w:hAnsi="SimSun"/>
                <w:sz w:val="15"/>
                <w:szCs w:val="18"/>
              </w:rPr>
              <w:t>男</w:t>
            </w:r>
          </w:p>
        </w:tc>
        <w:tc>
          <w:tcPr>
            <w:tcW w:w="1287" w:type="dxa"/>
            <w:tcBorders>
              <w:top w:val="single" w:sz="4" w:space="0" w:color="auto"/>
              <w:bottom w:val="single" w:sz="12" w:space="0" w:color="auto"/>
            </w:tcBorders>
            <w:shd w:val="clear" w:color="auto" w:fill="auto"/>
            <w:vAlign w:val="bottom"/>
          </w:tcPr>
          <w:p w:rsidR="0040370E" w:rsidRPr="00320147" w:rsidRDefault="0040370E" w:rsidP="0040370E">
            <w:pPr>
              <w:tabs>
                <w:tab w:val="left" w:pos="1785"/>
              </w:tabs>
              <w:suppressAutoHyphens/>
              <w:spacing w:before="40" w:after="40" w:line="200" w:lineRule="exact"/>
              <w:ind w:right="57"/>
              <w:jc w:val="right"/>
              <w:rPr>
                <w:rFonts w:ascii="KaiTi_GB2312" w:eastAsia="KaiTi_GB2312"/>
                <w:sz w:val="15"/>
                <w:szCs w:val="18"/>
              </w:rPr>
            </w:pPr>
            <w:r w:rsidRPr="00320147">
              <w:rPr>
                <w:rFonts w:ascii="KaiTi_GB2312" w:eastAsia="KaiTi_GB2312" w:hAnsi="SimSun"/>
                <w:sz w:val="15"/>
                <w:szCs w:val="18"/>
              </w:rPr>
              <w:t>女</w:t>
            </w:r>
          </w:p>
        </w:tc>
        <w:tc>
          <w:tcPr>
            <w:tcW w:w="1464" w:type="dxa"/>
            <w:vMerge/>
            <w:tcBorders>
              <w:bottom w:val="single" w:sz="12" w:space="0" w:color="auto"/>
            </w:tcBorders>
            <w:shd w:val="clear" w:color="auto" w:fill="auto"/>
            <w:vAlign w:val="bottom"/>
          </w:tcPr>
          <w:p w:rsidR="0040370E" w:rsidRPr="00320147" w:rsidRDefault="0040370E" w:rsidP="0040370E">
            <w:pPr>
              <w:tabs>
                <w:tab w:val="left" w:pos="360"/>
                <w:tab w:val="left" w:pos="720"/>
                <w:tab w:val="left" w:pos="1080"/>
                <w:tab w:val="left" w:pos="1440"/>
              </w:tabs>
              <w:suppressAutoHyphens/>
              <w:spacing w:before="40" w:after="40" w:line="200" w:lineRule="exact"/>
              <w:ind w:right="57"/>
              <w:jc w:val="right"/>
              <w:rPr>
                <w:rFonts w:ascii="KaiTi_GB2312" w:eastAsia="KaiTi_GB2312" w:hint="eastAsia"/>
                <w:sz w:val="15"/>
              </w:rPr>
            </w:pPr>
          </w:p>
        </w:tc>
      </w:tr>
      <w:tr w:rsidR="00320147" w:rsidRPr="00320147" w:rsidTr="00320147">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320147" w:rsidRPr="00320147" w:rsidRDefault="00320147" w:rsidP="00320147">
            <w:pPr>
              <w:tabs>
                <w:tab w:val="left" w:pos="1785"/>
              </w:tabs>
              <w:suppressAutoHyphens/>
              <w:spacing w:after="60" w:line="280" w:lineRule="exact"/>
              <w:ind w:right="57"/>
              <w:rPr>
                <w:rFonts w:ascii="Times New Roman" w:hAnsi="SimSun"/>
                <w:sz w:val="17"/>
                <w:szCs w:val="18"/>
              </w:rPr>
            </w:pPr>
          </w:p>
        </w:tc>
        <w:tc>
          <w:tcPr>
            <w:tcW w:w="1287" w:type="dxa"/>
            <w:tcBorders>
              <w:top w:val="single" w:sz="12" w:space="0" w:color="auto"/>
            </w:tcBorders>
            <w:shd w:val="clear" w:color="auto" w:fill="auto"/>
            <w:vAlign w:val="bottom"/>
          </w:tcPr>
          <w:p w:rsidR="00320147" w:rsidRPr="00320147" w:rsidRDefault="00320147" w:rsidP="00320147">
            <w:pPr>
              <w:tabs>
                <w:tab w:val="left" w:pos="1785"/>
              </w:tabs>
              <w:suppressAutoHyphens/>
              <w:spacing w:after="60" w:line="280" w:lineRule="exact"/>
              <w:ind w:right="57"/>
              <w:jc w:val="right"/>
              <w:rPr>
                <w:rFonts w:ascii="Times New Roman"/>
                <w:sz w:val="17"/>
                <w:szCs w:val="18"/>
              </w:rPr>
            </w:pPr>
          </w:p>
        </w:tc>
        <w:tc>
          <w:tcPr>
            <w:tcW w:w="1287" w:type="dxa"/>
            <w:tcBorders>
              <w:top w:val="single" w:sz="12" w:space="0" w:color="auto"/>
            </w:tcBorders>
            <w:shd w:val="clear" w:color="auto" w:fill="auto"/>
            <w:vAlign w:val="bottom"/>
          </w:tcPr>
          <w:p w:rsidR="00320147" w:rsidRPr="00320147" w:rsidRDefault="00320147" w:rsidP="00320147">
            <w:pPr>
              <w:tabs>
                <w:tab w:val="left" w:pos="1785"/>
              </w:tabs>
              <w:suppressAutoHyphens/>
              <w:spacing w:after="60" w:line="280" w:lineRule="exact"/>
              <w:ind w:right="57"/>
              <w:jc w:val="right"/>
              <w:rPr>
                <w:rFonts w:ascii="Times New Roman"/>
                <w:sz w:val="17"/>
                <w:szCs w:val="18"/>
              </w:rPr>
            </w:pPr>
          </w:p>
        </w:tc>
        <w:tc>
          <w:tcPr>
            <w:tcW w:w="1287" w:type="dxa"/>
            <w:tcBorders>
              <w:top w:val="single" w:sz="12" w:space="0" w:color="auto"/>
            </w:tcBorders>
            <w:shd w:val="clear" w:color="auto" w:fill="auto"/>
            <w:vAlign w:val="bottom"/>
          </w:tcPr>
          <w:p w:rsidR="00320147" w:rsidRPr="00320147" w:rsidRDefault="00320147" w:rsidP="00320147">
            <w:pPr>
              <w:tabs>
                <w:tab w:val="left" w:pos="1785"/>
              </w:tabs>
              <w:suppressAutoHyphens/>
              <w:spacing w:after="60" w:line="280" w:lineRule="exact"/>
              <w:ind w:right="57"/>
              <w:jc w:val="right"/>
              <w:rPr>
                <w:rFonts w:ascii="Times New Roman"/>
                <w:sz w:val="17"/>
                <w:szCs w:val="18"/>
              </w:rPr>
            </w:pPr>
          </w:p>
        </w:tc>
        <w:tc>
          <w:tcPr>
            <w:tcW w:w="1464" w:type="dxa"/>
            <w:tcBorders>
              <w:top w:val="single" w:sz="12" w:space="0" w:color="auto"/>
            </w:tcBorders>
            <w:shd w:val="clear" w:color="auto" w:fill="auto"/>
            <w:vAlign w:val="bottom"/>
          </w:tcPr>
          <w:p w:rsidR="00320147" w:rsidRPr="00320147" w:rsidRDefault="00320147" w:rsidP="00320147">
            <w:pPr>
              <w:tabs>
                <w:tab w:val="left" w:pos="1785"/>
              </w:tabs>
              <w:suppressAutoHyphens/>
              <w:spacing w:after="60" w:line="280" w:lineRule="exact"/>
              <w:ind w:right="57"/>
              <w:jc w:val="right"/>
              <w:rPr>
                <w:rFonts w:ascii="Times New Roman"/>
                <w:sz w:val="17"/>
                <w:szCs w:val="18"/>
              </w:rPr>
            </w:pP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整个赞比亚</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65</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68</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61</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7 584 269</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居住地</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农村</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69</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68</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69</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4 758 956</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城市</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57</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67</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48</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2 825 313</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省份</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中央省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64</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66</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61</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795 739</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铜带省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56</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66</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46</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1 230 907</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东方省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75</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73</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77</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997 761</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拉阿普拉省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68</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iCs/>
                <w:sz w:val="17"/>
                <w:szCs w:val="18"/>
              </w:rPr>
              <w:t>66</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69</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559 190</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卢萨卡省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60</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70</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50</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1 141 999</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北方省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70</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70</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71</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935 837</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西北省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64</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65</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63</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435 830</w:t>
            </w:r>
          </w:p>
        </w:tc>
      </w:tr>
      <w:tr w:rsidR="00320147" w:rsidRPr="00320147" w:rsidTr="00320147">
        <w:tblPrEx>
          <w:tblCellMar>
            <w:top w:w="0" w:type="dxa"/>
            <w:bottom w:w="0" w:type="dxa"/>
          </w:tblCellMar>
        </w:tblPrEx>
        <w:tc>
          <w:tcPr>
            <w:tcW w:w="1995"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南方省</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63</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67</w:t>
            </w:r>
          </w:p>
        </w:tc>
        <w:tc>
          <w:tcPr>
            <w:tcW w:w="1287"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60</w:t>
            </w:r>
          </w:p>
        </w:tc>
        <w:tc>
          <w:tcPr>
            <w:tcW w:w="1464" w:type="dxa"/>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915 842</w:t>
            </w:r>
          </w:p>
        </w:tc>
      </w:tr>
      <w:tr w:rsidR="00320147" w:rsidRPr="00320147" w:rsidTr="00320147">
        <w:tblPrEx>
          <w:tblCellMar>
            <w:top w:w="0" w:type="dxa"/>
            <w:bottom w:w="0" w:type="dxa"/>
          </w:tblCellMar>
        </w:tblPrEx>
        <w:tc>
          <w:tcPr>
            <w:tcW w:w="1995" w:type="dxa"/>
            <w:tcBorders>
              <w:bottom w:val="single" w:sz="12" w:space="0" w:color="auto"/>
            </w:tcBorders>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rPr>
                <w:rFonts w:ascii="Times New Roman"/>
                <w:sz w:val="17"/>
                <w:szCs w:val="18"/>
              </w:rPr>
            </w:pPr>
            <w:r w:rsidRPr="00320147">
              <w:rPr>
                <w:rFonts w:ascii="Times New Roman" w:hAnsi="SimSun"/>
                <w:sz w:val="17"/>
                <w:szCs w:val="18"/>
              </w:rPr>
              <w:t>西方省</w:t>
            </w:r>
          </w:p>
        </w:tc>
        <w:tc>
          <w:tcPr>
            <w:tcW w:w="1287" w:type="dxa"/>
            <w:tcBorders>
              <w:bottom w:val="single" w:sz="12" w:space="0" w:color="auto"/>
            </w:tcBorders>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67</w:t>
            </w:r>
          </w:p>
        </w:tc>
        <w:tc>
          <w:tcPr>
            <w:tcW w:w="1287" w:type="dxa"/>
            <w:tcBorders>
              <w:bottom w:val="single" w:sz="12" w:space="0" w:color="auto"/>
            </w:tcBorders>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67</w:t>
            </w:r>
          </w:p>
        </w:tc>
        <w:tc>
          <w:tcPr>
            <w:tcW w:w="1287" w:type="dxa"/>
            <w:tcBorders>
              <w:bottom w:val="single" w:sz="12" w:space="0" w:color="auto"/>
            </w:tcBorders>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67</w:t>
            </w:r>
          </w:p>
        </w:tc>
        <w:tc>
          <w:tcPr>
            <w:tcW w:w="1464" w:type="dxa"/>
            <w:tcBorders>
              <w:bottom w:val="single" w:sz="12" w:space="0" w:color="auto"/>
            </w:tcBorders>
            <w:shd w:val="clear" w:color="auto" w:fill="auto"/>
            <w:vAlign w:val="bottom"/>
          </w:tcPr>
          <w:p w:rsidR="00320147" w:rsidRPr="00320147" w:rsidRDefault="00320147" w:rsidP="00320147">
            <w:pPr>
              <w:tabs>
                <w:tab w:val="left" w:pos="334"/>
                <w:tab w:val="left" w:pos="669"/>
                <w:tab w:val="left" w:pos="1003"/>
                <w:tab w:val="left" w:pos="1338"/>
              </w:tabs>
              <w:suppressAutoHyphens/>
              <w:spacing w:after="60" w:line="280" w:lineRule="exact"/>
              <w:ind w:right="57"/>
              <w:jc w:val="right"/>
              <w:rPr>
                <w:rFonts w:ascii="Times New Roman"/>
                <w:sz w:val="17"/>
                <w:szCs w:val="18"/>
              </w:rPr>
            </w:pPr>
            <w:r w:rsidRPr="00320147">
              <w:rPr>
                <w:rFonts w:ascii="Times New Roman"/>
                <w:sz w:val="17"/>
                <w:szCs w:val="18"/>
              </w:rPr>
              <w:t>571 164</w:t>
            </w:r>
          </w:p>
        </w:tc>
      </w:tr>
    </w:tbl>
    <w:p w:rsidR="0040370E" w:rsidRPr="0040370E" w:rsidRDefault="0040370E" w:rsidP="0040370E">
      <w:pPr>
        <w:pStyle w:val="SingleTxt"/>
        <w:spacing w:after="0" w:line="120" w:lineRule="exact"/>
        <w:rPr>
          <w:rFonts w:hint="eastAsia"/>
          <w:sz w:val="10"/>
        </w:rPr>
      </w:pPr>
    </w:p>
    <w:p w:rsidR="00D976FC" w:rsidRDefault="00D976FC" w:rsidP="0040370E">
      <w:pPr>
        <w:pStyle w:val="FootnoteText"/>
        <w:tabs>
          <w:tab w:val="clear" w:pos="418"/>
          <w:tab w:val="right" w:pos="1476"/>
          <w:tab w:val="left" w:pos="1548"/>
          <w:tab w:val="right" w:pos="1836"/>
          <w:tab w:val="left" w:pos="1908"/>
        </w:tabs>
        <w:spacing w:after="180"/>
        <w:ind w:left="1548" w:right="1264" w:hanging="289"/>
        <w:rPr>
          <w:rFonts w:hint="eastAsia"/>
        </w:rPr>
      </w:pPr>
      <w:r w:rsidRPr="0040370E">
        <w:rPr>
          <w:rFonts w:ascii="KaiTi_GB2312" w:eastAsia="KaiTi_GB2312" w:hint="eastAsia"/>
        </w:rPr>
        <w:t>资料来源</w:t>
      </w:r>
      <w:r>
        <w:rPr>
          <w:rFonts w:hint="eastAsia"/>
        </w:rPr>
        <w:t>：2006年生活条件监测调查。</w:t>
      </w:r>
    </w:p>
    <w:p w:rsidR="00D976FC" w:rsidRDefault="00D976FC" w:rsidP="0040370E">
      <w:pPr>
        <w:pStyle w:val="SingleTxt"/>
        <w:tabs>
          <w:tab w:val="clear" w:pos="2126"/>
          <w:tab w:val="left" w:pos="1995"/>
        </w:tabs>
        <w:rPr>
          <w:rFonts w:hint="eastAsia"/>
        </w:rPr>
      </w:pPr>
      <w:r>
        <w:rPr>
          <w:rFonts w:hint="eastAsia"/>
        </w:rPr>
        <w:t>2.5.1</w:t>
      </w:r>
      <w:r>
        <w:rPr>
          <w:rFonts w:hint="eastAsia"/>
        </w:rPr>
        <w:tab/>
        <w:t>劳动力参与率这项劳动力市场指标反映经济上活跃人口的比例，可区分经济上活跃人口(就业和失业者)和经济上不活跃人口(学生、操持家务者、领取养老金者和退休人员)。参与率低下表明很大比例的人口没有加入劳动队伍，反之则表明很大比例人口加入劳动队伍。</w:t>
      </w:r>
    </w:p>
    <w:p w:rsidR="00D976FC" w:rsidRDefault="00D976FC" w:rsidP="005F7962">
      <w:pPr>
        <w:pStyle w:val="SingleTxt"/>
        <w:tabs>
          <w:tab w:val="clear" w:pos="2126"/>
          <w:tab w:val="left" w:pos="1995"/>
        </w:tabs>
        <w:spacing w:line="328" w:lineRule="exact"/>
        <w:rPr>
          <w:rFonts w:hint="eastAsia"/>
        </w:rPr>
      </w:pPr>
      <w:r>
        <w:rPr>
          <w:rFonts w:hint="eastAsia"/>
        </w:rPr>
        <w:t>2.5.2</w:t>
      </w:r>
      <w:r>
        <w:rPr>
          <w:rFonts w:hint="eastAsia"/>
        </w:rPr>
        <w:tab/>
        <w:t>如上表所示，赞比亚的整体劳动力参与率是65%。男性的参与率为68%，女性为65%。在农村地区，女性参与率(69%)略高于男性(68%)；而在城市地区，男女之间的参与率差异巨大，男性(67%)高于女性(48%)。</w:t>
      </w:r>
    </w:p>
    <w:p w:rsidR="00D976FC" w:rsidRPr="0040370E" w:rsidRDefault="00D976FC" w:rsidP="005F7962">
      <w:pPr>
        <w:pStyle w:val="SingleTxt"/>
        <w:spacing w:line="328" w:lineRule="exact"/>
        <w:rPr>
          <w:rFonts w:ascii="SimHei" w:eastAsia="SimHei" w:hint="eastAsia"/>
        </w:rPr>
      </w:pPr>
      <w:r w:rsidRPr="0040370E">
        <w:rPr>
          <w:rFonts w:ascii="SimHei" w:eastAsia="SimHei" w:hint="eastAsia"/>
        </w:rPr>
        <w:t>为定期收集和分析数据采取的步骤</w:t>
      </w:r>
    </w:p>
    <w:p w:rsidR="00D976FC" w:rsidRDefault="00D976FC" w:rsidP="005F7962">
      <w:pPr>
        <w:pStyle w:val="SingleTxt"/>
        <w:spacing w:line="328" w:lineRule="exact"/>
        <w:rPr>
          <w:rFonts w:hint="eastAsia"/>
        </w:rPr>
      </w:pPr>
      <w:r>
        <w:rPr>
          <w:rFonts w:hint="eastAsia"/>
        </w:rPr>
        <w:t>2.6</w:t>
      </w:r>
      <w:r>
        <w:rPr>
          <w:rFonts w:hint="eastAsia"/>
        </w:rPr>
        <w:tab/>
        <w:t>赞比亚报告称，中央统计局已采取措施，确保通过开展多组别指标调查工作，定期收集和分析数据，如赞比亚人口健康调查和生活条件监测调查，以便了解妇女的真实情况。</w:t>
      </w:r>
    </w:p>
    <w:p w:rsidR="00D976FC" w:rsidRPr="0040370E" w:rsidRDefault="00D976FC" w:rsidP="005F7962">
      <w:pPr>
        <w:pStyle w:val="SingleTxt"/>
        <w:spacing w:line="328" w:lineRule="exact"/>
        <w:rPr>
          <w:rFonts w:ascii="SimHei" w:eastAsia="SimHei" w:hint="eastAsia"/>
        </w:rPr>
      </w:pPr>
      <w:r w:rsidRPr="0040370E">
        <w:rPr>
          <w:rFonts w:ascii="SimHei" w:eastAsia="SimHei" w:hint="eastAsia"/>
        </w:rPr>
        <w:t>中央数据库</w:t>
      </w:r>
    </w:p>
    <w:p w:rsidR="00D976FC" w:rsidRDefault="00D976FC" w:rsidP="005F7962">
      <w:pPr>
        <w:pStyle w:val="SingleTxt"/>
        <w:spacing w:line="328" w:lineRule="exact"/>
        <w:rPr>
          <w:rFonts w:hint="eastAsia"/>
        </w:rPr>
      </w:pPr>
      <w:r>
        <w:rPr>
          <w:rFonts w:hint="eastAsia"/>
        </w:rPr>
        <w:t>2.7</w:t>
      </w:r>
      <w:r>
        <w:rPr>
          <w:rFonts w:hint="eastAsia"/>
        </w:rPr>
        <w:tab/>
        <w:t>中央统计局尚未建立中央数据库，但正在与政府其他部委合作收集数据。中央统计局计划建立一个国家统计系统，即中央数据库。</w:t>
      </w:r>
    </w:p>
    <w:p w:rsidR="00D976FC" w:rsidRDefault="00D976FC" w:rsidP="005F7962">
      <w:pPr>
        <w:pStyle w:val="SingleTxt"/>
        <w:spacing w:line="328" w:lineRule="exact"/>
        <w:rPr>
          <w:rFonts w:hint="eastAsia"/>
        </w:rPr>
      </w:pPr>
      <w:r>
        <w:rPr>
          <w:rFonts w:hint="eastAsia"/>
        </w:rPr>
        <w:t>3.</w:t>
      </w:r>
      <w:r>
        <w:rPr>
          <w:rFonts w:hint="eastAsia"/>
        </w:rPr>
        <w:tab/>
      </w:r>
      <w:r w:rsidRPr="0040370E">
        <w:rPr>
          <w:rFonts w:ascii="SimHei" w:eastAsia="SimHei" w:hint="eastAsia"/>
        </w:rPr>
        <w:t>委员会前一份结论意见第232段指出：委员会感到关注的是，没有将《公约》直接纳入国内法，而且在法庭上不能直接援引《公约》的规定。该报告第6段表明，赞比亚以若干法律和立法修正案的形式，已将《公约》某些条款纳入赞比亚立法。请提供最新资料说明：缔约国采取或设想了哪些进一步步骤，以把《公约》内容纳入国内法并使其适用于国内法院</w:t>
      </w:r>
      <w:r>
        <w:rPr>
          <w:rFonts w:hint="eastAsia"/>
        </w:rPr>
        <w:t>？</w:t>
      </w:r>
    </w:p>
    <w:p w:rsidR="00D976FC" w:rsidRDefault="005F7962" w:rsidP="005F7962">
      <w:pPr>
        <w:pStyle w:val="SingleTxt"/>
        <w:spacing w:line="328" w:lineRule="exact"/>
        <w:rPr>
          <w:rFonts w:hint="eastAsia"/>
        </w:rPr>
      </w:pPr>
      <w:r>
        <w:rPr>
          <w:rFonts w:hint="eastAsia"/>
        </w:rPr>
        <w:tab/>
      </w:r>
      <w:r w:rsidR="00D976FC">
        <w:rPr>
          <w:rFonts w:hint="eastAsia"/>
        </w:rPr>
        <w:t>委员会在答复就将《公约》内容纳入国内法提出的关切时，不妨注意下述内容；</w:t>
      </w:r>
    </w:p>
    <w:p w:rsidR="00D976FC" w:rsidRPr="005F7962" w:rsidRDefault="00D976FC" w:rsidP="005F7962">
      <w:pPr>
        <w:pStyle w:val="SingleTxt"/>
        <w:spacing w:line="328" w:lineRule="exact"/>
        <w:rPr>
          <w:rFonts w:ascii="SimHei" w:eastAsia="SimHei" w:hint="eastAsia"/>
        </w:rPr>
      </w:pPr>
      <w:r w:rsidRPr="005F7962">
        <w:rPr>
          <w:rFonts w:ascii="SimHei" w:eastAsia="SimHei" w:hint="eastAsia"/>
        </w:rPr>
        <w:t>政策与法律制定工作</w:t>
      </w:r>
    </w:p>
    <w:p w:rsidR="00D976FC" w:rsidRDefault="00D976FC" w:rsidP="005F7962">
      <w:pPr>
        <w:pStyle w:val="SingleTxt"/>
        <w:spacing w:line="328" w:lineRule="exact"/>
        <w:rPr>
          <w:rFonts w:hint="eastAsia"/>
        </w:rPr>
      </w:pPr>
      <w:r>
        <w:rPr>
          <w:rFonts w:hint="eastAsia"/>
        </w:rPr>
        <w:t>3.1</w:t>
      </w:r>
      <w:r>
        <w:rPr>
          <w:rFonts w:hint="eastAsia"/>
        </w:rPr>
        <w:tab/>
        <w:t>缔约国谨报告，政府于2010年启动了一项政策与法律制定工作，目的是查明已经纳入政策和国内法律的《公约》条款。这项工作可为政府提供采取进一步行动所需的信息，以便系统地将《公约》规定纳入国内法。</w:t>
      </w:r>
    </w:p>
    <w:p w:rsidR="00D976FC" w:rsidRPr="005F7962" w:rsidRDefault="00D976FC" w:rsidP="005F7962">
      <w:pPr>
        <w:pStyle w:val="SingleTxt"/>
        <w:spacing w:line="328" w:lineRule="exact"/>
        <w:rPr>
          <w:rFonts w:ascii="SimHei" w:eastAsia="SimHei" w:hint="eastAsia"/>
        </w:rPr>
      </w:pPr>
      <w:r w:rsidRPr="005F7962">
        <w:rPr>
          <w:rFonts w:ascii="SimHei" w:eastAsia="SimHei" w:hint="eastAsia"/>
        </w:rPr>
        <w:t>2010年《赞比亚宪法(修正案)法案》</w:t>
      </w:r>
    </w:p>
    <w:p w:rsidR="00D976FC" w:rsidRDefault="00D976FC" w:rsidP="005F7962">
      <w:pPr>
        <w:pStyle w:val="SingleTxt"/>
        <w:spacing w:line="328" w:lineRule="exact"/>
        <w:rPr>
          <w:rFonts w:hint="eastAsia"/>
        </w:rPr>
      </w:pPr>
      <w:r>
        <w:rPr>
          <w:rFonts w:hint="eastAsia"/>
        </w:rPr>
        <w:t>3.2</w:t>
      </w:r>
      <w:r>
        <w:rPr>
          <w:rFonts w:hint="eastAsia"/>
        </w:rPr>
        <w:tab/>
        <w:t>《法案》主要规定男女应享有平等待遇。它规定国家有义务要求政策和法律确保并促进两性平等。此外，《法案》还要求政府确保弱势群体，包括青年和残疾人，能够全面参与到选举和任免机构以及国家的政治、社会、文化和经济发展中，并确保性别平衡和席位公平分配。此外，它还要求所有政党和公民协会确保弱势群体、青年和残疾人全面参与到其组织及其工作中，并确保性别平衡和任职人数公平分配。《法案》还成立了两性平等委员会，其职责是促进对两性平等的尊重，保护、发展及实现两性平等。</w:t>
      </w:r>
    </w:p>
    <w:p w:rsidR="00D976FC" w:rsidRDefault="005F7962" w:rsidP="005F7962">
      <w:pPr>
        <w:pStyle w:val="SingleTxt"/>
        <w:spacing w:line="328" w:lineRule="exact"/>
        <w:rPr>
          <w:rFonts w:hint="eastAsia"/>
        </w:rPr>
      </w:pPr>
      <w:r>
        <w:rPr>
          <w:rFonts w:hint="eastAsia"/>
        </w:rPr>
        <w:tab/>
      </w:r>
      <w:r w:rsidR="00D976FC">
        <w:rPr>
          <w:rFonts w:hint="eastAsia"/>
        </w:rPr>
        <w:t>如下文所述，《权利法案》尚有待付诸全民投票。</w:t>
      </w:r>
    </w:p>
    <w:p w:rsidR="00D976FC" w:rsidRPr="005F7962" w:rsidRDefault="00D976FC" w:rsidP="005F7962">
      <w:pPr>
        <w:pStyle w:val="SingleTxt"/>
        <w:spacing w:after="120" w:line="316" w:lineRule="exact"/>
        <w:rPr>
          <w:rFonts w:ascii="SimHei" w:eastAsia="SimHei" w:hint="eastAsia"/>
        </w:rPr>
      </w:pPr>
      <w:r w:rsidRPr="005F7962">
        <w:rPr>
          <w:rFonts w:ascii="SimHei" w:eastAsia="SimHei" w:hint="eastAsia"/>
        </w:rPr>
        <w:t>2011年《反对性别暴力法》</w:t>
      </w:r>
    </w:p>
    <w:p w:rsidR="00D976FC" w:rsidRDefault="00D976FC" w:rsidP="005F7962">
      <w:pPr>
        <w:pStyle w:val="SingleTxt"/>
        <w:spacing w:after="120" w:line="316" w:lineRule="exact"/>
        <w:rPr>
          <w:rFonts w:hint="eastAsia"/>
        </w:rPr>
      </w:pPr>
      <w:r>
        <w:rPr>
          <w:rFonts w:hint="eastAsia"/>
        </w:rPr>
        <w:t>3.3</w:t>
      </w:r>
      <w:r>
        <w:rPr>
          <w:rFonts w:hint="eastAsia"/>
        </w:rPr>
        <w:tab/>
        <w:t>议会颁布了性别暴力方面的具体法律，即2011年《反对性别暴力法》。本法将性别暴力定为刑事罪，规定对性别暴力受害者(尤其是家庭暴力中的女性受害者)实施有效保护。该法旨在加强《刑法典》所载条款，及进一步规定对性别暴力受害者/幸存者的保护和补偿。本法还规定了建立受害人庇护所，以免他们再遭受暴力侵害，并为他们提供援助。</w:t>
      </w:r>
    </w:p>
    <w:p w:rsidR="00D976FC" w:rsidRPr="005F7962" w:rsidRDefault="00D976FC" w:rsidP="005F7962">
      <w:pPr>
        <w:pStyle w:val="SingleTxt"/>
        <w:spacing w:after="120" w:line="316" w:lineRule="exact"/>
        <w:rPr>
          <w:rFonts w:ascii="SimHei" w:eastAsia="SimHei" w:hint="eastAsia"/>
        </w:rPr>
      </w:pPr>
      <w:r w:rsidRPr="005F7962">
        <w:rPr>
          <w:rFonts w:ascii="SimHei" w:eastAsia="SimHei" w:hint="eastAsia"/>
        </w:rPr>
        <w:t>2010年《职业拳击和摔跤管制(修正案)法》</w:t>
      </w:r>
    </w:p>
    <w:p w:rsidR="00D976FC" w:rsidRDefault="00D976FC" w:rsidP="005F7962">
      <w:pPr>
        <w:pStyle w:val="SingleTxt"/>
        <w:spacing w:after="120" w:line="316" w:lineRule="exact"/>
        <w:rPr>
          <w:rFonts w:hint="eastAsia"/>
        </w:rPr>
      </w:pPr>
      <w:r>
        <w:rPr>
          <w:rFonts w:hint="eastAsia"/>
        </w:rPr>
        <w:t>3.4</w:t>
      </w:r>
      <w:r>
        <w:rPr>
          <w:rFonts w:hint="eastAsia"/>
        </w:rPr>
        <w:tab/>
        <w:t>在《职业拳击和摔跤管制法》第159章修正案颁布前，赞比亚职业拳击和摔跤委员会只允许男性登记为拳击手或摔跤手。2010年《职业拳击和摔跤管制(修正案)法》允许委员会登记女性拳击手或摔跤手。</w:t>
      </w:r>
    </w:p>
    <w:p w:rsidR="00D976FC" w:rsidRPr="005F7962" w:rsidRDefault="00D976FC" w:rsidP="005F7962">
      <w:pPr>
        <w:pStyle w:val="SingleTxt"/>
        <w:spacing w:after="120" w:line="316" w:lineRule="exact"/>
        <w:rPr>
          <w:rFonts w:ascii="SimHei" w:eastAsia="SimHei" w:hint="eastAsia"/>
        </w:rPr>
      </w:pPr>
      <w:r w:rsidRPr="005F7962">
        <w:rPr>
          <w:rFonts w:ascii="SimHei" w:eastAsia="SimHei" w:hint="eastAsia"/>
        </w:rPr>
        <w:t>2006年《增强公民经济权能法》</w:t>
      </w:r>
    </w:p>
    <w:p w:rsidR="00D976FC" w:rsidRDefault="00D976FC" w:rsidP="005F7962">
      <w:pPr>
        <w:pStyle w:val="SingleTxt"/>
        <w:spacing w:after="120" w:line="316" w:lineRule="exact"/>
        <w:rPr>
          <w:rFonts w:hint="eastAsia"/>
        </w:rPr>
      </w:pPr>
      <w:r>
        <w:rPr>
          <w:rFonts w:hint="eastAsia"/>
        </w:rPr>
        <w:t>3.5</w:t>
      </w:r>
      <w:r>
        <w:rPr>
          <w:rFonts w:hint="eastAsia"/>
        </w:rPr>
        <w:tab/>
        <w:t>2010年修订了获取增强经济权能基金的资格标准，即删除了提供12 000美元贷款担保的要求，以帮助女性创业者获得公民增强经济权能基金。</w:t>
      </w:r>
    </w:p>
    <w:p w:rsidR="00D976FC" w:rsidRPr="005F7962" w:rsidRDefault="00D976FC" w:rsidP="005F7962">
      <w:pPr>
        <w:pStyle w:val="SingleTxt"/>
        <w:spacing w:after="120" w:line="316" w:lineRule="exact"/>
        <w:rPr>
          <w:rFonts w:ascii="SimHei" w:eastAsia="SimHei" w:hint="eastAsia"/>
        </w:rPr>
      </w:pPr>
      <w:r w:rsidRPr="005F7962">
        <w:rPr>
          <w:rFonts w:ascii="SimHei" w:eastAsia="SimHei" w:hint="eastAsia"/>
        </w:rPr>
        <w:t>2008年《打击人口贩运法》</w:t>
      </w:r>
    </w:p>
    <w:p w:rsidR="00D976FC" w:rsidRDefault="00D976FC" w:rsidP="005F7962">
      <w:pPr>
        <w:pStyle w:val="SingleTxt"/>
        <w:spacing w:after="120" w:line="316" w:lineRule="exact"/>
        <w:rPr>
          <w:rFonts w:hint="eastAsia"/>
        </w:rPr>
      </w:pPr>
      <w:r>
        <w:rPr>
          <w:rFonts w:hint="eastAsia"/>
        </w:rPr>
        <w:t>3.6</w:t>
      </w:r>
      <w:r>
        <w:rPr>
          <w:rFonts w:hint="eastAsia"/>
        </w:rPr>
        <w:tab/>
        <w:t>2008年《打击人口贩运法》的颁布强化了人口贩运方面的规定。此前，只有《刑法典》拥有人口贩运方面的罪行规定，但也只涉及儿童贩运。本法扩大了条款，并对禁止、预防和起诉所有人口贩运行为做出规定。本法还规定建立人口贩运受害人中心和将《联合国打击跨国有组织犯罪公约关于预防、禁止和惩治贩运人口特别是妇女和儿童行为的补充议定书》纳入国内法。</w:t>
      </w:r>
    </w:p>
    <w:p w:rsidR="00D976FC" w:rsidRPr="005F7962" w:rsidRDefault="00D976FC" w:rsidP="005F7962">
      <w:pPr>
        <w:pStyle w:val="SingleTxt"/>
        <w:spacing w:after="120" w:line="316" w:lineRule="exact"/>
        <w:rPr>
          <w:rFonts w:ascii="SimHei" w:eastAsia="SimHei" w:hint="eastAsia"/>
        </w:rPr>
      </w:pPr>
      <w:r w:rsidRPr="005F7962">
        <w:rPr>
          <w:rFonts w:ascii="SimHei" w:eastAsia="SimHei" w:hint="eastAsia"/>
        </w:rPr>
        <w:t>2011年《教育法》</w:t>
      </w:r>
    </w:p>
    <w:p w:rsidR="00D976FC" w:rsidRDefault="00D976FC" w:rsidP="005F7962">
      <w:pPr>
        <w:pStyle w:val="SingleTxt"/>
        <w:spacing w:after="120" w:line="316" w:lineRule="exact"/>
        <w:rPr>
          <w:rFonts w:hint="eastAsia"/>
        </w:rPr>
      </w:pPr>
      <w:r>
        <w:rPr>
          <w:rFonts w:hint="eastAsia"/>
        </w:rPr>
        <w:t>3.7</w:t>
      </w:r>
      <w:r>
        <w:rPr>
          <w:rFonts w:hint="eastAsia"/>
        </w:rPr>
        <w:tab/>
        <w:t>2011年《教育法》规定，教育部有义务促进各级在入学、接受教育和顺利完成学业方面保持公平，无论性别、社会阶层和残疾状况为何。本法还要求教育委员会或管理委员会履行其职责：制定和实施促进各级学校入学和接受教育机会平等计划。本法还规定教育委员会或管理委员会有责任确保教育机构的课程和相关教材有助于促进两性平等。本法规定必须将性别问题和促进两性平等的方法纳入教师的任职前培训和在职培训。本法还鼓励教育部向男女学者提供教育机会。</w:t>
      </w:r>
    </w:p>
    <w:p w:rsidR="00D976FC" w:rsidRPr="005F7962" w:rsidRDefault="00D976FC" w:rsidP="005F7962">
      <w:pPr>
        <w:pStyle w:val="SingleTxt"/>
        <w:spacing w:after="120" w:line="316" w:lineRule="exact"/>
        <w:rPr>
          <w:rFonts w:ascii="SimHei" w:eastAsia="SimHei" w:hint="eastAsia"/>
        </w:rPr>
      </w:pPr>
      <w:r w:rsidRPr="005F7962">
        <w:rPr>
          <w:rFonts w:ascii="SimHei" w:eastAsia="SimHei" w:hint="eastAsia"/>
        </w:rPr>
        <w:t>宪法、立法和体制框架</w:t>
      </w:r>
    </w:p>
    <w:p w:rsidR="00D976FC" w:rsidRDefault="00D976FC" w:rsidP="005F7962">
      <w:pPr>
        <w:pStyle w:val="SingleTxt"/>
        <w:spacing w:after="120" w:line="316" w:lineRule="exact"/>
        <w:rPr>
          <w:rFonts w:hint="eastAsia"/>
        </w:rPr>
      </w:pPr>
      <w:r>
        <w:rPr>
          <w:rFonts w:hint="eastAsia"/>
        </w:rPr>
        <w:t>4.</w:t>
      </w:r>
      <w:r>
        <w:rPr>
          <w:rFonts w:hint="eastAsia"/>
        </w:rPr>
        <w:tab/>
      </w:r>
      <w:r w:rsidRPr="005F7962">
        <w:rPr>
          <w:rFonts w:ascii="SimHei" w:eastAsia="SimHei" w:hint="eastAsia"/>
        </w:rPr>
        <w:t>根据该报告(第23段)，在法律框架内并未对歧视妇女一词做出明确规定。请说明：缔约国是否考虑在《宪法》或其他有关立法中列入歧视的定义？按照《公约》第1条，定义中既包括直接歧视、又包括间接歧视，按照第2条，并延伸到由公共和私营行为者实施的歧视行为</w:t>
      </w:r>
      <w:r>
        <w:rPr>
          <w:rFonts w:hint="eastAsia"/>
        </w:rPr>
        <w:t>。</w:t>
      </w:r>
    </w:p>
    <w:p w:rsidR="00D976FC" w:rsidRDefault="005F7962" w:rsidP="005F7962">
      <w:pPr>
        <w:pStyle w:val="SingleTxt"/>
        <w:spacing w:after="120" w:line="316" w:lineRule="exact"/>
        <w:rPr>
          <w:rFonts w:hint="eastAsia"/>
        </w:rPr>
      </w:pPr>
      <w:r>
        <w:rPr>
          <w:rFonts w:hint="eastAsia"/>
        </w:rPr>
        <w:tab/>
      </w:r>
      <w:r w:rsidR="00D976FC">
        <w:rPr>
          <w:rFonts w:hint="eastAsia"/>
        </w:rPr>
        <w:t>目前没有将“歧视妇女”一词的定义纳入赞比亚法律的计划。《赞比亚宪法》，赞比亚法律第一章给出了“歧视”一词的定义，鉴于其涵盖了歧视的所有方面，因而是适当的。</w:t>
      </w:r>
    </w:p>
    <w:p w:rsidR="00D976FC" w:rsidRDefault="00D976FC" w:rsidP="005F7962">
      <w:pPr>
        <w:pStyle w:val="SingleTxt"/>
        <w:spacing w:after="120"/>
        <w:rPr>
          <w:rFonts w:hint="eastAsia"/>
        </w:rPr>
      </w:pPr>
      <w:r>
        <w:rPr>
          <w:rFonts w:hint="eastAsia"/>
        </w:rPr>
        <w:t>5.</w:t>
      </w:r>
      <w:r>
        <w:rPr>
          <w:rFonts w:hint="eastAsia"/>
        </w:rPr>
        <w:tab/>
      </w:r>
      <w:r w:rsidRPr="005F7962">
        <w:rPr>
          <w:rFonts w:ascii="SimHei" w:eastAsia="SimHei" w:hint="eastAsia"/>
        </w:rPr>
        <w:t>按照该报告第26和27段，政府于2003年8月设立了宪法审查委员会，除其他外，审查被认为具有歧视性的《宪法》条文，并建议加以删除；审查《宪法》中应在多大程度上讨论性别平等问题并就此提出建议。报告还指出，2005年，宪法审查委员会同时向政府和公众提交了建议及《宪法》草案。请详细说明在《宪法》审查程序范畴内取得的进展情况</w:t>
      </w:r>
      <w:r>
        <w:rPr>
          <w:rFonts w:hint="eastAsia"/>
        </w:rPr>
        <w:t>。</w:t>
      </w:r>
    </w:p>
    <w:p w:rsidR="00D976FC" w:rsidRDefault="00D976FC" w:rsidP="005F7962">
      <w:pPr>
        <w:pStyle w:val="SingleTxt"/>
        <w:spacing w:after="120"/>
        <w:rPr>
          <w:rFonts w:hint="eastAsia"/>
        </w:rPr>
      </w:pPr>
      <w:r>
        <w:rPr>
          <w:rFonts w:hint="eastAsia"/>
        </w:rPr>
        <w:t>5.1</w:t>
      </w:r>
      <w:r w:rsidR="005F7962">
        <w:rPr>
          <w:rFonts w:hint="eastAsia"/>
        </w:rPr>
        <w:tab/>
      </w:r>
      <w:r>
        <w:rPr>
          <w:rFonts w:hint="eastAsia"/>
        </w:rPr>
        <w:t>缔约国谨报告，除其他外，Mung</w:t>
      </w:r>
      <w:r w:rsidRPr="005F7962">
        <w:rPr>
          <w:rFonts w:ascii="Times New Roman"/>
        </w:rPr>
        <w:t>'</w:t>
      </w:r>
      <w:r>
        <w:rPr>
          <w:rFonts w:hint="eastAsia"/>
        </w:rPr>
        <w:t>omba宪法审查委员会建议《宪法》应获得制宪议会、制宪会议或者任一民众机构通过。作为对该建议的回应，缔约国颁布了2007年第19号《国家制宪会议法》，成立了全国制宪会议，以便：</w:t>
      </w:r>
    </w:p>
    <w:p w:rsidR="00D976FC" w:rsidRDefault="005F7962" w:rsidP="005F7962">
      <w:pPr>
        <w:pStyle w:val="SingleTxt"/>
        <w:spacing w:after="120"/>
        <w:rPr>
          <w:rFonts w:hint="eastAsia"/>
        </w:rPr>
      </w:pPr>
      <w:r>
        <w:rPr>
          <w:rFonts w:hint="eastAsia"/>
        </w:rPr>
        <w:tab/>
      </w:r>
      <w:r w:rsidR="00D976FC">
        <w:rPr>
          <w:rFonts w:hint="eastAsia"/>
        </w:rPr>
        <w:t>(a)</w:t>
      </w:r>
      <w:r w:rsidR="00D976FC">
        <w:rPr>
          <w:rFonts w:hint="eastAsia"/>
        </w:rPr>
        <w:tab/>
        <w:t>审议报告条文和Mung</w:t>
      </w:r>
      <w:r w:rsidR="00D976FC" w:rsidRPr="005F7962">
        <w:rPr>
          <w:rFonts w:ascii="Times New Roman"/>
        </w:rPr>
        <w:t>'</w:t>
      </w:r>
      <w:r w:rsidR="00D976FC">
        <w:rPr>
          <w:rFonts w:hint="eastAsia"/>
        </w:rPr>
        <w:t>omba宪法审查委员会的《宪法》草案；</w:t>
      </w:r>
    </w:p>
    <w:p w:rsidR="00D976FC" w:rsidRDefault="005F7962" w:rsidP="005F7962">
      <w:pPr>
        <w:pStyle w:val="SingleTxt"/>
        <w:spacing w:after="120"/>
        <w:rPr>
          <w:rFonts w:hint="eastAsia"/>
        </w:rPr>
      </w:pPr>
      <w:r>
        <w:rPr>
          <w:rFonts w:hint="eastAsia"/>
        </w:rPr>
        <w:tab/>
      </w:r>
      <w:r w:rsidR="00D976FC">
        <w:rPr>
          <w:rFonts w:hint="eastAsia"/>
        </w:rPr>
        <w:t>(b)</w:t>
      </w:r>
      <w:r w:rsidR="00D976FC">
        <w:rPr>
          <w:rFonts w:hint="eastAsia"/>
        </w:rPr>
        <w:tab/>
        <w:t>通过全部或部分《宪法》草案；和</w:t>
      </w:r>
    </w:p>
    <w:p w:rsidR="00D976FC" w:rsidRDefault="005F7962" w:rsidP="005F7962">
      <w:pPr>
        <w:pStyle w:val="SingleTxt"/>
        <w:spacing w:after="120"/>
        <w:rPr>
          <w:rFonts w:hint="eastAsia"/>
        </w:rPr>
      </w:pPr>
      <w:r>
        <w:rPr>
          <w:rFonts w:hint="eastAsia"/>
        </w:rPr>
        <w:tab/>
      </w:r>
      <w:r w:rsidR="00D976FC">
        <w:rPr>
          <w:rFonts w:hint="eastAsia"/>
        </w:rPr>
        <w:t>(c)</w:t>
      </w:r>
      <w:r w:rsidR="00D976FC">
        <w:rPr>
          <w:rFonts w:hint="eastAsia"/>
        </w:rPr>
        <w:tab/>
        <w:t>将通过的全部或部分《宪法》草案提交司法部，以供呈递议会或提交后由公民投票。</w:t>
      </w:r>
    </w:p>
    <w:p w:rsidR="00D976FC" w:rsidRDefault="00D976FC" w:rsidP="005F7962">
      <w:pPr>
        <w:pStyle w:val="SingleTxt"/>
        <w:spacing w:after="120"/>
        <w:rPr>
          <w:rFonts w:hint="eastAsia"/>
        </w:rPr>
      </w:pPr>
      <w:r>
        <w:rPr>
          <w:rFonts w:hint="eastAsia"/>
        </w:rPr>
        <w:t>5.2</w:t>
      </w:r>
      <w:r>
        <w:rPr>
          <w:rFonts w:hint="eastAsia"/>
        </w:rPr>
        <w:tab/>
        <w:t>全国制宪会议于2007年12月至2010年8月间举行会议。随后，编制了一份报告和《宪法》草案，于2010年8月提交司法部，以供呈递议会和/或提交后由公民投票。</w:t>
      </w:r>
    </w:p>
    <w:p w:rsidR="00D976FC" w:rsidRDefault="00D976FC" w:rsidP="005F7962">
      <w:pPr>
        <w:pStyle w:val="SingleTxt"/>
        <w:spacing w:after="120"/>
        <w:rPr>
          <w:rFonts w:hint="eastAsia"/>
        </w:rPr>
      </w:pPr>
      <w:r>
        <w:rPr>
          <w:rFonts w:hint="eastAsia"/>
        </w:rPr>
        <w:t>5.3</w:t>
      </w:r>
      <w:r>
        <w:rPr>
          <w:rFonts w:hint="eastAsia"/>
        </w:rPr>
        <w:tab/>
        <w:t>根据《赞比亚宪法》，赞比亚法律第一章，可采取以下两种方法修改《宪法》：</w:t>
      </w:r>
    </w:p>
    <w:p w:rsidR="00D976FC" w:rsidRDefault="005F7962" w:rsidP="005F7962">
      <w:pPr>
        <w:pStyle w:val="SingleTxt"/>
        <w:spacing w:after="120"/>
        <w:rPr>
          <w:rFonts w:hint="eastAsia"/>
        </w:rPr>
      </w:pPr>
      <w:r>
        <w:rPr>
          <w:rFonts w:hint="eastAsia"/>
        </w:rPr>
        <w:tab/>
      </w:r>
      <w:r w:rsidR="00D976FC">
        <w:rPr>
          <w:rFonts w:hint="eastAsia"/>
        </w:rPr>
        <w:t>(a)</w:t>
      </w:r>
      <w:r w:rsidR="00D976FC">
        <w:rPr>
          <w:rFonts w:hint="eastAsia"/>
        </w:rPr>
        <w:tab/>
        <w:t>提议变更《权利法案》和《宪法》修改方式的法案如满足以下标准，即可通过：</w:t>
      </w:r>
    </w:p>
    <w:p w:rsidR="00D976FC" w:rsidRDefault="005F7962" w:rsidP="005F7962">
      <w:pPr>
        <w:pStyle w:val="SingleTxt"/>
        <w:spacing w:after="120"/>
        <w:ind w:left="1695"/>
        <w:rPr>
          <w:rFonts w:hint="eastAsia"/>
        </w:rPr>
      </w:pPr>
      <w:r>
        <w:rPr>
          <w:rFonts w:hAnsi="SimSun" w:hint="eastAsia"/>
        </w:rPr>
        <w:t>㈠</w:t>
      </w:r>
      <w:r w:rsidR="00D976FC">
        <w:rPr>
          <w:rFonts w:hint="eastAsia"/>
        </w:rPr>
        <w:tab/>
        <w:t>法案在公报上发布时间不少于三十(30)天；</w:t>
      </w:r>
    </w:p>
    <w:p w:rsidR="00D976FC" w:rsidRDefault="005F7962" w:rsidP="005F7962">
      <w:pPr>
        <w:pStyle w:val="SingleTxt"/>
        <w:spacing w:after="120"/>
        <w:ind w:left="1695"/>
        <w:rPr>
          <w:rFonts w:hint="eastAsia"/>
        </w:rPr>
      </w:pPr>
      <w:r>
        <w:rPr>
          <w:rFonts w:hAnsi="SimSun" w:hint="eastAsia"/>
        </w:rPr>
        <w:t>㈡</w:t>
      </w:r>
      <w:r w:rsidR="00D976FC">
        <w:rPr>
          <w:rFonts w:hint="eastAsia"/>
        </w:rPr>
        <w:tab/>
        <w:t>在国民议会进行一读前，法案应先付诸全民投票，参加投票的人数不得少于有资格参与总统和议会选举人数的50%。</w:t>
      </w:r>
    </w:p>
    <w:p w:rsidR="00D976FC" w:rsidRDefault="005F7962" w:rsidP="005F7962">
      <w:pPr>
        <w:pStyle w:val="SingleTxt"/>
        <w:spacing w:after="120"/>
        <w:rPr>
          <w:rFonts w:hint="eastAsia"/>
        </w:rPr>
      </w:pPr>
      <w:r>
        <w:rPr>
          <w:rFonts w:hint="eastAsia"/>
        </w:rPr>
        <w:tab/>
      </w:r>
      <w:r w:rsidR="00D976FC">
        <w:rPr>
          <w:rFonts w:hint="eastAsia"/>
        </w:rPr>
        <w:t>(b)</w:t>
      </w:r>
      <w:r w:rsidR="00D976FC">
        <w:rPr>
          <w:rFonts w:hint="eastAsia"/>
        </w:rPr>
        <w:tab/>
        <w:t>更改《宪法》其他部分的法案如满足以下标准，即可通过：</w:t>
      </w:r>
    </w:p>
    <w:p w:rsidR="00D976FC" w:rsidRDefault="005F7962" w:rsidP="005F7962">
      <w:pPr>
        <w:pStyle w:val="SingleTxt"/>
        <w:spacing w:after="120"/>
        <w:ind w:left="1695"/>
        <w:rPr>
          <w:rFonts w:hint="eastAsia"/>
        </w:rPr>
      </w:pPr>
      <w:r>
        <w:rPr>
          <w:rFonts w:hAnsi="SimSun" w:hint="eastAsia"/>
        </w:rPr>
        <w:t>㈠</w:t>
      </w:r>
      <w:r w:rsidR="00D976FC">
        <w:rPr>
          <w:rFonts w:hint="eastAsia"/>
        </w:rPr>
        <w:tab/>
        <w:t>法案在公报上发布时间不少于三十(30)天；</w:t>
      </w:r>
    </w:p>
    <w:p w:rsidR="00D976FC" w:rsidRDefault="005F7962" w:rsidP="005F7962">
      <w:pPr>
        <w:pStyle w:val="SingleTxt"/>
        <w:spacing w:after="120"/>
        <w:ind w:left="1695"/>
        <w:rPr>
          <w:rFonts w:hint="eastAsia"/>
        </w:rPr>
      </w:pPr>
      <w:r>
        <w:rPr>
          <w:rFonts w:hAnsi="SimSun" w:hint="eastAsia"/>
        </w:rPr>
        <w:t>㈡</w:t>
      </w:r>
      <w:r w:rsidR="00D976FC">
        <w:rPr>
          <w:rFonts w:hint="eastAsia"/>
        </w:rPr>
        <w:tab/>
        <w:t>在国民议会进行二读和三读时，需获得不少于全体议会成员三分之二的赞成票。</w:t>
      </w:r>
    </w:p>
    <w:p w:rsidR="00D976FC" w:rsidRDefault="00D976FC" w:rsidP="005F7962">
      <w:pPr>
        <w:pStyle w:val="SingleTxt"/>
        <w:spacing w:after="120"/>
        <w:rPr>
          <w:rFonts w:hint="eastAsia"/>
        </w:rPr>
      </w:pPr>
      <w:r>
        <w:rPr>
          <w:rFonts w:hint="eastAsia"/>
        </w:rPr>
        <w:t>5.4</w:t>
      </w:r>
      <w:r>
        <w:rPr>
          <w:rFonts w:hint="eastAsia"/>
        </w:rPr>
        <w:tab/>
        <w:t>由于2010年《宪法法案草案》的某些部分提议更改《权利法案》和《宪法》修改方式，这些部分还需经过全民投票。全面投票的日期将在晚些时候公布。</w:t>
      </w:r>
    </w:p>
    <w:p w:rsidR="00D976FC" w:rsidRDefault="00D976FC" w:rsidP="005F7962">
      <w:pPr>
        <w:pStyle w:val="SingleTxt"/>
        <w:spacing w:after="120"/>
        <w:rPr>
          <w:rFonts w:hint="eastAsia"/>
        </w:rPr>
      </w:pPr>
      <w:r>
        <w:rPr>
          <w:rFonts w:hint="eastAsia"/>
        </w:rPr>
        <w:t>5.5</w:t>
      </w:r>
      <w:r>
        <w:rPr>
          <w:rFonts w:hint="eastAsia"/>
        </w:rPr>
        <w:tab/>
        <w:t>去年某些时候，在议会上首次提出了修改《宪法》其他部分的法案，但在二读时，议会未能获得所需的全体议会成员三分之二(2/3)赞成票。</w:t>
      </w:r>
    </w:p>
    <w:p w:rsidR="00D976FC" w:rsidRDefault="00D976FC" w:rsidP="005F7962">
      <w:pPr>
        <w:pStyle w:val="SingleTxt"/>
        <w:spacing w:after="120"/>
        <w:rPr>
          <w:rFonts w:hint="eastAsia"/>
        </w:rPr>
      </w:pPr>
      <w:r>
        <w:rPr>
          <w:rFonts w:hint="eastAsia"/>
        </w:rPr>
        <w:t>5.6</w:t>
      </w:r>
      <w:r>
        <w:rPr>
          <w:rFonts w:hint="eastAsia"/>
        </w:rPr>
        <w:tab/>
        <w:t>政府可在自2011年3月29日起的六个月内重新向议会提出该法案。</w:t>
      </w:r>
    </w:p>
    <w:p w:rsidR="00D976FC" w:rsidRPr="00690919" w:rsidRDefault="00D976FC" w:rsidP="00D976FC">
      <w:pPr>
        <w:pStyle w:val="SingleTxt"/>
        <w:rPr>
          <w:rFonts w:hint="eastAsia"/>
          <w:spacing w:val="2"/>
        </w:rPr>
      </w:pPr>
      <w:r>
        <w:rPr>
          <w:rFonts w:hint="eastAsia"/>
        </w:rPr>
        <w:t>6.</w:t>
      </w:r>
      <w:r>
        <w:rPr>
          <w:rFonts w:hint="eastAsia"/>
        </w:rPr>
        <w:tab/>
      </w:r>
      <w:r w:rsidRPr="00690919">
        <w:rPr>
          <w:rFonts w:ascii="SimHei" w:eastAsia="SimHei" w:hint="eastAsia"/>
          <w:spacing w:val="2"/>
        </w:rPr>
        <w:t>委员会在上一份的结论意见(第230段)中，对《宪法》中自相矛盾的规定表示关切，其中第11条保障妇女的平等地位。但第23(4)条允许属人法领域存在歧视性法律，即；收入分配、领养子女、婚姻、离婚、埋葬、死亡后财产移交、或者与任何事项有关的属人法和习惯法的其他事项。请说明缔约国是否按照委员会先前的建议、正在考虑废除第23(4)条(包括在《宪法》审查工作范畴内这样做)</w:t>
      </w:r>
      <w:r w:rsidRPr="00690919">
        <w:rPr>
          <w:rFonts w:hint="eastAsia"/>
          <w:spacing w:val="2"/>
        </w:rPr>
        <w:t>？</w:t>
      </w:r>
    </w:p>
    <w:p w:rsidR="00D976FC" w:rsidRDefault="005F7962" w:rsidP="00D976FC">
      <w:pPr>
        <w:pStyle w:val="SingleTxt"/>
        <w:rPr>
          <w:rFonts w:hint="eastAsia"/>
        </w:rPr>
      </w:pPr>
      <w:r>
        <w:rPr>
          <w:rFonts w:hint="eastAsia"/>
        </w:rPr>
        <w:tab/>
      </w:r>
      <w:r w:rsidR="00D976FC">
        <w:rPr>
          <w:rFonts w:hint="eastAsia"/>
        </w:rPr>
        <w:t>缔约国认为2010年《宪法草案》已做了类似规定；但赞比亚人民必须决定是否在拟议的全民投票中保留该条款。</w:t>
      </w:r>
    </w:p>
    <w:p w:rsidR="00D976FC" w:rsidRPr="005F7962" w:rsidRDefault="00D976FC" w:rsidP="00D976FC">
      <w:pPr>
        <w:pStyle w:val="SingleTxt"/>
        <w:rPr>
          <w:rFonts w:ascii="SimHei" w:eastAsia="SimHei" w:hint="eastAsia"/>
        </w:rPr>
      </w:pPr>
      <w:r w:rsidRPr="005F7962">
        <w:rPr>
          <w:rFonts w:ascii="SimHei" w:eastAsia="SimHei" w:hint="eastAsia"/>
        </w:rPr>
        <w:t>促进提高妇女地位的国家机构</w:t>
      </w:r>
    </w:p>
    <w:p w:rsidR="00D976FC" w:rsidRDefault="00D976FC" w:rsidP="00D976FC">
      <w:pPr>
        <w:pStyle w:val="SingleTxt"/>
        <w:rPr>
          <w:rFonts w:hint="eastAsia"/>
        </w:rPr>
      </w:pPr>
      <w:r>
        <w:rPr>
          <w:rFonts w:hint="eastAsia"/>
        </w:rPr>
        <w:t>7.</w:t>
      </w:r>
      <w:r>
        <w:rPr>
          <w:rFonts w:hint="eastAsia"/>
        </w:rPr>
        <w:tab/>
      </w:r>
      <w:r w:rsidRPr="005F7962">
        <w:rPr>
          <w:rFonts w:ascii="SimHei" w:eastAsia="SimHei" w:hint="eastAsia"/>
        </w:rPr>
        <w:t>在上一份结论意见中(第227段)，委员会欢迎在总统办公厅下设立男女平等参与发展司。请提供有关该司的最新资料，包括其资源情况，并说明：它是否有权就政府所有政策对妇女的影响提出意见、全面监测妇女处境、帮助制定新政策以及有效执行消除歧视战略和措施</w:t>
      </w:r>
      <w:r>
        <w:rPr>
          <w:rFonts w:hint="eastAsia"/>
        </w:rPr>
        <w:t>。</w:t>
      </w:r>
    </w:p>
    <w:p w:rsidR="00D976FC" w:rsidRDefault="00D976FC" w:rsidP="00D976FC">
      <w:pPr>
        <w:pStyle w:val="SingleTxt"/>
        <w:rPr>
          <w:rFonts w:hint="eastAsia"/>
        </w:rPr>
      </w:pPr>
      <w:r>
        <w:rPr>
          <w:rFonts w:hint="eastAsia"/>
        </w:rPr>
        <w:t>7.1</w:t>
      </w:r>
      <w:r>
        <w:rPr>
          <w:rFonts w:hint="eastAsia"/>
        </w:rPr>
        <w:tab/>
        <w:t>男女平等参与发展司隶属内阁办公室(最高级别政府机构)，有权就政府部门和机构的所有政策对妇女的影响向其提出建议。该机构还负责从社会性别角度监测、协调和评估所有政府政策和方案的执行情况。它还就新出现的社会性别问题向政府提供政策意见。该司旨在确保在所有政府部委和机构中将性别与发展方案的执行工作制度化。</w:t>
      </w:r>
    </w:p>
    <w:p w:rsidR="00D976FC" w:rsidRDefault="00D976FC" w:rsidP="00D976FC">
      <w:pPr>
        <w:pStyle w:val="SingleTxt"/>
        <w:rPr>
          <w:rFonts w:hint="eastAsia"/>
        </w:rPr>
      </w:pPr>
      <w:r>
        <w:rPr>
          <w:rFonts w:hint="eastAsia"/>
        </w:rPr>
        <w:t>7.2</w:t>
      </w:r>
      <w:r>
        <w:rPr>
          <w:rFonts w:hint="eastAsia"/>
        </w:rPr>
        <w:tab/>
        <w:t>通过建立性别与妇女发展部长办公室该司得到进一步强化，从而能够有效地为内阁关于男女平等问题的工作提供技术指导。随着性别与妇女发展部长办公室的成立，投入国家性别机制的资金增加了一倍以上。此外，男女平等参与发展司是内阁办公室内唯一拥有直接预算项目的司级单位。</w:t>
      </w:r>
    </w:p>
    <w:p w:rsidR="00D976FC" w:rsidRDefault="00D976FC" w:rsidP="00D976FC">
      <w:pPr>
        <w:pStyle w:val="SingleTxt"/>
        <w:rPr>
          <w:rFonts w:hint="eastAsia"/>
        </w:rPr>
      </w:pPr>
      <w:r>
        <w:rPr>
          <w:rFonts w:hint="eastAsia"/>
        </w:rPr>
        <w:t>8.</w:t>
      </w:r>
      <w:r>
        <w:rPr>
          <w:rFonts w:hint="eastAsia"/>
        </w:rPr>
        <w:tab/>
      </w:r>
      <w:r w:rsidRPr="005F7962">
        <w:rPr>
          <w:rFonts w:ascii="SimHei" w:eastAsia="SimHei" w:hint="eastAsia"/>
        </w:rPr>
        <w:t>该报告第55(a)段提到继续执行分别于2000年和2004年获得通过的《国家性别政策》和《行动战略计划》，以加速提高妇女地位。请说明评估这些政策和行动的情况，以及它们对男女在《公约》所涉所有领域切实实现平等的影响</w:t>
      </w:r>
      <w:r>
        <w:rPr>
          <w:rFonts w:hint="eastAsia"/>
        </w:rPr>
        <w:t>。</w:t>
      </w:r>
    </w:p>
    <w:p w:rsidR="00D976FC" w:rsidRDefault="005F7962" w:rsidP="00690919">
      <w:pPr>
        <w:pStyle w:val="SingleTxt"/>
        <w:spacing w:line="324" w:lineRule="exact"/>
        <w:rPr>
          <w:rFonts w:hint="eastAsia"/>
        </w:rPr>
      </w:pPr>
      <w:r>
        <w:rPr>
          <w:rFonts w:hint="eastAsia"/>
        </w:rPr>
        <w:tab/>
      </w:r>
      <w:r w:rsidR="00D976FC">
        <w:rPr>
          <w:rFonts w:hint="eastAsia"/>
        </w:rPr>
        <w:t>为加速提高妇女地位，分别于2000年和2004年通过了《国家性别政策》及其《行动战略计划》。政府对这两份文件的执行情况开展了多次评价工作，结果显示在提高妇女地位方面，进展缓慢，且在各部门间不平衡。为此，政府着手对《国家性别政策》进行一次全面审查，并评价其影响。这项工作可为政府的政策修订计划提供必要信息，及为政策执行进程提供指导。</w:t>
      </w:r>
    </w:p>
    <w:p w:rsidR="00D976FC" w:rsidRPr="005F7962" w:rsidRDefault="00D976FC" w:rsidP="00D976FC">
      <w:pPr>
        <w:pStyle w:val="SingleTxt"/>
        <w:rPr>
          <w:rFonts w:ascii="SimHei" w:eastAsia="SimHei" w:hint="eastAsia"/>
        </w:rPr>
      </w:pPr>
      <w:r w:rsidRPr="005F7962">
        <w:rPr>
          <w:rFonts w:ascii="SimHei" w:eastAsia="SimHei" w:hint="eastAsia"/>
        </w:rPr>
        <w:t>定型观念和文化习俗</w:t>
      </w:r>
    </w:p>
    <w:p w:rsidR="00D976FC" w:rsidRDefault="00D976FC" w:rsidP="00D976FC">
      <w:pPr>
        <w:pStyle w:val="SingleTxt"/>
        <w:rPr>
          <w:rFonts w:hint="eastAsia"/>
        </w:rPr>
      </w:pPr>
      <w:r>
        <w:rPr>
          <w:rFonts w:hint="eastAsia"/>
        </w:rPr>
        <w:t>9.</w:t>
      </w:r>
      <w:r>
        <w:rPr>
          <w:rFonts w:hint="eastAsia"/>
        </w:rPr>
        <w:tab/>
      </w:r>
      <w:r w:rsidRPr="005F7962">
        <w:rPr>
          <w:rFonts w:ascii="SimHei" w:eastAsia="SimHei" w:hint="eastAsia"/>
          <w:spacing w:val="2"/>
        </w:rPr>
        <w:t>报告第45段指出，赞比亚法律发展委员会于2003年着手进行一项有关重述习惯法的研究报告。总的目标是要确定当前的习惯法，以及这种习惯法与赞比亚当前在社会-政治和经济方面的价值观相一致。缔约国称，此项研究将确保处理关于性别角色的定型观念问题，从而加以消除。请详细说明就此项研究采取的措施</w:t>
      </w:r>
      <w:r>
        <w:rPr>
          <w:rFonts w:hint="eastAsia"/>
        </w:rPr>
        <w:t>。</w:t>
      </w:r>
    </w:p>
    <w:p w:rsidR="00D976FC" w:rsidRDefault="00D976FC" w:rsidP="00D976FC">
      <w:pPr>
        <w:pStyle w:val="SingleTxt"/>
        <w:rPr>
          <w:rFonts w:hint="eastAsia"/>
        </w:rPr>
      </w:pPr>
      <w:r>
        <w:rPr>
          <w:rFonts w:hint="eastAsia"/>
        </w:rPr>
        <w:t>9.1</w:t>
      </w:r>
      <w:r>
        <w:rPr>
          <w:rFonts w:hint="eastAsia"/>
        </w:rPr>
        <w:tab/>
        <w:t>政府为编纂习惯式婚姻方面的习惯法启动了一个研究项目。其目的是确认少数民族群体中最常见的订立和解除婚约的习俗，并将其汇编成一部法律(统一法)。</w:t>
      </w:r>
    </w:p>
    <w:p w:rsidR="00D976FC" w:rsidRDefault="00D976FC" w:rsidP="00D976FC">
      <w:pPr>
        <w:pStyle w:val="SingleTxt"/>
        <w:rPr>
          <w:rFonts w:hint="eastAsia"/>
        </w:rPr>
      </w:pPr>
      <w:r>
        <w:rPr>
          <w:rFonts w:hint="eastAsia"/>
        </w:rPr>
        <w:t>9.2</w:t>
      </w:r>
      <w:r>
        <w:rPr>
          <w:rFonts w:hint="eastAsia"/>
        </w:rPr>
        <w:tab/>
        <w:t>政府希望统一后的习惯婚姻法可确保已婚妇女在财产分配、赡养和子女监护方面获得更多权利。为确保拟议法律为赞比亚人民所有，政府仍在各级咨询不同利益攸关方的意见，咨询对象包括议员、传统和宗教领袖。</w:t>
      </w:r>
    </w:p>
    <w:p w:rsidR="00D976FC" w:rsidRDefault="00D976FC" w:rsidP="00D976FC">
      <w:pPr>
        <w:pStyle w:val="SingleTxt"/>
        <w:rPr>
          <w:rFonts w:hint="eastAsia"/>
        </w:rPr>
      </w:pPr>
      <w:r>
        <w:rPr>
          <w:rFonts w:hint="eastAsia"/>
        </w:rPr>
        <w:t>10.</w:t>
      </w:r>
      <w:r>
        <w:rPr>
          <w:rFonts w:hint="eastAsia"/>
        </w:rPr>
        <w:tab/>
      </w:r>
      <w:r w:rsidRPr="005F7962">
        <w:rPr>
          <w:rFonts w:ascii="SimHei" w:eastAsia="SimHei" w:hint="eastAsia"/>
        </w:rPr>
        <w:t>据报告第14段称，普遍存在的成见和偏见情况正在迅速改变，特别是在城市地区，女孩获得了与男孩平等的待遇。然而，报告第47(c)段指出，继续使妇女处于从属地位的不良习俗往往阻止妇女行使她们享受自己的自由和权利的潜能。请详细说明采取了什么样的措施，来改变导致陈规定型观念或强化妇女地位低下思想的社会和文化模式，包括通过媒体对妇女的描述这样做。还请说明这些措施的影响。此外，请说明采取了什么措施，来增进偏远地区收听社区广播电台的机会(报告第60(b)段提及这一内容)</w:t>
      </w:r>
      <w:r>
        <w:rPr>
          <w:rFonts w:hint="eastAsia"/>
        </w:rPr>
        <w:t>。</w:t>
      </w:r>
    </w:p>
    <w:p w:rsidR="00D976FC" w:rsidRPr="005F7962" w:rsidRDefault="00D976FC" w:rsidP="00D976FC">
      <w:pPr>
        <w:pStyle w:val="SingleTxt"/>
        <w:rPr>
          <w:rFonts w:ascii="SimHei" w:eastAsia="SimHei" w:hint="eastAsia"/>
        </w:rPr>
      </w:pPr>
      <w:r w:rsidRPr="005F7962">
        <w:rPr>
          <w:rFonts w:ascii="SimHei" w:eastAsia="SimHei" w:hint="eastAsia"/>
        </w:rPr>
        <w:t>改变社会和文化模式及影响的措施</w:t>
      </w:r>
    </w:p>
    <w:p w:rsidR="00D976FC" w:rsidRDefault="00D976FC" w:rsidP="005F7962">
      <w:pPr>
        <w:pStyle w:val="SingleTxt"/>
        <w:tabs>
          <w:tab w:val="clear" w:pos="1695"/>
          <w:tab w:val="left" w:pos="1932"/>
        </w:tabs>
        <w:spacing w:line="328" w:lineRule="exact"/>
        <w:rPr>
          <w:rFonts w:hint="eastAsia"/>
        </w:rPr>
      </w:pPr>
      <w:r>
        <w:rPr>
          <w:rFonts w:hint="eastAsia"/>
        </w:rPr>
        <w:t>10.1</w:t>
      </w:r>
      <w:r>
        <w:rPr>
          <w:rFonts w:hint="eastAsia"/>
        </w:rPr>
        <w:tab/>
        <w:t>为消除导致陈规定型和强化妇女地位低下思想的不良社会和文化习俗，政府和民间社会组织通过酋长院加强与部落首领的伙伴关系。这种关系正在产生积极成果，并迫使部落首领支持女童接受教育，以借此促进增强她们的权力，确保她们与男童平等地参与社区发展方案。此外，有些部落已经取缔了早婚习俗，因为这种做法强化了女性只能从事家务劳动的观念。政府及其利益攸关方正在将这些举措作为其他领域的最佳做法。</w:t>
      </w:r>
    </w:p>
    <w:p w:rsidR="00D976FC" w:rsidRPr="005F7962" w:rsidRDefault="00D976FC" w:rsidP="005F7962">
      <w:pPr>
        <w:pStyle w:val="SingleTxt"/>
        <w:spacing w:line="328" w:lineRule="exact"/>
        <w:rPr>
          <w:rFonts w:ascii="SimHei" w:eastAsia="SimHei" w:hint="eastAsia"/>
        </w:rPr>
      </w:pPr>
      <w:r w:rsidRPr="005F7962">
        <w:rPr>
          <w:rFonts w:ascii="SimHei" w:eastAsia="SimHei" w:hint="eastAsia"/>
        </w:rPr>
        <w:t>增加收听社区广播电台机会的措施</w:t>
      </w:r>
    </w:p>
    <w:p w:rsidR="00D976FC" w:rsidRDefault="00D976FC" w:rsidP="005F7962">
      <w:pPr>
        <w:pStyle w:val="SingleTxt"/>
        <w:tabs>
          <w:tab w:val="clear" w:pos="1695"/>
          <w:tab w:val="left" w:pos="1932"/>
        </w:tabs>
        <w:spacing w:line="328" w:lineRule="exact"/>
        <w:rPr>
          <w:rFonts w:hint="eastAsia"/>
        </w:rPr>
      </w:pPr>
      <w:r>
        <w:rPr>
          <w:rFonts w:hint="eastAsia"/>
        </w:rPr>
        <w:t>10.2</w:t>
      </w:r>
      <w:r>
        <w:rPr>
          <w:rFonts w:hint="eastAsia"/>
        </w:rPr>
        <w:tab/>
        <w:t>缔约国还谨报告，政府编制了《国家性别交流战略》，其主要目的是促进改变对性别平等和发展问题的态度，持续支持促进性别平等的工作。该战略将由政府和非政府机构负责执行，以确保其在各级得到落实。此外，政府还将利用和建立现有省级社区广播电台的能力，以确保它们拥有播放促进性别平等节目的必要技能。这项工作已经按照《性别支助联合方案》，在各合作伙伴的支持下进行。</w:t>
      </w:r>
    </w:p>
    <w:p w:rsidR="00D976FC" w:rsidRPr="005F7962" w:rsidRDefault="00D976FC" w:rsidP="005F7962">
      <w:pPr>
        <w:pStyle w:val="SingleTxt"/>
        <w:spacing w:line="328" w:lineRule="exact"/>
        <w:rPr>
          <w:rFonts w:ascii="SimHei" w:eastAsia="SimHei" w:hint="eastAsia"/>
        </w:rPr>
      </w:pPr>
      <w:r w:rsidRPr="005F7962">
        <w:rPr>
          <w:rFonts w:ascii="SimHei" w:eastAsia="SimHei" w:hint="eastAsia"/>
        </w:rPr>
        <w:t>暴力侵害妇女行为</w:t>
      </w:r>
    </w:p>
    <w:p w:rsidR="00D976FC" w:rsidRDefault="00D976FC" w:rsidP="005F7962">
      <w:pPr>
        <w:pStyle w:val="SingleTxt"/>
        <w:spacing w:line="328" w:lineRule="exact"/>
        <w:rPr>
          <w:rFonts w:hint="eastAsia"/>
        </w:rPr>
      </w:pPr>
      <w:r>
        <w:rPr>
          <w:rFonts w:hint="eastAsia"/>
        </w:rPr>
        <w:t>11.</w:t>
      </w:r>
      <w:r>
        <w:rPr>
          <w:rFonts w:hint="eastAsia"/>
        </w:rPr>
        <w:tab/>
      </w:r>
      <w:r w:rsidRPr="005F7962">
        <w:rPr>
          <w:rFonts w:ascii="SimHei" w:eastAsia="SimHei" w:hint="eastAsia"/>
        </w:rPr>
        <w:t>该报告第8段承认，基于性别的暴力行为，特别是针对妇女和儿童的暴力，仍然是一个令人关注的领域，需要立即引起注意。该报告提供了2000年至2005年所报告的强奸和侮辱案件的趋势。但是，报告接着指出，然而，由于无法获得性别类统计资料，很难提供对其他案件的估计。缔约国是否打算收集其他类型基于性别的暴力的分列数据？该报告指出，缔约国打算通过赞比亚法律发展委员会推动对《基于性别的暴力条例草案》的辩论(第28段)。请解释本条例草案将涵盖哪些形式的暴力行为和相应的制裁措施，及其立为法律的时限</w:t>
      </w:r>
      <w:r>
        <w:rPr>
          <w:rFonts w:hint="eastAsia"/>
        </w:rPr>
        <w:t>。</w:t>
      </w:r>
    </w:p>
    <w:p w:rsidR="00D976FC" w:rsidRPr="005F7962" w:rsidRDefault="00D976FC" w:rsidP="00D976FC">
      <w:pPr>
        <w:pStyle w:val="SingleTxt"/>
        <w:rPr>
          <w:rFonts w:ascii="SimHei" w:eastAsia="SimHei" w:hint="eastAsia"/>
        </w:rPr>
      </w:pPr>
      <w:r w:rsidRPr="005F7962">
        <w:rPr>
          <w:rFonts w:ascii="SimHei" w:eastAsia="SimHei" w:hint="eastAsia"/>
        </w:rPr>
        <w:t>收集其他类型基于性别的暴力行为的分列数据</w:t>
      </w:r>
    </w:p>
    <w:p w:rsidR="00D976FC" w:rsidRDefault="00D976FC" w:rsidP="005F7962">
      <w:pPr>
        <w:pStyle w:val="SingleTxt"/>
        <w:tabs>
          <w:tab w:val="clear" w:pos="1695"/>
          <w:tab w:val="left" w:pos="1932"/>
        </w:tabs>
        <w:spacing w:line="328" w:lineRule="exact"/>
        <w:rPr>
          <w:rFonts w:hint="eastAsia"/>
        </w:rPr>
      </w:pPr>
      <w:r>
        <w:rPr>
          <w:rFonts w:hint="eastAsia"/>
        </w:rPr>
        <w:t>11.1</w:t>
      </w:r>
      <w:r>
        <w:rPr>
          <w:rFonts w:hint="eastAsia"/>
        </w:rPr>
        <w:tab/>
        <w:t>政府仍致力于收集和分析基于性别的暴力行为的性别分列数据。目前，正在采取措施，确保从所有可能参与案件处理工作的利益攸关方或基于性别的暴力行为受害者处收集性别分列统计数据。数据提供者包括赞比亚警察局；卫生保健机构；社会福利办公室；民间社会组织和社区领袖。然而，该系统因尚未进行升级和统一仍然面临挑战，致使发生计算重复和所收集的数据不准确的情况。尽管存在这一挑战，政府已通过中央统计局将基于性别的暴力行为统计资料编入其定期报告中，如《赞比亚人口与健康调查》。但缔约国计划利用不同服务提供者的行政记录，系统地收集基于性别的暴力行为的性别分列统计资料。</w:t>
      </w:r>
    </w:p>
    <w:p w:rsidR="00D976FC" w:rsidRPr="005F7962" w:rsidRDefault="00D976FC" w:rsidP="00D976FC">
      <w:pPr>
        <w:pStyle w:val="SingleTxt"/>
        <w:rPr>
          <w:rFonts w:ascii="SimHei" w:eastAsia="SimHei" w:hint="eastAsia"/>
        </w:rPr>
      </w:pPr>
      <w:r w:rsidRPr="005F7962">
        <w:rPr>
          <w:rFonts w:ascii="SimHei" w:eastAsia="SimHei" w:hint="eastAsia"/>
        </w:rPr>
        <w:t>2011年《反对基于性别的暴力行为法》</w:t>
      </w:r>
    </w:p>
    <w:p w:rsidR="00D976FC" w:rsidRDefault="00D976FC" w:rsidP="005F7962">
      <w:pPr>
        <w:pStyle w:val="SingleTxt"/>
        <w:tabs>
          <w:tab w:val="clear" w:pos="1695"/>
          <w:tab w:val="left" w:pos="1932"/>
        </w:tabs>
        <w:spacing w:line="328" w:lineRule="exact"/>
        <w:rPr>
          <w:rFonts w:hint="eastAsia"/>
        </w:rPr>
      </w:pPr>
      <w:r>
        <w:rPr>
          <w:rFonts w:hint="eastAsia"/>
        </w:rPr>
        <w:t>11.2</w:t>
      </w:r>
      <w:r>
        <w:rPr>
          <w:rFonts w:hint="eastAsia"/>
        </w:rPr>
        <w:tab/>
        <w:t>关于解决基于性别的暴力行为案件，缔约国谨报告，议会已于2011年3月3日通过了《反对基于性别的暴力行为法》。该法涵盖身心、经济、性和社会文化暴力在内的所有类型的基于性别的暴力行为。</w:t>
      </w:r>
    </w:p>
    <w:p w:rsidR="00D976FC" w:rsidRDefault="00D976FC" w:rsidP="005F7962">
      <w:pPr>
        <w:pStyle w:val="SingleTxt"/>
        <w:tabs>
          <w:tab w:val="clear" w:pos="1695"/>
          <w:tab w:val="left" w:pos="1932"/>
        </w:tabs>
        <w:spacing w:line="328" w:lineRule="exact"/>
        <w:rPr>
          <w:rFonts w:hint="eastAsia"/>
        </w:rPr>
      </w:pPr>
      <w:r>
        <w:rPr>
          <w:rFonts w:hint="eastAsia"/>
        </w:rPr>
        <w:t>11.3</w:t>
      </w:r>
      <w:r>
        <w:rPr>
          <w:rFonts w:hint="eastAsia"/>
        </w:rPr>
        <w:tab/>
        <w:t>缔约国报告称，鉴于《刑法典》已对惩罚措施做了规定，故《反对基于性别的暴力行为法》未作这方面的规定。将依照《刑事诉讼法》、《刑法典》及任何其他成文法审查、试行和另行实施本法。</w:t>
      </w:r>
    </w:p>
    <w:p w:rsidR="00D976FC" w:rsidRDefault="00D976FC" w:rsidP="006B213A">
      <w:pPr>
        <w:pStyle w:val="SingleTxt"/>
        <w:spacing w:line="332" w:lineRule="exact"/>
        <w:rPr>
          <w:rFonts w:hint="eastAsia"/>
        </w:rPr>
      </w:pPr>
      <w:r>
        <w:rPr>
          <w:rFonts w:hint="eastAsia"/>
        </w:rPr>
        <w:t>12.</w:t>
      </w:r>
      <w:r>
        <w:rPr>
          <w:rFonts w:hint="eastAsia"/>
        </w:rPr>
        <w:tab/>
      </w:r>
      <w:r w:rsidRPr="005F7962">
        <w:rPr>
          <w:rFonts w:ascii="SimHei" w:eastAsia="SimHei" w:hint="eastAsia"/>
        </w:rPr>
        <w:t>报告指出，缔约国通过《刑法典(修订案)》2005年第15号法以保护妇女和儿童，使其不遭受非礼、性骚扰、污辱和贩卖。请提供最新资料说明这些修订案的内容和执行情况，包括其对减少此类案件的影响，并请说明采取了哪些步骤把婚内强奸列入《刑法典》。此外，请进一步介绍一站式服务中心的情况；报告第11段称，此类中心对基于性别的暴力受害者提供综合服务，服务内容包括辅导、疗伤、调查和提出检控。请说明这些中心在全国的分布情况，并解释它们如何提供检察服务</w:t>
      </w:r>
      <w:r>
        <w:rPr>
          <w:rFonts w:hint="eastAsia"/>
        </w:rPr>
        <w:t>。</w:t>
      </w:r>
    </w:p>
    <w:p w:rsidR="00D976FC" w:rsidRPr="005F7962" w:rsidRDefault="00D976FC" w:rsidP="00D976FC">
      <w:pPr>
        <w:pStyle w:val="SingleTxt"/>
        <w:rPr>
          <w:rFonts w:ascii="SimHei" w:eastAsia="SimHei" w:hint="eastAsia"/>
        </w:rPr>
      </w:pPr>
      <w:r w:rsidRPr="005F7962">
        <w:rPr>
          <w:rFonts w:ascii="SimHei" w:eastAsia="SimHei" w:hint="eastAsia"/>
        </w:rPr>
        <w:t>关于修订案内容和执行情况的最新资料</w:t>
      </w:r>
    </w:p>
    <w:p w:rsidR="00D976FC" w:rsidRDefault="00D976FC" w:rsidP="005F7962">
      <w:pPr>
        <w:pStyle w:val="SingleTxt"/>
        <w:tabs>
          <w:tab w:val="clear" w:pos="1695"/>
          <w:tab w:val="left" w:pos="1932"/>
        </w:tabs>
        <w:spacing w:line="328" w:lineRule="exact"/>
        <w:rPr>
          <w:rFonts w:hint="eastAsia"/>
        </w:rPr>
      </w:pPr>
      <w:r>
        <w:rPr>
          <w:rFonts w:hint="eastAsia"/>
        </w:rPr>
        <w:t>12.1</w:t>
      </w:r>
      <w:r>
        <w:rPr>
          <w:rFonts w:hint="eastAsia"/>
        </w:rPr>
        <w:tab/>
        <w:t>《刑法典(修订案)》2005年第15号法保护妇女和儿童，使其免遭反道德罪行的侵害，包括非礼、污辱和性骚扰。</w:t>
      </w:r>
    </w:p>
    <w:p w:rsidR="00D976FC" w:rsidRDefault="00D976FC" w:rsidP="005F7962">
      <w:pPr>
        <w:pStyle w:val="SingleTxt"/>
        <w:tabs>
          <w:tab w:val="clear" w:pos="1695"/>
          <w:tab w:val="left" w:pos="1932"/>
        </w:tabs>
        <w:spacing w:line="328" w:lineRule="exact"/>
        <w:rPr>
          <w:rFonts w:hint="eastAsia"/>
        </w:rPr>
      </w:pPr>
      <w:r>
        <w:rPr>
          <w:rFonts w:hint="eastAsia"/>
        </w:rPr>
        <w:t>12.2</w:t>
      </w:r>
      <w:r>
        <w:rPr>
          <w:rFonts w:hint="eastAsia"/>
        </w:rPr>
        <w:tab/>
        <w:t>《刑法典(修订案)》2005年第15号法第137条对非礼做出如下规定：</w:t>
      </w:r>
    </w:p>
    <w:p w:rsidR="00D976FC" w:rsidRDefault="006B213A" w:rsidP="00D976FC">
      <w:pPr>
        <w:pStyle w:val="SingleTxt"/>
        <w:rPr>
          <w:rFonts w:hint="eastAsia"/>
        </w:rPr>
      </w:pPr>
      <w:r>
        <w:rPr>
          <w:rFonts w:hint="eastAsia"/>
        </w:rPr>
        <w:tab/>
      </w:r>
      <w:r w:rsidR="00D976FC">
        <w:rPr>
          <w:rFonts w:hint="eastAsia"/>
        </w:rPr>
        <w:t>“非法非礼儿童或他人属重罪，一经定罪，可被判处15-20年监禁。”</w:t>
      </w:r>
    </w:p>
    <w:p w:rsidR="00D976FC" w:rsidRDefault="00D976FC" w:rsidP="006B213A">
      <w:pPr>
        <w:pStyle w:val="SingleTxt"/>
        <w:tabs>
          <w:tab w:val="clear" w:pos="1695"/>
          <w:tab w:val="left" w:pos="1932"/>
        </w:tabs>
        <w:spacing w:line="328" w:lineRule="exact"/>
        <w:rPr>
          <w:rFonts w:hint="eastAsia"/>
        </w:rPr>
      </w:pPr>
      <w:r>
        <w:rPr>
          <w:rFonts w:hint="eastAsia"/>
        </w:rPr>
        <w:t>12.3</w:t>
      </w:r>
      <w:r>
        <w:rPr>
          <w:rFonts w:hint="eastAsia"/>
        </w:rPr>
        <w:tab/>
        <w:t>《刑法典(修订案)》第138条对污辱儿童做出如下规定：</w:t>
      </w:r>
    </w:p>
    <w:p w:rsidR="00D976FC" w:rsidRDefault="006B213A" w:rsidP="00D976FC">
      <w:pPr>
        <w:pStyle w:val="SingleTxt"/>
        <w:rPr>
          <w:rFonts w:hint="eastAsia"/>
        </w:rPr>
      </w:pPr>
      <w:r>
        <w:rPr>
          <w:rFonts w:hint="eastAsia"/>
        </w:rPr>
        <w:tab/>
      </w:r>
      <w:r w:rsidR="00D976FC">
        <w:rPr>
          <w:rFonts w:hint="eastAsia"/>
        </w:rPr>
        <w:t>“非法奸淫儿童属重罪，一经定罪，可被判处不少于15年的监禁，或终身监禁。”</w:t>
      </w:r>
    </w:p>
    <w:p w:rsidR="00D976FC" w:rsidRDefault="00D976FC" w:rsidP="006B213A">
      <w:pPr>
        <w:pStyle w:val="SingleTxt"/>
        <w:tabs>
          <w:tab w:val="clear" w:pos="1695"/>
          <w:tab w:val="left" w:pos="1932"/>
        </w:tabs>
        <w:spacing w:line="328" w:lineRule="exact"/>
        <w:rPr>
          <w:rFonts w:hint="eastAsia"/>
        </w:rPr>
      </w:pPr>
      <w:r>
        <w:rPr>
          <w:rFonts w:hint="eastAsia"/>
        </w:rPr>
        <w:t>12.4</w:t>
      </w:r>
      <w:r>
        <w:rPr>
          <w:rFonts w:hint="eastAsia"/>
        </w:rPr>
        <w:tab/>
        <w:t>《刑法典》第137A条对性骚扰做出如下规定：</w:t>
      </w:r>
    </w:p>
    <w:p w:rsidR="00D976FC" w:rsidRDefault="006B213A" w:rsidP="006B213A">
      <w:pPr>
        <w:pStyle w:val="SingleTxt"/>
        <w:spacing w:after="120"/>
        <w:rPr>
          <w:rFonts w:hint="eastAsia"/>
        </w:rPr>
      </w:pPr>
      <w:r>
        <w:rPr>
          <w:rFonts w:hint="eastAsia"/>
        </w:rPr>
        <w:tab/>
      </w:r>
      <w:r w:rsidR="00D976FC">
        <w:rPr>
          <w:rFonts w:hint="eastAsia"/>
        </w:rPr>
        <w:t>“在工作场所、学术机构或其他地方对儿童实施性骚扰属重罪，一经定罪，可被判处3-15年监禁。”</w:t>
      </w:r>
    </w:p>
    <w:p w:rsidR="00D976FC" w:rsidRDefault="00D976FC" w:rsidP="006B213A">
      <w:pPr>
        <w:pStyle w:val="SingleTxt"/>
        <w:tabs>
          <w:tab w:val="clear" w:pos="1695"/>
          <w:tab w:val="left" w:pos="1932"/>
        </w:tabs>
        <w:spacing w:after="120"/>
        <w:rPr>
          <w:rFonts w:hint="eastAsia"/>
        </w:rPr>
      </w:pPr>
      <w:r>
        <w:rPr>
          <w:rFonts w:hint="eastAsia"/>
        </w:rPr>
        <w:t>12.5</w:t>
      </w:r>
      <w:r>
        <w:rPr>
          <w:rFonts w:hint="eastAsia"/>
        </w:rPr>
        <w:tab/>
        <w:t>《刑法典》第143条对贩卖做出规定，鉴于《打击人口贩运法》2008年第11号法也有关于该罪行的规定，议会正在考虑通过2010年《刑法典(修订案)》废止该条款。</w:t>
      </w:r>
    </w:p>
    <w:p w:rsidR="00D976FC" w:rsidRPr="006B213A" w:rsidRDefault="00D976FC" w:rsidP="006B213A">
      <w:pPr>
        <w:pStyle w:val="SingleTxt"/>
        <w:spacing w:after="120"/>
        <w:rPr>
          <w:rFonts w:ascii="SimHei" w:eastAsia="SimHei" w:hint="eastAsia"/>
        </w:rPr>
      </w:pPr>
      <w:r w:rsidRPr="006B213A">
        <w:rPr>
          <w:rFonts w:ascii="SimHei" w:eastAsia="SimHei" w:hint="eastAsia"/>
        </w:rPr>
        <w:t>对减少性犯罪的影响</w:t>
      </w:r>
    </w:p>
    <w:p w:rsidR="00D976FC" w:rsidRDefault="00D976FC" w:rsidP="006B213A">
      <w:pPr>
        <w:pStyle w:val="SingleTxt"/>
        <w:tabs>
          <w:tab w:val="clear" w:pos="1695"/>
          <w:tab w:val="left" w:pos="1932"/>
        </w:tabs>
        <w:spacing w:after="120"/>
        <w:rPr>
          <w:rFonts w:hint="eastAsia"/>
        </w:rPr>
      </w:pPr>
      <w:r>
        <w:rPr>
          <w:rFonts w:hint="eastAsia"/>
        </w:rPr>
        <w:t>12.6</w:t>
      </w:r>
      <w:r>
        <w:rPr>
          <w:rFonts w:hint="eastAsia"/>
        </w:rPr>
        <w:tab/>
        <w:t>缔约国报告称，有几人被判犯有污辱罪，并已通过经常采用的印刷和电子媒介将相关罪行及其量刑对外公布。这样做既为震慑意欲作案者，也为让公众认识此罪行，从而鼓励儿童和家长向警方报告污辱案件。</w:t>
      </w:r>
    </w:p>
    <w:p w:rsidR="00D976FC" w:rsidRDefault="00D976FC" w:rsidP="006B213A">
      <w:pPr>
        <w:pStyle w:val="SingleTxt"/>
        <w:tabs>
          <w:tab w:val="clear" w:pos="1695"/>
          <w:tab w:val="left" w:pos="1932"/>
        </w:tabs>
        <w:spacing w:after="120"/>
        <w:rPr>
          <w:rFonts w:hint="eastAsia"/>
        </w:rPr>
      </w:pPr>
      <w:r>
        <w:rPr>
          <w:rFonts w:hint="eastAsia"/>
        </w:rPr>
        <w:t>12.7</w:t>
      </w:r>
      <w:r>
        <w:rPr>
          <w:rFonts w:hint="eastAsia"/>
        </w:rPr>
        <w:tab/>
        <w:t>缔约国请委员会注意仍有关于性骚扰和猥亵罪的报告。遵照《赞比亚警察修正案》1999年第14号法成立的受害人支助股负责处理包括对妇女和儿童的性暴力在内的暴力案件，该股提出的干预措施包括：</w:t>
      </w:r>
    </w:p>
    <w:p w:rsidR="00D976FC" w:rsidRDefault="006B213A" w:rsidP="006B213A">
      <w:pPr>
        <w:pStyle w:val="SingleTxt"/>
        <w:spacing w:after="120"/>
        <w:rPr>
          <w:rFonts w:hint="eastAsia"/>
        </w:rPr>
      </w:pPr>
      <w:r>
        <w:rPr>
          <w:rFonts w:hint="eastAsia"/>
        </w:rPr>
        <w:tab/>
      </w:r>
      <w:r w:rsidR="00D976FC">
        <w:rPr>
          <w:rFonts w:hint="eastAsia"/>
        </w:rPr>
        <w:t>(a)</w:t>
      </w:r>
      <w:r w:rsidR="00D976FC">
        <w:rPr>
          <w:rFonts w:hint="eastAsia"/>
        </w:rPr>
        <w:tab/>
        <w:t>通过媒体鼓励公众报告违反道德的罪行，包括基于性别的暴力；</w:t>
      </w:r>
    </w:p>
    <w:p w:rsidR="00D976FC" w:rsidRDefault="006B213A" w:rsidP="006B213A">
      <w:pPr>
        <w:pStyle w:val="SingleTxt"/>
        <w:spacing w:after="120"/>
        <w:rPr>
          <w:rFonts w:hint="eastAsia"/>
        </w:rPr>
      </w:pPr>
      <w:r>
        <w:rPr>
          <w:rFonts w:hint="eastAsia"/>
        </w:rPr>
        <w:tab/>
      </w:r>
      <w:r w:rsidR="00D976FC">
        <w:rPr>
          <w:rFonts w:hint="eastAsia"/>
        </w:rPr>
        <w:t>(b)</w:t>
      </w:r>
      <w:r>
        <w:rPr>
          <w:rFonts w:hint="eastAsia"/>
        </w:rPr>
        <w:tab/>
      </w:r>
      <w:r w:rsidR="00D976FC">
        <w:rPr>
          <w:rFonts w:hint="eastAsia"/>
        </w:rPr>
        <w:tab/>
        <w:t>调动和使公众认识性暴力和基于性别的暴力；</w:t>
      </w:r>
    </w:p>
    <w:p w:rsidR="00D976FC" w:rsidRDefault="006B213A" w:rsidP="006B213A">
      <w:pPr>
        <w:pStyle w:val="SingleTxt"/>
        <w:spacing w:after="120"/>
        <w:rPr>
          <w:rFonts w:hint="eastAsia"/>
        </w:rPr>
      </w:pPr>
      <w:r>
        <w:rPr>
          <w:rFonts w:hint="eastAsia"/>
        </w:rPr>
        <w:tab/>
      </w:r>
      <w:r w:rsidR="00D976FC">
        <w:rPr>
          <w:rFonts w:hint="eastAsia"/>
        </w:rPr>
        <w:t>(c)</w:t>
      </w:r>
      <w:r w:rsidR="00D976FC">
        <w:rPr>
          <w:rFonts w:hint="eastAsia"/>
        </w:rPr>
        <w:tab/>
        <w:t>通过设立确保受害者的隐私和机密得到保护的现代化办公室增加受害人支助股在全国提供的服务；</w:t>
      </w:r>
    </w:p>
    <w:p w:rsidR="00D976FC" w:rsidRDefault="006B213A" w:rsidP="006B213A">
      <w:pPr>
        <w:pStyle w:val="SingleTxt"/>
        <w:spacing w:after="132" w:line="324" w:lineRule="exact"/>
        <w:rPr>
          <w:rFonts w:hint="eastAsia"/>
        </w:rPr>
      </w:pPr>
      <w:r>
        <w:rPr>
          <w:rFonts w:hint="eastAsia"/>
        </w:rPr>
        <w:tab/>
      </w:r>
      <w:r w:rsidR="00D976FC">
        <w:rPr>
          <w:rFonts w:hint="eastAsia"/>
        </w:rPr>
        <w:t>(d)</w:t>
      </w:r>
      <w:r w:rsidR="00D976FC">
        <w:rPr>
          <w:rFonts w:hint="eastAsia"/>
        </w:rPr>
        <w:tab/>
        <w:t>将男性作为推动变革的因素。</w:t>
      </w:r>
    </w:p>
    <w:p w:rsidR="00D976FC" w:rsidRPr="006B213A" w:rsidRDefault="00D976FC" w:rsidP="006B213A">
      <w:pPr>
        <w:pStyle w:val="SingleTxt"/>
        <w:spacing w:after="132" w:line="324" w:lineRule="exact"/>
        <w:rPr>
          <w:rFonts w:ascii="SimHei" w:eastAsia="SimHei" w:hint="eastAsia"/>
        </w:rPr>
      </w:pPr>
      <w:r w:rsidRPr="006B213A">
        <w:rPr>
          <w:rFonts w:ascii="SimHei" w:eastAsia="SimHei" w:hint="eastAsia"/>
        </w:rPr>
        <w:t>婚内强奸</w:t>
      </w:r>
    </w:p>
    <w:p w:rsidR="00D976FC" w:rsidRDefault="00D976FC" w:rsidP="006B213A">
      <w:pPr>
        <w:pStyle w:val="SingleTxt"/>
        <w:tabs>
          <w:tab w:val="clear" w:pos="1695"/>
          <w:tab w:val="left" w:pos="1932"/>
        </w:tabs>
        <w:spacing w:after="132" w:line="324" w:lineRule="exact"/>
        <w:rPr>
          <w:rFonts w:hint="eastAsia"/>
        </w:rPr>
      </w:pPr>
      <w:r>
        <w:rPr>
          <w:rFonts w:hint="eastAsia"/>
        </w:rPr>
        <w:t>12.8</w:t>
      </w:r>
      <w:r>
        <w:rPr>
          <w:rFonts w:hint="eastAsia"/>
        </w:rPr>
        <w:tab/>
        <w:t>关于婚内强奸，缔约国报告称，尚未采取措施将该罪行纳入《刑法典》。</w:t>
      </w:r>
    </w:p>
    <w:p w:rsidR="00D976FC" w:rsidRPr="006B213A" w:rsidRDefault="00D976FC" w:rsidP="006B213A">
      <w:pPr>
        <w:pStyle w:val="SingleTxt"/>
        <w:spacing w:after="132" w:line="324" w:lineRule="exact"/>
        <w:rPr>
          <w:rFonts w:ascii="SimHei" w:eastAsia="SimHei" w:hint="eastAsia"/>
        </w:rPr>
      </w:pPr>
      <w:r w:rsidRPr="006B213A">
        <w:rPr>
          <w:rFonts w:ascii="SimHei" w:eastAsia="SimHei" w:hint="eastAsia"/>
        </w:rPr>
        <w:t>一站式服务中心</w:t>
      </w:r>
    </w:p>
    <w:p w:rsidR="00D976FC" w:rsidRDefault="00D976FC" w:rsidP="006B213A">
      <w:pPr>
        <w:pStyle w:val="SingleTxt"/>
        <w:tabs>
          <w:tab w:val="clear" w:pos="1695"/>
          <w:tab w:val="left" w:pos="1932"/>
        </w:tabs>
        <w:spacing w:after="132" w:line="324" w:lineRule="exact"/>
        <w:rPr>
          <w:rFonts w:hint="eastAsia"/>
        </w:rPr>
      </w:pPr>
      <w:r>
        <w:rPr>
          <w:rFonts w:hint="eastAsia"/>
        </w:rPr>
        <w:t>12.9</w:t>
      </w:r>
      <w:r>
        <w:rPr>
          <w:rFonts w:hint="eastAsia"/>
        </w:rPr>
        <w:tab/>
      </w:r>
      <w:r w:rsidRPr="006B213A">
        <w:rPr>
          <w:rFonts w:hint="eastAsia"/>
          <w:spacing w:val="-4"/>
        </w:rPr>
        <w:t>已在三个地区建立了一站式服务中心，向基于性别的暴力受害者提供包括辅导、疗伤、调查和提出检控在内的服务，这些中心由基督教女青年会负责运行。此外，《反对基于性别的暴力行为法》还规定，负责社会福利事务的部门有责任开办性别暴力受害者庇护所(由议会拨款资助)，并确保此类庇护所在赞比亚全国各地合理分布。遵照本法建立的受害者庇护必须遵守该部通过成文法规定的准则及标准。</w:t>
      </w:r>
    </w:p>
    <w:p w:rsidR="00D976FC" w:rsidRDefault="00D976FC" w:rsidP="006B213A">
      <w:pPr>
        <w:pStyle w:val="SingleTxt"/>
        <w:spacing w:after="132" w:line="324" w:lineRule="exact"/>
        <w:rPr>
          <w:rFonts w:hint="eastAsia"/>
        </w:rPr>
      </w:pPr>
      <w:r>
        <w:rPr>
          <w:rFonts w:hint="eastAsia"/>
        </w:rPr>
        <w:t>13.</w:t>
      </w:r>
      <w:r>
        <w:rPr>
          <w:rFonts w:hint="eastAsia"/>
        </w:rPr>
        <w:tab/>
      </w:r>
      <w:r w:rsidRPr="006B213A">
        <w:rPr>
          <w:rFonts w:ascii="SimHei" w:eastAsia="SimHei" w:hint="eastAsia"/>
        </w:rPr>
        <w:t>请对《刑法典(修订案)》2005年第15号法第161条加以澄清：其中规定，年龄在16岁以上的任何女性，在她本人同意的情形下，与亲戚发生肉体关系，即犯有重罪，可判处不少于20年的监禁，也可能判处终身监禁。在这方面，《刑法典》对男性亲属有什么相应的规定？就同意问题而言，举证责任在谁</w:t>
      </w:r>
      <w:r>
        <w:rPr>
          <w:rFonts w:hint="eastAsia"/>
        </w:rPr>
        <w:t>？</w:t>
      </w:r>
    </w:p>
    <w:p w:rsidR="00D976FC" w:rsidRPr="006B213A" w:rsidRDefault="00D976FC" w:rsidP="006B213A">
      <w:pPr>
        <w:pStyle w:val="SingleTxt"/>
        <w:spacing w:after="120" w:line="324" w:lineRule="exact"/>
        <w:rPr>
          <w:rFonts w:ascii="SimHei" w:eastAsia="SimHei" w:hint="eastAsia"/>
        </w:rPr>
      </w:pPr>
      <w:r w:rsidRPr="006B213A">
        <w:rPr>
          <w:rFonts w:ascii="SimHei" w:eastAsia="SimHei" w:hint="eastAsia"/>
        </w:rPr>
        <w:t>《刑法典(修订案)》2005年第15号法第161条</w:t>
      </w:r>
    </w:p>
    <w:p w:rsidR="00D976FC" w:rsidRDefault="00D976FC" w:rsidP="006B213A">
      <w:pPr>
        <w:pStyle w:val="SingleTxt"/>
        <w:tabs>
          <w:tab w:val="clear" w:pos="1695"/>
          <w:tab w:val="left" w:pos="1932"/>
        </w:tabs>
        <w:spacing w:line="328" w:lineRule="exact"/>
        <w:rPr>
          <w:rFonts w:hint="eastAsia"/>
        </w:rPr>
      </w:pPr>
      <w:r>
        <w:rPr>
          <w:rFonts w:hint="eastAsia"/>
        </w:rPr>
        <w:t>13.1</w:t>
      </w:r>
      <w:r>
        <w:rPr>
          <w:rFonts w:hint="eastAsia"/>
        </w:rPr>
        <w:tab/>
        <w:t>委员会似宜注意《刑法典》第161(1)条对女性的乱伦行为定罪。第161条规定，年龄在16岁以上的任何女性，在明知对方为其(外)祖父、父亲、兄/弟、</w:t>
      </w:r>
      <w:r w:rsidRPr="006B213A">
        <w:rPr>
          <w:rFonts w:hint="eastAsia"/>
          <w:spacing w:val="-4"/>
        </w:rPr>
        <w:t>叔父、侄子、儿子或(外)孙子的情况下，仍同意与之发生肉体关系，即犯有重罪，一经定罪，可被判处不少于20年的监禁，也可能判处终身监禁。犯下此分节所述罪行的女童可遵照法庭出于其最佳利益考虑所作的判决，参加此类社区服务或辅导。</w:t>
      </w:r>
    </w:p>
    <w:p w:rsidR="00D976FC" w:rsidRPr="006B213A" w:rsidRDefault="00D976FC" w:rsidP="006B213A">
      <w:pPr>
        <w:pStyle w:val="SingleTxt"/>
        <w:spacing w:after="120"/>
        <w:rPr>
          <w:rFonts w:ascii="SimHei" w:eastAsia="SimHei" w:hint="eastAsia"/>
        </w:rPr>
      </w:pPr>
      <w:r w:rsidRPr="006B213A">
        <w:rPr>
          <w:rFonts w:ascii="SimHei" w:eastAsia="SimHei" w:hint="eastAsia"/>
        </w:rPr>
        <w:t>对男性亲属的相应刑事规定</w:t>
      </w:r>
    </w:p>
    <w:p w:rsidR="00D976FC" w:rsidRDefault="00D976FC" w:rsidP="006B213A">
      <w:pPr>
        <w:pStyle w:val="SingleTxt"/>
        <w:tabs>
          <w:tab w:val="clear" w:pos="1695"/>
          <w:tab w:val="left" w:pos="1932"/>
        </w:tabs>
        <w:spacing w:after="120"/>
        <w:rPr>
          <w:rFonts w:hint="eastAsia"/>
        </w:rPr>
      </w:pPr>
      <w:r>
        <w:rPr>
          <w:rFonts w:hint="eastAsia"/>
        </w:rPr>
        <w:t>13.2</w:t>
      </w:r>
      <w:r>
        <w:rPr>
          <w:rFonts w:hint="eastAsia"/>
        </w:rPr>
        <w:tab/>
        <w:t>《刑法典》第159条对男性乱伦行为做了规定。《刑法典》第159(1)条规定“任何男性，在明知对方为其(外)祖母、母亲、姐/妹、女儿、(外)孙女、姑母或侄女的情况下，仍与之发生肉体关系，即犯有重罪，一经定罪，可被判处不少于20年的监禁，也可能判处终身监禁。”</w:t>
      </w:r>
    </w:p>
    <w:p w:rsidR="00D976FC" w:rsidRPr="006B213A" w:rsidRDefault="00D976FC" w:rsidP="006B213A">
      <w:pPr>
        <w:pStyle w:val="SingleTxt"/>
        <w:spacing w:after="120"/>
        <w:rPr>
          <w:rFonts w:ascii="SimHei" w:eastAsia="SimHei" w:hint="eastAsia"/>
        </w:rPr>
      </w:pPr>
      <w:r w:rsidRPr="006B213A">
        <w:rPr>
          <w:rFonts w:ascii="SimHei" w:eastAsia="SimHei" w:hint="eastAsia"/>
        </w:rPr>
        <w:t>同意问题的举证责任</w:t>
      </w:r>
    </w:p>
    <w:p w:rsidR="00D976FC" w:rsidRDefault="00D976FC" w:rsidP="006B213A">
      <w:pPr>
        <w:pStyle w:val="SingleTxt"/>
        <w:tabs>
          <w:tab w:val="clear" w:pos="1695"/>
          <w:tab w:val="left" w:pos="1932"/>
        </w:tabs>
        <w:spacing w:after="120"/>
        <w:rPr>
          <w:rFonts w:hint="eastAsia"/>
        </w:rPr>
      </w:pPr>
      <w:r>
        <w:rPr>
          <w:rFonts w:hint="eastAsia"/>
        </w:rPr>
        <w:t>13.3</w:t>
      </w:r>
      <w:r>
        <w:rPr>
          <w:rFonts w:hint="eastAsia"/>
        </w:rPr>
        <w:tab/>
        <w:t>指控他人犯有乱伦罪时，起诉一方负有举证责任。起诉者必须证明确实发生了性行为，且被告允许(同意)亲属与之发生性关系，所涉人员彼此之间存在规定程度范围内的亲缘关系。被告不同意发生性行为这一事实可作为对乱伦指控的辩护。存在此类证据时，男性亲属也可被控犯有强奸罪。</w:t>
      </w:r>
    </w:p>
    <w:p w:rsidR="00D976FC" w:rsidRDefault="00D976FC" w:rsidP="006B213A">
      <w:pPr>
        <w:pStyle w:val="SingleTxt"/>
        <w:spacing w:after="120"/>
        <w:rPr>
          <w:rFonts w:hint="eastAsia"/>
        </w:rPr>
      </w:pPr>
      <w:r>
        <w:rPr>
          <w:rFonts w:hint="eastAsia"/>
        </w:rPr>
        <w:t>14.</w:t>
      </w:r>
      <w:r>
        <w:rPr>
          <w:rFonts w:hint="eastAsia"/>
        </w:rPr>
        <w:tab/>
      </w:r>
      <w:r w:rsidRPr="006B213A">
        <w:rPr>
          <w:rFonts w:ascii="SimHei" w:eastAsia="SimHei" w:hint="eastAsia"/>
        </w:rPr>
        <w:t>报告指出，对妇女和儿童的性侵犯行为正在增加；15%的15至19岁妇女受过性虐待(第139段)。委员会收到的资料显示，国家官员对妇女实施酷刑或虐待，包括在警务设施和看守所这样做，往往表现为性暴力以及有辱人格待遇，如被迫在男性执法人员面前裸体行走。这种暴力实施者据称基本上都不受惩罚，受害者也没有得到赔偿。请对这些指控做出评论，并解释目前是如何处理这一问题的。报告第15段指出，性骚扰，特别是针对妇女的情况，是缔约国在人权方面令人关切的一个重要事项。缔约国已采取或正计划采取哪些措施，来使妇女认识到性暴力行为(包括“性骚扰”)的严重性，此种行为即属刑事犯罪</w:t>
      </w:r>
      <w:r>
        <w:rPr>
          <w:rFonts w:hint="eastAsia"/>
        </w:rPr>
        <w:t>？</w:t>
      </w:r>
    </w:p>
    <w:p w:rsidR="00D976FC" w:rsidRPr="006B213A" w:rsidRDefault="00D976FC" w:rsidP="006B213A">
      <w:pPr>
        <w:pStyle w:val="SingleTxt"/>
        <w:spacing w:after="120"/>
        <w:rPr>
          <w:rFonts w:ascii="SimHei" w:eastAsia="SimHei" w:hint="eastAsia"/>
        </w:rPr>
      </w:pPr>
      <w:r w:rsidRPr="006B213A">
        <w:rPr>
          <w:rFonts w:ascii="SimHei" w:eastAsia="SimHei" w:hint="eastAsia"/>
        </w:rPr>
        <w:t>关于国家官员对妇女实施酷刑或虐待的指控</w:t>
      </w:r>
    </w:p>
    <w:p w:rsidR="00D976FC" w:rsidRDefault="00D976FC" w:rsidP="006B213A">
      <w:pPr>
        <w:pStyle w:val="SingleTxt"/>
        <w:tabs>
          <w:tab w:val="clear" w:pos="1695"/>
          <w:tab w:val="left" w:pos="1932"/>
        </w:tabs>
        <w:spacing w:after="120"/>
        <w:rPr>
          <w:rFonts w:hint="eastAsia"/>
        </w:rPr>
      </w:pPr>
      <w:r>
        <w:rPr>
          <w:rFonts w:hint="eastAsia"/>
        </w:rPr>
        <w:t>14.1</w:t>
      </w:r>
      <w:r>
        <w:rPr>
          <w:rFonts w:hint="eastAsia"/>
        </w:rPr>
        <w:tab/>
        <w:t>缔约国力图通过警察公共投诉局(申诉机关)——其职责是接收和调查对警察提起的投诉，处理国家官员在警方拘留机构内对妇女实施酷刑或虐待的指控。如下表所示，申诉机关接收并调查了一系列此类投诉。申诉机关还通过用英语和其他当地语言出版的信息、教育和宣传材料，以及播放电视和电台广告提高公众认识。申诉机关还在赞比亚的所有地区举办宣传会和讲习班。</w:t>
      </w:r>
    </w:p>
    <w:p w:rsidR="00D976FC" w:rsidRDefault="00D976FC" w:rsidP="006B213A">
      <w:pPr>
        <w:pStyle w:val="SingleTxt"/>
        <w:tabs>
          <w:tab w:val="clear" w:pos="1695"/>
          <w:tab w:val="left" w:pos="1932"/>
        </w:tabs>
        <w:spacing w:after="120" w:line="332" w:lineRule="exact"/>
        <w:rPr>
          <w:rFonts w:hint="eastAsia"/>
        </w:rPr>
      </w:pPr>
      <w:r>
        <w:rPr>
          <w:rFonts w:hint="eastAsia"/>
        </w:rPr>
        <w:t>14.2</w:t>
      </w:r>
      <w:r>
        <w:rPr>
          <w:rFonts w:hint="eastAsia"/>
        </w:rPr>
        <w:tab/>
        <w:t>此外，缔约国还报告已经通过《专员议事规则》向全体狱警发布指令，规定须尊重妇女的权利，且不得让她们从事苦役，除非法庭裁定其有罪，并判处其在服刑的同时从事苦役。</w:t>
      </w:r>
    </w:p>
    <w:p w:rsidR="00D976FC" w:rsidRPr="006B213A" w:rsidRDefault="00D976FC" w:rsidP="006B213A">
      <w:pPr>
        <w:pStyle w:val="SingleTxt"/>
        <w:spacing w:after="120"/>
        <w:rPr>
          <w:rFonts w:ascii="SimHei" w:eastAsia="SimHei" w:hint="eastAsia"/>
        </w:rPr>
      </w:pPr>
      <w:r w:rsidRPr="006B213A">
        <w:rPr>
          <w:rFonts w:ascii="SimHei" w:eastAsia="SimHei" w:hint="eastAsia"/>
        </w:rPr>
        <w:t>性暴力意识方案</w:t>
      </w:r>
    </w:p>
    <w:p w:rsidR="00D976FC" w:rsidRDefault="00D976FC" w:rsidP="006B213A">
      <w:pPr>
        <w:pStyle w:val="SingleTxt"/>
        <w:tabs>
          <w:tab w:val="clear" w:pos="1695"/>
          <w:tab w:val="left" w:pos="1932"/>
        </w:tabs>
        <w:spacing w:after="120"/>
        <w:rPr>
          <w:rFonts w:hint="eastAsia"/>
        </w:rPr>
      </w:pPr>
      <w:r>
        <w:rPr>
          <w:rFonts w:hint="eastAsia"/>
        </w:rPr>
        <w:t>14.3</w:t>
      </w:r>
      <w:r>
        <w:rPr>
          <w:rFonts w:hint="eastAsia"/>
        </w:rPr>
        <w:tab/>
        <w:t>缔约国谨报告，举报的性虐待案件数量之所以显著增加，是因为就人权，尤其是性暴力和基于性别的暴力问题实施了各种提高认识的方案，其中包括焦点小组讨论；以及电子及印刷媒体宣传方案。</w:t>
      </w:r>
    </w:p>
    <w:p w:rsidR="00D976FC" w:rsidRDefault="00D976FC" w:rsidP="006B213A">
      <w:pPr>
        <w:pStyle w:val="SingleTxt"/>
        <w:spacing w:after="120"/>
        <w:rPr>
          <w:rFonts w:hint="eastAsia"/>
        </w:rPr>
      </w:pPr>
      <w:r>
        <w:rPr>
          <w:rFonts w:hint="eastAsia"/>
        </w:rPr>
        <w:t>15.</w:t>
      </w:r>
      <w:r>
        <w:rPr>
          <w:rFonts w:hint="eastAsia"/>
        </w:rPr>
        <w:tab/>
      </w:r>
      <w:r w:rsidRPr="006B213A">
        <w:rPr>
          <w:rFonts w:ascii="SimHei" w:eastAsia="SimHei" w:hint="eastAsia"/>
        </w:rPr>
        <w:t>报告第42和43段指出，成立了警察公共投诉局(申诉机关)，并于2003年5月7日开始运作。报告称，缔约国认为，该申诉机关为所有包括妇女和儿童在内的个人提供了一个举报任何警察人员滥用权力行为而要求予以平反的申诉渠道。如有以下方面的资料，请予提供：申诉机关已收到的女性投诉量、投诉类型、调查这些投诉的情况和对肇事者的起诉及惩罚</w:t>
      </w:r>
      <w:r>
        <w:rPr>
          <w:rFonts w:hint="eastAsia"/>
        </w:rPr>
        <w:t>。</w:t>
      </w:r>
    </w:p>
    <w:p w:rsidR="00D976FC" w:rsidRDefault="00D976FC" w:rsidP="006B213A">
      <w:pPr>
        <w:pStyle w:val="SingleTxt"/>
        <w:tabs>
          <w:tab w:val="clear" w:pos="1695"/>
          <w:tab w:val="left" w:pos="1932"/>
        </w:tabs>
        <w:spacing w:after="120"/>
        <w:rPr>
          <w:rFonts w:hint="eastAsia"/>
        </w:rPr>
      </w:pPr>
      <w:r>
        <w:rPr>
          <w:rFonts w:hint="eastAsia"/>
        </w:rPr>
        <w:t>15.1</w:t>
      </w:r>
      <w:r>
        <w:rPr>
          <w:rFonts w:hint="eastAsia"/>
        </w:rPr>
        <w:tab/>
        <w:t>现有统计资料显示，2003-2010年间，警察公共投诉局共记录了274起妇女对执法官员提出的投诉，涉及侵犯人身、酷刑、恐吓性暴力、非法羁押、骚扰、性虐待、污辱、性挑逗和人口贩运。</w:t>
      </w:r>
    </w:p>
    <w:p w:rsidR="00D976FC" w:rsidRDefault="00D976FC" w:rsidP="006B213A">
      <w:pPr>
        <w:pStyle w:val="SingleTxt"/>
        <w:tabs>
          <w:tab w:val="clear" w:pos="1695"/>
          <w:tab w:val="left" w:pos="1932"/>
        </w:tabs>
        <w:spacing w:after="120"/>
        <w:rPr>
          <w:rFonts w:hint="eastAsia"/>
        </w:rPr>
      </w:pPr>
      <w:r>
        <w:rPr>
          <w:rFonts w:hint="eastAsia"/>
        </w:rPr>
        <w:t>15.2</w:t>
      </w:r>
      <w:r>
        <w:rPr>
          <w:rFonts w:hint="eastAsia"/>
        </w:rPr>
        <w:tab/>
        <w:t>对274起投诉中的99起进行了调查并结案。52名警察被证明无罪，指控不成立。另建议对23名警察采取惩戒行为，其中2人被警局开除，他们请求高等法院进行司法复审，法院裁定这两人胜诉，他们随后复职。</w:t>
      </w:r>
    </w:p>
    <w:p w:rsidR="00D976FC" w:rsidRPr="006B213A" w:rsidRDefault="00D976FC" w:rsidP="00D976FC">
      <w:pPr>
        <w:pStyle w:val="SingleTxt"/>
        <w:rPr>
          <w:rFonts w:ascii="SimHei" w:eastAsia="SimHei" w:hint="eastAsia"/>
        </w:rPr>
      </w:pPr>
      <w:r w:rsidRPr="006B213A">
        <w:rPr>
          <w:rFonts w:ascii="SimHei" w:eastAsia="SimHei" w:hint="eastAsia"/>
        </w:rPr>
        <w:t>按年份分列的妇女投诉情况</w:t>
      </w:r>
    </w:p>
    <w:tbl>
      <w:tblPr>
        <w:tblW w:w="0" w:type="auto"/>
        <w:tblInd w:w="1260" w:type="dxa"/>
        <w:tblLayout w:type="fixed"/>
        <w:tblCellMar>
          <w:left w:w="0" w:type="dxa"/>
          <w:right w:w="0" w:type="dxa"/>
        </w:tblCellMar>
        <w:tblLook w:val="0000" w:firstRow="0" w:lastRow="0" w:firstColumn="0" w:lastColumn="0" w:noHBand="0" w:noVBand="0"/>
      </w:tblPr>
      <w:tblGrid>
        <w:gridCol w:w="1764"/>
        <w:gridCol w:w="618"/>
        <w:gridCol w:w="618"/>
        <w:gridCol w:w="618"/>
        <w:gridCol w:w="618"/>
        <w:gridCol w:w="618"/>
        <w:gridCol w:w="618"/>
        <w:gridCol w:w="618"/>
        <w:gridCol w:w="618"/>
        <w:gridCol w:w="618"/>
      </w:tblGrid>
      <w:tr w:rsidR="006B213A" w:rsidRPr="006B213A" w:rsidTr="006B213A">
        <w:tblPrEx>
          <w:tblCellMar>
            <w:top w:w="0" w:type="dxa"/>
            <w:bottom w:w="0" w:type="dxa"/>
          </w:tblCellMar>
        </w:tblPrEx>
        <w:trPr>
          <w:tblHeader/>
        </w:trPr>
        <w:tc>
          <w:tcPr>
            <w:tcW w:w="1764"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rPr>
                <w:rFonts w:ascii="KaiTi_GB2312" w:eastAsia="KaiTi_GB2312"/>
                <w:sz w:val="13"/>
                <w:szCs w:val="13"/>
              </w:rPr>
            </w:pPr>
            <w:r w:rsidRPr="006B213A">
              <w:rPr>
                <w:rFonts w:ascii="KaiTi_GB2312" w:eastAsia="KaiTi_GB2312" w:hAnsi="SimSun"/>
                <w:iCs/>
                <w:sz w:val="13"/>
                <w:szCs w:val="13"/>
              </w:rPr>
              <w:t>投诉性质</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2003</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2004</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2005</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2006</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2007</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2008</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2009</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iCs/>
                <w:sz w:val="13"/>
                <w:szCs w:val="13"/>
              </w:rPr>
              <w:t>2010</w:t>
            </w:r>
            <w:r w:rsidRPr="006B213A">
              <w:rPr>
                <w:rFonts w:ascii="KaiTi_GB2312" w:eastAsia="KaiTi_GB2312" w:hAnsi="SimSun"/>
                <w:iCs/>
                <w:sz w:val="13"/>
                <w:szCs w:val="13"/>
              </w:rPr>
              <w:t>年</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1785"/>
              </w:tabs>
              <w:suppressAutoHyphens/>
              <w:spacing w:before="60" w:after="60" w:line="200" w:lineRule="exact"/>
              <w:ind w:right="57"/>
              <w:jc w:val="right"/>
              <w:rPr>
                <w:rFonts w:ascii="KaiTi_GB2312" w:eastAsia="KaiTi_GB2312"/>
                <w:sz w:val="13"/>
                <w:szCs w:val="13"/>
              </w:rPr>
            </w:pPr>
            <w:r w:rsidRPr="006B213A">
              <w:rPr>
                <w:rFonts w:ascii="KaiTi_GB2312" w:eastAsia="KaiTi_GB2312" w:hAnsi="SimSun"/>
                <w:iCs/>
                <w:sz w:val="13"/>
                <w:szCs w:val="13"/>
              </w:rPr>
              <w:t>合计</w:t>
            </w:r>
          </w:p>
        </w:tc>
      </w:tr>
      <w:tr w:rsidR="006B213A" w:rsidRPr="006B213A" w:rsidTr="006B213A">
        <w:tblPrEx>
          <w:tblCellMar>
            <w:top w:w="0" w:type="dxa"/>
            <w:bottom w:w="0" w:type="dxa"/>
          </w:tblCellMar>
        </w:tblPrEx>
        <w:trPr>
          <w:trHeight w:hRule="exact" w:val="115"/>
          <w:tblHeader/>
        </w:trPr>
        <w:tc>
          <w:tcPr>
            <w:tcW w:w="1764"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rPr>
                <w:rFonts w:ascii="Times New Roman" w:hAnsi="SimSun"/>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iCs/>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iCs/>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iCs/>
                <w:sz w:val="17"/>
                <w:szCs w:val="18"/>
              </w:rPr>
            </w:pPr>
          </w:p>
        </w:tc>
        <w:tc>
          <w:tcPr>
            <w:tcW w:w="618" w:type="dxa"/>
            <w:tcBorders>
              <w:top w:val="single" w:sz="12" w:space="0" w:color="auto"/>
            </w:tcBorders>
            <w:shd w:val="clear" w:color="auto" w:fill="auto"/>
            <w:vAlign w:val="bottom"/>
          </w:tcPr>
          <w:p w:rsidR="006B213A" w:rsidRPr="006B213A" w:rsidRDefault="006B213A" w:rsidP="006B213A">
            <w:pPr>
              <w:tabs>
                <w:tab w:val="left" w:pos="1785"/>
              </w:tabs>
              <w:suppressAutoHyphens/>
              <w:spacing w:after="60" w:line="280" w:lineRule="exact"/>
              <w:ind w:right="57"/>
              <w:jc w:val="right"/>
              <w:rPr>
                <w:rFonts w:ascii="Times New Roman"/>
                <w:sz w:val="17"/>
                <w:szCs w:val="18"/>
              </w:rPr>
            </w:pP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侵犯人身/酷刑/殴打</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4</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iCs/>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3</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4</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4</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iCs/>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iCs/>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恐吓性暴力</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4</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非法羁押</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8</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15</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13</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9</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10</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10</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7</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83</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骚扰</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11</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滥用职权/收债</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4</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5</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_</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6</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21</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逼婚</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在警察羁押时死亡</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4</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12</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工作人员问题</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不专业的行为</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19</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17</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9</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5</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5</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5</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9</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80</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不作为</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8</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4</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3</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3</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3</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3</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26</w:t>
            </w:r>
          </w:p>
        </w:tc>
      </w:tr>
      <w:tr w:rsidR="006B213A" w:rsidRPr="006B213A" w:rsidTr="006B213A">
        <w:tblPrEx>
          <w:tblCellMar>
            <w:top w:w="0" w:type="dxa"/>
            <w:bottom w:w="0" w:type="dxa"/>
          </w:tblCellMar>
        </w:tblPrEx>
        <w:tc>
          <w:tcPr>
            <w:tcW w:w="1764"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firstLine="7"/>
              <w:rPr>
                <w:rFonts w:hAnsi="SimSun"/>
                <w:sz w:val="17"/>
                <w:szCs w:val="18"/>
              </w:rPr>
            </w:pPr>
            <w:r w:rsidRPr="006B213A">
              <w:rPr>
                <w:rFonts w:hAnsi="SimSun"/>
                <w:sz w:val="17"/>
                <w:szCs w:val="18"/>
              </w:rPr>
              <w:t>被脱光衣服/强迫堕胎/性虐待/污辱/性挑逗</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5</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3</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13</w:t>
            </w:r>
          </w:p>
        </w:tc>
      </w:tr>
      <w:tr w:rsidR="006B213A" w:rsidRPr="006B213A" w:rsidTr="006B213A">
        <w:tblPrEx>
          <w:tblCellMar>
            <w:top w:w="0" w:type="dxa"/>
            <w:bottom w:w="0" w:type="dxa"/>
          </w:tblCellMar>
        </w:tblPrEx>
        <w:tc>
          <w:tcPr>
            <w:tcW w:w="1764"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rPr>
                <w:rFonts w:hAnsi="SimSun"/>
                <w:sz w:val="17"/>
                <w:szCs w:val="18"/>
              </w:rPr>
            </w:pPr>
            <w:r w:rsidRPr="006B213A">
              <w:rPr>
                <w:rFonts w:hAnsi="SimSun"/>
                <w:sz w:val="17"/>
                <w:szCs w:val="18"/>
              </w:rPr>
              <w:t>人口贩运</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1</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w:t>
            </w:r>
          </w:p>
        </w:tc>
        <w:tc>
          <w:tcPr>
            <w:tcW w:w="618" w:type="dxa"/>
            <w:tcBorders>
              <w:bottom w:val="single" w:sz="4"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after="60" w:line="280" w:lineRule="exact"/>
              <w:ind w:right="57"/>
              <w:jc w:val="right"/>
              <w:rPr>
                <w:rFonts w:hAnsi="SimSun"/>
                <w:sz w:val="17"/>
                <w:szCs w:val="18"/>
              </w:rPr>
            </w:pPr>
            <w:r w:rsidRPr="006B213A">
              <w:rPr>
                <w:rFonts w:hAnsi="SimSun"/>
                <w:sz w:val="17"/>
                <w:szCs w:val="18"/>
              </w:rPr>
              <w:t>2</w:t>
            </w:r>
          </w:p>
        </w:tc>
      </w:tr>
      <w:tr w:rsidR="006B213A" w:rsidRPr="006B213A" w:rsidTr="006B213A">
        <w:tblPrEx>
          <w:tblCellMar>
            <w:top w:w="0" w:type="dxa"/>
            <w:bottom w:w="0" w:type="dxa"/>
          </w:tblCellMar>
        </w:tblPrEx>
        <w:tc>
          <w:tcPr>
            <w:tcW w:w="1764"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rPr>
                <w:rFonts w:ascii="SimHei" w:eastAsia="SimHei" w:hAnsi="SimSun"/>
                <w:b/>
                <w:sz w:val="17"/>
                <w:szCs w:val="18"/>
              </w:rPr>
            </w:pPr>
            <w:r w:rsidRPr="006B213A">
              <w:rPr>
                <w:rFonts w:ascii="SimHei" w:eastAsia="SimHei" w:hAnsi="SimSun" w:hint="eastAsia"/>
                <w:b/>
                <w:sz w:val="17"/>
                <w:szCs w:val="18"/>
              </w:rPr>
              <w:tab/>
            </w:r>
            <w:r w:rsidRPr="006B213A">
              <w:rPr>
                <w:rFonts w:ascii="SimHei" w:eastAsia="SimHei" w:hAnsi="SimSun"/>
                <w:b/>
                <w:sz w:val="17"/>
                <w:szCs w:val="18"/>
              </w:rPr>
              <w:t>合计</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50</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45</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36</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34</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26</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26</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27</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30</w:t>
            </w:r>
          </w:p>
        </w:tc>
        <w:tc>
          <w:tcPr>
            <w:tcW w:w="618" w:type="dxa"/>
            <w:tcBorders>
              <w:top w:val="single" w:sz="4" w:space="0" w:color="auto"/>
              <w:bottom w:val="single" w:sz="12" w:space="0" w:color="auto"/>
            </w:tcBorders>
            <w:shd w:val="clear" w:color="auto" w:fill="auto"/>
            <w:vAlign w:val="bottom"/>
          </w:tcPr>
          <w:p w:rsidR="006B213A" w:rsidRPr="006B213A" w:rsidRDefault="006B213A" w:rsidP="006B213A">
            <w:pPr>
              <w:tabs>
                <w:tab w:val="left" w:pos="334"/>
                <w:tab w:val="left" w:pos="669"/>
                <w:tab w:val="left" w:pos="1003"/>
                <w:tab w:val="left" w:pos="1338"/>
              </w:tabs>
              <w:suppressAutoHyphens/>
              <w:spacing w:before="40" w:after="80" w:line="280" w:lineRule="exact"/>
              <w:ind w:right="57"/>
              <w:jc w:val="right"/>
              <w:rPr>
                <w:rFonts w:ascii="SimHei" w:eastAsia="SimHei" w:hAnsi="SimSun"/>
                <w:b/>
                <w:sz w:val="17"/>
                <w:szCs w:val="18"/>
              </w:rPr>
            </w:pPr>
            <w:r w:rsidRPr="006B213A">
              <w:rPr>
                <w:rFonts w:ascii="SimHei" w:eastAsia="SimHei" w:hAnsi="SimSun"/>
                <w:b/>
                <w:sz w:val="17"/>
                <w:szCs w:val="18"/>
              </w:rPr>
              <w:t>274</w:t>
            </w:r>
          </w:p>
        </w:tc>
      </w:tr>
    </w:tbl>
    <w:p w:rsidR="006B213A" w:rsidRPr="006B213A" w:rsidRDefault="006B213A" w:rsidP="006B213A">
      <w:pPr>
        <w:pStyle w:val="SingleTxt"/>
        <w:spacing w:after="0" w:line="120" w:lineRule="exact"/>
        <w:rPr>
          <w:rFonts w:hint="eastAsia"/>
          <w:sz w:val="10"/>
        </w:rPr>
      </w:pPr>
    </w:p>
    <w:p w:rsidR="00D976FC" w:rsidRDefault="00D976FC" w:rsidP="006B213A">
      <w:pPr>
        <w:pStyle w:val="FootnoteText"/>
        <w:tabs>
          <w:tab w:val="clear" w:pos="418"/>
          <w:tab w:val="right" w:pos="1476"/>
          <w:tab w:val="left" w:pos="1548"/>
          <w:tab w:val="right" w:pos="1836"/>
          <w:tab w:val="left" w:pos="1908"/>
        </w:tabs>
        <w:spacing w:after="180"/>
        <w:ind w:left="1548" w:right="1264" w:hanging="289"/>
        <w:rPr>
          <w:rFonts w:hint="eastAsia"/>
        </w:rPr>
      </w:pPr>
      <w:r w:rsidRPr="006B213A">
        <w:rPr>
          <w:rFonts w:ascii="KaiTi_GB2312" w:eastAsia="KaiTi_GB2312" w:hint="eastAsia"/>
        </w:rPr>
        <w:t>资料来源</w:t>
      </w:r>
      <w:r>
        <w:rPr>
          <w:rFonts w:hint="eastAsia"/>
        </w:rPr>
        <w:t>：申诉机关。</w:t>
      </w:r>
    </w:p>
    <w:p w:rsidR="00D976FC" w:rsidRPr="006B213A" w:rsidRDefault="00D976FC" w:rsidP="00D976FC">
      <w:pPr>
        <w:pStyle w:val="SingleTxt"/>
        <w:rPr>
          <w:rFonts w:ascii="SimHei" w:eastAsia="SimHei" w:hint="eastAsia"/>
        </w:rPr>
      </w:pPr>
      <w:r w:rsidRPr="006B213A">
        <w:rPr>
          <w:rFonts w:ascii="SimHei" w:eastAsia="SimHei" w:hint="eastAsia"/>
        </w:rPr>
        <w:t>贩卖以及从卖淫中营利</w:t>
      </w:r>
    </w:p>
    <w:p w:rsidR="00D976FC" w:rsidRDefault="00D976FC" w:rsidP="00D976FC">
      <w:pPr>
        <w:pStyle w:val="SingleTxt"/>
        <w:rPr>
          <w:rFonts w:hint="eastAsia"/>
        </w:rPr>
      </w:pPr>
      <w:r>
        <w:rPr>
          <w:rFonts w:hint="eastAsia"/>
        </w:rPr>
        <w:t>16.</w:t>
      </w:r>
      <w:r>
        <w:rPr>
          <w:rFonts w:hint="eastAsia"/>
        </w:rPr>
        <w:tab/>
      </w:r>
      <w:r w:rsidRPr="006B213A">
        <w:rPr>
          <w:rFonts w:ascii="SimHei" w:eastAsia="SimHei" w:hint="eastAsia"/>
        </w:rPr>
        <w:t>报告第64(a)段称，2004年设立了贩运问题部际委员会，其任务是处理人口贩运问题，并制定初步的《国家行动计划》(该计划已经制定)。请详细介绍该委员会的任务、组成和活动情况。还请提供更多有关初步国家行动计划的信息，并说明在制定有关贩运人口的政策和立法方面有无进展。请详细说明为全国各地卖淫和贩卖人口受害者提供庇护和其他服务的任何计划。还请说明缔约国是否正在考虑对赞比亚境内贩运行为的性质、程度和因果关系进行研究，以影响政府的政策、战略和干预</w:t>
      </w:r>
      <w:r>
        <w:rPr>
          <w:rFonts w:hint="eastAsia"/>
        </w:rPr>
        <w:t>。</w:t>
      </w:r>
    </w:p>
    <w:p w:rsidR="00D976FC" w:rsidRPr="006B213A" w:rsidRDefault="00D976FC" w:rsidP="00D976FC">
      <w:pPr>
        <w:pStyle w:val="SingleTxt"/>
        <w:rPr>
          <w:rFonts w:ascii="SimHei" w:eastAsia="SimHei" w:hint="eastAsia"/>
        </w:rPr>
      </w:pPr>
      <w:r w:rsidRPr="006B213A">
        <w:rPr>
          <w:rFonts w:ascii="SimHei" w:eastAsia="SimHei" w:hint="eastAsia"/>
        </w:rPr>
        <w:t>贩运问题部际委员会的职责、组成和活动</w:t>
      </w:r>
    </w:p>
    <w:p w:rsidR="00D976FC" w:rsidRDefault="00D976FC" w:rsidP="006B213A">
      <w:pPr>
        <w:pStyle w:val="SingleTxt"/>
        <w:tabs>
          <w:tab w:val="clear" w:pos="1695"/>
          <w:tab w:val="left" w:pos="1932"/>
        </w:tabs>
        <w:rPr>
          <w:rFonts w:hint="eastAsia"/>
        </w:rPr>
      </w:pPr>
      <w:r>
        <w:rPr>
          <w:rFonts w:hint="eastAsia"/>
        </w:rPr>
        <w:t>16.1</w:t>
      </w:r>
      <w:r>
        <w:rPr>
          <w:rFonts w:hint="eastAsia"/>
        </w:rPr>
        <w:tab/>
        <w:t>贩运问题部际委员会系遵照2008年《打击人口贩运法》成立，其职责是开展以下活动：</w:t>
      </w:r>
    </w:p>
    <w:p w:rsidR="00D976FC" w:rsidRDefault="006B213A" w:rsidP="00D976FC">
      <w:pPr>
        <w:pStyle w:val="SingleTxt"/>
        <w:rPr>
          <w:rFonts w:hint="eastAsia"/>
        </w:rPr>
      </w:pPr>
      <w:r>
        <w:rPr>
          <w:rFonts w:hint="eastAsia"/>
        </w:rPr>
        <w:tab/>
      </w:r>
      <w:r w:rsidR="00D976FC">
        <w:rPr>
          <w:rFonts w:hint="eastAsia"/>
        </w:rPr>
        <w:t>(a)</w:t>
      </w:r>
      <w:r w:rsidR="00D976FC">
        <w:rPr>
          <w:rFonts w:hint="eastAsia"/>
        </w:rPr>
        <w:tab/>
        <w:t>协调所有相关机构在贩运问题上的活动；</w:t>
      </w:r>
    </w:p>
    <w:p w:rsidR="00D976FC" w:rsidRDefault="006B213A" w:rsidP="00D976FC">
      <w:pPr>
        <w:pStyle w:val="SingleTxt"/>
        <w:rPr>
          <w:rFonts w:hint="eastAsia"/>
        </w:rPr>
      </w:pPr>
      <w:r>
        <w:rPr>
          <w:rFonts w:hint="eastAsia"/>
        </w:rPr>
        <w:tab/>
      </w:r>
      <w:r w:rsidR="00D976FC">
        <w:rPr>
          <w:rFonts w:hint="eastAsia"/>
        </w:rPr>
        <w:t>(b)</w:t>
      </w:r>
      <w:r w:rsidR="00D976FC">
        <w:rPr>
          <w:rFonts w:hint="eastAsia"/>
        </w:rPr>
        <w:tab/>
        <w:t>对打击人口贩运的《国家行动计划》提出建议，监测和报告《国家行动计划》的进展情况；</w:t>
      </w:r>
    </w:p>
    <w:p w:rsidR="00D976FC" w:rsidRDefault="006B213A" w:rsidP="00D976FC">
      <w:pPr>
        <w:pStyle w:val="SingleTxt"/>
        <w:rPr>
          <w:rFonts w:hint="eastAsia"/>
        </w:rPr>
      </w:pPr>
      <w:r>
        <w:rPr>
          <w:rFonts w:hint="eastAsia"/>
        </w:rPr>
        <w:tab/>
      </w:r>
      <w:r w:rsidR="00D976FC">
        <w:rPr>
          <w:rFonts w:hint="eastAsia"/>
        </w:rPr>
        <w:t>(c)</w:t>
      </w:r>
      <w:r w:rsidR="00D976FC">
        <w:rPr>
          <w:rFonts w:hint="eastAsia"/>
        </w:rPr>
        <w:tab/>
        <w:t>就与人口贩运有关的政策问题向内政部提出建议；</w:t>
      </w:r>
    </w:p>
    <w:p w:rsidR="00D976FC" w:rsidRDefault="006B213A" w:rsidP="00D976FC">
      <w:pPr>
        <w:pStyle w:val="SingleTxt"/>
        <w:rPr>
          <w:rFonts w:hint="eastAsia"/>
        </w:rPr>
      </w:pPr>
      <w:r>
        <w:rPr>
          <w:rFonts w:hint="eastAsia"/>
        </w:rPr>
        <w:tab/>
      </w:r>
      <w:r w:rsidR="00D976FC">
        <w:rPr>
          <w:rFonts w:hint="eastAsia"/>
        </w:rPr>
        <w:t>(d)</w:t>
      </w:r>
      <w:r w:rsidR="00D976FC">
        <w:rPr>
          <w:rFonts w:hint="eastAsia"/>
        </w:rPr>
        <w:tab/>
        <w:t>对贩运案件的调查和起诉提出意见；</w:t>
      </w:r>
    </w:p>
    <w:p w:rsidR="00D976FC" w:rsidRDefault="006B213A" w:rsidP="00D976FC">
      <w:pPr>
        <w:pStyle w:val="SingleTxt"/>
        <w:rPr>
          <w:rFonts w:hint="eastAsia"/>
        </w:rPr>
      </w:pPr>
      <w:r>
        <w:rPr>
          <w:rFonts w:hint="eastAsia"/>
        </w:rPr>
        <w:tab/>
      </w:r>
      <w:r w:rsidR="00D976FC">
        <w:rPr>
          <w:rFonts w:hint="eastAsia"/>
        </w:rPr>
        <w:t>(e)</w:t>
      </w:r>
      <w:r w:rsidR="00D976FC">
        <w:rPr>
          <w:rFonts w:hint="eastAsia"/>
        </w:rPr>
        <w:tab/>
        <w:t>提出和宣传预防和打击人口贩运的战略；</w:t>
      </w:r>
    </w:p>
    <w:p w:rsidR="00D976FC" w:rsidRDefault="006B213A" w:rsidP="00D976FC">
      <w:pPr>
        <w:pStyle w:val="SingleTxt"/>
        <w:rPr>
          <w:rFonts w:hint="eastAsia"/>
        </w:rPr>
      </w:pPr>
      <w:r>
        <w:rPr>
          <w:rFonts w:hint="eastAsia"/>
        </w:rPr>
        <w:tab/>
      </w:r>
      <w:r w:rsidR="00D976FC">
        <w:rPr>
          <w:rFonts w:hint="eastAsia"/>
        </w:rPr>
        <w:t>(f)</w:t>
      </w:r>
      <w:r w:rsidR="00D976FC">
        <w:rPr>
          <w:rFonts w:hint="eastAsia"/>
        </w:rPr>
        <w:tab/>
        <w:t>与政府机构和非政府组织建立联系，促进受害者康复和重返社会；</w:t>
      </w:r>
    </w:p>
    <w:p w:rsidR="00D976FC" w:rsidRDefault="006B213A" w:rsidP="00D976FC">
      <w:pPr>
        <w:pStyle w:val="SingleTxt"/>
        <w:rPr>
          <w:rFonts w:hint="eastAsia"/>
        </w:rPr>
      </w:pPr>
      <w:r>
        <w:rPr>
          <w:rFonts w:hint="eastAsia"/>
        </w:rPr>
        <w:tab/>
      </w:r>
      <w:r w:rsidR="00D976FC">
        <w:rPr>
          <w:rFonts w:hint="eastAsia"/>
        </w:rPr>
        <w:t>(g)</w:t>
      </w:r>
      <w:r w:rsidR="00D976FC">
        <w:rPr>
          <w:rFonts w:hint="eastAsia"/>
        </w:rPr>
        <w:tab/>
        <w:t>编制基金支付指南；</w:t>
      </w:r>
    </w:p>
    <w:p w:rsidR="00D976FC" w:rsidRDefault="006B213A" w:rsidP="00D976FC">
      <w:pPr>
        <w:pStyle w:val="SingleTxt"/>
        <w:rPr>
          <w:rFonts w:hint="eastAsia"/>
        </w:rPr>
      </w:pPr>
      <w:r>
        <w:rPr>
          <w:rFonts w:hint="eastAsia"/>
        </w:rPr>
        <w:tab/>
      </w:r>
      <w:r w:rsidR="00D976FC">
        <w:rPr>
          <w:rFonts w:hint="eastAsia"/>
        </w:rPr>
        <w:t>(h)</w:t>
      </w:r>
      <w:r w:rsidR="00D976FC">
        <w:rPr>
          <w:rFonts w:hint="eastAsia"/>
        </w:rPr>
        <w:tab/>
        <w:t>密切关注人口贩运方面的国际和区域发展情况及标准；</w:t>
      </w:r>
    </w:p>
    <w:p w:rsidR="00D976FC" w:rsidRDefault="006B213A" w:rsidP="00D976FC">
      <w:pPr>
        <w:pStyle w:val="SingleTxt"/>
        <w:rPr>
          <w:rFonts w:hint="eastAsia"/>
        </w:rPr>
      </w:pPr>
      <w:r>
        <w:rPr>
          <w:rFonts w:hint="eastAsia"/>
        </w:rPr>
        <w:tab/>
      </w:r>
      <w:r w:rsidR="00D976FC">
        <w:rPr>
          <w:rFonts w:hint="eastAsia"/>
        </w:rPr>
        <w:t>(i)</w:t>
      </w:r>
      <w:r w:rsidR="00D976FC">
        <w:rPr>
          <w:rFonts w:hint="eastAsia"/>
        </w:rPr>
        <w:tab/>
        <w:t>处理与人口贩运有关的所有其他事项。</w:t>
      </w:r>
    </w:p>
    <w:p w:rsidR="00D976FC" w:rsidRPr="00690919" w:rsidRDefault="00D976FC" w:rsidP="00690919">
      <w:pPr>
        <w:pStyle w:val="SingleTxt"/>
        <w:tabs>
          <w:tab w:val="clear" w:pos="1695"/>
          <w:tab w:val="left" w:pos="1932"/>
        </w:tabs>
        <w:spacing w:line="326" w:lineRule="exact"/>
        <w:rPr>
          <w:rFonts w:hint="eastAsia"/>
          <w:spacing w:val="-2"/>
        </w:rPr>
      </w:pPr>
      <w:r>
        <w:rPr>
          <w:rFonts w:hint="eastAsia"/>
        </w:rPr>
        <w:t>16.2</w:t>
      </w:r>
      <w:r>
        <w:rPr>
          <w:rFonts w:hint="eastAsia"/>
        </w:rPr>
        <w:tab/>
      </w:r>
      <w:r w:rsidRPr="00690919">
        <w:rPr>
          <w:rFonts w:hint="eastAsia"/>
          <w:spacing w:val="-2"/>
        </w:rPr>
        <w:t>贩运问题部际委员会包括来自以下机构的成员：内政部；性别发展司；司法部；社区发展与社会服务部；外交部；人权委员会；以及非政府组织协调委员会。</w:t>
      </w:r>
    </w:p>
    <w:p w:rsidR="00D976FC" w:rsidRPr="006B213A" w:rsidRDefault="00D976FC" w:rsidP="00690919">
      <w:pPr>
        <w:pStyle w:val="SingleTxt"/>
        <w:spacing w:line="326" w:lineRule="exact"/>
        <w:rPr>
          <w:rFonts w:ascii="SimHei" w:eastAsia="SimHei" w:hint="eastAsia"/>
        </w:rPr>
      </w:pPr>
      <w:r w:rsidRPr="006B213A">
        <w:rPr>
          <w:rFonts w:ascii="SimHei" w:eastAsia="SimHei" w:hint="eastAsia"/>
        </w:rPr>
        <w:t>打击人口贩运国家行动计划</w:t>
      </w:r>
    </w:p>
    <w:p w:rsidR="00D976FC" w:rsidRDefault="00D976FC" w:rsidP="00690919">
      <w:pPr>
        <w:pStyle w:val="SingleTxt"/>
        <w:tabs>
          <w:tab w:val="clear" w:pos="1695"/>
          <w:tab w:val="left" w:pos="1932"/>
        </w:tabs>
        <w:spacing w:line="326" w:lineRule="exact"/>
        <w:rPr>
          <w:rFonts w:hint="eastAsia"/>
        </w:rPr>
      </w:pPr>
      <w:r>
        <w:rPr>
          <w:rFonts w:hint="eastAsia"/>
        </w:rPr>
        <w:t>16.3</w:t>
      </w:r>
      <w:r>
        <w:rPr>
          <w:rFonts w:hint="eastAsia"/>
        </w:rPr>
        <w:tab/>
        <w:t>政府编制了一份关于人口贩运的国家行动计划，规定需加强政府处理贩运案件的对策，与非国家行动方建立伙伴关系以增强公众认识和向贩运受害者提供适当、可得的服务。</w:t>
      </w:r>
    </w:p>
    <w:p w:rsidR="00D976FC" w:rsidRPr="00690919" w:rsidRDefault="00D976FC" w:rsidP="00690919">
      <w:pPr>
        <w:pStyle w:val="SingleTxt"/>
        <w:spacing w:line="326" w:lineRule="exact"/>
        <w:rPr>
          <w:rFonts w:ascii="SimHei" w:eastAsia="SimHei" w:hint="eastAsia"/>
        </w:rPr>
      </w:pPr>
      <w:r w:rsidRPr="00690919">
        <w:rPr>
          <w:rFonts w:ascii="SimHei" w:eastAsia="SimHei" w:hint="eastAsia"/>
        </w:rPr>
        <w:t>打击人口贩运的政策</w:t>
      </w:r>
    </w:p>
    <w:p w:rsidR="00D976FC" w:rsidRDefault="00D976FC" w:rsidP="00690919">
      <w:pPr>
        <w:pStyle w:val="SingleTxt"/>
        <w:tabs>
          <w:tab w:val="clear" w:pos="1695"/>
          <w:tab w:val="left" w:pos="1932"/>
        </w:tabs>
        <w:spacing w:line="326" w:lineRule="exact"/>
        <w:rPr>
          <w:rFonts w:hint="eastAsia"/>
        </w:rPr>
      </w:pPr>
      <w:r>
        <w:rPr>
          <w:rFonts w:hint="eastAsia"/>
        </w:rPr>
        <w:t>16.4</w:t>
      </w:r>
      <w:r>
        <w:rPr>
          <w:rFonts w:hint="eastAsia"/>
        </w:rPr>
        <w:tab/>
        <w:t>缔约国报告称，政府制订了打击人口贩运的政策，并于2009年7月获得通过。</w:t>
      </w:r>
    </w:p>
    <w:p w:rsidR="00D976FC" w:rsidRPr="00690919" w:rsidRDefault="00D976FC" w:rsidP="00690919">
      <w:pPr>
        <w:pStyle w:val="SingleTxt"/>
        <w:spacing w:line="326" w:lineRule="exact"/>
        <w:rPr>
          <w:rFonts w:ascii="SimHei" w:eastAsia="SimHei" w:hint="eastAsia"/>
        </w:rPr>
      </w:pPr>
      <w:r w:rsidRPr="00690919">
        <w:rPr>
          <w:rFonts w:ascii="SimHei" w:eastAsia="SimHei" w:hint="eastAsia"/>
        </w:rPr>
        <w:t>2008年《打击人口贩运法》</w:t>
      </w:r>
    </w:p>
    <w:p w:rsidR="00D976FC" w:rsidRDefault="00D976FC" w:rsidP="00690919">
      <w:pPr>
        <w:pStyle w:val="SingleTxt"/>
        <w:tabs>
          <w:tab w:val="clear" w:pos="1695"/>
          <w:tab w:val="left" w:pos="1932"/>
        </w:tabs>
        <w:spacing w:line="326" w:lineRule="exact"/>
        <w:rPr>
          <w:rFonts w:hint="eastAsia"/>
        </w:rPr>
      </w:pPr>
      <w:r>
        <w:rPr>
          <w:rFonts w:hint="eastAsia"/>
        </w:rPr>
        <w:t>16.5</w:t>
      </w:r>
      <w:r>
        <w:rPr>
          <w:rFonts w:hint="eastAsia"/>
        </w:rPr>
        <w:tab/>
        <w:t>如上所述，赞比亚于2008年颁布了《打击人口贩运法》。</w:t>
      </w:r>
    </w:p>
    <w:p w:rsidR="00D976FC" w:rsidRPr="00690919" w:rsidRDefault="00D976FC" w:rsidP="00690919">
      <w:pPr>
        <w:pStyle w:val="SingleTxt"/>
        <w:spacing w:line="326" w:lineRule="exact"/>
        <w:rPr>
          <w:rFonts w:ascii="SimHei" w:eastAsia="SimHei" w:hint="eastAsia"/>
        </w:rPr>
      </w:pPr>
      <w:r w:rsidRPr="00690919">
        <w:rPr>
          <w:rFonts w:ascii="SimHei" w:eastAsia="SimHei" w:hint="eastAsia"/>
        </w:rPr>
        <w:t>向卖淫和贩运受害者提供庇护及其他服务</w:t>
      </w:r>
    </w:p>
    <w:p w:rsidR="00D976FC" w:rsidRDefault="00D976FC" w:rsidP="00690919">
      <w:pPr>
        <w:pStyle w:val="SingleTxt"/>
        <w:tabs>
          <w:tab w:val="clear" w:pos="1695"/>
          <w:tab w:val="left" w:pos="1932"/>
        </w:tabs>
        <w:spacing w:line="326" w:lineRule="exact"/>
        <w:rPr>
          <w:rFonts w:hint="eastAsia"/>
        </w:rPr>
      </w:pPr>
      <w:r>
        <w:rPr>
          <w:rFonts w:hint="eastAsia"/>
        </w:rPr>
        <w:t>16.6</w:t>
      </w:r>
      <w:r>
        <w:rPr>
          <w:rFonts w:hint="eastAsia"/>
        </w:rPr>
        <w:tab/>
        <w:t>此外，委员会似宜注意2008年《打击人口贩运法》有关建立人口贩运受害者中心的规定。</w:t>
      </w:r>
    </w:p>
    <w:p w:rsidR="00D976FC" w:rsidRDefault="00D976FC" w:rsidP="006B213A">
      <w:pPr>
        <w:pStyle w:val="SingleTxt"/>
        <w:tabs>
          <w:tab w:val="clear" w:pos="1695"/>
          <w:tab w:val="left" w:pos="1932"/>
        </w:tabs>
        <w:rPr>
          <w:rFonts w:hint="eastAsia"/>
        </w:rPr>
      </w:pPr>
      <w:r>
        <w:rPr>
          <w:rFonts w:hint="eastAsia"/>
        </w:rPr>
        <w:t>16.7</w:t>
      </w:r>
      <w:r>
        <w:rPr>
          <w:rFonts w:hint="eastAsia"/>
        </w:rPr>
        <w:tab/>
        <w:t>缔约国报告称，政府计划向国内的卖淫和贩运受害者提供庇护和其他服务，这是2011年的工作重点。目前，缔约国正在与其他利益攸关方合作，确保向贩运受害者提供适当的援助。正在开展可行性研究，以确定可用的庇护所有哪些，并制定最低运作标准。社区发展与社会服务部是这项工作的牵头部委。</w:t>
      </w:r>
    </w:p>
    <w:p w:rsidR="00D976FC" w:rsidRDefault="00D976FC" w:rsidP="006B213A">
      <w:pPr>
        <w:pStyle w:val="SingleTxt"/>
        <w:tabs>
          <w:tab w:val="clear" w:pos="1695"/>
          <w:tab w:val="left" w:pos="1932"/>
        </w:tabs>
        <w:rPr>
          <w:rFonts w:hint="eastAsia"/>
        </w:rPr>
      </w:pPr>
      <w:r>
        <w:rPr>
          <w:rFonts w:hint="eastAsia"/>
        </w:rPr>
        <w:t>16.8</w:t>
      </w:r>
      <w:r>
        <w:rPr>
          <w:rFonts w:hint="eastAsia"/>
        </w:rPr>
        <w:tab/>
        <w:t>缔约国报告称，国际劳工组织(劳工组织)开展了一项关于赞比亚贩运行为的性质、程度、因果关系的研究，以为政府政策、战略和干预提供信息。缔约国进一步报告称，政府正在开展另一项围绕国内劳工和境内贩运问题的研究，目前正在审查潜在咨询人员的提案。</w:t>
      </w:r>
    </w:p>
    <w:p w:rsidR="00D976FC" w:rsidRDefault="00D976FC" w:rsidP="00690919">
      <w:pPr>
        <w:pStyle w:val="SingleTxt"/>
        <w:tabs>
          <w:tab w:val="clear" w:pos="1695"/>
          <w:tab w:val="left" w:pos="1932"/>
        </w:tabs>
        <w:spacing w:line="332" w:lineRule="exact"/>
        <w:rPr>
          <w:rFonts w:hint="eastAsia"/>
        </w:rPr>
      </w:pPr>
      <w:r>
        <w:rPr>
          <w:rFonts w:hint="eastAsia"/>
        </w:rPr>
        <w:t>17.</w:t>
      </w:r>
      <w:r>
        <w:rPr>
          <w:rFonts w:hint="eastAsia"/>
        </w:rPr>
        <w:tab/>
      </w:r>
      <w:r w:rsidRPr="00690919">
        <w:rPr>
          <w:rFonts w:ascii="SimHei" w:eastAsia="SimHei" w:hint="eastAsia"/>
        </w:rPr>
        <w:t>委员会收到的资料显示，赞比亚是贩运人口行为的来源国、目的地和过境点，大量儿童，特别是女孩、孤儿和弱势儿童，受商业剥削(包括卖淫和色情)之害，而且他们的人数还在增加。请提供统计数字(如果有)，说明有多少妇女和女孩沦为出于性剥削和经济剥削目的的贩运行为受害者。也请提供从事卖淫的妇女和女孩人数的统计资料，并说明为防止和惩罚从卖淫中营利行为而采取的措施，以及为希望脱离卖淫业的妇女融入社会提供康复和支持的措施</w:t>
      </w:r>
      <w:r>
        <w:rPr>
          <w:rFonts w:hint="eastAsia"/>
        </w:rPr>
        <w:t>。</w:t>
      </w:r>
    </w:p>
    <w:p w:rsidR="00D976FC" w:rsidRPr="00690919" w:rsidRDefault="00D976FC" w:rsidP="00D976FC">
      <w:pPr>
        <w:pStyle w:val="SingleTxt"/>
        <w:rPr>
          <w:rFonts w:ascii="SimHei" w:eastAsia="SimHei" w:hint="eastAsia"/>
        </w:rPr>
      </w:pPr>
      <w:r w:rsidRPr="00690919">
        <w:rPr>
          <w:rFonts w:ascii="SimHei" w:eastAsia="SimHei" w:hint="eastAsia"/>
        </w:rPr>
        <w:t>关于被贩运或从事卖淫活动的妇女和少女的数据</w:t>
      </w:r>
    </w:p>
    <w:p w:rsidR="00D976FC" w:rsidRDefault="00D976FC" w:rsidP="00690919">
      <w:pPr>
        <w:pStyle w:val="SingleTxt"/>
        <w:tabs>
          <w:tab w:val="clear" w:pos="1695"/>
          <w:tab w:val="left" w:pos="1932"/>
        </w:tabs>
        <w:spacing w:line="332" w:lineRule="exact"/>
        <w:rPr>
          <w:rFonts w:hint="eastAsia"/>
        </w:rPr>
      </w:pPr>
      <w:r>
        <w:rPr>
          <w:rFonts w:hint="eastAsia"/>
        </w:rPr>
        <w:t>17.1</w:t>
      </w:r>
      <w:r>
        <w:rPr>
          <w:rFonts w:hint="eastAsia"/>
        </w:rPr>
        <w:tab/>
        <w:t>缔约国报告称，关于为进行性剥削和经济剥削被贩运或从事卖淫活动的妇女和少女的人数，目前没有掌握这方面的统计数据。但是，缔约国正在开发一种信息系统，系统将对所获数据进行分析并提供可靠数据。缔约国提请委员会注意，这项工作正在进行当中。</w:t>
      </w:r>
    </w:p>
    <w:p w:rsidR="00D976FC" w:rsidRPr="00690919" w:rsidRDefault="00D976FC" w:rsidP="00D976FC">
      <w:pPr>
        <w:pStyle w:val="SingleTxt"/>
        <w:rPr>
          <w:rFonts w:ascii="SimHei" w:eastAsia="SimHei" w:hint="eastAsia"/>
        </w:rPr>
      </w:pPr>
      <w:r w:rsidRPr="00690919">
        <w:rPr>
          <w:rFonts w:ascii="SimHei" w:eastAsia="SimHei" w:hint="eastAsia"/>
        </w:rPr>
        <w:t>防止和惩罚意图营利使妇女卖淫的行径</w:t>
      </w:r>
    </w:p>
    <w:p w:rsidR="00D976FC" w:rsidRDefault="00D976FC" w:rsidP="006B213A">
      <w:pPr>
        <w:pStyle w:val="SingleTxt"/>
        <w:tabs>
          <w:tab w:val="clear" w:pos="1695"/>
          <w:tab w:val="left" w:pos="1932"/>
        </w:tabs>
        <w:rPr>
          <w:rFonts w:hint="eastAsia"/>
        </w:rPr>
      </w:pPr>
      <w:r>
        <w:rPr>
          <w:rFonts w:hint="eastAsia"/>
        </w:rPr>
        <w:t>17.2</w:t>
      </w:r>
      <w:r>
        <w:rPr>
          <w:rFonts w:hint="eastAsia"/>
        </w:rPr>
        <w:tab/>
        <w:t>缔约国报告称，关于防止和惩罚意图营利使妇女卖淫的行径，《刑法典》制定了充分规定。在这方面，《刑法典》禁止以下行为：</w:t>
      </w:r>
    </w:p>
    <w:p w:rsidR="00D976FC" w:rsidRDefault="00690919" w:rsidP="00D976FC">
      <w:pPr>
        <w:pStyle w:val="SingleTxt"/>
        <w:rPr>
          <w:rFonts w:hint="eastAsia"/>
        </w:rPr>
      </w:pPr>
      <w:r>
        <w:rPr>
          <w:rFonts w:hint="eastAsia"/>
        </w:rPr>
        <w:tab/>
      </w:r>
      <w:r w:rsidR="00D976FC">
        <w:rPr>
          <w:rFonts w:hint="eastAsia"/>
        </w:rPr>
        <w:t>(a)</w:t>
      </w:r>
      <w:r w:rsidR="00D976FC">
        <w:rPr>
          <w:rFonts w:hint="eastAsia"/>
        </w:rPr>
        <w:tab/>
        <w:t>个人以卖淫业为生；</w:t>
      </w:r>
    </w:p>
    <w:p w:rsidR="00D976FC" w:rsidRDefault="00690919" w:rsidP="00D976FC">
      <w:pPr>
        <w:pStyle w:val="SingleTxt"/>
        <w:rPr>
          <w:rFonts w:hint="eastAsia"/>
        </w:rPr>
      </w:pPr>
      <w:r>
        <w:rPr>
          <w:rFonts w:hint="eastAsia"/>
        </w:rPr>
        <w:tab/>
      </w:r>
      <w:r w:rsidR="00D976FC">
        <w:rPr>
          <w:rFonts w:hint="eastAsia"/>
        </w:rPr>
        <w:t>(b)</w:t>
      </w:r>
      <w:r w:rsidR="00D976FC">
        <w:rPr>
          <w:rFonts w:hint="eastAsia"/>
        </w:rPr>
        <w:tab/>
        <w:t>个人以营利为目的，以援助、教唆或强迫他人从事卖淫活动的方式，对卖淫活动实施控制、发号施令或施加影响力；</w:t>
      </w:r>
    </w:p>
    <w:p w:rsidR="00D976FC" w:rsidRDefault="00690919" w:rsidP="00D976FC">
      <w:pPr>
        <w:pStyle w:val="SingleTxt"/>
        <w:rPr>
          <w:rFonts w:hint="eastAsia"/>
        </w:rPr>
      </w:pPr>
      <w:r>
        <w:rPr>
          <w:rFonts w:hint="eastAsia"/>
        </w:rPr>
        <w:tab/>
      </w:r>
      <w:r w:rsidR="00D976FC">
        <w:rPr>
          <w:rFonts w:hint="eastAsia"/>
        </w:rPr>
        <w:t>(c)</w:t>
      </w:r>
      <w:r w:rsidR="00D976FC">
        <w:rPr>
          <w:rFonts w:hint="eastAsia"/>
        </w:rPr>
        <w:tab/>
        <w:t>男子因不道德缘由不断招揽生意；</w:t>
      </w:r>
    </w:p>
    <w:p w:rsidR="00D976FC" w:rsidRDefault="00690919" w:rsidP="00D976FC">
      <w:pPr>
        <w:pStyle w:val="SingleTxt"/>
        <w:rPr>
          <w:rFonts w:hint="eastAsia"/>
        </w:rPr>
      </w:pPr>
      <w:r>
        <w:rPr>
          <w:rFonts w:hint="eastAsia"/>
        </w:rPr>
        <w:tab/>
      </w:r>
      <w:r w:rsidR="00D976FC">
        <w:rPr>
          <w:rFonts w:hint="eastAsia"/>
        </w:rPr>
        <w:t>(d)</w:t>
      </w:r>
      <w:r w:rsidR="00D976FC">
        <w:rPr>
          <w:rFonts w:hint="eastAsia"/>
        </w:rPr>
        <w:tab/>
        <w:t>将房屋、房间、套房或任何类型的场地用于卖淫目的。</w:t>
      </w:r>
    </w:p>
    <w:p w:rsidR="00D976FC" w:rsidRDefault="00D976FC" w:rsidP="006B213A">
      <w:pPr>
        <w:pStyle w:val="SingleTxt"/>
        <w:tabs>
          <w:tab w:val="clear" w:pos="1695"/>
          <w:tab w:val="left" w:pos="1932"/>
        </w:tabs>
        <w:rPr>
          <w:rFonts w:hint="eastAsia"/>
        </w:rPr>
      </w:pPr>
      <w:r>
        <w:rPr>
          <w:rFonts w:hint="eastAsia"/>
        </w:rPr>
        <w:t>17.3</w:t>
      </w:r>
      <w:r>
        <w:rPr>
          <w:rFonts w:hint="eastAsia"/>
        </w:rPr>
        <w:tab/>
        <w:t>任何有以上行为者均犯有轻罪。根据《刑法典》，犯有轻罪者可能被处以监禁和罚款，或不予监禁处以罚款。</w:t>
      </w:r>
    </w:p>
    <w:p w:rsidR="00D976FC" w:rsidRPr="00690919" w:rsidRDefault="00D976FC" w:rsidP="00D976FC">
      <w:pPr>
        <w:pStyle w:val="SingleTxt"/>
        <w:rPr>
          <w:rFonts w:ascii="SimHei" w:eastAsia="SimHei" w:hint="eastAsia"/>
        </w:rPr>
      </w:pPr>
      <w:r w:rsidRPr="00690919">
        <w:rPr>
          <w:rFonts w:ascii="SimHei" w:eastAsia="SimHei" w:hint="eastAsia"/>
        </w:rPr>
        <w:t>为想脱离卖淫业的妇女提供康复和支助</w:t>
      </w:r>
    </w:p>
    <w:p w:rsidR="00D976FC" w:rsidRDefault="00D976FC" w:rsidP="006B213A">
      <w:pPr>
        <w:pStyle w:val="SingleTxt"/>
        <w:tabs>
          <w:tab w:val="clear" w:pos="1695"/>
          <w:tab w:val="left" w:pos="1932"/>
        </w:tabs>
        <w:rPr>
          <w:rFonts w:hint="eastAsia"/>
        </w:rPr>
      </w:pPr>
      <w:r>
        <w:rPr>
          <w:rFonts w:hint="eastAsia"/>
        </w:rPr>
        <w:t>17.4</w:t>
      </w:r>
      <w:r>
        <w:rPr>
          <w:rFonts w:hint="eastAsia"/>
        </w:rPr>
        <w:tab/>
        <w:t>缔约国报告称，非政府组织Tasintha为想脱离卖淫业的妇女重返社会提供康复和支助。Tasintha促进从事卖淫活动者的复原工作以及预防机制。Tasintha的方案活动包括确认从事卖淫活动的妇女和儿童、与其建立关系、将其吸收到方案中来、提供关于受害者复原和安置以及家庭团聚的咨询服务、培训简单的实际救生技能和专业技能以及从事创收活动。资料来源：www.tasintha.org</w:t>
      </w:r>
    </w:p>
    <w:p w:rsidR="00D976FC" w:rsidRPr="00690919" w:rsidRDefault="00D976FC" w:rsidP="00D976FC">
      <w:pPr>
        <w:pStyle w:val="SingleTxt"/>
        <w:rPr>
          <w:rFonts w:ascii="SimHei" w:eastAsia="SimHei" w:hint="eastAsia"/>
        </w:rPr>
      </w:pPr>
      <w:r w:rsidRPr="00690919">
        <w:rPr>
          <w:rFonts w:ascii="SimHei" w:eastAsia="SimHei" w:hint="eastAsia"/>
        </w:rPr>
        <w:t>政治参与和参与公共生活</w:t>
      </w:r>
    </w:p>
    <w:p w:rsidR="00D976FC" w:rsidRDefault="00D976FC" w:rsidP="00D976FC">
      <w:pPr>
        <w:pStyle w:val="SingleTxt"/>
        <w:rPr>
          <w:rFonts w:hint="eastAsia"/>
        </w:rPr>
      </w:pPr>
      <w:r>
        <w:rPr>
          <w:rFonts w:hint="eastAsia"/>
        </w:rPr>
        <w:t>18.</w:t>
      </w:r>
      <w:r>
        <w:rPr>
          <w:rFonts w:hint="eastAsia"/>
        </w:rPr>
        <w:tab/>
      </w:r>
      <w:r w:rsidRPr="00690919">
        <w:rPr>
          <w:rFonts w:ascii="SimHei" w:eastAsia="SimHei" w:hint="eastAsia"/>
        </w:rPr>
        <w:t>报告第48段提供统计数字显示，妇女参与政治的程度提高。该报告(第22段)称，缔约国正在公共服务改革计划范围内制定2007年至2011年将性别观点主流化的战略，主要目标是确保增加妇女在公共部门决策职位中的代表性，并确保正在实施的所有方案符合性别观点。请详细说明该战略的现状和内容，并说明是否对这一战略的有效性，以及促进妇女参与公共生活和政治生活的其他措施的有效性，进行过评估。缔约国有没有考虑过按照《公约》第4条第1款采取暂行特别措施，来加强促进妇女进入权力位置的努力(如设立配额制)</w:t>
      </w:r>
      <w:r>
        <w:rPr>
          <w:rFonts w:hint="eastAsia"/>
        </w:rPr>
        <w:t>？</w:t>
      </w:r>
    </w:p>
    <w:p w:rsidR="00D976FC" w:rsidRPr="00690919" w:rsidRDefault="00D976FC" w:rsidP="00D976FC">
      <w:pPr>
        <w:pStyle w:val="SingleTxt"/>
        <w:rPr>
          <w:rFonts w:ascii="SimHei" w:eastAsia="SimHei" w:hint="eastAsia"/>
        </w:rPr>
      </w:pPr>
      <w:r w:rsidRPr="00690919">
        <w:rPr>
          <w:rFonts w:ascii="SimHei" w:eastAsia="SimHei" w:hint="eastAsia"/>
        </w:rPr>
        <w:t>性别观点主流化策略的状况和内容</w:t>
      </w:r>
    </w:p>
    <w:p w:rsidR="00D976FC" w:rsidRDefault="00D976FC" w:rsidP="006B213A">
      <w:pPr>
        <w:pStyle w:val="SingleTxt"/>
        <w:tabs>
          <w:tab w:val="clear" w:pos="1695"/>
          <w:tab w:val="left" w:pos="1932"/>
        </w:tabs>
        <w:rPr>
          <w:rFonts w:hint="eastAsia"/>
        </w:rPr>
      </w:pPr>
      <w:r>
        <w:rPr>
          <w:rFonts w:hint="eastAsia"/>
        </w:rPr>
        <w:t>18.1</w:t>
      </w:r>
      <w:r>
        <w:rPr>
          <w:rFonts w:hint="eastAsia"/>
        </w:rPr>
        <w:tab/>
        <w:t>缔约国报告称，性别观点主流化策略于2010年12月获得内阁秘书核准，目前正处于启动阶段。</w:t>
      </w:r>
    </w:p>
    <w:p w:rsidR="00D976FC" w:rsidRDefault="00D976FC" w:rsidP="006B213A">
      <w:pPr>
        <w:pStyle w:val="SingleTxt"/>
        <w:tabs>
          <w:tab w:val="clear" w:pos="1695"/>
          <w:tab w:val="left" w:pos="1932"/>
        </w:tabs>
        <w:rPr>
          <w:rFonts w:hint="eastAsia"/>
        </w:rPr>
      </w:pPr>
      <w:r>
        <w:rPr>
          <w:rFonts w:hint="eastAsia"/>
        </w:rPr>
        <w:t>18.2</w:t>
      </w:r>
      <w:r>
        <w:rPr>
          <w:rFonts w:hint="eastAsia"/>
        </w:rPr>
        <w:tab/>
        <w:t>该战略的总体目标是在公共服务改革方案的背景下促进性别观点主流化，进而促进公共服务管理和服务提供领域的两性平等，以实现符合《国家性别政策》(2000年)的两性平等。</w:t>
      </w:r>
    </w:p>
    <w:p w:rsidR="00D976FC" w:rsidRDefault="00D976FC" w:rsidP="006B213A">
      <w:pPr>
        <w:pStyle w:val="SingleTxt"/>
        <w:tabs>
          <w:tab w:val="clear" w:pos="1695"/>
          <w:tab w:val="left" w:pos="1932"/>
        </w:tabs>
        <w:rPr>
          <w:rFonts w:hint="eastAsia"/>
        </w:rPr>
      </w:pPr>
      <w:r>
        <w:rPr>
          <w:rFonts w:hint="eastAsia"/>
        </w:rPr>
        <w:t>18.3</w:t>
      </w:r>
      <w:r>
        <w:rPr>
          <w:rFonts w:hint="eastAsia"/>
        </w:rPr>
        <w:tab/>
        <w:t>该战略的具体目标如下：</w:t>
      </w:r>
    </w:p>
    <w:p w:rsidR="00D976FC" w:rsidRDefault="00690919" w:rsidP="00D976FC">
      <w:pPr>
        <w:pStyle w:val="SingleTxt"/>
        <w:rPr>
          <w:rFonts w:hint="eastAsia"/>
        </w:rPr>
      </w:pPr>
      <w:r>
        <w:rPr>
          <w:rFonts w:hint="eastAsia"/>
        </w:rPr>
        <w:tab/>
      </w:r>
      <w:r w:rsidR="00D976FC">
        <w:rPr>
          <w:rFonts w:hint="eastAsia"/>
        </w:rPr>
        <w:t>(a)</w:t>
      </w:r>
      <w:r w:rsidR="00D976FC">
        <w:rPr>
          <w:rFonts w:hint="eastAsia"/>
        </w:rPr>
        <w:tab/>
        <w:t>在性别分析和性别观点主流化方面建设公共服务机构的能力，以确保在各个层面上落实促进两性平等的政策和方案；</w:t>
      </w:r>
    </w:p>
    <w:p w:rsidR="00D976FC" w:rsidRDefault="00690919" w:rsidP="00D976FC">
      <w:pPr>
        <w:pStyle w:val="SingleTxt"/>
        <w:rPr>
          <w:rFonts w:hint="eastAsia"/>
        </w:rPr>
      </w:pPr>
      <w:r>
        <w:rPr>
          <w:rFonts w:hint="eastAsia"/>
        </w:rPr>
        <w:tab/>
      </w:r>
      <w:r w:rsidR="00D976FC">
        <w:rPr>
          <w:rFonts w:hint="eastAsia"/>
        </w:rPr>
        <w:t>(b)</w:t>
      </w:r>
      <w:r w:rsidR="00D976FC">
        <w:rPr>
          <w:rFonts w:hint="eastAsia"/>
        </w:rPr>
        <w:tab/>
        <w:t>在性别观点主流化方面建设公共服务机构的能力时，促进和加强问责制，以确保将性别问题制度化；</w:t>
      </w:r>
    </w:p>
    <w:p w:rsidR="00D976FC" w:rsidRDefault="00690919" w:rsidP="00D976FC">
      <w:pPr>
        <w:pStyle w:val="SingleTxt"/>
        <w:rPr>
          <w:rFonts w:hint="eastAsia"/>
        </w:rPr>
      </w:pPr>
      <w:r>
        <w:rPr>
          <w:rFonts w:hint="eastAsia"/>
        </w:rPr>
        <w:tab/>
      </w:r>
      <w:r w:rsidR="00D976FC">
        <w:rPr>
          <w:rFonts w:hint="eastAsia"/>
        </w:rPr>
        <w:t>(c)</w:t>
      </w:r>
      <w:r w:rsidR="00D976FC">
        <w:rPr>
          <w:rFonts w:hint="eastAsia"/>
        </w:rPr>
        <w:tab/>
        <w:t>增加在公共服务中占据决策位置的妇女人数，以实现性别平衡；</w:t>
      </w:r>
    </w:p>
    <w:p w:rsidR="00D976FC" w:rsidRDefault="00690919" w:rsidP="00D976FC">
      <w:pPr>
        <w:pStyle w:val="SingleTxt"/>
        <w:rPr>
          <w:rFonts w:hint="eastAsia"/>
        </w:rPr>
      </w:pPr>
      <w:r>
        <w:rPr>
          <w:rFonts w:hint="eastAsia"/>
        </w:rPr>
        <w:tab/>
      </w:r>
      <w:r w:rsidR="00D976FC">
        <w:rPr>
          <w:rFonts w:hint="eastAsia"/>
        </w:rPr>
        <w:t>(d)</w:t>
      </w:r>
      <w:r w:rsidR="00D976FC">
        <w:rPr>
          <w:rFonts w:hint="eastAsia"/>
        </w:rPr>
        <w:tab/>
        <w:t>处理公共服务领域工作地点的人力资源管理涉及的性别歧视问题，以确保营造有益的工作环境；</w:t>
      </w:r>
    </w:p>
    <w:p w:rsidR="00D976FC" w:rsidRDefault="00690919" w:rsidP="00D976FC">
      <w:pPr>
        <w:pStyle w:val="SingleTxt"/>
        <w:rPr>
          <w:rFonts w:hint="eastAsia"/>
        </w:rPr>
      </w:pPr>
      <w:r>
        <w:rPr>
          <w:rFonts w:hint="eastAsia"/>
        </w:rPr>
        <w:tab/>
      </w:r>
      <w:r w:rsidR="00D976FC">
        <w:rPr>
          <w:rFonts w:hint="eastAsia"/>
        </w:rPr>
        <w:t>(e)</w:t>
      </w:r>
      <w:r w:rsidR="00D976FC">
        <w:rPr>
          <w:rFonts w:hint="eastAsia"/>
        </w:rPr>
        <w:tab/>
        <w:t>加强公共服务领域的性别报告、监测和评估系统，以评估性别观点主流化进程的影响力。</w:t>
      </w:r>
    </w:p>
    <w:p w:rsidR="00D976FC" w:rsidRDefault="00D976FC" w:rsidP="006B213A">
      <w:pPr>
        <w:pStyle w:val="SingleTxt"/>
        <w:tabs>
          <w:tab w:val="clear" w:pos="1695"/>
          <w:tab w:val="left" w:pos="1932"/>
        </w:tabs>
        <w:rPr>
          <w:rFonts w:hint="eastAsia"/>
        </w:rPr>
      </w:pPr>
      <w:r>
        <w:rPr>
          <w:rFonts w:hint="eastAsia"/>
        </w:rPr>
        <w:t>18.4</w:t>
      </w:r>
      <w:r>
        <w:rPr>
          <w:rFonts w:hint="eastAsia"/>
        </w:rPr>
        <w:tab/>
        <w:t>缔约国报告称，尚未对该战略进行评估，因为内阁秘书最近才对其进行了核准。</w:t>
      </w:r>
    </w:p>
    <w:p w:rsidR="00D976FC" w:rsidRPr="00690919" w:rsidRDefault="00D976FC" w:rsidP="00690919">
      <w:pPr>
        <w:pStyle w:val="SingleTxt"/>
        <w:spacing w:after="120"/>
        <w:rPr>
          <w:rFonts w:ascii="SimHei" w:eastAsia="SimHei" w:hint="eastAsia"/>
        </w:rPr>
      </w:pPr>
      <w:r w:rsidRPr="00690919">
        <w:rPr>
          <w:rFonts w:ascii="SimHei" w:eastAsia="SimHei" w:hint="eastAsia"/>
        </w:rPr>
        <w:t>暂行特别措施</w:t>
      </w:r>
    </w:p>
    <w:p w:rsidR="00D976FC" w:rsidRDefault="00D976FC" w:rsidP="006B213A">
      <w:pPr>
        <w:pStyle w:val="SingleTxt"/>
        <w:tabs>
          <w:tab w:val="clear" w:pos="1695"/>
          <w:tab w:val="left" w:pos="1932"/>
        </w:tabs>
        <w:rPr>
          <w:rFonts w:hint="eastAsia"/>
        </w:rPr>
      </w:pPr>
      <w:r>
        <w:rPr>
          <w:rFonts w:hint="eastAsia"/>
        </w:rPr>
        <w:t>18.5</w:t>
      </w:r>
      <w:r>
        <w:rPr>
          <w:rFonts w:hint="eastAsia"/>
        </w:rPr>
        <w:tab/>
        <w:t>缔约国进一步报告称，该国政府正在商议根据《公约》第4条第1款制定暂行特别措施的问题，以加强努力，提高权力职位上的妇女比例。</w:t>
      </w:r>
    </w:p>
    <w:p w:rsidR="00D976FC" w:rsidRPr="00690919" w:rsidRDefault="00D976FC" w:rsidP="00690919">
      <w:pPr>
        <w:pStyle w:val="SingleTxt"/>
        <w:spacing w:after="124"/>
        <w:rPr>
          <w:rFonts w:ascii="SimHei" w:eastAsia="SimHei" w:hint="eastAsia"/>
        </w:rPr>
      </w:pPr>
      <w:r w:rsidRPr="00690919">
        <w:rPr>
          <w:rFonts w:ascii="SimHei" w:eastAsia="SimHei" w:hint="eastAsia"/>
        </w:rPr>
        <w:t>国籍</w:t>
      </w:r>
    </w:p>
    <w:p w:rsidR="00D976FC" w:rsidRDefault="00D976FC" w:rsidP="00690919">
      <w:pPr>
        <w:pStyle w:val="SingleTxt"/>
        <w:spacing w:after="124"/>
        <w:rPr>
          <w:rFonts w:hint="eastAsia"/>
        </w:rPr>
      </w:pPr>
      <w:r>
        <w:rPr>
          <w:rFonts w:hint="eastAsia"/>
        </w:rPr>
        <w:t>19.</w:t>
      </w:r>
      <w:r w:rsidR="00690919">
        <w:rPr>
          <w:rFonts w:hint="eastAsia"/>
        </w:rPr>
        <w:tab/>
      </w:r>
      <w:r w:rsidRPr="00690919">
        <w:rPr>
          <w:rFonts w:ascii="SimHei" w:eastAsia="SimHei" w:hint="eastAsia"/>
        </w:rPr>
        <w:t>报告第93段称，自上次报告以来，配偶为赞比亚人的外国国民在申请和获得赞比亚国籍方面被赋予了同等的机会。请告知委员会缔约国是否通过了允许在赞比亚的难民合法融入社会的文书，包括让父亲或母亲为赞比亚人的儿童有能力让有关方面确认其赞比亚公民身份</w:t>
      </w:r>
      <w:r>
        <w:rPr>
          <w:rFonts w:hint="eastAsia"/>
        </w:rPr>
        <w:t>。</w:t>
      </w:r>
    </w:p>
    <w:p w:rsidR="00D976FC" w:rsidRDefault="00690919" w:rsidP="00690919">
      <w:pPr>
        <w:pStyle w:val="SingleTxt"/>
        <w:spacing w:after="124"/>
        <w:rPr>
          <w:rFonts w:hint="eastAsia"/>
        </w:rPr>
      </w:pPr>
      <w:r>
        <w:rPr>
          <w:rFonts w:hint="eastAsia"/>
        </w:rPr>
        <w:tab/>
      </w:r>
      <w:r w:rsidR="00D976FC">
        <w:rPr>
          <w:rFonts w:hint="eastAsia"/>
        </w:rPr>
        <w:t>赞比亚尚未通过任何合法文书，说明如何让生活在赞比亚的难民融入当地社会，尽管内政部已将有关这一问题的提案提交给内阁。</w:t>
      </w:r>
    </w:p>
    <w:p w:rsidR="00D976FC" w:rsidRPr="00690919" w:rsidRDefault="00D976FC" w:rsidP="00690919">
      <w:pPr>
        <w:pStyle w:val="SingleTxt"/>
        <w:spacing w:after="124"/>
        <w:rPr>
          <w:rFonts w:ascii="SimHei" w:eastAsia="SimHei" w:hint="eastAsia"/>
        </w:rPr>
      </w:pPr>
      <w:r w:rsidRPr="00690919">
        <w:rPr>
          <w:rFonts w:ascii="SimHei" w:eastAsia="SimHei" w:hint="eastAsia"/>
        </w:rPr>
        <w:t>教育</w:t>
      </w:r>
    </w:p>
    <w:p w:rsidR="00D976FC" w:rsidRDefault="00D976FC" w:rsidP="00690919">
      <w:pPr>
        <w:pStyle w:val="SingleTxt"/>
        <w:spacing w:after="124"/>
        <w:rPr>
          <w:rFonts w:hint="eastAsia"/>
        </w:rPr>
      </w:pPr>
      <w:r>
        <w:rPr>
          <w:rFonts w:hint="eastAsia"/>
        </w:rPr>
        <w:t>20.</w:t>
      </w:r>
      <w:r>
        <w:rPr>
          <w:rFonts w:hint="eastAsia"/>
        </w:rPr>
        <w:tab/>
      </w:r>
      <w:r w:rsidRPr="00690919">
        <w:rPr>
          <w:rFonts w:ascii="SimHei" w:eastAsia="SimHei" w:hint="eastAsia"/>
        </w:rPr>
        <w:t>报告第104段称，初等教育的毕业率有所提高，从2000年到2005年，女生毕业率从11.6%升至15.0%，男生毕业率则从17.4%升至20.1%。但报告也承认，随着重新入学政策的继续实施，女生的保留率和升学率都有所提高。报告承认，尽管取得了这些进展，但男女生的毕业率差距仍然高达5.1%。请说明：缔约国是否已确定女孩失学的主要原因？重新入学政策是否针对所有这些原因？还请指出：是否对该政策的成效作了评估？缔约国已采取或正在计划采取什么具体步骤，以增加中学和高校的女生入学率</w:t>
      </w:r>
      <w:r>
        <w:rPr>
          <w:rFonts w:hint="eastAsia"/>
        </w:rPr>
        <w:t>？</w:t>
      </w:r>
    </w:p>
    <w:p w:rsidR="00D976FC" w:rsidRPr="00690919" w:rsidRDefault="00D976FC" w:rsidP="00690919">
      <w:pPr>
        <w:pStyle w:val="SingleTxt"/>
        <w:spacing w:after="124"/>
        <w:rPr>
          <w:rFonts w:ascii="SimHei" w:eastAsia="SimHei" w:hint="eastAsia"/>
        </w:rPr>
      </w:pPr>
      <w:r w:rsidRPr="00690919">
        <w:rPr>
          <w:rFonts w:ascii="SimHei" w:eastAsia="SimHei" w:hint="eastAsia"/>
        </w:rPr>
        <w:t>女孩失学的主要原因</w:t>
      </w:r>
    </w:p>
    <w:p w:rsidR="00D976FC" w:rsidRDefault="00D976FC" w:rsidP="00690919">
      <w:pPr>
        <w:pStyle w:val="SingleTxt"/>
        <w:tabs>
          <w:tab w:val="clear" w:pos="1695"/>
          <w:tab w:val="left" w:pos="1932"/>
        </w:tabs>
        <w:spacing w:after="124"/>
        <w:rPr>
          <w:rFonts w:hint="eastAsia"/>
        </w:rPr>
      </w:pPr>
      <w:r>
        <w:rPr>
          <w:rFonts w:hint="eastAsia"/>
        </w:rPr>
        <w:t>20.1</w:t>
      </w:r>
      <w:r>
        <w:rPr>
          <w:rFonts w:hint="eastAsia"/>
        </w:rPr>
        <w:tab/>
        <w:t>以下是缔约国确认的女孩失学的主要原因：</w:t>
      </w:r>
    </w:p>
    <w:p w:rsidR="00D976FC" w:rsidRDefault="00690919" w:rsidP="00690919">
      <w:pPr>
        <w:pStyle w:val="SingleTxt"/>
        <w:spacing w:after="124"/>
        <w:rPr>
          <w:rFonts w:hint="eastAsia"/>
        </w:rPr>
      </w:pPr>
      <w:r>
        <w:rPr>
          <w:rFonts w:hint="eastAsia"/>
        </w:rPr>
        <w:tab/>
      </w:r>
      <w:r w:rsidR="00D976FC">
        <w:rPr>
          <w:rFonts w:hint="eastAsia"/>
        </w:rPr>
        <w:t>(a)</w:t>
      </w:r>
      <w:r w:rsidR="00D976FC">
        <w:rPr>
          <w:rFonts w:hint="eastAsia"/>
        </w:rPr>
        <w:tab/>
        <w:t>早婚和少女怀孕；</w:t>
      </w:r>
    </w:p>
    <w:p w:rsidR="00D976FC" w:rsidRDefault="00690919" w:rsidP="00690919">
      <w:pPr>
        <w:pStyle w:val="SingleTxt"/>
        <w:spacing w:after="124"/>
        <w:rPr>
          <w:rFonts w:hint="eastAsia"/>
        </w:rPr>
      </w:pPr>
      <w:r>
        <w:rPr>
          <w:rFonts w:hint="eastAsia"/>
        </w:rPr>
        <w:tab/>
      </w:r>
      <w:r w:rsidR="00D976FC">
        <w:rPr>
          <w:rFonts w:hint="eastAsia"/>
        </w:rPr>
        <w:t>(b)</w:t>
      </w:r>
      <w:r w:rsidR="00D976FC">
        <w:rPr>
          <w:rFonts w:hint="eastAsia"/>
        </w:rPr>
        <w:tab/>
        <w:t>入会仪式等传统和文化习俗使女孩退学；</w:t>
      </w:r>
    </w:p>
    <w:p w:rsidR="00D976FC" w:rsidRDefault="00690919" w:rsidP="00690919">
      <w:pPr>
        <w:pStyle w:val="SingleTxt"/>
        <w:spacing w:after="124"/>
        <w:rPr>
          <w:rFonts w:hint="eastAsia"/>
        </w:rPr>
      </w:pPr>
      <w:r>
        <w:rPr>
          <w:rFonts w:hint="eastAsia"/>
        </w:rPr>
        <w:tab/>
      </w:r>
      <w:r w:rsidR="00D976FC">
        <w:rPr>
          <w:rFonts w:hint="eastAsia"/>
        </w:rPr>
        <w:t>(c)</w:t>
      </w:r>
      <w:r w:rsidR="00D976FC">
        <w:rPr>
          <w:rFonts w:hint="eastAsia"/>
        </w:rPr>
        <w:tab/>
        <w:t>特别是在农村社区，贫困问题通常是女孩的负担，因为她们需要养家。</w:t>
      </w:r>
    </w:p>
    <w:p w:rsidR="00D976FC" w:rsidRPr="00690919" w:rsidRDefault="00D976FC" w:rsidP="00690919">
      <w:pPr>
        <w:pStyle w:val="SingleTxt"/>
        <w:spacing w:after="124"/>
        <w:rPr>
          <w:rFonts w:ascii="SimHei" w:eastAsia="SimHei" w:hint="eastAsia"/>
        </w:rPr>
      </w:pPr>
      <w:r w:rsidRPr="00690919">
        <w:rPr>
          <w:rFonts w:ascii="SimHei" w:eastAsia="SimHei" w:hint="eastAsia"/>
        </w:rPr>
        <w:t>重新入学政策</w:t>
      </w:r>
    </w:p>
    <w:p w:rsidR="00D976FC" w:rsidRDefault="00D976FC" w:rsidP="006B213A">
      <w:pPr>
        <w:pStyle w:val="SingleTxt"/>
        <w:tabs>
          <w:tab w:val="clear" w:pos="1695"/>
          <w:tab w:val="left" w:pos="1932"/>
        </w:tabs>
        <w:rPr>
          <w:rFonts w:hint="eastAsia"/>
        </w:rPr>
      </w:pPr>
      <w:r>
        <w:rPr>
          <w:rFonts w:hint="eastAsia"/>
        </w:rPr>
        <w:t>20.2</w:t>
      </w:r>
      <w:r>
        <w:rPr>
          <w:rFonts w:hint="eastAsia"/>
        </w:rPr>
        <w:tab/>
        <w:t>缔约国报告称，重新入学政策只处理了女孩失学的一个原因，即少女怀孕。该政策旨在赋予因怀孕辍学的女孩在分娩后重新入学的机会。缔约国还制定了其他措施，以确保未受到重新入学政策覆盖的女孩获得重新入学的机会。这包括开放式学习和远程学习。</w:t>
      </w:r>
    </w:p>
    <w:p w:rsidR="00D976FC" w:rsidRDefault="00D976FC" w:rsidP="006B213A">
      <w:pPr>
        <w:pStyle w:val="SingleTxt"/>
        <w:tabs>
          <w:tab w:val="clear" w:pos="1695"/>
          <w:tab w:val="left" w:pos="1932"/>
        </w:tabs>
        <w:rPr>
          <w:rFonts w:hint="eastAsia"/>
        </w:rPr>
      </w:pPr>
      <w:r>
        <w:rPr>
          <w:rFonts w:hint="eastAsia"/>
        </w:rPr>
        <w:t>20.3</w:t>
      </w:r>
      <w:r>
        <w:rPr>
          <w:rFonts w:hint="eastAsia"/>
        </w:rPr>
        <w:tab/>
        <w:t>为促进重新入学政策的落实，通过一项研究对该政策进行了评估，而且编制了一份报告。因此，按照计划，将向各省级和县级教育官员公布该项研究的结果，使其执行建议。这项举措也得到了关键利益攸关方的支持，如在教育部门工作的民间社会，以促进女孩教育。</w:t>
      </w:r>
    </w:p>
    <w:p w:rsidR="00D976FC" w:rsidRPr="00690919" w:rsidRDefault="00D976FC" w:rsidP="00D976FC">
      <w:pPr>
        <w:pStyle w:val="SingleTxt"/>
        <w:rPr>
          <w:rFonts w:ascii="SimHei" w:eastAsia="SimHei" w:hint="eastAsia"/>
        </w:rPr>
      </w:pPr>
      <w:r w:rsidRPr="00690919">
        <w:rPr>
          <w:rFonts w:ascii="SimHei" w:eastAsia="SimHei" w:hint="eastAsia"/>
        </w:rPr>
        <w:t>为增加高校的女生入学率所采取的措施或制定的计划</w:t>
      </w:r>
    </w:p>
    <w:p w:rsidR="00D976FC" w:rsidRDefault="00D976FC" w:rsidP="006B213A">
      <w:pPr>
        <w:pStyle w:val="SingleTxt"/>
        <w:tabs>
          <w:tab w:val="clear" w:pos="1695"/>
          <w:tab w:val="left" w:pos="1932"/>
        </w:tabs>
        <w:rPr>
          <w:rFonts w:hint="eastAsia"/>
        </w:rPr>
      </w:pPr>
      <w:r>
        <w:rPr>
          <w:rFonts w:hint="eastAsia"/>
        </w:rPr>
        <w:t>20.4</w:t>
      </w:r>
      <w:r>
        <w:rPr>
          <w:rFonts w:hint="eastAsia"/>
        </w:rPr>
        <w:tab/>
        <w:t>为增加高校的女生入学率所采取的措施或制定的计划包括：</w:t>
      </w:r>
    </w:p>
    <w:p w:rsidR="00D976FC" w:rsidRDefault="00690919" w:rsidP="00D976FC">
      <w:pPr>
        <w:pStyle w:val="SingleTxt"/>
        <w:rPr>
          <w:rFonts w:hint="eastAsia"/>
        </w:rPr>
      </w:pPr>
      <w:r>
        <w:rPr>
          <w:rFonts w:hint="eastAsia"/>
        </w:rPr>
        <w:tab/>
      </w:r>
      <w:r w:rsidR="00D976FC">
        <w:rPr>
          <w:rFonts w:hint="eastAsia"/>
        </w:rPr>
        <w:t>(a)</w:t>
      </w:r>
      <w:r w:rsidR="00D976FC">
        <w:rPr>
          <w:rFonts w:hint="eastAsia"/>
        </w:rPr>
        <w:tab/>
        <w:t>实行免费基础教育政策；</w:t>
      </w:r>
    </w:p>
    <w:p w:rsidR="00D976FC" w:rsidRDefault="00690919" w:rsidP="00D976FC">
      <w:pPr>
        <w:pStyle w:val="SingleTxt"/>
        <w:rPr>
          <w:rFonts w:hint="eastAsia"/>
        </w:rPr>
      </w:pPr>
      <w:r>
        <w:rPr>
          <w:rFonts w:hint="eastAsia"/>
        </w:rPr>
        <w:tab/>
      </w:r>
      <w:r w:rsidR="00D976FC">
        <w:rPr>
          <w:rFonts w:hint="eastAsia"/>
        </w:rPr>
        <w:t>(b)</w:t>
      </w:r>
      <w:r w:rsidR="00D976FC">
        <w:rPr>
          <w:rFonts w:hint="eastAsia"/>
        </w:rPr>
        <w:tab/>
        <w:t>针对传统领袖和社区，就女孩教育的重要性开展宣传运动；</w:t>
      </w:r>
    </w:p>
    <w:p w:rsidR="00D976FC" w:rsidRDefault="00690919" w:rsidP="00D976FC">
      <w:pPr>
        <w:pStyle w:val="SingleTxt"/>
        <w:rPr>
          <w:rFonts w:hint="eastAsia"/>
        </w:rPr>
      </w:pPr>
      <w:r>
        <w:rPr>
          <w:rFonts w:hint="eastAsia"/>
        </w:rPr>
        <w:tab/>
      </w:r>
      <w:r w:rsidR="00D976FC">
        <w:rPr>
          <w:rFonts w:hint="eastAsia"/>
        </w:rPr>
        <w:t>(c)</w:t>
      </w:r>
      <w:r w:rsidR="00D976FC">
        <w:rPr>
          <w:rFonts w:hint="eastAsia"/>
        </w:rPr>
        <w:tab/>
        <w:t>扩充中学和高等教育院校的基础设施；例如，缔约国计划在2015年前建设一百(100)所中学，其中九(9)所是专为女孩建设的技术中学(每省一所)；</w:t>
      </w:r>
    </w:p>
    <w:p w:rsidR="00D976FC" w:rsidRDefault="00690919" w:rsidP="00D976FC">
      <w:pPr>
        <w:pStyle w:val="SingleTxt"/>
        <w:rPr>
          <w:rFonts w:hint="eastAsia"/>
        </w:rPr>
      </w:pPr>
      <w:r>
        <w:rPr>
          <w:rFonts w:hint="eastAsia"/>
        </w:rPr>
        <w:tab/>
      </w:r>
      <w:r w:rsidR="00D976FC">
        <w:rPr>
          <w:rFonts w:hint="eastAsia"/>
        </w:rPr>
        <w:t>(d)</w:t>
      </w:r>
      <w:r w:rsidR="00D976FC">
        <w:rPr>
          <w:rFonts w:hint="eastAsia"/>
        </w:rPr>
        <w:tab/>
        <w:t>在中学阶段，为女孩提供60%的助学金支助，为男孩提供40%；</w:t>
      </w:r>
    </w:p>
    <w:p w:rsidR="00D976FC" w:rsidRDefault="00690919" w:rsidP="00D976FC">
      <w:pPr>
        <w:pStyle w:val="SingleTxt"/>
        <w:rPr>
          <w:rFonts w:hint="eastAsia"/>
        </w:rPr>
      </w:pPr>
      <w:r>
        <w:rPr>
          <w:rFonts w:hint="eastAsia"/>
        </w:rPr>
        <w:tab/>
      </w:r>
      <w:r w:rsidR="00D976FC">
        <w:rPr>
          <w:rFonts w:hint="eastAsia"/>
        </w:rPr>
        <w:t>(e)</w:t>
      </w:r>
      <w:r w:rsidR="00D976FC">
        <w:rPr>
          <w:rFonts w:hint="eastAsia"/>
        </w:rPr>
        <w:tab/>
        <w:t>在高等教育阶段，为女孩保留25%的名额，其余75%由所有人竞争。</w:t>
      </w:r>
    </w:p>
    <w:p w:rsidR="00D976FC" w:rsidRDefault="00D976FC" w:rsidP="00D976FC">
      <w:pPr>
        <w:pStyle w:val="SingleTxt"/>
        <w:rPr>
          <w:rFonts w:hint="eastAsia"/>
        </w:rPr>
      </w:pPr>
      <w:r>
        <w:rPr>
          <w:rFonts w:hint="eastAsia"/>
        </w:rPr>
        <w:t>21.</w:t>
      </w:r>
      <w:r>
        <w:rPr>
          <w:rFonts w:hint="eastAsia"/>
        </w:rPr>
        <w:tab/>
      </w:r>
      <w:r w:rsidRPr="00690919">
        <w:rPr>
          <w:rFonts w:ascii="SimHei" w:eastAsia="SimHei" w:hint="eastAsia"/>
        </w:rPr>
        <w:t>报告第110段指出，入学率的性别不平衡与男女文盲率的不平衡相类似。该报告还承认，妇女和女孩识字率低、受教育机会有限，仍然严重妨碍她们享受自己的权利。请详细说明缔约国处理文盲问题(特别是女性低识字率)的措施的执行情况</w:t>
      </w:r>
      <w:r>
        <w:rPr>
          <w:rFonts w:hint="eastAsia"/>
        </w:rPr>
        <w:t>。</w:t>
      </w:r>
    </w:p>
    <w:p w:rsidR="00D976FC" w:rsidRDefault="00690919" w:rsidP="00D976FC">
      <w:pPr>
        <w:pStyle w:val="SingleTxt"/>
        <w:rPr>
          <w:rFonts w:hint="eastAsia"/>
        </w:rPr>
      </w:pPr>
      <w:r>
        <w:rPr>
          <w:rFonts w:hint="eastAsia"/>
        </w:rPr>
        <w:tab/>
      </w:r>
      <w:r w:rsidR="00D976FC">
        <w:rPr>
          <w:rFonts w:hint="eastAsia"/>
        </w:rPr>
        <w:t>缔约国谨报告，该国政府已开始在成年人识字技巧和方法方面培训省级和县级教育官员。政府认为，这将增加具备为特别是生活在农村地区的男女提供实用扫盲服务的相关技能者的人数。</w:t>
      </w:r>
    </w:p>
    <w:p w:rsidR="00D976FC" w:rsidRDefault="00D976FC" w:rsidP="00D976FC">
      <w:pPr>
        <w:pStyle w:val="SingleTxt"/>
        <w:rPr>
          <w:rFonts w:hint="eastAsia"/>
        </w:rPr>
      </w:pPr>
      <w:r w:rsidRPr="00690919">
        <w:rPr>
          <w:rFonts w:ascii="SimHei" w:eastAsia="SimHei" w:hint="eastAsia"/>
        </w:rPr>
        <w:t>就</w:t>
      </w:r>
      <w:r>
        <w:rPr>
          <w:rFonts w:hint="eastAsia"/>
        </w:rPr>
        <w:t>业</w:t>
      </w:r>
    </w:p>
    <w:p w:rsidR="00D976FC" w:rsidRDefault="00D976FC" w:rsidP="00690919">
      <w:pPr>
        <w:pStyle w:val="SingleTxt"/>
        <w:spacing w:after="120"/>
        <w:rPr>
          <w:rFonts w:hint="eastAsia"/>
        </w:rPr>
      </w:pPr>
      <w:r>
        <w:rPr>
          <w:rFonts w:hint="eastAsia"/>
        </w:rPr>
        <w:t>22.</w:t>
      </w:r>
      <w:r>
        <w:rPr>
          <w:rFonts w:hint="eastAsia"/>
        </w:rPr>
        <w:tab/>
      </w:r>
      <w:r w:rsidRPr="00690919">
        <w:rPr>
          <w:rFonts w:ascii="SimHei" w:eastAsia="SimHei" w:hint="eastAsia"/>
        </w:rPr>
        <w:t>报告指出，通过《就业法》和《劳资关系法》来保障就业。请解释是如何监测这些法律的遵守情况的，特别是《劳资关系法》所含禁止性别歧视的内容。这些法律禁止在雇用方面的性骚扰吗？规定产假后有权返回同一工作吗？也请说明将其推广到非正规经济部门的任何计划。此外，请告知委员会，缔约国是否在国家立法中继续规定：自被聘用之日起连续工作两年，乃是休产假的条件(《就业法》第15(A)条)</w:t>
      </w:r>
      <w:r>
        <w:rPr>
          <w:rFonts w:hint="eastAsia"/>
        </w:rPr>
        <w:t>？</w:t>
      </w:r>
    </w:p>
    <w:p w:rsidR="00D976FC" w:rsidRPr="00690919" w:rsidRDefault="00D976FC" w:rsidP="00690919">
      <w:pPr>
        <w:pStyle w:val="SingleTxt"/>
        <w:spacing w:after="120"/>
        <w:rPr>
          <w:rFonts w:ascii="SimHei" w:eastAsia="SimHei" w:hint="eastAsia"/>
        </w:rPr>
      </w:pPr>
      <w:r w:rsidRPr="00690919">
        <w:rPr>
          <w:rFonts w:ascii="SimHei" w:eastAsia="SimHei" w:hint="eastAsia"/>
        </w:rPr>
        <w:t>对《就业法》和《劳资关系法》的遵守情况</w:t>
      </w:r>
    </w:p>
    <w:p w:rsidR="00D976FC" w:rsidRDefault="00D976FC" w:rsidP="00690919">
      <w:pPr>
        <w:pStyle w:val="SingleTxt"/>
        <w:tabs>
          <w:tab w:val="clear" w:pos="1695"/>
          <w:tab w:val="left" w:pos="1932"/>
        </w:tabs>
        <w:spacing w:after="120"/>
        <w:rPr>
          <w:rFonts w:hint="eastAsia"/>
        </w:rPr>
      </w:pPr>
      <w:r>
        <w:rPr>
          <w:rFonts w:hint="eastAsia"/>
        </w:rPr>
        <w:t>22.1</w:t>
      </w:r>
      <w:r>
        <w:rPr>
          <w:rFonts w:hint="eastAsia"/>
        </w:rPr>
        <w:tab/>
        <w:t>缔约国报告称，劳动和社会保障部的劳动检查股负责监测对《就业法》和《劳资关系法》的遵守情况。该股进行了常规、特别和后续检查，以确保该法的强制执行。还通过全国各地的监测站点提交的书面报告进行监测。</w:t>
      </w:r>
    </w:p>
    <w:p w:rsidR="00D976FC" w:rsidRPr="00690919" w:rsidRDefault="00D976FC" w:rsidP="00690919">
      <w:pPr>
        <w:pStyle w:val="SingleTxt"/>
        <w:spacing w:after="120"/>
        <w:rPr>
          <w:rFonts w:ascii="SimHei" w:eastAsia="SimHei" w:hint="eastAsia"/>
        </w:rPr>
      </w:pPr>
      <w:r w:rsidRPr="00690919">
        <w:rPr>
          <w:rFonts w:ascii="SimHei" w:eastAsia="SimHei" w:hint="eastAsia"/>
        </w:rPr>
        <w:t>禁止雇用方面的性骚扰</w:t>
      </w:r>
    </w:p>
    <w:p w:rsidR="00D976FC" w:rsidRDefault="00D976FC" w:rsidP="00690919">
      <w:pPr>
        <w:pStyle w:val="SingleTxt"/>
        <w:tabs>
          <w:tab w:val="clear" w:pos="1695"/>
          <w:tab w:val="left" w:pos="1932"/>
        </w:tabs>
        <w:spacing w:after="120"/>
        <w:rPr>
          <w:rFonts w:hint="eastAsia"/>
        </w:rPr>
      </w:pPr>
      <w:r>
        <w:rPr>
          <w:rFonts w:hint="eastAsia"/>
        </w:rPr>
        <w:t>22.2</w:t>
      </w:r>
      <w:r>
        <w:rPr>
          <w:rFonts w:hint="eastAsia"/>
        </w:rPr>
        <w:tab/>
        <w:t>缔约国进一步报告称，《就业法》和《劳资关系法》没有禁止雇用方面的性骚扰的规定，因为赞比亚法律《刑法典》第87章已对这一条罪行做了充分规定。缔约国提请委员会注意，在赞比亚，刑事罪是由《刑法典》规定的。</w:t>
      </w:r>
    </w:p>
    <w:p w:rsidR="00D976FC" w:rsidRPr="00690919" w:rsidRDefault="00D976FC" w:rsidP="00690919">
      <w:pPr>
        <w:pStyle w:val="SingleTxt"/>
        <w:spacing w:after="120"/>
        <w:rPr>
          <w:rFonts w:ascii="SimHei" w:eastAsia="SimHei" w:hint="eastAsia"/>
        </w:rPr>
      </w:pPr>
      <w:r w:rsidRPr="00690919">
        <w:rPr>
          <w:rFonts w:ascii="SimHei" w:eastAsia="SimHei" w:hint="eastAsia"/>
        </w:rPr>
        <w:t>在产假结束后返回原有工作岗位的权利</w:t>
      </w:r>
    </w:p>
    <w:p w:rsidR="00D976FC" w:rsidRDefault="00D976FC" w:rsidP="00690919">
      <w:pPr>
        <w:pStyle w:val="SingleTxt"/>
        <w:tabs>
          <w:tab w:val="clear" w:pos="1695"/>
          <w:tab w:val="left" w:pos="1932"/>
        </w:tabs>
        <w:spacing w:after="120"/>
        <w:rPr>
          <w:rFonts w:hint="eastAsia"/>
        </w:rPr>
      </w:pPr>
      <w:r>
        <w:rPr>
          <w:rFonts w:hint="eastAsia"/>
        </w:rPr>
        <w:t>22.3</w:t>
      </w:r>
      <w:r>
        <w:rPr>
          <w:rFonts w:hint="eastAsia"/>
        </w:rPr>
        <w:tab/>
        <w:t>这些劳动法保障了女职工在产假结束后返回原有工作岗位的权利。</w:t>
      </w:r>
    </w:p>
    <w:p w:rsidR="00D976FC" w:rsidRPr="00690919" w:rsidRDefault="00D976FC" w:rsidP="00690919">
      <w:pPr>
        <w:pStyle w:val="SingleTxt"/>
        <w:spacing w:after="120"/>
        <w:rPr>
          <w:rFonts w:ascii="SimHei" w:eastAsia="SimHei" w:hint="eastAsia"/>
        </w:rPr>
      </w:pPr>
      <w:r w:rsidRPr="00690919">
        <w:rPr>
          <w:rFonts w:ascii="SimHei" w:eastAsia="SimHei" w:hint="eastAsia"/>
        </w:rPr>
        <w:t>劳动法适用于非正规部门</w:t>
      </w:r>
    </w:p>
    <w:p w:rsidR="00D976FC" w:rsidRDefault="00D976FC" w:rsidP="00151699">
      <w:pPr>
        <w:pStyle w:val="SingleTxt"/>
        <w:tabs>
          <w:tab w:val="clear" w:pos="1695"/>
          <w:tab w:val="left" w:pos="1932"/>
        </w:tabs>
        <w:spacing w:after="120"/>
        <w:rPr>
          <w:rFonts w:hint="eastAsia"/>
        </w:rPr>
      </w:pPr>
      <w:r>
        <w:rPr>
          <w:rFonts w:hint="eastAsia"/>
        </w:rPr>
        <w:t>22.4</w:t>
      </w:r>
      <w:r>
        <w:rPr>
          <w:rFonts w:hint="eastAsia"/>
        </w:rPr>
        <w:tab/>
        <w:t>劳动法适用于正规部门和非正规部门，特别是关于就业最低工资和条件的法定文书，主要适用于最弱势的职工群体。但是，值得注意的是，鉴于非正规经济的性质，保护工人权利、职业健康与安全以及其他核心劳工问题的法律的执行工作难度很大。</w:t>
      </w:r>
    </w:p>
    <w:p w:rsidR="00D976FC" w:rsidRPr="00151699" w:rsidRDefault="00D976FC" w:rsidP="00151699">
      <w:pPr>
        <w:pStyle w:val="SingleTxt"/>
        <w:spacing w:after="120"/>
        <w:rPr>
          <w:rFonts w:ascii="SimHei" w:eastAsia="SimHei" w:hint="eastAsia"/>
        </w:rPr>
      </w:pPr>
      <w:r w:rsidRPr="00151699">
        <w:rPr>
          <w:rFonts w:ascii="SimHei" w:eastAsia="SimHei" w:hint="eastAsia"/>
        </w:rPr>
        <w:t>休产假的资格</w:t>
      </w:r>
    </w:p>
    <w:p w:rsidR="00D976FC" w:rsidRDefault="00D976FC" w:rsidP="00151699">
      <w:pPr>
        <w:pStyle w:val="SingleTxt"/>
        <w:tabs>
          <w:tab w:val="clear" w:pos="1695"/>
          <w:tab w:val="left" w:pos="1932"/>
        </w:tabs>
        <w:spacing w:after="120"/>
        <w:rPr>
          <w:rFonts w:hint="eastAsia"/>
        </w:rPr>
      </w:pPr>
      <w:r>
        <w:rPr>
          <w:rFonts w:hint="eastAsia"/>
        </w:rPr>
        <w:t>22.5</w:t>
      </w:r>
      <w:r>
        <w:rPr>
          <w:rFonts w:hint="eastAsia"/>
        </w:rPr>
        <w:tab/>
        <w:t>缔约国谨报告，仍规定妇女至少连续工作两年，才有资格享受带薪产假。</w:t>
      </w:r>
    </w:p>
    <w:p w:rsidR="00D976FC" w:rsidRDefault="00D976FC" w:rsidP="00151699">
      <w:pPr>
        <w:pStyle w:val="SingleTxt"/>
        <w:spacing w:after="120"/>
        <w:rPr>
          <w:rFonts w:hint="eastAsia"/>
        </w:rPr>
      </w:pPr>
      <w:r>
        <w:rPr>
          <w:rFonts w:hint="eastAsia"/>
        </w:rPr>
        <w:t>23.</w:t>
      </w:r>
      <w:r>
        <w:rPr>
          <w:rFonts w:hint="eastAsia"/>
        </w:rPr>
        <w:tab/>
      </w:r>
      <w:r w:rsidRPr="00151699">
        <w:rPr>
          <w:rFonts w:ascii="SimHei" w:eastAsia="SimHei" w:hint="eastAsia"/>
        </w:rPr>
        <w:t>报告(第127段)称，正规部门的萎缩导致失业率上升，尤其是妇女失业率，因为她们大多资格较低。这导致非正规经济部门有所扩大，而该部门的大多数妇女薪酬较低，而且工作条件很危险。请介绍为使非正规经济部门走向正规化而采取的步骤，以及为工作于非正规经济部门的妇女提供社会保障而采取或打算采取的步骤</w:t>
      </w:r>
      <w:r>
        <w:rPr>
          <w:rFonts w:hint="eastAsia"/>
        </w:rPr>
        <w:t>。</w:t>
      </w:r>
    </w:p>
    <w:p w:rsidR="00D976FC" w:rsidRDefault="00D976FC" w:rsidP="00151699">
      <w:pPr>
        <w:pStyle w:val="SingleTxt"/>
        <w:tabs>
          <w:tab w:val="clear" w:pos="1695"/>
          <w:tab w:val="left" w:pos="1932"/>
        </w:tabs>
        <w:spacing w:after="124"/>
        <w:rPr>
          <w:rFonts w:hint="eastAsia"/>
        </w:rPr>
      </w:pPr>
      <w:r>
        <w:rPr>
          <w:rFonts w:hint="eastAsia"/>
        </w:rPr>
        <w:t>23.1</w:t>
      </w:r>
      <w:r>
        <w:rPr>
          <w:rFonts w:hint="eastAsia"/>
        </w:rPr>
        <w:tab/>
        <w:t>缔约国报告称，已采取的措施是为了使非正规部门正规化，如下所述：</w:t>
      </w:r>
    </w:p>
    <w:p w:rsidR="00D976FC" w:rsidRDefault="00D976FC" w:rsidP="00151699">
      <w:pPr>
        <w:pStyle w:val="SingleTxt"/>
        <w:spacing w:after="124"/>
        <w:rPr>
          <w:rFonts w:hint="eastAsia"/>
        </w:rPr>
      </w:pPr>
      <w:r>
        <w:rPr>
          <w:rFonts w:hint="eastAsia"/>
        </w:rPr>
        <w:t>23.1.1</w:t>
      </w:r>
      <w:r>
        <w:rPr>
          <w:rFonts w:hint="eastAsia"/>
        </w:rPr>
        <w:tab/>
      </w:r>
      <w:r w:rsidRPr="00151699">
        <w:rPr>
          <w:rFonts w:ascii="SimHei" w:eastAsia="SimHei" w:hint="eastAsia"/>
        </w:rPr>
        <w:t>2011年关于就业最低工资和条件(家政工人)的第3号法定文书</w:t>
      </w:r>
    </w:p>
    <w:p w:rsidR="00D976FC" w:rsidRDefault="00151699" w:rsidP="00151699">
      <w:pPr>
        <w:pStyle w:val="SingleTxt"/>
        <w:spacing w:after="124"/>
        <w:rPr>
          <w:rFonts w:hint="eastAsia"/>
        </w:rPr>
      </w:pPr>
      <w:r>
        <w:rPr>
          <w:rFonts w:hint="eastAsia"/>
        </w:rPr>
        <w:tab/>
      </w:r>
      <w:r w:rsidR="00D976FC">
        <w:rPr>
          <w:rFonts w:hint="eastAsia"/>
        </w:rPr>
        <w:t>家政工人就业最低工资和条件法定文书的执行为家政工人的权利提供了法律保护并改善了其福祉，其中多数家政工人为妇女。该法定文书规定家政工人享受带薪病假、年假、产假、加班费和交通补贴等福利。</w:t>
      </w:r>
    </w:p>
    <w:p w:rsidR="00D976FC" w:rsidRDefault="00D976FC" w:rsidP="00151699">
      <w:pPr>
        <w:pStyle w:val="SingleTxt"/>
        <w:spacing w:after="124"/>
        <w:rPr>
          <w:rFonts w:hint="eastAsia"/>
        </w:rPr>
      </w:pPr>
      <w:r>
        <w:rPr>
          <w:rFonts w:hint="eastAsia"/>
        </w:rPr>
        <w:t>23.1.2</w:t>
      </w:r>
      <w:r>
        <w:rPr>
          <w:rFonts w:hint="eastAsia"/>
        </w:rPr>
        <w:tab/>
      </w:r>
      <w:r w:rsidRPr="00151699">
        <w:rPr>
          <w:rFonts w:ascii="SimHei" w:eastAsia="SimHei" w:hint="eastAsia"/>
        </w:rPr>
        <w:t>2011年关于就业最低工资和条件(一般人群)的第2号法定文书</w:t>
      </w:r>
    </w:p>
    <w:p w:rsidR="00D976FC" w:rsidRDefault="00151699" w:rsidP="00151699">
      <w:pPr>
        <w:pStyle w:val="SingleTxt"/>
        <w:spacing w:after="124"/>
        <w:rPr>
          <w:rFonts w:hint="eastAsia"/>
        </w:rPr>
      </w:pPr>
      <w:r>
        <w:rPr>
          <w:rFonts w:hint="eastAsia"/>
        </w:rPr>
        <w:tab/>
      </w:r>
      <w:r w:rsidR="00D976FC">
        <w:rPr>
          <w:rFonts w:hint="eastAsia"/>
        </w:rPr>
        <w:t>该法定文书通过规定最低工资水平来保护非正规部门工作者，并提供加班费、年假、带薪病假、产假、退休福利、裁员补贴、离职回国补助金、丧葬费、交通补贴、午餐补贴、生活津贴、工具津贴、防护补贴、住房补贴和顶锻工作津贴等福利。</w:t>
      </w:r>
    </w:p>
    <w:p w:rsidR="00D976FC" w:rsidRDefault="00D976FC" w:rsidP="00151699">
      <w:pPr>
        <w:pStyle w:val="SingleTxt"/>
        <w:spacing w:after="124"/>
        <w:rPr>
          <w:rFonts w:hint="eastAsia"/>
        </w:rPr>
      </w:pPr>
      <w:r>
        <w:rPr>
          <w:rFonts w:hint="eastAsia"/>
        </w:rPr>
        <w:t>23.1.3</w:t>
      </w:r>
      <w:r>
        <w:rPr>
          <w:rFonts w:hint="eastAsia"/>
        </w:rPr>
        <w:tab/>
      </w:r>
      <w:r w:rsidRPr="00151699">
        <w:rPr>
          <w:rFonts w:ascii="SimHei" w:eastAsia="SimHei" w:hint="eastAsia"/>
        </w:rPr>
        <w:t>2011年关于就业最低工资和条件(车间工人)的第1号法定文书</w:t>
      </w:r>
    </w:p>
    <w:p w:rsidR="00D976FC" w:rsidRDefault="00151699" w:rsidP="00151699">
      <w:pPr>
        <w:pStyle w:val="SingleTxt"/>
        <w:spacing w:after="124"/>
        <w:rPr>
          <w:rFonts w:hint="eastAsia"/>
        </w:rPr>
      </w:pPr>
      <w:r>
        <w:rPr>
          <w:rFonts w:hint="eastAsia"/>
        </w:rPr>
        <w:tab/>
      </w:r>
      <w:r w:rsidR="00D976FC">
        <w:rPr>
          <w:rFonts w:hint="eastAsia"/>
        </w:rPr>
        <w:t>该法定文书适用于在任何车间或与任何车间工作相关的职工。该法定文书规定了最低工资水平，并向车间工人提供加班费、年假、病假、产假、退休福利、裁员补贴、离职回国补助金、丧葬费、交通补贴、午餐补贴、生活津贴、工具津贴、防护补贴、住房补贴和机械加工津贴等福利。</w:t>
      </w:r>
    </w:p>
    <w:p w:rsidR="00D976FC" w:rsidRDefault="00D976FC" w:rsidP="00151699">
      <w:pPr>
        <w:pStyle w:val="SingleTxt"/>
        <w:tabs>
          <w:tab w:val="clear" w:pos="1695"/>
          <w:tab w:val="left" w:pos="1932"/>
        </w:tabs>
        <w:spacing w:after="124"/>
        <w:rPr>
          <w:rFonts w:hint="eastAsia"/>
        </w:rPr>
      </w:pPr>
      <w:r>
        <w:rPr>
          <w:rFonts w:hint="eastAsia"/>
        </w:rPr>
        <w:t>23.2</w:t>
      </w:r>
      <w:r>
        <w:rPr>
          <w:rFonts w:hint="eastAsia"/>
        </w:rPr>
        <w:tab/>
        <w:t>缔约国报告称，这三份法定文书责成雇主批准子女生病和住院的妇女休假，以便使女职工照顾因生病需要特别照料的子女。在此类情况下，不从女职工的累计休假日中扣除工资。</w:t>
      </w:r>
    </w:p>
    <w:p w:rsidR="00D976FC" w:rsidRPr="00151699" w:rsidRDefault="00D976FC" w:rsidP="00151699">
      <w:pPr>
        <w:pStyle w:val="SingleTxt"/>
        <w:spacing w:after="124"/>
        <w:rPr>
          <w:rFonts w:ascii="SimHei" w:eastAsia="SimHei" w:hint="eastAsia"/>
        </w:rPr>
      </w:pPr>
      <w:r w:rsidRPr="00151699">
        <w:rPr>
          <w:rFonts w:ascii="SimHei" w:eastAsia="SimHei" w:hint="eastAsia"/>
        </w:rPr>
        <w:t>保健</w:t>
      </w:r>
    </w:p>
    <w:p w:rsidR="00D976FC" w:rsidRDefault="00D976FC" w:rsidP="00151699">
      <w:pPr>
        <w:pStyle w:val="SingleTxt"/>
        <w:spacing w:after="124"/>
        <w:rPr>
          <w:rFonts w:hint="eastAsia"/>
        </w:rPr>
      </w:pPr>
      <w:r>
        <w:rPr>
          <w:rFonts w:hint="eastAsia"/>
        </w:rPr>
        <w:t>24.</w:t>
      </w:r>
      <w:r>
        <w:rPr>
          <w:rFonts w:hint="eastAsia"/>
        </w:rPr>
        <w:tab/>
      </w:r>
      <w:r w:rsidRPr="00151699">
        <w:rPr>
          <w:rFonts w:ascii="SimHei" w:eastAsia="SimHei" w:hint="eastAsia"/>
        </w:rPr>
        <w:t>请介绍妇女在整个生命周期(包括在农村地区)获得保健服务的情况。报告第19段表明，产妇死亡率仍居高不下，在1996年，每10万名活产婴儿有649名产妇死亡，到2002年已经增加到每10万名活产婴儿有729名产妇死亡。请详细说明采取措施、确保优先注重孕产妇健康的情况，包括解决报告第131段所述产妇死亡率高的主要原因</w:t>
      </w:r>
      <w:r>
        <w:rPr>
          <w:rFonts w:hint="eastAsia"/>
        </w:rPr>
        <w:t>。</w:t>
      </w:r>
    </w:p>
    <w:p w:rsidR="00D976FC" w:rsidRDefault="00D976FC" w:rsidP="00690919">
      <w:pPr>
        <w:pStyle w:val="SingleTxt"/>
        <w:tabs>
          <w:tab w:val="clear" w:pos="1695"/>
          <w:tab w:val="left" w:pos="1932"/>
        </w:tabs>
        <w:rPr>
          <w:rFonts w:hint="eastAsia"/>
        </w:rPr>
      </w:pPr>
      <w:r>
        <w:rPr>
          <w:rFonts w:hint="eastAsia"/>
        </w:rPr>
        <w:t>24.1</w:t>
      </w:r>
      <w:r>
        <w:rPr>
          <w:rFonts w:hint="eastAsia"/>
        </w:rPr>
        <w:tab/>
        <w:t>缔约国谨报告：</w:t>
      </w:r>
    </w:p>
    <w:p w:rsidR="00D976FC" w:rsidRDefault="00151699" w:rsidP="00D976FC">
      <w:pPr>
        <w:pStyle w:val="SingleTxt"/>
        <w:rPr>
          <w:rFonts w:hint="eastAsia"/>
        </w:rPr>
      </w:pPr>
      <w:r>
        <w:rPr>
          <w:rFonts w:hint="eastAsia"/>
        </w:rPr>
        <w:tab/>
      </w:r>
      <w:r w:rsidR="00D976FC">
        <w:rPr>
          <w:rFonts w:hint="eastAsia"/>
        </w:rPr>
        <w:t>(a)</w:t>
      </w:r>
      <w:r w:rsidR="00690919">
        <w:rPr>
          <w:rFonts w:hint="eastAsia"/>
        </w:rPr>
        <w:tab/>
      </w:r>
      <w:r w:rsidR="00D976FC">
        <w:rPr>
          <w:rFonts w:hint="eastAsia"/>
        </w:rPr>
        <w:t>政府已对卫生部门增加了资源分配。在这方面，政府为生殖健康商品建立了专项预算项目。商品用于进行正常分娩、控制孕期并发症以及提供计划生育服务；</w:t>
      </w:r>
    </w:p>
    <w:p w:rsidR="00D976FC" w:rsidRDefault="00151699" w:rsidP="00D976FC">
      <w:pPr>
        <w:pStyle w:val="SingleTxt"/>
        <w:rPr>
          <w:rFonts w:hint="eastAsia"/>
        </w:rPr>
      </w:pPr>
      <w:r>
        <w:rPr>
          <w:rFonts w:hint="eastAsia"/>
        </w:rPr>
        <w:tab/>
      </w:r>
      <w:r w:rsidR="00D976FC">
        <w:rPr>
          <w:rFonts w:hint="eastAsia"/>
        </w:rPr>
        <w:t>(b)</w:t>
      </w:r>
      <w:r w:rsidR="00D976FC">
        <w:rPr>
          <w:rFonts w:hint="eastAsia"/>
        </w:rPr>
        <w:tab/>
        <w:t>政府正在建设和修复卫生基础设施，以确保卫生设施的利用。此外，为区域诊所配备了设施，以便处理紧急状况。这样，病人从卫星中心转诊就更加便利；</w:t>
      </w:r>
    </w:p>
    <w:p w:rsidR="00D976FC" w:rsidRDefault="00151699" w:rsidP="00D976FC">
      <w:pPr>
        <w:pStyle w:val="SingleTxt"/>
        <w:rPr>
          <w:rFonts w:hint="eastAsia"/>
        </w:rPr>
      </w:pPr>
      <w:r>
        <w:rPr>
          <w:rFonts w:hint="eastAsia"/>
        </w:rPr>
        <w:tab/>
      </w:r>
      <w:r w:rsidR="00D976FC">
        <w:rPr>
          <w:rFonts w:hint="eastAsia"/>
        </w:rPr>
        <w:t>(c)</w:t>
      </w:r>
      <w:r w:rsidR="00D976FC">
        <w:rPr>
          <w:rFonts w:hint="eastAsia"/>
        </w:rPr>
        <w:tab/>
        <w:t>政府制定了赞比亚医务工作者保留机制，以此作为一项留住合格医务人员的措施。通过该方案，几乎所有县级医院都配备了医生。该机制现在正扩大至其他医务工作者，包括护士、护理人员、临床人员和导师；</w:t>
      </w:r>
    </w:p>
    <w:p w:rsidR="00D976FC" w:rsidRDefault="00151699" w:rsidP="00D976FC">
      <w:pPr>
        <w:pStyle w:val="SingleTxt"/>
        <w:rPr>
          <w:rFonts w:hint="eastAsia"/>
        </w:rPr>
      </w:pPr>
      <w:r>
        <w:rPr>
          <w:rFonts w:hint="eastAsia"/>
        </w:rPr>
        <w:tab/>
      </w:r>
      <w:r w:rsidR="00D976FC">
        <w:rPr>
          <w:rFonts w:hint="eastAsia"/>
        </w:rPr>
        <w:t>(d)</w:t>
      </w:r>
      <w:r w:rsidR="00D976FC">
        <w:rPr>
          <w:rFonts w:hint="eastAsia"/>
        </w:rPr>
        <w:tab/>
        <w:t>政府扩大了护士的需要量，并再次开办本已关闭的护理学校。此外，政府制定了一项方案，使想要参与助产士方案的人员可直接参与，但在过去，需要具备赞比亚护士注册资格证书才有资格参与。</w:t>
      </w:r>
    </w:p>
    <w:p w:rsidR="00D976FC" w:rsidRDefault="00D976FC" w:rsidP="00690919">
      <w:pPr>
        <w:pStyle w:val="SingleTxt"/>
        <w:tabs>
          <w:tab w:val="clear" w:pos="1695"/>
          <w:tab w:val="left" w:pos="1932"/>
        </w:tabs>
        <w:rPr>
          <w:rFonts w:hint="eastAsia"/>
        </w:rPr>
      </w:pPr>
      <w:r>
        <w:rPr>
          <w:rFonts w:hint="eastAsia"/>
        </w:rPr>
        <w:t>24.2</w:t>
      </w:r>
      <w:r>
        <w:rPr>
          <w:rFonts w:hint="eastAsia"/>
        </w:rPr>
        <w:tab/>
        <w:t>以下措施帮助降低了产妇死亡率，即从2002年每10万名活产婴儿有729名产妇死亡降至2007年的591名：</w:t>
      </w:r>
    </w:p>
    <w:p w:rsidR="00D976FC" w:rsidRDefault="00151699" w:rsidP="00151699">
      <w:pPr>
        <w:pStyle w:val="SingleTxt"/>
        <w:spacing w:line="332" w:lineRule="exact"/>
        <w:rPr>
          <w:rFonts w:hint="eastAsia"/>
        </w:rPr>
      </w:pPr>
      <w:r>
        <w:rPr>
          <w:rFonts w:hint="eastAsia"/>
        </w:rPr>
        <w:tab/>
      </w:r>
      <w:r w:rsidR="00D976FC">
        <w:rPr>
          <w:rFonts w:hint="eastAsia"/>
        </w:rPr>
        <w:t>(a)</w:t>
      </w:r>
      <w:r w:rsidR="00D976FC">
        <w:rPr>
          <w:rFonts w:hint="eastAsia"/>
        </w:rPr>
        <w:tab/>
        <w:t>政府启动了加速降低产妇死亡率的活动。这项举措旨在考虑有的放矢，将妇女的生存问题纳入主流，并采取多部门方式，让公私伙伴机构和民间社会参与其中；</w:t>
      </w:r>
    </w:p>
    <w:p w:rsidR="00D976FC" w:rsidRDefault="00151699" w:rsidP="00151699">
      <w:pPr>
        <w:pStyle w:val="SingleTxt"/>
        <w:spacing w:line="332" w:lineRule="exact"/>
        <w:rPr>
          <w:rFonts w:hint="eastAsia"/>
        </w:rPr>
      </w:pPr>
      <w:r>
        <w:rPr>
          <w:rFonts w:hint="eastAsia"/>
        </w:rPr>
        <w:tab/>
      </w:r>
      <w:r w:rsidR="00D976FC">
        <w:rPr>
          <w:rFonts w:hint="eastAsia"/>
        </w:rPr>
        <w:t>(b)</w:t>
      </w:r>
      <w:r w:rsidR="00D976FC">
        <w:rPr>
          <w:rFonts w:hint="eastAsia"/>
        </w:rPr>
        <w:tab/>
        <w:t>卫生部对青年的关注与健康有关，并且是预防和宣传相结合。此外，该部联合其他应对青年问题的职能部委和组织在51%的县就青少年健康问题对医务工作者进行了培训。目的是培训出能提供有益青年健康的服务的人员；</w:t>
      </w:r>
    </w:p>
    <w:p w:rsidR="00D976FC" w:rsidRDefault="00151699" w:rsidP="00151699">
      <w:pPr>
        <w:pStyle w:val="SingleTxt"/>
        <w:spacing w:line="332" w:lineRule="exact"/>
        <w:rPr>
          <w:rFonts w:hint="eastAsia"/>
        </w:rPr>
      </w:pPr>
      <w:r>
        <w:rPr>
          <w:rFonts w:hint="eastAsia"/>
        </w:rPr>
        <w:tab/>
      </w:r>
      <w:r w:rsidR="00D976FC">
        <w:rPr>
          <w:rFonts w:hint="eastAsia"/>
        </w:rPr>
        <w:t>(c)</w:t>
      </w:r>
      <w:r w:rsidR="00D976FC">
        <w:rPr>
          <w:rFonts w:hint="eastAsia"/>
        </w:rPr>
        <w:tab/>
        <w:t>促进青年实行计划生育的措施已经出台，即特别帮助少女获得各类处理生殖健康问题的服务，特别是未经配偶、父母或监护人同意实行的计划生育，这是符合现行立法规定的；</w:t>
      </w:r>
    </w:p>
    <w:p w:rsidR="00D976FC" w:rsidRDefault="00151699" w:rsidP="00151699">
      <w:pPr>
        <w:pStyle w:val="SingleTxt"/>
        <w:spacing w:line="332" w:lineRule="exact"/>
        <w:rPr>
          <w:rFonts w:hint="eastAsia"/>
        </w:rPr>
      </w:pPr>
      <w:r>
        <w:rPr>
          <w:rFonts w:hint="eastAsia"/>
        </w:rPr>
        <w:tab/>
      </w:r>
      <w:r w:rsidR="00D976FC">
        <w:rPr>
          <w:rFonts w:hint="eastAsia"/>
        </w:rPr>
        <w:t>(d)</w:t>
      </w:r>
      <w:r w:rsidR="00D976FC">
        <w:rPr>
          <w:rFonts w:hint="eastAsia"/>
        </w:rPr>
        <w:tab/>
        <w:t>该部一直在加强全国的计划生育服务，侧重于Jadelle和特别是农村地区的IUD等长期方式，因为在农村地区实行计划生育是一项挑战。</w:t>
      </w:r>
    </w:p>
    <w:p w:rsidR="00D976FC" w:rsidRDefault="00D976FC" w:rsidP="00151699">
      <w:pPr>
        <w:pStyle w:val="SingleTxt"/>
        <w:spacing w:line="332" w:lineRule="exact"/>
        <w:rPr>
          <w:rFonts w:hint="eastAsia"/>
        </w:rPr>
      </w:pPr>
      <w:r>
        <w:rPr>
          <w:rFonts w:hint="eastAsia"/>
        </w:rPr>
        <w:t>25.</w:t>
      </w:r>
      <w:r>
        <w:rPr>
          <w:rFonts w:hint="eastAsia"/>
        </w:rPr>
        <w:tab/>
      </w:r>
      <w:r w:rsidRPr="00151699">
        <w:rPr>
          <w:rFonts w:ascii="SimHei" w:eastAsia="SimHei" w:hint="eastAsia"/>
          <w:spacing w:val="2"/>
        </w:rPr>
        <w:t>报告(第20段)称，政府正在实施若干方案，以防止青少年早期性行为，从而提高初次性交年龄的中位数。报告(第21段)还指出，初次性交年龄推迟是由于实施了政府同民间社会组织合作的青年同伴教育方案。请详细说明这些方案在全国的分布情况及其影响，特别是对意外怀孕的影响。还请详细说明：有什么措施已经到位，以加强计划生育倡议？并说明男孩和女孩在多大程度上认识到性与生殖健康问题，包括他们了解到如何保护自己不受性传播感染和防止意外怀孕</w:t>
      </w:r>
      <w:r>
        <w:rPr>
          <w:rFonts w:hint="eastAsia"/>
        </w:rPr>
        <w:t>。</w:t>
      </w:r>
    </w:p>
    <w:p w:rsidR="00D976FC" w:rsidRPr="00151699" w:rsidRDefault="00D976FC" w:rsidP="00151699">
      <w:pPr>
        <w:pStyle w:val="SingleTxt"/>
        <w:spacing w:after="120" w:line="316" w:lineRule="exact"/>
        <w:rPr>
          <w:rFonts w:ascii="SimHei" w:eastAsia="SimHei" w:hint="eastAsia"/>
        </w:rPr>
      </w:pPr>
      <w:r w:rsidRPr="00151699">
        <w:rPr>
          <w:rFonts w:ascii="SimHei" w:eastAsia="SimHei" w:hint="eastAsia"/>
        </w:rPr>
        <w:t>青年同伴教育方案在全国的分布情况</w:t>
      </w:r>
    </w:p>
    <w:p w:rsidR="00D976FC" w:rsidRDefault="00151699" w:rsidP="00151699">
      <w:pPr>
        <w:pStyle w:val="SingleTxt"/>
        <w:spacing w:after="120" w:line="316" w:lineRule="exact"/>
        <w:rPr>
          <w:rFonts w:hint="eastAsia"/>
        </w:rPr>
      </w:pPr>
      <w:r>
        <w:rPr>
          <w:rFonts w:hint="eastAsia"/>
        </w:rPr>
        <w:tab/>
      </w:r>
      <w:r w:rsidR="00D976FC">
        <w:rPr>
          <w:rFonts w:hint="eastAsia"/>
        </w:rPr>
        <w:t>在赞比亚，广泛使用的促进性健康和生殖健康并预防艾滋病毒的方式是青年同伴教育方案。众多青年同伴教育方案已同很多诊所建立了联系。著名的青年同伴教育方案有：卢萨卡的是人力资源信托机构和Tiyanjane发展项目，利文斯通的利文斯通地区卫生队和联络信托协会，以及芒古的青少年生殖问题协会。资料来源：http://pdf.usaid.gov/pdfdocs?PNAD0610.pdf</w:t>
      </w:r>
    </w:p>
    <w:p w:rsidR="00D976FC" w:rsidRPr="00151699" w:rsidRDefault="00D976FC" w:rsidP="00151699">
      <w:pPr>
        <w:pStyle w:val="SingleTxt"/>
        <w:spacing w:after="120" w:line="316" w:lineRule="exact"/>
        <w:rPr>
          <w:rFonts w:ascii="SimHei" w:eastAsia="SimHei" w:hint="eastAsia"/>
        </w:rPr>
      </w:pPr>
      <w:r w:rsidRPr="00151699">
        <w:rPr>
          <w:rFonts w:ascii="SimHei" w:eastAsia="SimHei" w:hint="eastAsia"/>
        </w:rPr>
        <w:t>青年同伴方案的影响力</w:t>
      </w:r>
    </w:p>
    <w:p w:rsidR="00D976FC" w:rsidRDefault="00151699" w:rsidP="00151699">
      <w:pPr>
        <w:pStyle w:val="SingleTxt"/>
        <w:spacing w:after="120" w:line="316" w:lineRule="exact"/>
        <w:rPr>
          <w:rFonts w:hint="eastAsia"/>
        </w:rPr>
      </w:pPr>
      <w:r>
        <w:rPr>
          <w:rFonts w:hint="eastAsia"/>
        </w:rPr>
        <w:tab/>
      </w:r>
      <w:r w:rsidR="00D976FC">
        <w:rPr>
          <w:rFonts w:hint="eastAsia"/>
        </w:rPr>
        <w:t>缔约国谨报告，实施青年同伴教育方案帮助将初次性交年龄的中位数从2005年报告的18.5岁推迟至2009年的19.5岁。但尚未对青年同伴教育方案进行全面评估，因而无法确定其对意外怀孕的影响。</w:t>
      </w:r>
    </w:p>
    <w:p w:rsidR="00D976FC" w:rsidRPr="00151699" w:rsidRDefault="00D976FC" w:rsidP="00151699">
      <w:pPr>
        <w:pStyle w:val="SingleTxt"/>
        <w:spacing w:after="120" w:line="316" w:lineRule="exact"/>
        <w:rPr>
          <w:rFonts w:ascii="SimHei" w:eastAsia="SimHei" w:hint="eastAsia"/>
        </w:rPr>
      </w:pPr>
      <w:r w:rsidRPr="00151699">
        <w:rPr>
          <w:rFonts w:ascii="SimHei" w:eastAsia="SimHei" w:hint="eastAsia"/>
        </w:rPr>
        <w:t>宣传计划生育倡议的措施</w:t>
      </w:r>
    </w:p>
    <w:p w:rsidR="00D976FC" w:rsidRDefault="00151699" w:rsidP="00151699">
      <w:pPr>
        <w:pStyle w:val="SingleTxt"/>
        <w:spacing w:after="120" w:line="316" w:lineRule="exact"/>
        <w:rPr>
          <w:rFonts w:hint="eastAsia"/>
        </w:rPr>
      </w:pPr>
      <w:r>
        <w:rPr>
          <w:rFonts w:hint="eastAsia"/>
        </w:rPr>
        <w:tab/>
      </w:r>
      <w:r w:rsidR="00D976FC">
        <w:rPr>
          <w:rFonts w:hint="eastAsia"/>
        </w:rPr>
        <w:t>为宣传计划生育倡议落实了如下措施：</w:t>
      </w:r>
    </w:p>
    <w:p w:rsidR="00D976FC" w:rsidRDefault="00151699" w:rsidP="00151699">
      <w:pPr>
        <w:pStyle w:val="SingleTxt"/>
        <w:spacing w:after="120" w:line="316" w:lineRule="exact"/>
        <w:rPr>
          <w:rFonts w:hint="eastAsia"/>
        </w:rPr>
      </w:pPr>
      <w:r>
        <w:rPr>
          <w:rFonts w:hint="eastAsia"/>
        </w:rPr>
        <w:tab/>
      </w:r>
      <w:r w:rsidR="00D976FC">
        <w:rPr>
          <w:rFonts w:hint="eastAsia"/>
        </w:rPr>
        <w:t>(a)</w:t>
      </w:r>
      <w:r w:rsidR="00D976FC">
        <w:rPr>
          <w:rFonts w:hint="eastAsia"/>
        </w:rPr>
        <w:tab/>
        <w:t>为在青年中宣传计划生育倡议，卫生部正在重点帮助少女获得各类处理生殖健康问题的服务，特别是未经配偶、父母或监护人同意实行的计划生育，这是符合现行立法规定的；</w:t>
      </w:r>
    </w:p>
    <w:p w:rsidR="00D976FC" w:rsidRDefault="00151699" w:rsidP="00151699">
      <w:pPr>
        <w:pStyle w:val="SingleTxt"/>
        <w:spacing w:after="120" w:line="316" w:lineRule="exact"/>
        <w:rPr>
          <w:rFonts w:hint="eastAsia"/>
        </w:rPr>
      </w:pPr>
      <w:r>
        <w:rPr>
          <w:rFonts w:hint="eastAsia"/>
        </w:rPr>
        <w:tab/>
      </w:r>
      <w:r w:rsidR="00D976FC">
        <w:rPr>
          <w:rFonts w:hint="eastAsia"/>
        </w:rPr>
        <w:t>(b)</w:t>
      </w:r>
      <w:r w:rsidR="00D976FC">
        <w:rPr>
          <w:rFonts w:hint="eastAsia"/>
        </w:rPr>
        <w:tab/>
        <w:t>该部一直在加强全国的计划生育服务，侧重于Jadelle和重点是农村地区的IUD等长期方式，因为在农村地区实行计划生育是一项挑战。</w:t>
      </w:r>
    </w:p>
    <w:p w:rsidR="00D976FC" w:rsidRPr="00151699" w:rsidRDefault="00D976FC" w:rsidP="00151699">
      <w:pPr>
        <w:pStyle w:val="SingleTxt"/>
        <w:spacing w:after="120" w:line="316" w:lineRule="exact"/>
        <w:rPr>
          <w:rFonts w:ascii="SimHei" w:eastAsia="SimHei" w:hint="eastAsia"/>
        </w:rPr>
      </w:pPr>
      <w:r w:rsidRPr="00151699">
        <w:rPr>
          <w:rFonts w:ascii="SimHei" w:eastAsia="SimHei" w:hint="eastAsia"/>
        </w:rPr>
        <w:t>女孩和男孩对性健康和生殖健康问题的了解程度</w:t>
      </w:r>
    </w:p>
    <w:p w:rsidR="00D976FC" w:rsidRDefault="00151699" w:rsidP="00151699">
      <w:pPr>
        <w:pStyle w:val="SingleTxt"/>
        <w:spacing w:after="120" w:line="316" w:lineRule="exact"/>
        <w:rPr>
          <w:rFonts w:hint="eastAsia"/>
        </w:rPr>
      </w:pPr>
      <w:r>
        <w:rPr>
          <w:rFonts w:hint="eastAsia"/>
        </w:rPr>
        <w:tab/>
      </w:r>
      <w:r w:rsidR="00D976FC">
        <w:rPr>
          <w:rFonts w:hint="eastAsia"/>
        </w:rPr>
        <w:t>青年同伴教育方案一直是增强女孩和男孩对性健康和生殖健康问题了解的有效手段。这些方案覆盖了艾滋病毒/艾滋病；防止怀孕；性生活节制；使用避孕套和预防性传播感染等主题。此外，防止艾滋病俱乐部和FAWEZA安全俱乐部促进青年转变其行为。卫生部门已制定了青年友好角方案。在方案中，护理人员帮助青年认识生殖健康问题。</w:t>
      </w:r>
    </w:p>
    <w:p w:rsidR="00D976FC" w:rsidRDefault="00D976FC" w:rsidP="00151699">
      <w:pPr>
        <w:pStyle w:val="SingleTxt"/>
        <w:spacing w:after="120" w:line="316" w:lineRule="exact"/>
        <w:rPr>
          <w:rFonts w:hint="eastAsia"/>
        </w:rPr>
      </w:pPr>
      <w:r>
        <w:rPr>
          <w:rFonts w:hint="eastAsia"/>
        </w:rPr>
        <w:t>26.</w:t>
      </w:r>
      <w:r>
        <w:rPr>
          <w:rFonts w:hint="eastAsia"/>
        </w:rPr>
        <w:tab/>
      </w:r>
      <w:r w:rsidRPr="00151699">
        <w:rPr>
          <w:rFonts w:ascii="SimHei" w:eastAsia="SimHei" w:hint="eastAsia"/>
          <w:spacing w:val="-2"/>
        </w:rPr>
        <w:t>报告第17段称，全国艾滋病理事会是国家应对艾滋病毒和艾滋病的一个多部门机制，负责协调和支持其开发、监测和评价工作。请进一步说明该理事会的组成情况、活动及其影响。报告第137段称，2004年，在15至49岁的年龄群中，女性感染率(13%)高于男性(8%)。15至24岁的男孩(8%)和女孩(17%)的感染情况类似。此外，虽然整体上感染率在下降，但30至39岁年龄群女性的艾滋病毒/艾滋病感染率有所增长。请详细说明制定了什么措施和方案来提高公众对艾滋病毒/艾滋病的风险和后果的认识，并说明这些措施中有无任何措施是明确针对妇女和女孩的</w:t>
      </w:r>
      <w:r w:rsidRPr="00151699">
        <w:rPr>
          <w:rFonts w:hint="eastAsia"/>
          <w:spacing w:val="-2"/>
        </w:rPr>
        <w:t>。</w:t>
      </w:r>
    </w:p>
    <w:p w:rsidR="00D976FC" w:rsidRPr="00151699" w:rsidRDefault="00D976FC" w:rsidP="00151699">
      <w:pPr>
        <w:pStyle w:val="SingleTxt"/>
        <w:spacing w:after="120" w:line="316" w:lineRule="exact"/>
        <w:rPr>
          <w:rFonts w:ascii="SimHei" w:eastAsia="SimHei" w:hint="eastAsia"/>
        </w:rPr>
      </w:pPr>
      <w:r w:rsidRPr="00151699">
        <w:rPr>
          <w:rFonts w:ascii="SimHei" w:eastAsia="SimHei" w:hint="eastAsia"/>
        </w:rPr>
        <w:t>全国艾滋病理事会的构成、活动和影响</w:t>
      </w:r>
    </w:p>
    <w:p w:rsidR="00D976FC" w:rsidRDefault="00D976FC" w:rsidP="00151699">
      <w:pPr>
        <w:pStyle w:val="SingleTxt"/>
        <w:tabs>
          <w:tab w:val="clear" w:pos="1695"/>
          <w:tab w:val="left" w:pos="1932"/>
        </w:tabs>
        <w:spacing w:after="120" w:line="316" w:lineRule="exact"/>
        <w:rPr>
          <w:rFonts w:hint="eastAsia"/>
        </w:rPr>
      </w:pPr>
      <w:r>
        <w:rPr>
          <w:rFonts w:hint="eastAsia"/>
        </w:rPr>
        <w:t>26.1</w:t>
      </w:r>
      <w:r>
        <w:rPr>
          <w:rFonts w:hint="eastAsia"/>
        </w:rPr>
        <w:tab/>
        <w:t>国家艾滋病毒/艾滋病/性传播感染/结核病委员会是由2000年第10号《全国艾滋病理事会法》设立的，成员包括卫生部、社区发展和社会服务部、青年、体育和儿童发展部、教育部以及两性平等参与发展司的常任秘书。</w:t>
      </w:r>
    </w:p>
    <w:p w:rsidR="00D976FC" w:rsidRDefault="00D976FC" w:rsidP="00151699">
      <w:pPr>
        <w:pStyle w:val="SingleTxt"/>
        <w:tabs>
          <w:tab w:val="clear" w:pos="1695"/>
          <w:tab w:val="left" w:pos="1932"/>
        </w:tabs>
        <w:spacing w:after="120"/>
        <w:rPr>
          <w:rFonts w:hint="eastAsia"/>
        </w:rPr>
      </w:pPr>
      <w:r>
        <w:rPr>
          <w:rFonts w:hint="eastAsia"/>
        </w:rPr>
        <w:t>26.2</w:t>
      </w:r>
      <w:r>
        <w:rPr>
          <w:rFonts w:hint="eastAsia"/>
        </w:rPr>
        <w:tab/>
        <w:t>全国艾滋病理事会的其他成员代表有检察长、艾滋病毒携带者网络、赞比亚国家艾滋病网络、青年组织论坛、赞比亚土医郎中协会、赞比亚卫生专业委员会、一般护理委员会、宗教组织和媒体。</w:t>
      </w:r>
    </w:p>
    <w:p w:rsidR="00D976FC" w:rsidRDefault="00D976FC" w:rsidP="00151699">
      <w:pPr>
        <w:pStyle w:val="SingleTxt"/>
        <w:tabs>
          <w:tab w:val="clear" w:pos="1695"/>
          <w:tab w:val="left" w:pos="1932"/>
        </w:tabs>
        <w:spacing w:after="120"/>
        <w:rPr>
          <w:rFonts w:hint="eastAsia"/>
        </w:rPr>
      </w:pPr>
      <w:r>
        <w:rPr>
          <w:rFonts w:hint="eastAsia"/>
        </w:rPr>
        <w:t>26.3</w:t>
      </w:r>
      <w:r>
        <w:rPr>
          <w:rFonts w:hint="eastAsia"/>
        </w:rPr>
        <w:tab/>
        <w:t>全国艾滋病理事会的作用是协调和支持编制、监测和评估对预防和抗击艾滋病毒和艾滋病、性传播感染和结核病传播做出的多部门国家回应，以便减少对个人、社会和经济的影响。</w:t>
      </w:r>
    </w:p>
    <w:p w:rsidR="00D976FC" w:rsidRDefault="00D976FC" w:rsidP="00151699">
      <w:pPr>
        <w:pStyle w:val="SingleTxt"/>
        <w:tabs>
          <w:tab w:val="clear" w:pos="1695"/>
          <w:tab w:val="left" w:pos="1932"/>
        </w:tabs>
        <w:spacing w:after="120"/>
        <w:rPr>
          <w:rFonts w:hint="eastAsia"/>
        </w:rPr>
      </w:pPr>
      <w:r>
        <w:rPr>
          <w:rFonts w:hint="eastAsia"/>
        </w:rPr>
        <w:t>26.4</w:t>
      </w:r>
      <w:r>
        <w:rPr>
          <w:rFonts w:hint="eastAsia"/>
        </w:rPr>
        <w:tab/>
        <w:t>全国艾滋病理事会设立秘书处，向委员会提供技术支持，以便有效协调各利益攸关方的各种预防、治疗、护理和缓解方案。</w:t>
      </w:r>
    </w:p>
    <w:p w:rsidR="00D976FC" w:rsidRDefault="00D976FC" w:rsidP="00151699">
      <w:pPr>
        <w:pStyle w:val="SingleTxt"/>
        <w:tabs>
          <w:tab w:val="clear" w:pos="1695"/>
          <w:tab w:val="left" w:pos="1932"/>
        </w:tabs>
        <w:spacing w:after="120"/>
        <w:rPr>
          <w:rFonts w:hint="eastAsia"/>
        </w:rPr>
      </w:pPr>
      <w:r>
        <w:rPr>
          <w:rFonts w:hint="eastAsia"/>
        </w:rPr>
        <w:t>26.5</w:t>
      </w:r>
      <w:r>
        <w:rPr>
          <w:rFonts w:hint="eastAsia"/>
        </w:rPr>
        <w:tab/>
        <w:t>全国艾滋病理事会作为赞比亚抗击艾滋病毒传播的战略性机构，促进并协调了艾滋病毒/艾滋病工作场所政策的制定和实施。委员会对赞比亚的艾滋病毒和艾滋病问题做出了协调一致的回应，并牵头对赞比亚的艾滋病毒/艾滋病方案进行评估。</w:t>
      </w:r>
    </w:p>
    <w:p w:rsidR="00D976FC" w:rsidRDefault="00D976FC" w:rsidP="00151699">
      <w:pPr>
        <w:pStyle w:val="SingleTxt"/>
        <w:tabs>
          <w:tab w:val="clear" w:pos="1695"/>
          <w:tab w:val="left" w:pos="1932"/>
        </w:tabs>
        <w:spacing w:after="120"/>
        <w:rPr>
          <w:rFonts w:hint="eastAsia"/>
        </w:rPr>
      </w:pPr>
      <w:r>
        <w:rPr>
          <w:rFonts w:hint="eastAsia"/>
        </w:rPr>
        <w:t>26.6</w:t>
      </w:r>
      <w:r>
        <w:rPr>
          <w:rFonts w:hint="eastAsia"/>
        </w:rPr>
        <w:tab/>
        <w:t>由全国艾滋病理事会牵头系统实施的艾滋病毒/艾滋病方案帮助降低了艾滋病毒感染率，从2001年的15.6%(ZDHS，2001年/2002年)降至2007年的14.3%(ZH+DHS，2007年)。</w:t>
      </w:r>
    </w:p>
    <w:p w:rsidR="00D976FC" w:rsidRPr="00151699" w:rsidRDefault="00D976FC" w:rsidP="00151699">
      <w:pPr>
        <w:pStyle w:val="SingleTxt"/>
        <w:spacing w:after="120"/>
        <w:rPr>
          <w:rFonts w:ascii="SimHei" w:eastAsia="SimHei" w:hint="eastAsia"/>
        </w:rPr>
      </w:pPr>
      <w:r w:rsidRPr="00151699">
        <w:rPr>
          <w:rFonts w:ascii="SimHei" w:eastAsia="SimHei" w:hint="eastAsia"/>
        </w:rPr>
        <w:t>为提高对艾滋病毒/艾滋病风险和影响的公共意识所制定的措施和方案</w:t>
      </w:r>
    </w:p>
    <w:p w:rsidR="00D976FC" w:rsidRDefault="00D976FC" w:rsidP="00151699">
      <w:pPr>
        <w:pStyle w:val="SingleTxt"/>
        <w:tabs>
          <w:tab w:val="clear" w:pos="1695"/>
          <w:tab w:val="left" w:pos="1932"/>
        </w:tabs>
        <w:spacing w:after="120"/>
        <w:rPr>
          <w:rFonts w:hint="eastAsia"/>
        </w:rPr>
      </w:pPr>
      <w:r>
        <w:rPr>
          <w:rFonts w:hint="eastAsia"/>
        </w:rPr>
        <w:t>26.7</w:t>
      </w:r>
      <w:r>
        <w:rPr>
          <w:rFonts w:hint="eastAsia"/>
        </w:rPr>
        <w:tab/>
        <w:t>缔约国报告称，全国艾滋病理事会并未实施旨在提高对艾滋病毒/艾滋病风险和影响的意识的方案，因为其任务是为政府、卫生机构和其他组织提供预防和抗击艾滋病毒、艾滋病、性传播感染和结核病所需的政策、策略和计划的建议。在制定和协调预防和抗击艾滋病毒、艾滋病、性传播感染和结核病的政策、计划和策略时，全国艾滋病理事会还为与预防这些问题相关的卫生机构和其他组织提供支助。</w:t>
      </w:r>
    </w:p>
    <w:p w:rsidR="00D976FC" w:rsidRDefault="00D976FC" w:rsidP="00151699">
      <w:pPr>
        <w:pStyle w:val="SingleTxt"/>
        <w:spacing w:after="120"/>
        <w:rPr>
          <w:rFonts w:hint="eastAsia"/>
        </w:rPr>
      </w:pPr>
      <w:r>
        <w:rPr>
          <w:rFonts w:hint="eastAsia"/>
        </w:rPr>
        <w:t>27.</w:t>
      </w:r>
      <w:r>
        <w:rPr>
          <w:rFonts w:hint="eastAsia"/>
        </w:rPr>
        <w:tab/>
      </w:r>
      <w:r w:rsidRPr="00151699">
        <w:rPr>
          <w:rFonts w:ascii="SimHei" w:eastAsia="SimHei" w:hint="eastAsia"/>
        </w:rPr>
        <w:t>请向委员会报告是否存在任何机制，以确保女囚犯可以平等和不受歧视地利用医疗设施，包括接受艾滋病毒/艾滋病和结核病测试和治疗。也请提供有关被拘留的孕妇和哺乳妇女可用的服务情况</w:t>
      </w:r>
      <w:r>
        <w:rPr>
          <w:rFonts w:hint="eastAsia"/>
        </w:rPr>
        <w:t>。</w:t>
      </w:r>
    </w:p>
    <w:p w:rsidR="00D976FC" w:rsidRPr="00151699" w:rsidRDefault="00D976FC" w:rsidP="00D976FC">
      <w:pPr>
        <w:pStyle w:val="SingleTxt"/>
        <w:rPr>
          <w:rFonts w:ascii="SimHei" w:eastAsia="SimHei" w:hint="eastAsia"/>
        </w:rPr>
      </w:pPr>
      <w:r w:rsidRPr="00151699">
        <w:rPr>
          <w:rFonts w:ascii="SimHei" w:eastAsia="SimHei" w:hint="eastAsia"/>
        </w:rPr>
        <w:t>女囚犯使用医疗设施的权利</w:t>
      </w:r>
    </w:p>
    <w:p w:rsidR="00D976FC" w:rsidRDefault="00D976FC" w:rsidP="00690919">
      <w:pPr>
        <w:pStyle w:val="SingleTxt"/>
        <w:tabs>
          <w:tab w:val="clear" w:pos="1695"/>
          <w:tab w:val="left" w:pos="1932"/>
        </w:tabs>
        <w:rPr>
          <w:rFonts w:hint="eastAsia"/>
        </w:rPr>
      </w:pPr>
      <w:r>
        <w:rPr>
          <w:rFonts w:hint="eastAsia"/>
        </w:rPr>
        <w:t>27.1</w:t>
      </w:r>
      <w:r>
        <w:rPr>
          <w:rFonts w:hint="eastAsia"/>
        </w:rPr>
        <w:tab/>
        <w:t>缔约国报告称，赞比亚狱政部门使女囚犯平等且不受歧视地使用医疗设施，包括对艾滋病毒/艾滋病和结核病的测试和治疗。赞比亚狱政部门提供的服务如下：</w:t>
      </w:r>
    </w:p>
    <w:p w:rsidR="00D976FC" w:rsidRDefault="00151699" w:rsidP="00151699">
      <w:pPr>
        <w:pStyle w:val="SingleTxt"/>
        <w:spacing w:after="120"/>
        <w:rPr>
          <w:rFonts w:hint="eastAsia"/>
        </w:rPr>
      </w:pPr>
      <w:r>
        <w:rPr>
          <w:rFonts w:hint="eastAsia"/>
        </w:rPr>
        <w:tab/>
      </w:r>
      <w:r w:rsidR="00D976FC">
        <w:rPr>
          <w:rFonts w:hint="eastAsia"/>
        </w:rPr>
        <w:t>(a)</w:t>
      </w:r>
      <w:r w:rsidR="00D976FC">
        <w:rPr>
          <w:rFonts w:hint="eastAsia"/>
        </w:rPr>
        <w:tab/>
        <w:t>咨询和检测；</w:t>
      </w:r>
    </w:p>
    <w:p w:rsidR="00D976FC" w:rsidRDefault="00151699" w:rsidP="00151699">
      <w:pPr>
        <w:pStyle w:val="SingleTxt"/>
        <w:spacing w:after="120"/>
        <w:rPr>
          <w:rFonts w:hint="eastAsia"/>
        </w:rPr>
      </w:pPr>
      <w:r>
        <w:rPr>
          <w:rFonts w:hint="eastAsia"/>
        </w:rPr>
        <w:tab/>
      </w:r>
      <w:r w:rsidR="00D976FC">
        <w:rPr>
          <w:rFonts w:hint="eastAsia"/>
        </w:rPr>
        <w:t>(b)</w:t>
      </w:r>
      <w:r w:rsidR="00D976FC">
        <w:rPr>
          <w:rFonts w:hint="eastAsia"/>
        </w:rPr>
        <w:tab/>
        <w:t>同伴教育；</w:t>
      </w:r>
    </w:p>
    <w:p w:rsidR="00D976FC" w:rsidRDefault="00151699" w:rsidP="00151699">
      <w:pPr>
        <w:pStyle w:val="SingleTxt"/>
        <w:spacing w:after="120"/>
        <w:rPr>
          <w:rFonts w:hint="eastAsia"/>
        </w:rPr>
      </w:pPr>
      <w:r>
        <w:rPr>
          <w:rFonts w:hint="eastAsia"/>
        </w:rPr>
        <w:tab/>
      </w:r>
      <w:r w:rsidR="00D976FC">
        <w:rPr>
          <w:rFonts w:hint="eastAsia"/>
        </w:rPr>
        <w:t>(c)</w:t>
      </w:r>
      <w:r w:rsidR="00D976FC">
        <w:rPr>
          <w:rFonts w:hint="eastAsia"/>
        </w:rPr>
        <w:tab/>
        <w:t>向女囚犯提供卫生用具，以照顾其特殊需求；</w:t>
      </w:r>
    </w:p>
    <w:p w:rsidR="00D976FC" w:rsidRDefault="00151699" w:rsidP="00D976FC">
      <w:pPr>
        <w:pStyle w:val="SingleTxt"/>
        <w:rPr>
          <w:rFonts w:hint="eastAsia"/>
        </w:rPr>
      </w:pPr>
      <w:r>
        <w:rPr>
          <w:rFonts w:hint="eastAsia"/>
        </w:rPr>
        <w:tab/>
      </w:r>
      <w:r w:rsidR="00D976FC">
        <w:rPr>
          <w:rFonts w:hint="eastAsia"/>
        </w:rPr>
        <w:t>(d)</w:t>
      </w:r>
      <w:r w:rsidR="00D976FC">
        <w:rPr>
          <w:rFonts w:hint="eastAsia"/>
        </w:rPr>
        <w:tab/>
        <w:t>心理社会咨询；</w:t>
      </w:r>
    </w:p>
    <w:p w:rsidR="00D976FC" w:rsidRDefault="00151699" w:rsidP="00D976FC">
      <w:pPr>
        <w:pStyle w:val="SingleTxt"/>
        <w:rPr>
          <w:rFonts w:hint="eastAsia"/>
        </w:rPr>
      </w:pPr>
      <w:r>
        <w:rPr>
          <w:rFonts w:hint="eastAsia"/>
        </w:rPr>
        <w:tab/>
      </w:r>
      <w:r w:rsidR="00D976FC">
        <w:rPr>
          <w:rFonts w:hint="eastAsia"/>
        </w:rPr>
        <w:t>(e)</w:t>
      </w:r>
      <w:r w:rsidR="00D976FC">
        <w:rPr>
          <w:rFonts w:hint="eastAsia"/>
        </w:rPr>
        <w:tab/>
        <w:t>母婴传播方案；</w:t>
      </w:r>
    </w:p>
    <w:p w:rsidR="00D976FC" w:rsidRDefault="00151699" w:rsidP="00D976FC">
      <w:pPr>
        <w:pStyle w:val="SingleTxt"/>
        <w:rPr>
          <w:rFonts w:hint="eastAsia"/>
        </w:rPr>
      </w:pPr>
      <w:r>
        <w:rPr>
          <w:rFonts w:hint="eastAsia"/>
        </w:rPr>
        <w:tab/>
      </w:r>
      <w:r w:rsidR="00D976FC">
        <w:rPr>
          <w:rFonts w:hint="eastAsia"/>
        </w:rPr>
        <w:t>(f)</w:t>
      </w:r>
      <w:r w:rsidR="00D976FC">
        <w:rPr>
          <w:rFonts w:hint="eastAsia"/>
        </w:rPr>
        <w:tab/>
        <w:t>结核病敏感性检查；</w:t>
      </w:r>
    </w:p>
    <w:p w:rsidR="00D976FC" w:rsidRDefault="00151699" w:rsidP="00D976FC">
      <w:pPr>
        <w:pStyle w:val="SingleTxt"/>
        <w:rPr>
          <w:rFonts w:hint="eastAsia"/>
        </w:rPr>
      </w:pPr>
      <w:r>
        <w:rPr>
          <w:rFonts w:hint="eastAsia"/>
        </w:rPr>
        <w:tab/>
      </w:r>
      <w:r w:rsidR="00D976FC">
        <w:rPr>
          <w:rFonts w:hint="eastAsia"/>
        </w:rPr>
        <w:t>(g)</w:t>
      </w:r>
      <w:r w:rsidR="00D976FC">
        <w:rPr>
          <w:rFonts w:hint="eastAsia"/>
        </w:rPr>
        <w:tab/>
        <w:t>让女囚犯纪念世界结核病日和世界艾滋病日；</w:t>
      </w:r>
    </w:p>
    <w:p w:rsidR="00D976FC" w:rsidRDefault="00151699" w:rsidP="00D976FC">
      <w:pPr>
        <w:pStyle w:val="SingleTxt"/>
        <w:rPr>
          <w:rFonts w:hint="eastAsia"/>
        </w:rPr>
      </w:pPr>
      <w:r>
        <w:rPr>
          <w:rFonts w:hint="eastAsia"/>
        </w:rPr>
        <w:tab/>
      </w:r>
      <w:r w:rsidR="00D976FC">
        <w:rPr>
          <w:rFonts w:hint="eastAsia"/>
        </w:rPr>
        <w:t>(h)</w:t>
      </w:r>
      <w:r w:rsidR="00D976FC">
        <w:rPr>
          <w:rFonts w:hint="eastAsia"/>
        </w:rPr>
        <w:tab/>
        <w:t>对自愿接受艾滋病毒检测的所有囚犯进行检测；</w:t>
      </w:r>
    </w:p>
    <w:p w:rsidR="00D976FC" w:rsidRDefault="00151699" w:rsidP="00D976FC">
      <w:pPr>
        <w:pStyle w:val="SingleTxt"/>
        <w:rPr>
          <w:rFonts w:hint="eastAsia"/>
        </w:rPr>
      </w:pPr>
      <w:r>
        <w:rPr>
          <w:rFonts w:hint="eastAsia"/>
        </w:rPr>
        <w:tab/>
      </w:r>
      <w:r w:rsidR="00D976FC">
        <w:rPr>
          <w:rFonts w:hint="eastAsia"/>
        </w:rPr>
        <w:t>(i)</w:t>
      </w:r>
      <w:r w:rsidR="00D976FC">
        <w:rPr>
          <w:rFonts w:hint="eastAsia"/>
        </w:rPr>
        <w:tab/>
        <w:t>无论囚犯性别如何，如需要专家诊治，即可让他们转院。</w:t>
      </w:r>
    </w:p>
    <w:p w:rsidR="00D976FC" w:rsidRPr="00151699" w:rsidRDefault="00D976FC" w:rsidP="00D976FC">
      <w:pPr>
        <w:pStyle w:val="SingleTxt"/>
        <w:rPr>
          <w:rFonts w:ascii="SimHei" w:eastAsia="SimHei" w:hint="eastAsia"/>
        </w:rPr>
      </w:pPr>
      <w:r w:rsidRPr="00151699">
        <w:rPr>
          <w:rFonts w:ascii="SimHei" w:eastAsia="SimHei" w:hint="eastAsia"/>
        </w:rPr>
        <w:t>为被拘留的孕妇和哺乳期妇女提供服务</w:t>
      </w:r>
    </w:p>
    <w:p w:rsidR="00D976FC" w:rsidRDefault="00D976FC" w:rsidP="00151699">
      <w:pPr>
        <w:pStyle w:val="SingleTxt"/>
        <w:tabs>
          <w:tab w:val="clear" w:pos="1695"/>
          <w:tab w:val="left" w:pos="1932"/>
        </w:tabs>
        <w:rPr>
          <w:rFonts w:hint="eastAsia"/>
        </w:rPr>
      </w:pPr>
      <w:r>
        <w:rPr>
          <w:rFonts w:hint="eastAsia"/>
        </w:rPr>
        <w:t>27.2</w:t>
      </w:r>
      <w:r>
        <w:rPr>
          <w:rFonts w:hint="eastAsia"/>
        </w:rPr>
        <w:tab/>
        <w:t>赞比亚狱政部门还为受到监禁的孕妇和哺乳期妇女提供牛奶。这项工作是在合作伙伴的支助下完成的。</w:t>
      </w:r>
    </w:p>
    <w:p w:rsidR="00D976FC" w:rsidRPr="00151699" w:rsidRDefault="00D976FC" w:rsidP="00D976FC">
      <w:pPr>
        <w:pStyle w:val="SingleTxt"/>
        <w:rPr>
          <w:rFonts w:ascii="SimHei" w:eastAsia="SimHei" w:hint="eastAsia"/>
        </w:rPr>
      </w:pPr>
      <w:r w:rsidRPr="00151699">
        <w:rPr>
          <w:rFonts w:ascii="SimHei" w:eastAsia="SimHei" w:hint="eastAsia"/>
        </w:rPr>
        <w:t>经济权力</w:t>
      </w:r>
    </w:p>
    <w:p w:rsidR="00D976FC" w:rsidRDefault="00D976FC" w:rsidP="00D976FC">
      <w:pPr>
        <w:pStyle w:val="SingleTxt"/>
        <w:rPr>
          <w:rFonts w:hint="eastAsia"/>
        </w:rPr>
      </w:pPr>
      <w:r>
        <w:rPr>
          <w:rFonts w:hint="eastAsia"/>
        </w:rPr>
        <w:t>28.</w:t>
      </w:r>
      <w:r>
        <w:rPr>
          <w:rFonts w:hint="eastAsia"/>
        </w:rPr>
        <w:tab/>
      </w:r>
      <w:r w:rsidRPr="00151699">
        <w:rPr>
          <w:rFonts w:ascii="SimHei" w:eastAsia="SimHei" w:hint="eastAsia"/>
        </w:rPr>
        <w:t>报告第145段称，大多数妇女由于经济地位薄弱并且没有大多数金融机构着重要求的抵押物，因此不能够获得金融信贷。请说明缔约国采取或计划采取什么措施，来增进妇女获得金融信贷的机会；以及采取其他什么措施，来支持妇女创业，包括她们有机会获得土地和资本，泛泛而言，是要改善妇女在非正规经济部门的近况；以及这些措施的影响。此外，请更具体地介绍禁止性别歧视的2006年第9号《增强公民经济权能法》(报告第40段)，以及增强经济权能委员会的任务、组成和活动情况，尤其是它促进性别平等的活动</w:t>
      </w:r>
      <w:r>
        <w:rPr>
          <w:rFonts w:hint="eastAsia"/>
        </w:rPr>
        <w:t>。</w:t>
      </w:r>
    </w:p>
    <w:p w:rsidR="00D976FC" w:rsidRPr="00151699" w:rsidRDefault="00D976FC" w:rsidP="00D976FC">
      <w:pPr>
        <w:pStyle w:val="SingleTxt"/>
        <w:rPr>
          <w:rFonts w:ascii="SimHei" w:eastAsia="SimHei" w:hint="eastAsia"/>
        </w:rPr>
      </w:pPr>
      <w:r w:rsidRPr="00151699">
        <w:rPr>
          <w:rFonts w:ascii="SimHei" w:eastAsia="SimHei" w:hint="eastAsia"/>
        </w:rPr>
        <w:t>妇女获得金融信贷和资本的权利</w:t>
      </w:r>
    </w:p>
    <w:p w:rsidR="00D976FC" w:rsidRDefault="00D976FC" w:rsidP="00151699">
      <w:pPr>
        <w:pStyle w:val="SingleTxt"/>
        <w:tabs>
          <w:tab w:val="clear" w:pos="1695"/>
          <w:tab w:val="left" w:pos="1932"/>
        </w:tabs>
        <w:spacing w:line="326" w:lineRule="exact"/>
        <w:rPr>
          <w:rFonts w:hint="eastAsia"/>
        </w:rPr>
      </w:pPr>
      <w:r>
        <w:rPr>
          <w:rFonts w:hint="eastAsia"/>
        </w:rPr>
        <w:t>28.1</w:t>
      </w:r>
      <w:r>
        <w:rPr>
          <w:rFonts w:hint="eastAsia"/>
        </w:rPr>
        <w:tab/>
        <w:t>缔约国报告称，社区发展和社会服务部已制定了改善妇女获得金融信贷的措施和支持妇女创业的其他措施，其中包括使其获得土地和资本，以及从一般意义上讲旨在改善妇女在非正规部门的状况。社区发展和社会服务部正在实施三种社会现金转移机制，即Katete老年退休金计划、10%行为能力最差家庭包容性模式和儿童补助金。</w:t>
      </w:r>
    </w:p>
    <w:p w:rsidR="00D976FC" w:rsidRDefault="00D976FC" w:rsidP="00151699">
      <w:pPr>
        <w:pStyle w:val="SingleTxt"/>
        <w:tabs>
          <w:tab w:val="clear" w:pos="1695"/>
          <w:tab w:val="left" w:pos="1932"/>
        </w:tabs>
        <w:spacing w:line="326" w:lineRule="exact"/>
        <w:rPr>
          <w:rFonts w:hint="eastAsia"/>
        </w:rPr>
      </w:pPr>
      <w:r>
        <w:rPr>
          <w:rFonts w:hint="eastAsia"/>
        </w:rPr>
        <w:t>28.2</w:t>
      </w:r>
      <w:r>
        <w:rPr>
          <w:rFonts w:hint="eastAsia"/>
        </w:rPr>
        <w:tab/>
        <w:t>现金转移机制证实，对个人和社区层面产生了很多积极的社会经济发展影响。一些惠益涉及教育、营养和卫生、社会经济状况、市场、社会地位和脆弱性减少多个方面。</w:t>
      </w:r>
    </w:p>
    <w:p w:rsidR="00D976FC" w:rsidRDefault="00D976FC" w:rsidP="00151699">
      <w:pPr>
        <w:pStyle w:val="SingleTxt"/>
        <w:tabs>
          <w:tab w:val="clear" w:pos="1695"/>
          <w:tab w:val="left" w:pos="1932"/>
        </w:tabs>
        <w:spacing w:line="326" w:lineRule="exact"/>
        <w:rPr>
          <w:rFonts w:hint="eastAsia"/>
        </w:rPr>
      </w:pPr>
      <w:r>
        <w:rPr>
          <w:rFonts w:hint="eastAsia"/>
        </w:rPr>
        <w:t>28.3</w:t>
      </w:r>
      <w:r>
        <w:rPr>
          <w:rFonts w:hint="eastAsia"/>
        </w:rPr>
        <w:tab/>
        <w:t>缔约国认识到，因金融机构做出的担保规定，多数农村妇女在获得投资资本方面存在困难。为解决该问题，社区发展和社会服务部通过社区发展和社会服务部村庄银行方案采取了集体贷款方式，使妇女获得小额贷款。由行政区社区开发人员开办的创业培训对该赋权方案起到了补充作用，而且该资金带来了积极成果，并改善了农村妇女的生活。</w:t>
      </w:r>
    </w:p>
    <w:p w:rsidR="00D976FC" w:rsidRDefault="00D976FC" w:rsidP="00151699">
      <w:pPr>
        <w:pStyle w:val="SingleTxt"/>
        <w:tabs>
          <w:tab w:val="clear" w:pos="1695"/>
          <w:tab w:val="left" w:pos="1932"/>
        </w:tabs>
        <w:spacing w:line="326" w:lineRule="exact"/>
        <w:rPr>
          <w:rFonts w:hint="eastAsia"/>
        </w:rPr>
      </w:pPr>
      <w:r>
        <w:rPr>
          <w:rFonts w:hint="eastAsia"/>
        </w:rPr>
        <w:t>28.4</w:t>
      </w:r>
      <w:r>
        <w:rPr>
          <w:rFonts w:hint="eastAsia"/>
        </w:rPr>
        <w:tab/>
        <w:t>缔约国进一步报告称，社区发展和社会服务部分配给妇女赋权方案的预算从2010年的50亿赞比亚克瓦查增至2011年的150亿赞比亚克瓦查。</w:t>
      </w:r>
    </w:p>
    <w:p w:rsidR="00D976FC" w:rsidRDefault="00D976FC" w:rsidP="00690919">
      <w:pPr>
        <w:pStyle w:val="SingleTxt"/>
        <w:tabs>
          <w:tab w:val="clear" w:pos="1695"/>
          <w:tab w:val="left" w:pos="1932"/>
        </w:tabs>
        <w:rPr>
          <w:rFonts w:hint="eastAsia"/>
        </w:rPr>
      </w:pPr>
      <w:r>
        <w:rPr>
          <w:rFonts w:hint="eastAsia"/>
        </w:rPr>
        <w:t>28.5</w:t>
      </w:r>
      <w:r>
        <w:rPr>
          <w:rFonts w:hint="eastAsia"/>
        </w:rPr>
        <w:tab/>
        <w:t>赞比亚发展署还开展了大量有益于非正规部门妇女的活动。发起的一个倡议是联络方案。根据该方案，发展署将小型和微型企业与大型跨国公司联系起来，以便提供使其改善自身收入水平和货物与服务质量的货物与服务。发展署的另一项服务是在包括创业、产品研发以及接触金融和市场在内的很多领域提供培训。发展署还组织贸易和投资代表团，使赞比亚妇女能够参加国际论坛，展示和推销其货物和服务。</w:t>
      </w:r>
    </w:p>
    <w:p w:rsidR="00D976FC" w:rsidRPr="00151699" w:rsidRDefault="00D976FC" w:rsidP="00D976FC">
      <w:pPr>
        <w:pStyle w:val="SingleTxt"/>
        <w:rPr>
          <w:rFonts w:ascii="SimHei" w:eastAsia="SimHei" w:hint="eastAsia"/>
        </w:rPr>
      </w:pPr>
      <w:r w:rsidRPr="00151699">
        <w:rPr>
          <w:rFonts w:ascii="SimHei" w:eastAsia="SimHei" w:hint="eastAsia"/>
        </w:rPr>
        <w:t>妇女获得土地的权利</w:t>
      </w:r>
    </w:p>
    <w:p w:rsidR="00D976FC" w:rsidRDefault="00D976FC" w:rsidP="00690919">
      <w:pPr>
        <w:pStyle w:val="SingleTxt"/>
        <w:tabs>
          <w:tab w:val="clear" w:pos="1695"/>
          <w:tab w:val="left" w:pos="1932"/>
        </w:tabs>
        <w:rPr>
          <w:rFonts w:hint="eastAsia"/>
        </w:rPr>
      </w:pPr>
      <w:r>
        <w:rPr>
          <w:rFonts w:hint="eastAsia"/>
        </w:rPr>
        <w:t>28.6</w:t>
      </w:r>
      <w:r>
        <w:rPr>
          <w:rFonts w:hint="eastAsia"/>
        </w:rPr>
        <w:tab/>
        <w:t>为促进妇女获得土地，土地部规定，至少将30%的土地分配给妇女，而剩余70%由男子和妇女竞争所得。这符合《土地政策》的规定。</w:t>
      </w:r>
    </w:p>
    <w:p w:rsidR="00D976FC" w:rsidRDefault="00D976FC" w:rsidP="00D976FC">
      <w:pPr>
        <w:pStyle w:val="SingleTxt"/>
        <w:rPr>
          <w:rFonts w:hint="eastAsia"/>
        </w:rPr>
      </w:pPr>
      <w:r>
        <w:rPr>
          <w:rFonts w:hint="eastAsia"/>
        </w:rPr>
        <w:t>2006年第9号《增强公民经济权能法》</w:t>
      </w:r>
    </w:p>
    <w:p w:rsidR="00D976FC" w:rsidRDefault="00D976FC" w:rsidP="00690919">
      <w:pPr>
        <w:pStyle w:val="SingleTxt"/>
        <w:tabs>
          <w:tab w:val="clear" w:pos="1695"/>
          <w:tab w:val="left" w:pos="1932"/>
        </w:tabs>
        <w:rPr>
          <w:rFonts w:hint="eastAsia"/>
        </w:rPr>
      </w:pPr>
      <w:r>
        <w:rPr>
          <w:rFonts w:hint="eastAsia"/>
        </w:rPr>
        <w:t>28.7</w:t>
      </w:r>
      <w:r>
        <w:rPr>
          <w:rFonts w:hint="eastAsia"/>
        </w:rPr>
        <w:tab/>
        <w:t>2006年第9号《增强公民经济权能法》除其他外规定如下：</w:t>
      </w:r>
    </w:p>
    <w:p w:rsidR="00D976FC" w:rsidRDefault="00151699" w:rsidP="00D976FC">
      <w:pPr>
        <w:pStyle w:val="SingleTxt"/>
        <w:rPr>
          <w:rFonts w:hint="eastAsia"/>
        </w:rPr>
      </w:pPr>
      <w:r>
        <w:rPr>
          <w:rFonts w:hint="eastAsia"/>
        </w:rPr>
        <w:tab/>
      </w:r>
      <w:r w:rsidR="00D976FC">
        <w:rPr>
          <w:rFonts w:hint="eastAsia"/>
        </w:rPr>
        <w:t>(a)</w:t>
      </w:r>
      <w:r w:rsidR="00D976FC">
        <w:rPr>
          <w:rFonts w:hint="eastAsia"/>
        </w:rPr>
        <w:tab/>
        <w:t>设立增强公民经济权能委员会并规定职责；</w:t>
      </w:r>
    </w:p>
    <w:p w:rsidR="00D976FC" w:rsidRDefault="00151699" w:rsidP="00D976FC">
      <w:pPr>
        <w:pStyle w:val="SingleTxt"/>
        <w:rPr>
          <w:rFonts w:hint="eastAsia"/>
        </w:rPr>
      </w:pPr>
      <w:r>
        <w:rPr>
          <w:rFonts w:hint="eastAsia"/>
        </w:rPr>
        <w:tab/>
      </w:r>
      <w:r w:rsidR="00D976FC">
        <w:rPr>
          <w:rFonts w:hint="eastAsia"/>
        </w:rPr>
        <w:t>(b)</w:t>
      </w:r>
      <w:r w:rsidR="00D976FC">
        <w:rPr>
          <w:rFonts w:hint="eastAsia"/>
        </w:rPr>
        <w:tab/>
        <w:t>设立赋权增能基金；</w:t>
      </w:r>
    </w:p>
    <w:p w:rsidR="00D976FC" w:rsidRDefault="00151699" w:rsidP="00D976FC">
      <w:pPr>
        <w:pStyle w:val="SingleTxt"/>
        <w:rPr>
          <w:rFonts w:hint="eastAsia"/>
        </w:rPr>
      </w:pPr>
      <w:r>
        <w:rPr>
          <w:rFonts w:hint="eastAsia"/>
        </w:rPr>
        <w:tab/>
      </w:r>
      <w:r w:rsidR="00D976FC">
        <w:rPr>
          <w:rFonts w:hint="eastAsia"/>
        </w:rPr>
        <w:t>(c)</w:t>
      </w:r>
      <w:r w:rsidR="00D976FC">
        <w:rPr>
          <w:rFonts w:hint="eastAsia"/>
        </w:rPr>
        <w:tab/>
        <w:t>促进增强特定公民、公民有自主权的公司、公民可左右管理事务的公司和公民所有的公司在经济上的权能；</w:t>
      </w:r>
    </w:p>
    <w:p w:rsidR="00D976FC" w:rsidRDefault="00151699" w:rsidP="00D976FC">
      <w:pPr>
        <w:pStyle w:val="SingleTxt"/>
        <w:rPr>
          <w:rFonts w:hint="eastAsia"/>
        </w:rPr>
      </w:pPr>
      <w:r>
        <w:rPr>
          <w:rFonts w:hint="eastAsia"/>
        </w:rPr>
        <w:tab/>
      </w:r>
      <w:r w:rsidR="00D976FC">
        <w:rPr>
          <w:rFonts w:hint="eastAsia"/>
        </w:rPr>
        <w:t>(d)</w:t>
      </w:r>
      <w:r w:rsidR="00D976FC">
        <w:rPr>
          <w:rFonts w:hint="eastAsia"/>
        </w:rPr>
        <w:tab/>
        <w:t>在获得、拥有、管理、控制和开发经济资源方面促进两性平等；</w:t>
      </w:r>
    </w:p>
    <w:p w:rsidR="00D976FC" w:rsidRDefault="00151699" w:rsidP="00D976FC">
      <w:pPr>
        <w:pStyle w:val="SingleTxt"/>
        <w:rPr>
          <w:rFonts w:hint="eastAsia"/>
        </w:rPr>
      </w:pPr>
      <w:r>
        <w:rPr>
          <w:rFonts w:hint="eastAsia"/>
        </w:rPr>
        <w:tab/>
      </w:r>
      <w:r w:rsidR="00D976FC">
        <w:rPr>
          <w:rFonts w:hint="eastAsia"/>
        </w:rPr>
        <w:t>(e)</w:t>
      </w:r>
      <w:r w:rsidR="00D976FC">
        <w:rPr>
          <w:rFonts w:hint="eastAsia"/>
        </w:rPr>
        <w:tab/>
        <w:t>消除限制任何性别有效参与经济部门活动的必要技能培训的社会习俗、法律规定或其他惯例。</w:t>
      </w:r>
    </w:p>
    <w:p w:rsidR="00D976FC" w:rsidRPr="00151699" w:rsidRDefault="00D976FC" w:rsidP="00D976FC">
      <w:pPr>
        <w:pStyle w:val="SingleTxt"/>
        <w:rPr>
          <w:rFonts w:ascii="SimHei" w:eastAsia="SimHei" w:hint="eastAsia"/>
        </w:rPr>
      </w:pPr>
      <w:r w:rsidRPr="00151699">
        <w:rPr>
          <w:rFonts w:ascii="SimHei" w:eastAsia="SimHei" w:hint="eastAsia"/>
        </w:rPr>
        <w:t>增强公民经济权能委员会的任务</w:t>
      </w:r>
    </w:p>
    <w:p w:rsidR="00D976FC" w:rsidRDefault="00D976FC" w:rsidP="00690919">
      <w:pPr>
        <w:pStyle w:val="SingleTxt"/>
        <w:tabs>
          <w:tab w:val="clear" w:pos="1695"/>
          <w:tab w:val="left" w:pos="1932"/>
        </w:tabs>
        <w:rPr>
          <w:rFonts w:hint="eastAsia"/>
        </w:rPr>
      </w:pPr>
      <w:r>
        <w:rPr>
          <w:rFonts w:hint="eastAsia"/>
        </w:rPr>
        <w:t>28.8</w:t>
      </w:r>
      <w:r>
        <w:rPr>
          <w:rFonts w:hint="eastAsia"/>
        </w:rPr>
        <w:tab/>
        <w:t>增强公民经济权能委员会的任务是促进向正在或已经边缘化或处于不利地位的公民赋权。由于包括种族、性别、教育背景、地位和身体残疾在内的各种因素，这些公民在获得经济资源和拥有发展能力方面受到了限制。</w:t>
      </w:r>
    </w:p>
    <w:p w:rsidR="00D976FC" w:rsidRDefault="00D976FC" w:rsidP="00690919">
      <w:pPr>
        <w:pStyle w:val="SingleTxt"/>
        <w:tabs>
          <w:tab w:val="clear" w:pos="1695"/>
          <w:tab w:val="left" w:pos="1932"/>
        </w:tabs>
        <w:rPr>
          <w:rFonts w:hint="eastAsia"/>
        </w:rPr>
      </w:pPr>
      <w:r>
        <w:rPr>
          <w:rFonts w:hint="eastAsia"/>
        </w:rPr>
        <w:t>28.9</w:t>
      </w:r>
      <w:r>
        <w:rPr>
          <w:rFonts w:hint="eastAsia"/>
        </w:rPr>
        <w:tab/>
        <w:t>其任务是为当地企业家提供援助项目和贸易融资贷款，为开办实业提供指导，并进行能力建设。</w:t>
      </w:r>
    </w:p>
    <w:p w:rsidR="00D976FC" w:rsidRPr="00151699" w:rsidRDefault="00D976FC" w:rsidP="00D976FC">
      <w:pPr>
        <w:pStyle w:val="SingleTxt"/>
        <w:rPr>
          <w:rFonts w:ascii="SimHei" w:eastAsia="SimHei" w:hint="eastAsia"/>
        </w:rPr>
      </w:pPr>
      <w:r w:rsidRPr="00151699">
        <w:rPr>
          <w:rFonts w:ascii="SimHei" w:eastAsia="SimHei" w:hint="eastAsia"/>
        </w:rPr>
        <w:t>增强公民经济权能委员会的构成</w:t>
      </w:r>
    </w:p>
    <w:p w:rsidR="00D976FC" w:rsidRDefault="00D976FC" w:rsidP="00690919">
      <w:pPr>
        <w:pStyle w:val="SingleTxt"/>
        <w:tabs>
          <w:tab w:val="clear" w:pos="1695"/>
          <w:tab w:val="left" w:pos="1932"/>
        </w:tabs>
        <w:rPr>
          <w:rFonts w:hint="eastAsia"/>
        </w:rPr>
      </w:pPr>
      <w:r>
        <w:rPr>
          <w:rFonts w:hint="eastAsia"/>
        </w:rPr>
        <w:t>28.10</w:t>
      </w:r>
      <w:r>
        <w:rPr>
          <w:rFonts w:hint="eastAsia"/>
        </w:rPr>
        <w:tab/>
        <w:t>增强公民经济权能委员会包括以下由总统任命的兼职委员：</w:t>
      </w:r>
    </w:p>
    <w:p w:rsidR="00D976FC" w:rsidRDefault="00151699" w:rsidP="00D976FC">
      <w:pPr>
        <w:pStyle w:val="SingleTxt"/>
        <w:rPr>
          <w:rFonts w:hint="eastAsia"/>
        </w:rPr>
      </w:pPr>
      <w:r>
        <w:rPr>
          <w:rFonts w:hint="eastAsia"/>
        </w:rPr>
        <w:tab/>
      </w:r>
      <w:r w:rsidR="00D976FC">
        <w:rPr>
          <w:rFonts w:hint="eastAsia"/>
        </w:rPr>
        <w:t>(a)</w:t>
      </w:r>
      <w:r w:rsidR="00D976FC">
        <w:rPr>
          <w:rFonts w:hint="eastAsia"/>
        </w:rPr>
        <w:tab/>
        <w:t>主席一名；</w:t>
      </w:r>
    </w:p>
    <w:p w:rsidR="00D976FC" w:rsidRDefault="00151699" w:rsidP="00D976FC">
      <w:pPr>
        <w:pStyle w:val="SingleTxt"/>
        <w:rPr>
          <w:rFonts w:hint="eastAsia"/>
        </w:rPr>
      </w:pPr>
      <w:r>
        <w:rPr>
          <w:rFonts w:hint="eastAsia"/>
        </w:rPr>
        <w:tab/>
      </w:r>
      <w:r w:rsidR="00D976FC">
        <w:rPr>
          <w:rFonts w:hint="eastAsia"/>
        </w:rPr>
        <w:t>(b)</w:t>
      </w:r>
      <w:r w:rsidR="00D976FC">
        <w:rPr>
          <w:rFonts w:hint="eastAsia"/>
        </w:rPr>
        <w:tab/>
        <w:t>财政部长；</w:t>
      </w:r>
    </w:p>
    <w:p w:rsidR="00D976FC" w:rsidRDefault="00151699" w:rsidP="00D976FC">
      <w:pPr>
        <w:pStyle w:val="SingleTxt"/>
        <w:rPr>
          <w:rFonts w:hint="eastAsia"/>
        </w:rPr>
      </w:pPr>
      <w:r>
        <w:rPr>
          <w:rFonts w:hint="eastAsia"/>
        </w:rPr>
        <w:tab/>
      </w:r>
      <w:r w:rsidR="00D976FC">
        <w:rPr>
          <w:rFonts w:hint="eastAsia"/>
        </w:rPr>
        <w:t>(c)</w:t>
      </w:r>
      <w:r w:rsidR="00D976FC">
        <w:rPr>
          <w:rFonts w:hint="eastAsia"/>
        </w:rPr>
        <w:tab/>
        <w:t>商业贸易及工业部常任秘书；</w:t>
      </w:r>
    </w:p>
    <w:p w:rsidR="00D976FC" w:rsidRDefault="00151699" w:rsidP="00D976FC">
      <w:pPr>
        <w:pStyle w:val="SingleTxt"/>
        <w:rPr>
          <w:rFonts w:hint="eastAsia"/>
        </w:rPr>
      </w:pPr>
      <w:r>
        <w:rPr>
          <w:rFonts w:hint="eastAsia"/>
        </w:rPr>
        <w:tab/>
      </w:r>
      <w:r w:rsidR="00D976FC">
        <w:rPr>
          <w:rFonts w:hint="eastAsia"/>
        </w:rPr>
        <w:t>(d)</w:t>
      </w:r>
      <w:r w:rsidR="00D976FC">
        <w:rPr>
          <w:rFonts w:hint="eastAsia"/>
        </w:rPr>
        <w:tab/>
        <w:t>劳动和社会保障部常任秘书；</w:t>
      </w:r>
    </w:p>
    <w:p w:rsidR="00D976FC" w:rsidRDefault="00151699" w:rsidP="00D976FC">
      <w:pPr>
        <w:pStyle w:val="SingleTxt"/>
        <w:rPr>
          <w:rFonts w:hint="eastAsia"/>
        </w:rPr>
      </w:pPr>
      <w:r>
        <w:rPr>
          <w:rFonts w:hint="eastAsia"/>
        </w:rPr>
        <w:tab/>
      </w:r>
      <w:r w:rsidR="00D976FC">
        <w:rPr>
          <w:rFonts w:hint="eastAsia"/>
        </w:rPr>
        <w:t>(e)</w:t>
      </w:r>
      <w:r w:rsidR="00D976FC">
        <w:rPr>
          <w:rFonts w:hint="eastAsia"/>
        </w:rPr>
        <w:tab/>
        <w:t>检察长或其代表；</w:t>
      </w:r>
    </w:p>
    <w:p w:rsidR="00D976FC" w:rsidRDefault="00151699" w:rsidP="00D976FC">
      <w:pPr>
        <w:pStyle w:val="SingleTxt"/>
        <w:rPr>
          <w:rFonts w:hint="eastAsia"/>
        </w:rPr>
      </w:pPr>
      <w:r>
        <w:rPr>
          <w:rFonts w:hint="eastAsia"/>
        </w:rPr>
        <w:tab/>
      </w:r>
      <w:r w:rsidR="00D976FC">
        <w:rPr>
          <w:rFonts w:hint="eastAsia"/>
        </w:rPr>
        <w:t>(f)</w:t>
      </w:r>
      <w:r w:rsidR="00D976FC">
        <w:rPr>
          <w:rFonts w:hint="eastAsia"/>
        </w:rPr>
        <w:tab/>
        <w:t>一名青年代表；</w:t>
      </w:r>
    </w:p>
    <w:p w:rsidR="00D976FC" w:rsidRDefault="00151699" w:rsidP="00D976FC">
      <w:pPr>
        <w:pStyle w:val="SingleTxt"/>
        <w:rPr>
          <w:rFonts w:hint="eastAsia"/>
        </w:rPr>
      </w:pPr>
      <w:r>
        <w:rPr>
          <w:rFonts w:hint="eastAsia"/>
        </w:rPr>
        <w:tab/>
      </w:r>
      <w:r w:rsidR="00D976FC">
        <w:rPr>
          <w:rFonts w:hint="eastAsia"/>
        </w:rPr>
        <w:t>(g)</w:t>
      </w:r>
      <w:r w:rsidR="00D976FC">
        <w:rPr>
          <w:rFonts w:hint="eastAsia"/>
        </w:rPr>
        <w:tab/>
        <w:t>一名私营部门代表；</w:t>
      </w:r>
    </w:p>
    <w:p w:rsidR="00D976FC" w:rsidRDefault="00151699" w:rsidP="00D976FC">
      <w:pPr>
        <w:pStyle w:val="SingleTxt"/>
        <w:rPr>
          <w:rFonts w:hint="eastAsia"/>
        </w:rPr>
      </w:pPr>
      <w:r>
        <w:rPr>
          <w:rFonts w:hint="eastAsia"/>
        </w:rPr>
        <w:tab/>
      </w:r>
      <w:r w:rsidR="00D976FC">
        <w:rPr>
          <w:rFonts w:hint="eastAsia"/>
        </w:rPr>
        <w:t>(h)</w:t>
      </w:r>
      <w:r w:rsidR="00D976FC">
        <w:rPr>
          <w:rFonts w:hint="eastAsia"/>
        </w:rPr>
        <w:tab/>
        <w:t>一名民间社会代表；</w:t>
      </w:r>
    </w:p>
    <w:p w:rsidR="00D976FC" w:rsidRDefault="00151699" w:rsidP="00D976FC">
      <w:pPr>
        <w:pStyle w:val="SingleTxt"/>
        <w:rPr>
          <w:rFonts w:hint="eastAsia"/>
        </w:rPr>
      </w:pPr>
      <w:r>
        <w:rPr>
          <w:rFonts w:hint="eastAsia"/>
        </w:rPr>
        <w:tab/>
      </w:r>
      <w:r w:rsidR="00D976FC">
        <w:rPr>
          <w:rFonts w:hint="eastAsia"/>
        </w:rPr>
        <w:t>(i)</w:t>
      </w:r>
      <w:r w:rsidR="00D976FC">
        <w:rPr>
          <w:rFonts w:hint="eastAsia"/>
        </w:rPr>
        <w:tab/>
        <w:t>一名大学社区代表；</w:t>
      </w:r>
    </w:p>
    <w:p w:rsidR="00D976FC" w:rsidRDefault="00151699" w:rsidP="00D976FC">
      <w:pPr>
        <w:pStyle w:val="SingleTxt"/>
        <w:rPr>
          <w:rFonts w:hint="eastAsia"/>
        </w:rPr>
      </w:pPr>
      <w:r>
        <w:rPr>
          <w:rFonts w:hint="eastAsia"/>
        </w:rPr>
        <w:tab/>
      </w:r>
      <w:r w:rsidR="00D976FC">
        <w:rPr>
          <w:rFonts w:hint="eastAsia"/>
        </w:rPr>
        <w:t>(j)</w:t>
      </w:r>
      <w:r w:rsidR="00D976FC">
        <w:rPr>
          <w:rFonts w:hint="eastAsia"/>
        </w:rPr>
        <w:tab/>
        <w:t>一名中央统计局代表；</w:t>
      </w:r>
    </w:p>
    <w:p w:rsidR="00D976FC" w:rsidRDefault="00151699" w:rsidP="00D976FC">
      <w:pPr>
        <w:pStyle w:val="SingleTxt"/>
        <w:rPr>
          <w:rFonts w:hint="eastAsia"/>
        </w:rPr>
      </w:pPr>
      <w:r>
        <w:rPr>
          <w:rFonts w:hint="eastAsia"/>
        </w:rPr>
        <w:tab/>
      </w:r>
      <w:r w:rsidR="00D976FC">
        <w:rPr>
          <w:rFonts w:hint="eastAsia"/>
        </w:rPr>
        <w:t>(k)</w:t>
      </w:r>
      <w:r w:rsidR="00D976FC">
        <w:rPr>
          <w:rFonts w:hint="eastAsia"/>
        </w:rPr>
        <w:tab/>
        <w:t>一名工会代表；</w:t>
      </w:r>
    </w:p>
    <w:p w:rsidR="00D976FC" w:rsidRDefault="00151699" w:rsidP="00D976FC">
      <w:pPr>
        <w:pStyle w:val="SingleTxt"/>
        <w:rPr>
          <w:rFonts w:hint="eastAsia"/>
        </w:rPr>
      </w:pPr>
      <w:r>
        <w:rPr>
          <w:rFonts w:hint="eastAsia"/>
        </w:rPr>
        <w:tab/>
      </w:r>
      <w:r w:rsidR="00D976FC">
        <w:rPr>
          <w:rFonts w:hint="eastAsia"/>
        </w:rPr>
        <w:t>(l)</w:t>
      </w:r>
      <w:r w:rsidR="00D976FC">
        <w:rPr>
          <w:rFonts w:hint="eastAsia"/>
        </w:rPr>
        <w:tab/>
        <w:t>一名残疾人代表。</w:t>
      </w:r>
    </w:p>
    <w:p w:rsidR="00D976FC" w:rsidRPr="00151699" w:rsidRDefault="00D976FC" w:rsidP="00D976FC">
      <w:pPr>
        <w:pStyle w:val="SingleTxt"/>
        <w:rPr>
          <w:rFonts w:ascii="SimHei" w:eastAsia="SimHei" w:hint="eastAsia"/>
        </w:rPr>
      </w:pPr>
      <w:r w:rsidRPr="00151699">
        <w:rPr>
          <w:rFonts w:ascii="SimHei" w:eastAsia="SimHei" w:hint="eastAsia"/>
        </w:rPr>
        <w:t>增强公民经济权能委员会的活动</w:t>
      </w:r>
    </w:p>
    <w:p w:rsidR="00D976FC" w:rsidRDefault="00D976FC" w:rsidP="00690919">
      <w:pPr>
        <w:pStyle w:val="SingleTxt"/>
        <w:tabs>
          <w:tab w:val="clear" w:pos="1695"/>
          <w:tab w:val="left" w:pos="1932"/>
        </w:tabs>
        <w:rPr>
          <w:rFonts w:hint="eastAsia"/>
        </w:rPr>
      </w:pPr>
      <w:r>
        <w:rPr>
          <w:rFonts w:hint="eastAsia"/>
        </w:rPr>
        <w:t>28.11</w:t>
      </w:r>
      <w:r>
        <w:rPr>
          <w:rFonts w:hint="eastAsia"/>
        </w:rPr>
        <w:tab/>
        <w:t>增强公民经济权能委员会自成立以来已实施了为多数中小型企业提供更多业务的赋权增能方案。委员会特别在妇女赋权方面取得的一些主要成就有：</w:t>
      </w:r>
    </w:p>
    <w:p w:rsidR="00D976FC" w:rsidRDefault="00151699" w:rsidP="00151699">
      <w:pPr>
        <w:pStyle w:val="SingleTxt"/>
        <w:spacing w:line="332" w:lineRule="exact"/>
        <w:rPr>
          <w:rFonts w:hint="eastAsia"/>
        </w:rPr>
      </w:pPr>
      <w:r>
        <w:rPr>
          <w:rFonts w:hint="eastAsia"/>
        </w:rPr>
        <w:tab/>
      </w:r>
      <w:r w:rsidR="00D976FC">
        <w:rPr>
          <w:rFonts w:hint="eastAsia"/>
        </w:rPr>
        <w:t>(a)</w:t>
      </w:r>
      <w:r w:rsidR="00D976FC">
        <w:rPr>
          <w:rFonts w:hint="eastAsia"/>
        </w:rPr>
        <w:tab/>
        <w:t>增强公民经济权能委员会自成立以来总共在全国范围内资助了410个项目，妇女企业家在其中88个项目中起到了促进作用。这88个项目的总价值为238亿赞比亚克瓦查，占总支出的百分之二十一(21%)；</w:t>
      </w:r>
    </w:p>
    <w:p w:rsidR="00D976FC" w:rsidRDefault="00151699" w:rsidP="00151699">
      <w:pPr>
        <w:pStyle w:val="SingleTxt"/>
        <w:spacing w:line="332" w:lineRule="exact"/>
        <w:rPr>
          <w:rFonts w:hint="eastAsia"/>
        </w:rPr>
      </w:pPr>
      <w:r>
        <w:rPr>
          <w:rFonts w:hint="eastAsia"/>
        </w:rPr>
        <w:tab/>
      </w:r>
      <w:r w:rsidR="00D976FC">
        <w:rPr>
          <w:rFonts w:hint="eastAsia"/>
        </w:rPr>
        <w:t>(b)</w:t>
      </w:r>
      <w:r w:rsidR="00D976FC">
        <w:rPr>
          <w:rFonts w:hint="eastAsia"/>
        </w:rPr>
        <w:tab/>
        <w:t>增强公民经济权能委员会还推出了针对妇女的各种产品和服务，如“Chilimba市场产品”。该产品主要通过使用包括同伴压力和社区提供参考在内的不同抵押置换的方式使市场营销人员，特别是妇女获得营运资本融资。根据该产品，增强公民经济权能委员会共向该国各市场支付了16亿赞比亚克瓦查；</w:t>
      </w:r>
    </w:p>
    <w:p w:rsidR="00D976FC" w:rsidRDefault="00151699" w:rsidP="00151699">
      <w:pPr>
        <w:pStyle w:val="SingleTxt"/>
        <w:spacing w:line="332" w:lineRule="exact"/>
        <w:rPr>
          <w:rFonts w:hint="eastAsia"/>
        </w:rPr>
      </w:pPr>
      <w:r>
        <w:rPr>
          <w:rFonts w:hint="eastAsia"/>
        </w:rPr>
        <w:tab/>
      </w:r>
      <w:r w:rsidR="00D976FC">
        <w:rPr>
          <w:rFonts w:hint="eastAsia"/>
        </w:rPr>
        <w:t>(c)</w:t>
      </w:r>
      <w:r w:rsidR="00D976FC">
        <w:rPr>
          <w:rFonts w:hint="eastAsia"/>
        </w:rPr>
        <w:tab/>
        <w:t>增强公民经济权能委员会为青年和妇女制定了旨在缩小开展创业活动所需的技术差距和增加相关企业知识的方案。其中包括与国际劳工组织(劳工组织)合作实施的妇女创业发展促两性平等方案。该方案旨在通过鼓励妇女创业、拓展自营职业机会并培养创业技能，从而使其掌握制定商业计划和识别市场的基本技能，增加妇女的权能。增强公民经济权能委员会还计划为对所有资助妇女提高实业业绩的项目进行能力建设培训。</w:t>
      </w:r>
    </w:p>
    <w:p w:rsidR="00D976FC" w:rsidRDefault="00D976FC" w:rsidP="00690919">
      <w:pPr>
        <w:pStyle w:val="SingleTxt"/>
        <w:tabs>
          <w:tab w:val="clear" w:pos="1695"/>
          <w:tab w:val="left" w:pos="1932"/>
        </w:tabs>
        <w:rPr>
          <w:rFonts w:hint="eastAsia"/>
        </w:rPr>
      </w:pPr>
      <w:r>
        <w:rPr>
          <w:rFonts w:hint="eastAsia"/>
        </w:rPr>
        <w:t>28.12</w:t>
      </w:r>
      <w:r w:rsidR="00690919">
        <w:rPr>
          <w:rFonts w:hint="eastAsia"/>
        </w:rPr>
        <w:tab/>
      </w:r>
      <w:r>
        <w:rPr>
          <w:rFonts w:hint="eastAsia"/>
        </w:rPr>
        <w:t>为改善包括妇女在内的弱势群体获得赋权增能基金的途径，增强公民经济权能委员会修改了获得该基金的条件和程序。主要变动如下：</w:t>
      </w:r>
    </w:p>
    <w:p w:rsidR="00D976FC" w:rsidRDefault="00151699" w:rsidP="00D976FC">
      <w:pPr>
        <w:pStyle w:val="SingleTxt"/>
        <w:rPr>
          <w:rFonts w:hint="eastAsia"/>
        </w:rPr>
      </w:pPr>
      <w:r>
        <w:rPr>
          <w:rFonts w:hint="eastAsia"/>
        </w:rPr>
        <w:tab/>
      </w:r>
      <w:r w:rsidR="00D976FC">
        <w:rPr>
          <w:rFonts w:hint="eastAsia"/>
        </w:rPr>
        <w:t>(a)</w:t>
      </w:r>
      <w:r w:rsidR="00D976FC">
        <w:rPr>
          <w:rFonts w:hint="eastAsia"/>
        </w:rPr>
        <w:tab/>
        <w:t>填写最高限额为5 000万赞比亚克瓦查的小额贷款申请表不要求提交商业计划。抵押规定也放宽了；</w:t>
      </w:r>
    </w:p>
    <w:p w:rsidR="00D976FC" w:rsidRDefault="00151699" w:rsidP="00D976FC">
      <w:pPr>
        <w:pStyle w:val="SingleTxt"/>
        <w:rPr>
          <w:rFonts w:hint="eastAsia"/>
        </w:rPr>
      </w:pPr>
      <w:r>
        <w:rPr>
          <w:rFonts w:hint="eastAsia"/>
        </w:rPr>
        <w:tab/>
      </w:r>
      <w:r w:rsidR="00D976FC">
        <w:rPr>
          <w:rFonts w:hint="eastAsia"/>
        </w:rPr>
        <w:t>(b)</w:t>
      </w:r>
      <w:r w:rsidR="00D976FC">
        <w:rPr>
          <w:rFonts w:hint="eastAsia"/>
        </w:rPr>
        <w:tab/>
        <w:t>此外，增强公民经济权能委员会为向省级提交最高限额为5 000万赞比亚克瓦查的贷款申请适用了省级行政体制，以减少贷款评估与审批的周转时间。通过将最初的5亿比亚克瓦查分配给省级主管部门管理来加强这一过程。</w:t>
      </w:r>
    </w:p>
    <w:p w:rsidR="00D976FC" w:rsidRPr="00151699" w:rsidRDefault="00D976FC" w:rsidP="00D976FC">
      <w:pPr>
        <w:pStyle w:val="SingleTxt"/>
        <w:rPr>
          <w:rFonts w:ascii="SimHei" w:eastAsia="SimHei" w:hint="eastAsia"/>
        </w:rPr>
      </w:pPr>
      <w:r w:rsidRPr="00151699">
        <w:rPr>
          <w:rFonts w:ascii="SimHei" w:eastAsia="SimHei" w:hint="eastAsia"/>
        </w:rPr>
        <w:t>增强公民经济权能委员会的方案对赞比亚妇女地位的影响</w:t>
      </w:r>
    </w:p>
    <w:p w:rsidR="00D976FC" w:rsidRDefault="00D976FC" w:rsidP="00690919">
      <w:pPr>
        <w:pStyle w:val="SingleTxt"/>
        <w:tabs>
          <w:tab w:val="clear" w:pos="1695"/>
          <w:tab w:val="left" w:pos="1932"/>
        </w:tabs>
        <w:rPr>
          <w:rFonts w:hint="eastAsia"/>
        </w:rPr>
      </w:pPr>
      <w:r>
        <w:rPr>
          <w:rFonts w:hint="eastAsia"/>
        </w:rPr>
        <w:t>28.13</w:t>
      </w:r>
      <w:r w:rsidR="00690919">
        <w:rPr>
          <w:rFonts w:hint="eastAsia"/>
        </w:rPr>
        <w:tab/>
      </w:r>
      <w:r>
        <w:rPr>
          <w:rFonts w:hint="eastAsia"/>
        </w:rPr>
        <w:t>这些新情况极大地增加了妇女获得赋权增能基金的机会，并通过增加妇女收入及其工作机会对妇女福祉也产生了积极影响。</w:t>
      </w:r>
    </w:p>
    <w:p w:rsidR="00D976FC" w:rsidRPr="00151699" w:rsidRDefault="00D976FC" w:rsidP="00D976FC">
      <w:pPr>
        <w:pStyle w:val="SingleTxt"/>
        <w:rPr>
          <w:rFonts w:ascii="SimHei" w:eastAsia="SimHei" w:hint="eastAsia"/>
        </w:rPr>
      </w:pPr>
      <w:r w:rsidRPr="00151699">
        <w:rPr>
          <w:rFonts w:ascii="SimHei" w:eastAsia="SimHei" w:hint="eastAsia"/>
        </w:rPr>
        <w:t>农村妇女</w:t>
      </w:r>
    </w:p>
    <w:p w:rsidR="00D976FC" w:rsidRDefault="00D976FC" w:rsidP="00D976FC">
      <w:pPr>
        <w:pStyle w:val="SingleTxt"/>
        <w:rPr>
          <w:rFonts w:hint="eastAsia"/>
        </w:rPr>
      </w:pPr>
      <w:r>
        <w:rPr>
          <w:rFonts w:hint="eastAsia"/>
        </w:rPr>
        <w:t>29.</w:t>
      </w:r>
      <w:r>
        <w:rPr>
          <w:rFonts w:hint="eastAsia"/>
        </w:rPr>
        <w:tab/>
      </w:r>
      <w:r w:rsidRPr="00151699">
        <w:rPr>
          <w:rFonts w:ascii="SimHei" w:eastAsia="SimHei" w:hint="eastAsia"/>
        </w:rPr>
        <w:t>报告第55(c)段称，按照2000年《国家性别政策》的规定将30%有使用权的土地保留给妇女。请说明是如何落实此配额的，并阐述缔约国采取或打算采取什么措施，来改善农村妇女的境况，包括她们有机会伸张正义、得到生活水准、教育、保健、社会服务、土地所有权以及她们在所有各级参与决策过程的情况</w:t>
      </w:r>
      <w:r>
        <w:rPr>
          <w:rFonts w:hint="eastAsia"/>
        </w:rPr>
        <w:t>。</w:t>
      </w:r>
    </w:p>
    <w:p w:rsidR="00D976FC" w:rsidRPr="00151699" w:rsidRDefault="00D976FC" w:rsidP="00D976FC">
      <w:pPr>
        <w:pStyle w:val="SingleTxt"/>
        <w:rPr>
          <w:rFonts w:ascii="SimHei" w:eastAsia="SimHei" w:hint="eastAsia"/>
        </w:rPr>
      </w:pPr>
      <w:r w:rsidRPr="00151699">
        <w:rPr>
          <w:rFonts w:ascii="SimHei" w:eastAsia="SimHei" w:hint="eastAsia"/>
        </w:rPr>
        <w:t>强制落实为妇女保留土地</w:t>
      </w:r>
    </w:p>
    <w:p w:rsidR="00D976FC" w:rsidRDefault="00D976FC" w:rsidP="00690919">
      <w:pPr>
        <w:pStyle w:val="SingleTxt"/>
        <w:tabs>
          <w:tab w:val="clear" w:pos="1695"/>
          <w:tab w:val="left" w:pos="1932"/>
        </w:tabs>
        <w:rPr>
          <w:rFonts w:hint="eastAsia"/>
        </w:rPr>
      </w:pPr>
      <w:r>
        <w:rPr>
          <w:rFonts w:hint="eastAsia"/>
        </w:rPr>
        <w:t>29.1</w:t>
      </w:r>
      <w:r>
        <w:rPr>
          <w:rFonts w:hint="eastAsia"/>
        </w:rPr>
        <w:tab/>
        <w:t>由土地部强制将30%有使用权的土地保留给妇女。</w:t>
      </w:r>
    </w:p>
    <w:p w:rsidR="00D976FC" w:rsidRDefault="00D976FC" w:rsidP="00690919">
      <w:pPr>
        <w:pStyle w:val="SingleTxt"/>
        <w:tabs>
          <w:tab w:val="clear" w:pos="1695"/>
          <w:tab w:val="left" w:pos="1932"/>
        </w:tabs>
        <w:rPr>
          <w:rFonts w:hint="eastAsia"/>
        </w:rPr>
      </w:pPr>
      <w:r>
        <w:rPr>
          <w:rFonts w:hint="eastAsia"/>
        </w:rPr>
        <w:t>29.2</w:t>
      </w:r>
      <w:r>
        <w:rPr>
          <w:rFonts w:hint="eastAsia"/>
        </w:rPr>
        <w:tab/>
        <w:t>土地部通过土地专员发出通告，要求各地方当局在分配土地时至少将30%的土地分配给妇女。</w:t>
      </w:r>
    </w:p>
    <w:p w:rsidR="00D976FC" w:rsidRDefault="00D976FC" w:rsidP="00690919">
      <w:pPr>
        <w:pStyle w:val="SingleTxt"/>
        <w:tabs>
          <w:tab w:val="clear" w:pos="1695"/>
          <w:tab w:val="left" w:pos="1932"/>
        </w:tabs>
        <w:rPr>
          <w:rFonts w:hint="eastAsia"/>
        </w:rPr>
      </w:pPr>
      <w:r>
        <w:rPr>
          <w:rFonts w:hint="eastAsia"/>
        </w:rPr>
        <w:t>29.3</w:t>
      </w:r>
      <w:r>
        <w:rPr>
          <w:rFonts w:hint="eastAsia"/>
        </w:rPr>
        <w:tab/>
        <w:t>2010年，土地部在Silverest地区分配了324块土地，其中300块用于住宅、10块用于商业、10块用于工业，以及4块供教堂使用。在全部住宅用地中，153块，即占58%的土地分配给妇女。10%分配给残疾申请者，以及32%分配给男子。不同成功申请者包括青年和老人。</w:t>
      </w:r>
    </w:p>
    <w:p w:rsidR="00D976FC" w:rsidRPr="00151699" w:rsidRDefault="00D976FC" w:rsidP="00D976FC">
      <w:pPr>
        <w:pStyle w:val="SingleTxt"/>
        <w:rPr>
          <w:rFonts w:ascii="SimHei" w:eastAsia="SimHei" w:hint="eastAsia"/>
        </w:rPr>
      </w:pPr>
      <w:r w:rsidRPr="00151699">
        <w:rPr>
          <w:rFonts w:ascii="SimHei" w:eastAsia="SimHei" w:hint="eastAsia"/>
        </w:rPr>
        <w:t>改善农村妇女状况的措施</w:t>
      </w:r>
    </w:p>
    <w:p w:rsidR="00D976FC" w:rsidRDefault="00D976FC" w:rsidP="00151699">
      <w:pPr>
        <w:pStyle w:val="SingleTxt"/>
        <w:tabs>
          <w:tab w:val="clear" w:pos="1695"/>
          <w:tab w:val="left" w:pos="1932"/>
        </w:tabs>
        <w:spacing w:after="120"/>
        <w:rPr>
          <w:rFonts w:hint="eastAsia"/>
        </w:rPr>
      </w:pPr>
      <w:r>
        <w:rPr>
          <w:rFonts w:hint="eastAsia"/>
        </w:rPr>
        <w:t>29.4</w:t>
      </w:r>
      <w:r>
        <w:rPr>
          <w:rFonts w:hint="eastAsia"/>
        </w:rPr>
        <w:tab/>
        <w:t>在改善农村妇女状况方面，政府除其他外采取了下列措施：</w:t>
      </w:r>
    </w:p>
    <w:p w:rsidR="00D976FC" w:rsidRDefault="00151699" w:rsidP="00151699">
      <w:pPr>
        <w:pStyle w:val="SingleTxt"/>
        <w:spacing w:after="120"/>
        <w:rPr>
          <w:rFonts w:hint="eastAsia"/>
        </w:rPr>
      </w:pPr>
      <w:r>
        <w:rPr>
          <w:rFonts w:hint="eastAsia"/>
        </w:rPr>
        <w:tab/>
      </w:r>
      <w:r w:rsidR="00D976FC">
        <w:rPr>
          <w:rFonts w:hint="eastAsia"/>
        </w:rPr>
        <w:t>(a)</w:t>
      </w:r>
      <w:r w:rsidR="00D976FC">
        <w:rPr>
          <w:rFonts w:hint="eastAsia"/>
        </w:rPr>
        <w:tab/>
        <w:t>建设和扩大学校基础设施。此外，通过落实农村艰苦工作地点津贴和改善农村地区生活条件来征聘农村教师并将教师留在农村地区；</w:t>
      </w:r>
    </w:p>
    <w:p w:rsidR="00D976FC" w:rsidRDefault="00151699" w:rsidP="00151699">
      <w:pPr>
        <w:pStyle w:val="SingleTxt"/>
        <w:spacing w:after="120"/>
        <w:rPr>
          <w:rFonts w:hint="eastAsia"/>
        </w:rPr>
      </w:pPr>
      <w:r>
        <w:rPr>
          <w:rFonts w:hint="eastAsia"/>
        </w:rPr>
        <w:tab/>
      </w:r>
      <w:r w:rsidR="00D976FC">
        <w:rPr>
          <w:rFonts w:hint="eastAsia"/>
        </w:rPr>
        <w:t>(b)</w:t>
      </w:r>
      <w:r w:rsidR="00D976FC">
        <w:rPr>
          <w:rFonts w:hint="eastAsia"/>
        </w:rPr>
        <w:tab/>
        <w:t>通过实施保健人员留用计划来建设并扩大农村地区的卫生基础设施，使合格的医务人员留在农村地区；</w:t>
      </w:r>
    </w:p>
    <w:p w:rsidR="00D976FC" w:rsidRDefault="00151699" w:rsidP="00151699">
      <w:pPr>
        <w:pStyle w:val="SingleTxt"/>
        <w:spacing w:after="120"/>
        <w:rPr>
          <w:rFonts w:hint="eastAsia"/>
        </w:rPr>
      </w:pPr>
      <w:r>
        <w:rPr>
          <w:rFonts w:hint="eastAsia"/>
        </w:rPr>
        <w:tab/>
      </w:r>
      <w:r w:rsidR="00D976FC">
        <w:rPr>
          <w:rFonts w:hint="eastAsia"/>
        </w:rPr>
        <w:t>(c)</w:t>
      </w:r>
      <w:r w:rsidR="00D976FC">
        <w:rPr>
          <w:rFonts w:hint="eastAsia"/>
        </w:rPr>
        <w:tab/>
        <w:t>建设并改造农村地区的法庭基础设施；</w:t>
      </w:r>
    </w:p>
    <w:p w:rsidR="00D976FC" w:rsidRDefault="00151699" w:rsidP="00151699">
      <w:pPr>
        <w:pStyle w:val="SingleTxt"/>
        <w:spacing w:after="120"/>
        <w:rPr>
          <w:rFonts w:hint="eastAsia"/>
        </w:rPr>
      </w:pPr>
      <w:r>
        <w:rPr>
          <w:rFonts w:hint="eastAsia"/>
        </w:rPr>
        <w:tab/>
      </w:r>
      <w:r w:rsidR="00D976FC">
        <w:rPr>
          <w:rFonts w:hint="eastAsia"/>
        </w:rPr>
        <w:t>(d)</w:t>
      </w:r>
      <w:r w:rsidR="00D976FC">
        <w:rPr>
          <w:rFonts w:hint="eastAsia"/>
        </w:rPr>
        <w:tab/>
        <w:t>在农村地区建立受害者支助股；</w:t>
      </w:r>
    </w:p>
    <w:p w:rsidR="00D976FC" w:rsidRDefault="00151699" w:rsidP="00151699">
      <w:pPr>
        <w:pStyle w:val="SingleTxt"/>
        <w:spacing w:after="120"/>
        <w:rPr>
          <w:rFonts w:hint="eastAsia"/>
        </w:rPr>
      </w:pPr>
      <w:r>
        <w:rPr>
          <w:rFonts w:hint="eastAsia"/>
        </w:rPr>
        <w:tab/>
      </w:r>
      <w:r w:rsidR="00D976FC">
        <w:rPr>
          <w:rFonts w:hint="eastAsia"/>
        </w:rPr>
        <w:t>(e)</w:t>
      </w:r>
      <w:r w:rsidR="00D976FC">
        <w:rPr>
          <w:rFonts w:hint="eastAsia"/>
        </w:rPr>
        <w:tab/>
        <w:t>继续实施农村电气化方案；</w:t>
      </w:r>
    </w:p>
    <w:p w:rsidR="00D976FC" w:rsidRDefault="00151699" w:rsidP="00151699">
      <w:pPr>
        <w:pStyle w:val="SingleTxt"/>
        <w:spacing w:after="120"/>
        <w:rPr>
          <w:rFonts w:hint="eastAsia"/>
        </w:rPr>
      </w:pPr>
      <w:r>
        <w:rPr>
          <w:rFonts w:hint="eastAsia"/>
        </w:rPr>
        <w:tab/>
      </w:r>
      <w:r w:rsidR="00D976FC">
        <w:rPr>
          <w:rFonts w:hint="eastAsia"/>
        </w:rPr>
        <w:t>(f)</w:t>
      </w:r>
      <w:r w:rsidR="00D976FC">
        <w:rPr>
          <w:rFonts w:hint="eastAsia"/>
        </w:rPr>
        <w:tab/>
        <w:t>改善交通基础设施；</w:t>
      </w:r>
    </w:p>
    <w:p w:rsidR="00D976FC" w:rsidRDefault="00151699" w:rsidP="00151699">
      <w:pPr>
        <w:pStyle w:val="SingleTxt"/>
        <w:rPr>
          <w:rFonts w:hint="eastAsia"/>
        </w:rPr>
      </w:pPr>
      <w:r>
        <w:rPr>
          <w:rFonts w:hint="eastAsia"/>
        </w:rPr>
        <w:tab/>
      </w:r>
      <w:r w:rsidR="00D976FC">
        <w:rPr>
          <w:rFonts w:hint="eastAsia"/>
        </w:rPr>
        <w:t>(g)</w:t>
      </w:r>
      <w:r w:rsidR="00D976FC">
        <w:rPr>
          <w:rFonts w:hint="eastAsia"/>
        </w:rPr>
        <w:tab/>
        <w:t>通过实施《国家两性平等沟通战略》增加宣传妇女参与决策的重要性的方案。</w:t>
      </w:r>
    </w:p>
    <w:p w:rsidR="00D976FC" w:rsidRDefault="00D976FC" w:rsidP="00D976FC">
      <w:pPr>
        <w:pStyle w:val="SingleTxt"/>
        <w:rPr>
          <w:rFonts w:hint="eastAsia"/>
        </w:rPr>
      </w:pPr>
      <w:r>
        <w:rPr>
          <w:rFonts w:hint="eastAsia"/>
        </w:rPr>
        <w:t>30.</w:t>
      </w:r>
      <w:r>
        <w:rPr>
          <w:rFonts w:hint="eastAsia"/>
        </w:rPr>
        <w:tab/>
      </w:r>
      <w:r w:rsidRPr="00151699">
        <w:rPr>
          <w:rFonts w:ascii="SimHei" w:eastAsia="SimHei" w:hint="eastAsia"/>
        </w:rPr>
        <w:t>该报告没有谈到老年妇女、残疾妇女、寡妇和移民妇女和女孩的处境。请介绍这些妇女团体的经济和社会状况以及现有哪些措施支持这些团体。也请阐述她们获得教育、就业、安全用水和保健服务的机会，以及保护她们免受暴力之害</w:t>
      </w:r>
      <w:r>
        <w:rPr>
          <w:rFonts w:hint="eastAsia"/>
        </w:rPr>
        <w:t>。</w:t>
      </w:r>
    </w:p>
    <w:p w:rsidR="00D976FC" w:rsidRPr="00151699" w:rsidRDefault="00D976FC" w:rsidP="00151699">
      <w:pPr>
        <w:pStyle w:val="SingleTxt"/>
        <w:spacing w:after="120"/>
        <w:rPr>
          <w:rFonts w:ascii="SimHei" w:eastAsia="SimHei" w:hint="eastAsia"/>
        </w:rPr>
      </w:pPr>
      <w:r w:rsidRPr="00151699">
        <w:rPr>
          <w:rFonts w:ascii="SimHei" w:eastAsia="SimHei" w:hint="eastAsia"/>
        </w:rPr>
        <w:t>残疾妇女</w:t>
      </w:r>
    </w:p>
    <w:p w:rsidR="00D976FC" w:rsidRDefault="00D976FC" w:rsidP="00151699">
      <w:pPr>
        <w:pStyle w:val="SingleTxt"/>
        <w:tabs>
          <w:tab w:val="clear" w:pos="1695"/>
          <w:tab w:val="left" w:pos="1932"/>
        </w:tabs>
        <w:spacing w:after="120"/>
        <w:rPr>
          <w:rFonts w:hint="eastAsia"/>
        </w:rPr>
      </w:pPr>
      <w:r>
        <w:rPr>
          <w:rFonts w:hint="eastAsia"/>
        </w:rPr>
        <w:t>30.1</w:t>
      </w:r>
      <w:r>
        <w:rPr>
          <w:rFonts w:hint="eastAsia"/>
        </w:rPr>
        <w:tab/>
        <w:t>缔约国谨报告，该国政府已制定措施，通过建立赞比亚残疾人署处理与残疾妇女相关的问题。</w:t>
      </w:r>
    </w:p>
    <w:p w:rsidR="00D976FC" w:rsidRPr="00151699" w:rsidRDefault="00D976FC" w:rsidP="00151699">
      <w:pPr>
        <w:pStyle w:val="SingleTxt"/>
        <w:tabs>
          <w:tab w:val="clear" w:pos="1695"/>
          <w:tab w:val="left" w:pos="1932"/>
        </w:tabs>
        <w:spacing w:after="120"/>
        <w:rPr>
          <w:rFonts w:hint="eastAsia"/>
          <w:spacing w:val="-4"/>
        </w:rPr>
      </w:pPr>
      <w:r>
        <w:rPr>
          <w:rFonts w:hint="eastAsia"/>
        </w:rPr>
        <w:t>30.2</w:t>
      </w:r>
      <w:r>
        <w:rPr>
          <w:rFonts w:hint="eastAsia"/>
        </w:rPr>
        <w:tab/>
      </w:r>
      <w:r w:rsidRPr="00151699">
        <w:rPr>
          <w:rFonts w:hint="eastAsia"/>
          <w:spacing w:val="-4"/>
        </w:rPr>
        <w:t>该机构的职能包括规划、促进和管理为各类残疾人提供的服务；为其提供复原、培训和福利服务；与各部委和其他组织合作，为其提供预防、教育、培训、就业和复原以及其他福利服务；并且由各部委和志愿协会为其协调复原和福利服务。</w:t>
      </w:r>
    </w:p>
    <w:p w:rsidR="00D976FC" w:rsidRDefault="00D976FC" w:rsidP="00151699">
      <w:pPr>
        <w:pStyle w:val="SingleTxt"/>
        <w:tabs>
          <w:tab w:val="clear" w:pos="1695"/>
          <w:tab w:val="left" w:pos="1932"/>
        </w:tabs>
        <w:spacing w:after="120"/>
        <w:rPr>
          <w:rFonts w:hint="eastAsia"/>
        </w:rPr>
      </w:pPr>
      <w:r>
        <w:rPr>
          <w:rFonts w:hint="eastAsia"/>
        </w:rPr>
        <w:t>30.3</w:t>
      </w:r>
      <w:r>
        <w:rPr>
          <w:rFonts w:hint="eastAsia"/>
        </w:rPr>
        <w:tab/>
        <w:t>此外，缔约国谨报告，《残疾人法》(1996年)禁止在就业和学习机构中歧视残疾人的行为。该法案还规定，为残疾人设立的国家信托基金可用于以下用途：为残疾人进行商业投资提供贷款；培训残疾人提高其技能；以及支持对残疾和残疾人福利的研究。</w:t>
      </w:r>
    </w:p>
    <w:p w:rsidR="00D976FC" w:rsidRPr="00151699" w:rsidRDefault="00D976FC" w:rsidP="00151699">
      <w:pPr>
        <w:pStyle w:val="SingleTxt"/>
        <w:spacing w:after="120"/>
        <w:rPr>
          <w:rFonts w:ascii="SimHei" w:eastAsia="SimHei" w:hint="eastAsia"/>
        </w:rPr>
      </w:pPr>
      <w:r w:rsidRPr="00151699">
        <w:rPr>
          <w:rFonts w:ascii="SimHei" w:eastAsia="SimHei" w:hint="eastAsia"/>
        </w:rPr>
        <w:t>老年妇女、寡妇以及移民妇女和女孩</w:t>
      </w:r>
    </w:p>
    <w:p w:rsidR="00D976FC" w:rsidRDefault="00D976FC" w:rsidP="00151699">
      <w:pPr>
        <w:pStyle w:val="SingleTxt"/>
        <w:tabs>
          <w:tab w:val="clear" w:pos="1695"/>
          <w:tab w:val="left" w:pos="1932"/>
        </w:tabs>
        <w:spacing w:after="120"/>
        <w:rPr>
          <w:rFonts w:hint="eastAsia"/>
        </w:rPr>
      </w:pPr>
      <w:r>
        <w:rPr>
          <w:rFonts w:hint="eastAsia"/>
        </w:rPr>
        <w:t>30.4</w:t>
      </w:r>
      <w:r>
        <w:rPr>
          <w:rFonts w:hint="eastAsia"/>
        </w:rPr>
        <w:tab/>
        <w:t>赞比亚庆祝国际老年人日。在此期间，普通公民都有意识地尊敬老年人。</w:t>
      </w:r>
    </w:p>
    <w:p w:rsidR="00D976FC" w:rsidRPr="00151699" w:rsidRDefault="00D976FC" w:rsidP="00151699">
      <w:pPr>
        <w:pStyle w:val="SingleTxt"/>
        <w:tabs>
          <w:tab w:val="clear" w:pos="1695"/>
          <w:tab w:val="left" w:pos="1932"/>
        </w:tabs>
        <w:spacing w:after="120"/>
        <w:rPr>
          <w:rFonts w:hint="eastAsia"/>
          <w:spacing w:val="-2"/>
        </w:rPr>
      </w:pPr>
      <w:r>
        <w:rPr>
          <w:rFonts w:hint="eastAsia"/>
        </w:rPr>
        <w:t>30.5</w:t>
      </w:r>
      <w:r>
        <w:rPr>
          <w:rFonts w:hint="eastAsia"/>
        </w:rPr>
        <w:tab/>
      </w:r>
      <w:r w:rsidRPr="00151699">
        <w:rPr>
          <w:rFonts w:hint="eastAsia"/>
          <w:spacing w:val="-2"/>
        </w:rPr>
        <w:t>缔约国谨报告，公共福利援助计划是一项重大的社会援助方案，旨在以现金、粮食、基本住房、教育、卫生保健支助以及护送受困人民回国的方式向最脆弱群体提供基本必需品。该方案针对无行为能力的家庭，包括以老人、儿童、长期患病者、残疾人、妇女、孤儿和弱势儿童以及流离失所者/受灾者为主体的家庭。</w:t>
      </w:r>
    </w:p>
    <w:p w:rsidR="00D976FC" w:rsidRPr="00151699" w:rsidRDefault="00D976FC" w:rsidP="00151699">
      <w:pPr>
        <w:pStyle w:val="SingleTxt"/>
        <w:spacing w:after="120"/>
        <w:rPr>
          <w:rFonts w:ascii="SimHei" w:eastAsia="SimHei" w:hint="eastAsia"/>
        </w:rPr>
      </w:pPr>
      <w:r w:rsidRPr="00151699">
        <w:rPr>
          <w:rFonts w:ascii="SimHei" w:eastAsia="SimHei" w:hint="eastAsia"/>
        </w:rPr>
        <w:t>教育、就业、安全用水、保健服务和免受暴力侵害等权利</w:t>
      </w:r>
    </w:p>
    <w:p w:rsidR="00D976FC" w:rsidRDefault="00D976FC" w:rsidP="00151699">
      <w:pPr>
        <w:pStyle w:val="SingleTxt"/>
        <w:tabs>
          <w:tab w:val="clear" w:pos="1695"/>
          <w:tab w:val="left" w:pos="1932"/>
        </w:tabs>
        <w:spacing w:after="120"/>
        <w:rPr>
          <w:rFonts w:hint="eastAsia"/>
        </w:rPr>
      </w:pPr>
      <w:r>
        <w:rPr>
          <w:rFonts w:hint="eastAsia"/>
        </w:rPr>
        <w:t>30.6</w:t>
      </w:r>
      <w:r>
        <w:rPr>
          <w:rFonts w:hint="eastAsia"/>
        </w:rPr>
        <w:tab/>
        <w:t>政府落实为增加妇女受教育、就业、获得安全用水和保健服务以及免受暴力侵害等权利制定的所有方案还适用于弱势妇女。</w:t>
      </w:r>
    </w:p>
    <w:p w:rsidR="00D976FC" w:rsidRPr="00151699" w:rsidRDefault="00D976FC" w:rsidP="00151699">
      <w:pPr>
        <w:pStyle w:val="SingleTxt"/>
        <w:spacing w:after="120"/>
        <w:rPr>
          <w:rFonts w:ascii="SimHei" w:eastAsia="SimHei" w:hint="eastAsia"/>
        </w:rPr>
      </w:pPr>
      <w:r w:rsidRPr="00151699">
        <w:rPr>
          <w:rFonts w:ascii="SimHei" w:eastAsia="SimHei" w:hint="eastAsia"/>
        </w:rPr>
        <w:t>难民妇女和女孩</w:t>
      </w:r>
    </w:p>
    <w:p w:rsidR="00D976FC" w:rsidRDefault="00D976FC" w:rsidP="00D976FC">
      <w:pPr>
        <w:pStyle w:val="SingleTxt"/>
        <w:rPr>
          <w:rFonts w:hint="eastAsia"/>
        </w:rPr>
      </w:pPr>
      <w:r>
        <w:rPr>
          <w:rFonts w:hint="eastAsia"/>
        </w:rPr>
        <w:t>31.</w:t>
      </w:r>
      <w:r w:rsidRPr="00151699">
        <w:rPr>
          <w:rFonts w:ascii="SimHei" w:eastAsia="SimHei" w:hint="eastAsia"/>
        </w:rPr>
        <w:tab/>
        <w:t>在上一份结论意见中(第256段)，委员会赞扬缔约国努力接纳来自邻国的难民，但对缔约国保护和保证难民权利的能力表示关切。请提供向难民妇女和难民女孩提供援助方面的最新资料，并介绍针对她们的复原努力。根据委员会收到的资料，一份旨在取代1970年《难民(控制)法》的难民法案草案，正由政府各委员会审议，然后提交议会审查通过。请介绍该法案草案的内容和状况，以及予以通过的时限</w:t>
      </w:r>
      <w:r>
        <w:rPr>
          <w:rFonts w:hint="eastAsia"/>
        </w:rPr>
        <w:t>。</w:t>
      </w:r>
    </w:p>
    <w:p w:rsidR="00D976FC" w:rsidRPr="00151699" w:rsidRDefault="00D976FC" w:rsidP="00D976FC">
      <w:pPr>
        <w:pStyle w:val="SingleTxt"/>
        <w:rPr>
          <w:rFonts w:ascii="SimHei" w:eastAsia="SimHei" w:hint="eastAsia"/>
        </w:rPr>
      </w:pPr>
      <w:r w:rsidRPr="00151699">
        <w:rPr>
          <w:rFonts w:ascii="SimHei" w:eastAsia="SimHei" w:hint="eastAsia"/>
        </w:rPr>
        <w:t>援助难民妇女和女孩的最新情况</w:t>
      </w:r>
    </w:p>
    <w:p w:rsidR="00D976FC" w:rsidRDefault="00D976FC" w:rsidP="00690919">
      <w:pPr>
        <w:pStyle w:val="SingleTxt"/>
        <w:tabs>
          <w:tab w:val="clear" w:pos="1695"/>
          <w:tab w:val="left" w:pos="1932"/>
        </w:tabs>
        <w:rPr>
          <w:rFonts w:hint="eastAsia"/>
        </w:rPr>
      </w:pPr>
      <w:r>
        <w:rPr>
          <w:rFonts w:hint="eastAsia"/>
        </w:rPr>
        <w:t>31.1</w:t>
      </w:r>
      <w:r>
        <w:rPr>
          <w:rFonts w:hint="eastAsia"/>
        </w:rPr>
        <w:tab/>
        <w:t>政府促进颁发正式和非正式就业和学习许可证，由此确认难民妇女的工作和学习权利。接受基础教育的女孩有权免费接受教育，但一旦其步入高中，若其居住在难民营外，需要获得学习许可证。</w:t>
      </w:r>
    </w:p>
    <w:p w:rsidR="00D976FC" w:rsidRDefault="00D976FC" w:rsidP="00690919">
      <w:pPr>
        <w:pStyle w:val="SingleTxt"/>
        <w:tabs>
          <w:tab w:val="clear" w:pos="1695"/>
          <w:tab w:val="left" w:pos="1932"/>
        </w:tabs>
        <w:rPr>
          <w:rFonts w:hint="eastAsia"/>
        </w:rPr>
      </w:pPr>
      <w:r>
        <w:rPr>
          <w:rFonts w:hint="eastAsia"/>
        </w:rPr>
        <w:t>31.2</w:t>
      </w:r>
      <w:r>
        <w:rPr>
          <w:rFonts w:hint="eastAsia"/>
        </w:rPr>
        <w:tab/>
        <w:t>难民妇女和儿童有权居住在难民营外，并有权获得护照、外国人卡和电子卡等用于证实其在赞比亚身份的证件。赞比亚除为难民妇女和儿童保留居住在赞比亚任何场所、活动自由和接受高等教育的权利外，还赋予他们与赞比亚公民一样的同等权利。此外，国际帮助非洲行动等非政府组织为遭受苦难的难民妇女和儿童提供咨询服务。</w:t>
      </w:r>
    </w:p>
    <w:p w:rsidR="00D976FC" w:rsidRPr="00151699" w:rsidRDefault="00D976FC" w:rsidP="00151699">
      <w:pPr>
        <w:pStyle w:val="SingleTxt"/>
        <w:spacing w:line="328" w:lineRule="exact"/>
        <w:rPr>
          <w:rFonts w:ascii="SimHei" w:eastAsia="SimHei" w:hint="eastAsia"/>
        </w:rPr>
      </w:pPr>
      <w:r w:rsidRPr="00151699">
        <w:rPr>
          <w:rFonts w:ascii="SimHei" w:eastAsia="SimHei" w:hint="eastAsia"/>
        </w:rPr>
        <w:t>难民法案</w:t>
      </w:r>
    </w:p>
    <w:p w:rsidR="00D976FC" w:rsidRDefault="00D976FC" w:rsidP="00151699">
      <w:pPr>
        <w:pStyle w:val="SingleTxt"/>
        <w:tabs>
          <w:tab w:val="clear" w:pos="1695"/>
          <w:tab w:val="left" w:pos="1932"/>
        </w:tabs>
        <w:spacing w:line="328" w:lineRule="exact"/>
        <w:rPr>
          <w:rFonts w:hint="eastAsia"/>
        </w:rPr>
      </w:pPr>
      <w:r>
        <w:rPr>
          <w:rFonts w:hint="eastAsia"/>
        </w:rPr>
        <w:t>31.3</w:t>
      </w:r>
      <w:r>
        <w:rPr>
          <w:rFonts w:hint="eastAsia"/>
        </w:rPr>
        <w:tab/>
        <w:t>还在讨论难民法案，但内阁已核准了该法案草案。因此，很难确认通过该法案的时限。</w:t>
      </w:r>
    </w:p>
    <w:p w:rsidR="00D976FC" w:rsidRPr="00151699" w:rsidRDefault="00D976FC" w:rsidP="00151699">
      <w:pPr>
        <w:pStyle w:val="SingleTxt"/>
        <w:spacing w:line="328" w:lineRule="exact"/>
        <w:rPr>
          <w:rFonts w:ascii="SimHei" w:eastAsia="SimHei" w:hint="eastAsia"/>
        </w:rPr>
      </w:pPr>
      <w:r w:rsidRPr="00151699">
        <w:rPr>
          <w:rFonts w:ascii="SimHei" w:eastAsia="SimHei" w:hint="eastAsia"/>
        </w:rPr>
        <w:t>婚姻和家庭生活</w:t>
      </w:r>
    </w:p>
    <w:p w:rsidR="00D976FC" w:rsidRDefault="00D976FC" w:rsidP="00151699">
      <w:pPr>
        <w:pStyle w:val="SingleTxt"/>
        <w:spacing w:line="328" w:lineRule="exact"/>
        <w:rPr>
          <w:rFonts w:hint="eastAsia"/>
        </w:rPr>
      </w:pPr>
      <w:r>
        <w:rPr>
          <w:rFonts w:hint="eastAsia"/>
        </w:rPr>
        <w:t>32.</w:t>
      </w:r>
      <w:r>
        <w:rPr>
          <w:rFonts w:hint="eastAsia"/>
        </w:rPr>
        <w:tab/>
      </w:r>
      <w:r w:rsidRPr="00151699">
        <w:rPr>
          <w:rFonts w:ascii="SimHei" w:eastAsia="SimHei" w:hint="eastAsia"/>
        </w:rPr>
        <w:t>在上一份结论意见中(第228段)，委员会赞扬缔约国颁布《婚姻法》和《无遗嘱继承法》，在婚姻和继承权方面向妇女提供保护。请提供最新资料，说明缔约国采取措施强制执行该法的情况。该报告证实，支付彩礼(lobola)仍是全国普遍存在的做法，是有效传统婚姻的基本要素。请通知委员会为解决此问题而采取或打算采取的任何措施。缔约国已采取或正计划采取哪些措施，以打击一个配偶死亡后、抢夺财产和“性清洗”的做法</w:t>
      </w:r>
      <w:r>
        <w:rPr>
          <w:rFonts w:hint="eastAsia"/>
        </w:rPr>
        <w:t>？</w:t>
      </w:r>
    </w:p>
    <w:p w:rsidR="00D976FC" w:rsidRPr="00151699" w:rsidRDefault="00D976FC" w:rsidP="00151699">
      <w:pPr>
        <w:pStyle w:val="SingleTxt"/>
        <w:spacing w:line="328" w:lineRule="exact"/>
        <w:rPr>
          <w:rFonts w:ascii="SimHei" w:eastAsia="SimHei" w:hint="eastAsia"/>
        </w:rPr>
      </w:pPr>
      <w:r w:rsidRPr="00151699">
        <w:rPr>
          <w:rFonts w:ascii="SimHei" w:eastAsia="SimHei" w:hint="eastAsia"/>
        </w:rPr>
        <w:t>执行《无遗嘱继承法》</w:t>
      </w:r>
    </w:p>
    <w:p w:rsidR="00D976FC" w:rsidRDefault="00D976FC" w:rsidP="00151699">
      <w:pPr>
        <w:pStyle w:val="SingleTxt"/>
        <w:tabs>
          <w:tab w:val="clear" w:pos="1695"/>
          <w:tab w:val="left" w:pos="1932"/>
        </w:tabs>
        <w:spacing w:line="328" w:lineRule="exact"/>
        <w:rPr>
          <w:rFonts w:hint="eastAsia"/>
        </w:rPr>
      </w:pPr>
      <w:r>
        <w:rPr>
          <w:rFonts w:hint="eastAsia"/>
        </w:rPr>
        <w:t>32.1</w:t>
      </w:r>
      <w:r>
        <w:rPr>
          <w:rFonts w:hint="eastAsia"/>
        </w:rPr>
        <w:tab/>
      </w:r>
      <w:r w:rsidRPr="00151699">
        <w:rPr>
          <w:rFonts w:hint="eastAsia"/>
          <w:spacing w:val="4"/>
        </w:rPr>
        <w:t>缔约国报告称，《婚姻法》和《无遗嘱继承法》都规定了执行机制。《婚姻法》是由婚姻登记员和法庭强制执行的。《无遗嘱继承法》是由法庭强制执行的。</w:t>
      </w:r>
    </w:p>
    <w:p w:rsidR="00D976FC" w:rsidRPr="00151699" w:rsidRDefault="00D976FC" w:rsidP="00151699">
      <w:pPr>
        <w:pStyle w:val="SingleTxt"/>
        <w:spacing w:line="328" w:lineRule="exact"/>
        <w:rPr>
          <w:rFonts w:ascii="SimHei" w:eastAsia="SimHei" w:hint="eastAsia"/>
        </w:rPr>
      </w:pPr>
      <w:r w:rsidRPr="00151699">
        <w:rPr>
          <w:rFonts w:ascii="SimHei" w:eastAsia="SimHei" w:hint="eastAsia"/>
        </w:rPr>
        <w:t>Lobola(送财礼)</w:t>
      </w:r>
    </w:p>
    <w:p w:rsidR="00D976FC" w:rsidRDefault="00D976FC" w:rsidP="00151699">
      <w:pPr>
        <w:pStyle w:val="SingleTxt"/>
        <w:tabs>
          <w:tab w:val="clear" w:pos="1695"/>
          <w:tab w:val="left" w:pos="1932"/>
        </w:tabs>
        <w:spacing w:line="328" w:lineRule="exact"/>
        <w:rPr>
          <w:rFonts w:hint="eastAsia"/>
        </w:rPr>
      </w:pPr>
      <w:r>
        <w:rPr>
          <w:rFonts w:hint="eastAsia"/>
        </w:rPr>
        <w:t>32.2</w:t>
      </w:r>
      <w:r>
        <w:rPr>
          <w:rFonts w:hint="eastAsia"/>
        </w:rPr>
        <w:tab/>
        <w:t>缔约国谨报告，对lobola(送财礼)现象进行了调查。在调查中，多数人，特别是妇女认为应保留送财礼的习俗。但是，很多人认为，应规定财礼的数额，不应将其商业化。</w:t>
      </w:r>
    </w:p>
    <w:p w:rsidR="00D976FC" w:rsidRPr="00151699" w:rsidRDefault="00D976FC" w:rsidP="00151699">
      <w:pPr>
        <w:pStyle w:val="SingleTxt"/>
        <w:spacing w:line="328" w:lineRule="exact"/>
        <w:rPr>
          <w:rFonts w:ascii="SimHei" w:eastAsia="SimHei" w:hint="eastAsia"/>
        </w:rPr>
      </w:pPr>
      <w:r w:rsidRPr="00151699">
        <w:rPr>
          <w:rFonts w:ascii="SimHei" w:eastAsia="SimHei" w:hint="eastAsia"/>
        </w:rPr>
        <w:t>为打击抢夺财产和性清洗做法采取的措施</w:t>
      </w:r>
    </w:p>
    <w:p w:rsidR="00D976FC" w:rsidRDefault="00D976FC" w:rsidP="00151699">
      <w:pPr>
        <w:pStyle w:val="SingleTxt"/>
        <w:tabs>
          <w:tab w:val="clear" w:pos="1695"/>
          <w:tab w:val="left" w:pos="1932"/>
        </w:tabs>
        <w:spacing w:line="328" w:lineRule="exact"/>
        <w:rPr>
          <w:rFonts w:hint="eastAsia"/>
        </w:rPr>
      </w:pPr>
      <w:r>
        <w:rPr>
          <w:rFonts w:hint="eastAsia"/>
        </w:rPr>
        <w:t>32.3</w:t>
      </w:r>
      <w:r>
        <w:rPr>
          <w:rFonts w:hint="eastAsia"/>
        </w:rPr>
        <w:tab/>
        <w:t>缔约国谨报告，传统首领对于性清洗的危险都有所意识。他们转而将危险意识传达给普通公民。因此，性清洗行为有所减少。</w:t>
      </w:r>
    </w:p>
    <w:p w:rsidR="00D976FC" w:rsidRDefault="00D976FC" w:rsidP="00151699">
      <w:pPr>
        <w:pStyle w:val="SingleTxt"/>
        <w:tabs>
          <w:tab w:val="clear" w:pos="1695"/>
          <w:tab w:val="left" w:pos="1932"/>
        </w:tabs>
        <w:spacing w:line="328" w:lineRule="exact"/>
        <w:rPr>
          <w:rFonts w:hint="eastAsia"/>
        </w:rPr>
      </w:pPr>
      <w:r>
        <w:rPr>
          <w:rFonts w:hint="eastAsia"/>
        </w:rPr>
        <w:t>32.4</w:t>
      </w:r>
      <w:r>
        <w:rPr>
          <w:rFonts w:hint="eastAsia"/>
        </w:rPr>
        <w:tab/>
        <w:t>受害者支助股最近在利用媒体提高人民意识，并鼓励人们举报抢夺财产的行为，这有助于减少这种行径。</w:t>
      </w:r>
    </w:p>
    <w:p w:rsidR="00D976FC" w:rsidRDefault="00D976FC" w:rsidP="00151699">
      <w:pPr>
        <w:pStyle w:val="SingleTxt"/>
        <w:spacing w:line="328" w:lineRule="exact"/>
        <w:rPr>
          <w:rFonts w:hint="eastAsia"/>
        </w:rPr>
      </w:pPr>
      <w:r>
        <w:rPr>
          <w:rFonts w:hint="eastAsia"/>
        </w:rPr>
        <w:t>33.</w:t>
      </w:r>
      <w:r>
        <w:rPr>
          <w:rFonts w:hint="eastAsia"/>
        </w:rPr>
        <w:tab/>
      </w:r>
      <w:r w:rsidRPr="00151699">
        <w:rPr>
          <w:rFonts w:ascii="SimHei" w:eastAsia="SimHei" w:hint="eastAsia"/>
        </w:rPr>
        <w:t>在上一份结论意见中(第250-253段)，委员会关切地指出，成文法和习惯法这两套法律制度同时并用，规范着婚姻和家庭关系，而且许多此类法律与《公约》不符。委员会进一步感到关切的是，一夫多妻现象被广为接受，而缔约国并没有予以有效取缔。请提供最新资料，说明缔约国针对此种关切问题而采取的步骤。缔约国报告第47(a)段指出，早期童婚继续阻碍女孩求学，因为根据习惯法，与达到青春期的女童结婚是合法的。请说明习惯婚姻中妇女结婚的法定承诺年龄，并说明为打击早婚习俗而采取的措施</w:t>
      </w:r>
      <w:r>
        <w:rPr>
          <w:rFonts w:hint="eastAsia"/>
        </w:rPr>
        <w:t>。</w:t>
      </w:r>
    </w:p>
    <w:p w:rsidR="00D976FC" w:rsidRPr="00151699" w:rsidRDefault="00D976FC" w:rsidP="00D976FC">
      <w:pPr>
        <w:pStyle w:val="SingleTxt"/>
        <w:rPr>
          <w:rFonts w:ascii="SimHei" w:eastAsia="SimHei" w:hint="eastAsia"/>
        </w:rPr>
      </w:pPr>
      <w:r w:rsidRPr="00151699">
        <w:rPr>
          <w:rFonts w:ascii="SimHei" w:eastAsia="SimHei" w:hint="eastAsia"/>
        </w:rPr>
        <w:t>结婚的法定承诺年龄</w:t>
      </w:r>
    </w:p>
    <w:p w:rsidR="00D976FC" w:rsidRDefault="00D976FC" w:rsidP="00690919">
      <w:pPr>
        <w:pStyle w:val="SingleTxt"/>
        <w:tabs>
          <w:tab w:val="clear" w:pos="1695"/>
          <w:tab w:val="left" w:pos="1932"/>
        </w:tabs>
        <w:rPr>
          <w:rFonts w:hint="eastAsia"/>
        </w:rPr>
      </w:pPr>
      <w:r>
        <w:rPr>
          <w:rFonts w:hint="eastAsia"/>
        </w:rPr>
        <w:t>33.1</w:t>
      </w:r>
      <w:r>
        <w:rPr>
          <w:rFonts w:hint="eastAsia"/>
        </w:rPr>
        <w:tab/>
        <w:t>缔约国报告称，习惯法并未规定妇女的最低法定承诺婚龄。这是因为目前的习惯法允许任何达到青春期的女童结婚。为制止早婚习俗，赞比亚法律发展委员会目前正在开展关于习惯婚姻的研究，以向根据习惯法结婚的多数妇女提供更多保护。该项研究侧重于使习惯法规定最低法定承诺婚龄。希望能够根据研究成果制定一部法律，这部法律优先于习惯法，并且可防止女孩早婚。</w:t>
      </w:r>
    </w:p>
    <w:p w:rsidR="00D976FC" w:rsidRPr="00151699" w:rsidRDefault="00D976FC" w:rsidP="00D976FC">
      <w:pPr>
        <w:pStyle w:val="SingleTxt"/>
        <w:rPr>
          <w:rFonts w:ascii="SimHei" w:eastAsia="SimHei" w:hint="eastAsia"/>
        </w:rPr>
      </w:pPr>
      <w:r w:rsidRPr="00151699">
        <w:rPr>
          <w:rFonts w:ascii="SimHei" w:eastAsia="SimHei" w:hint="eastAsia"/>
        </w:rPr>
        <w:t>早婚</w:t>
      </w:r>
    </w:p>
    <w:p w:rsidR="00D976FC" w:rsidRDefault="00D976FC" w:rsidP="00690919">
      <w:pPr>
        <w:pStyle w:val="SingleTxt"/>
        <w:tabs>
          <w:tab w:val="clear" w:pos="1695"/>
          <w:tab w:val="left" w:pos="1932"/>
        </w:tabs>
        <w:rPr>
          <w:rFonts w:hint="eastAsia"/>
        </w:rPr>
      </w:pPr>
      <w:r>
        <w:rPr>
          <w:rFonts w:hint="eastAsia"/>
        </w:rPr>
        <w:t>33.2</w:t>
      </w:r>
      <w:r>
        <w:rPr>
          <w:rFonts w:hint="eastAsia"/>
        </w:rPr>
        <w:tab/>
        <w:t>缔约国谨报告，传统领袖对于早婚的危险都有所意识。他们转而将危险意识传达给普通公民。因此，早婚现象有所减少。</w:t>
      </w:r>
    </w:p>
    <w:p w:rsidR="00D976FC" w:rsidRPr="00151699" w:rsidRDefault="00D976FC" w:rsidP="00D976FC">
      <w:pPr>
        <w:pStyle w:val="SingleTxt"/>
        <w:rPr>
          <w:rFonts w:ascii="SimHei" w:eastAsia="SimHei" w:hint="eastAsia"/>
        </w:rPr>
      </w:pPr>
      <w:r w:rsidRPr="00151699">
        <w:rPr>
          <w:rFonts w:ascii="SimHei" w:eastAsia="SimHei" w:hint="eastAsia"/>
        </w:rPr>
        <w:t>一夫多妻制</w:t>
      </w:r>
    </w:p>
    <w:p w:rsidR="00D976FC" w:rsidRDefault="00D976FC" w:rsidP="00690919">
      <w:pPr>
        <w:pStyle w:val="SingleTxt"/>
        <w:tabs>
          <w:tab w:val="clear" w:pos="1695"/>
          <w:tab w:val="left" w:pos="1932"/>
        </w:tabs>
        <w:rPr>
          <w:rFonts w:hint="eastAsia"/>
        </w:rPr>
      </w:pPr>
      <w:r>
        <w:rPr>
          <w:rFonts w:hint="eastAsia"/>
        </w:rPr>
        <w:t>33.3</w:t>
      </w:r>
      <w:r>
        <w:rPr>
          <w:rFonts w:hint="eastAsia"/>
        </w:rPr>
        <w:tab/>
        <w:t>缔约国进一步报告称，一夫多妻制是赞比亚法律发展委员会在讨论期间重点关注的问题之一。据指出，多数人支持一夫多妻制，而且人们认为该习俗最多仅应受到控制或淡化，但不应被禁止。因此，赞比亚法律发展委员会不愿做出对此表示反对的建议，因为缔约国最终制定的法律可能遭到忽视并且无效。</w:t>
      </w:r>
    </w:p>
    <w:p w:rsidR="00D976FC" w:rsidRPr="00151699" w:rsidRDefault="00D976FC" w:rsidP="00D976FC">
      <w:pPr>
        <w:pStyle w:val="SingleTxt"/>
        <w:rPr>
          <w:rFonts w:ascii="SimHei" w:eastAsia="SimHei" w:hint="eastAsia"/>
        </w:rPr>
      </w:pPr>
      <w:r w:rsidRPr="00151699">
        <w:rPr>
          <w:rFonts w:ascii="SimHei" w:eastAsia="SimHei" w:hint="eastAsia"/>
        </w:rPr>
        <w:t>《任择议定书》和第20条第1款修正案</w:t>
      </w:r>
    </w:p>
    <w:p w:rsidR="00D976FC" w:rsidRDefault="00D976FC" w:rsidP="00D976FC">
      <w:pPr>
        <w:pStyle w:val="SingleTxt"/>
        <w:rPr>
          <w:rFonts w:hint="eastAsia"/>
        </w:rPr>
      </w:pPr>
      <w:r>
        <w:rPr>
          <w:rFonts w:hint="eastAsia"/>
        </w:rPr>
        <w:t>34</w:t>
      </w:r>
      <w:r w:rsidR="00151699">
        <w:rPr>
          <w:rFonts w:hint="eastAsia"/>
        </w:rPr>
        <w:t>.</w:t>
      </w:r>
      <w:r w:rsidR="00151699">
        <w:rPr>
          <w:rFonts w:hint="eastAsia"/>
        </w:rPr>
        <w:tab/>
      </w:r>
      <w:r w:rsidRPr="00151699">
        <w:rPr>
          <w:rFonts w:ascii="SimHei" w:eastAsia="SimHei" w:hint="eastAsia"/>
        </w:rPr>
        <w:t>请说明在批准《公约任择议定书》方面的任何进展。也请说明各方面接受《公约》第20条第1款(有关委员会会议时间)修正案方面的进展</w:t>
      </w:r>
      <w:r>
        <w:rPr>
          <w:rFonts w:hint="eastAsia"/>
        </w:rPr>
        <w:t>。</w:t>
      </w:r>
    </w:p>
    <w:p w:rsidR="00EA31C3" w:rsidRDefault="00151699" w:rsidP="00D976FC">
      <w:pPr>
        <w:pStyle w:val="SingleTxt"/>
        <w:rPr>
          <w:rFonts w:hint="eastAsia"/>
        </w:rPr>
      </w:pPr>
      <w:r>
        <w:rPr>
          <w:rFonts w:hint="eastAsia"/>
        </w:rPr>
        <w:tab/>
      </w:r>
      <w:r w:rsidR="00D976FC">
        <w:rPr>
          <w:rFonts w:hint="eastAsia"/>
        </w:rPr>
        <w:t>缔约国谨报告，它仍在讨论是否批准《公约任择议定书》，以及是否接受《公约》第20条第1款修正案这两个问题。</w:t>
      </w:r>
    </w:p>
    <w:p w:rsidR="00D976FC" w:rsidRDefault="00D976FC" w:rsidP="00D976FC">
      <w:pPr>
        <w:pStyle w:val="SingleTxt"/>
        <w:rPr>
          <w:rFonts w:hint="eastAsia"/>
        </w:rPr>
      </w:pPr>
    </w:p>
    <w:p w:rsidR="00D976FC" w:rsidRDefault="00151699" w:rsidP="00151699">
      <w:pPr>
        <w:pStyle w:val="SingleTxt"/>
        <w:jc w:val="center"/>
      </w:pPr>
      <w:r>
        <w:t>––––––––––––––</w:t>
      </w:r>
    </w:p>
    <w:p w:rsidR="00D976FC" w:rsidRPr="00D976FC" w:rsidRDefault="00D976FC" w:rsidP="00D976FC">
      <w:pPr>
        <w:pStyle w:val="SingleTxt"/>
        <w:rPr>
          <w:rFonts w:hint="eastAsia"/>
        </w:rPr>
      </w:pPr>
    </w:p>
    <w:sectPr w:rsidR="00D976FC" w:rsidRPr="00D976FC" w:rsidSect="00E10E69">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6-09T14:54:00Z" w:initials="Start">
    <w:p w:rsidR="00FA5297" w:rsidRDefault="00FA5297">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NO&gt;&gt;N1132920C&lt;&lt;ODS JOB NO&gt;&gt;</w:t>
      </w:r>
    </w:p>
    <w:p w:rsidR="00FA5297" w:rsidRDefault="00FA5297">
      <w:pPr>
        <w:pStyle w:val="CommentText"/>
      </w:pPr>
      <w:r>
        <w:t>&lt;&lt;ODS DOC SYMBOL1&gt;&gt;CEDAW/C/ZMB/Q/5-6/Add.1&lt;&lt;ODS DOC SYMBOL1&gt;&gt;</w:t>
      </w:r>
    </w:p>
    <w:p w:rsidR="00FA5297" w:rsidRDefault="00FA529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FC" w:rsidRDefault="00DA32FC">
      <w:r>
        <w:separator/>
      </w:r>
    </w:p>
  </w:endnote>
  <w:endnote w:type="continuationSeparator" w:id="0">
    <w:p w:rsidR="00DA32FC" w:rsidRDefault="00DA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A5297" w:rsidTr="00E10E69">
      <w:tblPrEx>
        <w:tblCellMar>
          <w:top w:w="0" w:type="dxa"/>
          <w:bottom w:w="0" w:type="dxa"/>
        </w:tblCellMar>
      </w:tblPrEx>
      <w:tc>
        <w:tcPr>
          <w:tcW w:w="5033" w:type="dxa"/>
          <w:shd w:val="clear" w:color="auto" w:fill="auto"/>
        </w:tcPr>
        <w:p w:rsidR="00FA5297" w:rsidRPr="00E10E69" w:rsidRDefault="00FA5297" w:rsidP="00E10E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11-32920 (C)</w:t>
          </w:r>
          <w:r>
            <w:rPr>
              <w:b w:val="0"/>
              <w:w w:val="103"/>
              <w:sz w:val="14"/>
            </w:rPr>
            <w:fldChar w:fldCharType="end"/>
          </w:r>
        </w:p>
      </w:tc>
      <w:tc>
        <w:tcPr>
          <w:tcW w:w="5033" w:type="dxa"/>
          <w:shd w:val="clear" w:color="auto" w:fill="auto"/>
        </w:tcPr>
        <w:p w:rsidR="00FA5297" w:rsidRPr="00E10E69" w:rsidRDefault="00FA5297" w:rsidP="00E10E69">
          <w:pPr>
            <w:pStyle w:val="Footer"/>
            <w:jc w:val="left"/>
            <w:rPr>
              <w:w w:val="103"/>
            </w:rPr>
          </w:pPr>
          <w:r>
            <w:rPr>
              <w:w w:val="103"/>
            </w:rPr>
            <w:fldChar w:fldCharType="begin"/>
          </w:r>
          <w:r>
            <w:rPr>
              <w:w w:val="103"/>
            </w:rPr>
            <w:instrText xml:space="preserve"> PAGE  \* MERGEFORMAT </w:instrText>
          </w:r>
          <w:r>
            <w:rPr>
              <w:w w:val="103"/>
            </w:rPr>
            <w:fldChar w:fldCharType="separate"/>
          </w:r>
          <w:r w:rsidR="00BD10CE">
            <w:rPr>
              <w:w w:val="103"/>
            </w:rPr>
            <w:t>32</w:t>
          </w:r>
          <w:r>
            <w:rPr>
              <w:w w:val="103"/>
            </w:rPr>
            <w:fldChar w:fldCharType="end"/>
          </w:r>
        </w:p>
      </w:tc>
    </w:tr>
  </w:tbl>
  <w:p w:rsidR="00FA5297" w:rsidRPr="00E10E69" w:rsidRDefault="00FA5297" w:rsidP="00E10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A5297" w:rsidTr="00E10E69">
      <w:tblPrEx>
        <w:tblCellMar>
          <w:top w:w="0" w:type="dxa"/>
          <w:bottom w:w="0" w:type="dxa"/>
        </w:tblCellMar>
      </w:tblPrEx>
      <w:tc>
        <w:tcPr>
          <w:tcW w:w="5033" w:type="dxa"/>
          <w:shd w:val="clear" w:color="auto" w:fill="auto"/>
        </w:tcPr>
        <w:p w:rsidR="00FA5297" w:rsidRPr="00E10E69" w:rsidRDefault="00FA5297" w:rsidP="00E10E69">
          <w:pPr>
            <w:pStyle w:val="Footer"/>
            <w:jc w:val="right"/>
          </w:pPr>
          <w:r>
            <w:fldChar w:fldCharType="begin"/>
          </w:r>
          <w:r>
            <w:instrText xml:space="preserve"> PAGE  \* MERGEFORMAT </w:instrText>
          </w:r>
          <w:r>
            <w:fldChar w:fldCharType="separate"/>
          </w:r>
          <w:r w:rsidR="00BD10CE">
            <w:t>31</w:t>
          </w:r>
          <w:r>
            <w:fldChar w:fldCharType="end"/>
          </w:r>
        </w:p>
      </w:tc>
      <w:tc>
        <w:tcPr>
          <w:tcW w:w="5033" w:type="dxa"/>
          <w:shd w:val="clear" w:color="auto" w:fill="auto"/>
        </w:tcPr>
        <w:p w:rsidR="00FA5297" w:rsidRPr="00E10E69" w:rsidRDefault="00FA5297" w:rsidP="00E10E69">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11-32920 (C)</w:t>
          </w:r>
          <w:r>
            <w:rPr>
              <w:b w:val="0"/>
              <w:w w:val="103"/>
              <w:sz w:val="14"/>
            </w:rPr>
            <w:fldChar w:fldCharType="end"/>
          </w:r>
        </w:p>
      </w:tc>
    </w:tr>
  </w:tbl>
  <w:p w:rsidR="00FA5297" w:rsidRPr="00E10E69" w:rsidRDefault="00FA5297" w:rsidP="00E10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A5297">
      <w:tblPrEx>
        <w:tblCellMar>
          <w:top w:w="0" w:type="dxa"/>
          <w:bottom w:w="0" w:type="dxa"/>
        </w:tblCellMar>
      </w:tblPrEx>
      <w:tc>
        <w:tcPr>
          <w:tcW w:w="5033" w:type="dxa"/>
        </w:tcPr>
        <w:p w:rsidR="00FA5297" w:rsidRDefault="00FA5297" w:rsidP="00E10E69">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11-32920 (C)</w:t>
          </w:r>
          <w:r>
            <w:rPr>
              <w:b w:val="0"/>
              <w:sz w:val="21"/>
            </w:rPr>
            <w:fldChar w:fldCharType="end"/>
          </w:r>
          <w:r>
            <w:rPr>
              <w:b w:val="0"/>
              <w:sz w:val="21"/>
            </w:rPr>
            <w:t xml:space="preserve">    090611    090611</w:t>
          </w:r>
        </w:p>
        <w:p w:rsidR="00FA5297" w:rsidRPr="00E10E69" w:rsidRDefault="00FA5297" w:rsidP="00E10E69">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*1132920*</w:t>
          </w:r>
          <w:r>
            <w:rPr>
              <w:rFonts w:ascii="Barcode 3 of 9 by request" w:hAnsi="Barcode 3 of 9 by request"/>
              <w:sz w:val="24"/>
            </w:rPr>
            <w:fldChar w:fldCharType="end"/>
          </w:r>
        </w:p>
      </w:tc>
      <w:tc>
        <w:tcPr>
          <w:tcW w:w="5033" w:type="dxa"/>
        </w:tcPr>
        <w:p w:rsidR="00FA5297" w:rsidRDefault="00FA5297" w:rsidP="00E10E69">
          <w:pPr>
            <w:pStyle w:val="Footer"/>
            <w:jc w:val="right"/>
            <w:rPr>
              <w:b w:val="0"/>
              <w:sz w:val="21"/>
            </w:rPr>
          </w:pPr>
          <w:r w:rsidRPr="00E10E69">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FA5297" w:rsidRPr="00E10E69" w:rsidRDefault="00FA5297" w:rsidP="00E10E69">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FC" w:rsidRDefault="00DA32FC">
      <w:r>
        <w:separator/>
      </w:r>
    </w:p>
  </w:footnote>
  <w:footnote w:type="continuationSeparator" w:id="0">
    <w:p w:rsidR="00DA32FC" w:rsidRDefault="00DA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A5297" w:rsidTr="00E10E69">
      <w:tblPrEx>
        <w:tblCellMar>
          <w:top w:w="0" w:type="dxa"/>
          <w:bottom w:w="0" w:type="dxa"/>
        </w:tblCellMar>
      </w:tblPrEx>
      <w:trPr>
        <w:trHeight w:hRule="exact" w:val="864"/>
      </w:trPr>
      <w:tc>
        <w:tcPr>
          <w:tcW w:w="4838" w:type="dxa"/>
          <w:shd w:val="clear" w:color="auto" w:fill="auto"/>
          <w:vAlign w:val="bottom"/>
        </w:tcPr>
        <w:p w:rsidR="00FA5297" w:rsidRPr="00E10E69" w:rsidRDefault="00FA5297" w:rsidP="00E10E69">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CEDAW/C/ZMB/Q/5-6/Add.1</w:t>
          </w:r>
          <w:r>
            <w:rPr>
              <w:b/>
              <w:sz w:val="17"/>
            </w:rPr>
            <w:fldChar w:fldCharType="end"/>
          </w:r>
        </w:p>
      </w:tc>
      <w:tc>
        <w:tcPr>
          <w:tcW w:w="5033" w:type="dxa"/>
          <w:shd w:val="clear" w:color="auto" w:fill="auto"/>
          <w:vAlign w:val="bottom"/>
        </w:tcPr>
        <w:p w:rsidR="00FA5297" w:rsidRDefault="00FA5297" w:rsidP="00E10E69">
          <w:pPr>
            <w:pStyle w:val="Header"/>
          </w:pPr>
        </w:p>
      </w:tc>
    </w:tr>
  </w:tbl>
  <w:p w:rsidR="00FA5297" w:rsidRPr="00E10E69" w:rsidRDefault="00FA5297" w:rsidP="00E10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A5297" w:rsidTr="00E10E69">
      <w:tblPrEx>
        <w:tblCellMar>
          <w:top w:w="0" w:type="dxa"/>
          <w:bottom w:w="0" w:type="dxa"/>
        </w:tblCellMar>
      </w:tblPrEx>
      <w:trPr>
        <w:trHeight w:hRule="exact" w:val="864"/>
      </w:trPr>
      <w:tc>
        <w:tcPr>
          <w:tcW w:w="4838" w:type="dxa"/>
          <w:shd w:val="clear" w:color="auto" w:fill="auto"/>
          <w:vAlign w:val="bottom"/>
        </w:tcPr>
        <w:p w:rsidR="00FA5297" w:rsidRDefault="00FA5297" w:rsidP="00E10E69">
          <w:pPr>
            <w:pStyle w:val="Header"/>
          </w:pPr>
        </w:p>
      </w:tc>
      <w:tc>
        <w:tcPr>
          <w:tcW w:w="5033" w:type="dxa"/>
          <w:shd w:val="clear" w:color="auto" w:fill="auto"/>
          <w:vAlign w:val="bottom"/>
        </w:tcPr>
        <w:p w:rsidR="00FA5297" w:rsidRPr="00E10E69" w:rsidRDefault="00FA5297" w:rsidP="00E10E69">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CEDAW/C/ZMB/Q/5-6/Add.1</w:t>
          </w:r>
          <w:r>
            <w:rPr>
              <w:b/>
              <w:sz w:val="17"/>
            </w:rPr>
            <w:fldChar w:fldCharType="end"/>
          </w:r>
        </w:p>
      </w:tc>
    </w:tr>
  </w:tbl>
  <w:p w:rsidR="00FA5297" w:rsidRPr="00E10E69" w:rsidRDefault="00FA5297" w:rsidP="00E10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A5297" w:rsidTr="00E10E6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A5297" w:rsidRDefault="00FA5297" w:rsidP="00E10E69">
          <w:pPr>
            <w:pStyle w:val="Header"/>
            <w:spacing w:after="120"/>
          </w:pPr>
        </w:p>
      </w:tc>
      <w:tc>
        <w:tcPr>
          <w:tcW w:w="1872" w:type="dxa"/>
          <w:tcBorders>
            <w:bottom w:val="single" w:sz="4" w:space="0" w:color="auto"/>
          </w:tcBorders>
          <w:shd w:val="clear" w:color="auto" w:fill="auto"/>
          <w:vAlign w:val="bottom"/>
        </w:tcPr>
        <w:p w:rsidR="00FA5297" w:rsidRPr="00E10E69" w:rsidRDefault="00FA5297" w:rsidP="00E10E69">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A5297" w:rsidRDefault="00FA5297" w:rsidP="00E10E69">
          <w:pPr>
            <w:pStyle w:val="Header"/>
            <w:spacing w:after="120"/>
          </w:pPr>
        </w:p>
      </w:tc>
      <w:tc>
        <w:tcPr>
          <w:tcW w:w="6523" w:type="dxa"/>
          <w:gridSpan w:val="3"/>
          <w:tcBorders>
            <w:bottom w:val="single" w:sz="4" w:space="0" w:color="auto"/>
          </w:tcBorders>
          <w:shd w:val="clear" w:color="auto" w:fill="auto"/>
          <w:vAlign w:val="bottom"/>
        </w:tcPr>
        <w:p w:rsidR="00FA5297" w:rsidRPr="00E10E69" w:rsidRDefault="00FA5297" w:rsidP="00E10E69">
          <w:pPr>
            <w:spacing w:after="80" w:line="240" w:lineRule="auto"/>
            <w:jc w:val="right"/>
            <w:rPr>
              <w:rFonts w:ascii="Times New Roman"/>
              <w:position w:val="-4"/>
            </w:rPr>
          </w:pPr>
          <w:r>
            <w:rPr>
              <w:rFonts w:ascii="Times New Roman"/>
              <w:position w:val="-4"/>
              <w:sz w:val="40"/>
            </w:rPr>
            <w:t>CEDAW</w:t>
          </w:r>
          <w:r>
            <w:rPr>
              <w:rFonts w:ascii="Times New Roman"/>
              <w:position w:val="-4"/>
            </w:rPr>
            <w:t>/C/ZMB/Q/5-6/Add.1</w:t>
          </w:r>
        </w:p>
      </w:tc>
    </w:tr>
    <w:tr w:rsidR="00FA5297" w:rsidRPr="00E10E69" w:rsidTr="00E10E6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A5297" w:rsidRDefault="00FA5297" w:rsidP="00E10E6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A5297" w:rsidRPr="00E10E69" w:rsidRDefault="00FA5297" w:rsidP="00E10E69">
          <w:pPr>
            <w:pStyle w:val="Header"/>
            <w:spacing w:before="109"/>
            <w:ind w:left="-72"/>
          </w:pPr>
        </w:p>
      </w:tc>
      <w:tc>
        <w:tcPr>
          <w:tcW w:w="5227" w:type="dxa"/>
          <w:gridSpan w:val="3"/>
          <w:tcBorders>
            <w:top w:val="single" w:sz="4" w:space="0" w:color="auto"/>
            <w:bottom w:val="single" w:sz="12" w:space="0" w:color="auto"/>
          </w:tcBorders>
          <w:shd w:val="clear" w:color="auto" w:fill="auto"/>
        </w:tcPr>
        <w:p w:rsidR="00FA5297" w:rsidRPr="00E10E69" w:rsidRDefault="00FA5297" w:rsidP="00E10E6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A5297" w:rsidRPr="00E10E69" w:rsidRDefault="00FA5297" w:rsidP="00E10E69">
          <w:pPr>
            <w:pStyle w:val="Header"/>
            <w:spacing w:before="109"/>
          </w:pPr>
        </w:p>
      </w:tc>
      <w:tc>
        <w:tcPr>
          <w:tcW w:w="3180" w:type="dxa"/>
          <w:gridSpan w:val="2"/>
          <w:tcBorders>
            <w:top w:val="single" w:sz="4" w:space="0" w:color="auto"/>
            <w:bottom w:val="single" w:sz="12" w:space="0" w:color="auto"/>
          </w:tcBorders>
          <w:shd w:val="clear" w:color="auto" w:fill="auto"/>
        </w:tcPr>
        <w:p w:rsidR="00FA5297" w:rsidRDefault="00FA5297" w:rsidP="00E10E69">
          <w:pPr>
            <w:spacing w:before="240" w:line="240" w:lineRule="exact"/>
            <w:rPr>
              <w:rFonts w:ascii="Times New Roman"/>
            </w:rPr>
          </w:pPr>
          <w:r>
            <w:rPr>
              <w:rFonts w:ascii="Times New Roman"/>
            </w:rPr>
            <w:t>Distr.: General</w:t>
          </w:r>
        </w:p>
        <w:p w:rsidR="00FA5297" w:rsidRDefault="00FA5297" w:rsidP="00E10E69">
          <w:pPr>
            <w:spacing w:line="240" w:lineRule="exact"/>
            <w:rPr>
              <w:rFonts w:ascii="Times New Roman"/>
            </w:rPr>
          </w:pPr>
          <w:r>
            <w:rPr>
              <w:rFonts w:ascii="Times New Roman"/>
            </w:rPr>
            <w:t>9 May 2011</w:t>
          </w:r>
        </w:p>
        <w:p w:rsidR="00FA5297" w:rsidRDefault="00FA5297" w:rsidP="00E10E69">
          <w:pPr>
            <w:spacing w:line="240" w:lineRule="exact"/>
            <w:rPr>
              <w:rFonts w:ascii="Times New Roman"/>
            </w:rPr>
          </w:pPr>
          <w:r>
            <w:rPr>
              <w:rFonts w:ascii="Times New Roman"/>
            </w:rPr>
            <w:t>Chinese</w:t>
          </w:r>
        </w:p>
        <w:p w:rsidR="00FA5297" w:rsidRPr="00E10E69" w:rsidRDefault="00FA5297" w:rsidP="00E10E69">
          <w:pPr>
            <w:spacing w:line="240" w:lineRule="exact"/>
            <w:rPr>
              <w:rFonts w:ascii="Times New Roman"/>
            </w:rPr>
          </w:pPr>
          <w:r>
            <w:rPr>
              <w:rFonts w:ascii="Times New Roman"/>
            </w:rPr>
            <w:t>Original: English</w:t>
          </w:r>
        </w:p>
      </w:tc>
    </w:tr>
  </w:tbl>
  <w:p w:rsidR="00FA5297" w:rsidRPr="00E10E69" w:rsidRDefault="00FA5297" w:rsidP="00E10E6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32920*"/>
    <w:docVar w:name="CreationDt" w:val="09/06/2011 12:14:28"/>
    <w:docVar w:name="DocCategory" w:val="Doc"/>
    <w:docVar w:name="DocType" w:val="Final"/>
    <w:docVar w:name="FooterJN" w:val="11-32920 (C)"/>
    <w:docVar w:name="jobn" w:val="11-32920 (C)"/>
    <w:docVar w:name="jobnDT" w:val="11-32920 (C)   090611"/>
    <w:docVar w:name="jobnDTDT" w:val="11-32920 (C)   090611   090611"/>
    <w:docVar w:name="JobNo" w:val="1132920C"/>
    <w:docVar w:name="OandT" w:val="sheng"/>
    <w:docVar w:name="sss1" w:val="CEDAW/C/ZMB/Q/5-6/Add.1"/>
    <w:docVar w:name="sss2" w:val="-"/>
    <w:docVar w:name="Symbol1" w:val="CEDAW/C/ZMB/Q/5-6/Add.1"/>
    <w:docVar w:name="Symbol2" w:val="-"/>
  </w:docVars>
  <w:rsids>
    <w:rsidRoot w:val="000A4307"/>
    <w:rsid w:val="0000347C"/>
    <w:rsid w:val="000125BC"/>
    <w:rsid w:val="00021A2B"/>
    <w:rsid w:val="00037B39"/>
    <w:rsid w:val="00044CA4"/>
    <w:rsid w:val="00045EFE"/>
    <w:rsid w:val="0007337D"/>
    <w:rsid w:val="000758DF"/>
    <w:rsid w:val="00076EB8"/>
    <w:rsid w:val="00095C67"/>
    <w:rsid w:val="000A31F9"/>
    <w:rsid w:val="000A4307"/>
    <w:rsid w:val="000C1786"/>
    <w:rsid w:val="000C4DDE"/>
    <w:rsid w:val="000E240F"/>
    <w:rsid w:val="000E49A4"/>
    <w:rsid w:val="000F1058"/>
    <w:rsid w:val="00101C4E"/>
    <w:rsid w:val="001113F8"/>
    <w:rsid w:val="001212F9"/>
    <w:rsid w:val="00121328"/>
    <w:rsid w:val="0012708E"/>
    <w:rsid w:val="001329F7"/>
    <w:rsid w:val="00141322"/>
    <w:rsid w:val="0015066B"/>
    <w:rsid w:val="00150D3A"/>
    <w:rsid w:val="00151699"/>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77AAE"/>
    <w:rsid w:val="00280671"/>
    <w:rsid w:val="002814F9"/>
    <w:rsid w:val="00282D17"/>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20147"/>
    <w:rsid w:val="00320C99"/>
    <w:rsid w:val="003274A9"/>
    <w:rsid w:val="00331221"/>
    <w:rsid w:val="003649EE"/>
    <w:rsid w:val="00371BC6"/>
    <w:rsid w:val="00373A15"/>
    <w:rsid w:val="00383ACA"/>
    <w:rsid w:val="00394A02"/>
    <w:rsid w:val="003C7B20"/>
    <w:rsid w:val="003D075F"/>
    <w:rsid w:val="003E4565"/>
    <w:rsid w:val="003E748F"/>
    <w:rsid w:val="003E7612"/>
    <w:rsid w:val="0040370E"/>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12CD"/>
    <w:rsid w:val="005335B9"/>
    <w:rsid w:val="00536CCE"/>
    <w:rsid w:val="005541E4"/>
    <w:rsid w:val="00562FE7"/>
    <w:rsid w:val="0057450D"/>
    <w:rsid w:val="0058302A"/>
    <w:rsid w:val="00594046"/>
    <w:rsid w:val="005B7338"/>
    <w:rsid w:val="005C02AB"/>
    <w:rsid w:val="005C5FC3"/>
    <w:rsid w:val="005D0F04"/>
    <w:rsid w:val="005F12F0"/>
    <w:rsid w:val="005F3273"/>
    <w:rsid w:val="005F34A3"/>
    <w:rsid w:val="005F7962"/>
    <w:rsid w:val="00610CF2"/>
    <w:rsid w:val="006328DE"/>
    <w:rsid w:val="006353DE"/>
    <w:rsid w:val="006479F1"/>
    <w:rsid w:val="00650BEE"/>
    <w:rsid w:val="006520FA"/>
    <w:rsid w:val="0065377D"/>
    <w:rsid w:val="00666F57"/>
    <w:rsid w:val="006740A7"/>
    <w:rsid w:val="006767D5"/>
    <w:rsid w:val="00690919"/>
    <w:rsid w:val="00691524"/>
    <w:rsid w:val="006A654B"/>
    <w:rsid w:val="006B213A"/>
    <w:rsid w:val="006E2924"/>
    <w:rsid w:val="006E7A26"/>
    <w:rsid w:val="006F2B3D"/>
    <w:rsid w:val="007052CC"/>
    <w:rsid w:val="007319E0"/>
    <w:rsid w:val="007345AA"/>
    <w:rsid w:val="00737B00"/>
    <w:rsid w:val="0075155C"/>
    <w:rsid w:val="00753A05"/>
    <w:rsid w:val="00757193"/>
    <w:rsid w:val="00761190"/>
    <w:rsid w:val="00776537"/>
    <w:rsid w:val="00783A25"/>
    <w:rsid w:val="007877F4"/>
    <w:rsid w:val="007A2956"/>
    <w:rsid w:val="007C74B9"/>
    <w:rsid w:val="007E1B5E"/>
    <w:rsid w:val="007E6253"/>
    <w:rsid w:val="007F2278"/>
    <w:rsid w:val="00803014"/>
    <w:rsid w:val="00805783"/>
    <w:rsid w:val="00806F57"/>
    <w:rsid w:val="00806F90"/>
    <w:rsid w:val="008246FC"/>
    <w:rsid w:val="00824C19"/>
    <w:rsid w:val="00826250"/>
    <w:rsid w:val="008378D1"/>
    <w:rsid w:val="00846462"/>
    <w:rsid w:val="008468F5"/>
    <w:rsid w:val="0086691F"/>
    <w:rsid w:val="00883DB0"/>
    <w:rsid w:val="00884C8F"/>
    <w:rsid w:val="00896D38"/>
    <w:rsid w:val="008C3296"/>
    <w:rsid w:val="008E2D03"/>
    <w:rsid w:val="008F13C2"/>
    <w:rsid w:val="008F2BB5"/>
    <w:rsid w:val="008F425D"/>
    <w:rsid w:val="008F5472"/>
    <w:rsid w:val="008F5D0F"/>
    <w:rsid w:val="009122E0"/>
    <w:rsid w:val="00913351"/>
    <w:rsid w:val="0096193C"/>
    <w:rsid w:val="009769E1"/>
    <w:rsid w:val="00977E0D"/>
    <w:rsid w:val="00986132"/>
    <w:rsid w:val="00986C04"/>
    <w:rsid w:val="009A2F76"/>
    <w:rsid w:val="009D2AC2"/>
    <w:rsid w:val="009E1774"/>
    <w:rsid w:val="009E2668"/>
    <w:rsid w:val="009E40A3"/>
    <w:rsid w:val="009E5C8C"/>
    <w:rsid w:val="009F10B1"/>
    <w:rsid w:val="009F47E3"/>
    <w:rsid w:val="009F6938"/>
    <w:rsid w:val="00A04141"/>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D4308"/>
    <w:rsid w:val="00AF2A33"/>
    <w:rsid w:val="00B309DD"/>
    <w:rsid w:val="00B36621"/>
    <w:rsid w:val="00B36D64"/>
    <w:rsid w:val="00B41B48"/>
    <w:rsid w:val="00B56194"/>
    <w:rsid w:val="00B60F41"/>
    <w:rsid w:val="00B61A34"/>
    <w:rsid w:val="00B64E8E"/>
    <w:rsid w:val="00B65E8B"/>
    <w:rsid w:val="00B8025A"/>
    <w:rsid w:val="00B827B1"/>
    <w:rsid w:val="00BB23A4"/>
    <w:rsid w:val="00BC2276"/>
    <w:rsid w:val="00BD10CE"/>
    <w:rsid w:val="00BD2150"/>
    <w:rsid w:val="00BE1CC3"/>
    <w:rsid w:val="00BE365A"/>
    <w:rsid w:val="00BE47C4"/>
    <w:rsid w:val="00C0006D"/>
    <w:rsid w:val="00C052A2"/>
    <w:rsid w:val="00C06A4A"/>
    <w:rsid w:val="00C1391A"/>
    <w:rsid w:val="00C14CE6"/>
    <w:rsid w:val="00C15218"/>
    <w:rsid w:val="00C2725D"/>
    <w:rsid w:val="00C42033"/>
    <w:rsid w:val="00C464DD"/>
    <w:rsid w:val="00C62EF9"/>
    <w:rsid w:val="00C76854"/>
    <w:rsid w:val="00C92AE0"/>
    <w:rsid w:val="00CA450F"/>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976FC"/>
    <w:rsid w:val="00DA32FC"/>
    <w:rsid w:val="00DA51B2"/>
    <w:rsid w:val="00DB0932"/>
    <w:rsid w:val="00DC2506"/>
    <w:rsid w:val="00DC49FA"/>
    <w:rsid w:val="00DD3D6B"/>
    <w:rsid w:val="00DD4467"/>
    <w:rsid w:val="00DD61C8"/>
    <w:rsid w:val="00DD772B"/>
    <w:rsid w:val="00E041F4"/>
    <w:rsid w:val="00E050BA"/>
    <w:rsid w:val="00E10E69"/>
    <w:rsid w:val="00E25442"/>
    <w:rsid w:val="00E25A1F"/>
    <w:rsid w:val="00E37EEB"/>
    <w:rsid w:val="00E612EA"/>
    <w:rsid w:val="00E710FB"/>
    <w:rsid w:val="00E806D9"/>
    <w:rsid w:val="00E82CA2"/>
    <w:rsid w:val="00E94E5A"/>
    <w:rsid w:val="00E95594"/>
    <w:rsid w:val="00EA31C3"/>
    <w:rsid w:val="00EB33AC"/>
    <w:rsid w:val="00EC6F21"/>
    <w:rsid w:val="00ED38D6"/>
    <w:rsid w:val="00EE0913"/>
    <w:rsid w:val="00F01440"/>
    <w:rsid w:val="00F13305"/>
    <w:rsid w:val="00F40463"/>
    <w:rsid w:val="00F50336"/>
    <w:rsid w:val="00F55E5B"/>
    <w:rsid w:val="00F62E3F"/>
    <w:rsid w:val="00F67F90"/>
    <w:rsid w:val="00F77B3E"/>
    <w:rsid w:val="00F833CB"/>
    <w:rsid w:val="00F87754"/>
    <w:rsid w:val="00F90A4B"/>
    <w:rsid w:val="00F90C56"/>
    <w:rsid w:val="00FA5297"/>
    <w:rsid w:val="00FC1CE4"/>
    <w:rsid w:val="00FD594E"/>
    <w:rsid w:val="00FD75B9"/>
    <w:rsid w:val="00FE5FE8"/>
    <w:rsid w:val="00FF5D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Pages>
  <Words>4300</Words>
  <Characters>24511</Characters>
  <Application>Microsoft Office Word</Application>
  <DocSecurity>4</DocSecurity>
  <Lines>204</Lines>
  <Paragraphs>57</Paragraphs>
  <ScaleCrop>false</ScaleCrop>
  <Company>United Nations</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FrontDesk2</cp:lastModifiedBy>
  <cp:revision>7</cp:revision>
  <cp:lastPrinted>2011-06-09T12:54:00Z</cp:lastPrinted>
  <dcterms:created xsi:type="dcterms:W3CDTF">2011-06-09T10:13:00Z</dcterms:created>
  <dcterms:modified xsi:type="dcterms:W3CDTF">2011-06-09T13:16:00Z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1132920</vt:lpwstr>
  </property>
  <property fmtid="{D5CDD505-2E9C-101B-9397-08002B2CF9AE}" pid="3" name="Symbol1">
    <vt:lpwstr>CEDAW/C/ZMB/Q/5-6/Add.1</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