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631B6" w14:paraId="31E1AC97" w14:textId="77777777">
        <w:trPr>
          <w:cantSplit/>
          <w:trHeight w:hRule="exact" w:val="851"/>
        </w:trPr>
        <w:tc>
          <w:tcPr>
            <w:tcW w:w="1276" w:type="dxa"/>
            <w:tcBorders>
              <w:bottom w:val="single" w:sz="4" w:space="0" w:color="auto"/>
            </w:tcBorders>
            <w:vAlign w:val="bottom"/>
          </w:tcPr>
          <w:p w14:paraId="2C079140" w14:textId="77777777" w:rsidR="00BE3C14" w:rsidRDefault="00BE3C14"/>
        </w:tc>
        <w:tc>
          <w:tcPr>
            <w:tcW w:w="2268" w:type="dxa"/>
            <w:tcBorders>
              <w:bottom w:val="single" w:sz="4" w:space="0" w:color="auto"/>
            </w:tcBorders>
            <w:vAlign w:val="bottom"/>
          </w:tcPr>
          <w:p w14:paraId="395C1DA4" w14:textId="77777777" w:rsidR="00BE3C14" w:rsidRDefault="0047249D">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14:paraId="1DE9EACE" w14:textId="18F2C760" w:rsidR="00BE3C14" w:rsidRPr="001874D6" w:rsidRDefault="001874D6" w:rsidP="001874D6">
            <w:pPr>
              <w:suppressAutoHyphens w:val="0"/>
              <w:jc w:val="right"/>
            </w:pPr>
            <w:r w:rsidRPr="001874D6">
              <w:rPr>
                <w:sz w:val="40"/>
              </w:rPr>
              <w:t>CAT</w:t>
            </w:r>
            <w:r>
              <w:t>/C/BDI/3</w:t>
            </w:r>
          </w:p>
        </w:tc>
      </w:tr>
      <w:tr w:rsidR="008631B6" w14:paraId="3772411B" w14:textId="77777777">
        <w:trPr>
          <w:cantSplit/>
          <w:trHeight w:hRule="exact" w:val="2835"/>
        </w:trPr>
        <w:tc>
          <w:tcPr>
            <w:tcW w:w="1276" w:type="dxa"/>
            <w:tcBorders>
              <w:top w:val="single" w:sz="4" w:space="0" w:color="auto"/>
              <w:bottom w:val="single" w:sz="12" w:space="0" w:color="auto"/>
            </w:tcBorders>
          </w:tcPr>
          <w:p w14:paraId="39A6E8D5" w14:textId="77777777" w:rsidR="00BE3C14" w:rsidRDefault="0047249D">
            <w:pPr>
              <w:spacing w:before="120"/>
              <w:jc w:val="center"/>
            </w:pPr>
            <w:r>
              <w:rPr>
                <w:noProof/>
                <w:lang w:val="en-GB" w:eastAsia="en-GB"/>
              </w:rPr>
              <w:drawing>
                <wp:inline distT="0" distB="0" distL="0" distR="0" wp14:anchorId="379ADFFA" wp14:editId="4B8F501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772662"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3F1443" w14:textId="77777777" w:rsidR="00BE3C14" w:rsidRDefault="0047249D">
            <w:pPr>
              <w:spacing w:before="120" w:line="380" w:lineRule="exact"/>
            </w:pPr>
            <w:r>
              <w:rPr>
                <w:b/>
                <w:sz w:val="34"/>
                <w:szCs w:val="34"/>
              </w:rPr>
              <w:t>Convention contre</w:t>
            </w:r>
            <w:r>
              <w:rPr>
                <w:b/>
                <w:sz w:val="34"/>
                <w:szCs w:val="34"/>
              </w:rPr>
              <w:br/>
              <w:t>la torture et autres peines</w:t>
            </w:r>
            <w:r>
              <w:rPr>
                <w:b/>
                <w:sz w:val="34"/>
                <w:szCs w:val="34"/>
              </w:rPr>
              <w:br/>
              <w:t>ou traitements cruels,</w:t>
            </w:r>
            <w:r>
              <w:rPr>
                <w:b/>
                <w:sz w:val="34"/>
                <w:szCs w:val="34"/>
              </w:rPr>
              <w:br/>
              <w:t>inhumains ou dégradants</w:t>
            </w:r>
          </w:p>
        </w:tc>
        <w:tc>
          <w:tcPr>
            <w:tcW w:w="2835" w:type="dxa"/>
            <w:tcBorders>
              <w:top w:val="single" w:sz="4" w:space="0" w:color="auto"/>
              <w:bottom w:val="single" w:sz="12" w:space="0" w:color="auto"/>
            </w:tcBorders>
          </w:tcPr>
          <w:p w14:paraId="35F922DC" w14:textId="77777777" w:rsidR="00BE3C14" w:rsidRDefault="0047249D">
            <w:pPr>
              <w:suppressAutoHyphens w:val="0"/>
              <w:spacing w:before="240" w:line="240" w:lineRule="exact"/>
            </w:pPr>
            <w:r>
              <w:t>Distr.</w:t>
            </w:r>
            <w:r w:rsidR="00B65306">
              <w:t xml:space="preserve"> générale</w:t>
            </w:r>
          </w:p>
          <w:p w14:paraId="31BB2791" w14:textId="3E5B695C" w:rsidR="0016597A" w:rsidRDefault="0082304E">
            <w:pPr>
              <w:suppressAutoHyphens w:val="0"/>
            </w:pPr>
            <w:r>
              <w:t>14</w:t>
            </w:r>
            <w:r w:rsidR="004932A2">
              <w:t xml:space="preserve"> février</w:t>
            </w:r>
            <w:r w:rsidR="00B65306">
              <w:t xml:space="preserve"> 202</w:t>
            </w:r>
            <w:r w:rsidR="004932A2">
              <w:t>2</w:t>
            </w:r>
          </w:p>
          <w:p w14:paraId="73E9B0C0" w14:textId="77777777" w:rsidR="0067595B" w:rsidRDefault="0067595B">
            <w:pPr>
              <w:suppressAutoHyphens w:val="0"/>
            </w:pPr>
          </w:p>
          <w:p w14:paraId="672EB61A" w14:textId="77777777" w:rsidR="00BE3C14" w:rsidRDefault="0047249D">
            <w:pPr>
              <w:suppressAutoHyphens w:val="0"/>
            </w:pPr>
            <w:r>
              <w:t>Original</w:t>
            </w:r>
            <w:r w:rsidR="007C3D27">
              <w:t> </w:t>
            </w:r>
            <w:r>
              <w:t>:</w:t>
            </w:r>
            <w:r w:rsidR="00B65306">
              <w:t xml:space="preserve"> français</w:t>
            </w:r>
          </w:p>
          <w:p w14:paraId="060CE322" w14:textId="77777777" w:rsidR="00BE3C14" w:rsidRDefault="00B65306">
            <w:pPr>
              <w:suppressAutoHyphens w:val="0"/>
            </w:pPr>
            <w:r>
              <w:t>Anglais, espagnol et français seulement</w:t>
            </w:r>
          </w:p>
        </w:tc>
      </w:tr>
    </w:tbl>
    <w:p w14:paraId="353873AA" w14:textId="77777777" w:rsidR="00BE3C14" w:rsidRDefault="0047249D">
      <w:pPr>
        <w:spacing w:before="120"/>
        <w:rPr>
          <w:b/>
          <w:sz w:val="24"/>
          <w:szCs w:val="24"/>
        </w:rPr>
      </w:pPr>
      <w:r>
        <w:rPr>
          <w:b/>
          <w:sz w:val="24"/>
          <w:szCs w:val="24"/>
        </w:rPr>
        <w:t>Comité contre la torture</w:t>
      </w:r>
    </w:p>
    <w:p w14:paraId="51BA05D7" w14:textId="588EA846" w:rsidR="00BE3C14" w:rsidRPr="00A6762E" w:rsidRDefault="0047249D">
      <w:pPr>
        <w:pStyle w:val="HMG"/>
      </w:pPr>
      <w:r>
        <w:tab/>
      </w:r>
      <w:r>
        <w:tab/>
        <w:t xml:space="preserve">Troisième </w:t>
      </w:r>
      <w:r w:rsidRPr="00A6762E">
        <w:t>rapport périodique soumis par le</w:t>
      </w:r>
      <w:r w:rsidR="009851A6">
        <w:t> </w:t>
      </w:r>
      <w:r w:rsidRPr="00A6762E">
        <w:t xml:space="preserve">Burundi en application de l’article 19 </w:t>
      </w:r>
      <w:r w:rsidR="009851A6">
        <w:br/>
      </w:r>
      <w:r w:rsidRPr="00A6762E">
        <w:t xml:space="preserve">de la Convention, attendu en </w:t>
      </w:r>
      <w:r w:rsidR="0016597A" w:rsidRPr="00A6762E">
        <w:t>2018</w:t>
      </w:r>
      <w:r w:rsidRPr="00A6762E">
        <w:rPr>
          <w:rStyle w:val="Appelnotedebasdep"/>
          <w:b w:val="0"/>
          <w:sz w:val="20"/>
          <w:vertAlign w:val="baseline"/>
        </w:rPr>
        <w:footnoteReference w:customMarkFollows="1" w:id="2"/>
        <w:t>*</w:t>
      </w:r>
    </w:p>
    <w:p w14:paraId="687EF513" w14:textId="70AEA212" w:rsidR="00BE3C14" w:rsidRPr="00A6762E" w:rsidRDefault="0047249D">
      <w:pPr>
        <w:pStyle w:val="SingleTxtG"/>
        <w:jc w:val="right"/>
      </w:pPr>
      <w:r w:rsidRPr="00A6762E">
        <w:t>[Date de réception</w:t>
      </w:r>
      <w:r w:rsidR="00FC2DDF">
        <w:t> </w:t>
      </w:r>
      <w:r w:rsidRPr="00A6762E">
        <w:t xml:space="preserve">: </w:t>
      </w:r>
      <w:r w:rsidR="0016597A" w:rsidRPr="00A6762E">
        <w:t>14 septembre 2020</w:t>
      </w:r>
      <w:r w:rsidRPr="00A6762E">
        <w:t>]</w:t>
      </w:r>
    </w:p>
    <w:p w14:paraId="698CD049" w14:textId="77777777" w:rsidR="0016597A" w:rsidRDefault="0016597A">
      <w:pPr>
        <w:suppressAutoHyphens w:val="0"/>
        <w:kinsoku/>
        <w:overflowPunct/>
        <w:autoSpaceDE/>
        <w:autoSpaceDN/>
        <w:adjustRightInd/>
        <w:snapToGrid/>
        <w:spacing w:after="200" w:line="276" w:lineRule="auto"/>
      </w:pPr>
      <w:r>
        <w:br w:type="page"/>
      </w:r>
    </w:p>
    <w:p w14:paraId="5A1F806C" w14:textId="77777777" w:rsidR="0016597A" w:rsidRPr="0016597A" w:rsidRDefault="0016597A" w:rsidP="00BF2F03">
      <w:pPr>
        <w:pStyle w:val="HChG"/>
        <w:rPr>
          <w:lang w:val="fr-MC"/>
        </w:rPr>
      </w:pPr>
      <w:bookmarkStart w:id="0" w:name="_Toc529970186"/>
      <w:r>
        <w:rPr>
          <w:lang w:val="fr-MC"/>
        </w:rPr>
        <w:lastRenderedPageBreak/>
        <w:tab/>
      </w:r>
      <w:r>
        <w:rPr>
          <w:lang w:val="fr-MC"/>
        </w:rPr>
        <w:tab/>
      </w:r>
      <w:r w:rsidRPr="0016597A">
        <w:rPr>
          <w:lang w:val="fr-MC"/>
        </w:rPr>
        <w:t>S</w:t>
      </w:r>
      <w:r w:rsidR="00BC23B3">
        <w:rPr>
          <w:lang w:val="fr-MC"/>
        </w:rPr>
        <w:t xml:space="preserve">igles et abréviations </w:t>
      </w:r>
      <w:bookmarkEnd w:id="0"/>
    </w:p>
    <w:p w14:paraId="058E8B66" w14:textId="77777777" w:rsidR="0016597A" w:rsidRPr="0016597A" w:rsidRDefault="0016597A" w:rsidP="00BF2F03">
      <w:pPr>
        <w:pStyle w:val="SingleTxtG"/>
        <w:jc w:val="left"/>
        <w:rPr>
          <w:lang w:val="fr-MC"/>
        </w:rPr>
      </w:pPr>
      <w:r>
        <w:rPr>
          <w:lang w:val="fr-MC"/>
        </w:rPr>
        <w:t>Art</w:t>
      </w:r>
      <w:r w:rsidRPr="0016597A">
        <w:rPr>
          <w:lang w:val="fr-MC"/>
        </w:rPr>
        <w:t xml:space="preserve"> </w:t>
      </w:r>
      <w:r w:rsidRPr="0016597A">
        <w:rPr>
          <w:lang w:val="fr-MC"/>
        </w:rPr>
        <w:tab/>
      </w:r>
      <w:r w:rsidRPr="0016597A">
        <w:rPr>
          <w:lang w:val="fr-MC"/>
        </w:rPr>
        <w:tab/>
      </w:r>
      <w:r>
        <w:rPr>
          <w:lang w:val="fr-MC"/>
        </w:rPr>
        <w:tab/>
      </w:r>
      <w:r w:rsidRPr="0016597A">
        <w:rPr>
          <w:lang w:val="fr-MC"/>
        </w:rPr>
        <w:t xml:space="preserve">Article </w:t>
      </w:r>
    </w:p>
    <w:p w14:paraId="48868B91" w14:textId="77777777" w:rsidR="0016597A" w:rsidRPr="0016597A" w:rsidRDefault="0016597A" w:rsidP="00BF2F03">
      <w:pPr>
        <w:pStyle w:val="SingleTxtG"/>
        <w:jc w:val="left"/>
        <w:rPr>
          <w:lang w:val="fr-MC"/>
        </w:rPr>
      </w:pPr>
      <w:r>
        <w:rPr>
          <w:lang w:val="fr-MC"/>
        </w:rPr>
        <w:t>BNUB</w:t>
      </w:r>
      <w:r>
        <w:rPr>
          <w:lang w:val="fr-MC"/>
        </w:rPr>
        <w:tab/>
      </w:r>
      <w:r w:rsidRPr="0016597A">
        <w:rPr>
          <w:lang w:val="fr-MC"/>
        </w:rPr>
        <w:tab/>
      </w:r>
      <w:r>
        <w:rPr>
          <w:lang w:val="fr-MC"/>
        </w:rPr>
        <w:tab/>
      </w:r>
      <w:r w:rsidRPr="0016597A">
        <w:rPr>
          <w:lang w:val="fr-MC"/>
        </w:rPr>
        <w:t>Bureau des Nations Unies au Burundi</w:t>
      </w:r>
    </w:p>
    <w:p w14:paraId="6CA50666" w14:textId="77777777" w:rsidR="0016597A" w:rsidRPr="0016597A" w:rsidRDefault="0016597A" w:rsidP="00BF2F03">
      <w:pPr>
        <w:pStyle w:val="SingleTxtG"/>
        <w:jc w:val="left"/>
        <w:rPr>
          <w:lang w:val="fr-MC"/>
        </w:rPr>
      </w:pPr>
      <w:r>
        <w:rPr>
          <w:lang w:val="fr-MC"/>
        </w:rPr>
        <w:t>CDH</w:t>
      </w:r>
      <w:r>
        <w:rPr>
          <w:lang w:val="fr-MC"/>
        </w:rPr>
        <w:tab/>
      </w:r>
      <w:r w:rsidRPr="0016597A">
        <w:rPr>
          <w:lang w:val="fr-MC"/>
        </w:rPr>
        <w:tab/>
      </w:r>
      <w:r>
        <w:rPr>
          <w:lang w:val="fr-MC"/>
        </w:rPr>
        <w:tab/>
      </w:r>
      <w:r w:rsidRPr="0016597A">
        <w:rPr>
          <w:lang w:val="fr-MC"/>
        </w:rPr>
        <w:t xml:space="preserve">Conseil des Droits de l’Homme </w:t>
      </w:r>
    </w:p>
    <w:p w14:paraId="11F37743" w14:textId="77777777" w:rsidR="0016597A" w:rsidRPr="0016597A" w:rsidRDefault="0016597A" w:rsidP="00BF2F03">
      <w:pPr>
        <w:pStyle w:val="SingleTxtG"/>
        <w:jc w:val="left"/>
        <w:rPr>
          <w:lang w:val="fr-MC"/>
        </w:rPr>
      </w:pPr>
      <w:r w:rsidRPr="0016597A">
        <w:rPr>
          <w:lang w:val="fr-MC"/>
        </w:rPr>
        <w:t>CDE</w:t>
      </w:r>
      <w:r w:rsidRPr="0016597A">
        <w:rPr>
          <w:lang w:val="fr-MC"/>
        </w:rPr>
        <w:tab/>
      </w:r>
      <w:r w:rsidRPr="0016597A">
        <w:rPr>
          <w:lang w:val="fr-MC"/>
        </w:rPr>
        <w:tab/>
      </w:r>
      <w:r>
        <w:rPr>
          <w:lang w:val="fr-MC"/>
        </w:rPr>
        <w:tab/>
      </w:r>
      <w:r w:rsidRPr="0016597A">
        <w:rPr>
          <w:lang w:val="fr-MC"/>
        </w:rPr>
        <w:t>Convention relative aux Droits de l’Enfant</w:t>
      </w:r>
    </w:p>
    <w:p w14:paraId="4432F0B9" w14:textId="77777777" w:rsidR="0016597A" w:rsidRPr="0016597A" w:rsidRDefault="0016597A" w:rsidP="00BF2F03">
      <w:pPr>
        <w:pStyle w:val="SingleTxtG"/>
        <w:jc w:val="left"/>
        <w:rPr>
          <w:lang w:val="fr-MC"/>
        </w:rPr>
      </w:pPr>
      <w:r>
        <w:rPr>
          <w:lang w:val="fr-MC"/>
        </w:rPr>
        <w:t>CNIDH</w:t>
      </w:r>
      <w:r w:rsidRPr="0016597A">
        <w:rPr>
          <w:lang w:val="fr-MC"/>
        </w:rPr>
        <w:tab/>
      </w:r>
      <w:r>
        <w:rPr>
          <w:lang w:val="fr-MC"/>
        </w:rPr>
        <w:tab/>
      </w:r>
      <w:r w:rsidRPr="0016597A">
        <w:rPr>
          <w:lang w:val="fr-MC"/>
        </w:rPr>
        <w:t>Commission Nationale Indépendante des Droits de l’Homme</w:t>
      </w:r>
    </w:p>
    <w:p w14:paraId="7149C990" w14:textId="0FBAFBA1" w:rsidR="0016597A" w:rsidRPr="0016597A" w:rsidRDefault="0016597A" w:rsidP="00BF2F03">
      <w:pPr>
        <w:pStyle w:val="SingleTxtG"/>
        <w:ind w:left="2835" w:hanging="1701"/>
        <w:jc w:val="left"/>
        <w:rPr>
          <w:lang w:val="fr-MC"/>
        </w:rPr>
      </w:pPr>
      <w:r>
        <w:rPr>
          <w:lang w:val="fr-MC"/>
        </w:rPr>
        <w:t>CNDD-FDD</w:t>
      </w:r>
      <w:r>
        <w:rPr>
          <w:lang w:val="fr-MC"/>
        </w:rPr>
        <w:tab/>
      </w:r>
      <w:r>
        <w:rPr>
          <w:lang w:val="fr-MC"/>
        </w:rPr>
        <w:tab/>
      </w:r>
      <w:r w:rsidRPr="0016597A">
        <w:rPr>
          <w:lang w:val="fr-MC"/>
        </w:rPr>
        <w:t xml:space="preserve">Conseil National de Défense de la Démocratie- Force de Défense </w:t>
      </w:r>
      <w:r w:rsidR="004A2A61">
        <w:rPr>
          <w:lang w:val="fr-MC"/>
        </w:rPr>
        <w:br/>
      </w:r>
      <w:r w:rsidRPr="0016597A">
        <w:rPr>
          <w:lang w:val="fr-MC"/>
        </w:rPr>
        <w:t>de la</w:t>
      </w:r>
      <w:r>
        <w:rPr>
          <w:lang w:val="fr-MC"/>
        </w:rPr>
        <w:t xml:space="preserve"> </w:t>
      </w:r>
      <w:r w:rsidRPr="0016597A">
        <w:rPr>
          <w:lang w:val="fr-MC"/>
        </w:rPr>
        <w:t>Démocratie</w:t>
      </w:r>
      <w:r>
        <w:rPr>
          <w:lang w:val="fr-MC"/>
        </w:rPr>
        <w:t xml:space="preserve"> </w:t>
      </w:r>
    </w:p>
    <w:p w14:paraId="36C689C8" w14:textId="77777777" w:rsidR="0016597A" w:rsidRPr="0016597A" w:rsidRDefault="0016597A" w:rsidP="00BF2F03">
      <w:pPr>
        <w:pStyle w:val="SingleTxtG"/>
        <w:jc w:val="left"/>
        <w:rPr>
          <w:lang w:val="fr-MC"/>
        </w:rPr>
      </w:pPr>
      <w:r>
        <w:rPr>
          <w:lang w:val="fr-MC"/>
        </w:rPr>
        <w:t>CPGL</w:t>
      </w:r>
      <w:r>
        <w:rPr>
          <w:lang w:val="fr-MC"/>
        </w:rPr>
        <w:tab/>
      </w:r>
      <w:r>
        <w:rPr>
          <w:lang w:val="fr-MC"/>
        </w:rPr>
        <w:tab/>
      </w:r>
      <w:r>
        <w:rPr>
          <w:lang w:val="fr-MC"/>
        </w:rPr>
        <w:tab/>
      </w:r>
      <w:r w:rsidRPr="0016597A">
        <w:rPr>
          <w:lang w:val="fr-MC"/>
        </w:rPr>
        <w:t xml:space="preserve">Communauté des Pays des Grands Lacs </w:t>
      </w:r>
    </w:p>
    <w:p w14:paraId="79A089DB" w14:textId="77777777" w:rsidR="0016597A" w:rsidRPr="0016597A" w:rsidRDefault="0016597A" w:rsidP="00BF2F03">
      <w:pPr>
        <w:pStyle w:val="SingleTxtG"/>
        <w:jc w:val="left"/>
        <w:rPr>
          <w:lang w:val="fr-MC"/>
        </w:rPr>
      </w:pPr>
      <w:r>
        <w:rPr>
          <w:lang w:val="fr-MC"/>
        </w:rPr>
        <w:t>CPP</w:t>
      </w:r>
      <w:r w:rsidRPr="0016597A">
        <w:rPr>
          <w:lang w:val="fr-MC"/>
        </w:rPr>
        <w:tab/>
      </w:r>
      <w:r w:rsidRPr="0016597A">
        <w:rPr>
          <w:lang w:val="fr-MC"/>
        </w:rPr>
        <w:tab/>
      </w:r>
      <w:r>
        <w:rPr>
          <w:lang w:val="fr-MC"/>
        </w:rPr>
        <w:tab/>
      </w:r>
      <w:r w:rsidRPr="0016597A">
        <w:rPr>
          <w:lang w:val="fr-MC"/>
        </w:rPr>
        <w:t>Code de Procédure Pénale</w:t>
      </w:r>
    </w:p>
    <w:p w14:paraId="1ED58C59" w14:textId="13540EE1" w:rsidR="0016597A" w:rsidRPr="0016597A" w:rsidRDefault="0016597A" w:rsidP="00BF2F03">
      <w:pPr>
        <w:pStyle w:val="SingleTxtG"/>
        <w:ind w:left="2835" w:hanging="1701"/>
        <w:jc w:val="left"/>
        <w:rPr>
          <w:lang w:val="fr-MC"/>
        </w:rPr>
      </w:pPr>
      <w:r>
        <w:rPr>
          <w:lang w:val="fr-MC"/>
        </w:rPr>
        <w:t>CPDHPG</w:t>
      </w:r>
      <w:r w:rsidRPr="0016597A">
        <w:rPr>
          <w:lang w:val="fr-MC"/>
        </w:rPr>
        <w:tab/>
      </w:r>
      <w:r>
        <w:rPr>
          <w:lang w:val="fr-MC"/>
        </w:rPr>
        <w:tab/>
      </w:r>
      <w:r w:rsidRPr="0016597A">
        <w:rPr>
          <w:lang w:val="fr-MC"/>
        </w:rPr>
        <w:t xml:space="preserve">Centre de Promotion des Droits de l’Homme </w:t>
      </w:r>
      <w:r w:rsidR="004A2A61">
        <w:rPr>
          <w:lang w:val="fr-MC"/>
        </w:rPr>
        <w:br/>
      </w:r>
      <w:r w:rsidRPr="0016597A">
        <w:rPr>
          <w:lang w:val="fr-MC"/>
        </w:rPr>
        <w:t xml:space="preserve">et de Prévention du Génocide </w:t>
      </w:r>
    </w:p>
    <w:p w14:paraId="0175FA7E" w14:textId="77777777" w:rsidR="0016597A" w:rsidRPr="0016597A" w:rsidRDefault="0016597A" w:rsidP="00BF2F03">
      <w:pPr>
        <w:pStyle w:val="SingleTxtG"/>
        <w:jc w:val="left"/>
        <w:rPr>
          <w:lang w:val="fr-MC"/>
        </w:rPr>
      </w:pPr>
      <w:r>
        <w:rPr>
          <w:lang w:val="fr-MC"/>
        </w:rPr>
        <w:t>CVR</w:t>
      </w:r>
      <w:r w:rsidRPr="0016597A">
        <w:rPr>
          <w:lang w:val="fr-MC"/>
        </w:rPr>
        <w:tab/>
      </w:r>
      <w:r w:rsidRPr="0016597A">
        <w:rPr>
          <w:lang w:val="fr-MC"/>
        </w:rPr>
        <w:tab/>
      </w:r>
      <w:r>
        <w:rPr>
          <w:lang w:val="fr-MC"/>
        </w:rPr>
        <w:tab/>
      </w:r>
      <w:r w:rsidRPr="0016597A">
        <w:rPr>
          <w:lang w:val="fr-MC"/>
        </w:rPr>
        <w:t>Commission Vérité et Réconciliation</w:t>
      </w:r>
    </w:p>
    <w:p w14:paraId="2617642E" w14:textId="1ACB9AD8" w:rsidR="0016597A" w:rsidRPr="0016597A" w:rsidRDefault="0016597A" w:rsidP="00BF2F03">
      <w:pPr>
        <w:pStyle w:val="SingleTxtG"/>
        <w:ind w:left="2835" w:hanging="1701"/>
        <w:jc w:val="left"/>
        <w:rPr>
          <w:lang w:val="fr-MC"/>
        </w:rPr>
      </w:pPr>
      <w:r>
        <w:rPr>
          <w:lang w:val="fr-MC"/>
        </w:rPr>
        <w:t>FENADEB</w:t>
      </w:r>
      <w:r>
        <w:rPr>
          <w:lang w:val="fr-MC"/>
        </w:rPr>
        <w:tab/>
      </w:r>
      <w:r>
        <w:rPr>
          <w:lang w:val="fr-MC"/>
        </w:rPr>
        <w:tab/>
      </w:r>
      <w:r w:rsidRPr="0016597A">
        <w:rPr>
          <w:lang w:val="fr-MC"/>
        </w:rPr>
        <w:t xml:space="preserve">Fédération Nationale des Associations Engagées </w:t>
      </w:r>
      <w:r w:rsidR="004A2A61">
        <w:rPr>
          <w:lang w:val="fr-MC"/>
        </w:rPr>
        <w:br/>
      </w:r>
      <w:r w:rsidRPr="0016597A">
        <w:rPr>
          <w:lang w:val="fr-MC"/>
        </w:rPr>
        <w:t>dans le Domaine de L’Enfance au Burundi</w:t>
      </w:r>
    </w:p>
    <w:p w14:paraId="6A6AF939" w14:textId="77777777" w:rsidR="0016597A" w:rsidRPr="0016597A" w:rsidRDefault="0016597A" w:rsidP="00BF2F03">
      <w:pPr>
        <w:pStyle w:val="SingleTxtG"/>
        <w:jc w:val="left"/>
        <w:rPr>
          <w:lang w:val="fr-MC"/>
        </w:rPr>
      </w:pPr>
      <w:r>
        <w:rPr>
          <w:lang w:val="fr-MC"/>
        </w:rPr>
        <w:t>FDN</w:t>
      </w:r>
      <w:r w:rsidRPr="0016597A">
        <w:rPr>
          <w:lang w:val="fr-MC"/>
        </w:rPr>
        <w:t xml:space="preserve"> </w:t>
      </w:r>
      <w:r w:rsidRPr="0016597A">
        <w:rPr>
          <w:lang w:val="fr-MC"/>
        </w:rPr>
        <w:tab/>
      </w:r>
      <w:r w:rsidRPr="0016597A">
        <w:rPr>
          <w:lang w:val="fr-MC"/>
        </w:rPr>
        <w:tab/>
      </w:r>
      <w:r>
        <w:rPr>
          <w:lang w:val="fr-MC"/>
        </w:rPr>
        <w:tab/>
      </w:r>
      <w:r w:rsidRPr="0016597A">
        <w:rPr>
          <w:lang w:val="fr-MC"/>
        </w:rPr>
        <w:t xml:space="preserve">Force de Défense Nationale </w:t>
      </w:r>
    </w:p>
    <w:p w14:paraId="24E7F41C" w14:textId="77777777" w:rsidR="0016597A" w:rsidRPr="0016597A" w:rsidRDefault="0016597A" w:rsidP="00BF2F03">
      <w:pPr>
        <w:pStyle w:val="SingleTxtG"/>
        <w:jc w:val="left"/>
        <w:rPr>
          <w:lang w:val="fr-MC"/>
        </w:rPr>
      </w:pPr>
      <w:r>
        <w:rPr>
          <w:lang w:val="fr-MC"/>
        </w:rPr>
        <w:t>GAV</w:t>
      </w:r>
      <w:r>
        <w:rPr>
          <w:lang w:val="fr-MC"/>
        </w:rPr>
        <w:tab/>
      </w:r>
      <w:r w:rsidRPr="0016597A">
        <w:rPr>
          <w:lang w:val="fr-MC"/>
        </w:rPr>
        <w:tab/>
      </w:r>
      <w:r>
        <w:rPr>
          <w:lang w:val="fr-MC"/>
        </w:rPr>
        <w:tab/>
      </w:r>
      <w:r w:rsidRPr="0016597A">
        <w:rPr>
          <w:lang w:val="fr-MC"/>
        </w:rPr>
        <w:t xml:space="preserve">Garde à Vue </w:t>
      </w:r>
    </w:p>
    <w:p w14:paraId="718CA3A5" w14:textId="77777777" w:rsidR="0016597A" w:rsidRPr="0016597A" w:rsidRDefault="0016597A" w:rsidP="00BF2F03">
      <w:pPr>
        <w:pStyle w:val="SingleTxtG"/>
        <w:jc w:val="left"/>
        <w:rPr>
          <w:lang w:val="fr-MC"/>
        </w:rPr>
      </w:pPr>
      <w:r>
        <w:rPr>
          <w:lang w:val="fr-MC"/>
        </w:rPr>
        <w:t>ISTEEBU</w:t>
      </w:r>
      <w:r w:rsidRPr="0016597A">
        <w:rPr>
          <w:lang w:val="fr-MC"/>
        </w:rPr>
        <w:tab/>
      </w:r>
      <w:r>
        <w:rPr>
          <w:lang w:val="fr-MC"/>
        </w:rPr>
        <w:tab/>
      </w:r>
      <w:r w:rsidRPr="0016597A">
        <w:rPr>
          <w:lang w:val="fr-MC"/>
        </w:rPr>
        <w:t>Institut des Statistiques et d’Etudes Economiques du Burundi</w:t>
      </w:r>
    </w:p>
    <w:p w14:paraId="3B6EEA1A" w14:textId="77777777" w:rsidR="0016597A" w:rsidRPr="0016597A" w:rsidRDefault="0016597A" w:rsidP="00BF2F03">
      <w:pPr>
        <w:pStyle w:val="SingleTxtG"/>
        <w:jc w:val="left"/>
        <w:rPr>
          <w:lang w:val="fr-MC"/>
        </w:rPr>
      </w:pPr>
      <w:r>
        <w:rPr>
          <w:lang w:val="fr-MC"/>
        </w:rPr>
        <w:t>ONG</w:t>
      </w:r>
      <w:r w:rsidRPr="0016597A">
        <w:rPr>
          <w:lang w:val="fr-MC"/>
        </w:rPr>
        <w:tab/>
      </w:r>
      <w:r w:rsidRPr="0016597A">
        <w:rPr>
          <w:lang w:val="fr-MC"/>
        </w:rPr>
        <w:tab/>
      </w:r>
      <w:r>
        <w:rPr>
          <w:lang w:val="fr-MC"/>
        </w:rPr>
        <w:tab/>
      </w:r>
      <w:r w:rsidRPr="0016597A">
        <w:rPr>
          <w:lang w:val="fr-MC"/>
        </w:rPr>
        <w:t xml:space="preserve">Organisations Non Gouvernementales </w:t>
      </w:r>
    </w:p>
    <w:p w14:paraId="2917B659" w14:textId="77777777" w:rsidR="0016597A" w:rsidRPr="0016597A" w:rsidRDefault="0016597A" w:rsidP="00BF2F03">
      <w:pPr>
        <w:pStyle w:val="SingleTxtG"/>
        <w:jc w:val="left"/>
        <w:rPr>
          <w:lang w:val="fr-MC"/>
        </w:rPr>
      </w:pPr>
      <w:r>
        <w:rPr>
          <w:lang w:val="fr-MC"/>
        </w:rPr>
        <w:t>OMP</w:t>
      </w:r>
      <w:r>
        <w:rPr>
          <w:lang w:val="fr-MC"/>
        </w:rPr>
        <w:tab/>
      </w:r>
      <w:r w:rsidRPr="0016597A">
        <w:rPr>
          <w:lang w:val="fr-MC"/>
        </w:rPr>
        <w:tab/>
      </w:r>
      <w:r>
        <w:rPr>
          <w:lang w:val="fr-MC"/>
        </w:rPr>
        <w:tab/>
      </w:r>
      <w:r w:rsidRPr="0016597A">
        <w:rPr>
          <w:lang w:val="fr-MC"/>
        </w:rPr>
        <w:t xml:space="preserve">Officier du Ministère Public </w:t>
      </w:r>
    </w:p>
    <w:p w14:paraId="0DBB3214" w14:textId="77777777" w:rsidR="0016597A" w:rsidRPr="0016597A" w:rsidRDefault="0016597A" w:rsidP="00BF2F03">
      <w:pPr>
        <w:pStyle w:val="SingleTxtG"/>
        <w:jc w:val="left"/>
        <w:rPr>
          <w:lang w:val="fr-MC"/>
        </w:rPr>
      </w:pPr>
      <w:r>
        <w:rPr>
          <w:lang w:val="fr-MC"/>
        </w:rPr>
        <w:t>OPJ</w:t>
      </w:r>
      <w:r w:rsidRPr="0016597A">
        <w:rPr>
          <w:lang w:val="fr-MC"/>
        </w:rPr>
        <w:t xml:space="preserve"> </w:t>
      </w:r>
      <w:r w:rsidRPr="0016597A">
        <w:rPr>
          <w:lang w:val="fr-MC"/>
        </w:rPr>
        <w:tab/>
      </w:r>
      <w:r w:rsidRPr="0016597A">
        <w:rPr>
          <w:lang w:val="fr-MC"/>
        </w:rPr>
        <w:tab/>
      </w:r>
      <w:r>
        <w:rPr>
          <w:lang w:val="fr-MC"/>
        </w:rPr>
        <w:tab/>
      </w:r>
      <w:r w:rsidRPr="0016597A">
        <w:rPr>
          <w:lang w:val="fr-MC"/>
        </w:rPr>
        <w:t>Officier de Police Judiciaire</w:t>
      </w:r>
    </w:p>
    <w:p w14:paraId="617CD027" w14:textId="1000006D" w:rsidR="0016597A" w:rsidRPr="0016597A" w:rsidRDefault="0016597A" w:rsidP="00BF2F03">
      <w:pPr>
        <w:pStyle w:val="SingleTxtG"/>
        <w:ind w:left="2835" w:hanging="1701"/>
        <w:jc w:val="left"/>
        <w:rPr>
          <w:lang w:val="fr-MC"/>
        </w:rPr>
      </w:pPr>
      <w:r>
        <w:rPr>
          <w:lang w:val="fr-MC"/>
        </w:rPr>
        <w:t>MDPHASG</w:t>
      </w:r>
      <w:r>
        <w:rPr>
          <w:lang w:val="fr-MC"/>
        </w:rPr>
        <w:tab/>
      </w:r>
      <w:r>
        <w:rPr>
          <w:lang w:val="fr-MC"/>
        </w:rPr>
        <w:tab/>
      </w:r>
      <w:r w:rsidRPr="0016597A">
        <w:rPr>
          <w:lang w:val="fr-MC"/>
        </w:rPr>
        <w:t xml:space="preserve">Ministère des Droits de la Personne Humaines, </w:t>
      </w:r>
      <w:r w:rsidR="004A2A61">
        <w:rPr>
          <w:lang w:val="fr-MC"/>
        </w:rPr>
        <w:br/>
      </w:r>
      <w:r w:rsidRPr="0016597A">
        <w:rPr>
          <w:lang w:val="fr-MC"/>
        </w:rPr>
        <w:t xml:space="preserve">des Affaires Sociales et du Genre </w:t>
      </w:r>
    </w:p>
    <w:p w14:paraId="0C4A4C6D" w14:textId="77777777" w:rsidR="0016597A" w:rsidRPr="0016597A" w:rsidRDefault="0016597A" w:rsidP="00BF2F03">
      <w:pPr>
        <w:pStyle w:val="SingleTxtG"/>
        <w:jc w:val="left"/>
        <w:rPr>
          <w:lang w:val="fr-MC"/>
        </w:rPr>
      </w:pPr>
      <w:r>
        <w:rPr>
          <w:lang w:val="fr-MC"/>
        </w:rPr>
        <w:t>PNDH</w:t>
      </w:r>
      <w:r>
        <w:rPr>
          <w:lang w:val="fr-MC"/>
        </w:rPr>
        <w:tab/>
      </w:r>
      <w:r>
        <w:rPr>
          <w:lang w:val="fr-MC"/>
        </w:rPr>
        <w:tab/>
      </w:r>
      <w:r>
        <w:rPr>
          <w:lang w:val="fr-MC"/>
        </w:rPr>
        <w:tab/>
      </w:r>
      <w:r w:rsidRPr="0016597A">
        <w:rPr>
          <w:lang w:val="fr-MC"/>
        </w:rPr>
        <w:t xml:space="preserve">Politique Nationale des Droits de l’Homme </w:t>
      </w:r>
    </w:p>
    <w:p w14:paraId="1962A66D" w14:textId="77777777" w:rsidR="0016597A" w:rsidRPr="0016597A" w:rsidRDefault="0016597A" w:rsidP="00BF2F03">
      <w:pPr>
        <w:pStyle w:val="SingleTxtG"/>
        <w:jc w:val="left"/>
        <w:rPr>
          <w:lang w:val="fr-MC"/>
        </w:rPr>
      </w:pPr>
      <w:r>
        <w:rPr>
          <w:lang w:val="fr-MC"/>
        </w:rPr>
        <w:t>PNB</w:t>
      </w:r>
      <w:r>
        <w:rPr>
          <w:lang w:val="fr-MC"/>
        </w:rPr>
        <w:tab/>
      </w:r>
      <w:r w:rsidRPr="0016597A">
        <w:rPr>
          <w:lang w:val="fr-MC"/>
        </w:rPr>
        <w:tab/>
      </w:r>
      <w:r>
        <w:rPr>
          <w:lang w:val="fr-MC"/>
        </w:rPr>
        <w:tab/>
      </w:r>
      <w:r w:rsidRPr="0016597A">
        <w:rPr>
          <w:lang w:val="fr-MC"/>
        </w:rPr>
        <w:t>Police Nationale du Burundi</w:t>
      </w:r>
    </w:p>
    <w:p w14:paraId="7897593E" w14:textId="77777777" w:rsidR="0016597A" w:rsidRPr="0016597A" w:rsidRDefault="0016597A" w:rsidP="00BF2F03">
      <w:pPr>
        <w:pStyle w:val="SingleTxtG"/>
        <w:jc w:val="left"/>
        <w:rPr>
          <w:lang w:val="fr-MC"/>
        </w:rPr>
      </w:pPr>
      <w:r>
        <w:rPr>
          <w:lang w:val="fr-MC"/>
        </w:rPr>
        <w:t>PV</w:t>
      </w:r>
      <w:r w:rsidRPr="0016597A">
        <w:rPr>
          <w:lang w:val="fr-MC"/>
        </w:rPr>
        <w:tab/>
      </w:r>
      <w:r w:rsidRPr="0016597A">
        <w:rPr>
          <w:lang w:val="fr-MC"/>
        </w:rPr>
        <w:tab/>
      </w:r>
      <w:r>
        <w:rPr>
          <w:lang w:val="fr-MC"/>
        </w:rPr>
        <w:tab/>
      </w:r>
      <w:r w:rsidRPr="0016597A">
        <w:rPr>
          <w:lang w:val="fr-MC"/>
        </w:rPr>
        <w:t xml:space="preserve">Procès-Verbal </w:t>
      </w:r>
    </w:p>
    <w:p w14:paraId="6147A1D2" w14:textId="77777777" w:rsidR="0016597A" w:rsidRPr="0016597A" w:rsidRDefault="0016597A" w:rsidP="00BF2F03">
      <w:pPr>
        <w:pStyle w:val="SingleTxtG"/>
        <w:jc w:val="left"/>
        <w:rPr>
          <w:lang w:val="fr-MC"/>
        </w:rPr>
      </w:pPr>
      <w:r>
        <w:rPr>
          <w:lang w:val="fr-MC"/>
        </w:rPr>
        <w:t>SNR</w:t>
      </w:r>
      <w:r w:rsidRPr="0016597A">
        <w:rPr>
          <w:lang w:val="fr-MC"/>
        </w:rPr>
        <w:t xml:space="preserve"> </w:t>
      </w:r>
      <w:r w:rsidRPr="0016597A">
        <w:rPr>
          <w:lang w:val="fr-MC"/>
        </w:rPr>
        <w:tab/>
      </w:r>
      <w:r w:rsidRPr="0016597A">
        <w:rPr>
          <w:lang w:val="fr-MC"/>
        </w:rPr>
        <w:tab/>
      </w:r>
      <w:r>
        <w:rPr>
          <w:lang w:val="fr-MC"/>
        </w:rPr>
        <w:tab/>
      </w:r>
      <w:r w:rsidRPr="0016597A">
        <w:rPr>
          <w:lang w:val="fr-MC"/>
        </w:rPr>
        <w:t>Service National de Renseignement</w:t>
      </w:r>
    </w:p>
    <w:p w14:paraId="1417F0B3" w14:textId="77777777" w:rsidR="00EB19F1" w:rsidRDefault="0016597A" w:rsidP="00BF2F03">
      <w:pPr>
        <w:pStyle w:val="SingleTxtG"/>
        <w:jc w:val="left"/>
        <w:rPr>
          <w:lang w:val="fr-MC"/>
        </w:rPr>
      </w:pPr>
      <w:r>
        <w:rPr>
          <w:lang w:val="fr-MC"/>
        </w:rPr>
        <w:t>MUL</w:t>
      </w:r>
      <w:r>
        <w:rPr>
          <w:lang w:val="fr-MC"/>
        </w:rPr>
        <w:tab/>
        <w:t xml:space="preserve"> </w:t>
      </w:r>
      <w:r w:rsidRPr="0016597A">
        <w:rPr>
          <w:lang w:val="fr-MC"/>
        </w:rPr>
        <w:tab/>
      </w:r>
      <w:r>
        <w:rPr>
          <w:lang w:val="fr-MC"/>
        </w:rPr>
        <w:tab/>
      </w:r>
      <w:r w:rsidRPr="0016597A">
        <w:rPr>
          <w:lang w:val="fr-MC"/>
        </w:rPr>
        <w:t>Ménage en Union Libre</w:t>
      </w:r>
    </w:p>
    <w:p w14:paraId="7579BCB8" w14:textId="77777777" w:rsidR="00EB19F1" w:rsidRDefault="00EB19F1">
      <w:pPr>
        <w:suppressAutoHyphens w:val="0"/>
        <w:kinsoku/>
        <w:overflowPunct/>
        <w:autoSpaceDE/>
        <w:autoSpaceDN/>
        <w:adjustRightInd/>
        <w:snapToGrid/>
        <w:spacing w:after="200" w:line="276" w:lineRule="auto"/>
        <w:rPr>
          <w:lang w:val="fr-MC"/>
        </w:rPr>
      </w:pPr>
      <w:r>
        <w:rPr>
          <w:lang w:val="fr-MC"/>
        </w:rPr>
        <w:br w:type="page"/>
      </w:r>
    </w:p>
    <w:p w14:paraId="5A49D9CD" w14:textId="77777777" w:rsidR="0016597A" w:rsidRPr="00A6762E" w:rsidRDefault="00C65C2A" w:rsidP="00BC23B3">
      <w:pPr>
        <w:pStyle w:val="HChG"/>
        <w:rPr>
          <w:lang w:val="fr-MC"/>
        </w:rPr>
      </w:pPr>
      <w:bookmarkStart w:id="1" w:name="_Toc529970187"/>
      <w:r w:rsidRPr="00C65C2A">
        <w:rPr>
          <w:lang w:val="fr-MC"/>
        </w:rPr>
        <w:lastRenderedPageBreak/>
        <w:tab/>
      </w:r>
      <w:r w:rsidR="00BC23B3">
        <w:rPr>
          <w:lang w:val="fr-MC"/>
        </w:rPr>
        <w:tab/>
      </w:r>
      <w:r w:rsidR="0016597A" w:rsidRPr="00A6762E">
        <w:rPr>
          <w:lang w:val="fr-MC"/>
        </w:rPr>
        <w:t>Introduction</w:t>
      </w:r>
      <w:bookmarkEnd w:id="1"/>
    </w:p>
    <w:p w14:paraId="5E356A28" w14:textId="73E4B866" w:rsidR="0016597A" w:rsidRPr="0016597A" w:rsidRDefault="00BF2F03" w:rsidP="00BF2F03">
      <w:pPr>
        <w:pStyle w:val="SingleTxtG"/>
        <w:rPr>
          <w:lang w:val="fr-MC"/>
        </w:rPr>
      </w:pPr>
      <w:r w:rsidRPr="0016597A">
        <w:rPr>
          <w:lang w:val="fr-MC"/>
        </w:rPr>
        <w:t>1.</w:t>
      </w:r>
      <w:r w:rsidRPr="0016597A">
        <w:rPr>
          <w:lang w:val="fr-MC"/>
        </w:rPr>
        <w:tab/>
      </w:r>
      <w:r w:rsidR="0016597A" w:rsidRPr="0016597A">
        <w:rPr>
          <w:lang w:val="fr-MC"/>
        </w:rPr>
        <w:t>Le Burundi a ratifié la Convention contre la torture le 31 décembre 1992. En réponse à l’article 19 de la Convention, le Pays a soumis le rapport initial en 2006 et le rapport périodique en 2013.</w:t>
      </w:r>
      <w:r w:rsidR="0016597A">
        <w:rPr>
          <w:lang w:val="fr-MC"/>
        </w:rPr>
        <w:t xml:space="preserve"> </w:t>
      </w:r>
      <w:r w:rsidR="0016597A" w:rsidRPr="0016597A">
        <w:rPr>
          <w:lang w:val="fr-MC"/>
        </w:rPr>
        <w:t>Le présent rapport en est donc le troisième.</w:t>
      </w:r>
    </w:p>
    <w:p w14:paraId="423674D2" w14:textId="04A7D51E" w:rsidR="0016597A" w:rsidRPr="0016597A" w:rsidRDefault="00BF2F03" w:rsidP="00BF2F03">
      <w:pPr>
        <w:pStyle w:val="SingleTxtG"/>
        <w:rPr>
          <w:lang w:val="fr-MC"/>
        </w:rPr>
      </w:pPr>
      <w:r w:rsidRPr="0016597A">
        <w:rPr>
          <w:lang w:val="fr-MC"/>
        </w:rPr>
        <w:t>2.</w:t>
      </w:r>
      <w:r w:rsidRPr="0016597A">
        <w:rPr>
          <w:lang w:val="fr-MC"/>
        </w:rPr>
        <w:tab/>
      </w:r>
      <w:r w:rsidR="0016597A" w:rsidRPr="0016597A">
        <w:rPr>
          <w:lang w:val="fr-MC"/>
        </w:rPr>
        <w:t>Il est le résultat d’un travail ardu de recherche des membres du Comité Permanent chargé de la rédaction des rapports initiaux et périodiques nommés par l’Ordonnance du Ministre en charge des droits humains, n</w:t>
      </w:r>
      <w:r w:rsidR="00B96926" w:rsidRPr="00BF2F03">
        <w:rPr>
          <w:vertAlign w:val="superscript"/>
          <w:lang w:val="fr-MC"/>
        </w:rPr>
        <w:t>o</w:t>
      </w:r>
      <w:r w:rsidR="00B96926">
        <w:rPr>
          <w:lang w:val="fr-MC"/>
        </w:rPr>
        <w:t> </w:t>
      </w:r>
      <w:r w:rsidR="0016597A" w:rsidRPr="0016597A">
        <w:rPr>
          <w:lang w:val="fr-MC"/>
        </w:rPr>
        <w:t xml:space="preserve">225/177 du 3 février 2016. Il est en outre, une preuve de la volonté du Gouvernement de mettre en œuvre des engagements auxquels il a souscrit, conformément aux recommandations issues de la présentation du </w:t>
      </w:r>
      <w:r w:rsidR="008021D3">
        <w:rPr>
          <w:lang w:val="fr-MC"/>
        </w:rPr>
        <w:t>premier</w:t>
      </w:r>
      <w:r w:rsidR="0016597A" w:rsidRPr="0016597A">
        <w:rPr>
          <w:lang w:val="fr-MC"/>
        </w:rPr>
        <w:t xml:space="preserve"> rapport périodique.</w:t>
      </w:r>
    </w:p>
    <w:p w14:paraId="3E2C7288" w14:textId="445019FD" w:rsidR="0016597A" w:rsidRPr="0016597A" w:rsidRDefault="00BF2F03" w:rsidP="00BF2F03">
      <w:pPr>
        <w:pStyle w:val="SingleTxtG"/>
        <w:rPr>
          <w:lang w:val="fr-MC"/>
        </w:rPr>
      </w:pPr>
      <w:r w:rsidRPr="0016597A">
        <w:rPr>
          <w:lang w:val="fr-MC"/>
        </w:rPr>
        <w:t>3.</w:t>
      </w:r>
      <w:r w:rsidRPr="0016597A">
        <w:rPr>
          <w:lang w:val="fr-MC"/>
        </w:rPr>
        <w:tab/>
      </w:r>
      <w:r w:rsidR="0016597A" w:rsidRPr="0016597A">
        <w:rPr>
          <w:lang w:val="fr-MC"/>
        </w:rPr>
        <w:t>Dans l’élaboration du rapport, le Burundi continue à capitaliser les acquis en matière de rédaction des rapports. Le Comité Permanent chargé de la rédaction des rapports initiaux et périodiques a procédé à la récolte des données, à la rédaction et a respecté le processus de validation de ce rapport en impliquant toutes les parties prenantes à la prévention et la répression des actes de torture.</w:t>
      </w:r>
    </w:p>
    <w:p w14:paraId="4A32A7DE" w14:textId="77777777" w:rsidR="0016597A" w:rsidRPr="0016597A" w:rsidRDefault="00C65C2A" w:rsidP="00BC23B3">
      <w:pPr>
        <w:pStyle w:val="HChG"/>
        <w:rPr>
          <w:lang w:val="fr-MC"/>
        </w:rPr>
      </w:pPr>
      <w:bookmarkStart w:id="2" w:name="_Toc529970188"/>
      <w:r>
        <w:tab/>
        <w:t>I.</w:t>
      </w:r>
      <w:r>
        <w:tab/>
      </w:r>
      <w:r w:rsidR="0016597A" w:rsidRPr="00C65C2A">
        <w:t>Renseignements</w:t>
      </w:r>
      <w:r w:rsidR="0016597A" w:rsidRPr="0016597A">
        <w:rPr>
          <w:lang w:val="fr-MC"/>
        </w:rPr>
        <w:t xml:space="preserve"> généraux</w:t>
      </w:r>
      <w:bookmarkEnd w:id="2"/>
    </w:p>
    <w:p w14:paraId="145ECF09" w14:textId="77777777" w:rsidR="0016597A" w:rsidRPr="0016597A" w:rsidRDefault="00C65C2A" w:rsidP="00BC23B3">
      <w:pPr>
        <w:pStyle w:val="H1G"/>
        <w:rPr>
          <w:lang w:val="fr-MC"/>
        </w:rPr>
      </w:pPr>
      <w:bookmarkStart w:id="3" w:name="_Toc529970189"/>
      <w:r>
        <w:rPr>
          <w:lang w:val="fr-MC"/>
        </w:rPr>
        <w:tab/>
        <w:t>A.</w:t>
      </w:r>
      <w:r>
        <w:rPr>
          <w:lang w:val="fr-MC"/>
        </w:rPr>
        <w:tab/>
      </w:r>
      <w:r w:rsidR="0016597A" w:rsidRPr="0016597A">
        <w:rPr>
          <w:lang w:val="fr-MC"/>
        </w:rPr>
        <w:t>Présentation du Burundi</w:t>
      </w:r>
      <w:bookmarkEnd w:id="3"/>
    </w:p>
    <w:p w14:paraId="14394884" w14:textId="2B284E49" w:rsidR="0016597A" w:rsidRPr="0016597A" w:rsidRDefault="00BF2F03" w:rsidP="00BF2F03">
      <w:pPr>
        <w:pStyle w:val="SingleTxtG"/>
        <w:rPr>
          <w:lang w:val="fr-MC"/>
        </w:rPr>
      </w:pPr>
      <w:r w:rsidRPr="0016597A">
        <w:rPr>
          <w:lang w:val="fr-MC"/>
        </w:rPr>
        <w:t>4.</w:t>
      </w:r>
      <w:r w:rsidRPr="0016597A">
        <w:rPr>
          <w:lang w:val="fr-MC"/>
        </w:rPr>
        <w:tab/>
      </w:r>
      <w:r w:rsidR="0016597A" w:rsidRPr="0016597A">
        <w:rPr>
          <w:lang w:val="fr-MC"/>
        </w:rPr>
        <w:t>Le Burundi est un Pays d’Afrique de l’Est enclavé, d’une superficie de 27</w:t>
      </w:r>
      <w:r w:rsidR="00B96926">
        <w:rPr>
          <w:lang w:val="fr-MC"/>
        </w:rPr>
        <w:t> </w:t>
      </w:r>
      <w:r w:rsidR="0016597A" w:rsidRPr="0016597A">
        <w:rPr>
          <w:lang w:val="fr-MC"/>
        </w:rPr>
        <w:t>834 km</w:t>
      </w:r>
      <w:r w:rsidR="0016597A" w:rsidRPr="0016597A">
        <w:rPr>
          <w:vertAlign w:val="superscript"/>
          <w:lang w:val="fr-MC"/>
        </w:rPr>
        <w:t xml:space="preserve">2 </w:t>
      </w:r>
      <w:r w:rsidR="0016597A" w:rsidRPr="0016597A">
        <w:rPr>
          <w:lang w:val="fr-MC"/>
        </w:rPr>
        <w:t>dont 2</w:t>
      </w:r>
      <w:r w:rsidR="00B96926">
        <w:rPr>
          <w:lang w:val="fr-MC"/>
        </w:rPr>
        <w:t> </w:t>
      </w:r>
      <w:r w:rsidR="0016597A" w:rsidRPr="0016597A">
        <w:rPr>
          <w:lang w:val="fr-MC"/>
        </w:rPr>
        <w:t>700 km</w:t>
      </w:r>
      <w:r w:rsidR="0016597A" w:rsidRPr="0016597A">
        <w:rPr>
          <w:vertAlign w:val="superscript"/>
          <w:lang w:val="fr-MC"/>
        </w:rPr>
        <w:t xml:space="preserve">2 </w:t>
      </w:r>
      <w:r w:rsidR="0016597A" w:rsidRPr="0016597A">
        <w:rPr>
          <w:lang w:val="fr-MC"/>
        </w:rPr>
        <w:t>de terre émergée. Au Nord se trouve le Rwanda ; au Sud et à l’Est, la Tanzanie ; à l’Ouest, la République Démocratique du Congo.</w:t>
      </w:r>
    </w:p>
    <w:p w14:paraId="749FA4ED" w14:textId="37ED7182" w:rsidR="0016597A" w:rsidRPr="0016597A" w:rsidRDefault="00BF2F03" w:rsidP="00BF2F03">
      <w:pPr>
        <w:pStyle w:val="SingleTxtG"/>
        <w:rPr>
          <w:lang w:val="fr-MC"/>
        </w:rPr>
      </w:pPr>
      <w:r w:rsidRPr="0016597A">
        <w:rPr>
          <w:lang w:val="fr-MC"/>
        </w:rPr>
        <w:t>5.</w:t>
      </w:r>
      <w:r w:rsidRPr="0016597A">
        <w:rPr>
          <w:lang w:val="fr-MC"/>
        </w:rPr>
        <w:tab/>
      </w:r>
      <w:r w:rsidR="0016597A" w:rsidRPr="0016597A">
        <w:rPr>
          <w:lang w:val="fr-MC"/>
        </w:rPr>
        <w:t>Il est divisé en 18 provinces, 119 communes et 2</w:t>
      </w:r>
      <w:r w:rsidR="00145C25">
        <w:rPr>
          <w:lang w:val="fr-MC"/>
        </w:rPr>
        <w:t> </w:t>
      </w:r>
      <w:r w:rsidR="0016597A" w:rsidRPr="0016597A">
        <w:rPr>
          <w:lang w:val="fr-MC"/>
        </w:rPr>
        <w:t>908 collines dont 97 quartiers de la Mairie de Bujumbura. La langue nationale est le Kirundi. La langue officielle la plus utilisée dans l’administration est le Français. D’autres langues comme l’Anglais et le Kiswahili sont apprises à l’école et parlées par une partie de la population.</w:t>
      </w:r>
    </w:p>
    <w:p w14:paraId="2B87020C" w14:textId="79C5E4F5" w:rsidR="0016597A" w:rsidRPr="0016597A" w:rsidRDefault="00BF2F03" w:rsidP="00BF2F03">
      <w:pPr>
        <w:pStyle w:val="SingleTxtG"/>
        <w:rPr>
          <w:lang w:val="fr-MC"/>
        </w:rPr>
      </w:pPr>
      <w:r w:rsidRPr="0016597A">
        <w:rPr>
          <w:lang w:val="fr-MC"/>
        </w:rPr>
        <w:t>6.</w:t>
      </w:r>
      <w:r w:rsidRPr="0016597A">
        <w:rPr>
          <w:lang w:val="fr-MC"/>
        </w:rPr>
        <w:tab/>
      </w:r>
      <w:r w:rsidR="0016597A" w:rsidRPr="0016597A">
        <w:rPr>
          <w:lang w:val="fr-MC"/>
        </w:rPr>
        <w:t>Le dernier Recensement Général de la Population et de l’Habitat de 2008 (RGPH-2008) a dénombré 8 053 574 habitants dont 51</w:t>
      </w:r>
      <w:r w:rsidR="00B96926">
        <w:rPr>
          <w:lang w:val="fr-MC"/>
        </w:rPr>
        <w:t> </w:t>
      </w:r>
      <w:r w:rsidR="0016597A" w:rsidRPr="0016597A">
        <w:rPr>
          <w:lang w:val="fr-MC"/>
        </w:rPr>
        <w:t>% de sexe féminin et 49</w:t>
      </w:r>
      <w:r w:rsidR="00B96926">
        <w:rPr>
          <w:lang w:val="fr-MC"/>
        </w:rPr>
        <w:t> </w:t>
      </w:r>
      <w:r w:rsidR="0016597A" w:rsidRPr="0016597A">
        <w:rPr>
          <w:lang w:val="fr-MC"/>
        </w:rPr>
        <w:t>% de sexe masculin. Avec un taux d’accroissement annuel de 2,4</w:t>
      </w:r>
      <w:r w:rsidR="00B96926">
        <w:rPr>
          <w:lang w:val="fr-MC"/>
        </w:rPr>
        <w:t> </w:t>
      </w:r>
      <w:r w:rsidR="0016597A" w:rsidRPr="0016597A">
        <w:rPr>
          <w:lang w:val="fr-MC"/>
        </w:rPr>
        <w:t>% et une taille moyenne de 4,7</w:t>
      </w:r>
      <w:r w:rsidR="00B96926">
        <w:rPr>
          <w:lang w:val="fr-MC"/>
        </w:rPr>
        <w:t> </w:t>
      </w:r>
      <w:r w:rsidR="0016597A" w:rsidRPr="0016597A">
        <w:rPr>
          <w:lang w:val="fr-MC"/>
        </w:rPr>
        <w:t>personnes par ménage, la population burundaise est marquée par une extrême jeunesse. Selon la pyramide des âges, les jeunes et les enfants dépassent 60</w:t>
      </w:r>
      <w:r w:rsidR="00B96926">
        <w:rPr>
          <w:lang w:val="fr-MC"/>
        </w:rPr>
        <w:t> </w:t>
      </w:r>
      <w:r w:rsidR="0016597A" w:rsidRPr="0016597A">
        <w:rPr>
          <w:lang w:val="fr-MC"/>
        </w:rPr>
        <w:t>%.</w:t>
      </w:r>
      <w:r w:rsidR="00C65C2A">
        <w:rPr>
          <w:lang w:val="fr-MC"/>
        </w:rPr>
        <w:t xml:space="preserve"> </w:t>
      </w:r>
      <w:r w:rsidR="0016597A" w:rsidRPr="0016597A">
        <w:rPr>
          <w:lang w:val="fr-MC"/>
        </w:rPr>
        <w:t>La densité de la population était de 310</w:t>
      </w:r>
      <w:r w:rsidR="00B96926">
        <w:rPr>
          <w:lang w:val="fr-MC"/>
        </w:rPr>
        <w:t> </w:t>
      </w:r>
      <w:r w:rsidR="0016597A" w:rsidRPr="0016597A">
        <w:rPr>
          <w:lang w:val="fr-MC"/>
        </w:rPr>
        <w:t>habitants au km².</w:t>
      </w:r>
    </w:p>
    <w:p w14:paraId="75665A34" w14:textId="149A2D3B" w:rsidR="0016597A" w:rsidRPr="0016597A" w:rsidRDefault="00BF2F03" w:rsidP="00BF2F03">
      <w:pPr>
        <w:pStyle w:val="SingleTxtG"/>
        <w:rPr>
          <w:lang w:val="fr-MC"/>
        </w:rPr>
      </w:pPr>
      <w:r w:rsidRPr="0016597A">
        <w:rPr>
          <w:lang w:val="fr-MC"/>
        </w:rPr>
        <w:t>7.</w:t>
      </w:r>
      <w:r w:rsidRPr="0016597A">
        <w:rPr>
          <w:lang w:val="fr-MC"/>
        </w:rPr>
        <w:tab/>
      </w:r>
      <w:r w:rsidR="0016597A" w:rsidRPr="0016597A">
        <w:rPr>
          <w:lang w:val="fr-MC" w:eastAsia="zh-CN"/>
        </w:rPr>
        <w:t>Selon les projections de l’Institut des Statistiques et d’Etudes Economiques du Burundi (</w:t>
      </w:r>
      <w:r w:rsidR="0016597A" w:rsidRPr="0016597A">
        <w:rPr>
          <w:lang w:val="fr-MC"/>
        </w:rPr>
        <w:t>ISTEEBU</w:t>
      </w:r>
      <w:r w:rsidR="0016597A" w:rsidRPr="0016597A">
        <w:rPr>
          <w:lang w:val="fr-MC" w:eastAsia="zh-CN"/>
        </w:rPr>
        <w:t>) tenant compte des résultats de</w:t>
      </w:r>
      <w:r w:rsidR="0016597A">
        <w:rPr>
          <w:lang w:val="fr-MC" w:eastAsia="zh-CN"/>
        </w:rPr>
        <w:t xml:space="preserve"> </w:t>
      </w:r>
      <w:r w:rsidR="0016597A" w:rsidRPr="0016597A">
        <w:rPr>
          <w:lang w:val="fr-MC" w:eastAsia="zh-CN"/>
        </w:rPr>
        <w:t>ce Recensement</w:t>
      </w:r>
      <w:r w:rsidR="0016597A">
        <w:rPr>
          <w:lang w:val="fr-MC" w:eastAsia="zh-CN"/>
        </w:rPr>
        <w:t xml:space="preserve"> </w:t>
      </w:r>
      <w:r w:rsidR="0016597A" w:rsidRPr="0016597A">
        <w:rPr>
          <w:lang w:val="fr-MC" w:eastAsia="zh-CN"/>
        </w:rPr>
        <w:t>susmentionné,</w:t>
      </w:r>
      <w:r w:rsidR="0016597A">
        <w:rPr>
          <w:lang w:val="fr-MC" w:eastAsia="zh-CN"/>
        </w:rPr>
        <w:t xml:space="preserve"> </w:t>
      </w:r>
      <w:r w:rsidR="0016597A" w:rsidRPr="0016597A">
        <w:rPr>
          <w:lang w:val="fr-MC" w:eastAsia="zh-CN"/>
        </w:rPr>
        <w:t>la p</w:t>
      </w:r>
      <w:r w:rsidR="0016597A" w:rsidRPr="0016597A">
        <w:rPr>
          <w:lang w:val="fr-MC"/>
        </w:rPr>
        <w:t>opulation du Burundi est estimée</w:t>
      </w:r>
      <w:r w:rsidR="0016597A">
        <w:rPr>
          <w:lang w:val="fr-MC"/>
        </w:rPr>
        <w:t xml:space="preserve"> </w:t>
      </w:r>
      <w:r w:rsidR="0016597A" w:rsidRPr="0016597A">
        <w:rPr>
          <w:lang w:val="fr-MC"/>
        </w:rPr>
        <w:t xml:space="preserve">actuellement à </w:t>
      </w:r>
      <w:r w:rsidR="0016597A" w:rsidRPr="0016597A">
        <w:rPr>
          <w:lang w:val="fr-MC" w:eastAsia="zh-CN"/>
        </w:rPr>
        <w:t>10</w:t>
      </w:r>
      <w:r w:rsidR="00B96926">
        <w:rPr>
          <w:lang w:val="fr-MC" w:eastAsia="zh-CN"/>
        </w:rPr>
        <w:t> </w:t>
      </w:r>
      <w:r w:rsidR="0016597A" w:rsidRPr="0016597A">
        <w:rPr>
          <w:lang w:val="fr-MC" w:eastAsia="zh-CN"/>
        </w:rPr>
        <w:t>114</w:t>
      </w:r>
      <w:r w:rsidR="00B96926">
        <w:rPr>
          <w:lang w:val="fr-MC" w:eastAsia="zh-CN"/>
        </w:rPr>
        <w:t> </w:t>
      </w:r>
      <w:r w:rsidR="0016597A" w:rsidRPr="0016597A">
        <w:rPr>
          <w:lang w:val="fr-MC" w:eastAsia="zh-CN"/>
        </w:rPr>
        <w:t>505</w:t>
      </w:r>
      <w:r w:rsidR="0016597A" w:rsidRPr="0016597A">
        <w:rPr>
          <w:lang w:val="fr-MC"/>
        </w:rPr>
        <w:t xml:space="preserve"> habitants</w:t>
      </w:r>
      <w:r w:rsidR="0016597A" w:rsidRPr="00B345A8">
        <w:rPr>
          <w:rStyle w:val="Appelnotedebasdep"/>
        </w:rPr>
        <w:footnoteReference w:id="3"/>
      </w:r>
      <w:r w:rsidR="0016597A" w:rsidRPr="0016597A">
        <w:rPr>
          <w:lang w:val="fr-MC"/>
        </w:rPr>
        <w:t xml:space="preserve">, avec une </w:t>
      </w:r>
      <w:r w:rsidR="009647C1">
        <w:rPr>
          <w:lang w:val="fr-MC"/>
        </w:rPr>
        <w:t>densité de 379 habitants au km².</w:t>
      </w:r>
    </w:p>
    <w:p w14:paraId="729F608B" w14:textId="1D670792" w:rsidR="0016597A" w:rsidRPr="0016597A" w:rsidRDefault="00BF2F03" w:rsidP="00BF2F03">
      <w:pPr>
        <w:pStyle w:val="SingleTxtG"/>
        <w:rPr>
          <w:lang w:val="fr-MC"/>
        </w:rPr>
      </w:pPr>
      <w:r w:rsidRPr="0016597A">
        <w:rPr>
          <w:lang w:val="fr-MC"/>
        </w:rPr>
        <w:t>8.</w:t>
      </w:r>
      <w:r w:rsidRPr="0016597A">
        <w:rPr>
          <w:lang w:val="fr-MC"/>
        </w:rPr>
        <w:tab/>
      </w:r>
      <w:r w:rsidR="0016597A" w:rsidRPr="0016597A">
        <w:rPr>
          <w:lang w:val="fr-MC"/>
        </w:rPr>
        <w:t xml:space="preserve">La population est inégalement répartie sur le territoire national, présentant ainsi un déséquilibre entre les provinces, variant entre 116,5 et 474,7 habitants/km² pour les provinces respectives de </w:t>
      </w:r>
      <w:proofErr w:type="spellStart"/>
      <w:r w:rsidR="0016597A" w:rsidRPr="0016597A">
        <w:rPr>
          <w:lang w:val="fr-MC"/>
        </w:rPr>
        <w:t>Cankuzo</w:t>
      </w:r>
      <w:proofErr w:type="spellEnd"/>
      <w:r w:rsidR="0016597A" w:rsidRPr="0016597A">
        <w:rPr>
          <w:lang w:val="fr-MC"/>
        </w:rPr>
        <w:t xml:space="preserve"> et de </w:t>
      </w:r>
      <w:proofErr w:type="spellStart"/>
      <w:r w:rsidR="0016597A" w:rsidRPr="0016597A">
        <w:rPr>
          <w:lang w:val="fr-MC"/>
        </w:rPr>
        <w:t>Kayanza</w:t>
      </w:r>
      <w:proofErr w:type="spellEnd"/>
      <w:r w:rsidR="0016597A" w:rsidRPr="0016597A">
        <w:rPr>
          <w:lang w:val="fr-MC"/>
        </w:rPr>
        <w:t>. Selon la même source, seuls 10</w:t>
      </w:r>
      <w:r w:rsidR="00145C25">
        <w:rPr>
          <w:lang w:val="fr-MC"/>
        </w:rPr>
        <w:t> </w:t>
      </w:r>
      <w:r w:rsidR="0016597A" w:rsidRPr="0016597A">
        <w:rPr>
          <w:lang w:val="fr-MC"/>
        </w:rPr>
        <w:t>% de la population résident en milieu urbain. Bujumbura, la capitale</w:t>
      </w:r>
      <w:r w:rsidR="0016597A" w:rsidRPr="0016597A">
        <w:rPr>
          <w:lang w:val="fr-MC" w:eastAsia="zh-CN"/>
        </w:rPr>
        <w:t xml:space="preserve"> du Burundi</w:t>
      </w:r>
      <w:r w:rsidR="0016597A" w:rsidRPr="0016597A">
        <w:rPr>
          <w:lang w:val="fr-MC"/>
        </w:rPr>
        <w:t>, est la ville la plus peuplée. La population burundaise est très jeune : les jeunes et les enfants dépassent 60</w:t>
      </w:r>
      <w:r w:rsidR="00145C25">
        <w:rPr>
          <w:lang w:val="fr-MC"/>
        </w:rPr>
        <w:t> </w:t>
      </w:r>
      <w:r w:rsidR="0016597A" w:rsidRPr="0016597A">
        <w:rPr>
          <w:lang w:val="fr-MC"/>
        </w:rPr>
        <w:t>%. La densité de la population est de 297 habitants/km</w:t>
      </w:r>
      <w:r w:rsidR="0016597A" w:rsidRPr="0016597A">
        <w:rPr>
          <w:vertAlign w:val="superscript"/>
          <w:lang w:val="fr-MC"/>
        </w:rPr>
        <w:t xml:space="preserve">2 </w:t>
      </w:r>
      <w:r w:rsidR="0016597A" w:rsidRPr="0016597A">
        <w:rPr>
          <w:lang w:val="fr-MC"/>
        </w:rPr>
        <w:t>avec un taux annuel de croissance démographique de 3</w:t>
      </w:r>
      <w:r w:rsidR="00145C25">
        <w:rPr>
          <w:lang w:val="fr-MC"/>
        </w:rPr>
        <w:t> </w:t>
      </w:r>
      <w:r w:rsidR="0016597A" w:rsidRPr="0016597A">
        <w:rPr>
          <w:lang w:val="fr-MC"/>
        </w:rPr>
        <w:t xml:space="preserve">%. </w:t>
      </w:r>
    </w:p>
    <w:p w14:paraId="6747A4D0" w14:textId="34182598" w:rsidR="0016597A" w:rsidRDefault="00BF2F03" w:rsidP="00BF2F03">
      <w:pPr>
        <w:pStyle w:val="SingleTxtG"/>
        <w:rPr>
          <w:lang w:val="fr-MC"/>
        </w:rPr>
      </w:pPr>
      <w:r>
        <w:rPr>
          <w:lang w:val="fr-MC"/>
        </w:rPr>
        <w:t>9.</w:t>
      </w:r>
      <w:r>
        <w:rPr>
          <w:lang w:val="fr-MC"/>
        </w:rPr>
        <w:tab/>
      </w:r>
      <w:r w:rsidR="0016597A" w:rsidRPr="0016597A">
        <w:rPr>
          <w:lang w:val="fr-MC"/>
        </w:rPr>
        <w:t>Le processus de paix marqué par les élections de 2005, a continué en 2010 et en 2015 lors de l’organisation des élections présidentielles, communales, législatives, sénatoriales et collinaires. Celles-ci ont abouti à un score significatif concernant la participation accrue des femmes. En 2016, la représentativité des femmes aux instances électives est</w:t>
      </w:r>
      <w:r w:rsidR="00145C25">
        <w:rPr>
          <w:lang w:val="fr-MC"/>
        </w:rPr>
        <w:t xml:space="preserve"> </w:t>
      </w:r>
      <w:r w:rsidR="0016597A" w:rsidRPr="0016597A">
        <w:rPr>
          <w:lang w:val="fr-MC"/>
        </w:rPr>
        <w:t>44</w:t>
      </w:r>
      <w:r w:rsidR="00145C25">
        <w:rPr>
          <w:lang w:val="fr-MC"/>
        </w:rPr>
        <w:t> </w:t>
      </w:r>
      <w:r w:rsidR="0016597A" w:rsidRPr="0016597A">
        <w:rPr>
          <w:lang w:val="fr-MC"/>
        </w:rPr>
        <w:t>% au Sénat, 36</w:t>
      </w:r>
      <w:r w:rsidR="00145C25">
        <w:rPr>
          <w:lang w:val="fr-MC"/>
        </w:rPr>
        <w:t> </w:t>
      </w:r>
      <w:r w:rsidR="0016597A" w:rsidRPr="0016597A">
        <w:rPr>
          <w:lang w:val="fr-MC"/>
        </w:rPr>
        <w:t>% à l’Assemblée Nationale, 32</w:t>
      </w:r>
      <w:r w:rsidR="00145C25">
        <w:rPr>
          <w:lang w:val="fr-MC"/>
        </w:rPr>
        <w:t> </w:t>
      </w:r>
      <w:r w:rsidR="0016597A" w:rsidRPr="0016597A">
        <w:rPr>
          <w:lang w:val="fr-MC"/>
        </w:rPr>
        <w:t>% aux Conseils Communaux et 6</w:t>
      </w:r>
      <w:r w:rsidR="00145C25">
        <w:rPr>
          <w:lang w:val="fr-MC"/>
        </w:rPr>
        <w:t> </w:t>
      </w:r>
      <w:r w:rsidR="0016597A" w:rsidRPr="0016597A">
        <w:rPr>
          <w:lang w:val="fr-MC"/>
        </w:rPr>
        <w:t>% de chefs collinaires.</w:t>
      </w:r>
    </w:p>
    <w:p w14:paraId="428AA431" w14:textId="1DC1EFC5" w:rsidR="0016597A" w:rsidRDefault="00BF2F03" w:rsidP="00BF2F03">
      <w:pPr>
        <w:pStyle w:val="SingleTxtG"/>
        <w:rPr>
          <w:lang w:val="fr-MC"/>
        </w:rPr>
      </w:pPr>
      <w:r>
        <w:rPr>
          <w:lang w:val="fr-MC"/>
        </w:rPr>
        <w:lastRenderedPageBreak/>
        <w:t>10.</w:t>
      </w:r>
      <w:r>
        <w:rPr>
          <w:lang w:val="fr-MC"/>
        </w:rPr>
        <w:tab/>
      </w:r>
      <w:r w:rsidR="0016597A" w:rsidRPr="0016597A">
        <w:rPr>
          <w:lang w:val="fr-MC"/>
        </w:rPr>
        <w:t xml:space="preserve">Toutefois, le Burundi vient de traverser depuis avril 2015, une situation socio politique caractérisée par un climat d’insécurité dans certaines localités du </w:t>
      </w:r>
      <w:r w:rsidR="00145C25">
        <w:rPr>
          <w:lang w:val="fr-MC"/>
        </w:rPr>
        <w:t>p</w:t>
      </w:r>
      <w:r w:rsidR="0016597A" w:rsidRPr="0016597A">
        <w:rPr>
          <w:lang w:val="fr-MC"/>
        </w:rPr>
        <w:t>ays. Cette situation a un impact négatif sur la jouissance des droits humains proclamés par la Convention qui fait objet de l’étude.</w:t>
      </w:r>
      <w:r w:rsidR="0016597A">
        <w:rPr>
          <w:lang w:val="fr-MC"/>
        </w:rPr>
        <w:t xml:space="preserve"> </w:t>
      </w:r>
      <w:r w:rsidR="0016597A" w:rsidRPr="0016597A">
        <w:rPr>
          <w:lang w:val="fr-MC"/>
        </w:rPr>
        <w:t>Certaines personnes ont vu leurs droits fondamentaux violés dont quelques cas de torture et de traitements Inhumains. En plus, un certain nombre de burundais ont fui le pays. En vue de la stabilisation, un dialogue inter - burundais a été initié au niveau interne et externe et un médiateur désigné par la sous-région est à l’œuvre pour rapprocher les positions des protagonistes.</w:t>
      </w:r>
    </w:p>
    <w:p w14:paraId="5BC9C377" w14:textId="77777777" w:rsidR="0016597A" w:rsidRPr="0016597A" w:rsidRDefault="00C65C2A" w:rsidP="00A6762E">
      <w:pPr>
        <w:pStyle w:val="H1G"/>
        <w:rPr>
          <w:lang w:val="fr-MC"/>
        </w:rPr>
      </w:pPr>
      <w:bookmarkStart w:id="4" w:name="_Toc529970190"/>
      <w:r>
        <w:rPr>
          <w:lang w:val="fr-MC"/>
        </w:rPr>
        <w:tab/>
        <w:t>B.</w:t>
      </w:r>
      <w:r>
        <w:rPr>
          <w:lang w:val="fr-MC"/>
        </w:rPr>
        <w:tab/>
      </w:r>
      <w:r w:rsidR="0016597A" w:rsidRPr="0016597A">
        <w:rPr>
          <w:lang w:val="fr-MC"/>
        </w:rPr>
        <w:t>Cadre normatif et institutionnel en matière des droits de l’homme</w:t>
      </w:r>
      <w:bookmarkEnd w:id="4"/>
    </w:p>
    <w:p w14:paraId="665C9A00" w14:textId="77777777" w:rsidR="0016597A" w:rsidRPr="0016597A" w:rsidRDefault="00C65C2A" w:rsidP="00C65C2A">
      <w:pPr>
        <w:pStyle w:val="H23G"/>
        <w:rPr>
          <w:lang w:val="fr-MC"/>
        </w:rPr>
      </w:pPr>
      <w:bookmarkStart w:id="5" w:name="_Toc529970191"/>
      <w:r>
        <w:rPr>
          <w:lang w:val="fr-MC"/>
        </w:rPr>
        <w:tab/>
      </w:r>
      <w:r w:rsidR="00BC23B3">
        <w:rPr>
          <w:lang w:val="fr-MC"/>
        </w:rPr>
        <w:t>1.</w:t>
      </w:r>
      <w:r>
        <w:rPr>
          <w:lang w:val="fr-MC"/>
        </w:rPr>
        <w:tab/>
      </w:r>
      <w:r w:rsidR="0016597A" w:rsidRPr="0016597A">
        <w:rPr>
          <w:lang w:val="fr-MC"/>
        </w:rPr>
        <w:t>Dispositif gouvernemental de promotion et de protection des droits de l’homme</w:t>
      </w:r>
      <w:bookmarkEnd w:id="5"/>
    </w:p>
    <w:p w14:paraId="098CCFD0" w14:textId="574218E5" w:rsidR="0016597A" w:rsidRPr="0016597A" w:rsidRDefault="00BF2F03" w:rsidP="00BF2F03">
      <w:pPr>
        <w:pStyle w:val="SingleTxtG"/>
        <w:rPr>
          <w:lang w:val="fr-MC"/>
        </w:rPr>
      </w:pPr>
      <w:r w:rsidRPr="0016597A">
        <w:rPr>
          <w:lang w:val="fr-MC"/>
        </w:rPr>
        <w:t>11.</w:t>
      </w:r>
      <w:r w:rsidRPr="0016597A">
        <w:rPr>
          <w:lang w:val="fr-MC"/>
        </w:rPr>
        <w:tab/>
      </w:r>
      <w:r w:rsidR="0016597A" w:rsidRPr="0016597A">
        <w:rPr>
          <w:lang w:val="fr-MC"/>
        </w:rPr>
        <w:t>La structure gouvernementale comprend un Ministère ayant en charge les Droits de l’Homme. Il a pour missions</w:t>
      </w:r>
      <w:r w:rsidR="0016597A" w:rsidRPr="00B345A8">
        <w:rPr>
          <w:rStyle w:val="Appelnotedebasdep"/>
        </w:rPr>
        <w:footnoteReference w:id="4"/>
      </w:r>
      <w:r w:rsidR="0016597A" w:rsidRPr="0016597A">
        <w:rPr>
          <w:lang w:val="fr-MC"/>
        </w:rPr>
        <w:t xml:space="preserve"> de :</w:t>
      </w:r>
    </w:p>
    <w:p w14:paraId="7A0D21EB" w14:textId="5E6802D9"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Concevoir et coordonner la politique nationale en matière des droits de la personne humaine et du genre et de veiller à son exécution ;</w:t>
      </w:r>
    </w:p>
    <w:p w14:paraId="64DB3FE3" w14:textId="3BC06178"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Promouvoir et protéger les droits de la personne humaine, en collaboration avec les autres ministères et organisations publiques et privées concernés ;</w:t>
      </w:r>
    </w:p>
    <w:p w14:paraId="4A2EC9B2" w14:textId="162F9DAB"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Concevoir et mettre en œuvre avec les autres partenaires un programme pour la prévention et l’éradication du génocide et des crimes contre l’humanité ;</w:t>
      </w:r>
    </w:p>
    <w:p w14:paraId="7FFC9085" w14:textId="4747525D"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Concevoir et mettre en œuvre un vaste programme d’éducation à la paix, à la réconciliation nationale, à la démocratie et à la citoyenneté en collaboration avec les autres ministères concernés ;</w:t>
      </w:r>
    </w:p>
    <w:p w14:paraId="17413CE0" w14:textId="6B6CC826"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Coordonner les interventions dans les différents secteurs d’action des structures et des activités de promotion et de protection des droits de la personne humaine et développer une stratégie de communication conséquente ;</w:t>
      </w:r>
    </w:p>
    <w:p w14:paraId="3CC908E9" w14:textId="73D5C829"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Etablir régulièrement l’évolution de la situation des droits de la personne humaine et développer une stratégie de communication conséquente ;</w:t>
      </w:r>
    </w:p>
    <w:p w14:paraId="07679A94" w14:textId="36083493"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Assurer le plaidoyer pour la mobilisation des ressources en vue de la mise en œuvre de la politique nationale en matière des droits de la personne humaine ;</w:t>
      </w:r>
    </w:p>
    <w:p w14:paraId="2CA1E1A1" w14:textId="575D6C15"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Promouvoir des systèmes d’assurances maladies ou de mutualités-santé universelles pour les travailleurs publics et privés ainsi que pour la population ;</w:t>
      </w:r>
    </w:p>
    <w:p w14:paraId="5959AA5D" w14:textId="3FA27B35"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Assurer l’amélioration progressive de la couverture des risques sociaux, particulièrement dans le secteur privé structuré, par la mise en place d’un système efficace de sécurité sociale ;</w:t>
      </w:r>
    </w:p>
    <w:p w14:paraId="5FE9998F" w14:textId="46582C26"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Assurer le contrôle de l’application de la législation de la sécurité sociale ;</w:t>
      </w:r>
    </w:p>
    <w:p w14:paraId="1FB4F2BF" w14:textId="153C5366"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Elaborer et coordonner les stratégies de mobilisation pour le secours des sinistrés en cas de catastrophes naturelles en collaboration avec les autres ministères concernés ;</w:t>
      </w:r>
    </w:p>
    <w:p w14:paraId="7BD13D29" w14:textId="0FDFBC02"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Promouvoir l’équité dans la distribution des ressources nationales en faveur des groupes sociaux vulnérables ;</w:t>
      </w:r>
    </w:p>
    <w:p w14:paraId="25243B71" w14:textId="6890A390"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Coordonner les interventions dans les différents secteurs d’action en faveur des personnes nécessiteuses et vulnérables, les structures et les activités de promotion et de protection des droits de la personne humaine ainsi que dans les secteurs de promotion de l’égalité de genre ;</w:t>
      </w:r>
    </w:p>
    <w:p w14:paraId="7A09271A" w14:textId="18B16587"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 xml:space="preserve">Contribuer à l’élaboration, à l’application et au respect des lois, pactes et plates –formes d’action qui protègent les droits de la personne en général, les droits des </w:t>
      </w:r>
      <w:r w:rsidR="0016597A" w:rsidRPr="0016597A">
        <w:rPr>
          <w:lang w:val="fr-MC"/>
        </w:rPr>
        <w:lastRenderedPageBreak/>
        <w:t>personnes vulnérables, des femmes, des enfants et des personnes âgées en particulier ainsi qu’à l’équilibre du genre ;</w:t>
      </w:r>
    </w:p>
    <w:p w14:paraId="4C2E1478" w14:textId="309329A5"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Elaborer et assurer le suivi des projets d’investissement du Ministère.</w:t>
      </w:r>
    </w:p>
    <w:p w14:paraId="1ED41B88" w14:textId="77777777" w:rsidR="0016597A" w:rsidRPr="0016597A" w:rsidRDefault="00C65C2A" w:rsidP="00C65C2A">
      <w:pPr>
        <w:pStyle w:val="H23G"/>
        <w:rPr>
          <w:lang w:val="fr-MC"/>
        </w:rPr>
      </w:pPr>
      <w:bookmarkStart w:id="6" w:name="_Toc529970192"/>
      <w:r>
        <w:rPr>
          <w:lang w:val="fr-MC"/>
        </w:rPr>
        <w:tab/>
      </w:r>
      <w:r w:rsidR="00BC23B3">
        <w:rPr>
          <w:lang w:val="fr-MC"/>
        </w:rPr>
        <w:t>2.</w:t>
      </w:r>
      <w:r>
        <w:rPr>
          <w:lang w:val="fr-MC"/>
        </w:rPr>
        <w:tab/>
      </w:r>
      <w:r w:rsidR="0016597A" w:rsidRPr="0016597A">
        <w:rPr>
          <w:lang w:val="fr-MC"/>
        </w:rPr>
        <w:t>Institutionnel et législatif</w:t>
      </w:r>
      <w:bookmarkEnd w:id="6"/>
    </w:p>
    <w:p w14:paraId="4A310560" w14:textId="37D2E475" w:rsidR="0016597A" w:rsidRPr="0016597A" w:rsidRDefault="00BF2F03" w:rsidP="00BF2F03">
      <w:pPr>
        <w:pStyle w:val="SingleTxtG"/>
        <w:rPr>
          <w:b/>
          <w:lang w:val="fr-MC"/>
        </w:rPr>
      </w:pPr>
      <w:r w:rsidRPr="0016597A">
        <w:rPr>
          <w:lang w:val="fr-MC"/>
        </w:rPr>
        <w:t>12.</w:t>
      </w:r>
      <w:r w:rsidRPr="0016597A">
        <w:rPr>
          <w:lang w:val="fr-MC"/>
        </w:rPr>
        <w:tab/>
      </w:r>
      <w:r w:rsidR="0016597A" w:rsidRPr="0016597A">
        <w:rPr>
          <w:lang w:val="fr-MC"/>
        </w:rPr>
        <w:t xml:space="preserve">Le Burundi est partie à un bon nombre d’instruments régionaux et internationaux de promotion et de protection des droits de l’homme. En vertu de l’article 19 de la Constitution promulguée le </w:t>
      </w:r>
      <w:r w:rsidR="00145C25">
        <w:rPr>
          <w:lang w:val="fr-MC"/>
        </w:rPr>
        <w:t>0</w:t>
      </w:r>
      <w:r w:rsidR="0016597A" w:rsidRPr="0016597A">
        <w:rPr>
          <w:lang w:val="fr-MC"/>
        </w:rPr>
        <w:t>7/06/2018, les droits et devoirs proclamés et garantis par les textes internationaux relatifs aux droits de l’homme régulièrement ratifiés par le Burundi font partie intégrante de la Constitution. La soumission à la torture, aux peines ou traitements cruels, inhumains ou dégradants est absolument proscrite</w:t>
      </w:r>
      <w:r w:rsidR="0016597A" w:rsidRPr="00B345A8">
        <w:rPr>
          <w:rStyle w:val="Appelnotedebasdep"/>
        </w:rPr>
        <w:footnoteReference w:id="5"/>
      </w:r>
      <w:r w:rsidR="0016597A" w:rsidRPr="0016597A">
        <w:rPr>
          <w:lang w:val="fr-MC"/>
        </w:rPr>
        <w:t>.</w:t>
      </w:r>
    </w:p>
    <w:p w14:paraId="55A80CF7" w14:textId="2A812771" w:rsidR="0016597A" w:rsidRPr="0016597A" w:rsidRDefault="00BF2F03" w:rsidP="00BF2F03">
      <w:pPr>
        <w:pStyle w:val="SingleTxtG"/>
        <w:rPr>
          <w:b/>
          <w:lang w:val="fr-MC"/>
        </w:rPr>
      </w:pPr>
      <w:r w:rsidRPr="0016597A">
        <w:rPr>
          <w:lang w:val="fr-MC"/>
        </w:rPr>
        <w:t>13.</w:t>
      </w:r>
      <w:r w:rsidRPr="0016597A">
        <w:rPr>
          <w:lang w:val="fr-MC"/>
        </w:rPr>
        <w:tab/>
      </w:r>
      <w:r w:rsidR="0016597A" w:rsidRPr="0016597A">
        <w:rPr>
          <w:lang w:val="fr-MC"/>
        </w:rPr>
        <w:t>En matière législative et juridique, le Gouvernement du Burundi a mis en place</w:t>
      </w:r>
      <w:r w:rsidR="0016597A" w:rsidRPr="0016597A">
        <w:rPr>
          <w:color w:val="000000"/>
          <w:lang w:val="fr-MC"/>
        </w:rPr>
        <w:t xml:space="preserve">, </w:t>
      </w:r>
      <w:r w:rsidR="0016597A" w:rsidRPr="0016597A">
        <w:rPr>
          <w:lang w:val="fr-MC"/>
        </w:rPr>
        <w:t>depuis 2013, plusieurs textes visant à renforcer la promotion, la protection et la défense des droits de l’homme dans le cadre de lutte contre la torture. Il s’agit, entre autres,</w:t>
      </w:r>
      <w:r w:rsidR="00145C25">
        <w:rPr>
          <w:lang w:val="fr-MC"/>
        </w:rPr>
        <w:t xml:space="preserve"> </w:t>
      </w:r>
      <w:r w:rsidR="0016597A" w:rsidRPr="0016597A">
        <w:rPr>
          <w:lang w:val="fr-MC"/>
        </w:rPr>
        <w:t xml:space="preserve">de : </w:t>
      </w:r>
    </w:p>
    <w:p w14:paraId="2B063872" w14:textId="00C1EBD6"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 xml:space="preserve">La loi </w:t>
      </w:r>
      <w:r w:rsidR="002A44C6" w:rsidRPr="0016597A">
        <w:rPr>
          <w:lang w:val="fr-MC"/>
        </w:rPr>
        <w:t>n</w:t>
      </w:r>
      <w:r w:rsidR="002A44C6" w:rsidRPr="008A395C">
        <w:rPr>
          <w:vertAlign w:val="superscript"/>
          <w:lang w:val="fr-MC"/>
        </w:rPr>
        <w:t>o</w:t>
      </w:r>
      <w:r w:rsidR="002A44C6">
        <w:rPr>
          <w:lang w:val="fr-MC"/>
        </w:rPr>
        <w:t> </w:t>
      </w:r>
      <w:r w:rsidR="0016597A" w:rsidRPr="0016597A">
        <w:rPr>
          <w:lang w:val="fr-MC"/>
        </w:rPr>
        <w:t>1/28 du 5 décembre 2013 portant réglementation des manifestations sur la voie publique et réunions publiques ;</w:t>
      </w:r>
    </w:p>
    <w:p w14:paraId="28B049A7" w14:textId="31F78BFB"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 xml:space="preserve">La loi </w:t>
      </w:r>
      <w:r w:rsidR="002A44C6" w:rsidRPr="0016597A">
        <w:rPr>
          <w:lang w:val="fr-MC"/>
        </w:rPr>
        <w:t>n</w:t>
      </w:r>
      <w:r w:rsidR="002A44C6" w:rsidRPr="008A395C">
        <w:rPr>
          <w:vertAlign w:val="superscript"/>
          <w:lang w:val="fr-MC"/>
        </w:rPr>
        <w:t>o</w:t>
      </w:r>
      <w:r w:rsidR="002A44C6">
        <w:rPr>
          <w:lang w:val="fr-MC"/>
        </w:rPr>
        <w:t> </w:t>
      </w:r>
      <w:r w:rsidR="0016597A" w:rsidRPr="0016597A">
        <w:rPr>
          <w:lang w:val="fr-MC"/>
        </w:rPr>
        <w:t xml:space="preserve">1/33 du 28 novembre 2014 portant révision de la loi </w:t>
      </w:r>
      <w:r w:rsidR="002A44C6" w:rsidRPr="0016597A">
        <w:rPr>
          <w:lang w:val="fr-MC"/>
        </w:rPr>
        <w:t>n</w:t>
      </w:r>
      <w:r w:rsidR="002A44C6" w:rsidRPr="008A395C">
        <w:rPr>
          <w:vertAlign w:val="superscript"/>
          <w:lang w:val="fr-MC"/>
        </w:rPr>
        <w:t>o</w:t>
      </w:r>
      <w:r w:rsidR="002A44C6">
        <w:rPr>
          <w:lang w:val="fr-MC"/>
        </w:rPr>
        <w:t> </w:t>
      </w:r>
      <w:r w:rsidR="0016597A" w:rsidRPr="0016597A">
        <w:rPr>
          <w:lang w:val="fr-MC"/>
        </w:rPr>
        <w:t xml:space="preserve">1/12 du 20 avril 2010 portant organisation de l’Administration Communale (Entité Communale) ; </w:t>
      </w:r>
    </w:p>
    <w:p w14:paraId="0E065626" w14:textId="6F733650"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 xml:space="preserve">Une procédure d’assistance judiciaire et d’indemnisation des victimes des </w:t>
      </w:r>
      <w:r w:rsidR="009647C1">
        <w:rPr>
          <w:lang w:val="fr-MC"/>
        </w:rPr>
        <w:t>actes de torture est instituée</w:t>
      </w:r>
      <w:r w:rsidR="0016597A" w:rsidRPr="00B345A8">
        <w:rPr>
          <w:rStyle w:val="Appelnotedebasdep"/>
        </w:rPr>
        <w:footnoteReference w:id="6"/>
      </w:r>
      <w:r w:rsidR="002A44C6">
        <w:rPr>
          <w:lang w:val="fr-MC"/>
        </w:rPr>
        <w:t> ;</w:t>
      </w:r>
    </w:p>
    <w:p w14:paraId="2423B86A" w14:textId="41297B7D"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 xml:space="preserve">La loi </w:t>
      </w:r>
      <w:r w:rsidR="00F709B2" w:rsidRPr="0016597A">
        <w:rPr>
          <w:lang w:val="fr-MC"/>
        </w:rPr>
        <w:t>n</w:t>
      </w:r>
      <w:r w:rsidR="00F709B2" w:rsidRPr="008A395C">
        <w:rPr>
          <w:vertAlign w:val="superscript"/>
          <w:lang w:val="fr-MC"/>
        </w:rPr>
        <w:t>o</w:t>
      </w:r>
      <w:r w:rsidR="00F709B2">
        <w:rPr>
          <w:lang w:val="fr-MC"/>
        </w:rPr>
        <w:t> </w:t>
      </w:r>
      <w:r w:rsidR="0016597A" w:rsidRPr="0016597A">
        <w:rPr>
          <w:lang w:val="fr-MC"/>
        </w:rPr>
        <w:t>1/18 du 15 mai 2014 portant création, mandat, composition, organisation et fonctionnement de la Commission Vérité et Réconciliation ;</w:t>
      </w:r>
    </w:p>
    <w:p w14:paraId="09666E5D" w14:textId="023B89FE"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 xml:space="preserve">La loi </w:t>
      </w:r>
      <w:r w:rsidR="00F709B2" w:rsidRPr="0016597A">
        <w:rPr>
          <w:lang w:val="fr-MC"/>
        </w:rPr>
        <w:t>n</w:t>
      </w:r>
      <w:r w:rsidR="00F709B2" w:rsidRPr="008A395C">
        <w:rPr>
          <w:vertAlign w:val="superscript"/>
          <w:lang w:val="fr-MC"/>
        </w:rPr>
        <w:t>o</w:t>
      </w:r>
      <w:r w:rsidR="00F709B2">
        <w:rPr>
          <w:lang w:val="fr-MC"/>
        </w:rPr>
        <w:t> </w:t>
      </w:r>
      <w:r w:rsidR="0016597A" w:rsidRPr="0016597A">
        <w:rPr>
          <w:lang w:val="fr-MC"/>
        </w:rPr>
        <w:t>1/56 du 4 juin 2014 portant code électoral ;</w:t>
      </w:r>
    </w:p>
    <w:p w14:paraId="39A48D93" w14:textId="5A0162E3"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 xml:space="preserve">La loi </w:t>
      </w:r>
      <w:r w:rsidR="00F709B2" w:rsidRPr="0016597A">
        <w:rPr>
          <w:lang w:val="fr-MC"/>
        </w:rPr>
        <w:t>n</w:t>
      </w:r>
      <w:r w:rsidR="00F709B2" w:rsidRPr="008A395C">
        <w:rPr>
          <w:vertAlign w:val="superscript"/>
          <w:lang w:val="fr-MC"/>
        </w:rPr>
        <w:t>o</w:t>
      </w:r>
      <w:r w:rsidR="00F709B2">
        <w:rPr>
          <w:lang w:val="fr-MC"/>
        </w:rPr>
        <w:t> </w:t>
      </w:r>
      <w:r w:rsidR="0016597A" w:rsidRPr="0016597A">
        <w:rPr>
          <w:lang w:val="fr-MC"/>
        </w:rPr>
        <w:t>1/26 du 15 septembre 2014 portant création, organisation, composition, fonctionnement et compétence de la Cour Spéciale des Terres et Autres Biens ;</w:t>
      </w:r>
    </w:p>
    <w:p w14:paraId="78D8052F" w14:textId="723E459C"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 xml:space="preserve">La loi </w:t>
      </w:r>
      <w:r w:rsidR="00F709B2" w:rsidRPr="0016597A">
        <w:rPr>
          <w:lang w:val="fr-MC"/>
        </w:rPr>
        <w:t>n</w:t>
      </w:r>
      <w:r w:rsidR="00F709B2" w:rsidRPr="008A395C">
        <w:rPr>
          <w:vertAlign w:val="superscript"/>
          <w:lang w:val="fr-MC"/>
        </w:rPr>
        <w:t>o</w:t>
      </w:r>
      <w:r w:rsidR="00F709B2">
        <w:rPr>
          <w:lang w:val="fr-MC"/>
        </w:rPr>
        <w:t> </w:t>
      </w:r>
      <w:r w:rsidR="0016597A" w:rsidRPr="0016597A">
        <w:rPr>
          <w:lang w:val="fr-MC"/>
        </w:rPr>
        <w:t>1/22 du 25 juillet 2014 portant réglementation de l’action récursoire et directe de l’Etat et des communes contre leurs mandataires et leurs préposés ;</w:t>
      </w:r>
    </w:p>
    <w:p w14:paraId="124BD28A" w14:textId="07736D8C"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 xml:space="preserve">La </w:t>
      </w:r>
      <w:r w:rsidR="0016597A" w:rsidRPr="0016597A">
        <w:rPr>
          <w:lang w:val="fr-BE"/>
        </w:rPr>
        <w:t xml:space="preserve">loi </w:t>
      </w:r>
      <w:r w:rsidR="00F709B2" w:rsidRPr="0016597A">
        <w:rPr>
          <w:lang w:val="fr-MC"/>
        </w:rPr>
        <w:t>n</w:t>
      </w:r>
      <w:r w:rsidR="00F709B2" w:rsidRPr="008A395C">
        <w:rPr>
          <w:vertAlign w:val="superscript"/>
          <w:lang w:val="fr-MC"/>
        </w:rPr>
        <w:t>o</w:t>
      </w:r>
      <w:r w:rsidR="00F709B2">
        <w:rPr>
          <w:lang w:val="fr-MC"/>
        </w:rPr>
        <w:t> </w:t>
      </w:r>
      <w:r w:rsidR="0016597A" w:rsidRPr="0016597A">
        <w:rPr>
          <w:lang w:val="fr-MC"/>
        </w:rPr>
        <w:t xml:space="preserve">1/28 du 29 octobre 2014 </w:t>
      </w:r>
      <w:r w:rsidR="0016597A" w:rsidRPr="0016597A">
        <w:rPr>
          <w:lang w:val="fr-BE"/>
        </w:rPr>
        <w:t>portant prévention et répression de la traite des personnes et protection des victimes de la traite ;</w:t>
      </w:r>
    </w:p>
    <w:p w14:paraId="01D8B25B" w14:textId="48F8AF8C"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 xml:space="preserve">La loi </w:t>
      </w:r>
      <w:r w:rsidR="00F709B2" w:rsidRPr="0016597A">
        <w:rPr>
          <w:lang w:val="fr-MC"/>
        </w:rPr>
        <w:t>n</w:t>
      </w:r>
      <w:r w:rsidR="00F709B2" w:rsidRPr="008A395C">
        <w:rPr>
          <w:vertAlign w:val="superscript"/>
          <w:lang w:val="fr-MC"/>
        </w:rPr>
        <w:t>o</w:t>
      </w:r>
      <w:r w:rsidR="00F709B2">
        <w:rPr>
          <w:lang w:val="fr-MC"/>
        </w:rPr>
        <w:t> </w:t>
      </w:r>
      <w:r w:rsidR="0016597A" w:rsidRPr="0016597A">
        <w:rPr>
          <w:lang w:val="fr-MC"/>
        </w:rPr>
        <w:t>1/04 du 27 juin 2016 portant protection des victimes, des témoins et d’autres personnes en situation de risque ;</w:t>
      </w:r>
    </w:p>
    <w:p w14:paraId="713F05B4" w14:textId="3CE8C5CA"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 xml:space="preserve">La loi </w:t>
      </w:r>
      <w:r w:rsidR="00F709B2" w:rsidRPr="0016597A">
        <w:rPr>
          <w:lang w:val="fr-MC"/>
        </w:rPr>
        <w:t>n</w:t>
      </w:r>
      <w:r w:rsidR="00F709B2" w:rsidRPr="008A395C">
        <w:rPr>
          <w:vertAlign w:val="superscript"/>
          <w:lang w:val="fr-MC"/>
        </w:rPr>
        <w:t>o</w:t>
      </w:r>
      <w:r w:rsidR="00F709B2">
        <w:rPr>
          <w:lang w:val="fr-MC"/>
        </w:rPr>
        <w:t> </w:t>
      </w:r>
      <w:r w:rsidR="0016597A" w:rsidRPr="0016597A">
        <w:rPr>
          <w:lang w:val="fr-MC"/>
        </w:rPr>
        <w:t xml:space="preserve">1/13 du 22 septembre 2016 portant prévention, protection des victimes et répression des violences basées sur le genre ; </w:t>
      </w:r>
    </w:p>
    <w:p w14:paraId="19CAB086" w14:textId="281EB3E9"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 xml:space="preserve">La loi </w:t>
      </w:r>
      <w:r w:rsidR="00F709B2" w:rsidRPr="0016597A">
        <w:rPr>
          <w:lang w:val="fr-MC"/>
        </w:rPr>
        <w:t>n</w:t>
      </w:r>
      <w:r w:rsidR="00F709B2" w:rsidRPr="008A395C">
        <w:rPr>
          <w:vertAlign w:val="superscript"/>
          <w:lang w:val="fr-MC"/>
        </w:rPr>
        <w:t>o</w:t>
      </w:r>
      <w:r w:rsidR="00F709B2">
        <w:rPr>
          <w:lang w:val="fr-MC"/>
        </w:rPr>
        <w:t> </w:t>
      </w:r>
      <w:r w:rsidR="0016597A" w:rsidRPr="0016597A">
        <w:rPr>
          <w:lang w:val="fr-MC"/>
        </w:rPr>
        <w:t>1/02 du 27 janvier 2017 portant cadre organique des associations sans but lucratif ;</w:t>
      </w:r>
    </w:p>
    <w:p w14:paraId="0FE2BEE7" w14:textId="73914C08"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 xml:space="preserve">La loi </w:t>
      </w:r>
      <w:r w:rsidR="00F709B2" w:rsidRPr="0016597A">
        <w:rPr>
          <w:lang w:val="fr-MC"/>
        </w:rPr>
        <w:t>n</w:t>
      </w:r>
      <w:r w:rsidR="00F709B2" w:rsidRPr="008A395C">
        <w:rPr>
          <w:vertAlign w:val="superscript"/>
          <w:lang w:val="fr-MC"/>
        </w:rPr>
        <w:t>o</w:t>
      </w:r>
      <w:r w:rsidR="00F709B2">
        <w:rPr>
          <w:lang w:val="fr-MC"/>
        </w:rPr>
        <w:t> </w:t>
      </w:r>
      <w:r w:rsidR="0016597A" w:rsidRPr="0016597A">
        <w:rPr>
          <w:lang w:val="fr-MC"/>
        </w:rPr>
        <w:t>1/25 du 23 décembre 2017 portant Missions, Composition et Fonctionnement de l’Observatoire National pour la Prévention et l’Eradication du Génocide, des crimes</w:t>
      </w:r>
      <w:r w:rsidR="0016597A">
        <w:rPr>
          <w:lang w:val="fr-MC"/>
        </w:rPr>
        <w:t xml:space="preserve"> </w:t>
      </w:r>
      <w:r w:rsidR="0016597A" w:rsidRPr="0016597A">
        <w:rPr>
          <w:lang w:val="fr-MC"/>
        </w:rPr>
        <w:t>de Guerre et Autres Crimes contre l’Humanité ;</w:t>
      </w:r>
    </w:p>
    <w:p w14:paraId="08C25C91" w14:textId="3DAB66BE"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 xml:space="preserve">La loi </w:t>
      </w:r>
      <w:r w:rsidR="00F709B2" w:rsidRPr="0016597A">
        <w:rPr>
          <w:lang w:val="fr-MC"/>
        </w:rPr>
        <w:t>n</w:t>
      </w:r>
      <w:r w:rsidR="00F709B2" w:rsidRPr="008A395C">
        <w:rPr>
          <w:vertAlign w:val="superscript"/>
          <w:lang w:val="fr-MC"/>
        </w:rPr>
        <w:t>o</w:t>
      </w:r>
      <w:r w:rsidR="00F709B2">
        <w:rPr>
          <w:lang w:val="fr-MC"/>
        </w:rPr>
        <w:t> </w:t>
      </w:r>
      <w:r w:rsidR="0016597A" w:rsidRPr="0016597A">
        <w:rPr>
          <w:lang w:val="fr-MC"/>
        </w:rPr>
        <w:t>1/27 du 29 décembre 2017 portant révision du Code pénal. Depuis 2009, la torture est incriminée. Le Code pénal révisé de 2017 prévoit des peines y relatives plus lourdes ;</w:t>
      </w:r>
    </w:p>
    <w:p w14:paraId="2365E671" w14:textId="06B73651"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 xml:space="preserve">La loi </w:t>
      </w:r>
      <w:r w:rsidR="00F709B2" w:rsidRPr="0016597A">
        <w:rPr>
          <w:lang w:val="fr-MC"/>
        </w:rPr>
        <w:t>n</w:t>
      </w:r>
      <w:r w:rsidR="00F709B2" w:rsidRPr="008A395C">
        <w:rPr>
          <w:vertAlign w:val="superscript"/>
          <w:lang w:val="fr-MC"/>
        </w:rPr>
        <w:t>o</w:t>
      </w:r>
      <w:r w:rsidR="00F709B2">
        <w:rPr>
          <w:lang w:val="fr-MC"/>
        </w:rPr>
        <w:t> </w:t>
      </w:r>
      <w:r w:rsidR="0016597A" w:rsidRPr="0016597A">
        <w:rPr>
          <w:lang w:val="fr-MC"/>
        </w:rPr>
        <w:t xml:space="preserve">1/09 du 11 mai 2018 portant révision du </w:t>
      </w:r>
      <w:r w:rsidR="00A2570C" w:rsidRPr="0016597A">
        <w:rPr>
          <w:lang w:val="fr-MC"/>
        </w:rPr>
        <w:t xml:space="preserve">Code </w:t>
      </w:r>
      <w:r w:rsidR="0016597A" w:rsidRPr="0016597A">
        <w:rPr>
          <w:lang w:val="fr-MC"/>
        </w:rPr>
        <w:t>de procédure pénale ;</w:t>
      </w:r>
    </w:p>
    <w:p w14:paraId="174646A2" w14:textId="201CAA1F"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 xml:space="preserve">La loi </w:t>
      </w:r>
      <w:r w:rsidR="00F709B2" w:rsidRPr="0016597A">
        <w:rPr>
          <w:lang w:val="fr-MC"/>
        </w:rPr>
        <w:t>n</w:t>
      </w:r>
      <w:r w:rsidR="00F709B2" w:rsidRPr="008A395C">
        <w:rPr>
          <w:vertAlign w:val="superscript"/>
          <w:lang w:val="fr-MC"/>
        </w:rPr>
        <w:t>o</w:t>
      </w:r>
      <w:r w:rsidR="00F709B2">
        <w:rPr>
          <w:lang w:val="fr-MC"/>
        </w:rPr>
        <w:t> </w:t>
      </w:r>
      <w:r w:rsidR="0016597A" w:rsidRPr="0016597A">
        <w:rPr>
          <w:lang w:val="fr-MC"/>
        </w:rPr>
        <w:t>1/03 du 10 janvier 2018 portant promotion et protection des droits des personnes handicapées ;</w:t>
      </w:r>
    </w:p>
    <w:p w14:paraId="7E10768F" w14:textId="74529B4C"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 xml:space="preserve">La loi </w:t>
      </w:r>
      <w:r w:rsidR="00F709B2" w:rsidRPr="0016597A">
        <w:rPr>
          <w:lang w:val="fr-MC"/>
        </w:rPr>
        <w:t>n</w:t>
      </w:r>
      <w:r w:rsidR="00F709B2" w:rsidRPr="008A395C">
        <w:rPr>
          <w:vertAlign w:val="superscript"/>
          <w:lang w:val="fr-MC"/>
        </w:rPr>
        <w:t>o</w:t>
      </w:r>
      <w:r w:rsidR="00F709B2">
        <w:rPr>
          <w:lang w:val="fr-MC"/>
        </w:rPr>
        <w:t> </w:t>
      </w:r>
      <w:r w:rsidR="0016597A" w:rsidRPr="0016597A">
        <w:rPr>
          <w:lang w:val="fr-MC"/>
        </w:rPr>
        <w:t xml:space="preserve">1/19 du 14 septembre 2018 portant modification de la loi </w:t>
      </w:r>
      <w:r w:rsidR="00F709B2" w:rsidRPr="0016597A">
        <w:rPr>
          <w:lang w:val="fr-MC"/>
        </w:rPr>
        <w:t>n</w:t>
      </w:r>
      <w:r w:rsidR="00F709B2" w:rsidRPr="008A395C">
        <w:rPr>
          <w:vertAlign w:val="superscript"/>
          <w:lang w:val="fr-MC"/>
        </w:rPr>
        <w:t>o</w:t>
      </w:r>
      <w:r w:rsidR="00F709B2">
        <w:rPr>
          <w:lang w:val="fr-MC"/>
        </w:rPr>
        <w:t> </w:t>
      </w:r>
      <w:r w:rsidR="0016597A" w:rsidRPr="0016597A">
        <w:rPr>
          <w:lang w:val="fr-MC"/>
        </w:rPr>
        <w:t>1/15 du 9 mai 2015 régissant la presse au Burundi.</w:t>
      </w:r>
    </w:p>
    <w:p w14:paraId="58A1579D" w14:textId="1BF0A000" w:rsidR="0016597A" w:rsidRPr="0016597A" w:rsidRDefault="00BF2F03" w:rsidP="00BF2F03">
      <w:pPr>
        <w:pStyle w:val="SingleTxtG"/>
        <w:rPr>
          <w:lang w:val="fr-MC"/>
        </w:rPr>
      </w:pPr>
      <w:r w:rsidRPr="0016597A">
        <w:rPr>
          <w:lang w:val="fr-MC"/>
        </w:rPr>
        <w:lastRenderedPageBreak/>
        <w:t>14.</w:t>
      </w:r>
      <w:r w:rsidRPr="0016597A">
        <w:rPr>
          <w:lang w:val="fr-MC"/>
        </w:rPr>
        <w:tab/>
      </w:r>
      <w:r w:rsidR="0016597A" w:rsidRPr="0016597A">
        <w:rPr>
          <w:lang w:val="fr-MC"/>
        </w:rPr>
        <w:t>Sur le plan institutionnel, quelques avancées significatives ont été enregistrées. Un cadre institutionnel favorable au respect des droits de l’</w:t>
      </w:r>
      <w:r w:rsidR="009B173B">
        <w:rPr>
          <w:lang w:val="fr-MC"/>
        </w:rPr>
        <w:t>h</w:t>
      </w:r>
      <w:r w:rsidR="0016597A" w:rsidRPr="0016597A">
        <w:rPr>
          <w:lang w:val="fr-MC"/>
        </w:rPr>
        <w:t>omme a été renforcé depuis 2013. Il</w:t>
      </w:r>
      <w:r w:rsidR="009B173B">
        <w:rPr>
          <w:lang w:val="fr-MC"/>
        </w:rPr>
        <w:t> </w:t>
      </w:r>
      <w:r w:rsidR="0016597A" w:rsidRPr="0016597A">
        <w:rPr>
          <w:lang w:val="fr-MC"/>
        </w:rPr>
        <w:t>y a lieu de relever notamment :</w:t>
      </w:r>
    </w:p>
    <w:p w14:paraId="40AB120E" w14:textId="081DDA89"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 xml:space="preserve">La mise en place de la Commission Vérité et Réconciliation par la loi </w:t>
      </w:r>
      <w:r w:rsidR="00F709B2" w:rsidRPr="0016597A">
        <w:rPr>
          <w:lang w:val="fr-MC"/>
        </w:rPr>
        <w:t>n</w:t>
      </w:r>
      <w:r w:rsidR="00F709B2" w:rsidRPr="008A395C">
        <w:rPr>
          <w:vertAlign w:val="superscript"/>
          <w:lang w:val="fr-MC"/>
        </w:rPr>
        <w:t>o</w:t>
      </w:r>
      <w:r w:rsidR="00F709B2">
        <w:rPr>
          <w:lang w:val="fr-MC"/>
        </w:rPr>
        <w:t> </w:t>
      </w:r>
      <w:r w:rsidR="0016597A" w:rsidRPr="0016597A">
        <w:rPr>
          <w:lang w:val="fr-MC"/>
        </w:rPr>
        <w:t>1/18 du 15</w:t>
      </w:r>
      <w:r w:rsidR="00F709B2">
        <w:rPr>
          <w:lang w:val="fr-MC"/>
        </w:rPr>
        <w:t> </w:t>
      </w:r>
      <w:r w:rsidR="0016597A" w:rsidRPr="0016597A">
        <w:rPr>
          <w:lang w:val="fr-MC"/>
        </w:rPr>
        <w:t>mai 2014 ;</w:t>
      </w:r>
    </w:p>
    <w:p w14:paraId="7DE06BC3" w14:textId="4C9EEE04"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La Commission Nationale de Dialogue inter-Burundais</w:t>
      </w:r>
      <w:r w:rsidR="00F709B2">
        <w:rPr>
          <w:lang w:val="fr-MC"/>
        </w:rPr>
        <w:t xml:space="preserve"> </w:t>
      </w:r>
      <w:r w:rsidR="0016597A" w:rsidRPr="0016597A">
        <w:rPr>
          <w:lang w:val="fr-MC"/>
        </w:rPr>
        <w:t xml:space="preserve">(CNDI) mise en place par le Décret </w:t>
      </w:r>
      <w:r w:rsidR="00F709B2" w:rsidRPr="0016597A">
        <w:rPr>
          <w:lang w:val="fr-MC"/>
        </w:rPr>
        <w:t>n</w:t>
      </w:r>
      <w:r w:rsidR="00F709B2" w:rsidRPr="008A395C">
        <w:rPr>
          <w:vertAlign w:val="superscript"/>
          <w:lang w:val="fr-MC"/>
        </w:rPr>
        <w:t>o</w:t>
      </w:r>
      <w:r w:rsidR="00F709B2">
        <w:rPr>
          <w:lang w:val="fr-MC"/>
        </w:rPr>
        <w:t> </w:t>
      </w:r>
      <w:r w:rsidR="0016597A" w:rsidRPr="0016597A">
        <w:rPr>
          <w:lang w:val="fr-MC"/>
        </w:rPr>
        <w:t>100/34 du 23 septembre 2015 portant création, mandat, composition, organisation et fonctionnement de la Commission Nationale de Dialogue Inter-burundais ;</w:t>
      </w:r>
    </w:p>
    <w:p w14:paraId="25931F63" w14:textId="485A55EB"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La création de l’Inspection Générale au Ministère des Droits de la Personne Humaine, des Affaires Sociales et du Genre ;</w:t>
      </w:r>
    </w:p>
    <w:p w14:paraId="1827E312" w14:textId="6D5DF3AE"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La mise en place de l’Observatoire National pour la Prévention et l’Eradication du Génocide, des Crimes de Guerre et Autres Crimes contre l’Humanité</w:t>
      </w:r>
      <w:r w:rsidR="0016597A">
        <w:rPr>
          <w:lang w:val="fr-MC"/>
        </w:rPr>
        <w:t xml:space="preserve"> </w:t>
      </w:r>
      <w:r w:rsidR="0016597A" w:rsidRPr="0016597A">
        <w:rPr>
          <w:lang w:val="fr-MC"/>
        </w:rPr>
        <w:t xml:space="preserve">par la loi </w:t>
      </w:r>
      <w:r w:rsidR="00F709B2" w:rsidRPr="0016597A">
        <w:rPr>
          <w:lang w:val="fr-MC"/>
        </w:rPr>
        <w:t>n</w:t>
      </w:r>
      <w:r w:rsidR="00F709B2" w:rsidRPr="008A395C">
        <w:rPr>
          <w:vertAlign w:val="superscript"/>
          <w:lang w:val="fr-MC"/>
        </w:rPr>
        <w:t>o</w:t>
      </w:r>
      <w:r w:rsidR="00F709B2">
        <w:rPr>
          <w:lang w:val="fr-MC"/>
        </w:rPr>
        <w:t> </w:t>
      </w:r>
      <w:r w:rsidR="0016597A" w:rsidRPr="0016597A">
        <w:rPr>
          <w:lang w:val="fr-MC"/>
        </w:rPr>
        <w:t>1/25 du 23 décembre 2017 ;</w:t>
      </w:r>
    </w:p>
    <w:p w14:paraId="4D3EF5AA" w14:textId="44CC5176"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MC"/>
        </w:rPr>
        <w:t xml:space="preserve">La mise en place du Conseil National pour l’Unité Nationale et la Réconciliation par le Décret </w:t>
      </w:r>
      <w:r w:rsidR="00F709B2" w:rsidRPr="0016597A">
        <w:rPr>
          <w:lang w:val="fr-MC"/>
        </w:rPr>
        <w:t>n</w:t>
      </w:r>
      <w:r w:rsidR="00F709B2" w:rsidRPr="008A395C">
        <w:rPr>
          <w:vertAlign w:val="superscript"/>
          <w:lang w:val="fr-MC"/>
        </w:rPr>
        <w:t>o</w:t>
      </w:r>
      <w:r w:rsidR="00F709B2">
        <w:rPr>
          <w:lang w:val="fr-MC"/>
        </w:rPr>
        <w:t> </w:t>
      </w:r>
      <w:r w:rsidR="0016597A" w:rsidRPr="0016597A">
        <w:rPr>
          <w:lang w:val="fr-MC"/>
        </w:rPr>
        <w:t>100/0258 du 29 décembre 2017 portant nomination des membres du Conseil National pour l’Unité Nationale et la Réconciliation.</w:t>
      </w:r>
    </w:p>
    <w:p w14:paraId="03636995" w14:textId="6535DF5F" w:rsidR="0016597A" w:rsidRPr="0016597A" w:rsidRDefault="0047249D" w:rsidP="00A6762E">
      <w:pPr>
        <w:pStyle w:val="H1G"/>
        <w:rPr>
          <w:lang w:val="fr-MC"/>
        </w:rPr>
      </w:pPr>
      <w:bookmarkStart w:id="7" w:name="_Toc529970193"/>
      <w:r>
        <w:rPr>
          <w:lang w:val="fr-MC"/>
        </w:rPr>
        <w:tab/>
        <w:t>C.</w:t>
      </w:r>
      <w:r>
        <w:rPr>
          <w:lang w:val="fr-MC"/>
        </w:rPr>
        <w:tab/>
      </w:r>
      <w:r w:rsidR="0016597A" w:rsidRPr="0016597A">
        <w:rPr>
          <w:lang w:val="fr-MC"/>
        </w:rPr>
        <w:t>Etat de ratification des instruments juridiques internationaux par le</w:t>
      </w:r>
      <w:r w:rsidR="00F709B2">
        <w:rPr>
          <w:lang w:val="fr-MC"/>
        </w:rPr>
        <w:t> </w:t>
      </w:r>
      <w:r w:rsidR="0016597A" w:rsidRPr="0016597A">
        <w:rPr>
          <w:lang w:val="fr-MC"/>
        </w:rPr>
        <w:t>Burundi et soumission des rapports</w:t>
      </w:r>
      <w:bookmarkEnd w:id="7"/>
    </w:p>
    <w:p w14:paraId="17D61F0C" w14:textId="77777777" w:rsidR="0016597A" w:rsidRPr="0016597A" w:rsidRDefault="0047249D" w:rsidP="0047249D">
      <w:pPr>
        <w:pStyle w:val="H23G"/>
        <w:rPr>
          <w:lang w:val="fr-MC"/>
        </w:rPr>
      </w:pPr>
      <w:bookmarkStart w:id="8" w:name="_Toc529970194"/>
      <w:r>
        <w:rPr>
          <w:lang w:val="fr-MC"/>
        </w:rPr>
        <w:tab/>
      </w:r>
      <w:r w:rsidR="00BC23B3">
        <w:t>1.</w:t>
      </w:r>
      <w:r w:rsidRPr="0047249D">
        <w:tab/>
      </w:r>
      <w:r w:rsidR="0016597A" w:rsidRPr="0047249D">
        <w:t>Cycle des rapports</w:t>
      </w:r>
      <w:r w:rsidR="0016597A" w:rsidRPr="0016597A">
        <w:rPr>
          <w:lang w:val="fr-MC"/>
        </w:rPr>
        <w:t xml:space="preserve"> sur les conventions africaines</w:t>
      </w:r>
      <w:bookmarkEnd w:id="8"/>
    </w:p>
    <w:tbl>
      <w:tblPr>
        <w:tblW w:w="7370" w:type="dxa"/>
        <w:tblInd w:w="1134" w:type="dxa"/>
        <w:tblLayout w:type="fixed"/>
        <w:tblCellMar>
          <w:left w:w="0" w:type="dxa"/>
          <w:right w:w="0" w:type="dxa"/>
        </w:tblCellMar>
        <w:tblLook w:val="0000" w:firstRow="0" w:lastRow="0" w:firstColumn="0" w:lastColumn="0" w:noHBand="0" w:noVBand="0"/>
      </w:tblPr>
      <w:tblGrid>
        <w:gridCol w:w="3852"/>
        <w:gridCol w:w="1285"/>
        <w:gridCol w:w="1384"/>
        <w:gridCol w:w="849"/>
      </w:tblGrid>
      <w:tr w:rsidR="0047249D" w:rsidRPr="0047249D" w14:paraId="3371DD70" w14:textId="77777777" w:rsidTr="000029F6">
        <w:trPr>
          <w:tblHeader/>
        </w:trPr>
        <w:tc>
          <w:tcPr>
            <w:tcW w:w="3852"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0C71BF64" w14:textId="77777777" w:rsidR="0016597A" w:rsidRPr="0047249D" w:rsidRDefault="0016597A" w:rsidP="0047249D">
            <w:pPr>
              <w:spacing w:before="80" w:after="80" w:line="200" w:lineRule="exact"/>
              <w:ind w:right="113"/>
              <w:rPr>
                <w:i/>
                <w:sz w:val="16"/>
                <w:lang w:val="fr-MC"/>
              </w:rPr>
            </w:pPr>
            <w:r w:rsidRPr="0047249D">
              <w:rPr>
                <w:i/>
                <w:sz w:val="16"/>
                <w:lang w:val="fr-MC"/>
              </w:rPr>
              <w:t xml:space="preserve">Instruments </w:t>
            </w:r>
          </w:p>
        </w:tc>
        <w:tc>
          <w:tcPr>
            <w:tcW w:w="1285"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02C8235E" w14:textId="5EC732AD" w:rsidR="0016597A" w:rsidRPr="0047249D" w:rsidRDefault="0016597A" w:rsidP="0047249D">
            <w:pPr>
              <w:spacing w:before="80" w:after="80" w:line="200" w:lineRule="exact"/>
              <w:ind w:right="113"/>
              <w:rPr>
                <w:i/>
                <w:sz w:val="16"/>
                <w:lang w:val="fr-MC"/>
              </w:rPr>
            </w:pPr>
            <w:r w:rsidRPr="0047249D">
              <w:rPr>
                <w:i/>
                <w:sz w:val="16"/>
                <w:lang w:val="fr-MC"/>
              </w:rPr>
              <w:t>Date de signature</w:t>
            </w:r>
          </w:p>
        </w:tc>
        <w:tc>
          <w:tcPr>
            <w:tcW w:w="1384"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53017DED" w14:textId="02FCB596" w:rsidR="0016597A" w:rsidRPr="0047249D" w:rsidRDefault="0016597A" w:rsidP="0047249D">
            <w:pPr>
              <w:spacing w:before="80" w:after="80" w:line="200" w:lineRule="exact"/>
              <w:ind w:right="113"/>
              <w:rPr>
                <w:i/>
                <w:sz w:val="16"/>
                <w:lang w:val="fr-MC"/>
              </w:rPr>
            </w:pPr>
            <w:r w:rsidRPr="0047249D">
              <w:rPr>
                <w:i/>
                <w:sz w:val="16"/>
                <w:lang w:val="fr-MC"/>
              </w:rPr>
              <w:t xml:space="preserve">Date de </w:t>
            </w:r>
            <w:r w:rsidR="00F709B2">
              <w:rPr>
                <w:i/>
                <w:sz w:val="16"/>
                <w:lang w:val="fr-MC"/>
              </w:rPr>
              <w:t>r</w:t>
            </w:r>
            <w:r w:rsidRPr="0047249D">
              <w:rPr>
                <w:i/>
                <w:sz w:val="16"/>
                <w:lang w:val="fr-MC"/>
              </w:rPr>
              <w:t>atification</w:t>
            </w:r>
          </w:p>
        </w:tc>
        <w:tc>
          <w:tcPr>
            <w:tcW w:w="849" w:type="dxa"/>
            <w:tcBorders>
              <w:top w:val="single" w:sz="4" w:space="0" w:color="auto"/>
              <w:bottom w:val="single" w:sz="12" w:space="0" w:color="auto"/>
            </w:tcBorders>
            <w:shd w:val="clear" w:color="auto" w:fill="auto"/>
            <w:vAlign w:val="bottom"/>
          </w:tcPr>
          <w:p w14:paraId="7B48D074" w14:textId="24AF91E6" w:rsidR="0016597A" w:rsidRPr="0047249D" w:rsidRDefault="0016597A" w:rsidP="0047249D">
            <w:pPr>
              <w:spacing w:before="80" w:after="80" w:line="200" w:lineRule="exact"/>
              <w:ind w:right="113"/>
              <w:rPr>
                <w:i/>
                <w:sz w:val="16"/>
                <w:lang w:val="fr-MC"/>
              </w:rPr>
            </w:pPr>
            <w:r w:rsidRPr="0047249D">
              <w:rPr>
                <w:i/>
                <w:sz w:val="16"/>
                <w:lang w:val="fr-MC"/>
              </w:rPr>
              <w:t xml:space="preserve">Rapports </w:t>
            </w:r>
            <w:r w:rsidR="008C3AEE">
              <w:rPr>
                <w:i/>
                <w:sz w:val="16"/>
                <w:lang w:val="fr-MC"/>
              </w:rPr>
              <w:t>s</w:t>
            </w:r>
            <w:r w:rsidRPr="0047249D">
              <w:rPr>
                <w:i/>
                <w:sz w:val="16"/>
                <w:lang w:val="fr-MC"/>
              </w:rPr>
              <w:t>oumis</w:t>
            </w:r>
          </w:p>
        </w:tc>
      </w:tr>
      <w:tr w:rsidR="0047249D" w:rsidRPr="0047249D" w14:paraId="542F0593" w14:textId="77777777" w:rsidTr="000029F6">
        <w:trPr>
          <w:trHeight w:hRule="exact" w:val="113"/>
        </w:trPr>
        <w:tc>
          <w:tcPr>
            <w:tcW w:w="3852" w:type="dxa"/>
            <w:tcBorders>
              <w:top w:val="single" w:sz="12" w:space="0" w:color="auto"/>
            </w:tcBorders>
            <w:shd w:val="clear" w:color="auto" w:fill="auto"/>
            <w:tcMar>
              <w:top w:w="0" w:type="dxa"/>
              <w:left w:w="108" w:type="dxa"/>
              <w:bottom w:w="0" w:type="dxa"/>
              <w:right w:w="108" w:type="dxa"/>
            </w:tcMar>
          </w:tcPr>
          <w:p w14:paraId="3248EFB9" w14:textId="77777777" w:rsidR="0047249D" w:rsidRPr="0047249D" w:rsidRDefault="0047249D" w:rsidP="0047249D">
            <w:pPr>
              <w:spacing w:before="40" w:after="120"/>
              <w:ind w:right="113"/>
              <w:rPr>
                <w:lang w:val="fr-MC"/>
              </w:rPr>
            </w:pPr>
          </w:p>
        </w:tc>
        <w:tc>
          <w:tcPr>
            <w:tcW w:w="1285" w:type="dxa"/>
            <w:tcBorders>
              <w:top w:val="single" w:sz="12" w:space="0" w:color="auto"/>
            </w:tcBorders>
            <w:shd w:val="clear" w:color="auto" w:fill="auto"/>
            <w:tcMar>
              <w:top w:w="0" w:type="dxa"/>
              <w:left w:w="108" w:type="dxa"/>
              <w:bottom w:w="0" w:type="dxa"/>
              <w:right w:w="108" w:type="dxa"/>
            </w:tcMar>
          </w:tcPr>
          <w:p w14:paraId="33216479" w14:textId="77777777" w:rsidR="0047249D" w:rsidRPr="0047249D" w:rsidRDefault="0047249D" w:rsidP="0047249D">
            <w:pPr>
              <w:spacing w:before="40" w:after="120"/>
              <w:ind w:right="113"/>
              <w:rPr>
                <w:lang w:val="fr-MC"/>
              </w:rPr>
            </w:pPr>
          </w:p>
        </w:tc>
        <w:tc>
          <w:tcPr>
            <w:tcW w:w="1384" w:type="dxa"/>
            <w:tcBorders>
              <w:top w:val="single" w:sz="12" w:space="0" w:color="auto"/>
            </w:tcBorders>
            <w:shd w:val="clear" w:color="auto" w:fill="auto"/>
            <w:tcMar>
              <w:top w:w="0" w:type="dxa"/>
              <w:left w:w="108" w:type="dxa"/>
              <w:bottom w:w="0" w:type="dxa"/>
              <w:right w:w="108" w:type="dxa"/>
            </w:tcMar>
          </w:tcPr>
          <w:p w14:paraId="23184EC0" w14:textId="77777777" w:rsidR="0047249D" w:rsidRPr="0047249D" w:rsidRDefault="0047249D" w:rsidP="0047249D">
            <w:pPr>
              <w:spacing w:before="40" w:after="120"/>
              <w:ind w:right="113"/>
              <w:rPr>
                <w:lang w:val="fr-MC"/>
              </w:rPr>
            </w:pPr>
          </w:p>
        </w:tc>
        <w:tc>
          <w:tcPr>
            <w:tcW w:w="849" w:type="dxa"/>
            <w:tcBorders>
              <w:top w:val="single" w:sz="12" w:space="0" w:color="auto"/>
            </w:tcBorders>
            <w:shd w:val="clear" w:color="auto" w:fill="auto"/>
          </w:tcPr>
          <w:p w14:paraId="7691D897" w14:textId="77777777" w:rsidR="0047249D" w:rsidRPr="0047249D" w:rsidRDefault="0047249D" w:rsidP="0047249D">
            <w:pPr>
              <w:spacing w:before="40" w:after="120"/>
              <w:ind w:right="113"/>
              <w:rPr>
                <w:lang w:val="fr-MC"/>
              </w:rPr>
            </w:pPr>
          </w:p>
        </w:tc>
      </w:tr>
      <w:tr w:rsidR="0047249D" w:rsidRPr="0047249D" w14:paraId="39540F96" w14:textId="77777777" w:rsidTr="000029F6">
        <w:tc>
          <w:tcPr>
            <w:tcW w:w="3852" w:type="dxa"/>
            <w:shd w:val="clear" w:color="auto" w:fill="auto"/>
            <w:tcMar>
              <w:top w:w="0" w:type="dxa"/>
              <w:left w:w="108" w:type="dxa"/>
              <w:bottom w:w="0" w:type="dxa"/>
              <w:right w:w="108" w:type="dxa"/>
            </w:tcMar>
          </w:tcPr>
          <w:p w14:paraId="2AF5C7D3" w14:textId="77777777" w:rsidR="0016597A" w:rsidRPr="0047249D" w:rsidRDefault="0016597A" w:rsidP="0047249D">
            <w:pPr>
              <w:spacing w:before="40" w:after="120"/>
              <w:ind w:right="113"/>
              <w:rPr>
                <w:lang w:val="fr-MC"/>
              </w:rPr>
            </w:pPr>
            <w:r w:rsidRPr="0047249D">
              <w:rPr>
                <w:lang w:val="fr-MC"/>
              </w:rPr>
              <w:t>Acte constitutif de l’Union Africaine, Lomé Togo, 11 juillet 2000</w:t>
            </w:r>
          </w:p>
        </w:tc>
        <w:tc>
          <w:tcPr>
            <w:tcW w:w="1285" w:type="dxa"/>
            <w:shd w:val="clear" w:color="auto" w:fill="auto"/>
            <w:tcMar>
              <w:top w:w="0" w:type="dxa"/>
              <w:left w:w="108" w:type="dxa"/>
              <w:bottom w:w="0" w:type="dxa"/>
              <w:right w:w="108" w:type="dxa"/>
            </w:tcMar>
          </w:tcPr>
          <w:p w14:paraId="31FFA0F3" w14:textId="77777777" w:rsidR="0016597A" w:rsidRPr="0047249D" w:rsidRDefault="0016597A" w:rsidP="0047249D">
            <w:pPr>
              <w:spacing w:before="40" w:after="120"/>
              <w:ind w:right="113"/>
              <w:rPr>
                <w:lang w:val="fr-MC"/>
              </w:rPr>
            </w:pPr>
            <w:r w:rsidRPr="0047249D">
              <w:rPr>
                <w:lang w:val="fr-MC"/>
              </w:rPr>
              <w:t>10/07/2000</w:t>
            </w:r>
          </w:p>
        </w:tc>
        <w:tc>
          <w:tcPr>
            <w:tcW w:w="1384" w:type="dxa"/>
            <w:shd w:val="clear" w:color="auto" w:fill="auto"/>
            <w:tcMar>
              <w:top w:w="0" w:type="dxa"/>
              <w:left w:w="108" w:type="dxa"/>
              <w:bottom w:w="0" w:type="dxa"/>
              <w:right w:w="108" w:type="dxa"/>
            </w:tcMar>
          </w:tcPr>
          <w:p w14:paraId="36CE6611" w14:textId="77777777" w:rsidR="0016597A" w:rsidRPr="0047249D" w:rsidRDefault="0016597A" w:rsidP="0047249D">
            <w:pPr>
              <w:spacing w:before="40" w:after="120"/>
              <w:ind w:right="113"/>
              <w:rPr>
                <w:lang w:val="fr-MC"/>
              </w:rPr>
            </w:pPr>
            <w:r w:rsidRPr="0047249D">
              <w:rPr>
                <w:lang w:val="fr-MC"/>
              </w:rPr>
              <w:t>28/02/2001</w:t>
            </w:r>
          </w:p>
        </w:tc>
        <w:tc>
          <w:tcPr>
            <w:tcW w:w="849" w:type="dxa"/>
            <w:shd w:val="clear" w:color="auto" w:fill="auto"/>
          </w:tcPr>
          <w:p w14:paraId="272E6136" w14:textId="77777777" w:rsidR="0016597A" w:rsidRPr="0047249D" w:rsidRDefault="0016597A" w:rsidP="0047249D">
            <w:pPr>
              <w:spacing w:before="40" w:after="120"/>
              <w:ind w:right="113"/>
              <w:rPr>
                <w:lang w:val="fr-MC"/>
              </w:rPr>
            </w:pPr>
            <w:r w:rsidRPr="0047249D">
              <w:rPr>
                <w:lang w:val="fr-MC"/>
              </w:rPr>
              <w:t>-</w:t>
            </w:r>
          </w:p>
        </w:tc>
      </w:tr>
      <w:tr w:rsidR="0047249D" w:rsidRPr="0047249D" w14:paraId="742E6208" w14:textId="77777777" w:rsidTr="000029F6">
        <w:tc>
          <w:tcPr>
            <w:tcW w:w="3852" w:type="dxa"/>
            <w:shd w:val="clear" w:color="auto" w:fill="auto"/>
            <w:tcMar>
              <w:top w:w="0" w:type="dxa"/>
              <w:left w:w="108" w:type="dxa"/>
              <w:bottom w:w="0" w:type="dxa"/>
              <w:right w:w="108" w:type="dxa"/>
            </w:tcMar>
          </w:tcPr>
          <w:p w14:paraId="7831FCC8" w14:textId="5C20FBAE" w:rsidR="0016597A" w:rsidRPr="0047249D" w:rsidRDefault="0016597A" w:rsidP="003C0BF6">
            <w:pPr>
              <w:spacing w:before="40" w:after="120"/>
              <w:ind w:right="113"/>
              <w:rPr>
                <w:lang w:val="fr-MC"/>
              </w:rPr>
            </w:pPr>
            <w:r w:rsidRPr="0047249D">
              <w:rPr>
                <w:lang w:val="fr-MC"/>
              </w:rPr>
              <w:t>Convention de l’OUA régissant les aspects propres aux problèmes des réfugiés en Afrique, Addis-Abeba, 6-10 septembre 1969</w:t>
            </w:r>
          </w:p>
        </w:tc>
        <w:tc>
          <w:tcPr>
            <w:tcW w:w="1285" w:type="dxa"/>
            <w:shd w:val="clear" w:color="auto" w:fill="auto"/>
            <w:tcMar>
              <w:top w:w="0" w:type="dxa"/>
              <w:left w:w="108" w:type="dxa"/>
              <w:bottom w:w="0" w:type="dxa"/>
              <w:right w:w="108" w:type="dxa"/>
            </w:tcMar>
          </w:tcPr>
          <w:p w14:paraId="30BB7859" w14:textId="77777777" w:rsidR="0016597A" w:rsidRPr="0047249D" w:rsidRDefault="0016597A" w:rsidP="0047249D">
            <w:pPr>
              <w:spacing w:before="40" w:after="120"/>
              <w:ind w:right="113"/>
              <w:rPr>
                <w:lang w:val="fr-MC"/>
              </w:rPr>
            </w:pPr>
            <w:r w:rsidRPr="0047249D">
              <w:rPr>
                <w:lang w:val="fr-MC"/>
              </w:rPr>
              <w:t>10/9/1969</w:t>
            </w:r>
          </w:p>
        </w:tc>
        <w:tc>
          <w:tcPr>
            <w:tcW w:w="1384" w:type="dxa"/>
            <w:shd w:val="clear" w:color="auto" w:fill="auto"/>
            <w:tcMar>
              <w:top w:w="0" w:type="dxa"/>
              <w:left w:w="108" w:type="dxa"/>
              <w:bottom w:w="0" w:type="dxa"/>
              <w:right w:w="108" w:type="dxa"/>
            </w:tcMar>
          </w:tcPr>
          <w:p w14:paraId="2304B331" w14:textId="76D764D7" w:rsidR="0016597A" w:rsidRPr="0047249D" w:rsidRDefault="0016597A" w:rsidP="0047249D">
            <w:pPr>
              <w:spacing w:before="40" w:after="120"/>
              <w:ind w:right="113"/>
              <w:rPr>
                <w:lang w:val="fr-MC"/>
              </w:rPr>
            </w:pPr>
            <w:r w:rsidRPr="0047249D">
              <w:rPr>
                <w:lang w:val="fr-MC"/>
              </w:rPr>
              <w:t>31/10/1975</w:t>
            </w:r>
          </w:p>
        </w:tc>
        <w:tc>
          <w:tcPr>
            <w:tcW w:w="849" w:type="dxa"/>
            <w:shd w:val="clear" w:color="auto" w:fill="auto"/>
          </w:tcPr>
          <w:p w14:paraId="065B35DF" w14:textId="77777777" w:rsidR="0016597A" w:rsidRPr="0047249D" w:rsidRDefault="0016597A" w:rsidP="0047249D">
            <w:pPr>
              <w:spacing w:before="40" w:after="120"/>
              <w:ind w:right="113"/>
              <w:rPr>
                <w:lang w:val="fr-MC"/>
              </w:rPr>
            </w:pPr>
            <w:r w:rsidRPr="0047249D">
              <w:rPr>
                <w:lang w:val="fr-MC"/>
              </w:rPr>
              <w:t xml:space="preserve"> -</w:t>
            </w:r>
          </w:p>
        </w:tc>
      </w:tr>
      <w:tr w:rsidR="0047249D" w:rsidRPr="0047249D" w14:paraId="42A270B4" w14:textId="77777777" w:rsidTr="000029F6">
        <w:tc>
          <w:tcPr>
            <w:tcW w:w="3852" w:type="dxa"/>
            <w:shd w:val="clear" w:color="auto" w:fill="auto"/>
            <w:tcMar>
              <w:top w:w="0" w:type="dxa"/>
              <w:left w:w="108" w:type="dxa"/>
              <w:bottom w:w="0" w:type="dxa"/>
              <w:right w:w="108" w:type="dxa"/>
            </w:tcMar>
          </w:tcPr>
          <w:p w14:paraId="1F59DF4E" w14:textId="4987530A" w:rsidR="0016597A" w:rsidRPr="0047249D" w:rsidRDefault="0016597A" w:rsidP="003C0BF6">
            <w:pPr>
              <w:spacing w:before="40" w:after="120"/>
              <w:ind w:right="113"/>
              <w:rPr>
                <w:lang w:val="fr-MC"/>
              </w:rPr>
            </w:pPr>
            <w:r w:rsidRPr="0047249D">
              <w:rPr>
                <w:lang w:val="fr-MC"/>
              </w:rPr>
              <w:t xml:space="preserve">Charte Culturelle de l’Afrique, Port Louis, Maurice, 5 juillet 1977 </w:t>
            </w:r>
          </w:p>
        </w:tc>
        <w:tc>
          <w:tcPr>
            <w:tcW w:w="1285" w:type="dxa"/>
            <w:shd w:val="clear" w:color="auto" w:fill="auto"/>
            <w:tcMar>
              <w:top w:w="0" w:type="dxa"/>
              <w:left w:w="108" w:type="dxa"/>
              <w:bottom w:w="0" w:type="dxa"/>
              <w:right w:w="108" w:type="dxa"/>
            </w:tcMar>
          </w:tcPr>
          <w:p w14:paraId="55D867EF" w14:textId="77777777" w:rsidR="0016597A" w:rsidRPr="0047249D" w:rsidRDefault="0016597A" w:rsidP="0047249D">
            <w:pPr>
              <w:spacing w:before="40" w:after="120"/>
              <w:ind w:right="113"/>
              <w:rPr>
                <w:lang w:val="fr-MC"/>
              </w:rPr>
            </w:pPr>
            <w:r w:rsidRPr="0047249D">
              <w:rPr>
                <w:lang w:val="fr-MC"/>
              </w:rPr>
              <w:t>---</w:t>
            </w:r>
          </w:p>
        </w:tc>
        <w:tc>
          <w:tcPr>
            <w:tcW w:w="1384" w:type="dxa"/>
            <w:shd w:val="clear" w:color="auto" w:fill="auto"/>
            <w:tcMar>
              <w:top w:w="0" w:type="dxa"/>
              <w:left w:w="108" w:type="dxa"/>
              <w:bottom w:w="0" w:type="dxa"/>
              <w:right w:w="108" w:type="dxa"/>
            </w:tcMar>
          </w:tcPr>
          <w:p w14:paraId="6A18294B" w14:textId="77777777" w:rsidR="0016597A" w:rsidRPr="0047249D" w:rsidRDefault="0016597A" w:rsidP="0047249D">
            <w:pPr>
              <w:spacing w:before="40" w:after="120"/>
              <w:ind w:right="113"/>
              <w:rPr>
                <w:lang w:val="fr-MC"/>
              </w:rPr>
            </w:pPr>
            <w:r w:rsidRPr="0047249D">
              <w:rPr>
                <w:lang w:val="fr-MC"/>
              </w:rPr>
              <w:t>02/03/1990</w:t>
            </w:r>
          </w:p>
        </w:tc>
        <w:tc>
          <w:tcPr>
            <w:tcW w:w="849" w:type="dxa"/>
            <w:shd w:val="clear" w:color="auto" w:fill="auto"/>
          </w:tcPr>
          <w:p w14:paraId="3BF50A8C" w14:textId="77777777" w:rsidR="0016597A" w:rsidRPr="0047249D" w:rsidRDefault="0016597A" w:rsidP="0047249D">
            <w:pPr>
              <w:spacing w:before="40" w:after="120"/>
              <w:ind w:right="113"/>
              <w:rPr>
                <w:lang w:val="fr-MC"/>
              </w:rPr>
            </w:pPr>
            <w:r w:rsidRPr="0047249D">
              <w:rPr>
                <w:lang w:val="fr-MC"/>
              </w:rPr>
              <w:t xml:space="preserve"> -</w:t>
            </w:r>
          </w:p>
        </w:tc>
      </w:tr>
      <w:tr w:rsidR="0047249D" w:rsidRPr="0047249D" w14:paraId="06F7E615" w14:textId="77777777" w:rsidTr="000029F6">
        <w:tc>
          <w:tcPr>
            <w:tcW w:w="3852" w:type="dxa"/>
            <w:shd w:val="clear" w:color="auto" w:fill="auto"/>
            <w:tcMar>
              <w:top w:w="0" w:type="dxa"/>
              <w:left w:w="108" w:type="dxa"/>
              <w:bottom w:w="0" w:type="dxa"/>
              <w:right w:w="108" w:type="dxa"/>
            </w:tcMar>
          </w:tcPr>
          <w:p w14:paraId="3191CF2A" w14:textId="14E54B56" w:rsidR="0016597A" w:rsidRPr="0047249D" w:rsidRDefault="0016597A" w:rsidP="003C0BF6">
            <w:pPr>
              <w:spacing w:before="40" w:after="120"/>
              <w:ind w:right="113"/>
              <w:rPr>
                <w:lang w:val="fr-MC"/>
              </w:rPr>
            </w:pPr>
            <w:r w:rsidRPr="0047249D">
              <w:rPr>
                <w:lang w:val="fr-MC"/>
              </w:rPr>
              <w:t>Charte Africaine des Droits de l’Homme et des Peuples, Nairobi, Kenya, 1981</w:t>
            </w:r>
          </w:p>
        </w:tc>
        <w:tc>
          <w:tcPr>
            <w:tcW w:w="1285" w:type="dxa"/>
            <w:shd w:val="clear" w:color="auto" w:fill="auto"/>
            <w:tcMar>
              <w:top w:w="0" w:type="dxa"/>
              <w:left w:w="108" w:type="dxa"/>
              <w:bottom w:w="0" w:type="dxa"/>
              <w:right w:w="108" w:type="dxa"/>
            </w:tcMar>
          </w:tcPr>
          <w:p w14:paraId="41C554F3" w14:textId="77777777" w:rsidR="0016597A" w:rsidRPr="0047249D" w:rsidRDefault="0016597A" w:rsidP="0047249D">
            <w:pPr>
              <w:spacing w:before="40" w:after="120"/>
              <w:ind w:right="113"/>
              <w:rPr>
                <w:lang w:val="fr-MC"/>
              </w:rPr>
            </w:pPr>
            <w:r w:rsidRPr="0047249D">
              <w:rPr>
                <w:lang w:val="fr-MC"/>
              </w:rPr>
              <w:t>28/06/1989</w:t>
            </w:r>
          </w:p>
        </w:tc>
        <w:tc>
          <w:tcPr>
            <w:tcW w:w="1384" w:type="dxa"/>
            <w:shd w:val="clear" w:color="auto" w:fill="auto"/>
            <w:tcMar>
              <w:top w:w="0" w:type="dxa"/>
              <w:left w:w="108" w:type="dxa"/>
              <w:bottom w:w="0" w:type="dxa"/>
              <w:right w:w="108" w:type="dxa"/>
            </w:tcMar>
          </w:tcPr>
          <w:p w14:paraId="4BEACE18" w14:textId="5817AEB8" w:rsidR="0016597A" w:rsidRPr="0047249D" w:rsidRDefault="0016597A" w:rsidP="003C0BF6">
            <w:pPr>
              <w:spacing w:before="40" w:after="120"/>
              <w:ind w:right="113"/>
              <w:rPr>
                <w:lang w:val="fr-MC"/>
              </w:rPr>
            </w:pPr>
            <w:r w:rsidRPr="0047249D">
              <w:rPr>
                <w:lang w:val="fr-MC"/>
              </w:rPr>
              <w:t>28/07/1989</w:t>
            </w:r>
          </w:p>
        </w:tc>
        <w:tc>
          <w:tcPr>
            <w:tcW w:w="849" w:type="dxa"/>
            <w:shd w:val="clear" w:color="auto" w:fill="auto"/>
          </w:tcPr>
          <w:p w14:paraId="09F15393" w14:textId="1F96AA07" w:rsidR="0016597A" w:rsidRPr="0047249D" w:rsidRDefault="0016597A" w:rsidP="0047249D">
            <w:pPr>
              <w:spacing w:before="40" w:after="120"/>
              <w:ind w:right="113"/>
              <w:rPr>
                <w:lang w:val="fr-MC"/>
              </w:rPr>
            </w:pPr>
            <w:r w:rsidRPr="0047249D">
              <w:rPr>
                <w:lang w:val="fr-MC"/>
              </w:rPr>
              <w:t>2000</w:t>
            </w:r>
          </w:p>
          <w:p w14:paraId="0A1FF49D" w14:textId="72059892" w:rsidR="0016597A" w:rsidRPr="0047249D" w:rsidRDefault="0016597A" w:rsidP="0047249D">
            <w:pPr>
              <w:spacing w:before="40" w:after="120"/>
              <w:ind w:right="113"/>
              <w:rPr>
                <w:lang w:val="fr-MC"/>
              </w:rPr>
            </w:pPr>
            <w:r w:rsidRPr="0047249D">
              <w:rPr>
                <w:lang w:val="fr-MC"/>
              </w:rPr>
              <w:t>2011</w:t>
            </w:r>
          </w:p>
        </w:tc>
      </w:tr>
      <w:tr w:rsidR="0047249D" w:rsidRPr="0047249D" w14:paraId="52AF62C9" w14:textId="77777777" w:rsidTr="000029F6">
        <w:tc>
          <w:tcPr>
            <w:tcW w:w="3852" w:type="dxa"/>
            <w:shd w:val="clear" w:color="auto" w:fill="auto"/>
            <w:tcMar>
              <w:top w:w="0" w:type="dxa"/>
              <w:left w:w="108" w:type="dxa"/>
              <w:bottom w:w="0" w:type="dxa"/>
              <w:right w:w="108" w:type="dxa"/>
            </w:tcMar>
          </w:tcPr>
          <w:p w14:paraId="623DBFAF" w14:textId="24B8DA9A" w:rsidR="0016597A" w:rsidRPr="0047249D" w:rsidRDefault="0016597A" w:rsidP="00BF2F03">
            <w:pPr>
              <w:spacing w:before="40" w:after="120"/>
              <w:ind w:right="113"/>
              <w:rPr>
                <w:lang w:val="fr-MC"/>
              </w:rPr>
            </w:pPr>
            <w:r w:rsidRPr="0047249D">
              <w:rPr>
                <w:lang w:val="fr-MC"/>
              </w:rPr>
              <w:t>Charte Africaine des Droits et du Bien-être de l’Enfant</w:t>
            </w:r>
          </w:p>
        </w:tc>
        <w:tc>
          <w:tcPr>
            <w:tcW w:w="1285" w:type="dxa"/>
            <w:shd w:val="clear" w:color="auto" w:fill="auto"/>
            <w:tcMar>
              <w:top w:w="0" w:type="dxa"/>
              <w:left w:w="108" w:type="dxa"/>
              <w:bottom w:w="0" w:type="dxa"/>
              <w:right w:w="108" w:type="dxa"/>
            </w:tcMar>
          </w:tcPr>
          <w:p w14:paraId="75EF90C9" w14:textId="77777777" w:rsidR="0016597A" w:rsidRPr="0047249D" w:rsidRDefault="0016597A" w:rsidP="0047249D">
            <w:pPr>
              <w:spacing w:before="40" w:after="120"/>
              <w:ind w:right="113"/>
              <w:rPr>
                <w:lang w:val="fr-MC"/>
              </w:rPr>
            </w:pPr>
            <w:r w:rsidRPr="0047249D">
              <w:rPr>
                <w:lang w:val="fr-MC"/>
              </w:rPr>
              <w:t>21/05/2004</w:t>
            </w:r>
          </w:p>
        </w:tc>
        <w:tc>
          <w:tcPr>
            <w:tcW w:w="1384" w:type="dxa"/>
            <w:shd w:val="clear" w:color="auto" w:fill="auto"/>
            <w:tcMar>
              <w:top w:w="0" w:type="dxa"/>
              <w:left w:w="108" w:type="dxa"/>
              <w:bottom w:w="0" w:type="dxa"/>
              <w:right w:w="108" w:type="dxa"/>
            </w:tcMar>
          </w:tcPr>
          <w:p w14:paraId="029264A9" w14:textId="77777777" w:rsidR="0016597A" w:rsidRPr="0047249D" w:rsidRDefault="0016597A" w:rsidP="0047249D">
            <w:pPr>
              <w:spacing w:before="40" w:after="120"/>
              <w:ind w:right="113"/>
              <w:rPr>
                <w:lang w:val="fr-MC"/>
              </w:rPr>
            </w:pPr>
            <w:r w:rsidRPr="0047249D">
              <w:rPr>
                <w:lang w:val="fr-MC"/>
              </w:rPr>
              <w:t>28/06/2004</w:t>
            </w:r>
          </w:p>
        </w:tc>
        <w:tc>
          <w:tcPr>
            <w:tcW w:w="849" w:type="dxa"/>
            <w:shd w:val="clear" w:color="auto" w:fill="auto"/>
          </w:tcPr>
          <w:p w14:paraId="452C61C4" w14:textId="40448F9B" w:rsidR="0016597A" w:rsidRPr="0047249D" w:rsidRDefault="0016597A" w:rsidP="0047249D">
            <w:pPr>
              <w:spacing w:before="40" w:after="120"/>
              <w:ind w:right="113"/>
              <w:rPr>
                <w:lang w:val="fr-MC"/>
              </w:rPr>
            </w:pPr>
            <w:r w:rsidRPr="0047249D">
              <w:rPr>
                <w:lang w:val="fr-MC"/>
              </w:rPr>
              <w:t>2018</w:t>
            </w:r>
          </w:p>
        </w:tc>
      </w:tr>
      <w:tr w:rsidR="0047249D" w:rsidRPr="0047249D" w14:paraId="0F2F6C85" w14:textId="77777777" w:rsidTr="000029F6">
        <w:tc>
          <w:tcPr>
            <w:tcW w:w="3852" w:type="dxa"/>
            <w:shd w:val="clear" w:color="auto" w:fill="auto"/>
            <w:tcMar>
              <w:top w:w="0" w:type="dxa"/>
              <w:left w:w="108" w:type="dxa"/>
              <w:bottom w:w="0" w:type="dxa"/>
              <w:right w:w="108" w:type="dxa"/>
            </w:tcMar>
          </w:tcPr>
          <w:p w14:paraId="2D6DADE9" w14:textId="7DA2E3F4" w:rsidR="0016597A" w:rsidRPr="0047249D" w:rsidRDefault="0016597A" w:rsidP="0047249D">
            <w:pPr>
              <w:spacing w:before="40" w:after="120"/>
              <w:ind w:right="113"/>
              <w:rPr>
                <w:lang w:val="fr-MC"/>
              </w:rPr>
            </w:pPr>
            <w:r w:rsidRPr="0047249D">
              <w:rPr>
                <w:lang w:val="fr-MC"/>
              </w:rPr>
              <w:t>Protocole relatif à la Charte Africaine des Droits de l’Homme et des Peuples portant création d’une Cour Africaine des Droits de</w:t>
            </w:r>
            <w:r w:rsidR="000B68E7">
              <w:rPr>
                <w:lang w:val="fr-MC"/>
              </w:rPr>
              <w:t> </w:t>
            </w:r>
            <w:r w:rsidRPr="0047249D">
              <w:rPr>
                <w:lang w:val="fr-MC"/>
              </w:rPr>
              <w:t>l’Homme et des Peuples, Ouagadougou, Burkina Faso, 10 juin 1998</w:t>
            </w:r>
          </w:p>
        </w:tc>
        <w:tc>
          <w:tcPr>
            <w:tcW w:w="1285" w:type="dxa"/>
            <w:shd w:val="clear" w:color="auto" w:fill="auto"/>
            <w:tcMar>
              <w:top w:w="0" w:type="dxa"/>
              <w:left w:w="108" w:type="dxa"/>
              <w:bottom w:w="0" w:type="dxa"/>
              <w:right w:w="108" w:type="dxa"/>
            </w:tcMar>
          </w:tcPr>
          <w:p w14:paraId="63B584E8" w14:textId="77777777" w:rsidR="0016597A" w:rsidRPr="0047249D" w:rsidRDefault="0016597A" w:rsidP="0047249D">
            <w:pPr>
              <w:spacing w:before="40" w:after="120"/>
              <w:ind w:right="113"/>
              <w:rPr>
                <w:lang w:val="fr-MC"/>
              </w:rPr>
            </w:pPr>
            <w:r w:rsidRPr="0047249D">
              <w:rPr>
                <w:lang w:val="fr-MC"/>
              </w:rPr>
              <w:t>09/06/1998</w:t>
            </w:r>
          </w:p>
        </w:tc>
        <w:tc>
          <w:tcPr>
            <w:tcW w:w="1384" w:type="dxa"/>
            <w:shd w:val="clear" w:color="auto" w:fill="auto"/>
            <w:tcMar>
              <w:top w:w="0" w:type="dxa"/>
              <w:left w:w="108" w:type="dxa"/>
              <w:bottom w:w="0" w:type="dxa"/>
              <w:right w:w="108" w:type="dxa"/>
            </w:tcMar>
          </w:tcPr>
          <w:p w14:paraId="45B89A23" w14:textId="77777777" w:rsidR="0016597A" w:rsidRPr="0047249D" w:rsidRDefault="0016597A" w:rsidP="0047249D">
            <w:pPr>
              <w:spacing w:before="40" w:after="120"/>
              <w:ind w:right="113"/>
              <w:rPr>
                <w:lang w:val="fr-MC"/>
              </w:rPr>
            </w:pPr>
            <w:r w:rsidRPr="0047249D">
              <w:rPr>
                <w:lang w:val="fr-MC"/>
              </w:rPr>
              <w:t>02/04/2003</w:t>
            </w:r>
          </w:p>
        </w:tc>
        <w:tc>
          <w:tcPr>
            <w:tcW w:w="849" w:type="dxa"/>
            <w:shd w:val="clear" w:color="auto" w:fill="auto"/>
          </w:tcPr>
          <w:p w14:paraId="55FE1318" w14:textId="77777777" w:rsidR="0016597A" w:rsidRPr="0047249D" w:rsidRDefault="0016597A" w:rsidP="0047249D">
            <w:pPr>
              <w:spacing w:before="40" w:after="120"/>
              <w:ind w:right="113"/>
              <w:rPr>
                <w:lang w:val="fr-MC"/>
              </w:rPr>
            </w:pPr>
            <w:r w:rsidRPr="0047249D">
              <w:rPr>
                <w:lang w:val="fr-MC"/>
              </w:rPr>
              <w:t>-</w:t>
            </w:r>
          </w:p>
        </w:tc>
      </w:tr>
      <w:tr w:rsidR="0047249D" w:rsidRPr="0047249D" w14:paraId="6D3901B8" w14:textId="77777777" w:rsidTr="000029F6">
        <w:tc>
          <w:tcPr>
            <w:tcW w:w="3852" w:type="dxa"/>
            <w:shd w:val="clear" w:color="auto" w:fill="auto"/>
            <w:tcMar>
              <w:top w:w="0" w:type="dxa"/>
              <w:left w:w="108" w:type="dxa"/>
              <w:bottom w:w="0" w:type="dxa"/>
              <w:right w:w="108" w:type="dxa"/>
            </w:tcMar>
          </w:tcPr>
          <w:p w14:paraId="2962D3E7" w14:textId="77777777" w:rsidR="0016597A" w:rsidRPr="0047249D" w:rsidRDefault="0016597A" w:rsidP="0047249D">
            <w:pPr>
              <w:spacing w:before="40" w:after="120"/>
              <w:ind w:right="113"/>
              <w:rPr>
                <w:lang w:val="fr-MC"/>
              </w:rPr>
            </w:pPr>
            <w:r w:rsidRPr="0047249D">
              <w:rPr>
                <w:lang w:val="fr-MC"/>
              </w:rPr>
              <w:t>Convention de l’OUA sur la prévention et la lutte contre le terrorisme, Alger, Algérie, 1</w:t>
            </w:r>
            <w:r w:rsidRPr="0047249D">
              <w:rPr>
                <w:vertAlign w:val="superscript"/>
                <w:lang w:val="fr-MC"/>
              </w:rPr>
              <w:t>er</w:t>
            </w:r>
            <w:r w:rsidRPr="0047249D">
              <w:rPr>
                <w:lang w:val="fr-MC"/>
              </w:rPr>
              <w:t xml:space="preserve"> juillet 1999</w:t>
            </w:r>
          </w:p>
        </w:tc>
        <w:tc>
          <w:tcPr>
            <w:tcW w:w="1285" w:type="dxa"/>
            <w:shd w:val="clear" w:color="auto" w:fill="auto"/>
            <w:tcMar>
              <w:top w:w="0" w:type="dxa"/>
              <w:left w:w="108" w:type="dxa"/>
              <w:bottom w:w="0" w:type="dxa"/>
              <w:right w:w="108" w:type="dxa"/>
            </w:tcMar>
          </w:tcPr>
          <w:p w14:paraId="4F68177D" w14:textId="77777777" w:rsidR="0016597A" w:rsidRPr="0047249D" w:rsidRDefault="0016597A" w:rsidP="0047249D">
            <w:pPr>
              <w:spacing w:before="40" w:after="120"/>
              <w:ind w:right="113"/>
              <w:rPr>
                <w:lang w:val="fr-MC"/>
              </w:rPr>
            </w:pPr>
            <w:r w:rsidRPr="0047249D">
              <w:rPr>
                <w:lang w:val="fr-MC"/>
              </w:rPr>
              <w:t>14/07/1999</w:t>
            </w:r>
          </w:p>
        </w:tc>
        <w:tc>
          <w:tcPr>
            <w:tcW w:w="1384" w:type="dxa"/>
            <w:shd w:val="clear" w:color="auto" w:fill="auto"/>
            <w:tcMar>
              <w:top w:w="0" w:type="dxa"/>
              <w:left w:w="108" w:type="dxa"/>
              <w:bottom w:w="0" w:type="dxa"/>
              <w:right w:w="108" w:type="dxa"/>
            </w:tcMar>
          </w:tcPr>
          <w:p w14:paraId="6759F6B1" w14:textId="77777777" w:rsidR="0016597A" w:rsidRPr="0047249D" w:rsidRDefault="0016597A" w:rsidP="0047249D">
            <w:pPr>
              <w:spacing w:before="40" w:after="120"/>
              <w:ind w:right="113"/>
              <w:rPr>
                <w:lang w:val="fr-MC"/>
              </w:rPr>
            </w:pPr>
            <w:r w:rsidRPr="0047249D">
              <w:rPr>
                <w:lang w:val="fr-MC"/>
              </w:rPr>
              <w:t>04/11/2003</w:t>
            </w:r>
          </w:p>
        </w:tc>
        <w:tc>
          <w:tcPr>
            <w:tcW w:w="849" w:type="dxa"/>
            <w:shd w:val="clear" w:color="auto" w:fill="auto"/>
          </w:tcPr>
          <w:p w14:paraId="0159CDCE" w14:textId="77777777" w:rsidR="0016597A" w:rsidRPr="0047249D" w:rsidRDefault="0016597A" w:rsidP="0047249D">
            <w:pPr>
              <w:spacing w:before="40" w:after="120"/>
              <w:ind w:right="113"/>
              <w:rPr>
                <w:lang w:val="fr-MC"/>
              </w:rPr>
            </w:pPr>
          </w:p>
        </w:tc>
      </w:tr>
      <w:tr w:rsidR="0047249D" w:rsidRPr="0047249D" w14:paraId="428A7DFC" w14:textId="77777777" w:rsidTr="000029F6">
        <w:tc>
          <w:tcPr>
            <w:tcW w:w="3852" w:type="dxa"/>
            <w:shd w:val="clear" w:color="auto" w:fill="auto"/>
            <w:tcMar>
              <w:top w:w="0" w:type="dxa"/>
              <w:left w:w="108" w:type="dxa"/>
              <w:bottom w:w="0" w:type="dxa"/>
              <w:right w:w="108" w:type="dxa"/>
            </w:tcMar>
          </w:tcPr>
          <w:p w14:paraId="12739839" w14:textId="3841B2DF" w:rsidR="0016597A" w:rsidRPr="0047249D" w:rsidRDefault="0016597A" w:rsidP="00BF2F03">
            <w:pPr>
              <w:spacing w:before="40" w:after="120"/>
              <w:ind w:right="113"/>
              <w:rPr>
                <w:lang w:val="fr-MC"/>
              </w:rPr>
            </w:pPr>
            <w:r w:rsidRPr="0047249D">
              <w:rPr>
                <w:lang w:val="fr-MC"/>
              </w:rPr>
              <w:t xml:space="preserve">Protocole au Traité instituant la Communauté Economique Africaine, relatif au Parlement Panafricain, </w:t>
            </w:r>
            <w:proofErr w:type="spellStart"/>
            <w:r w:rsidRPr="0047249D">
              <w:rPr>
                <w:lang w:val="fr-MC"/>
              </w:rPr>
              <w:t>Sirte</w:t>
            </w:r>
            <w:proofErr w:type="spellEnd"/>
            <w:r w:rsidRPr="0047249D">
              <w:rPr>
                <w:lang w:val="fr-MC"/>
              </w:rPr>
              <w:t>, Libye, 2</w:t>
            </w:r>
            <w:r w:rsidR="007D3DCC">
              <w:rPr>
                <w:lang w:val="fr-MC"/>
              </w:rPr>
              <w:t> </w:t>
            </w:r>
            <w:r w:rsidRPr="0047249D">
              <w:rPr>
                <w:lang w:val="fr-MC"/>
              </w:rPr>
              <w:t>mars 1969</w:t>
            </w:r>
          </w:p>
        </w:tc>
        <w:tc>
          <w:tcPr>
            <w:tcW w:w="1285" w:type="dxa"/>
            <w:shd w:val="clear" w:color="auto" w:fill="auto"/>
            <w:tcMar>
              <w:top w:w="0" w:type="dxa"/>
              <w:left w:w="108" w:type="dxa"/>
              <w:bottom w:w="0" w:type="dxa"/>
              <w:right w:w="108" w:type="dxa"/>
            </w:tcMar>
          </w:tcPr>
          <w:p w14:paraId="77A3864A" w14:textId="77777777" w:rsidR="0016597A" w:rsidRPr="0047249D" w:rsidRDefault="0016597A" w:rsidP="0047249D">
            <w:pPr>
              <w:spacing w:before="40" w:after="120"/>
              <w:ind w:right="113"/>
              <w:rPr>
                <w:lang w:val="fr-MC"/>
              </w:rPr>
            </w:pPr>
            <w:r w:rsidRPr="0047249D">
              <w:rPr>
                <w:lang w:val="fr-MC"/>
              </w:rPr>
              <w:t>29/11/2002</w:t>
            </w:r>
          </w:p>
        </w:tc>
        <w:tc>
          <w:tcPr>
            <w:tcW w:w="1384" w:type="dxa"/>
            <w:shd w:val="clear" w:color="auto" w:fill="auto"/>
            <w:tcMar>
              <w:top w:w="0" w:type="dxa"/>
              <w:left w:w="108" w:type="dxa"/>
              <w:bottom w:w="0" w:type="dxa"/>
              <w:right w:w="108" w:type="dxa"/>
            </w:tcMar>
          </w:tcPr>
          <w:p w14:paraId="5763BEF1" w14:textId="77777777" w:rsidR="0016597A" w:rsidRPr="0047249D" w:rsidRDefault="0016597A" w:rsidP="0047249D">
            <w:pPr>
              <w:spacing w:before="40" w:after="120"/>
              <w:ind w:right="113"/>
              <w:rPr>
                <w:lang w:val="fr-MC"/>
              </w:rPr>
            </w:pPr>
            <w:r w:rsidRPr="0047249D">
              <w:rPr>
                <w:lang w:val="fr-MC"/>
              </w:rPr>
              <w:t>04/11/2003</w:t>
            </w:r>
          </w:p>
        </w:tc>
        <w:tc>
          <w:tcPr>
            <w:tcW w:w="849" w:type="dxa"/>
            <w:shd w:val="clear" w:color="auto" w:fill="auto"/>
          </w:tcPr>
          <w:p w14:paraId="28A0F958" w14:textId="77777777" w:rsidR="0016597A" w:rsidRPr="0047249D" w:rsidRDefault="0016597A" w:rsidP="0047249D">
            <w:pPr>
              <w:spacing w:before="40" w:after="120"/>
              <w:ind w:right="113"/>
              <w:rPr>
                <w:lang w:val="fr-MC"/>
              </w:rPr>
            </w:pPr>
          </w:p>
        </w:tc>
      </w:tr>
      <w:tr w:rsidR="0047249D" w:rsidRPr="0047249D" w14:paraId="6142073B" w14:textId="77777777" w:rsidTr="000029F6">
        <w:tc>
          <w:tcPr>
            <w:tcW w:w="3852" w:type="dxa"/>
            <w:shd w:val="clear" w:color="auto" w:fill="auto"/>
            <w:tcMar>
              <w:top w:w="0" w:type="dxa"/>
              <w:left w:w="108" w:type="dxa"/>
              <w:bottom w:w="0" w:type="dxa"/>
              <w:right w:w="108" w:type="dxa"/>
            </w:tcMar>
          </w:tcPr>
          <w:p w14:paraId="3E9B639B" w14:textId="44A6560C" w:rsidR="0016597A" w:rsidRPr="0047249D" w:rsidRDefault="0016597A" w:rsidP="00BF2F03">
            <w:pPr>
              <w:spacing w:before="40" w:after="120"/>
              <w:ind w:right="113"/>
              <w:rPr>
                <w:lang w:val="fr-MC"/>
              </w:rPr>
            </w:pPr>
            <w:r w:rsidRPr="0047249D">
              <w:rPr>
                <w:lang w:val="fr-MC"/>
              </w:rPr>
              <w:lastRenderedPageBreak/>
              <w:t>Protocole relatif à la création du Conseil de Paix et de Sécurité de l’Union Africaine, Durban, Afrique du Sud, juillet 2002</w:t>
            </w:r>
          </w:p>
        </w:tc>
        <w:tc>
          <w:tcPr>
            <w:tcW w:w="1285" w:type="dxa"/>
            <w:shd w:val="clear" w:color="auto" w:fill="auto"/>
            <w:tcMar>
              <w:top w:w="0" w:type="dxa"/>
              <w:left w:w="108" w:type="dxa"/>
              <w:bottom w:w="0" w:type="dxa"/>
              <w:right w:w="108" w:type="dxa"/>
            </w:tcMar>
          </w:tcPr>
          <w:p w14:paraId="6A48FB69" w14:textId="77777777" w:rsidR="0016597A" w:rsidRPr="0047249D" w:rsidRDefault="0016597A" w:rsidP="0047249D">
            <w:pPr>
              <w:spacing w:before="40" w:after="120"/>
              <w:ind w:right="113"/>
              <w:rPr>
                <w:lang w:val="fr-MC"/>
              </w:rPr>
            </w:pPr>
            <w:r w:rsidRPr="0047249D">
              <w:rPr>
                <w:lang w:val="fr-MC"/>
              </w:rPr>
              <w:t>09/07/2002</w:t>
            </w:r>
          </w:p>
        </w:tc>
        <w:tc>
          <w:tcPr>
            <w:tcW w:w="1384" w:type="dxa"/>
            <w:shd w:val="clear" w:color="auto" w:fill="auto"/>
            <w:tcMar>
              <w:top w:w="0" w:type="dxa"/>
              <w:left w:w="108" w:type="dxa"/>
              <w:bottom w:w="0" w:type="dxa"/>
              <w:right w:w="108" w:type="dxa"/>
            </w:tcMar>
          </w:tcPr>
          <w:p w14:paraId="50007EAB" w14:textId="3FDE58F2" w:rsidR="0016597A" w:rsidRPr="0047249D" w:rsidRDefault="0016597A" w:rsidP="00BF2F03">
            <w:pPr>
              <w:spacing w:before="40" w:after="120"/>
              <w:ind w:right="113"/>
              <w:rPr>
                <w:lang w:val="fr-MC"/>
              </w:rPr>
            </w:pPr>
            <w:r w:rsidRPr="0047249D">
              <w:rPr>
                <w:lang w:val="fr-MC"/>
              </w:rPr>
              <w:t>04/11/2003</w:t>
            </w:r>
          </w:p>
        </w:tc>
        <w:tc>
          <w:tcPr>
            <w:tcW w:w="849" w:type="dxa"/>
            <w:shd w:val="clear" w:color="auto" w:fill="auto"/>
          </w:tcPr>
          <w:p w14:paraId="3E0858C3" w14:textId="77777777" w:rsidR="0016597A" w:rsidRPr="0047249D" w:rsidRDefault="0016597A" w:rsidP="0047249D">
            <w:pPr>
              <w:spacing w:before="40" w:after="120"/>
              <w:ind w:right="113"/>
              <w:rPr>
                <w:lang w:val="fr-MC"/>
              </w:rPr>
            </w:pPr>
          </w:p>
        </w:tc>
      </w:tr>
      <w:tr w:rsidR="0047249D" w:rsidRPr="0047249D" w14:paraId="6E11646D" w14:textId="77777777" w:rsidTr="000029F6">
        <w:tc>
          <w:tcPr>
            <w:tcW w:w="3852" w:type="dxa"/>
            <w:shd w:val="clear" w:color="auto" w:fill="auto"/>
            <w:tcMar>
              <w:top w:w="0" w:type="dxa"/>
              <w:left w:w="108" w:type="dxa"/>
              <w:bottom w:w="0" w:type="dxa"/>
              <w:right w:w="108" w:type="dxa"/>
            </w:tcMar>
          </w:tcPr>
          <w:p w14:paraId="01BC5E86" w14:textId="6D0FF8A1" w:rsidR="0016597A" w:rsidRPr="0047249D" w:rsidRDefault="0016597A" w:rsidP="00BF2F03">
            <w:pPr>
              <w:spacing w:before="40" w:after="120"/>
              <w:ind w:right="113"/>
              <w:rPr>
                <w:lang w:val="fr-MC"/>
              </w:rPr>
            </w:pPr>
            <w:r w:rsidRPr="0047249D">
              <w:rPr>
                <w:lang w:val="fr-MC"/>
              </w:rPr>
              <w:t>Protocole à la Charte Africaine des Droits de l’Homme et des Peuples relatif aux Droits des Femmes, Maputo, 10-12</w:t>
            </w:r>
            <w:r w:rsidR="000B68E7">
              <w:rPr>
                <w:lang w:val="fr-MC"/>
              </w:rPr>
              <w:t xml:space="preserve"> </w:t>
            </w:r>
            <w:r w:rsidRPr="0047249D">
              <w:rPr>
                <w:lang w:val="fr-MC"/>
              </w:rPr>
              <w:t>juillet 2003</w:t>
            </w:r>
          </w:p>
        </w:tc>
        <w:tc>
          <w:tcPr>
            <w:tcW w:w="1285" w:type="dxa"/>
            <w:shd w:val="clear" w:color="auto" w:fill="auto"/>
            <w:tcMar>
              <w:top w:w="0" w:type="dxa"/>
              <w:left w:w="108" w:type="dxa"/>
              <w:bottom w:w="0" w:type="dxa"/>
              <w:right w:w="108" w:type="dxa"/>
            </w:tcMar>
          </w:tcPr>
          <w:p w14:paraId="3282F7AC" w14:textId="77777777" w:rsidR="0016597A" w:rsidRPr="0047249D" w:rsidRDefault="0016597A" w:rsidP="0047249D">
            <w:pPr>
              <w:spacing w:before="40" w:after="120"/>
              <w:ind w:right="113"/>
              <w:rPr>
                <w:lang w:val="fr-MC"/>
              </w:rPr>
            </w:pPr>
            <w:r w:rsidRPr="0047249D">
              <w:rPr>
                <w:lang w:val="fr-MC"/>
              </w:rPr>
              <w:t>03/12/2003</w:t>
            </w:r>
          </w:p>
        </w:tc>
        <w:tc>
          <w:tcPr>
            <w:tcW w:w="1384" w:type="dxa"/>
            <w:shd w:val="clear" w:color="auto" w:fill="auto"/>
            <w:tcMar>
              <w:top w:w="0" w:type="dxa"/>
              <w:left w:w="108" w:type="dxa"/>
              <w:bottom w:w="0" w:type="dxa"/>
              <w:right w:w="108" w:type="dxa"/>
            </w:tcMar>
          </w:tcPr>
          <w:p w14:paraId="656455C7" w14:textId="77777777" w:rsidR="0016597A" w:rsidRPr="0047249D" w:rsidRDefault="0016597A" w:rsidP="0047249D">
            <w:pPr>
              <w:spacing w:before="40" w:after="120"/>
              <w:ind w:right="113"/>
              <w:rPr>
                <w:lang w:val="fr-MC"/>
              </w:rPr>
            </w:pPr>
            <w:r w:rsidRPr="0047249D">
              <w:rPr>
                <w:lang w:val="fr-MC"/>
              </w:rPr>
              <w:t>---</w:t>
            </w:r>
          </w:p>
        </w:tc>
        <w:tc>
          <w:tcPr>
            <w:tcW w:w="849" w:type="dxa"/>
            <w:shd w:val="clear" w:color="auto" w:fill="auto"/>
          </w:tcPr>
          <w:p w14:paraId="553BB165" w14:textId="77777777" w:rsidR="0016597A" w:rsidRPr="0047249D" w:rsidRDefault="0016597A" w:rsidP="0047249D">
            <w:pPr>
              <w:spacing w:before="40" w:after="120"/>
              <w:ind w:right="113"/>
              <w:rPr>
                <w:lang w:val="fr-MC"/>
              </w:rPr>
            </w:pPr>
          </w:p>
        </w:tc>
      </w:tr>
      <w:tr w:rsidR="0047249D" w:rsidRPr="0047249D" w14:paraId="2BA40559" w14:textId="77777777" w:rsidTr="000029F6">
        <w:tc>
          <w:tcPr>
            <w:tcW w:w="3852" w:type="dxa"/>
            <w:shd w:val="clear" w:color="auto" w:fill="auto"/>
            <w:tcMar>
              <w:top w:w="0" w:type="dxa"/>
              <w:left w:w="108" w:type="dxa"/>
              <w:bottom w:w="0" w:type="dxa"/>
              <w:right w:w="108" w:type="dxa"/>
            </w:tcMar>
          </w:tcPr>
          <w:p w14:paraId="2DE72F7B" w14:textId="253448B5" w:rsidR="0016597A" w:rsidRPr="0047249D" w:rsidRDefault="0016597A" w:rsidP="00BF2F03">
            <w:pPr>
              <w:spacing w:before="40" w:after="120"/>
              <w:ind w:right="113"/>
              <w:rPr>
                <w:lang w:val="fr-MC"/>
              </w:rPr>
            </w:pPr>
            <w:r w:rsidRPr="0047249D">
              <w:rPr>
                <w:lang w:val="fr-MC"/>
              </w:rPr>
              <w:t>Protocole de la Cour de justice de l’Union Africaine, Maputo, 10-12 juillet 2003</w:t>
            </w:r>
          </w:p>
        </w:tc>
        <w:tc>
          <w:tcPr>
            <w:tcW w:w="1285" w:type="dxa"/>
            <w:shd w:val="clear" w:color="auto" w:fill="auto"/>
            <w:tcMar>
              <w:top w:w="0" w:type="dxa"/>
              <w:left w:w="108" w:type="dxa"/>
              <w:bottom w:w="0" w:type="dxa"/>
              <w:right w:w="108" w:type="dxa"/>
            </w:tcMar>
          </w:tcPr>
          <w:p w14:paraId="191543EC" w14:textId="77777777" w:rsidR="0016597A" w:rsidRPr="0047249D" w:rsidRDefault="0016597A" w:rsidP="0047249D">
            <w:pPr>
              <w:spacing w:before="40" w:after="120"/>
              <w:ind w:right="113"/>
              <w:rPr>
                <w:lang w:val="fr-MC"/>
              </w:rPr>
            </w:pPr>
            <w:r w:rsidRPr="0047249D">
              <w:rPr>
                <w:lang w:val="fr-MC"/>
              </w:rPr>
              <w:t>03/12/2003</w:t>
            </w:r>
          </w:p>
        </w:tc>
        <w:tc>
          <w:tcPr>
            <w:tcW w:w="1384" w:type="dxa"/>
            <w:shd w:val="clear" w:color="auto" w:fill="auto"/>
            <w:tcMar>
              <w:top w:w="0" w:type="dxa"/>
              <w:left w:w="108" w:type="dxa"/>
              <w:bottom w:w="0" w:type="dxa"/>
              <w:right w:w="108" w:type="dxa"/>
            </w:tcMar>
          </w:tcPr>
          <w:p w14:paraId="5FDB7E16" w14:textId="77777777" w:rsidR="0016597A" w:rsidRPr="0047249D" w:rsidRDefault="0016597A" w:rsidP="0047249D">
            <w:pPr>
              <w:spacing w:before="40" w:after="120"/>
              <w:ind w:right="113"/>
              <w:rPr>
                <w:lang w:val="fr-MC"/>
              </w:rPr>
            </w:pPr>
            <w:r w:rsidRPr="0047249D">
              <w:rPr>
                <w:lang w:val="fr-MC"/>
              </w:rPr>
              <w:t>---</w:t>
            </w:r>
          </w:p>
        </w:tc>
        <w:tc>
          <w:tcPr>
            <w:tcW w:w="849" w:type="dxa"/>
            <w:shd w:val="clear" w:color="auto" w:fill="auto"/>
          </w:tcPr>
          <w:p w14:paraId="02810B88" w14:textId="77777777" w:rsidR="0016597A" w:rsidRPr="0047249D" w:rsidRDefault="0016597A" w:rsidP="0047249D">
            <w:pPr>
              <w:spacing w:before="40" w:after="120"/>
              <w:ind w:right="113"/>
              <w:rPr>
                <w:lang w:val="fr-MC"/>
              </w:rPr>
            </w:pPr>
          </w:p>
        </w:tc>
      </w:tr>
      <w:tr w:rsidR="0047249D" w:rsidRPr="0047249D" w14:paraId="589341A2" w14:textId="77777777" w:rsidTr="000029F6">
        <w:tc>
          <w:tcPr>
            <w:tcW w:w="3852" w:type="dxa"/>
            <w:shd w:val="clear" w:color="auto" w:fill="auto"/>
            <w:tcMar>
              <w:top w:w="0" w:type="dxa"/>
              <w:left w:w="108" w:type="dxa"/>
              <w:bottom w:w="0" w:type="dxa"/>
              <w:right w:w="108" w:type="dxa"/>
            </w:tcMar>
          </w:tcPr>
          <w:p w14:paraId="6A97DB88" w14:textId="5A6630ED" w:rsidR="0016597A" w:rsidRPr="0047249D" w:rsidRDefault="0016597A" w:rsidP="00BF2F03">
            <w:pPr>
              <w:spacing w:before="40" w:after="120"/>
              <w:ind w:right="113"/>
              <w:rPr>
                <w:lang w:val="fr-MC"/>
              </w:rPr>
            </w:pPr>
            <w:r w:rsidRPr="0047249D">
              <w:rPr>
                <w:lang w:val="fr-MC"/>
              </w:rPr>
              <w:t>Protocole sur les amendements à l’Acte constitutif de l’Union Africaine, Maputo, 10-12 juillet 2003</w:t>
            </w:r>
          </w:p>
        </w:tc>
        <w:tc>
          <w:tcPr>
            <w:tcW w:w="1285" w:type="dxa"/>
            <w:shd w:val="clear" w:color="auto" w:fill="auto"/>
            <w:tcMar>
              <w:top w:w="0" w:type="dxa"/>
              <w:left w:w="108" w:type="dxa"/>
              <w:bottom w:w="0" w:type="dxa"/>
              <w:right w:w="108" w:type="dxa"/>
            </w:tcMar>
          </w:tcPr>
          <w:p w14:paraId="5ECDDFF9" w14:textId="77777777" w:rsidR="0016597A" w:rsidRPr="0047249D" w:rsidRDefault="0016597A" w:rsidP="0047249D">
            <w:pPr>
              <w:spacing w:before="40" w:after="120"/>
              <w:ind w:right="113"/>
              <w:rPr>
                <w:lang w:val="fr-MC"/>
              </w:rPr>
            </w:pPr>
            <w:r w:rsidRPr="0047249D">
              <w:rPr>
                <w:lang w:val="fr-MC"/>
              </w:rPr>
              <w:t>02/12/2003</w:t>
            </w:r>
          </w:p>
        </w:tc>
        <w:tc>
          <w:tcPr>
            <w:tcW w:w="1384" w:type="dxa"/>
            <w:shd w:val="clear" w:color="auto" w:fill="auto"/>
            <w:tcMar>
              <w:top w:w="0" w:type="dxa"/>
              <w:left w:w="108" w:type="dxa"/>
              <w:bottom w:w="0" w:type="dxa"/>
              <w:right w:w="108" w:type="dxa"/>
            </w:tcMar>
          </w:tcPr>
          <w:p w14:paraId="1B163F0E" w14:textId="6F7501EA" w:rsidR="0016597A" w:rsidRPr="0047249D" w:rsidRDefault="0016597A" w:rsidP="0047249D">
            <w:pPr>
              <w:spacing w:before="40" w:after="120"/>
              <w:ind w:right="113"/>
              <w:rPr>
                <w:lang w:val="fr-MC"/>
              </w:rPr>
            </w:pPr>
            <w:r w:rsidRPr="0047249D">
              <w:rPr>
                <w:lang w:val="fr-MC"/>
              </w:rPr>
              <w:t>12/12/2006</w:t>
            </w:r>
          </w:p>
        </w:tc>
        <w:tc>
          <w:tcPr>
            <w:tcW w:w="849" w:type="dxa"/>
            <w:shd w:val="clear" w:color="auto" w:fill="auto"/>
          </w:tcPr>
          <w:p w14:paraId="3F7DCFA2" w14:textId="77777777" w:rsidR="0016597A" w:rsidRPr="0047249D" w:rsidRDefault="0016597A" w:rsidP="0047249D">
            <w:pPr>
              <w:spacing w:before="40" w:after="120"/>
              <w:ind w:right="113"/>
              <w:rPr>
                <w:lang w:val="fr-MC"/>
              </w:rPr>
            </w:pPr>
          </w:p>
        </w:tc>
      </w:tr>
      <w:tr w:rsidR="0047249D" w:rsidRPr="0047249D" w14:paraId="2EA21F4F" w14:textId="77777777" w:rsidTr="000029F6">
        <w:tc>
          <w:tcPr>
            <w:tcW w:w="3852" w:type="dxa"/>
            <w:shd w:val="clear" w:color="auto" w:fill="auto"/>
            <w:tcMar>
              <w:top w:w="0" w:type="dxa"/>
              <w:left w:w="108" w:type="dxa"/>
              <w:bottom w:w="0" w:type="dxa"/>
              <w:right w:w="108" w:type="dxa"/>
            </w:tcMar>
          </w:tcPr>
          <w:p w14:paraId="3C104032" w14:textId="09034DC0" w:rsidR="0016597A" w:rsidRPr="0047249D" w:rsidRDefault="0016597A" w:rsidP="00BF2F03">
            <w:pPr>
              <w:spacing w:before="40" w:after="120"/>
              <w:ind w:right="113"/>
              <w:rPr>
                <w:lang w:val="fr-MC"/>
              </w:rPr>
            </w:pPr>
            <w:r w:rsidRPr="0047249D">
              <w:rPr>
                <w:lang w:val="fr-MC"/>
              </w:rPr>
              <w:t>Convention de l’Union Africaine sur la Prévention et la Lutte contre la Corruption, Maputo, 10-12 juillet 2003</w:t>
            </w:r>
          </w:p>
        </w:tc>
        <w:tc>
          <w:tcPr>
            <w:tcW w:w="1285" w:type="dxa"/>
            <w:shd w:val="clear" w:color="auto" w:fill="auto"/>
            <w:tcMar>
              <w:top w:w="0" w:type="dxa"/>
              <w:left w:w="108" w:type="dxa"/>
              <w:bottom w:w="0" w:type="dxa"/>
              <w:right w:w="108" w:type="dxa"/>
            </w:tcMar>
          </w:tcPr>
          <w:p w14:paraId="567BA530" w14:textId="77777777" w:rsidR="0016597A" w:rsidRPr="0047249D" w:rsidRDefault="0016597A" w:rsidP="0047249D">
            <w:pPr>
              <w:spacing w:before="40" w:after="120"/>
              <w:ind w:right="113"/>
              <w:rPr>
                <w:lang w:val="fr-MC"/>
              </w:rPr>
            </w:pPr>
            <w:r w:rsidRPr="0047249D">
              <w:rPr>
                <w:lang w:val="fr-MC"/>
              </w:rPr>
              <w:t>03/12/2003</w:t>
            </w:r>
          </w:p>
        </w:tc>
        <w:tc>
          <w:tcPr>
            <w:tcW w:w="1384" w:type="dxa"/>
            <w:shd w:val="clear" w:color="auto" w:fill="auto"/>
            <w:tcMar>
              <w:top w:w="0" w:type="dxa"/>
              <w:left w:w="108" w:type="dxa"/>
              <w:bottom w:w="0" w:type="dxa"/>
              <w:right w:w="108" w:type="dxa"/>
            </w:tcMar>
          </w:tcPr>
          <w:p w14:paraId="607D1946" w14:textId="77777777" w:rsidR="0016597A" w:rsidRPr="0047249D" w:rsidRDefault="0016597A" w:rsidP="0047249D">
            <w:pPr>
              <w:spacing w:before="40" w:after="120"/>
              <w:ind w:right="113"/>
              <w:rPr>
                <w:lang w:val="fr-MC"/>
              </w:rPr>
            </w:pPr>
            <w:r w:rsidRPr="0047249D">
              <w:rPr>
                <w:lang w:val="fr-MC"/>
              </w:rPr>
              <w:t>18/01/2005</w:t>
            </w:r>
          </w:p>
        </w:tc>
        <w:tc>
          <w:tcPr>
            <w:tcW w:w="849" w:type="dxa"/>
            <w:shd w:val="clear" w:color="auto" w:fill="auto"/>
          </w:tcPr>
          <w:p w14:paraId="3A3F6F6B" w14:textId="77777777" w:rsidR="0016597A" w:rsidRPr="0047249D" w:rsidRDefault="0016597A" w:rsidP="0047249D">
            <w:pPr>
              <w:spacing w:before="40" w:after="120"/>
              <w:ind w:right="113"/>
              <w:rPr>
                <w:lang w:val="fr-MC"/>
              </w:rPr>
            </w:pPr>
          </w:p>
        </w:tc>
      </w:tr>
      <w:tr w:rsidR="0047249D" w:rsidRPr="0047249D" w14:paraId="339FB8D6" w14:textId="77777777" w:rsidTr="000029F6">
        <w:tc>
          <w:tcPr>
            <w:tcW w:w="3852" w:type="dxa"/>
            <w:shd w:val="clear" w:color="auto" w:fill="auto"/>
            <w:tcMar>
              <w:top w:w="0" w:type="dxa"/>
              <w:left w:w="108" w:type="dxa"/>
              <w:bottom w:w="0" w:type="dxa"/>
              <w:right w:w="108" w:type="dxa"/>
            </w:tcMar>
          </w:tcPr>
          <w:p w14:paraId="09646978" w14:textId="6710168D" w:rsidR="0016597A" w:rsidRPr="0047249D" w:rsidRDefault="0016597A" w:rsidP="00BF2F03">
            <w:pPr>
              <w:spacing w:before="40" w:after="120"/>
              <w:ind w:right="113"/>
              <w:rPr>
                <w:lang w:val="fr-MC"/>
              </w:rPr>
            </w:pPr>
            <w:r w:rsidRPr="0047249D">
              <w:rPr>
                <w:lang w:val="fr-MC"/>
              </w:rPr>
              <w:t>Protocole à la Convention de l’OUA sur la prévention et la lutte contre le terrorisme, Addis-Abeba, 8 juillet 2004</w:t>
            </w:r>
          </w:p>
        </w:tc>
        <w:tc>
          <w:tcPr>
            <w:tcW w:w="1285" w:type="dxa"/>
            <w:shd w:val="clear" w:color="auto" w:fill="auto"/>
            <w:tcMar>
              <w:top w:w="0" w:type="dxa"/>
              <w:left w:w="108" w:type="dxa"/>
              <w:bottom w:w="0" w:type="dxa"/>
              <w:right w:w="108" w:type="dxa"/>
            </w:tcMar>
          </w:tcPr>
          <w:p w14:paraId="6C2ECB86" w14:textId="77777777" w:rsidR="0016597A" w:rsidRPr="0047249D" w:rsidRDefault="0016597A" w:rsidP="0047249D">
            <w:pPr>
              <w:spacing w:before="40" w:after="120"/>
              <w:ind w:right="113"/>
              <w:rPr>
                <w:lang w:val="fr-MC"/>
              </w:rPr>
            </w:pPr>
            <w:r w:rsidRPr="0047249D">
              <w:rPr>
                <w:lang w:val="fr-MC"/>
              </w:rPr>
              <w:t>14/07/1999</w:t>
            </w:r>
          </w:p>
        </w:tc>
        <w:tc>
          <w:tcPr>
            <w:tcW w:w="1384" w:type="dxa"/>
            <w:shd w:val="clear" w:color="auto" w:fill="auto"/>
            <w:tcMar>
              <w:top w:w="0" w:type="dxa"/>
              <w:left w:w="108" w:type="dxa"/>
              <w:bottom w:w="0" w:type="dxa"/>
              <w:right w:w="108" w:type="dxa"/>
            </w:tcMar>
          </w:tcPr>
          <w:p w14:paraId="5A42D6F4" w14:textId="77777777" w:rsidR="0016597A" w:rsidRPr="0047249D" w:rsidRDefault="0016597A" w:rsidP="0047249D">
            <w:pPr>
              <w:spacing w:before="40" w:after="120"/>
              <w:ind w:right="113"/>
              <w:rPr>
                <w:lang w:val="fr-MC"/>
              </w:rPr>
            </w:pPr>
            <w:r w:rsidRPr="0047249D">
              <w:rPr>
                <w:lang w:val="fr-MC"/>
              </w:rPr>
              <w:t>04/11/2003</w:t>
            </w:r>
          </w:p>
        </w:tc>
        <w:tc>
          <w:tcPr>
            <w:tcW w:w="849" w:type="dxa"/>
            <w:shd w:val="clear" w:color="auto" w:fill="auto"/>
          </w:tcPr>
          <w:p w14:paraId="513D3178" w14:textId="77777777" w:rsidR="0016597A" w:rsidRPr="0047249D" w:rsidRDefault="0016597A" w:rsidP="0047249D">
            <w:pPr>
              <w:spacing w:before="40" w:after="120"/>
              <w:ind w:right="113"/>
              <w:rPr>
                <w:lang w:val="fr-MC"/>
              </w:rPr>
            </w:pPr>
          </w:p>
        </w:tc>
      </w:tr>
      <w:tr w:rsidR="0047249D" w:rsidRPr="0047249D" w14:paraId="03514303" w14:textId="77777777" w:rsidTr="000029F6">
        <w:tc>
          <w:tcPr>
            <w:tcW w:w="3852" w:type="dxa"/>
            <w:shd w:val="clear" w:color="auto" w:fill="auto"/>
            <w:tcMar>
              <w:top w:w="0" w:type="dxa"/>
              <w:left w:w="108" w:type="dxa"/>
              <w:bottom w:w="0" w:type="dxa"/>
              <w:right w:w="108" w:type="dxa"/>
            </w:tcMar>
          </w:tcPr>
          <w:p w14:paraId="6125B655" w14:textId="76E0BE1B" w:rsidR="0016597A" w:rsidRPr="0047249D" w:rsidRDefault="0016597A" w:rsidP="00BF2F03">
            <w:pPr>
              <w:spacing w:before="40" w:after="120"/>
              <w:ind w:right="113"/>
              <w:rPr>
                <w:lang w:val="fr-MC"/>
              </w:rPr>
            </w:pPr>
            <w:r w:rsidRPr="0047249D">
              <w:rPr>
                <w:lang w:val="fr-MC"/>
              </w:rPr>
              <w:t xml:space="preserve"> Charte Africaine de la démocratie, les élections et la gouvernance, Addis-Abeba, 30 janvier 2007</w:t>
            </w:r>
          </w:p>
        </w:tc>
        <w:tc>
          <w:tcPr>
            <w:tcW w:w="1285" w:type="dxa"/>
            <w:shd w:val="clear" w:color="auto" w:fill="auto"/>
            <w:tcMar>
              <w:top w:w="0" w:type="dxa"/>
              <w:left w:w="108" w:type="dxa"/>
              <w:bottom w:w="0" w:type="dxa"/>
              <w:right w:w="108" w:type="dxa"/>
            </w:tcMar>
          </w:tcPr>
          <w:p w14:paraId="7ED0CC64" w14:textId="77777777" w:rsidR="0016597A" w:rsidRPr="0047249D" w:rsidRDefault="0016597A" w:rsidP="0047249D">
            <w:pPr>
              <w:spacing w:before="40" w:after="120"/>
              <w:ind w:right="113"/>
              <w:rPr>
                <w:lang w:val="fr-MC"/>
              </w:rPr>
            </w:pPr>
            <w:r w:rsidRPr="0047249D">
              <w:rPr>
                <w:lang w:val="fr-MC"/>
              </w:rPr>
              <w:t>20/06/2007</w:t>
            </w:r>
          </w:p>
        </w:tc>
        <w:tc>
          <w:tcPr>
            <w:tcW w:w="1384" w:type="dxa"/>
            <w:shd w:val="clear" w:color="auto" w:fill="auto"/>
            <w:tcMar>
              <w:top w:w="0" w:type="dxa"/>
              <w:left w:w="108" w:type="dxa"/>
              <w:bottom w:w="0" w:type="dxa"/>
              <w:right w:w="108" w:type="dxa"/>
            </w:tcMar>
          </w:tcPr>
          <w:p w14:paraId="2B3E1FA6" w14:textId="77777777" w:rsidR="0016597A" w:rsidRPr="0047249D" w:rsidRDefault="0016597A" w:rsidP="0047249D">
            <w:pPr>
              <w:spacing w:before="40" w:after="120"/>
              <w:ind w:right="113"/>
              <w:rPr>
                <w:lang w:val="fr-MC"/>
              </w:rPr>
            </w:pPr>
            <w:r w:rsidRPr="0047249D">
              <w:rPr>
                <w:lang w:val="fr-MC"/>
              </w:rPr>
              <w:t>---</w:t>
            </w:r>
          </w:p>
        </w:tc>
        <w:tc>
          <w:tcPr>
            <w:tcW w:w="849" w:type="dxa"/>
            <w:shd w:val="clear" w:color="auto" w:fill="auto"/>
          </w:tcPr>
          <w:p w14:paraId="0950FEF2" w14:textId="77777777" w:rsidR="0016597A" w:rsidRPr="0047249D" w:rsidRDefault="0016597A" w:rsidP="0047249D">
            <w:pPr>
              <w:spacing w:before="40" w:after="120"/>
              <w:ind w:right="113"/>
              <w:rPr>
                <w:lang w:val="fr-MC"/>
              </w:rPr>
            </w:pPr>
          </w:p>
        </w:tc>
      </w:tr>
      <w:tr w:rsidR="0047249D" w:rsidRPr="0047249D" w14:paraId="2B0B90BE" w14:textId="77777777" w:rsidTr="000029F6">
        <w:tc>
          <w:tcPr>
            <w:tcW w:w="3852" w:type="dxa"/>
            <w:shd w:val="clear" w:color="auto" w:fill="auto"/>
            <w:tcMar>
              <w:top w:w="0" w:type="dxa"/>
              <w:left w:w="108" w:type="dxa"/>
              <w:bottom w:w="0" w:type="dxa"/>
              <w:right w:w="108" w:type="dxa"/>
            </w:tcMar>
          </w:tcPr>
          <w:p w14:paraId="5F848D4D" w14:textId="77777777" w:rsidR="0016597A" w:rsidRPr="0047249D" w:rsidRDefault="0016597A" w:rsidP="0047249D">
            <w:pPr>
              <w:spacing w:before="40" w:after="120"/>
              <w:ind w:right="113"/>
              <w:rPr>
                <w:lang w:val="fr-MC"/>
              </w:rPr>
            </w:pPr>
            <w:r w:rsidRPr="0047249D">
              <w:rPr>
                <w:lang w:val="fr-MC"/>
              </w:rPr>
              <w:t>Charte de la reconnaissance culturelle africaine, Khartoum, 24 janvier 2006</w:t>
            </w:r>
          </w:p>
        </w:tc>
        <w:tc>
          <w:tcPr>
            <w:tcW w:w="1285" w:type="dxa"/>
            <w:shd w:val="clear" w:color="auto" w:fill="auto"/>
            <w:tcMar>
              <w:top w:w="0" w:type="dxa"/>
              <w:left w:w="108" w:type="dxa"/>
              <w:bottom w:w="0" w:type="dxa"/>
              <w:right w:w="108" w:type="dxa"/>
            </w:tcMar>
          </w:tcPr>
          <w:p w14:paraId="7B2D9A30" w14:textId="77777777" w:rsidR="0016597A" w:rsidRPr="0047249D" w:rsidRDefault="0016597A" w:rsidP="0047249D">
            <w:pPr>
              <w:spacing w:before="40" w:after="120"/>
              <w:ind w:right="113"/>
              <w:rPr>
                <w:lang w:val="fr-MC"/>
              </w:rPr>
            </w:pPr>
            <w:r w:rsidRPr="0047249D">
              <w:rPr>
                <w:lang w:val="fr-MC"/>
              </w:rPr>
              <w:t>---</w:t>
            </w:r>
          </w:p>
        </w:tc>
        <w:tc>
          <w:tcPr>
            <w:tcW w:w="1384" w:type="dxa"/>
            <w:shd w:val="clear" w:color="auto" w:fill="auto"/>
            <w:tcMar>
              <w:top w:w="0" w:type="dxa"/>
              <w:left w:w="108" w:type="dxa"/>
              <w:bottom w:w="0" w:type="dxa"/>
              <w:right w:w="108" w:type="dxa"/>
            </w:tcMar>
          </w:tcPr>
          <w:p w14:paraId="1F8124C4" w14:textId="77777777" w:rsidR="0016597A" w:rsidRPr="0047249D" w:rsidRDefault="0016597A" w:rsidP="0047249D">
            <w:pPr>
              <w:spacing w:before="40" w:after="120"/>
              <w:ind w:right="113"/>
              <w:rPr>
                <w:lang w:val="fr-MC"/>
              </w:rPr>
            </w:pPr>
            <w:r w:rsidRPr="0047249D">
              <w:rPr>
                <w:lang w:val="fr-MC"/>
              </w:rPr>
              <w:t>02/03/1990</w:t>
            </w:r>
          </w:p>
        </w:tc>
        <w:tc>
          <w:tcPr>
            <w:tcW w:w="849" w:type="dxa"/>
            <w:shd w:val="clear" w:color="auto" w:fill="auto"/>
          </w:tcPr>
          <w:p w14:paraId="386C3A76" w14:textId="77777777" w:rsidR="0016597A" w:rsidRPr="0047249D" w:rsidRDefault="0016597A" w:rsidP="0047249D">
            <w:pPr>
              <w:spacing w:before="40" w:after="120"/>
              <w:ind w:right="113"/>
              <w:rPr>
                <w:lang w:val="fr-MC"/>
              </w:rPr>
            </w:pPr>
          </w:p>
        </w:tc>
      </w:tr>
      <w:tr w:rsidR="0047249D" w:rsidRPr="0047249D" w14:paraId="3B9C5804" w14:textId="77777777" w:rsidTr="000029F6">
        <w:tc>
          <w:tcPr>
            <w:tcW w:w="3852" w:type="dxa"/>
            <w:shd w:val="clear" w:color="auto" w:fill="auto"/>
            <w:tcMar>
              <w:top w:w="0" w:type="dxa"/>
              <w:left w:w="108" w:type="dxa"/>
              <w:bottom w:w="0" w:type="dxa"/>
              <w:right w:w="108" w:type="dxa"/>
            </w:tcMar>
          </w:tcPr>
          <w:p w14:paraId="75BC94A0" w14:textId="77777777" w:rsidR="0016597A" w:rsidRPr="0047249D" w:rsidRDefault="0016597A" w:rsidP="0047249D">
            <w:pPr>
              <w:spacing w:before="40" w:after="120"/>
              <w:ind w:right="113"/>
              <w:rPr>
                <w:lang w:val="fr-MC"/>
              </w:rPr>
            </w:pPr>
            <w:r w:rsidRPr="0047249D">
              <w:rPr>
                <w:lang w:val="fr-MC"/>
              </w:rPr>
              <w:t xml:space="preserve">Protocole portant Statut de la Cour Africaine de justice et des droits de l’homme adopté par la onzième session ordinaire de la conférence tenue le 1er juillet 2008 à </w:t>
            </w:r>
            <w:proofErr w:type="spellStart"/>
            <w:r w:rsidRPr="0047249D">
              <w:rPr>
                <w:lang w:val="fr-MC"/>
              </w:rPr>
              <w:t>Sham</w:t>
            </w:r>
            <w:proofErr w:type="spellEnd"/>
            <w:r w:rsidRPr="0047249D">
              <w:rPr>
                <w:lang w:val="fr-MC"/>
              </w:rPr>
              <w:t xml:space="preserve"> EL-</w:t>
            </w:r>
            <w:proofErr w:type="spellStart"/>
            <w:r w:rsidRPr="0047249D">
              <w:rPr>
                <w:lang w:val="fr-MC"/>
              </w:rPr>
              <w:t>Sheik</w:t>
            </w:r>
            <w:proofErr w:type="spellEnd"/>
            <w:r w:rsidRPr="0047249D">
              <w:rPr>
                <w:lang w:val="fr-MC"/>
              </w:rPr>
              <w:t xml:space="preserve"> (</w:t>
            </w:r>
            <w:proofErr w:type="spellStart"/>
            <w:r w:rsidRPr="0047249D">
              <w:rPr>
                <w:lang w:val="fr-MC"/>
              </w:rPr>
              <w:t>Egypte</w:t>
            </w:r>
            <w:proofErr w:type="spellEnd"/>
            <w:r w:rsidRPr="0047249D">
              <w:rPr>
                <w:lang w:val="fr-MC"/>
              </w:rPr>
              <w:t>)</w:t>
            </w:r>
          </w:p>
        </w:tc>
        <w:tc>
          <w:tcPr>
            <w:tcW w:w="1285" w:type="dxa"/>
            <w:shd w:val="clear" w:color="auto" w:fill="auto"/>
            <w:tcMar>
              <w:top w:w="0" w:type="dxa"/>
              <w:left w:w="108" w:type="dxa"/>
              <w:bottom w:w="0" w:type="dxa"/>
              <w:right w:w="108" w:type="dxa"/>
            </w:tcMar>
          </w:tcPr>
          <w:p w14:paraId="5E9EA287" w14:textId="77777777" w:rsidR="0016597A" w:rsidRPr="0047249D" w:rsidRDefault="0016597A" w:rsidP="0047249D">
            <w:pPr>
              <w:spacing w:before="40" w:after="120"/>
              <w:ind w:right="113"/>
              <w:rPr>
                <w:lang w:val="fr-MC"/>
              </w:rPr>
            </w:pPr>
            <w:r w:rsidRPr="0047249D">
              <w:rPr>
                <w:lang w:val="fr-MC"/>
              </w:rPr>
              <w:t>03/12/2003</w:t>
            </w:r>
          </w:p>
        </w:tc>
        <w:tc>
          <w:tcPr>
            <w:tcW w:w="1384" w:type="dxa"/>
            <w:shd w:val="clear" w:color="auto" w:fill="auto"/>
            <w:tcMar>
              <w:top w:w="0" w:type="dxa"/>
              <w:left w:w="108" w:type="dxa"/>
              <w:bottom w:w="0" w:type="dxa"/>
              <w:right w:w="108" w:type="dxa"/>
            </w:tcMar>
          </w:tcPr>
          <w:p w14:paraId="06CDFE2C" w14:textId="77777777" w:rsidR="0016597A" w:rsidRPr="0047249D" w:rsidRDefault="0016597A" w:rsidP="0047249D">
            <w:pPr>
              <w:spacing w:before="40" w:after="120"/>
              <w:ind w:right="113"/>
              <w:rPr>
                <w:lang w:val="fr-MC"/>
              </w:rPr>
            </w:pPr>
            <w:r w:rsidRPr="0047249D">
              <w:rPr>
                <w:lang w:val="fr-MC"/>
              </w:rPr>
              <w:t>---</w:t>
            </w:r>
          </w:p>
        </w:tc>
        <w:tc>
          <w:tcPr>
            <w:tcW w:w="849" w:type="dxa"/>
            <w:shd w:val="clear" w:color="auto" w:fill="auto"/>
          </w:tcPr>
          <w:p w14:paraId="279C8B65" w14:textId="77777777" w:rsidR="0016597A" w:rsidRPr="0047249D" w:rsidRDefault="0016597A" w:rsidP="0047249D">
            <w:pPr>
              <w:spacing w:before="40" w:after="120"/>
              <w:ind w:right="113"/>
              <w:rPr>
                <w:lang w:val="fr-MC"/>
              </w:rPr>
            </w:pPr>
          </w:p>
        </w:tc>
      </w:tr>
      <w:tr w:rsidR="0047249D" w:rsidRPr="0047249D" w14:paraId="4F021F97" w14:textId="77777777" w:rsidTr="000029F6">
        <w:tc>
          <w:tcPr>
            <w:tcW w:w="3852" w:type="dxa"/>
            <w:shd w:val="clear" w:color="auto" w:fill="auto"/>
            <w:tcMar>
              <w:top w:w="0" w:type="dxa"/>
              <w:left w:w="108" w:type="dxa"/>
              <w:bottom w:w="0" w:type="dxa"/>
              <w:right w:w="108" w:type="dxa"/>
            </w:tcMar>
          </w:tcPr>
          <w:p w14:paraId="4EFCE27B" w14:textId="18C23565" w:rsidR="0016597A" w:rsidRPr="0047249D" w:rsidRDefault="0016597A" w:rsidP="003C0BF6">
            <w:pPr>
              <w:spacing w:before="40" w:after="120"/>
              <w:ind w:right="113"/>
              <w:rPr>
                <w:lang w:val="fr-MC"/>
              </w:rPr>
            </w:pPr>
            <w:r w:rsidRPr="0047249D">
              <w:rPr>
                <w:lang w:val="fr-MC"/>
              </w:rPr>
              <w:t xml:space="preserve">Convention de l’Union Africaine sur la protection et l’assistance aux personnes déplacées en Afrique (Convention de Kampala) adopté par le Sommet spécial de l’Union tenu à Kampala (Uganda) </w:t>
            </w:r>
            <w:r w:rsidR="000B68E7">
              <w:rPr>
                <w:lang w:val="fr-MC"/>
              </w:rPr>
              <w:br/>
            </w:r>
            <w:r w:rsidRPr="0047249D">
              <w:rPr>
                <w:lang w:val="fr-MC"/>
              </w:rPr>
              <w:t>du 22 au 23 octobre 2009</w:t>
            </w:r>
          </w:p>
        </w:tc>
        <w:tc>
          <w:tcPr>
            <w:tcW w:w="1285" w:type="dxa"/>
            <w:shd w:val="clear" w:color="auto" w:fill="auto"/>
            <w:tcMar>
              <w:top w:w="0" w:type="dxa"/>
              <w:left w:w="108" w:type="dxa"/>
              <w:bottom w:w="0" w:type="dxa"/>
              <w:right w:w="108" w:type="dxa"/>
            </w:tcMar>
          </w:tcPr>
          <w:p w14:paraId="56896538" w14:textId="77777777" w:rsidR="0016597A" w:rsidRPr="0047249D" w:rsidRDefault="0016597A" w:rsidP="0047249D">
            <w:pPr>
              <w:spacing w:before="40" w:after="120"/>
              <w:ind w:right="113"/>
              <w:rPr>
                <w:lang w:val="fr-MC"/>
              </w:rPr>
            </w:pPr>
            <w:r w:rsidRPr="0047249D">
              <w:rPr>
                <w:lang w:val="fr-MC"/>
              </w:rPr>
              <w:t>23/10/2009</w:t>
            </w:r>
          </w:p>
        </w:tc>
        <w:tc>
          <w:tcPr>
            <w:tcW w:w="1384" w:type="dxa"/>
            <w:shd w:val="clear" w:color="auto" w:fill="auto"/>
            <w:tcMar>
              <w:top w:w="0" w:type="dxa"/>
              <w:left w:w="108" w:type="dxa"/>
              <w:bottom w:w="0" w:type="dxa"/>
              <w:right w:w="108" w:type="dxa"/>
            </w:tcMar>
          </w:tcPr>
          <w:p w14:paraId="6FFCFBB1" w14:textId="77777777" w:rsidR="0016597A" w:rsidRPr="0047249D" w:rsidRDefault="0016597A" w:rsidP="0047249D">
            <w:pPr>
              <w:spacing w:before="40" w:after="120"/>
              <w:ind w:right="113"/>
              <w:rPr>
                <w:lang w:val="fr-MC"/>
              </w:rPr>
            </w:pPr>
            <w:r w:rsidRPr="0047249D">
              <w:rPr>
                <w:lang w:val="fr-MC"/>
              </w:rPr>
              <w:t>---</w:t>
            </w:r>
          </w:p>
        </w:tc>
        <w:tc>
          <w:tcPr>
            <w:tcW w:w="849" w:type="dxa"/>
            <w:shd w:val="clear" w:color="auto" w:fill="auto"/>
          </w:tcPr>
          <w:p w14:paraId="5750BA26" w14:textId="77777777" w:rsidR="0016597A" w:rsidRPr="0047249D" w:rsidRDefault="0016597A" w:rsidP="0047249D">
            <w:pPr>
              <w:spacing w:before="40" w:after="120"/>
              <w:ind w:right="113"/>
              <w:rPr>
                <w:lang w:val="fr-MC"/>
              </w:rPr>
            </w:pPr>
          </w:p>
        </w:tc>
      </w:tr>
      <w:tr w:rsidR="0047249D" w:rsidRPr="0047249D" w14:paraId="5A7F5528" w14:textId="77777777" w:rsidTr="000029F6">
        <w:tc>
          <w:tcPr>
            <w:tcW w:w="3852" w:type="dxa"/>
            <w:shd w:val="clear" w:color="auto" w:fill="auto"/>
            <w:tcMar>
              <w:top w:w="0" w:type="dxa"/>
              <w:left w:w="108" w:type="dxa"/>
              <w:bottom w:w="0" w:type="dxa"/>
              <w:right w:w="108" w:type="dxa"/>
            </w:tcMar>
          </w:tcPr>
          <w:p w14:paraId="78A26594" w14:textId="2EED2CA6" w:rsidR="0016597A" w:rsidRPr="0047249D" w:rsidRDefault="0016597A" w:rsidP="00BF2F03">
            <w:pPr>
              <w:spacing w:before="40" w:after="120"/>
              <w:ind w:right="113"/>
              <w:rPr>
                <w:lang w:val="fr-MC"/>
              </w:rPr>
            </w:pPr>
            <w:r w:rsidRPr="0047249D">
              <w:rPr>
                <w:lang w:val="fr-MC"/>
              </w:rPr>
              <w:t>Traité portant création de la Communauté Est-Africaine</w:t>
            </w:r>
          </w:p>
        </w:tc>
        <w:tc>
          <w:tcPr>
            <w:tcW w:w="1285" w:type="dxa"/>
            <w:shd w:val="clear" w:color="auto" w:fill="auto"/>
            <w:tcMar>
              <w:top w:w="0" w:type="dxa"/>
              <w:left w:w="108" w:type="dxa"/>
              <w:bottom w:w="0" w:type="dxa"/>
              <w:right w:w="108" w:type="dxa"/>
            </w:tcMar>
          </w:tcPr>
          <w:p w14:paraId="091FDD19" w14:textId="77777777" w:rsidR="0016597A" w:rsidRPr="0047249D" w:rsidRDefault="0016597A" w:rsidP="0047249D">
            <w:pPr>
              <w:spacing w:before="40" w:after="120"/>
              <w:ind w:right="113"/>
              <w:rPr>
                <w:lang w:val="fr-MC"/>
              </w:rPr>
            </w:pPr>
            <w:r w:rsidRPr="0047249D">
              <w:rPr>
                <w:lang w:val="fr-MC"/>
              </w:rPr>
              <w:t>30/11/1999</w:t>
            </w:r>
          </w:p>
        </w:tc>
        <w:tc>
          <w:tcPr>
            <w:tcW w:w="1384" w:type="dxa"/>
            <w:shd w:val="clear" w:color="auto" w:fill="auto"/>
            <w:tcMar>
              <w:top w:w="0" w:type="dxa"/>
              <w:left w:w="108" w:type="dxa"/>
              <w:bottom w:w="0" w:type="dxa"/>
              <w:right w:w="108" w:type="dxa"/>
            </w:tcMar>
          </w:tcPr>
          <w:p w14:paraId="2671C527" w14:textId="353C9035" w:rsidR="0016597A" w:rsidRPr="0047249D" w:rsidRDefault="0016597A" w:rsidP="0047249D">
            <w:pPr>
              <w:spacing w:before="40" w:after="120"/>
              <w:ind w:right="113"/>
              <w:rPr>
                <w:lang w:val="fr-MC"/>
              </w:rPr>
            </w:pPr>
            <w:r w:rsidRPr="0047249D">
              <w:rPr>
                <w:lang w:val="fr-MC"/>
              </w:rPr>
              <w:t>18/06/2007</w:t>
            </w:r>
          </w:p>
        </w:tc>
        <w:tc>
          <w:tcPr>
            <w:tcW w:w="849" w:type="dxa"/>
            <w:shd w:val="clear" w:color="auto" w:fill="auto"/>
          </w:tcPr>
          <w:p w14:paraId="75A51E10" w14:textId="77777777" w:rsidR="0016597A" w:rsidRPr="0047249D" w:rsidRDefault="0016597A" w:rsidP="0047249D">
            <w:pPr>
              <w:spacing w:before="40" w:after="120"/>
              <w:ind w:right="113"/>
              <w:rPr>
                <w:lang w:val="fr-MC"/>
              </w:rPr>
            </w:pPr>
          </w:p>
        </w:tc>
      </w:tr>
      <w:tr w:rsidR="0047249D" w:rsidRPr="0047249D" w14:paraId="571CFEA9" w14:textId="77777777" w:rsidTr="000029F6">
        <w:tc>
          <w:tcPr>
            <w:tcW w:w="3852" w:type="dxa"/>
            <w:tcBorders>
              <w:bottom w:val="single" w:sz="12" w:space="0" w:color="auto"/>
            </w:tcBorders>
            <w:shd w:val="clear" w:color="auto" w:fill="auto"/>
            <w:tcMar>
              <w:top w:w="0" w:type="dxa"/>
              <w:left w:w="108" w:type="dxa"/>
              <w:bottom w:w="0" w:type="dxa"/>
              <w:right w:w="108" w:type="dxa"/>
            </w:tcMar>
          </w:tcPr>
          <w:p w14:paraId="61F2B76C" w14:textId="77777777" w:rsidR="0016597A" w:rsidRPr="0047249D" w:rsidRDefault="0016597A" w:rsidP="0047249D">
            <w:pPr>
              <w:spacing w:before="40" w:after="120"/>
              <w:ind w:right="113"/>
              <w:rPr>
                <w:lang w:val="fr-MC"/>
              </w:rPr>
            </w:pPr>
            <w:r w:rsidRPr="0047249D">
              <w:rPr>
                <w:lang w:val="fr-MC"/>
              </w:rPr>
              <w:t>Pacte sur la paix, la sécurité, la stabilité et le développement dans la Région des Grands-Lacs (CIRGL)</w:t>
            </w:r>
          </w:p>
        </w:tc>
        <w:tc>
          <w:tcPr>
            <w:tcW w:w="1285" w:type="dxa"/>
            <w:tcBorders>
              <w:bottom w:val="single" w:sz="12" w:space="0" w:color="auto"/>
            </w:tcBorders>
            <w:shd w:val="clear" w:color="auto" w:fill="auto"/>
            <w:tcMar>
              <w:top w:w="0" w:type="dxa"/>
              <w:left w:w="108" w:type="dxa"/>
              <w:bottom w:w="0" w:type="dxa"/>
              <w:right w:w="108" w:type="dxa"/>
            </w:tcMar>
          </w:tcPr>
          <w:p w14:paraId="3773868C" w14:textId="77777777" w:rsidR="0016597A" w:rsidRPr="0047249D" w:rsidRDefault="0016597A" w:rsidP="0047249D">
            <w:pPr>
              <w:spacing w:before="40" w:after="120"/>
              <w:ind w:right="113"/>
              <w:rPr>
                <w:lang w:val="fr-MC"/>
              </w:rPr>
            </w:pPr>
            <w:r w:rsidRPr="0047249D">
              <w:rPr>
                <w:lang w:val="fr-MC"/>
              </w:rPr>
              <w:t>15/12/2006</w:t>
            </w:r>
          </w:p>
        </w:tc>
        <w:tc>
          <w:tcPr>
            <w:tcW w:w="1384" w:type="dxa"/>
            <w:tcBorders>
              <w:bottom w:val="single" w:sz="12" w:space="0" w:color="auto"/>
            </w:tcBorders>
            <w:shd w:val="clear" w:color="auto" w:fill="auto"/>
            <w:tcMar>
              <w:top w:w="0" w:type="dxa"/>
              <w:left w:w="108" w:type="dxa"/>
              <w:bottom w:w="0" w:type="dxa"/>
              <w:right w:w="108" w:type="dxa"/>
            </w:tcMar>
          </w:tcPr>
          <w:p w14:paraId="65FD7A4E" w14:textId="77777777" w:rsidR="0016597A" w:rsidRPr="0047249D" w:rsidRDefault="0016597A" w:rsidP="0047249D">
            <w:pPr>
              <w:spacing w:before="40" w:after="120"/>
              <w:ind w:right="113"/>
              <w:rPr>
                <w:lang w:val="fr-MC"/>
              </w:rPr>
            </w:pPr>
            <w:r w:rsidRPr="0047249D">
              <w:rPr>
                <w:lang w:val="fr-MC"/>
              </w:rPr>
              <w:t>06/2008</w:t>
            </w:r>
          </w:p>
        </w:tc>
        <w:tc>
          <w:tcPr>
            <w:tcW w:w="849" w:type="dxa"/>
            <w:tcBorders>
              <w:bottom w:val="single" w:sz="12" w:space="0" w:color="auto"/>
            </w:tcBorders>
            <w:shd w:val="clear" w:color="auto" w:fill="auto"/>
          </w:tcPr>
          <w:p w14:paraId="4849ED2F" w14:textId="77777777" w:rsidR="0016597A" w:rsidRPr="0047249D" w:rsidRDefault="0016597A" w:rsidP="0047249D">
            <w:pPr>
              <w:spacing w:before="40" w:after="120"/>
              <w:ind w:right="113"/>
              <w:rPr>
                <w:lang w:val="fr-MC"/>
              </w:rPr>
            </w:pPr>
          </w:p>
        </w:tc>
      </w:tr>
    </w:tbl>
    <w:p w14:paraId="0E628A64" w14:textId="77777777" w:rsidR="0016597A" w:rsidRPr="0016597A" w:rsidRDefault="0047249D" w:rsidP="0047249D">
      <w:pPr>
        <w:pStyle w:val="H23G"/>
        <w:rPr>
          <w:lang w:val="fr-MC"/>
        </w:rPr>
      </w:pPr>
      <w:bookmarkStart w:id="9" w:name="_Toc529970195"/>
      <w:r>
        <w:rPr>
          <w:lang w:val="fr-MC"/>
        </w:rPr>
        <w:tab/>
      </w:r>
      <w:r w:rsidR="00BC23B3">
        <w:rPr>
          <w:lang w:val="fr-MC"/>
        </w:rPr>
        <w:t>2.</w:t>
      </w:r>
      <w:r>
        <w:rPr>
          <w:lang w:val="fr-MC"/>
        </w:rPr>
        <w:tab/>
      </w:r>
      <w:r w:rsidR="0016597A" w:rsidRPr="0016597A">
        <w:rPr>
          <w:lang w:val="fr-MC"/>
        </w:rPr>
        <w:t>Cycle des rapports aux organes des traités</w:t>
      </w:r>
      <w:bookmarkEnd w:id="9"/>
    </w:p>
    <w:tbl>
      <w:tblPr>
        <w:tblW w:w="7370" w:type="dxa"/>
        <w:tblInd w:w="1134" w:type="dxa"/>
        <w:tblLayout w:type="fixed"/>
        <w:tblCellMar>
          <w:left w:w="0" w:type="dxa"/>
          <w:right w:w="0" w:type="dxa"/>
        </w:tblCellMar>
        <w:tblLook w:val="0000" w:firstRow="0" w:lastRow="0" w:firstColumn="0" w:lastColumn="0" w:noHBand="0" w:noVBand="0"/>
      </w:tblPr>
      <w:tblGrid>
        <w:gridCol w:w="3232"/>
        <w:gridCol w:w="1373"/>
        <w:gridCol w:w="1454"/>
        <w:gridCol w:w="1311"/>
      </w:tblGrid>
      <w:tr w:rsidR="0047249D" w:rsidRPr="0047249D" w14:paraId="55E1993D" w14:textId="77777777" w:rsidTr="00681296">
        <w:trPr>
          <w:tblHeader/>
        </w:trPr>
        <w:tc>
          <w:tcPr>
            <w:tcW w:w="3232"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7563CE81" w14:textId="5BD6A1D6" w:rsidR="0016597A" w:rsidRPr="0047249D" w:rsidRDefault="0016597A" w:rsidP="0047249D">
            <w:pPr>
              <w:spacing w:before="80" w:after="80" w:line="200" w:lineRule="exact"/>
              <w:ind w:right="113"/>
              <w:rPr>
                <w:i/>
                <w:sz w:val="16"/>
                <w:lang w:val="fr-MC"/>
              </w:rPr>
            </w:pPr>
            <w:r w:rsidRPr="0047249D">
              <w:rPr>
                <w:i/>
                <w:sz w:val="16"/>
                <w:lang w:val="fr-MC"/>
              </w:rPr>
              <w:t>Instruments</w:t>
            </w:r>
          </w:p>
        </w:tc>
        <w:tc>
          <w:tcPr>
            <w:tcW w:w="1373"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10F62334" w14:textId="77777777" w:rsidR="0016597A" w:rsidRPr="0047249D" w:rsidRDefault="0016597A" w:rsidP="0047249D">
            <w:pPr>
              <w:spacing w:before="80" w:after="80" w:line="200" w:lineRule="exact"/>
              <w:ind w:right="113"/>
              <w:rPr>
                <w:i/>
                <w:sz w:val="16"/>
                <w:lang w:val="fr-MC"/>
              </w:rPr>
            </w:pPr>
            <w:r w:rsidRPr="0047249D">
              <w:rPr>
                <w:i/>
                <w:sz w:val="16"/>
                <w:lang w:val="fr-MC"/>
              </w:rPr>
              <w:t>Date de signature</w:t>
            </w:r>
          </w:p>
        </w:tc>
        <w:tc>
          <w:tcPr>
            <w:tcW w:w="1454"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4DB12A94" w14:textId="540B7E29" w:rsidR="0016597A" w:rsidRPr="0047249D" w:rsidRDefault="0016597A" w:rsidP="0047249D">
            <w:pPr>
              <w:spacing w:before="80" w:after="80" w:line="200" w:lineRule="exact"/>
              <w:ind w:right="113"/>
              <w:rPr>
                <w:i/>
                <w:sz w:val="16"/>
                <w:lang w:val="fr-MC"/>
              </w:rPr>
            </w:pPr>
            <w:r w:rsidRPr="0047249D">
              <w:rPr>
                <w:i/>
                <w:sz w:val="16"/>
                <w:lang w:val="fr-MC"/>
              </w:rPr>
              <w:t>Date de ratification ou</w:t>
            </w:r>
            <w:r w:rsidR="003C3DE6">
              <w:rPr>
                <w:i/>
                <w:sz w:val="16"/>
                <w:lang w:val="fr-MC"/>
              </w:rPr>
              <w:t> </w:t>
            </w:r>
            <w:r w:rsidRPr="0047249D">
              <w:rPr>
                <w:i/>
                <w:sz w:val="16"/>
                <w:lang w:val="fr-MC"/>
              </w:rPr>
              <w:t>d’accession</w:t>
            </w:r>
          </w:p>
        </w:tc>
        <w:tc>
          <w:tcPr>
            <w:tcW w:w="1311"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49E4496C" w14:textId="48C3E8E8" w:rsidR="0016597A" w:rsidRPr="0047249D" w:rsidRDefault="0016597A" w:rsidP="00BF2F03">
            <w:pPr>
              <w:spacing w:before="80" w:after="80" w:line="200" w:lineRule="exact"/>
              <w:ind w:right="113"/>
              <w:rPr>
                <w:i/>
                <w:sz w:val="16"/>
                <w:lang w:val="fr-MC"/>
              </w:rPr>
            </w:pPr>
            <w:r w:rsidRPr="0047249D">
              <w:rPr>
                <w:i/>
                <w:sz w:val="16"/>
                <w:lang w:val="fr-MC"/>
              </w:rPr>
              <w:t>Rapports</w:t>
            </w:r>
            <w:r w:rsidR="003C3DE6">
              <w:rPr>
                <w:i/>
                <w:sz w:val="16"/>
                <w:lang w:val="fr-MC"/>
              </w:rPr>
              <w:t xml:space="preserve"> </w:t>
            </w:r>
            <w:r w:rsidRPr="0047249D">
              <w:rPr>
                <w:i/>
                <w:sz w:val="16"/>
                <w:lang w:val="fr-MC"/>
              </w:rPr>
              <w:t>soumis</w:t>
            </w:r>
          </w:p>
        </w:tc>
      </w:tr>
      <w:tr w:rsidR="0047249D" w:rsidRPr="0047249D" w14:paraId="0AF161A8" w14:textId="77777777" w:rsidTr="00681296">
        <w:trPr>
          <w:trHeight w:hRule="exact" w:val="113"/>
        </w:trPr>
        <w:tc>
          <w:tcPr>
            <w:tcW w:w="3232" w:type="dxa"/>
            <w:tcBorders>
              <w:top w:val="single" w:sz="12" w:space="0" w:color="auto"/>
            </w:tcBorders>
            <w:shd w:val="clear" w:color="auto" w:fill="auto"/>
            <w:tcMar>
              <w:top w:w="0" w:type="dxa"/>
              <w:left w:w="108" w:type="dxa"/>
              <w:bottom w:w="0" w:type="dxa"/>
              <w:right w:w="108" w:type="dxa"/>
            </w:tcMar>
          </w:tcPr>
          <w:p w14:paraId="4AC08D4E" w14:textId="77777777" w:rsidR="0047249D" w:rsidRPr="0047249D" w:rsidRDefault="0047249D" w:rsidP="0047249D">
            <w:pPr>
              <w:spacing w:before="40" w:after="120"/>
              <w:ind w:right="113"/>
              <w:rPr>
                <w:lang w:val="fr-MC"/>
              </w:rPr>
            </w:pPr>
          </w:p>
        </w:tc>
        <w:tc>
          <w:tcPr>
            <w:tcW w:w="1373" w:type="dxa"/>
            <w:tcBorders>
              <w:top w:val="single" w:sz="12" w:space="0" w:color="auto"/>
            </w:tcBorders>
            <w:shd w:val="clear" w:color="auto" w:fill="auto"/>
            <w:tcMar>
              <w:top w:w="0" w:type="dxa"/>
              <w:left w:w="108" w:type="dxa"/>
              <w:bottom w:w="0" w:type="dxa"/>
              <w:right w:w="108" w:type="dxa"/>
            </w:tcMar>
          </w:tcPr>
          <w:p w14:paraId="57F9C280" w14:textId="77777777" w:rsidR="0047249D" w:rsidRPr="0047249D" w:rsidRDefault="0047249D" w:rsidP="0047249D">
            <w:pPr>
              <w:spacing w:before="40" w:after="120"/>
              <w:ind w:right="113"/>
              <w:rPr>
                <w:lang w:val="fr-MC"/>
              </w:rPr>
            </w:pPr>
          </w:p>
        </w:tc>
        <w:tc>
          <w:tcPr>
            <w:tcW w:w="1454" w:type="dxa"/>
            <w:tcBorders>
              <w:top w:val="single" w:sz="12" w:space="0" w:color="auto"/>
            </w:tcBorders>
            <w:shd w:val="clear" w:color="auto" w:fill="auto"/>
            <w:tcMar>
              <w:top w:w="0" w:type="dxa"/>
              <w:left w:w="108" w:type="dxa"/>
              <w:bottom w:w="0" w:type="dxa"/>
              <w:right w:w="108" w:type="dxa"/>
            </w:tcMar>
          </w:tcPr>
          <w:p w14:paraId="23A7882F" w14:textId="77777777" w:rsidR="0047249D" w:rsidRPr="0047249D" w:rsidRDefault="0047249D" w:rsidP="0047249D">
            <w:pPr>
              <w:spacing w:before="40" w:after="120"/>
              <w:ind w:right="113"/>
              <w:rPr>
                <w:lang w:val="fr-MC"/>
              </w:rPr>
            </w:pPr>
          </w:p>
        </w:tc>
        <w:tc>
          <w:tcPr>
            <w:tcW w:w="1311" w:type="dxa"/>
            <w:tcBorders>
              <w:top w:val="single" w:sz="12" w:space="0" w:color="auto"/>
            </w:tcBorders>
            <w:shd w:val="clear" w:color="auto" w:fill="auto"/>
            <w:tcMar>
              <w:top w:w="0" w:type="dxa"/>
              <w:left w:w="108" w:type="dxa"/>
              <w:bottom w:w="0" w:type="dxa"/>
              <w:right w:w="108" w:type="dxa"/>
            </w:tcMar>
          </w:tcPr>
          <w:p w14:paraId="6D204B30" w14:textId="77777777" w:rsidR="0047249D" w:rsidRPr="0047249D" w:rsidRDefault="0047249D" w:rsidP="0047249D">
            <w:pPr>
              <w:spacing w:before="40" w:after="120"/>
              <w:ind w:right="113"/>
              <w:rPr>
                <w:lang w:val="fr-MC"/>
              </w:rPr>
            </w:pPr>
          </w:p>
        </w:tc>
      </w:tr>
      <w:tr w:rsidR="0047249D" w:rsidRPr="0047249D" w14:paraId="2821AF41" w14:textId="77777777" w:rsidTr="00681296">
        <w:tc>
          <w:tcPr>
            <w:tcW w:w="3232" w:type="dxa"/>
            <w:shd w:val="clear" w:color="auto" w:fill="auto"/>
            <w:tcMar>
              <w:top w:w="0" w:type="dxa"/>
              <w:left w:w="108" w:type="dxa"/>
              <w:bottom w:w="0" w:type="dxa"/>
              <w:right w:w="108" w:type="dxa"/>
            </w:tcMar>
          </w:tcPr>
          <w:p w14:paraId="44EB3761" w14:textId="2EAA7B48" w:rsidR="0016597A" w:rsidRPr="0047249D" w:rsidRDefault="0016597A" w:rsidP="00BF2F03">
            <w:pPr>
              <w:spacing w:before="40" w:after="120"/>
              <w:ind w:right="113"/>
              <w:rPr>
                <w:lang w:val="fr-MC"/>
              </w:rPr>
            </w:pPr>
            <w:r w:rsidRPr="0047249D">
              <w:rPr>
                <w:lang w:val="fr-MC"/>
              </w:rPr>
              <w:t>Pacte International relatif aux Droits Civils et Politiques</w:t>
            </w:r>
          </w:p>
        </w:tc>
        <w:tc>
          <w:tcPr>
            <w:tcW w:w="1373" w:type="dxa"/>
            <w:shd w:val="clear" w:color="auto" w:fill="auto"/>
            <w:tcMar>
              <w:top w:w="0" w:type="dxa"/>
              <w:left w:w="108" w:type="dxa"/>
              <w:bottom w:w="0" w:type="dxa"/>
              <w:right w:w="108" w:type="dxa"/>
            </w:tcMar>
          </w:tcPr>
          <w:p w14:paraId="0EB85025" w14:textId="77777777" w:rsidR="0016597A" w:rsidRPr="0047249D" w:rsidRDefault="0016597A" w:rsidP="0047249D">
            <w:pPr>
              <w:spacing w:before="40" w:after="120"/>
              <w:ind w:right="113"/>
              <w:rPr>
                <w:lang w:val="fr-MC"/>
              </w:rPr>
            </w:pPr>
            <w:r w:rsidRPr="0047249D">
              <w:rPr>
                <w:lang w:val="fr-MC"/>
              </w:rPr>
              <w:t>---</w:t>
            </w:r>
          </w:p>
        </w:tc>
        <w:tc>
          <w:tcPr>
            <w:tcW w:w="1454" w:type="dxa"/>
            <w:shd w:val="clear" w:color="auto" w:fill="auto"/>
            <w:tcMar>
              <w:top w:w="0" w:type="dxa"/>
              <w:left w:w="108" w:type="dxa"/>
              <w:bottom w:w="0" w:type="dxa"/>
              <w:right w:w="108" w:type="dxa"/>
            </w:tcMar>
          </w:tcPr>
          <w:p w14:paraId="77CE3EE9" w14:textId="7035E658" w:rsidR="0016597A" w:rsidRPr="0047249D" w:rsidRDefault="0016597A" w:rsidP="00BF2F03">
            <w:pPr>
              <w:spacing w:before="40" w:after="120"/>
              <w:ind w:right="113"/>
              <w:rPr>
                <w:lang w:val="fr-MC"/>
              </w:rPr>
            </w:pPr>
            <w:r w:rsidRPr="0047249D">
              <w:rPr>
                <w:lang w:val="fr-MC"/>
              </w:rPr>
              <w:t>09/05/1990</w:t>
            </w:r>
          </w:p>
        </w:tc>
        <w:tc>
          <w:tcPr>
            <w:tcW w:w="1311" w:type="dxa"/>
            <w:shd w:val="clear" w:color="auto" w:fill="auto"/>
            <w:tcMar>
              <w:top w:w="0" w:type="dxa"/>
              <w:left w:w="108" w:type="dxa"/>
              <w:bottom w:w="0" w:type="dxa"/>
              <w:right w:w="108" w:type="dxa"/>
            </w:tcMar>
          </w:tcPr>
          <w:p w14:paraId="3E506C47" w14:textId="77777777" w:rsidR="0016597A" w:rsidRPr="0047249D" w:rsidRDefault="0016597A" w:rsidP="0047249D">
            <w:pPr>
              <w:spacing w:before="40" w:after="120"/>
              <w:ind w:right="113"/>
              <w:rPr>
                <w:lang w:val="fr-MC"/>
              </w:rPr>
            </w:pPr>
            <w:r w:rsidRPr="0047249D">
              <w:rPr>
                <w:lang w:val="fr-MC"/>
              </w:rPr>
              <w:t>--- 1993</w:t>
            </w:r>
          </w:p>
          <w:p w14:paraId="4E72E0AA" w14:textId="018A6340" w:rsidR="0016597A" w:rsidRPr="0047249D" w:rsidRDefault="0016597A" w:rsidP="00BF2F03">
            <w:pPr>
              <w:spacing w:before="40" w:after="120"/>
              <w:ind w:right="113"/>
              <w:rPr>
                <w:lang w:val="fr-MC"/>
              </w:rPr>
            </w:pPr>
            <w:r w:rsidRPr="0047249D">
              <w:rPr>
                <w:lang w:val="fr-MC"/>
              </w:rPr>
              <w:t>2014</w:t>
            </w:r>
          </w:p>
        </w:tc>
      </w:tr>
      <w:tr w:rsidR="0047249D" w:rsidRPr="0047249D" w14:paraId="50D3593A" w14:textId="77777777" w:rsidTr="00681296">
        <w:tc>
          <w:tcPr>
            <w:tcW w:w="3232" w:type="dxa"/>
            <w:shd w:val="clear" w:color="auto" w:fill="auto"/>
            <w:tcMar>
              <w:top w:w="0" w:type="dxa"/>
              <w:left w:w="108" w:type="dxa"/>
              <w:bottom w:w="0" w:type="dxa"/>
              <w:right w:w="108" w:type="dxa"/>
            </w:tcMar>
          </w:tcPr>
          <w:p w14:paraId="3A158758" w14:textId="53ABCDD8" w:rsidR="0016597A" w:rsidRPr="0047249D" w:rsidRDefault="0016597A" w:rsidP="00BF2F03">
            <w:pPr>
              <w:spacing w:before="40" w:after="120"/>
              <w:ind w:right="113"/>
              <w:rPr>
                <w:lang w:val="fr-MC"/>
              </w:rPr>
            </w:pPr>
            <w:r w:rsidRPr="0047249D">
              <w:rPr>
                <w:lang w:val="fr-MC"/>
              </w:rPr>
              <w:lastRenderedPageBreak/>
              <w:t>Protocole facultatif se rapportant au</w:t>
            </w:r>
            <w:r w:rsidR="00D5675E">
              <w:rPr>
                <w:lang w:val="fr-MC"/>
              </w:rPr>
              <w:t> </w:t>
            </w:r>
            <w:r w:rsidRPr="0047249D">
              <w:rPr>
                <w:lang w:val="fr-MC"/>
              </w:rPr>
              <w:t>Pacte International relatif aux Droits Civils et Politiques</w:t>
            </w:r>
          </w:p>
        </w:tc>
        <w:tc>
          <w:tcPr>
            <w:tcW w:w="1373" w:type="dxa"/>
            <w:shd w:val="clear" w:color="auto" w:fill="auto"/>
            <w:tcMar>
              <w:top w:w="0" w:type="dxa"/>
              <w:left w:w="108" w:type="dxa"/>
              <w:bottom w:w="0" w:type="dxa"/>
              <w:right w:w="108" w:type="dxa"/>
            </w:tcMar>
          </w:tcPr>
          <w:p w14:paraId="66F619D3" w14:textId="77777777" w:rsidR="0016597A" w:rsidRPr="0047249D" w:rsidRDefault="0016597A" w:rsidP="0047249D">
            <w:pPr>
              <w:spacing w:before="40" w:after="120"/>
              <w:ind w:right="113"/>
              <w:rPr>
                <w:lang w:val="fr-MC"/>
              </w:rPr>
            </w:pPr>
            <w:r w:rsidRPr="0047249D">
              <w:rPr>
                <w:lang w:val="fr-MC"/>
              </w:rPr>
              <w:t xml:space="preserve"> _</w:t>
            </w:r>
          </w:p>
        </w:tc>
        <w:tc>
          <w:tcPr>
            <w:tcW w:w="1454" w:type="dxa"/>
            <w:shd w:val="clear" w:color="auto" w:fill="auto"/>
            <w:tcMar>
              <w:top w:w="0" w:type="dxa"/>
              <w:left w:w="108" w:type="dxa"/>
              <w:bottom w:w="0" w:type="dxa"/>
              <w:right w:w="108" w:type="dxa"/>
            </w:tcMar>
          </w:tcPr>
          <w:p w14:paraId="0A49B236" w14:textId="77777777" w:rsidR="0016597A" w:rsidRPr="0047249D" w:rsidRDefault="0016597A" w:rsidP="0047249D">
            <w:pPr>
              <w:spacing w:before="40" w:after="120"/>
              <w:ind w:right="113"/>
              <w:rPr>
                <w:lang w:val="fr-MC"/>
              </w:rPr>
            </w:pPr>
            <w:r w:rsidRPr="0047249D">
              <w:rPr>
                <w:lang w:val="fr-MC"/>
              </w:rPr>
              <w:t xml:space="preserve"> _</w:t>
            </w:r>
          </w:p>
        </w:tc>
        <w:tc>
          <w:tcPr>
            <w:tcW w:w="1311" w:type="dxa"/>
            <w:shd w:val="clear" w:color="auto" w:fill="auto"/>
            <w:tcMar>
              <w:top w:w="0" w:type="dxa"/>
              <w:left w:w="108" w:type="dxa"/>
              <w:bottom w:w="0" w:type="dxa"/>
              <w:right w:w="108" w:type="dxa"/>
            </w:tcMar>
          </w:tcPr>
          <w:p w14:paraId="48466D13" w14:textId="77777777" w:rsidR="0016597A" w:rsidRPr="0047249D" w:rsidRDefault="0016597A" w:rsidP="0047249D">
            <w:pPr>
              <w:spacing w:before="40" w:after="120"/>
              <w:ind w:right="113"/>
              <w:rPr>
                <w:lang w:val="fr-MC"/>
              </w:rPr>
            </w:pPr>
            <w:r w:rsidRPr="0047249D">
              <w:rPr>
                <w:lang w:val="fr-MC"/>
              </w:rPr>
              <w:t xml:space="preserve"> _</w:t>
            </w:r>
          </w:p>
        </w:tc>
      </w:tr>
      <w:tr w:rsidR="0047249D" w:rsidRPr="0047249D" w14:paraId="43B05BF7" w14:textId="77777777" w:rsidTr="00681296">
        <w:tc>
          <w:tcPr>
            <w:tcW w:w="3232" w:type="dxa"/>
            <w:shd w:val="clear" w:color="auto" w:fill="auto"/>
            <w:tcMar>
              <w:top w:w="0" w:type="dxa"/>
              <w:left w:w="108" w:type="dxa"/>
              <w:bottom w:w="0" w:type="dxa"/>
              <w:right w:w="108" w:type="dxa"/>
            </w:tcMar>
          </w:tcPr>
          <w:p w14:paraId="0CEABF60" w14:textId="6099EE4C" w:rsidR="0016597A" w:rsidRPr="0047249D" w:rsidRDefault="0016597A" w:rsidP="00BF2F03">
            <w:pPr>
              <w:spacing w:before="40" w:after="120"/>
              <w:ind w:right="113"/>
              <w:rPr>
                <w:lang w:val="fr-MC"/>
              </w:rPr>
            </w:pPr>
            <w:r w:rsidRPr="0047249D">
              <w:rPr>
                <w:lang w:val="fr-MC"/>
              </w:rPr>
              <w:t xml:space="preserve">Deuxième </w:t>
            </w:r>
            <w:r w:rsidR="00C76A03">
              <w:rPr>
                <w:lang w:val="fr-MC"/>
              </w:rPr>
              <w:t>P</w:t>
            </w:r>
            <w:r w:rsidRPr="0047249D">
              <w:rPr>
                <w:lang w:val="fr-MC"/>
              </w:rPr>
              <w:t>rotocole facultatif se rapportant au Pacte International relatif aux Droits Civils et Politiques</w:t>
            </w:r>
          </w:p>
        </w:tc>
        <w:tc>
          <w:tcPr>
            <w:tcW w:w="1373" w:type="dxa"/>
            <w:shd w:val="clear" w:color="auto" w:fill="auto"/>
            <w:tcMar>
              <w:top w:w="0" w:type="dxa"/>
              <w:left w:w="108" w:type="dxa"/>
              <w:bottom w:w="0" w:type="dxa"/>
              <w:right w:w="108" w:type="dxa"/>
            </w:tcMar>
          </w:tcPr>
          <w:p w14:paraId="24BC8AD0" w14:textId="77777777" w:rsidR="0016597A" w:rsidRPr="0047249D" w:rsidRDefault="0016597A" w:rsidP="0047249D">
            <w:pPr>
              <w:spacing w:before="40" w:after="120"/>
              <w:ind w:right="113"/>
              <w:rPr>
                <w:lang w:val="fr-MC"/>
              </w:rPr>
            </w:pPr>
            <w:r w:rsidRPr="0047249D">
              <w:rPr>
                <w:lang w:val="fr-MC"/>
              </w:rPr>
              <w:t xml:space="preserve"> _</w:t>
            </w:r>
          </w:p>
        </w:tc>
        <w:tc>
          <w:tcPr>
            <w:tcW w:w="1454" w:type="dxa"/>
            <w:shd w:val="clear" w:color="auto" w:fill="auto"/>
            <w:tcMar>
              <w:top w:w="0" w:type="dxa"/>
              <w:left w:w="108" w:type="dxa"/>
              <w:bottom w:w="0" w:type="dxa"/>
              <w:right w:w="108" w:type="dxa"/>
            </w:tcMar>
          </w:tcPr>
          <w:p w14:paraId="7026053B" w14:textId="77777777" w:rsidR="0016597A" w:rsidRPr="0047249D" w:rsidRDefault="0016597A" w:rsidP="0047249D">
            <w:pPr>
              <w:spacing w:before="40" w:after="120"/>
              <w:ind w:right="113"/>
              <w:rPr>
                <w:lang w:val="fr-MC"/>
              </w:rPr>
            </w:pPr>
            <w:r w:rsidRPr="0047249D">
              <w:rPr>
                <w:lang w:val="fr-MC"/>
              </w:rPr>
              <w:t xml:space="preserve"> _</w:t>
            </w:r>
          </w:p>
        </w:tc>
        <w:tc>
          <w:tcPr>
            <w:tcW w:w="1311" w:type="dxa"/>
            <w:shd w:val="clear" w:color="auto" w:fill="auto"/>
            <w:tcMar>
              <w:top w:w="0" w:type="dxa"/>
              <w:left w:w="108" w:type="dxa"/>
              <w:bottom w:w="0" w:type="dxa"/>
              <w:right w:w="108" w:type="dxa"/>
            </w:tcMar>
          </w:tcPr>
          <w:p w14:paraId="0A4CE9C2" w14:textId="41A3F7FD" w:rsidR="0016597A" w:rsidRPr="0047249D" w:rsidRDefault="0016597A" w:rsidP="00BF2F03">
            <w:pPr>
              <w:spacing w:before="40" w:after="120"/>
              <w:ind w:right="113"/>
              <w:rPr>
                <w:lang w:val="fr-MC"/>
              </w:rPr>
            </w:pPr>
            <w:r w:rsidRPr="0047249D">
              <w:rPr>
                <w:lang w:val="fr-MC"/>
              </w:rPr>
              <w:t xml:space="preserve"> _</w:t>
            </w:r>
          </w:p>
        </w:tc>
      </w:tr>
      <w:tr w:rsidR="0047249D" w:rsidRPr="0047249D" w14:paraId="77847B0D" w14:textId="77777777" w:rsidTr="00681296">
        <w:tc>
          <w:tcPr>
            <w:tcW w:w="3232" w:type="dxa"/>
            <w:shd w:val="clear" w:color="auto" w:fill="auto"/>
            <w:tcMar>
              <w:top w:w="0" w:type="dxa"/>
              <w:left w:w="108" w:type="dxa"/>
              <w:bottom w:w="0" w:type="dxa"/>
              <w:right w:w="108" w:type="dxa"/>
            </w:tcMar>
          </w:tcPr>
          <w:p w14:paraId="2357F052" w14:textId="2ED335B0" w:rsidR="0016597A" w:rsidRPr="0047249D" w:rsidRDefault="0016597A" w:rsidP="00BF2F03">
            <w:pPr>
              <w:spacing w:before="40" w:after="120"/>
              <w:ind w:right="113"/>
              <w:rPr>
                <w:lang w:val="fr-MC"/>
              </w:rPr>
            </w:pPr>
            <w:r w:rsidRPr="0047249D">
              <w:rPr>
                <w:lang w:val="fr-MC"/>
              </w:rPr>
              <w:t>Pacte International relatif aux Droits Economiques, Sociaux et</w:t>
            </w:r>
            <w:r w:rsidR="00D5675E">
              <w:rPr>
                <w:lang w:val="fr-MC"/>
              </w:rPr>
              <w:t> </w:t>
            </w:r>
            <w:r w:rsidRPr="0047249D">
              <w:rPr>
                <w:lang w:val="fr-MC"/>
              </w:rPr>
              <w:t>Culturels</w:t>
            </w:r>
          </w:p>
        </w:tc>
        <w:tc>
          <w:tcPr>
            <w:tcW w:w="1373" w:type="dxa"/>
            <w:shd w:val="clear" w:color="auto" w:fill="auto"/>
            <w:tcMar>
              <w:top w:w="0" w:type="dxa"/>
              <w:left w:w="108" w:type="dxa"/>
              <w:bottom w:w="0" w:type="dxa"/>
              <w:right w:w="108" w:type="dxa"/>
            </w:tcMar>
          </w:tcPr>
          <w:p w14:paraId="7FAB49CF" w14:textId="77777777" w:rsidR="0016597A" w:rsidRPr="0047249D" w:rsidRDefault="0016597A" w:rsidP="0047249D">
            <w:pPr>
              <w:spacing w:before="40" w:after="120"/>
              <w:ind w:right="113"/>
              <w:rPr>
                <w:lang w:val="fr-FR"/>
              </w:rPr>
            </w:pPr>
          </w:p>
        </w:tc>
        <w:tc>
          <w:tcPr>
            <w:tcW w:w="1454" w:type="dxa"/>
            <w:shd w:val="clear" w:color="auto" w:fill="auto"/>
            <w:tcMar>
              <w:top w:w="0" w:type="dxa"/>
              <w:left w:w="108" w:type="dxa"/>
              <w:bottom w:w="0" w:type="dxa"/>
              <w:right w:w="108" w:type="dxa"/>
            </w:tcMar>
          </w:tcPr>
          <w:p w14:paraId="693B8A1A" w14:textId="77777777" w:rsidR="0016597A" w:rsidRPr="0047249D" w:rsidRDefault="0016597A" w:rsidP="0047249D">
            <w:pPr>
              <w:spacing w:before="40" w:after="120"/>
              <w:ind w:right="113"/>
              <w:rPr>
                <w:lang w:val="fr-MC"/>
              </w:rPr>
            </w:pPr>
            <w:r w:rsidRPr="0047249D">
              <w:rPr>
                <w:lang w:val="fr-MC"/>
              </w:rPr>
              <w:t>09/05/1990</w:t>
            </w:r>
          </w:p>
        </w:tc>
        <w:tc>
          <w:tcPr>
            <w:tcW w:w="1311" w:type="dxa"/>
            <w:shd w:val="clear" w:color="auto" w:fill="auto"/>
            <w:tcMar>
              <w:top w:w="0" w:type="dxa"/>
              <w:left w:w="108" w:type="dxa"/>
              <w:bottom w:w="0" w:type="dxa"/>
              <w:right w:w="108" w:type="dxa"/>
            </w:tcMar>
          </w:tcPr>
          <w:p w14:paraId="2C2DE3AF" w14:textId="77777777" w:rsidR="0016597A" w:rsidRPr="0047249D" w:rsidRDefault="0016597A" w:rsidP="0047249D">
            <w:pPr>
              <w:spacing w:before="40" w:after="120"/>
              <w:ind w:right="113"/>
              <w:rPr>
                <w:lang w:val="fr-MC"/>
              </w:rPr>
            </w:pPr>
            <w:r w:rsidRPr="0047249D">
              <w:rPr>
                <w:lang w:val="fr-MC"/>
              </w:rPr>
              <w:t xml:space="preserve"> 2015</w:t>
            </w:r>
          </w:p>
        </w:tc>
      </w:tr>
      <w:tr w:rsidR="0047249D" w:rsidRPr="0047249D" w14:paraId="604FA44D" w14:textId="77777777" w:rsidTr="00681296">
        <w:tc>
          <w:tcPr>
            <w:tcW w:w="3232" w:type="dxa"/>
            <w:shd w:val="clear" w:color="auto" w:fill="auto"/>
            <w:tcMar>
              <w:top w:w="0" w:type="dxa"/>
              <w:left w:w="108" w:type="dxa"/>
              <w:bottom w:w="0" w:type="dxa"/>
              <w:right w:w="108" w:type="dxa"/>
            </w:tcMar>
          </w:tcPr>
          <w:p w14:paraId="0FC8B098" w14:textId="3CB6F53E" w:rsidR="0016597A" w:rsidRPr="0047249D" w:rsidRDefault="0016597A" w:rsidP="00BF2F03">
            <w:pPr>
              <w:spacing w:before="40" w:after="120"/>
              <w:ind w:right="113"/>
              <w:rPr>
                <w:lang w:val="fr-MC"/>
              </w:rPr>
            </w:pPr>
            <w:r w:rsidRPr="0047249D">
              <w:rPr>
                <w:lang w:val="fr-MC"/>
              </w:rPr>
              <w:t>Protocole facultatif se rapportant au</w:t>
            </w:r>
            <w:r w:rsidR="00D5675E">
              <w:rPr>
                <w:lang w:val="fr-MC"/>
              </w:rPr>
              <w:t> </w:t>
            </w:r>
            <w:r w:rsidRPr="0047249D">
              <w:rPr>
                <w:lang w:val="fr-MC"/>
              </w:rPr>
              <w:t>Pacte International relatif aux Droits Economiques, Sociaux et</w:t>
            </w:r>
            <w:r w:rsidR="00D5675E">
              <w:rPr>
                <w:lang w:val="fr-MC"/>
              </w:rPr>
              <w:t> </w:t>
            </w:r>
            <w:r w:rsidRPr="0047249D">
              <w:rPr>
                <w:lang w:val="fr-MC"/>
              </w:rPr>
              <w:t>Culturels</w:t>
            </w:r>
          </w:p>
        </w:tc>
        <w:tc>
          <w:tcPr>
            <w:tcW w:w="1373" w:type="dxa"/>
            <w:shd w:val="clear" w:color="auto" w:fill="auto"/>
            <w:tcMar>
              <w:top w:w="0" w:type="dxa"/>
              <w:left w:w="108" w:type="dxa"/>
              <w:bottom w:w="0" w:type="dxa"/>
              <w:right w:w="108" w:type="dxa"/>
            </w:tcMar>
          </w:tcPr>
          <w:p w14:paraId="212B65FA" w14:textId="77777777" w:rsidR="0016597A" w:rsidRPr="0047249D" w:rsidRDefault="0016597A" w:rsidP="0047249D">
            <w:pPr>
              <w:spacing w:before="40" w:after="120"/>
              <w:ind w:right="113"/>
              <w:rPr>
                <w:lang w:val="fr-MC"/>
              </w:rPr>
            </w:pPr>
            <w:r w:rsidRPr="0047249D">
              <w:rPr>
                <w:lang w:val="fr-MC"/>
              </w:rPr>
              <w:t xml:space="preserve"> -</w:t>
            </w:r>
          </w:p>
        </w:tc>
        <w:tc>
          <w:tcPr>
            <w:tcW w:w="1454" w:type="dxa"/>
            <w:shd w:val="clear" w:color="auto" w:fill="auto"/>
            <w:tcMar>
              <w:top w:w="0" w:type="dxa"/>
              <w:left w:w="108" w:type="dxa"/>
              <w:bottom w:w="0" w:type="dxa"/>
              <w:right w:w="108" w:type="dxa"/>
            </w:tcMar>
          </w:tcPr>
          <w:p w14:paraId="18F3E87C" w14:textId="77777777" w:rsidR="0016597A" w:rsidRPr="0047249D" w:rsidRDefault="0016597A" w:rsidP="0047249D">
            <w:pPr>
              <w:spacing w:before="40" w:after="120"/>
              <w:ind w:right="113"/>
              <w:rPr>
                <w:lang w:val="fr-MC"/>
              </w:rPr>
            </w:pPr>
            <w:r w:rsidRPr="0047249D">
              <w:rPr>
                <w:lang w:val="fr-MC"/>
              </w:rPr>
              <w:t xml:space="preserve"> -</w:t>
            </w:r>
          </w:p>
        </w:tc>
        <w:tc>
          <w:tcPr>
            <w:tcW w:w="1311" w:type="dxa"/>
            <w:shd w:val="clear" w:color="auto" w:fill="auto"/>
            <w:tcMar>
              <w:top w:w="0" w:type="dxa"/>
              <w:left w:w="108" w:type="dxa"/>
              <w:bottom w:w="0" w:type="dxa"/>
              <w:right w:w="108" w:type="dxa"/>
            </w:tcMar>
          </w:tcPr>
          <w:p w14:paraId="602AAD85" w14:textId="77777777" w:rsidR="0016597A" w:rsidRPr="0047249D" w:rsidRDefault="0016597A" w:rsidP="0047249D">
            <w:pPr>
              <w:spacing w:before="40" w:after="120"/>
              <w:ind w:right="113"/>
              <w:rPr>
                <w:lang w:val="fr-MC"/>
              </w:rPr>
            </w:pPr>
            <w:r w:rsidRPr="0047249D">
              <w:rPr>
                <w:lang w:val="fr-MC"/>
              </w:rPr>
              <w:t>-- -</w:t>
            </w:r>
          </w:p>
        </w:tc>
      </w:tr>
      <w:tr w:rsidR="0047249D" w:rsidRPr="0047249D" w14:paraId="1FC61C76" w14:textId="77777777" w:rsidTr="00681296">
        <w:tc>
          <w:tcPr>
            <w:tcW w:w="3232" w:type="dxa"/>
            <w:shd w:val="clear" w:color="auto" w:fill="auto"/>
            <w:tcMar>
              <w:top w:w="0" w:type="dxa"/>
              <w:left w:w="108" w:type="dxa"/>
              <w:bottom w:w="0" w:type="dxa"/>
              <w:right w:w="108" w:type="dxa"/>
            </w:tcMar>
          </w:tcPr>
          <w:p w14:paraId="5AB9FCB0" w14:textId="7B73FF37" w:rsidR="0016597A" w:rsidRPr="0047249D" w:rsidRDefault="0016597A" w:rsidP="00BF2F03">
            <w:pPr>
              <w:spacing w:before="40" w:after="120"/>
              <w:ind w:right="113"/>
              <w:rPr>
                <w:lang w:val="fr-MC"/>
              </w:rPr>
            </w:pPr>
            <w:r w:rsidRPr="0047249D">
              <w:rPr>
                <w:lang w:val="fr-MC"/>
              </w:rPr>
              <w:t>Convention internationale sur l’Elimination de toutes les formes de Discrimination Raciale</w:t>
            </w:r>
          </w:p>
        </w:tc>
        <w:tc>
          <w:tcPr>
            <w:tcW w:w="1373" w:type="dxa"/>
            <w:shd w:val="clear" w:color="auto" w:fill="auto"/>
            <w:tcMar>
              <w:top w:w="0" w:type="dxa"/>
              <w:left w:w="108" w:type="dxa"/>
              <w:bottom w:w="0" w:type="dxa"/>
              <w:right w:w="108" w:type="dxa"/>
            </w:tcMar>
          </w:tcPr>
          <w:p w14:paraId="2C1FC9E6" w14:textId="77777777" w:rsidR="0016597A" w:rsidRPr="0047249D" w:rsidRDefault="0016597A" w:rsidP="0047249D">
            <w:pPr>
              <w:spacing w:before="40" w:after="120"/>
              <w:ind w:right="113"/>
              <w:rPr>
                <w:lang w:val="fr-MC"/>
              </w:rPr>
            </w:pPr>
            <w:r w:rsidRPr="0047249D">
              <w:rPr>
                <w:lang w:val="fr-MC"/>
              </w:rPr>
              <w:t>01/02/1967</w:t>
            </w:r>
          </w:p>
        </w:tc>
        <w:tc>
          <w:tcPr>
            <w:tcW w:w="1454" w:type="dxa"/>
            <w:shd w:val="clear" w:color="auto" w:fill="auto"/>
            <w:tcMar>
              <w:top w:w="0" w:type="dxa"/>
              <w:left w:w="108" w:type="dxa"/>
              <w:bottom w:w="0" w:type="dxa"/>
              <w:right w:w="108" w:type="dxa"/>
            </w:tcMar>
          </w:tcPr>
          <w:p w14:paraId="5A914DDA" w14:textId="77777777" w:rsidR="0016597A" w:rsidRPr="0047249D" w:rsidRDefault="0016597A" w:rsidP="0047249D">
            <w:pPr>
              <w:spacing w:before="40" w:after="120"/>
              <w:ind w:right="113"/>
              <w:rPr>
                <w:lang w:val="fr-MC"/>
              </w:rPr>
            </w:pPr>
            <w:r w:rsidRPr="0047249D">
              <w:rPr>
                <w:lang w:val="fr-MC"/>
              </w:rPr>
              <w:t>27/10/1977</w:t>
            </w:r>
          </w:p>
        </w:tc>
        <w:tc>
          <w:tcPr>
            <w:tcW w:w="1311" w:type="dxa"/>
            <w:shd w:val="clear" w:color="auto" w:fill="auto"/>
            <w:tcMar>
              <w:top w:w="0" w:type="dxa"/>
              <w:left w:w="108" w:type="dxa"/>
              <w:bottom w:w="0" w:type="dxa"/>
              <w:right w:w="108" w:type="dxa"/>
            </w:tcMar>
          </w:tcPr>
          <w:p w14:paraId="1364811C" w14:textId="77777777" w:rsidR="0016597A" w:rsidRPr="0047249D" w:rsidRDefault="0016597A" w:rsidP="0047249D">
            <w:pPr>
              <w:spacing w:before="40" w:after="120"/>
              <w:ind w:right="113"/>
              <w:rPr>
                <w:lang w:val="fr-MC"/>
              </w:rPr>
            </w:pPr>
            <w:r w:rsidRPr="0047249D">
              <w:rPr>
                <w:lang w:val="fr-MC"/>
              </w:rPr>
              <w:t>--- 1999</w:t>
            </w:r>
          </w:p>
          <w:p w14:paraId="11B9CBA4" w14:textId="77777777" w:rsidR="0016597A" w:rsidRPr="0047249D" w:rsidRDefault="0016597A" w:rsidP="0047249D">
            <w:pPr>
              <w:spacing w:before="40" w:after="120"/>
              <w:ind w:right="113"/>
              <w:rPr>
                <w:lang w:val="fr-MC"/>
              </w:rPr>
            </w:pPr>
          </w:p>
        </w:tc>
      </w:tr>
      <w:tr w:rsidR="0047249D" w:rsidRPr="0047249D" w14:paraId="400EC8C8" w14:textId="77777777" w:rsidTr="00681296">
        <w:tc>
          <w:tcPr>
            <w:tcW w:w="3232" w:type="dxa"/>
            <w:shd w:val="clear" w:color="auto" w:fill="auto"/>
            <w:tcMar>
              <w:top w:w="0" w:type="dxa"/>
              <w:left w:w="108" w:type="dxa"/>
              <w:bottom w:w="0" w:type="dxa"/>
              <w:right w:w="108" w:type="dxa"/>
            </w:tcMar>
          </w:tcPr>
          <w:p w14:paraId="1177512D" w14:textId="77DD74B2" w:rsidR="0016597A" w:rsidRPr="0047249D" w:rsidRDefault="0016597A" w:rsidP="00BF2F03">
            <w:pPr>
              <w:spacing w:before="40" w:after="120"/>
              <w:ind w:right="113"/>
              <w:rPr>
                <w:lang w:val="fr-MC"/>
              </w:rPr>
            </w:pPr>
            <w:r w:rsidRPr="0047249D">
              <w:rPr>
                <w:lang w:val="fr-MC"/>
              </w:rPr>
              <w:t>Convention sur l’Elimination de toutes les formes de Discrimination à l’égard des Femmes</w:t>
            </w:r>
          </w:p>
        </w:tc>
        <w:tc>
          <w:tcPr>
            <w:tcW w:w="1373" w:type="dxa"/>
            <w:shd w:val="clear" w:color="auto" w:fill="auto"/>
            <w:tcMar>
              <w:top w:w="0" w:type="dxa"/>
              <w:left w:w="108" w:type="dxa"/>
              <w:bottom w:w="0" w:type="dxa"/>
              <w:right w:w="108" w:type="dxa"/>
            </w:tcMar>
          </w:tcPr>
          <w:p w14:paraId="2971F681" w14:textId="54860A0E" w:rsidR="0016597A" w:rsidRPr="0047249D" w:rsidRDefault="0016597A" w:rsidP="0047249D">
            <w:pPr>
              <w:spacing w:before="40" w:after="120"/>
              <w:ind w:right="113"/>
              <w:rPr>
                <w:lang w:val="fr-MC"/>
              </w:rPr>
            </w:pPr>
            <w:r w:rsidRPr="0047249D">
              <w:rPr>
                <w:lang w:val="fr-MC"/>
              </w:rPr>
              <w:t>17/06/1980</w:t>
            </w:r>
          </w:p>
        </w:tc>
        <w:tc>
          <w:tcPr>
            <w:tcW w:w="1454" w:type="dxa"/>
            <w:shd w:val="clear" w:color="auto" w:fill="auto"/>
            <w:tcMar>
              <w:top w:w="0" w:type="dxa"/>
              <w:left w:w="108" w:type="dxa"/>
              <w:bottom w:w="0" w:type="dxa"/>
              <w:right w:w="108" w:type="dxa"/>
            </w:tcMar>
          </w:tcPr>
          <w:p w14:paraId="140A6D76" w14:textId="77777777" w:rsidR="0016597A" w:rsidRPr="0047249D" w:rsidRDefault="0016597A" w:rsidP="0047249D">
            <w:pPr>
              <w:spacing w:before="40" w:after="120"/>
              <w:ind w:right="113"/>
              <w:rPr>
                <w:lang w:val="fr-MC"/>
              </w:rPr>
            </w:pPr>
            <w:r w:rsidRPr="0047249D">
              <w:rPr>
                <w:lang w:val="fr-MC"/>
              </w:rPr>
              <w:t>08/01/1992</w:t>
            </w:r>
          </w:p>
        </w:tc>
        <w:tc>
          <w:tcPr>
            <w:tcW w:w="1311" w:type="dxa"/>
            <w:shd w:val="clear" w:color="auto" w:fill="auto"/>
            <w:tcMar>
              <w:top w:w="0" w:type="dxa"/>
              <w:left w:w="108" w:type="dxa"/>
              <w:bottom w:w="0" w:type="dxa"/>
              <w:right w:w="108" w:type="dxa"/>
            </w:tcMar>
          </w:tcPr>
          <w:p w14:paraId="6F15FCFD" w14:textId="05D2C9D4" w:rsidR="0016597A" w:rsidRPr="0047249D" w:rsidRDefault="0016597A" w:rsidP="0047249D">
            <w:pPr>
              <w:spacing w:before="40" w:after="120"/>
              <w:ind w:right="113"/>
              <w:rPr>
                <w:lang w:val="fr-MC"/>
              </w:rPr>
            </w:pPr>
            <w:r w:rsidRPr="0047249D">
              <w:rPr>
                <w:lang w:val="fr-MC"/>
              </w:rPr>
              <w:t>2001</w:t>
            </w:r>
          </w:p>
          <w:p w14:paraId="39976DCC" w14:textId="77777777" w:rsidR="0016597A" w:rsidRPr="0047249D" w:rsidRDefault="0016597A" w:rsidP="0047249D">
            <w:pPr>
              <w:spacing w:before="40" w:after="120"/>
              <w:ind w:right="113"/>
              <w:rPr>
                <w:lang w:val="fr-MC"/>
              </w:rPr>
            </w:pPr>
            <w:r w:rsidRPr="0047249D">
              <w:rPr>
                <w:lang w:val="fr-MC"/>
              </w:rPr>
              <w:t>2005</w:t>
            </w:r>
          </w:p>
          <w:p w14:paraId="015BF691" w14:textId="77777777" w:rsidR="0016597A" w:rsidRPr="0047249D" w:rsidRDefault="0016597A" w:rsidP="0047249D">
            <w:pPr>
              <w:spacing w:before="40" w:after="120"/>
              <w:ind w:right="113"/>
              <w:rPr>
                <w:lang w:val="fr-MC"/>
              </w:rPr>
            </w:pPr>
            <w:r w:rsidRPr="0047249D">
              <w:rPr>
                <w:lang w:val="fr-MC"/>
              </w:rPr>
              <w:t>2016</w:t>
            </w:r>
          </w:p>
        </w:tc>
      </w:tr>
      <w:tr w:rsidR="0047249D" w:rsidRPr="0047249D" w14:paraId="6AE2988F" w14:textId="77777777" w:rsidTr="00681296">
        <w:tc>
          <w:tcPr>
            <w:tcW w:w="3232" w:type="dxa"/>
            <w:shd w:val="clear" w:color="auto" w:fill="auto"/>
            <w:tcMar>
              <w:top w:w="0" w:type="dxa"/>
              <w:left w:w="108" w:type="dxa"/>
              <w:bottom w:w="0" w:type="dxa"/>
              <w:right w:w="108" w:type="dxa"/>
            </w:tcMar>
          </w:tcPr>
          <w:p w14:paraId="3FE410E1" w14:textId="51EB24C3" w:rsidR="0016597A" w:rsidRPr="0047249D" w:rsidRDefault="0016597A" w:rsidP="00BF2F03">
            <w:pPr>
              <w:spacing w:before="40" w:after="120"/>
              <w:ind w:right="113"/>
              <w:rPr>
                <w:lang w:val="fr-MC"/>
              </w:rPr>
            </w:pPr>
            <w:r w:rsidRPr="0047249D">
              <w:rPr>
                <w:lang w:val="fr-MC"/>
              </w:rPr>
              <w:t xml:space="preserve">Protocole facultatif à la Convention sur l’Elimination de toutes les formes de Discrimination </w:t>
            </w:r>
            <w:r w:rsidR="00D5675E">
              <w:rPr>
                <w:lang w:val="fr-MC"/>
              </w:rPr>
              <w:br/>
            </w:r>
            <w:r w:rsidRPr="0047249D">
              <w:rPr>
                <w:lang w:val="fr-MC"/>
              </w:rPr>
              <w:t>à l’égard des Femmes</w:t>
            </w:r>
          </w:p>
        </w:tc>
        <w:tc>
          <w:tcPr>
            <w:tcW w:w="1373" w:type="dxa"/>
            <w:shd w:val="clear" w:color="auto" w:fill="auto"/>
            <w:tcMar>
              <w:top w:w="0" w:type="dxa"/>
              <w:left w:w="108" w:type="dxa"/>
              <w:bottom w:w="0" w:type="dxa"/>
              <w:right w:w="108" w:type="dxa"/>
            </w:tcMar>
          </w:tcPr>
          <w:p w14:paraId="2B686374" w14:textId="77777777" w:rsidR="0016597A" w:rsidRPr="0047249D" w:rsidRDefault="0016597A" w:rsidP="0047249D">
            <w:pPr>
              <w:spacing w:before="40" w:after="120"/>
              <w:ind w:right="113"/>
              <w:rPr>
                <w:lang w:val="fr-MC"/>
              </w:rPr>
            </w:pPr>
            <w:r w:rsidRPr="0047249D">
              <w:rPr>
                <w:lang w:val="fr-MC"/>
              </w:rPr>
              <w:t xml:space="preserve"> -</w:t>
            </w:r>
          </w:p>
        </w:tc>
        <w:tc>
          <w:tcPr>
            <w:tcW w:w="1454" w:type="dxa"/>
            <w:shd w:val="clear" w:color="auto" w:fill="auto"/>
            <w:tcMar>
              <w:top w:w="0" w:type="dxa"/>
              <w:left w:w="108" w:type="dxa"/>
              <w:bottom w:w="0" w:type="dxa"/>
              <w:right w:w="108" w:type="dxa"/>
            </w:tcMar>
          </w:tcPr>
          <w:p w14:paraId="5EBC1934" w14:textId="77777777" w:rsidR="0016597A" w:rsidRPr="0047249D" w:rsidRDefault="0016597A" w:rsidP="0047249D">
            <w:pPr>
              <w:spacing w:before="40" w:after="120"/>
              <w:ind w:right="113"/>
              <w:rPr>
                <w:lang w:val="fr-MC"/>
              </w:rPr>
            </w:pPr>
            <w:r w:rsidRPr="0047249D">
              <w:rPr>
                <w:lang w:val="fr-MC"/>
              </w:rPr>
              <w:t xml:space="preserve"> -</w:t>
            </w:r>
          </w:p>
        </w:tc>
        <w:tc>
          <w:tcPr>
            <w:tcW w:w="1311" w:type="dxa"/>
            <w:shd w:val="clear" w:color="auto" w:fill="auto"/>
            <w:tcMar>
              <w:top w:w="0" w:type="dxa"/>
              <w:left w:w="108" w:type="dxa"/>
              <w:bottom w:w="0" w:type="dxa"/>
              <w:right w:w="108" w:type="dxa"/>
            </w:tcMar>
          </w:tcPr>
          <w:p w14:paraId="711FC557" w14:textId="77777777" w:rsidR="0016597A" w:rsidRPr="0047249D" w:rsidRDefault="0016597A" w:rsidP="0047249D">
            <w:pPr>
              <w:spacing w:before="40" w:after="120"/>
              <w:ind w:right="113"/>
              <w:rPr>
                <w:lang w:val="fr-MC"/>
              </w:rPr>
            </w:pPr>
            <w:r w:rsidRPr="0047249D">
              <w:rPr>
                <w:lang w:val="fr-MC"/>
              </w:rPr>
              <w:t xml:space="preserve"> -</w:t>
            </w:r>
          </w:p>
        </w:tc>
      </w:tr>
      <w:tr w:rsidR="0047249D" w:rsidRPr="0047249D" w14:paraId="7DDFEC19" w14:textId="77777777" w:rsidTr="00681296">
        <w:tc>
          <w:tcPr>
            <w:tcW w:w="3232" w:type="dxa"/>
            <w:shd w:val="clear" w:color="auto" w:fill="auto"/>
            <w:tcMar>
              <w:top w:w="0" w:type="dxa"/>
              <w:left w:w="108" w:type="dxa"/>
              <w:bottom w:w="0" w:type="dxa"/>
              <w:right w:w="108" w:type="dxa"/>
            </w:tcMar>
          </w:tcPr>
          <w:p w14:paraId="12038CD4" w14:textId="0BC0CC4A" w:rsidR="0016597A" w:rsidRPr="0047249D" w:rsidRDefault="0016597A" w:rsidP="0047249D">
            <w:pPr>
              <w:spacing w:before="40" w:after="120"/>
              <w:ind w:right="113"/>
              <w:rPr>
                <w:lang w:val="fr-MC"/>
              </w:rPr>
            </w:pPr>
            <w:r w:rsidRPr="0047249D">
              <w:rPr>
                <w:lang w:val="fr-MC"/>
              </w:rPr>
              <w:t>Convention relative aux Droits de</w:t>
            </w:r>
            <w:r w:rsidR="00D5675E">
              <w:rPr>
                <w:lang w:val="fr-MC"/>
              </w:rPr>
              <w:t> </w:t>
            </w:r>
            <w:r w:rsidRPr="0047249D">
              <w:rPr>
                <w:lang w:val="fr-MC"/>
              </w:rPr>
              <w:t>l’Enfant</w:t>
            </w:r>
          </w:p>
        </w:tc>
        <w:tc>
          <w:tcPr>
            <w:tcW w:w="1373" w:type="dxa"/>
            <w:shd w:val="clear" w:color="auto" w:fill="auto"/>
            <w:tcMar>
              <w:top w:w="0" w:type="dxa"/>
              <w:left w:w="108" w:type="dxa"/>
              <w:bottom w:w="0" w:type="dxa"/>
              <w:right w:w="108" w:type="dxa"/>
            </w:tcMar>
          </w:tcPr>
          <w:p w14:paraId="2D3E63A1" w14:textId="267AEA94" w:rsidR="0016597A" w:rsidRPr="0047249D" w:rsidRDefault="0016597A" w:rsidP="0047249D">
            <w:pPr>
              <w:spacing w:before="40" w:after="120"/>
              <w:ind w:right="113"/>
              <w:rPr>
                <w:lang w:val="fr-MC"/>
              </w:rPr>
            </w:pPr>
            <w:r w:rsidRPr="0047249D">
              <w:rPr>
                <w:lang w:val="fr-MC"/>
              </w:rPr>
              <w:t>08/05/1990</w:t>
            </w:r>
          </w:p>
        </w:tc>
        <w:tc>
          <w:tcPr>
            <w:tcW w:w="1454" w:type="dxa"/>
            <w:shd w:val="clear" w:color="auto" w:fill="auto"/>
            <w:tcMar>
              <w:top w:w="0" w:type="dxa"/>
              <w:left w:w="108" w:type="dxa"/>
              <w:bottom w:w="0" w:type="dxa"/>
              <w:right w:w="108" w:type="dxa"/>
            </w:tcMar>
          </w:tcPr>
          <w:p w14:paraId="4D80DD52" w14:textId="77777777" w:rsidR="0016597A" w:rsidRPr="0047249D" w:rsidRDefault="0016597A" w:rsidP="0047249D">
            <w:pPr>
              <w:spacing w:before="40" w:after="120"/>
              <w:ind w:right="113"/>
              <w:rPr>
                <w:lang w:val="fr-MC"/>
              </w:rPr>
            </w:pPr>
            <w:r w:rsidRPr="0047249D">
              <w:rPr>
                <w:lang w:val="fr-MC"/>
              </w:rPr>
              <w:t>19/10/1990</w:t>
            </w:r>
          </w:p>
        </w:tc>
        <w:tc>
          <w:tcPr>
            <w:tcW w:w="1311" w:type="dxa"/>
            <w:shd w:val="clear" w:color="auto" w:fill="auto"/>
            <w:tcMar>
              <w:top w:w="0" w:type="dxa"/>
              <w:left w:w="108" w:type="dxa"/>
              <w:bottom w:w="0" w:type="dxa"/>
              <w:right w:w="108" w:type="dxa"/>
            </w:tcMar>
          </w:tcPr>
          <w:p w14:paraId="63B777B7" w14:textId="77777777" w:rsidR="0016597A" w:rsidRPr="0047249D" w:rsidRDefault="0016597A" w:rsidP="0047249D">
            <w:pPr>
              <w:spacing w:before="40" w:after="120"/>
              <w:ind w:right="113"/>
              <w:rPr>
                <w:lang w:val="fr-MC"/>
              </w:rPr>
            </w:pPr>
            <w:r w:rsidRPr="0047249D">
              <w:rPr>
                <w:lang w:val="fr-MC"/>
              </w:rPr>
              <w:t>2000</w:t>
            </w:r>
          </w:p>
          <w:p w14:paraId="10789B06" w14:textId="77777777" w:rsidR="0016597A" w:rsidRPr="0047249D" w:rsidRDefault="0016597A" w:rsidP="0047249D">
            <w:pPr>
              <w:spacing w:before="40" w:after="120"/>
              <w:ind w:right="113"/>
              <w:rPr>
                <w:lang w:val="fr-MC"/>
              </w:rPr>
            </w:pPr>
            <w:r w:rsidRPr="0047249D">
              <w:rPr>
                <w:lang w:val="fr-MC"/>
              </w:rPr>
              <w:t>2008</w:t>
            </w:r>
          </w:p>
        </w:tc>
      </w:tr>
      <w:tr w:rsidR="0047249D" w:rsidRPr="0047249D" w14:paraId="40BEA7A1" w14:textId="77777777" w:rsidTr="00681296">
        <w:tc>
          <w:tcPr>
            <w:tcW w:w="3232" w:type="dxa"/>
            <w:shd w:val="clear" w:color="auto" w:fill="auto"/>
            <w:tcMar>
              <w:top w:w="0" w:type="dxa"/>
              <w:left w:w="108" w:type="dxa"/>
              <w:bottom w:w="0" w:type="dxa"/>
              <w:right w:w="108" w:type="dxa"/>
            </w:tcMar>
          </w:tcPr>
          <w:p w14:paraId="276547C1" w14:textId="47AF5E9E" w:rsidR="0016597A" w:rsidRPr="0047249D" w:rsidRDefault="0016597A" w:rsidP="00BF2F03">
            <w:pPr>
              <w:spacing w:before="40" w:after="120"/>
              <w:ind w:right="113"/>
              <w:rPr>
                <w:lang w:val="fr-MC"/>
              </w:rPr>
            </w:pPr>
            <w:r w:rsidRPr="0047249D">
              <w:rPr>
                <w:lang w:val="fr-MC"/>
              </w:rPr>
              <w:t>Protocole facultatif à la Convention relative aux Droits de l’Enfant concernant l’implication d’enfants dans les conflits armés</w:t>
            </w:r>
          </w:p>
        </w:tc>
        <w:tc>
          <w:tcPr>
            <w:tcW w:w="1373" w:type="dxa"/>
            <w:shd w:val="clear" w:color="auto" w:fill="auto"/>
            <w:tcMar>
              <w:top w:w="0" w:type="dxa"/>
              <w:left w:w="108" w:type="dxa"/>
              <w:bottom w:w="0" w:type="dxa"/>
              <w:right w:w="108" w:type="dxa"/>
            </w:tcMar>
          </w:tcPr>
          <w:p w14:paraId="737E7035" w14:textId="77777777" w:rsidR="0016597A" w:rsidRPr="0047249D" w:rsidRDefault="0016597A" w:rsidP="0047249D">
            <w:pPr>
              <w:spacing w:before="40" w:after="120"/>
              <w:ind w:right="113"/>
              <w:rPr>
                <w:lang w:val="fr-MC"/>
              </w:rPr>
            </w:pPr>
            <w:r w:rsidRPr="0047249D">
              <w:rPr>
                <w:lang w:val="fr-MC"/>
              </w:rPr>
              <w:t>13/11/2001</w:t>
            </w:r>
          </w:p>
        </w:tc>
        <w:tc>
          <w:tcPr>
            <w:tcW w:w="1454" w:type="dxa"/>
            <w:shd w:val="clear" w:color="auto" w:fill="auto"/>
            <w:tcMar>
              <w:top w:w="0" w:type="dxa"/>
              <w:left w:w="108" w:type="dxa"/>
              <w:bottom w:w="0" w:type="dxa"/>
              <w:right w:w="108" w:type="dxa"/>
            </w:tcMar>
          </w:tcPr>
          <w:p w14:paraId="54A38AD4" w14:textId="77777777" w:rsidR="0016597A" w:rsidRPr="0047249D" w:rsidRDefault="0016597A" w:rsidP="0047249D">
            <w:pPr>
              <w:spacing w:before="40" w:after="120"/>
              <w:ind w:right="113"/>
              <w:rPr>
                <w:lang w:val="fr-MC"/>
              </w:rPr>
            </w:pPr>
            <w:r w:rsidRPr="0047249D">
              <w:rPr>
                <w:lang w:val="fr-MC"/>
              </w:rPr>
              <w:t>24/06/2008</w:t>
            </w:r>
          </w:p>
        </w:tc>
        <w:tc>
          <w:tcPr>
            <w:tcW w:w="1311" w:type="dxa"/>
            <w:shd w:val="clear" w:color="auto" w:fill="auto"/>
            <w:tcMar>
              <w:top w:w="0" w:type="dxa"/>
              <w:left w:w="108" w:type="dxa"/>
              <w:bottom w:w="0" w:type="dxa"/>
              <w:right w:w="108" w:type="dxa"/>
            </w:tcMar>
          </w:tcPr>
          <w:p w14:paraId="2111BE4F" w14:textId="77777777" w:rsidR="0016597A" w:rsidRPr="0047249D" w:rsidRDefault="0016597A" w:rsidP="0047249D">
            <w:pPr>
              <w:spacing w:before="40" w:after="120"/>
              <w:ind w:right="113"/>
              <w:rPr>
                <w:lang w:val="fr-MC"/>
              </w:rPr>
            </w:pPr>
            <w:r w:rsidRPr="0047249D">
              <w:rPr>
                <w:lang w:val="fr-MC"/>
              </w:rPr>
              <w:t xml:space="preserve"> _</w:t>
            </w:r>
          </w:p>
        </w:tc>
      </w:tr>
      <w:tr w:rsidR="0047249D" w:rsidRPr="0047249D" w14:paraId="19F1FD22" w14:textId="77777777" w:rsidTr="00681296">
        <w:tc>
          <w:tcPr>
            <w:tcW w:w="3232" w:type="dxa"/>
            <w:shd w:val="clear" w:color="auto" w:fill="auto"/>
            <w:tcMar>
              <w:top w:w="0" w:type="dxa"/>
              <w:left w:w="108" w:type="dxa"/>
              <w:bottom w:w="0" w:type="dxa"/>
              <w:right w:w="108" w:type="dxa"/>
            </w:tcMar>
          </w:tcPr>
          <w:p w14:paraId="228F70FC" w14:textId="7A6F7FAB" w:rsidR="0016597A" w:rsidRPr="0047249D" w:rsidRDefault="0016597A" w:rsidP="00BF2F03">
            <w:pPr>
              <w:spacing w:before="40" w:after="120"/>
              <w:ind w:right="113"/>
              <w:rPr>
                <w:lang w:val="fr-MC"/>
              </w:rPr>
            </w:pPr>
            <w:r w:rsidRPr="0047249D">
              <w:rPr>
                <w:lang w:val="fr-MC"/>
              </w:rPr>
              <w:t>Protocole facultatif à la Convention relative aux Droits de l’Enfant concernant la vente d’enfants, la</w:t>
            </w:r>
            <w:r w:rsidR="00D5675E">
              <w:rPr>
                <w:lang w:val="fr-MC"/>
              </w:rPr>
              <w:t> </w:t>
            </w:r>
            <w:r w:rsidRPr="0047249D">
              <w:rPr>
                <w:lang w:val="fr-MC"/>
              </w:rPr>
              <w:t>prostitution des enfants et la pornographie mettant en scène des</w:t>
            </w:r>
            <w:r w:rsidR="00D5675E">
              <w:rPr>
                <w:lang w:val="fr-MC"/>
              </w:rPr>
              <w:t> </w:t>
            </w:r>
            <w:r w:rsidRPr="0047249D">
              <w:rPr>
                <w:lang w:val="fr-MC"/>
              </w:rPr>
              <w:t>enfants</w:t>
            </w:r>
          </w:p>
        </w:tc>
        <w:tc>
          <w:tcPr>
            <w:tcW w:w="1373" w:type="dxa"/>
            <w:shd w:val="clear" w:color="auto" w:fill="auto"/>
            <w:tcMar>
              <w:top w:w="0" w:type="dxa"/>
              <w:left w:w="108" w:type="dxa"/>
              <w:bottom w:w="0" w:type="dxa"/>
              <w:right w:w="108" w:type="dxa"/>
            </w:tcMar>
          </w:tcPr>
          <w:p w14:paraId="73EE4418" w14:textId="77777777" w:rsidR="0016597A" w:rsidRPr="0047249D" w:rsidRDefault="0016597A" w:rsidP="0047249D">
            <w:pPr>
              <w:spacing w:before="40" w:after="120"/>
              <w:ind w:right="113"/>
              <w:rPr>
                <w:lang w:val="fr-MC"/>
              </w:rPr>
            </w:pPr>
            <w:r w:rsidRPr="0047249D">
              <w:rPr>
                <w:lang w:val="fr-MC"/>
              </w:rPr>
              <w:t>_</w:t>
            </w:r>
          </w:p>
        </w:tc>
        <w:tc>
          <w:tcPr>
            <w:tcW w:w="1454" w:type="dxa"/>
            <w:shd w:val="clear" w:color="auto" w:fill="auto"/>
            <w:tcMar>
              <w:top w:w="0" w:type="dxa"/>
              <w:left w:w="108" w:type="dxa"/>
              <w:bottom w:w="0" w:type="dxa"/>
              <w:right w:w="108" w:type="dxa"/>
            </w:tcMar>
          </w:tcPr>
          <w:p w14:paraId="16B730AD" w14:textId="77777777" w:rsidR="0016597A" w:rsidRPr="0047249D" w:rsidRDefault="0016597A" w:rsidP="0047249D">
            <w:pPr>
              <w:spacing w:before="40" w:after="120"/>
              <w:ind w:right="113"/>
              <w:rPr>
                <w:lang w:val="fr-MC"/>
              </w:rPr>
            </w:pPr>
            <w:r w:rsidRPr="0047249D">
              <w:rPr>
                <w:lang w:val="fr-MC"/>
              </w:rPr>
              <w:t>06/11/2007</w:t>
            </w:r>
          </w:p>
        </w:tc>
        <w:tc>
          <w:tcPr>
            <w:tcW w:w="1311" w:type="dxa"/>
            <w:shd w:val="clear" w:color="auto" w:fill="auto"/>
            <w:tcMar>
              <w:top w:w="0" w:type="dxa"/>
              <w:left w:w="108" w:type="dxa"/>
              <w:bottom w:w="0" w:type="dxa"/>
              <w:right w:w="108" w:type="dxa"/>
            </w:tcMar>
          </w:tcPr>
          <w:p w14:paraId="0CD31C51" w14:textId="77777777" w:rsidR="0016597A" w:rsidRPr="0047249D" w:rsidRDefault="0016597A" w:rsidP="0047249D">
            <w:pPr>
              <w:spacing w:before="40" w:after="120"/>
              <w:ind w:right="113"/>
              <w:rPr>
                <w:lang w:val="fr-MC"/>
              </w:rPr>
            </w:pPr>
            <w:r w:rsidRPr="0047249D">
              <w:rPr>
                <w:lang w:val="fr-MC"/>
              </w:rPr>
              <w:t xml:space="preserve"> _</w:t>
            </w:r>
          </w:p>
        </w:tc>
      </w:tr>
      <w:tr w:rsidR="0047249D" w:rsidRPr="0047249D" w14:paraId="0878B048" w14:textId="77777777" w:rsidTr="00681296">
        <w:tc>
          <w:tcPr>
            <w:tcW w:w="3232" w:type="dxa"/>
            <w:shd w:val="clear" w:color="auto" w:fill="auto"/>
            <w:tcMar>
              <w:top w:w="0" w:type="dxa"/>
              <w:left w:w="108" w:type="dxa"/>
              <w:bottom w:w="0" w:type="dxa"/>
              <w:right w:w="108" w:type="dxa"/>
            </w:tcMar>
          </w:tcPr>
          <w:p w14:paraId="632885A9" w14:textId="2144D119" w:rsidR="0016597A" w:rsidRPr="0047249D" w:rsidRDefault="0016597A" w:rsidP="00BF2F03">
            <w:pPr>
              <w:spacing w:before="40" w:after="120"/>
              <w:ind w:right="113"/>
              <w:rPr>
                <w:lang w:val="fr-MC"/>
              </w:rPr>
            </w:pPr>
            <w:r w:rsidRPr="0047249D">
              <w:rPr>
                <w:lang w:val="fr-MC"/>
              </w:rPr>
              <w:t>Convention contre la Torture et Autres Peines ou Traitements Cruels, Inhumains ou Dégradants</w:t>
            </w:r>
          </w:p>
        </w:tc>
        <w:tc>
          <w:tcPr>
            <w:tcW w:w="1373" w:type="dxa"/>
            <w:shd w:val="clear" w:color="auto" w:fill="auto"/>
            <w:tcMar>
              <w:top w:w="0" w:type="dxa"/>
              <w:left w:w="108" w:type="dxa"/>
              <w:bottom w:w="0" w:type="dxa"/>
              <w:right w:w="108" w:type="dxa"/>
            </w:tcMar>
          </w:tcPr>
          <w:p w14:paraId="249CA280" w14:textId="77777777" w:rsidR="0016597A" w:rsidRPr="0047249D" w:rsidRDefault="0016597A" w:rsidP="0047249D">
            <w:pPr>
              <w:spacing w:before="40" w:after="120"/>
              <w:ind w:right="113"/>
              <w:rPr>
                <w:lang w:val="fr-FR"/>
              </w:rPr>
            </w:pPr>
          </w:p>
        </w:tc>
        <w:tc>
          <w:tcPr>
            <w:tcW w:w="1454" w:type="dxa"/>
            <w:shd w:val="clear" w:color="auto" w:fill="auto"/>
            <w:tcMar>
              <w:top w:w="0" w:type="dxa"/>
              <w:left w:w="108" w:type="dxa"/>
              <w:bottom w:w="0" w:type="dxa"/>
              <w:right w:w="108" w:type="dxa"/>
            </w:tcMar>
          </w:tcPr>
          <w:p w14:paraId="2812D6E0" w14:textId="77777777" w:rsidR="0016597A" w:rsidRPr="0047249D" w:rsidRDefault="0016597A" w:rsidP="0047249D">
            <w:pPr>
              <w:spacing w:before="40" w:after="120"/>
              <w:ind w:right="113"/>
              <w:rPr>
                <w:lang w:val="fr-MC"/>
              </w:rPr>
            </w:pPr>
            <w:r w:rsidRPr="0047249D">
              <w:rPr>
                <w:lang w:val="fr-MC"/>
              </w:rPr>
              <w:t>18/02/1993</w:t>
            </w:r>
          </w:p>
        </w:tc>
        <w:tc>
          <w:tcPr>
            <w:tcW w:w="1311" w:type="dxa"/>
            <w:shd w:val="clear" w:color="auto" w:fill="auto"/>
            <w:tcMar>
              <w:top w:w="0" w:type="dxa"/>
              <w:left w:w="108" w:type="dxa"/>
              <w:bottom w:w="0" w:type="dxa"/>
              <w:right w:w="108" w:type="dxa"/>
            </w:tcMar>
          </w:tcPr>
          <w:p w14:paraId="75CA2910" w14:textId="77777777" w:rsidR="0016597A" w:rsidRPr="0047249D" w:rsidRDefault="0016597A" w:rsidP="0047249D">
            <w:pPr>
              <w:spacing w:before="40" w:after="120"/>
              <w:ind w:right="113"/>
              <w:rPr>
                <w:lang w:val="fr-MC"/>
              </w:rPr>
            </w:pPr>
            <w:r w:rsidRPr="0047249D">
              <w:rPr>
                <w:lang w:val="fr-MC"/>
              </w:rPr>
              <w:t>2006</w:t>
            </w:r>
          </w:p>
          <w:p w14:paraId="679634E9" w14:textId="77777777" w:rsidR="0016597A" w:rsidRPr="0047249D" w:rsidRDefault="0016597A" w:rsidP="0047249D">
            <w:pPr>
              <w:spacing w:before="40" w:after="120"/>
              <w:ind w:right="113"/>
              <w:rPr>
                <w:lang w:val="fr-MC"/>
              </w:rPr>
            </w:pPr>
            <w:r w:rsidRPr="0047249D">
              <w:rPr>
                <w:lang w:val="fr-MC"/>
              </w:rPr>
              <w:t>2013</w:t>
            </w:r>
          </w:p>
        </w:tc>
      </w:tr>
      <w:tr w:rsidR="0047249D" w:rsidRPr="0047249D" w14:paraId="615A4C6B" w14:textId="77777777" w:rsidTr="00681296">
        <w:tc>
          <w:tcPr>
            <w:tcW w:w="3232" w:type="dxa"/>
            <w:shd w:val="clear" w:color="auto" w:fill="auto"/>
            <w:tcMar>
              <w:top w:w="0" w:type="dxa"/>
              <w:left w:w="108" w:type="dxa"/>
              <w:bottom w:w="0" w:type="dxa"/>
              <w:right w:w="108" w:type="dxa"/>
            </w:tcMar>
          </w:tcPr>
          <w:p w14:paraId="7E1366DC" w14:textId="399C0D73" w:rsidR="0016597A" w:rsidRPr="0047249D" w:rsidRDefault="0016597A" w:rsidP="00BF2F03">
            <w:pPr>
              <w:spacing w:before="40" w:after="120"/>
              <w:ind w:right="113"/>
              <w:rPr>
                <w:lang w:val="fr-MC"/>
              </w:rPr>
            </w:pPr>
            <w:r w:rsidRPr="0047249D">
              <w:rPr>
                <w:lang w:val="fr-MC"/>
              </w:rPr>
              <w:t>Protocole facultatif à la Convention contre la Torture et Autres Peines ou Traitements Cruels, Inhumains ou Dégradants</w:t>
            </w:r>
          </w:p>
        </w:tc>
        <w:tc>
          <w:tcPr>
            <w:tcW w:w="1373" w:type="dxa"/>
            <w:shd w:val="clear" w:color="auto" w:fill="auto"/>
            <w:tcMar>
              <w:top w:w="0" w:type="dxa"/>
              <w:left w:w="108" w:type="dxa"/>
              <w:bottom w:w="0" w:type="dxa"/>
              <w:right w:w="108" w:type="dxa"/>
            </w:tcMar>
          </w:tcPr>
          <w:p w14:paraId="495DFB1C" w14:textId="77777777" w:rsidR="0016597A" w:rsidRPr="0047249D" w:rsidRDefault="0016597A" w:rsidP="0047249D">
            <w:pPr>
              <w:spacing w:before="40" w:after="120"/>
              <w:ind w:right="113"/>
              <w:rPr>
                <w:lang w:val="fr-FR"/>
              </w:rPr>
            </w:pPr>
          </w:p>
        </w:tc>
        <w:tc>
          <w:tcPr>
            <w:tcW w:w="1454" w:type="dxa"/>
            <w:shd w:val="clear" w:color="auto" w:fill="auto"/>
            <w:tcMar>
              <w:top w:w="0" w:type="dxa"/>
              <w:left w:w="108" w:type="dxa"/>
              <w:bottom w:w="0" w:type="dxa"/>
              <w:right w:w="108" w:type="dxa"/>
            </w:tcMar>
          </w:tcPr>
          <w:p w14:paraId="35773E4F" w14:textId="77777777" w:rsidR="0016597A" w:rsidRPr="0047249D" w:rsidRDefault="0016597A" w:rsidP="0047249D">
            <w:pPr>
              <w:spacing w:before="40" w:after="120"/>
              <w:ind w:right="113"/>
              <w:rPr>
                <w:lang w:val="fr-MC"/>
              </w:rPr>
            </w:pPr>
            <w:r w:rsidRPr="0047249D">
              <w:rPr>
                <w:lang w:val="fr-MC"/>
              </w:rPr>
              <w:t>2013</w:t>
            </w:r>
          </w:p>
        </w:tc>
        <w:tc>
          <w:tcPr>
            <w:tcW w:w="1311" w:type="dxa"/>
            <w:shd w:val="clear" w:color="auto" w:fill="auto"/>
            <w:tcMar>
              <w:top w:w="0" w:type="dxa"/>
              <w:left w:w="108" w:type="dxa"/>
              <w:bottom w:w="0" w:type="dxa"/>
              <w:right w:w="108" w:type="dxa"/>
            </w:tcMar>
          </w:tcPr>
          <w:p w14:paraId="3A9E2E12" w14:textId="77777777" w:rsidR="0016597A" w:rsidRPr="0047249D" w:rsidRDefault="0016597A" w:rsidP="0047249D">
            <w:pPr>
              <w:spacing w:before="40" w:after="120"/>
              <w:ind w:right="113"/>
              <w:rPr>
                <w:lang w:val="fr-MC"/>
              </w:rPr>
            </w:pPr>
            <w:r w:rsidRPr="0047249D">
              <w:rPr>
                <w:lang w:val="fr-MC"/>
              </w:rPr>
              <w:t>---</w:t>
            </w:r>
          </w:p>
        </w:tc>
      </w:tr>
      <w:tr w:rsidR="0047249D" w:rsidRPr="0047249D" w14:paraId="38D3E86B" w14:textId="77777777" w:rsidTr="00681296">
        <w:tc>
          <w:tcPr>
            <w:tcW w:w="3232" w:type="dxa"/>
            <w:shd w:val="clear" w:color="auto" w:fill="auto"/>
            <w:tcMar>
              <w:top w:w="0" w:type="dxa"/>
              <w:left w:w="108" w:type="dxa"/>
              <w:bottom w:w="0" w:type="dxa"/>
              <w:right w:w="108" w:type="dxa"/>
            </w:tcMar>
          </w:tcPr>
          <w:p w14:paraId="0CEEB563" w14:textId="216AAF49" w:rsidR="0016597A" w:rsidRPr="0047249D" w:rsidRDefault="0016597A" w:rsidP="00BF2F03">
            <w:pPr>
              <w:spacing w:before="40" w:after="120"/>
              <w:ind w:right="113"/>
              <w:rPr>
                <w:lang w:val="fr-MC"/>
              </w:rPr>
            </w:pPr>
            <w:r w:rsidRPr="0047249D">
              <w:rPr>
                <w:lang w:val="fr-MC"/>
              </w:rPr>
              <w:t>Convention pour la Prévention et la Répression du Crime de Génocide</w:t>
            </w:r>
          </w:p>
        </w:tc>
        <w:tc>
          <w:tcPr>
            <w:tcW w:w="1373" w:type="dxa"/>
            <w:shd w:val="clear" w:color="auto" w:fill="auto"/>
            <w:tcMar>
              <w:top w:w="0" w:type="dxa"/>
              <w:left w:w="108" w:type="dxa"/>
              <w:bottom w:w="0" w:type="dxa"/>
              <w:right w:w="108" w:type="dxa"/>
            </w:tcMar>
          </w:tcPr>
          <w:p w14:paraId="3CB14AAA" w14:textId="77777777" w:rsidR="0016597A" w:rsidRPr="0047249D" w:rsidRDefault="0016597A" w:rsidP="0047249D">
            <w:pPr>
              <w:spacing w:before="40" w:after="120"/>
              <w:ind w:right="113"/>
              <w:rPr>
                <w:lang w:val="fr-MC"/>
              </w:rPr>
            </w:pPr>
            <w:r w:rsidRPr="0047249D">
              <w:rPr>
                <w:lang w:val="fr-MC"/>
              </w:rPr>
              <w:t>-</w:t>
            </w:r>
          </w:p>
        </w:tc>
        <w:tc>
          <w:tcPr>
            <w:tcW w:w="1454" w:type="dxa"/>
            <w:shd w:val="clear" w:color="auto" w:fill="auto"/>
            <w:tcMar>
              <w:top w:w="0" w:type="dxa"/>
              <w:left w:w="108" w:type="dxa"/>
              <w:bottom w:w="0" w:type="dxa"/>
              <w:right w:w="108" w:type="dxa"/>
            </w:tcMar>
          </w:tcPr>
          <w:p w14:paraId="788A4255" w14:textId="77777777" w:rsidR="0016597A" w:rsidRPr="0047249D" w:rsidRDefault="0016597A" w:rsidP="0047249D">
            <w:pPr>
              <w:spacing w:before="40" w:after="120"/>
              <w:ind w:right="113"/>
              <w:rPr>
                <w:lang w:val="fr-MC"/>
              </w:rPr>
            </w:pPr>
            <w:r w:rsidRPr="0047249D">
              <w:rPr>
                <w:lang w:val="fr-MC"/>
              </w:rPr>
              <w:t>06/01/1997</w:t>
            </w:r>
          </w:p>
        </w:tc>
        <w:tc>
          <w:tcPr>
            <w:tcW w:w="1311" w:type="dxa"/>
            <w:shd w:val="clear" w:color="auto" w:fill="auto"/>
            <w:tcMar>
              <w:top w:w="0" w:type="dxa"/>
              <w:left w:w="108" w:type="dxa"/>
              <w:bottom w:w="0" w:type="dxa"/>
              <w:right w:w="108" w:type="dxa"/>
            </w:tcMar>
          </w:tcPr>
          <w:p w14:paraId="6B1FAA44" w14:textId="77777777" w:rsidR="0016597A" w:rsidRPr="0047249D" w:rsidRDefault="0016597A" w:rsidP="0047249D">
            <w:pPr>
              <w:spacing w:before="40" w:after="120"/>
              <w:ind w:right="113"/>
              <w:rPr>
                <w:lang w:val="fr-MC"/>
              </w:rPr>
            </w:pPr>
            <w:r w:rsidRPr="0047249D">
              <w:rPr>
                <w:lang w:val="fr-MC"/>
              </w:rPr>
              <w:t>-</w:t>
            </w:r>
          </w:p>
        </w:tc>
      </w:tr>
      <w:tr w:rsidR="0047249D" w:rsidRPr="0047249D" w14:paraId="79776E2E" w14:textId="77777777" w:rsidTr="00681296">
        <w:tc>
          <w:tcPr>
            <w:tcW w:w="3232" w:type="dxa"/>
            <w:shd w:val="clear" w:color="auto" w:fill="auto"/>
            <w:tcMar>
              <w:top w:w="0" w:type="dxa"/>
              <w:left w:w="108" w:type="dxa"/>
              <w:bottom w:w="0" w:type="dxa"/>
              <w:right w:w="108" w:type="dxa"/>
            </w:tcMar>
          </w:tcPr>
          <w:p w14:paraId="632C8435" w14:textId="1623BCDA" w:rsidR="0016597A" w:rsidRPr="0047249D" w:rsidRDefault="0016597A" w:rsidP="00BF2F03">
            <w:pPr>
              <w:spacing w:before="40" w:after="120"/>
              <w:ind w:right="113"/>
              <w:rPr>
                <w:lang w:val="fr-MC"/>
              </w:rPr>
            </w:pPr>
            <w:r w:rsidRPr="0047249D">
              <w:rPr>
                <w:lang w:val="fr-MC"/>
              </w:rPr>
              <w:lastRenderedPageBreak/>
              <w:t>Convention contre la Criminalité Transnationale Organisée</w:t>
            </w:r>
          </w:p>
        </w:tc>
        <w:tc>
          <w:tcPr>
            <w:tcW w:w="1373" w:type="dxa"/>
            <w:shd w:val="clear" w:color="auto" w:fill="auto"/>
            <w:tcMar>
              <w:top w:w="0" w:type="dxa"/>
              <w:left w:w="108" w:type="dxa"/>
              <w:bottom w:w="0" w:type="dxa"/>
              <w:right w:w="108" w:type="dxa"/>
            </w:tcMar>
          </w:tcPr>
          <w:p w14:paraId="3DD8C7A3" w14:textId="3DBD693C" w:rsidR="0016597A" w:rsidRPr="0047249D" w:rsidRDefault="0016597A" w:rsidP="0047249D">
            <w:pPr>
              <w:spacing w:before="40" w:after="120"/>
              <w:ind w:right="113"/>
              <w:rPr>
                <w:lang w:val="fr-MC"/>
              </w:rPr>
            </w:pPr>
            <w:r w:rsidRPr="0047249D">
              <w:rPr>
                <w:lang w:val="fr-MC"/>
              </w:rPr>
              <w:t>14/12/2000</w:t>
            </w:r>
          </w:p>
        </w:tc>
        <w:tc>
          <w:tcPr>
            <w:tcW w:w="1454" w:type="dxa"/>
            <w:shd w:val="clear" w:color="auto" w:fill="auto"/>
            <w:tcMar>
              <w:top w:w="0" w:type="dxa"/>
              <w:left w:w="108" w:type="dxa"/>
              <w:bottom w:w="0" w:type="dxa"/>
              <w:right w:w="108" w:type="dxa"/>
            </w:tcMar>
          </w:tcPr>
          <w:p w14:paraId="406F7EA6" w14:textId="77777777" w:rsidR="0016597A" w:rsidRPr="0047249D" w:rsidRDefault="0016597A" w:rsidP="0047249D">
            <w:pPr>
              <w:spacing w:before="40" w:after="120"/>
              <w:ind w:right="113"/>
              <w:rPr>
                <w:lang w:val="fr-MC"/>
              </w:rPr>
            </w:pPr>
            <w:r w:rsidRPr="0047249D">
              <w:rPr>
                <w:lang w:val="fr-MC"/>
              </w:rPr>
              <w:t>24/05/2012</w:t>
            </w:r>
          </w:p>
        </w:tc>
        <w:tc>
          <w:tcPr>
            <w:tcW w:w="1311" w:type="dxa"/>
            <w:shd w:val="clear" w:color="auto" w:fill="auto"/>
            <w:tcMar>
              <w:top w:w="0" w:type="dxa"/>
              <w:left w:w="108" w:type="dxa"/>
              <w:bottom w:w="0" w:type="dxa"/>
              <w:right w:w="108" w:type="dxa"/>
            </w:tcMar>
          </w:tcPr>
          <w:p w14:paraId="105A7642" w14:textId="77777777" w:rsidR="0016597A" w:rsidRPr="0047249D" w:rsidRDefault="0016597A" w:rsidP="0047249D">
            <w:pPr>
              <w:spacing w:before="40" w:after="120"/>
              <w:ind w:right="113"/>
              <w:rPr>
                <w:lang w:val="fr-MC"/>
              </w:rPr>
            </w:pPr>
            <w:r w:rsidRPr="0047249D">
              <w:rPr>
                <w:lang w:val="fr-MC"/>
              </w:rPr>
              <w:t>_</w:t>
            </w:r>
          </w:p>
        </w:tc>
      </w:tr>
      <w:tr w:rsidR="0047249D" w:rsidRPr="0047249D" w14:paraId="77B2357C" w14:textId="77777777" w:rsidTr="00681296">
        <w:tc>
          <w:tcPr>
            <w:tcW w:w="3232" w:type="dxa"/>
            <w:shd w:val="clear" w:color="auto" w:fill="auto"/>
            <w:tcMar>
              <w:top w:w="0" w:type="dxa"/>
              <w:left w:w="108" w:type="dxa"/>
              <w:bottom w:w="0" w:type="dxa"/>
              <w:right w:w="108" w:type="dxa"/>
            </w:tcMar>
          </w:tcPr>
          <w:p w14:paraId="033449A3" w14:textId="68897947" w:rsidR="0016597A" w:rsidRPr="0047249D" w:rsidRDefault="0016597A" w:rsidP="00BF2F03">
            <w:pPr>
              <w:spacing w:before="40" w:after="120"/>
              <w:ind w:right="113"/>
              <w:rPr>
                <w:lang w:val="fr-MC"/>
              </w:rPr>
            </w:pPr>
            <w:r w:rsidRPr="0047249D">
              <w:rPr>
                <w:lang w:val="fr-MC"/>
              </w:rPr>
              <w:t>Convention relative au Statut des</w:t>
            </w:r>
            <w:r w:rsidR="00D5675E">
              <w:rPr>
                <w:lang w:val="fr-MC"/>
              </w:rPr>
              <w:t> </w:t>
            </w:r>
            <w:r w:rsidRPr="0047249D">
              <w:rPr>
                <w:lang w:val="fr-MC"/>
              </w:rPr>
              <w:t>Réfugiés</w:t>
            </w:r>
          </w:p>
        </w:tc>
        <w:tc>
          <w:tcPr>
            <w:tcW w:w="1373" w:type="dxa"/>
            <w:shd w:val="clear" w:color="auto" w:fill="auto"/>
            <w:tcMar>
              <w:top w:w="0" w:type="dxa"/>
              <w:left w:w="108" w:type="dxa"/>
              <w:bottom w:w="0" w:type="dxa"/>
              <w:right w:w="108" w:type="dxa"/>
            </w:tcMar>
          </w:tcPr>
          <w:p w14:paraId="07F9A326" w14:textId="77777777" w:rsidR="0016597A" w:rsidRPr="0047249D" w:rsidRDefault="0016597A" w:rsidP="0047249D">
            <w:pPr>
              <w:spacing w:before="40" w:after="120"/>
              <w:ind w:right="113"/>
              <w:rPr>
                <w:lang w:val="fr-MC"/>
              </w:rPr>
            </w:pPr>
            <w:r w:rsidRPr="0047249D">
              <w:rPr>
                <w:lang w:val="fr-MC"/>
              </w:rPr>
              <w:t>-</w:t>
            </w:r>
          </w:p>
        </w:tc>
        <w:tc>
          <w:tcPr>
            <w:tcW w:w="1454" w:type="dxa"/>
            <w:shd w:val="clear" w:color="auto" w:fill="auto"/>
            <w:tcMar>
              <w:top w:w="0" w:type="dxa"/>
              <w:left w:w="108" w:type="dxa"/>
              <w:bottom w:w="0" w:type="dxa"/>
              <w:right w:w="108" w:type="dxa"/>
            </w:tcMar>
          </w:tcPr>
          <w:p w14:paraId="0EF48D60" w14:textId="77777777" w:rsidR="0016597A" w:rsidRPr="0047249D" w:rsidRDefault="0016597A" w:rsidP="0047249D">
            <w:pPr>
              <w:spacing w:before="40" w:after="120"/>
              <w:ind w:right="113"/>
              <w:rPr>
                <w:lang w:val="fr-MC"/>
              </w:rPr>
            </w:pPr>
            <w:r w:rsidRPr="0047249D">
              <w:rPr>
                <w:lang w:val="fr-MC"/>
              </w:rPr>
              <w:t>19/07/1963</w:t>
            </w:r>
          </w:p>
        </w:tc>
        <w:tc>
          <w:tcPr>
            <w:tcW w:w="1311" w:type="dxa"/>
            <w:shd w:val="clear" w:color="auto" w:fill="auto"/>
            <w:tcMar>
              <w:top w:w="0" w:type="dxa"/>
              <w:left w:w="108" w:type="dxa"/>
              <w:bottom w:w="0" w:type="dxa"/>
              <w:right w:w="108" w:type="dxa"/>
            </w:tcMar>
          </w:tcPr>
          <w:p w14:paraId="56E0588E" w14:textId="77777777" w:rsidR="0016597A" w:rsidRPr="0047249D" w:rsidRDefault="0016597A" w:rsidP="0047249D">
            <w:pPr>
              <w:spacing w:before="40" w:after="120"/>
              <w:ind w:right="113"/>
              <w:rPr>
                <w:lang w:val="fr-MC"/>
              </w:rPr>
            </w:pPr>
            <w:r w:rsidRPr="0047249D">
              <w:rPr>
                <w:lang w:val="fr-MC"/>
              </w:rPr>
              <w:t>-</w:t>
            </w:r>
          </w:p>
        </w:tc>
      </w:tr>
      <w:tr w:rsidR="0047249D" w:rsidRPr="0047249D" w14:paraId="196ABB06" w14:textId="77777777" w:rsidTr="00681296">
        <w:tc>
          <w:tcPr>
            <w:tcW w:w="3232" w:type="dxa"/>
            <w:shd w:val="clear" w:color="auto" w:fill="auto"/>
            <w:tcMar>
              <w:top w:w="0" w:type="dxa"/>
              <w:left w:w="108" w:type="dxa"/>
              <w:bottom w:w="0" w:type="dxa"/>
              <w:right w:w="108" w:type="dxa"/>
            </w:tcMar>
          </w:tcPr>
          <w:p w14:paraId="38C374B9" w14:textId="2E8BB58A" w:rsidR="0016597A" w:rsidRPr="0047249D" w:rsidRDefault="0016597A" w:rsidP="00BF2F03">
            <w:pPr>
              <w:spacing w:before="40" w:after="120"/>
              <w:ind w:right="113"/>
              <w:rPr>
                <w:lang w:val="fr-MC"/>
              </w:rPr>
            </w:pPr>
            <w:r w:rsidRPr="0047249D">
              <w:rPr>
                <w:lang w:val="fr-MC"/>
              </w:rPr>
              <w:t>Protocole relatif au Statut des Réfugiés</w:t>
            </w:r>
          </w:p>
        </w:tc>
        <w:tc>
          <w:tcPr>
            <w:tcW w:w="1373" w:type="dxa"/>
            <w:shd w:val="clear" w:color="auto" w:fill="auto"/>
            <w:tcMar>
              <w:top w:w="0" w:type="dxa"/>
              <w:left w:w="108" w:type="dxa"/>
              <w:bottom w:w="0" w:type="dxa"/>
              <w:right w:w="108" w:type="dxa"/>
            </w:tcMar>
          </w:tcPr>
          <w:p w14:paraId="3D61C176" w14:textId="77777777" w:rsidR="0016597A" w:rsidRPr="0047249D" w:rsidRDefault="0016597A" w:rsidP="0047249D">
            <w:pPr>
              <w:spacing w:before="40" w:after="120"/>
              <w:ind w:right="113"/>
              <w:rPr>
                <w:lang w:val="fr-MC"/>
              </w:rPr>
            </w:pPr>
            <w:r w:rsidRPr="0047249D">
              <w:rPr>
                <w:lang w:val="fr-MC"/>
              </w:rPr>
              <w:t>-</w:t>
            </w:r>
          </w:p>
        </w:tc>
        <w:tc>
          <w:tcPr>
            <w:tcW w:w="1454" w:type="dxa"/>
            <w:shd w:val="clear" w:color="auto" w:fill="auto"/>
            <w:tcMar>
              <w:top w:w="0" w:type="dxa"/>
              <w:left w:w="108" w:type="dxa"/>
              <w:bottom w:w="0" w:type="dxa"/>
              <w:right w:w="108" w:type="dxa"/>
            </w:tcMar>
          </w:tcPr>
          <w:p w14:paraId="6A47A70D" w14:textId="77777777" w:rsidR="0016597A" w:rsidRPr="0047249D" w:rsidRDefault="0016597A" w:rsidP="0047249D">
            <w:pPr>
              <w:spacing w:before="40" w:after="120"/>
              <w:ind w:right="113"/>
              <w:rPr>
                <w:lang w:val="fr-MC"/>
              </w:rPr>
            </w:pPr>
            <w:r w:rsidRPr="0047249D">
              <w:rPr>
                <w:lang w:val="fr-MC"/>
              </w:rPr>
              <w:t>15/03/1971</w:t>
            </w:r>
          </w:p>
        </w:tc>
        <w:tc>
          <w:tcPr>
            <w:tcW w:w="1311" w:type="dxa"/>
            <w:shd w:val="clear" w:color="auto" w:fill="auto"/>
            <w:tcMar>
              <w:top w:w="0" w:type="dxa"/>
              <w:left w:w="108" w:type="dxa"/>
              <w:bottom w:w="0" w:type="dxa"/>
              <w:right w:w="108" w:type="dxa"/>
            </w:tcMar>
          </w:tcPr>
          <w:p w14:paraId="59E0A019" w14:textId="77777777" w:rsidR="0016597A" w:rsidRPr="0047249D" w:rsidRDefault="0016597A" w:rsidP="0047249D">
            <w:pPr>
              <w:spacing w:before="40" w:after="120"/>
              <w:ind w:right="113"/>
              <w:rPr>
                <w:lang w:val="fr-MC"/>
              </w:rPr>
            </w:pPr>
            <w:r w:rsidRPr="0047249D">
              <w:rPr>
                <w:lang w:val="fr-MC"/>
              </w:rPr>
              <w:t>-</w:t>
            </w:r>
          </w:p>
        </w:tc>
      </w:tr>
      <w:tr w:rsidR="0047249D" w:rsidRPr="0047249D" w14:paraId="765FDB9D" w14:textId="77777777" w:rsidTr="00681296">
        <w:tc>
          <w:tcPr>
            <w:tcW w:w="3232" w:type="dxa"/>
            <w:shd w:val="clear" w:color="auto" w:fill="auto"/>
            <w:tcMar>
              <w:top w:w="0" w:type="dxa"/>
              <w:left w:w="108" w:type="dxa"/>
              <w:bottom w:w="0" w:type="dxa"/>
              <w:right w:w="108" w:type="dxa"/>
            </w:tcMar>
          </w:tcPr>
          <w:p w14:paraId="38ED8F1C" w14:textId="70D2D5B2" w:rsidR="0016597A" w:rsidRPr="0047249D" w:rsidRDefault="0016597A" w:rsidP="00BF2F03">
            <w:pPr>
              <w:spacing w:before="40" w:after="120"/>
              <w:ind w:right="113"/>
              <w:rPr>
                <w:lang w:val="fr-MC"/>
              </w:rPr>
            </w:pPr>
            <w:r w:rsidRPr="0047249D">
              <w:rPr>
                <w:lang w:val="fr-MC"/>
              </w:rPr>
              <w:t>Convention sur l’âge minimum d’admission à l’emploi et au travail, 1973 (</w:t>
            </w:r>
            <w:r w:rsidR="0020117D" w:rsidRPr="0016597A">
              <w:rPr>
                <w:lang w:val="fr-MC"/>
              </w:rPr>
              <w:t>n</w:t>
            </w:r>
            <w:r w:rsidR="0020117D" w:rsidRPr="008A395C">
              <w:rPr>
                <w:vertAlign w:val="superscript"/>
                <w:lang w:val="fr-MC"/>
              </w:rPr>
              <w:t>o</w:t>
            </w:r>
            <w:r w:rsidR="0020117D">
              <w:rPr>
                <w:lang w:val="fr-MC"/>
              </w:rPr>
              <w:t> </w:t>
            </w:r>
            <w:r w:rsidRPr="0047249D">
              <w:rPr>
                <w:lang w:val="fr-MC"/>
              </w:rPr>
              <w:t>138) de l’OIT</w:t>
            </w:r>
          </w:p>
        </w:tc>
        <w:tc>
          <w:tcPr>
            <w:tcW w:w="1373" w:type="dxa"/>
            <w:shd w:val="clear" w:color="auto" w:fill="auto"/>
            <w:tcMar>
              <w:top w:w="0" w:type="dxa"/>
              <w:left w:w="108" w:type="dxa"/>
              <w:bottom w:w="0" w:type="dxa"/>
              <w:right w:w="108" w:type="dxa"/>
            </w:tcMar>
          </w:tcPr>
          <w:p w14:paraId="0C97FDE4" w14:textId="77777777" w:rsidR="0016597A" w:rsidRPr="0047249D" w:rsidRDefault="0016597A" w:rsidP="0047249D">
            <w:pPr>
              <w:spacing w:before="40" w:after="120"/>
              <w:ind w:right="113"/>
              <w:rPr>
                <w:lang w:val="fr-MC"/>
              </w:rPr>
            </w:pPr>
            <w:r w:rsidRPr="0047249D">
              <w:rPr>
                <w:lang w:val="fr-MC"/>
              </w:rPr>
              <w:t>-</w:t>
            </w:r>
          </w:p>
        </w:tc>
        <w:tc>
          <w:tcPr>
            <w:tcW w:w="1454" w:type="dxa"/>
            <w:shd w:val="clear" w:color="auto" w:fill="auto"/>
            <w:tcMar>
              <w:top w:w="0" w:type="dxa"/>
              <w:left w:w="108" w:type="dxa"/>
              <w:bottom w:w="0" w:type="dxa"/>
              <w:right w:w="108" w:type="dxa"/>
            </w:tcMar>
          </w:tcPr>
          <w:p w14:paraId="3DF3C9B4" w14:textId="77777777" w:rsidR="0016597A" w:rsidRPr="0047249D" w:rsidRDefault="0016597A" w:rsidP="0047249D">
            <w:pPr>
              <w:spacing w:before="40" w:after="120"/>
              <w:ind w:right="113"/>
              <w:rPr>
                <w:lang w:val="fr-MC"/>
              </w:rPr>
            </w:pPr>
            <w:r w:rsidRPr="0047249D">
              <w:rPr>
                <w:lang w:val="fr-MC"/>
              </w:rPr>
              <w:t>19/07/2000</w:t>
            </w:r>
          </w:p>
        </w:tc>
        <w:tc>
          <w:tcPr>
            <w:tcW w:w="1311" w:type="dxa"/>
            <w:shd w:val="clear" w:color="auto" w:fill="auto"/>
            <w:tcMar>
              <w:top w:w="0" w:type="dxa"/>
              <w:left w:w="108" w:type="dxa"/>
              <w:bottom w:w="0" w:type="dxa"/>
              <w:right w:w="108" w:type="dxa"/>
            </w:tcMar>
          </w:tcPr>
          <w:p w14:paraId="4C8DC8DE" w14:textId="77777777" w:rsidR="0016597A" w:rsidRPr="0047249D" w:rsidRDefault="0016597A" w:rsidP="0047249D">
            <w:pPr>
              <w:spacing w:before="40" w:after="120"/>
              <w:ind w:right="113"/>
              <w:rPr>
                <w:lang w:val="fr-MC"/>
              </w:rPr>
            </w:pPr>
            <w:r w:rsidRPr="0047249D">
              <w:rPr>
                <w:lang w:val="fr-MC"/>
              </w:rPr>
              <w:t>-</w:t>
            </w:r>
          </w:p>
        </w:tc>
      </w:tr>
      <w:tr w:rsidR="0047249D" w:rsidRPr="0047249D" w14:paraId="306BF616" w14:textId="77777777" w:rsidTr="00681296">
        <w:tc>
          <w:tcPr>
            <w:tcW w:w="3232" w:type="dxa"/>
            <w:shd w:val="clear" w:color="auto" w:fill="auto"/>
            <w:tcMar>
              <w:top w:w="0" w:type="dxa"/>
              <w:left w:w="108" w:type="dxa"/>
              <w:bottom w:w="0" w:type="dxa"/>
              <w:right w:w="108" w:type="dxa"/>
            </w:tcMar>
          </w:tcPr>
          <w:p w14:paraId="5679169C" w14:textId="4946D99A" w:rsidR="0016597A" w:rsidRPr="0047249D" w:rsidRDefault="0016597A" w:rsidP="0047249D">
            <w:pPr>
              <w:spacing w:before="40" w:after="120"/>
              <w:ind w:right="113"/>
              <w:rPr>
                <w:lang w:val="fr-MC"/>
              </w:rPr>
            </w:pPr>
            <w:r w:rsidRPr="0047249D">
              <w:rPr>
                <w:lang w:val="fr-MC"/>
              </w:rPr>
              <w:t>Convention sur les pires formes de</w:t>
            </w:r>
            <w:r w:rsidR="00D5675E">
              <w:rPr>
                <w:lang w:val="fr-MC"/>
              </w:rPr>
              <w:t> </w:t>
            </w:r>
            <w:r w:rsidRPr="0047249D">
              <w:rPr>
                <w:lang w:val="fr-MC"/>
              </w:rPr>
              <w:t>travail des enfants, 1999 (</w:t>
            </w:r>
            <w:r w:rsidR="0020117D" w:rsidRPr="0016597A">
              <w:rPr>
                <w:lang w:val="fr-MC"/>
              </w:rPr>
              <w:t>n</w:t>
            </w:r>
            <w:r w:rsidR="0020117D" w:rsidRPr="008A395C">
              <w:rPr>
                <w:vertAlign w:val="superscript"/>
                <w:lang w:val="fr-MC"/>
              </w:rPr>
              <w:t>o</w:t>
            </w:r>
            <w:r w:rsidR="0020117D">
              <w:rPr>
                <w:lang w:val="fr-MC"/>
              </w:rPr>
              <w:t> </w:t>
            </w:r>
            <w:r w:rsidRPr="0047249D">
              <w:rPr>
                <w:lang w:val="fr-MC"/>
              </w:rPr>
              <w:t>182) de</w:t>
            </w:r>
            <w:r w:rsidR="0020117D">
              <w:rPr>
                <w:lang w:val="fr-MC"/>
              </w:rPr>
              <w:t> </w:t>
            </w:r>
            <w:r w:rsidRPr="0047249D">
              <w:rPr>
                <w:lang w:val="fr-MC"/>
              </w:rPr>
              <w:t>l’OIT</w:t>
            </w:r>
          </w:p>
        </w:tc>
        <w:tc>
          <w:tcPr>
            <w:tcW w:w="1373" w:type="dxa"/>
            <w:shd w:val="clear" w:color="auto" w:fill="auto"/>
            <w:tcMar>
              <w:top w:w="0" w:type="dxa"/>
              <w:left w:w="108" w:type="dxa"/>
              <w:bottom w:w="0" w:type="dxa"/>
              <w:right w:w="108" w:type="dxa"/>
            </w:tcMar>
          </w:tcPr>
          <w:p w14:paraId="7E65532F" w14:textId="77777777" w:rsidR="0016597A" w:rsidRPr="0047249D" w:rsidRDefault="0016597A" w:rsidP="0047249D">
            <w:pPr>
              <w:spacing w:before="40" w:after="120"/>
              <w:ind w:right="113"/>
              <w:rPr>
                <w:lang w:val="fr-MC"/>
              </w:rPr>
            </w:pPr>
            <w:r w:rsidRPr="0047249D">
              <w:rPr>
                <w:lang w:val="fr-MC"/>
              </w:rPr>
              <w:t>-</w:t>
            </w:r>
          </w:p>
        </w:tc>
        <w:tc>
          <w:tcPr>
            <w:tcW w:w="1454" w:type="dxa"/>
            <w:shd w:val="clear" w:color="auto" w:fill="auto"/>
            <w:tcMar>
              <w:top w:w="0" w:type="dxa"/>
              <w:left w:w="108" w:type="dxa"/>
              <w:bottom w:w="0" w:type="dxa"/>
              <w:right w:w="108" w:type="dxa"/>
            </w:tcMar>
          </w:tcPr>
          <w:p w14:paraId="10351D3A" w14:textId="77777777" w:rsidR="0016597A" w:rsidRPr="0047249D" w:rsidRDefault="0016597A" w:rsidP="0047249D">
            <w:pPr>
              <w:spacing w:before="40" w:after="120"/>
              <w:ind w:right="113"/>
              <w:rPr>
                <w:lang w:val="fr-MC"/>
              </w:rPr>
            </w:pPr>
            <w:r w:rsidRPr="0047249D">
              <w:rPr>
                <w:lang w:val="fr-MC"/>
              </w:rPr>
              <w:t>11/06/2002</w:t>
            </w:r>
          </w:p>
        </w:tc>
        <w:tc>
          <w:tcPr>
            <w:tcW w:w="1311" w:type="dxa"/>
            <w:shd w:val="clear" w:color="auto" w:fill="auto"/>
            <w:tcMar>
              <w:top w:w="0" w:type="dxa"/>
              <w:left w:w="108" w:type="dxa"/>
              <w:bottom w:w="0" w:type="dxa"/>
              <w:right w:w="108" w:type="dxa"/>
            </w:tcMar>
          </w:tcPr>
          <w:p w14:paraId="60AEE3F4" w14:textId="77777777" w:rsidR="0016597A" w:rsidRPr="0047249D" w:rsidRDefault="0016597A" w:rsidP="0047249D">
            <w:pPr>
              <w:spacing w:before="40" w:after="120"/>
              <w:ind w:right="113"/>
              <w:rPr>
                <w:lang w:val="fr-MC"/>
              </w:rPr>
            </w:pPr>
            <w:r w:rsidRPr="0047249D">
              <w:rPr>
                <w:lang w:val="fr-MC"/>
              </w:rPr>
              <w:t>-</w:t>
            </w:r>
          </w:p>
        </w:tc>
      </w:tr>
      <w:tr w:rsidR="0047249D" w:rsidRPr="0047249D" w14:paraId="6DC167BB" w14:textId="77777777" w:rsidTr="00681296">
        <w:tc>
          <w:tcPr>
            <w:tcW w:w="3232" w:type="dxa"/>
            <w:shd w:val="clear" w:color="auto" w:fill="auto"/>
            <w:tcMar>
              <w:top w:w="0" w:type="dxa"/>
              <w:left w:w="108" w:type="dxa"/>
              <w:bottom w:w="0" w:type="dxa"/>
              <w:right w:w="108" w:type="dxa"/>
            </w:tcMar>
          </w:tcPr>
          <w:p w14:paraId="17692562" w14:textId="07CE86A1" w:rsidR="0016597A" w:rsidRPr="0047249D" w:rsidRDefault="0016597A" w:rsidP="00BF2F03">
            <w:pPr>
              <w:spacing w:before="40" w:after="120"/>
              <w:ind w:right="113"/>
              <w:rPr>
                <w:lang w:val="fr-MC"/>
              </w:rPr>
            </w:pPr>
            <w:r w:rsidRPr="0047249D">
              <w:rPr>
                <w:lang w:val="fr-MC"/>
              </w:rPr>
              <w:t>Convention relative aux Droits des</w:t>
            </w:r>
            <w:r w:rsidR="00D5675E">
              <w:rPr>
                <w:lang w:val="fr-MC"/>
              </w:rPr>
              <w:t> </w:t>
            </w:r>
            <w:r w:rsidRPr="0047249D">
              <w:rPr>
                <w:lang w:val="fr-MC"/>
              </w:rPr>
              <w:t>Personnes Handicapées</w:t>
            </w:r>
          </w:p>
        </w:tc>
        <w:tc>
          <w:tcPr>
            <w:tcW w:w="1373" w:type="dxa"/>
            <w:shd w:val="clear" w:color="auto" w:fill="auto"/>
            <w:tcMar>
              <w:top w:w="0" w:type="dxa"/>
              <w:left w:w="108" w:type="dxa"/>
              <w:bottom w:w="0" w:type="dxa"/>
              <w:right w:w="108" w:type="dxa"/>
            </w:tcMar>
          </w:tcPr>
          <w:p w14:paraId="37CBE2C4" w14:textId="77777777" w:rsidR="0016597A" w:rsidRPr="0047249D" w:rsidRDefault="0016597A" w:rsidP="0047249D">
            <w:pPr>
              <w:spacing w:before="40" w:after="120"/>
              <w:ind w:right="113"/>
              <w:rPr>
                <w:lang w:val="fr-MC"/>
              </w:rPr>
            </w:pPr>
            <w:r w:rsidRPr="0047249D">
              <w:rPr>
                <w:lang w:val="fr-MC"/>
              </w:rPr>
              <w:t>---</w:t>
            </w:r>
          </w:p>
        </w:tc>
        <w:tc>
          <w:tcPr>
            <w:tcW w:w="1454" w:type="dxa"/>
            <w:shd w:val="clear" w:color="auto" w:fill="auto"/>
            <w:tcMar>
              <w:top w:w="0" w:type="dxa"/>
              <w:left w:w="108" w:type="dxa"/>
              <w:bottom w:w="0" w:type="dxa"/>
              <w:right w:w="108" w:type="dxa"/>
            </w:tcMar>
          </w:tcPr>
          <w:p w14:paraId="23C73B97" w14:textId="77777777" w:rsidR="0016597A" w:rsidRPr="0047249D" w:rsidRDefault="0016597A" w:rsidP="0047249D">
            <w:pPr>
              <w:spacing w:before="40" w:after="120"/>
              <w:ind w:right="113"/>
              <w:rPr>
                <w:lang w:val="fr-MC"/>
              </w:rPr>
            </w:pPr>
            <w:r w:rsidRPr="0047249D">
              <w:rPr>
                <w:lang w:val="fr-MC"/>
              </w:rPr>
              <w:t>2014</w:t>
            </w:r>
          </w:p>
        </w:tc>
        <w:tc>
          <w:tcPr>
            <w:tcW w:w="1311" w:type="dxa"/>
            <w:shd w:val="clear" w:color="auto" w:fill="auto"/>
            <w:tcMar>
              <w:top w:w="0" w:type="dxa"/>
              <w:left w:w="108" w:type="dxa"/>
              <w:bottom w:w="0" w:type="dxa"/>
              <w:right w:w="108" w:type="dxa"/>
            </w:tcMar>
          </w:tcPr>
          <w:p w14:paraId="2D45E726" w14:textId="77777777" w:rsidR="0016597A" w:rsidRPr="0047249D" w:rsidRDefault="0016597A" w:rsidP="0047249D">
            <w:pPr>
              <w:spacing w:before="40" w:after="120"/>
              <w:ind w:right="113"/>
              <w:rPr>
                <w:lang w:val="fr-MC"/>
              </w:rPr>
            </w:pPr>
            <w:r w:rsidRPr="0047249D">
              <w:rPr>
                <w:lang w:val="fr-MC"/>
              </w:rPr>
              <w:t>---</w:t>
            </w:r>
          </w:p>
        </w:tc>
      </w:tr>
      <w:tr w:rsidR="0047249D" w:rsidRPr="0047249D" w14:paraId="0D5626FF" w14:textId="77777777" w:rsidTr="00681296">
        <w:tc>
          <w:tcPr>
            <w:tcW w:w="3232" w:type="dxa"/>
            <w:shd w:val="clear" w:color="auto" w:fill="auto"/>
            <w:tcMar>
              <w:top w:w="0" w:type="dxa"/>
              <w:left w:w="108" w:type="dxa"/>
              <w:bottom w:w="0" w:type="dxa"/>
              <w:right w:w="108" w:type="dxa"/>
            </w:tcMar>
          </w:tcPr>
          <w:p w14:paraId="5CB13542" w14:textId="041365BB" w:rsidR="0016597A" w:rsidRPr="0047249D" w:rsidRDefault="0016597A" w:rsidP="00BF2F03">
            <w:pPr>
              <w:spacing w:before="40" w:after="120"/>
              <w:ind w:right="113"/>
              <w:rPr>
                <w:lang w:val="fr-MC"/>
              </w:rPr>
            </w:pPr>
            <w:r w:rsidRPr="0047249D">
              <w:rPr>
                <w:lang w:val="fr-MC"/>
              </w:rPr>
              <w:t>Protocole facultatif se rapportant à</w:t>
            </w:r>
            <w:r w:rsidR="00D5675E">
              <w:rPr>
                <w:lang w:val="fr-MC"/>
              </w:rPr>
              <w:t> </w:t>
            </w:r>
            <w:r w:rsidRPr="0047249D">
              <w:rPr>
                <w:lang w:val="fr-MC"/>
              </w:rPr>
              <w:t>la Convention relative aux Droits des Personnes Handicapées</w:t>
            </w:r>
          </w:p>
        </w:tc>
        <w:tc>
          <w:tcPr>
            <w:tcW w:w="1373" w:type="dxa"/>
            <w:shd w:val="clear" w:color="auto" w:fill="auto"/>
            <w:tcMar>
              <w:top w:w="0" w:type="dxa"/>
              <w:left w:w="108" w:type="dxa"/>
              <w:bottom w:w="0" w:type="dxa"/>
              <w:right w:w="108" w:type="dxa"/>
            </w:tcMar>
          </w:tcPr>
          <w:p w14:paraId="1554FC59" w14:textId="77777777" w:rsidR="0016597A" w:rsidRPr="0047249D" w:rsidRDefault="0016597A" w:rsidP="0047249D">
            <w:pPr>
              <w:spacing w:before="40" w:after="120"/>
              <w:ind w:right="113"/>
              <w:rPr>
                <w:lang w:val="fr-MC"/>
              </w:rPr>
            </w:pPr>
            <w:r w:rsidRPr="0047249D">
              <w:rPr>
                <w:lang w:val="fr-MC"/>
              </w:rPr>
              <w:t>---</w:t>
            </w:r>
          </w:p>
        </w:tc>
        <w:tc>
          <w:tcPr>
            <w:tcW w:w="1454" w:type="dxa"/>
            <w:shd w:val="clear" w:color="auto" w:fill="auto"/>
            <w:tcMar>
              <w:top w:w="0" w:type="dxa"/>
              <w:left w:w="108" w:type="dxa"/>
              <w:bottom w:w="0" w:type="dxa"/>
              <w:right w:w="108" w:type="dxa"/>
            </w:tcMar>
          </w:tcPr>
          <w:p w14:paraId="78618DDD" w14:textId="77777777" w:rsidR="0016597A" w:rsidRPr="0047249D" w:rsidRDefault="0016597A" w:rsidP="0047249D">
            <w:pPr>
              <w:spacing w:before="40" w:after="120"/>
              <w:ind w:right="113"/>
              <w:rPr>
                <w:lang w:val="fr-MC"/>
              </w:rPr>
            </w:pPr>
            <w:r w:rsidRPr="0047249D">
              <w:rPr>
                <w:lang w:val="fr-MC"/>
              </w:rPr>
              <w:t>2014</w:t>
            </w:r>
          </w:p>
        </w:tc>
        <w:tc>
          <w:tcPr>
            <w:tcW w:w="1311" w:type="dxa"/>
            <w:shd w:val="clear" w:color="auto" w:fill="auto"/>
            <w:tcMar>
              <w:top w:w="0" w:type="dxa"/>
              <w:left w:w="108" w:type="dxa"/>
              <w:bottom w:w="0" w:type="dxa"/>
              <w:right w:w="108" w:type="dxa"/>
            </w:tcMar>
          </w:tcPr>
          <w:p w14:paraId="518C4594" w14:textId="77777777" w:rsidR="0016597A" w:rsidRPr="0047249D" w:rsidRDefault="0016597A" w:rsidP="0047249D">
            <w:pPr>
              <w:spacing w:before="40" w:after="120"/>
              <w:ind w:right="113"/>
              <w:rPr>
                <w:lang w:val="fr-MC"/>
              </w:rPr>
            </w:pPr>
            <w:r w:rsidRPr="0047249D">
              <w:rPr>
                <w:lang w:val="fr-MC"/>
              </w:rPr>
              <w:t>---</w:t>
            </w:r>
          </w:p>
        </w:tc>
      </w:tr>
      <w:tr w:rsidR="0047249D" w:rsidRPr="0047249D" w14:paraId="09507D0B" w14:textId="77777777" w:rsidTr="00681296">
        <w:tc>
          <w:tcPr>
            <w:tcW w:w="3232" w:type="dxa"/>
            <w:shd w:val="clear" w:color="auto" w:fill="auto"/>
            <w:tcMar>
              <w:top w:w="0" w:type="dxa"/>
              <w:left w:w="108" w:type="dxa"/>
              <w:bottom w:w="0" w:type="dxa"/>
              <w:right w:w="108" w:type="dxa"/>
            </w:tcMar>
          </w:tcPr>
          <w:p w14:paraId="760CB894" w14:textId="03D97001" w:rsidR="0016597A" w:rsidRPr="0047249D" w:rsidRDefault="0016597A" w:rsidP="00BF2F03">
            <w:pPr>
              <w:spacing w:before="40" w:after="120"/>
              <w:ind w:right="113"/>
              <w:rPr>
                <w:lang w:val="fr-MC"/>
              </w:rPr>
            </w:pPr>
            <w:r w:rsidRPr="0047249D">
              <w:rPr>
                <w:lang w:val="fr-MC"/>
              </w:rPr>
              <w:t>Convention sur l’imprescriptibilité des crimes de guerre et des crimes contre l’humanité</w:t>
            </w:r>
          </w:p>
        </w:tc>
        <w:tc>
          <w:tcPr>
            <w:tcW w:w="1373" w:type="dxa"/>
            <w:shd w:val="clear" w:color="auto" w:fill="auto"/>
            <w:tcMar>
              <w:top w:w="0" w:type="dxa"/>
              <w:left w:w="108" w:type="dxa"/>
              <w:bottom w:w="0" w:type="dxa"/>
              <w:right w:w="108" w:type="dxa"/>
            </w:tcMar>
          </w:tcPr>
          <w:p w14:paraId="6111F58F" w14:textId="77777777" w:rsidR="0016597A" w:rsidRPr="0047249D" w:rsidRDefault="0016597A" w:rsidP="0047249D">
            <w:pPr>
              <w:spacing w:before="40" w:after="120"/>
              <w:ind w:right="113"/>
              <w:rPr>
                <w:lang w:val="fr-MC"/>
              </w:rPr>
            </w:pPr>
            <w:r w:rsidRPr="0047249D">
              <w:rPr>
                <w:lang w:val="fr-MC"/>
              </w:rPr>
              <w:t>---</w:t>
            </w:r>
          </w:p>
        </w:tc>
        <w:tc>
          <w:tcPr>
            <w:tcW w:w="1454" w:type="dxa"/>
            <w:shd w:val="clear" w:color="auto" w:fill="auto"/>
            <w:tcMar>
              <w:top w:w="0" w:type="dxa"/>
              <w:left w:w="108" w:type="dxa"/>
              <w:bottom w:w="0" w:type="dxa"/>
              <w:right w:w="108" w:type="dxa"/>
            </w:tcMar>
          </w:tcPr>
          <w:p w14:paraId="09064917" w14:textId="77777777" w:rsidR="0016597A" w:rsidRPr="0047249D" w:rsidRDefault="0016597A" w:rsidP="0047249D">
            <w:pPr>
              <w:spacing w:before="40" w:after="120"/>
              <w:ind w:right="113"/>
              <w:rPr>
                <w:lang w:val="fr-MC"/>
              </w:rPr>
            </w:pPr>
            <w:r w:rsidRPr="0047249D">
              <w:rPr>
                <w:lang w:val="fr-MC"/>
              </w:rPr>
              <w:t>---</w:t>
            </w:r>
          </w:p>
        </w:tc>
        <w:tc>
          <w:tcPr>
            <w:tcW w:w="1311" w:type="dxa"/>
            <w:shd w:val="clear" w:color="auto" w:fill="auto"/>
            <w:tcMar>
              <w:top w:w="0" w:type="dxa"/>
              <w:left w:w="108" w:type="dxa"/>
              <w:bottom w:w="0" w:type="dxa"/>
              <w:right w:w="108" w:type="dxa"/>
            </w:tcMar>
          </w:tcPr>
          <w:p w14:paraId="512EBE89" w14:textId="77777777" w:rsidR="0016597A" w:rsidRPr="0047249D" w:rsidRDefault="0016597A" w:rsidP="0047249D">
            <w:pPr>
              <w:spacing w:before="40" w:after="120"/>
              <w:ind w:right="113"/>
              <w:rPr>
                <w:lang w:val="fr-MC"/>
              </w:rPr>
            </w:pPr>
            <w:r w:rsidRPr="0047249D">
              <w:rPr>
                <w:lang w:val="fr-MC"/>
              </w:rPr>
              <w:t>---</w:t>
            </w:r>
          </w:p>
        </w:tc>
      </w:tr>
      <w:tr w:rsidR="0047249D" w:rsidRPr="0047249D" w14:paraId="1162E2DC" w14:textId="77777777" w:rsidTr="00681296">
        <w:tc>
          <w:tcPr>
            <w:tcW w:w="3232" w:type="dxa"/>
            <w:shd w:val="clear" w:color="auto" w:fill="auto"/>
            <w:tcMar>
              <w:top w:w="0" w:type="dxa"/>
              <w:left w:w="108" w:type="dxa"/>
              <w:bottom w:w="0" w:type="dxa"/>
              <w:right w:w="108" w:type="dxa"/>
            </w:tcMar>
          </w:tcPr>
          <w:p w14:paraId="0E825F17" w14:textId="484564A1" w:rsidR="0016597A" w:rsidRPr="0047249D" w:rsidRDefault="0016597A" w:rsidP="00BF2F03">
            <w:pPr>
              <w:spacing w:before="40" w:after="120"/>
              <w:ind w:right="113"/>
              <w:rPr>
                <w:lang w:val="fr-MC"/>
              </w:rPr>
            </w:pPr>
            <w:r w:rsidRPr="0047249D">
              <w:rPr>
                <w:lang w:val="fr-MC"/>
              </w:rPr>
              <w:t>Convention Internationale pour la protection de toutes les personnes contre les disparitions forcées</w:t>
            </w:r>
          </w:p>
        </w:tc>
        <w:tc>
          <w:tcPr>
            <w:tcW w:w="1373" w:type="dxa"/>
            <w:shd w:val="clear" w:color="auto" w:fill="auto"/>
            <w:tcMar>
              <w:top w:w="0" w:type="dxa"/>
              <w:left w:w="108" w:type="dxa"/>
              <w:bottom w:w="0" w:type="dxa"/>
              <w:right w:w="108" w:type="dxa"/>
            </w:tcMar>
          </w:tcPr>
          <w:p w14:paraId="3A86BBB7" w14:textId="77777777" w:rsidR="0016597A" w:rsidRPr="0047249D" w:rsidRDefault="0016597A" w:rsidP="0047249D">
            <w:pPr>
              <w:spacing w:before="40" w:after="120"/>
              <w:ind w:right="113"/>
              <w:rPr>
                <w:lang w:val="fr-MC"/>
              </w:rPr>
            </w:pPr>
            <w:r w:rsidRPr="0047249D">
              <w:rPr>
                <w:lang w:val="fr-MC"/>
              </w:rPr>
              <w:t>---</w:t>
            </w:r>
          </w:p>
        </w:tc>
        <w:tc>
          <w:tcPr>
            <w:tcW w:w="1454" w:type="dxa"/>
            <w:shd w:val="clear" w:color="auto" w:fill="auto"/>
            <w:tcMar>
              <w:top w:w="0" w:type="dxa"/>
              <w:left w:w="108" w:type="dxa"/>
              <w:bottom w:w="0" w:type="dxa"/>
              <w:right w:w="108" w:type="dxa"/>
            </w:tcMar>
          </w:tcPr>
          <w:p w14:paraId="5DDC2476" w14:textId="77777777" w:rsidR="0016597A" w:rsidRPr="0047249D" w:rsidRDefault="0016597A" w:rsidP="0047249D">
            <w:pPr>
              <w:spacing w:before="40" w:after="120"/>
              <w:ind w:right="113"/>
              <w:rPr>
                <w:lang w:val="fr-MC"/>
              </w:rPr>
            </w:pPr>
            <w:r w:rsidRPr="0047249D">
              <w:rPr>
                <w:lang w:val="fr-MC"/>
              </w:rPr>
              <w:t>---</w:t>
            </w:r>
          </w:p>
        </w:tc>
        <w:tc>
          <w:tcPr>
            <w:tcW w:w="1311" w:type="dxa"/>
            <w:shd w:val="clear" w:color="auto" w:fill="auto"/>
            <w:tcMar>
              <w:top w:w="0" w:type="dxa"/>
              <w:left w:w="108" w:type="dxa"/>
              <w:bottom w:w="0" w:type="dxa"/>
              <w:right w:w="108" w:type="dxa"/>
            </w:tcMar>
          </w:tcPr>
          <w:p w14:paraId="616F998F" w14:textId="77777777" w:rsidR="0016597A" w:rsidRPr="0047249D" w:rsidRDefault="0016597A" w:rsidP="0047249D">
            <w:pPr>
              <w:spacing w:before="40" w:after="120"/>
              <w:ind w:right="113"/>
              <w:rPr>
                <w:lang w:val="fr-MC"/>
              </w:rPr>
            </w:pPr>
            <w:r w:rsidRPr="0047249D">
              <w:rPr>
                <w:lang w:val="fr-MC"/>
              </w:rPr>
              <w:t>---</w:t>
            </w:r>
          </w:p>
        </w:tc>
      </w:tr>
      <w:tr w:rsidR="0047249D" w:rsidRPr="0047249D" w14:paraId="5061847C" w14:textId="77777777" w:rsidTr="00681296">
        <w:tc>
          <w:tcPr>
            <w:tcW w:w="3232" w:type="dxa"/>
            <w:shd w:val="clear" w:color="auto" w:fill="auto"/>
            <w:tcMar>
              <w:top w:w="0" w:type="dxa"/>
              <w:left w:w="108" w:type="dxa"/>
              <w:bottom w:w="0" w:type="dxa"/>
              <w:right w:w="108" w:type="dxa"/>
            </w:tcMar>
          </w:tcPr>
          <w:p w14:paraId="0A728A9F" w14:textId="2D3476B5" w:rsidR="0016597A" w:rsidRPr="0047249D" w:rsidRDefault="0016597A" w:rsidP="00BF2F03">
            <w:pPr>
              <w:spacing w:before="40" w:after="120"/>
              <w:ind w:right="113"/>
              <w:rPr>
                <w:lang w:val="fr-MC"/>
              </w:rPr>
            </w:pPr>
            <w:r w:rsidRPr="0047249D">
              <w:rPr>
                <w:lang w:val="fr-MC"/>
              </w:rPr>
              <w:t>Convention (de l’UNESCO) sur la promotion et la protection de la diversité des expressions culturelles</w:t>
            </w:r>
          </w:p>
        </w:tc>
        <w:tc>
          <w:tcPr>
            <w:tcW w:w="1373" w:type="dxa"/>
            <w:shd w:val="clear" w:color="auto" w:fill="auto"/>
            <w:tcMar>
              <w:top w:w="0" w:type="dxa"/>
              <w:left w:w="108" w:type="dxa"/>
              <w:bottom w:w="0" w:type="dxa"/>
              <w:right w:w="108" w:type="dxa"/>
            </w:tcMar>
          </w:tcPr>
          <w:p w14:paraId="673CBBF8" w14:textId="43E83170" w:rsidR="0016597A" w:rsidRPr="0047249D" w:rsidRDefault="0016597A" w:rsidP="0047249D">
            <w:pPr>
              <w:spacing w:before="40" w:after="120"/>
              <w:ind w:right="113"/>
              <w:rPr>
                <w:lang w:val="fr-MC"/>
              </w:rPr>
            </w:pPr>
            <w:r w:rsidRPr="0047249D">
              <w:rPr>
                <w:lang w:val="fr-MC"/>
              </w:rPr>
              <w:t>14/01/2009</w:t>
            </w:r>
          </w:p>
        </w:tc>
        <w:tc>
          <w:tcPr>
            <w:tcW w:w="1454" w:type="dxa"/>
            <w:shd w:val="clear" w:color="auto" w:fill="auto"/>
            <w:tcMar>
              <w:top w:w="0" w:type="dxa"/>
              <w:left w:w="108" w:type="dxa"/>
              <w:bottom w:w="0" w:type="dxa"/>
              <w:right w:w="108" w:type="dxa"/>
            </w:tcMar>
          </w:tcPr>
          <w:p w14:paraId="2003FA81" w14:textId="77777777" w:rsidR="0016597A" w:rsidRPr="0047249D" w:rsidRDefault="0016597A" w:rsidP="0047249D">
            <w:pPr>
              <w:spacing w:before="40" w:after="120"/>
              <w:ind w:right="113"/>
              <w:rPr>
                <w:lang w:val="fr-MC"/>
              </w:rPr>
            </w:pPr>
            <w:r w:rsidRPr="0047249D">
              <w:rPr>
                <w:lang w:val="fr-MC"/>
              </w:rPr>
              <w:t>14/01/2009</w:t>
            </w:r>
          </w:p>
        </w:tc>
        <w:tc>
          <w:tcPr>
            <w:tcW w:w="1311" w:type="dxa"/>
            <w:shd w:val="clear" w:color="auto" w:fill="auto"/>
            <w:tcMar>
              <w:top w:w="0" w:type="dxa"/>
              <w:left w:w="108" w:type="dxa"/>
              <w:bottom w:w="0" w:type="dxa"/>
              <w:right w:w="108" w:type="dxa"/>
            </w:tcMar>
          </w:tcPr>
          <w:p w14:paraId="53ADDF6F" w14:textId="77777777" w:rsidR="0016597A" w:rsidRPr="0047249D" w:rsidRDefault="0016597A" w:rsidP="0047249D">
            <w:pPr>
              <w:spacing w:before="40" w:after="120"/>
              <w:ind w:right="113"/>
              <w:rPr>
                <w:lang w:val="fr-MC"/>
              </w:rPr>
            </w:pPr>
          </w:p>
        </w:tc>
      </w:tr>
      <w:tr w:rsidR="0047249D" w:rsidRPr="0047249D" w14:paraId="683DDE50" w14:textId="77777777" w:rsidTr="00681296">
        <w:tc>
          <w:tcPr>
            <w:tcW w:w="3232" w:type="dxa"/>
            <w:shd w:val="clear" w:color="auto" w:fill="auto"/>
            <w:tcMar>
              <w:top w:w="0" w:type="dxa"/>
              <w:left w:w="108" w:type="dxa"/>
              <w:bottom w:w="0" w:type="dxa"/>
              <w:right w:w="108" w:type="dxa"/>
            </w:tcMar>
          </w:tcPr>
          <w:p w14:paraId="3520C517" w14:textId="051D5EEB" w:rsidR="0016597A" w:rsidRPr="0047249D" w:rsidRDefault="0016597A" w:rsidP="00BF2F03">
            <w:pPr>
              <w:spacing w:before="40" w:after="120"/>
              <w:ind w:right="113"/>
              <w:rPr>
                <w:lang w:val="fr-MC"/>
              </w:rPr>
            </w:pPr>
            <w:r w:rsidRPr="0047249D">
              <w:rPr>
                <w:lang w:val="fr-MC"/>
              </w:rPr>
              <w:t>Convention relative aux peuples indigènes et tribaux, 1989 (</w:t>
            </w:r>
            <w:r w:rsidR="0020117D" w:rsidRPr="0016597A">
              <w:rPr>
                <w:lang w:val="fr-MC"/>
              </w:rPr>
              <w:t>n</w:t>
            </w:r>
            <w:r w:rsidR="0020117D" w:rsidRPr="008A395C">
              <w:rPr>
                <w:vertAlign w:val="superscript"/>
                <w:lang w:val="fr-MC"/>
              </w:rPr>
              <w:t>o</w:t>
            </w:r>
            <w:r w:rsidR="0020117D">
              <w:rPr>
                <w:lang w:val="fr-MC"/>
              </w:rPr>
              <w:t> </w:t>
            </w:r>
            <w:r w:rsidRPr="0047249D">
              <w:rPr>
                <w:lang w:val="fr-MC"/>
              </w:rPr>
              <w:t>169) de l’OIT</w:t>
            </w:r>
          </w:p>
        </w:tc>
        <w:tc>
          <w:tcPr>
            <w:tcW w:w="1373" w:type="dxa"/>
            <w:shd w:val="clear" w:color="auto" w:fill="auto"/>
            <w:tcMar>
              <w:top w:w="0" w:type="dxa"/>
              <w:left w:w="108" w:type="dxa"/>
              <w:bottom w:w="0" w:type="dxa"/>
              <w:right w:w="108" w:type="dxa"/>
            </w:tcMar>
          </w:tcPr>
          <w:p w14:paraId="4535C5D1" w14:textId="77777777" w:rsidR="0016597A" w:rsidRPr="0047249D" w:rsidRDefault="0016597A" w:rsidP="0047249D">
            <w:pPr>
              <w:spacing w:before="40" w:after="120"/>
              <w:ind w:right="113"/>
              <w:rPr>
                <w:lang w:val="fr-MC"/>
              </w:rPr>
            </w:pPr>
            <w:r w:rsidRPr="0047249D">
              <w:rPr>
                <w:lang w:val="fr-MC"/>
              </w:rPr>
              <w:t>---</w:t>
            </w:r>
          </w:p>
        </w:tc>
        <w:tc>
          <w:tcPr>
            <w:tcW w:w="1454" w:type="dxa"/>
            <w:shd w:val="clear" w:color="auto" w:fill="auto"/>
            <w:tcMar>
              <w:top w:w="0" w:type="dxa"/>
              <w:left w:w="108" w:type="dxa"/>
              <w:bottom w:w="0" w:type="dxa"/>
              <w:right w:w="108" w:type="dxa"/>
            </w:tcMar>
          </w:tcPr>
          <w:p w14:paraId="3AF2C130" w14:textId="77777777" w:rsidR="0016597A" w:rsidRPr="0047249D" w:rsidRDefault="0016597A" w:rsidP="0047249D">
            <w:pPr>
              <w:spacing w:before="40" w:after="120"/>
              <w:ind w:right="113"/>
              <w:rPr>
                <w:lang w:val="fr-MC"/>
              </w:rPr>
            </w:pPr>
            <w:r w:rsidRPr="0047249D">
              <w:rPr>
                <w:lang w:val="fr-MC"/>
              </w:rPr>
              <w:t>---</w:t>
            </w:r>
          </w:p>
        </w:tc>
        <w:tc>
          <w:tcPr>
            <w:tcW w:w="1311" w:type="dxa"/>
            <w:shd w:val="clear" w:color="auto" w:fill="auto"/>
            <w:tcMar>
              <w:top w:w="0" w:type="dxa"/>
              <w:left w:w="108" w:type="dxa"/>
              <w:bottom w:w="0" w:type="dxa"/>
              <w:right w:w="108" w:type="dxa"/>
            </w:tcMar>
          </w:tcPr>
          <w:p w14:paraId="0DEA1540" w14:textId="77777777" w:rsidR="0016597A" w:rsidRPr="0047249D" w:rsidRDefault="0016597A" w:rsidP="0047249D">
            <w:pPr>
              <w:spacing w:before="40" w:after="120"/>
              <w:ind w:right="113"/>
              <w:rPr>
                <w:lang w:val="fr-MC"/>
              </w:rPr>
            </w:pPr>
            <w:r w:rsidRPr="0047249D">
              <w:rPr>
                <w:lang w:val="fr-MC"/>
              </w:rPr>
              <w:t>---</w:t>
            </w:r>
          </w:p>
        </w:tc>
      </w:tr>
      <w:tr w:rsidR="0047249D" w:rsidRPr="0047249D" w14:paraId="4985D1C3" w14:textId="77777777" w:rsidTr="00681296">
        <w:tc>
          <w:tcPr>
            <w:tcW w:w="3232" w:type="dxa"/>
            <w:shd w:val="clear" w:color="auto" w:fill="auto"/>
            <w:tcMar>
              <w:top w:w="0" w:type="dxa"/>
              <w:left w:w="108" w:type="dxa"/>
              <w:bottom w:w="0" w:type="dxa"/>
              <w:right w:w="108" w:type="dxa"/>
            </w:tcMar>
          </w:tcPr>
          <w:p w14:paraId="4C04E97C" w14:textId="66CF714B" w:rsidR="0016597A" w:rsidRPr="0047249D" w:rsidRDefault="0016597A" w:rsidP="00BF2F03">
            <w:pPr>
              <w:spacing w:before="40" w:after="120"/>
              <w:ind w:right="113"/>
              <w:rPr>
                <w:lang w:val="fr-MC"/>
              </w:rPr>
            </w:pPr>
            <w:r w:rsidRPr="0047249D">
              <w:rPr>
                <w:lang w:val="fr-MC"/>
              </w:rPr>
              <w:t>Convention relative au statut des</w:t>
            </w:r>
            <w:r w:rsidR="00D5675E">
              <w:rPr>
                <w:lang w:val="fr-MC"/>
              </w:rPr>
              <w:t> </w:t>
            </w:r>
            <w:r w:rsidRPr="0047249D">
              <w:rPr>
                <w:lang w:val="fr-MC"/>
              </w:rPr>
              <w:t>apatrides</w:t>
            </w:r>
          </w:p>
        </w:tc>
        <w:tc>
          <w:tcPr>
            <w:tcW w:w="1373" w:type="dxa"/>
            <w:shd w:val="clear" w:color="auto" w:fill="auto"/>
            <w:tcMar>
              <w:top w:w="0" w:type="dxa"/>
              <w:left w:w="108" w:type="dxa"/>
              <w:bottom w:w="0" w:type="dxa"/>
              <w:right w:w="108" w:type="dxa"/>
            </w:tcMar>
          </w:tcPr>
          <w:p w14:paraId="737E11EF" w14:textId="77777777" w:rsidR="0016597A" w:rsidRPr="0047249D" w:rsidRDefault="0016597A" w:rsidP="0047249D">
            <w:pPr>
              <w:spacing w:before="40" w:after="120"/>
              <w:ind w:right="113"/>
              <w:rPr>
                <w:lang w:val="fr-MC"/>
              </w:rPr>
            </w:pPr>
            <w:r w:rsidRPr="0047249D">
              <w:rPr>
                <w:lang w:val="fr-MC"/>
              </w:rPr>
              <w:t>---</w:t>
            </w:r>
          </w:p>
        </w:tc>
        <w:tc>
          <w:tcPr>
            <w:tcW w:w="1454" w:type="dxa"/>
            <w:shd w:val="clear" w:color="auto" w:fill="auto"/>
            <w:tcMar>
              <w:top w:w="0" w:type="dxa"/>
              <w:left w:w="108" w:type="dxa"/>
              <w:bottom w:w="0" w:type="dxa"/>
              <w:right w:w="108" w:type="dxa"/>
            </w:tcMar>
          </w:tcPr>
          <w:p w14:paraId="46830080" w14:textId="77777777" w:rsidR="0016597A" w:rsidRPr="0047249D" w:rsidRDefault="0016597A" w:rsidP="0047249D">
            <w:pPr>
              <w:spacing w:before="40" w:after="120"/>
              <w:ind w:right="113"/>
              <w:rPr>
                <w:lang w:val="fr-MC"/>
              </w:rPr>
            </w:pPr>
            <w:r w:rsidRPr="0047249D">
              <w:rPr>
                <w:lang w:val="fr-MC"/>
              </w:rPr>
              <w:t>---</w:t>
            </w:r>
          </w:p>
        </w:tc>
        <w:tc>
          <w:tcPr>
            <w:tcW w:w="1311" w:type="dxa"/>
            <w:shd w:val="clear" w:color="auto" w:fill="auto"/>
            <w:tcMar>
              <w:top w:w="0" w:type="dxa"/>
              <w:left w:w="108" w:type="dxa"/>
              <w:bottom w:w="0" w:type="dxa"/>
              <w:right w:w="108" w:type="dxa"/>
            </w:tcMar>
          </w:tcPr>
          <w:p w14:paraId="2AB6FFF3" w14:textId="77777777" w:rsidR="0016597A" w:rsidRPr="0047249D" w:rsidRDefault="0016597A" w:rsidP="0047249D">
            <w:pPr>
              <w:spacing w:before="40" w:after="120"/>
              <w:ind w:right="113"/>
              <w:rPr>
                <w:lang w:val="fr-MC"/>
              </w:rPr>
            </w:pPr>
            <w:r w:rsidRPr="0047249D">
              <w:rPr>
                <w:lang w:val="fr-MC"/>
              </w:rPr>
              <w:t>---</w:t>
            </w:r>
          </w:p>
        </w:tc>
      </w:tr>
      <w:tr w:rsidR="0047249D" w:rsidRPr="0047249D" w14:paraId="5E987771" w14:textId="77777777" w:rsidTr="00681296">
        <w:tc>
          <w:tcPr>
            <w:tcW w:w="3232" w:type="dxa"/>
            <w:tcBorders>
              <w:bottom w:val="single" w:sz="12" w:space="0" w:color="auto"/>
            </w:tcBorders>
            <w:shd w:val="clear" w:color="auto" w:fill="auto"/>
            <w:tcMar>
              <w:top w:w="0" w:type="dxa"/>
              <w:left w:w="108" w:type="dxa"/>
              <w:bottom w:w="0" w:type="dxa"/>
              <w:right w:w="108" w:type="dxa"/>
            </w:tcMar>
          </w:tcPr>
          <w:p w14:paraId="2DCD006E" w14:textId="3F3A3CA9" w:rsidR="0016597A" w:rsidRPr="0047249D" w:rsidRDefault="0016597A" w:rsidP="0047249D">
            <w:pPr>
              <w:spacing w:before="40" w:after="120"/>
              <w:ind w:right="113"/>
              <w:rPr>
                <w:lang w:val="fr-MC"/>
              </w:rPr>
            </w:pPr>
            <w:r w:rsidRPr="0047249D">
              <w:rPr>
                <w:lang w:val="fr-MC"/>
              </w:rPr>
              <w:t xml:space="preserve">Convention sur la réduction </w:t>
            </w:r>
            <w:r w:rsidR="00D5675E">
              <w:rPr>
                <w:lang w:val="fr-MC"/>
              </w:rPr>
              <w:br/>
            </w:r>
            <w:r w:rsidRPr="0047249D">
              <w:rPr>
                <w:lang w:val="fr-MC"/>
              </w:rPr>
              <w:t>des cas d’apatridie</w:t>
            </w:r>
          </w:p>
        </w:tc>
        <w:tc>
          <w:tcPr>
            <w:tcW w:w="1373" w:type="dxa"/>
            <w:tcBorders>
              <w:bottom w:val="single" w:sz="12" w:space="0" w:color="auto"/>
            </w:tcBorders>
            <w:shd w:val="clear" w:color="auto" w:fill="auto"/>
            <w:tcMar>
              <w:top w:w="0" w:type="dxa"/>
              <w:left w:w="108" w:type="dxa"/>
              <w:bottom w:w="0" w:type="dxa"/>
              <w:right w:w="108" w:type="dxa"/>
            </w:tcMar>
          </w:tcPr>
          <w:p w14:paraId="2C964697" w14:textId="77777777" w:rsidR="0016597A" w:rsidRPr="0047249D" w:rsidRDefault="0016597A" w:rsidP="0047249D">
            <w:pPr>
              <w:spacing w:before="40" w:after="120"/>
              <w:ind w:right="113"/>
              <w:rPr>
                <w:lang w:val="fr-MC"/>
              </w:rPr>
            </w:pPr>
            <w:r w:rsidRPr="0047249D">
              <w:rPr>
                <w:lang w:val="fr-MC"/>
              </w:rPr>
              <w:t>---</w:t>
            </w:r>
          </w:p>
        </w:tc>
        <w:tc>
          <w:tcPr>
            <w:tcW w:w="1454" w:type="dxa"/>
            <w:tcBorders>
              <w:bottom w:val="single" w:sz="12" w:space="0" w:color="auto"/>
            </w:tcBorders>
            <w:shd w:val="clear" w:color="auto" w:fill="auto"/>
            <w:tcMar>
              <w:top w:w="0" w:type="dxa"/>
              <w:left w:w="108" w:type="dxa"/>
              <w:bottom w:w="0" w:type="dxa"/>
              <w:right w:w="108" w:type="dxa"/>
            </w:tcMar>
          </w:tcPr>
          <w:p w14:paraId="1C1EE566" w14:textId="77777777" w:rsidR="0016597A" w:rsidRPr="0047249D" w:rsidRDefault="0016597A" w:rsidP="0047249D">
            <w:pPr>
              <w:spacing w:before="40" w:after="120"/>
              <w:ind w:right="113"/>
              <w:rPr>
                <w:lang w:val="fr-MC"/>
              </w:rPr>
            </w:pPr>
            <w:r w:rsidRPr="0047249D">
              <w:rPr>
                <w:lang w:val="fr-MC"/>
              </w:rPr>
              <w:t>---</w:t>
            </w:r>
          </w:p>
        </w:tc>
        <w:tc>
          <w:tcPr>
            <w:tcW w:w="1311" w:type="dxa"/>
            <w:tcBorders>
              <w:bottom w:val="single" w:sz="12" w:space="0" w:color="auto"/>
            </w:tcBorders>
            <w:shd w:val="clear" w:color="auto" w:fill="auto"/>
            <w:tcMar>
              <w:top w:w="0" w:type="dxa"/>
              <w:left w:w="108" w:type="dxa"/>
              <w:bottom w:w="0" w:type="dxa"/>
              <w:right w:w="108" w:type="dxa"/>
            </w:tcMar>
          </w:tcPr>
          <w:p w14:paraId="68534C06" w14:textId="77777777" w:rsidR="0016597A" w:rsidRPr="0047249D" w:rsidRDefault="0016597A" w:rsidP="0047249D">
            <w:pPr>
              <w:spacing w:before="40" w:after="120"/>
              <w:ind w:right="113"/>
              <w:rPr>
                <w:lang w:val="fr-MC"/>
              </w:rPr>
            </w:pPr>
            <w:r w:rsidRPr="0047249D">
              <w:rPr>
                <w:lang w:val="fr-MC"/>
              </w:rPr>
              <w:t>---</w:t>
            </w:r>
          </w:p>
        </w:tc>
      </w:tr>
    </w:tbl>
    <w:p w14:paraId="1A2B0E28" w14:textId="4012639A" w:rsidR="0016597A" w:rsidRDefault="0047249D" w:rsidP="0047249D">
      <w:pPr>
        <w:pStyle w:val="H23G"/>
        <w:rPr>
          <w:lang w:val="fr-MC"/>
        </w:rPr>
      </w:pPr>
      <w:bookmarkStart w:id="10" w:name="_Toc529970196"/>
      <w:r>
        <w:rPr>
          <w:lang w:val="fr-MC"/>
        </w:rPr>
        <w:tab/>
      </w:r>
      <w:r w:rsidR="000F1006">
        <w:rPr>
          <w:lang w:val="fr-MC"/>
        </w:rPr>
        <w:t>3.</w:t>
      </w:r>
      <w:r>
        <w:rPr>
          <w:lang w:val="fr-MC"/>
        </w:rPr>
        <w:tab/>
      </w:r>
      <w:r w:rsidR="0016597A" w:rsidRPr="0016597A">
        <w:rPr>
          <w:lang w:val="fr-MC"/>
        </w:rPr>
        <w:t xml:space="preserve">Etat de diffusion de la Convention contre la torture et la méthodologie </w:t>
      </w:r>
      <w:r w:rsidR="0020117D">
        <w:rPr>
          <w:lang w:val="fr-MC"/>
        </w:rPr>
        <w:br/>
      </w:r>
      <w:r w:rsidR="0016597A" w:rsidRPr="0016597A">
        <w:rPr>
          <w:lang w:val="fr-MC"/>
        </w:rPr>
        <w:t>d’élaboration du rapport</w:t>
      </w:r>
      <w:bookmarkEnd w:id="10"/>
    </w:p>
    <w:p w14:paraId="00CAE1C9" w14:textId="31AFEAB8" w:rsidR="0016597A" w:rsidRPr="0016597A" w:rsidRDefault="00BF2F03" w:rsidP="00BF2F03">
      <w:pPr>
        <w:pStyle w:val="SingleTxtG"/>
        <w:rPr>
          <w:strike/>
          <w:lang w:val="fr-MC"/>
        </w:rPr>
      </w:pPr>
      <w:r w:rsidRPr="0016597A">
        <w:rPr>
          <w:lang w:val="fr-MC"/>
        </w:rPr>
        <w:t>15.</w:t>
      </w:r>
      <w:r w:rsidRPr="0016597A">
        <w:rPr>
          <w:lang w:val="fr-MC"/>
        </w:rPr>
        <w:tab/>
      </w:r>
      <w:r w:rsidR="0016597A" w:rsidRPr="0016597A">
        <w:rPr>
          <w:lang w:val="fr-MC"/>
        </w:rPr>
        <w:t>Par la ratification de la Convention contre la Torture, le Burundi a pris l’engagement de veiller à l’interdiction de la torture notamment par son introduction dans les modules ou programmes de formation dispensés en faveur des agents étatiques (policiers, militaires, magistrats, médecins, …) qui ont un rôle à jouer lors de la procédure liée à l’enquête. Le pays s’est également engagé à incorporer les lois et règlements interdisant la torture dans sa législation.</w:t>
      </w:r>
    </w:p>
    <w:p w14:paraId="024499EA" w14:textId="7C2EFD14" w:rsidR="0016597A" w:rsidRPr="0016597A" w:rsidRDefault="00BF2F03" w:rsidP="00BF2F03">
      <w:pPr>
        <w:pStyle w:val="SingleTxtG"/>
        <w:rPr>
          <w:strike/>
          <w:color w:val="000000"/>
          <w:lang w:val="fr-MC"/>
        </w:rPr>
      </w:pPr>
      <w:r w:rsidRPr="0016597A">
        <w:rPr>
          <w:lang w:val="fr-MC"/>
        </w:rPr>
        <w:lastRenderedPageBreak/>
        <w:t>16.</w:t>
      </w:r>
      <w:r w:rsidRPr="0016597A">
        <w:rPr>
          <w:lang w:val="fr-MC"/>
        </w:rPr>
        <w:tab/>
      </w:r>
      <w:r w:rsidR="0016597A" w:rsidRPr="0016597A">
        <w:rPr>
          <w:lang w:val="fr-MC"/>
        </w:rPr>
        <w:t xml:space="preserve">La Constitution reconnaît la dignité inhérente à la personne humaine et proscrit la soumission de tout être humain à la torture, à des peines ou traitements </w:t>
      </w:r>
      <w:r w:rsidR="009647C1">
        <w:rPr>
          <w:lang w:val="fr-MC"/>
        </w:rPr>
        <w:t>cruels, inhumains ou dégradants</w:t>
      </w:r>
      <w:r w:rsidR="0016597A" w:rsidRPr="00B345A8">
        <w:rPr>
          <w:rStyle w:val="Appelnotedebasdep"/>
        </w:rPr>
        <w:footnoteReference w:id="7"/>
      </w:r>
      <w:r w:rsidR="009647C1">
        <w:rPr>
          <w:lang w:val="fr-MC"/>
        </w:rPr>
        <w:t>.</w:t>
      </w:r>
    </w:p>
    <w:p w14:paraId="1CD15AD6" w14:textId="76322128" w:rsidR="0016597A" w:rsidRPr="0016597A" w:rsidRDefault="00BF2F03" w:rsidP="00BF2F03">
      <w:pPr>
        <w:pStyle w:val="SingleTxtG"/>
        <w:rPr>
          <w:strike/>
          <w:color w:val="000000"/>
          <w:lang w:val="fr-MC"/>
        </w:rPr>
      </w:pPr>
      <w:r w:rsidRPr="0016597A">
        <w:rPr>
          <w:lang w:val="fr-MC"/>
        </w:rPr>
        <w:t>17.</w:t>
      </w:r>
      <w:r w:rsidRPr="0016597A">
        <w:rPr>
          <w:lang w:val="fr-MC"/>
        </w:rPr>
        <w:tab/>
      </w:r>
      <w:r w:rsidR="0016597A" w:rsidRPr="0016597A">
        <w:rPr>
          <w:lang w:val="fr-MC"/>
        </w:rPr>
        <w:t>Le Ministère des Droits de la Personne Humaine, des Affaires Sociales et du Genre organise chaque année des séminaires de diffusion du prescrit de la Convention contre la torture et autres peines ou traitements cruels, inhumains ou dégradants et du protocole s’y rapportant.</w:t>
      </w:r>
    </w:p>
    <w:p w14:paraId="269684E4" w14:textId="201F9209" w:rsidR="0016597A" w:rsidRPr="0016597A" w:rsidRDefault="00BF2F03" w:rsidP="00BF2F03">
      <w:pPr>
        <w:pStyle w:val="SingleTxtG"/>
        <w:rPr>
          <w:strike/>
          <w:lang w:val="fr-MC"/>
        </w:rPr>
      </w:pPr>
      <w:r w:rsidRPr="0016597A">
        <w:rPr>
          <w:lang w:val="fr-MC"/>
        </w:rPr>
        <w:t>18.</w:t>
      </w:r>
      <w:r w:rsidRPr="0016597A">
        <w:rPr>
          <w:lang w:val="fr-MC"/>
        </w:rPr>
        <w:tab/>
      </w:r>
      <w:r w:rsidR="0016597A" w:rsidRPr="0016597A">
        <w:rPr>
          <w:lang w:val="fr-MC"/>
        </w:rPr>
        <w:t xml:space="preserve">Au niveau de la Police Nationale du Burundi, il existe un service chargé de la formation des policiers notamment en droits de l’homme et l’usage légal de la force. </w:t>
      </w:r>
    </w:p>
    <w:p w14:paraId="7774F268" w14:textId="5A9EFB67" w:rsidR="0016597A" w:rsidRPr="0016597A" w:rsidRDefault="00BF2F03" w:rsidP="00BF2F03">
      <w:pPr>
        <w:pStyle w:val="SingleTxtG"/>
        <w:rPr>
          <w:strike/>
          <w:lang w:val="fr-MC"/>
        </w:rPr>
      </w:pPr>
      <w:r w:rsidRPr="0016597A">
        <w:rPr>
          <w:lang w:val="fr-MC"/>
        </w:rPr>
        <w:t>19.</w:t>
      </w:r>
      <w:r w:rsidRPr="0016597A">
        <w:rPr>
          <w:lang w:val="fr-MC"/>
        </w:rPr>
        <w:tab/>
      </w:r>
      <w:r w:rsidR="0016597A" w:rsidRPr="0016597A">
        <w:rPr>
          <w:lang w:val="fr-MC"/>
        </w:rPr>
        <w:t xml:space="preserve">Le Centre de Promotion des Droits de la Personne Humaine et de Prévention du Génocide. </w:t>
      </w:r>
    </w:p>
    <w:p w14:paraId="5C848497" w14:textId="4C29A006" w:rsidR="0016597A" w:rsidRPr="0016597A" w:rsidRDefault="0047249D" w:rsidP="00BC23B3">
      <w:pPr>
        <w:pStyle w:val="HChG"/>
        <w:rPr>
          <w:lang w:val="fr-MC"/>
        </w:rPr>
      </w:pPr>
      <w:bookmarkStart w:id="11" w:name="_Toc529970197"/>
      <w:r>
        <w:rPr>
          <w:lang w:val="fr-MC"/>
        </w:rPr>
        <w:tab/>
        <w:t>II.</w:t>
      </w:r>
      <w:r>
        <w:rPr>
          <w:lang w:val="fr-MC"/>
        </w:rPr>
        <w:tab/>
      </w:r>
      <w:r w:rsidR="0016597A" w:rsidRPr="0016597A">
        <w:rPr>
          <w:lang w:val="fr-MC"/>
        </w:rPr>
        <w:t>Etat de la mise en application de la Convention contre la</w:t>
      </w:r>
      <w:r w:rsidR="0020117D">
        <w:rPr>
          <w:lang w:val="fr-MC"/>
        </w:rPr>
        <w:t> </w:t>
      </w:r>
      <w:r w:rsidR="0016597A" w:rsidRPr="0016597A">
        <w:rPr>
          <w:lang w:val="fr-MC"/>
        </w:rPr>
        <w:t xml:space="preserve">torture et autres peines ou traitement cruels, </w:t>
      </w:r>
      <w:r w:rsidR="0020117D">
        <w:rPr>
          <w:lang w:val="fr-MC"/>
        </w:rPr>
        <w:br/>
      </w:r>
      <w:r w:rsidR="0016597A" w:rsidRPr="0016597A">
        <w:rPr>
          <w:lang w:val="fr-MC"/>
        </w:rPr>
        <w:t>inhumains ou dégradants</w:t>
      </w:r>
      <w:bookmarkEnd w:id="11"/>
    </w:p>
    <w:p w14:paraId="62DF8060" w14:textId="622CC80C" w:rsidR="0016597A" w:rsidRPr="0016597A" w:rsidRDefault="0047249D" w:rsidP="00BC23B3">
      <w:pPr>
        <w:pStyle w:val="H1G"/>
        <w:rPr>
          <w:lang w:val="fr-MC"/>
        </w:rPr>
      </w:pPr>
      <w:bookmarkStart w:id="12" w:name="_Toc529970198"/>
      <w:r>
        <w:rPr>
          <w:lang w:val="fr-MC"/>
        </w:rPr>
        <w:tab/>
      </w:r>
      <w:r>
        <w:rPr>
          <w:lang w:val="fr-MC"/>
        </w:rPr>
        <w:tab/>
      </w:r>
      <w:r w:rsidR="0016597A" w:rsidRPr="0016597A">
        <w:rPr>
          <w:lang w:val="fr-MC"/>
        </w:rPr>
        <w:t>Article 1</w:t>
      </w:r>
      <w:r w:rsidR="0020117D">
        <w:rPr>
          <w:lang w:val="fr-MC"/>
        </w:rPr>
        <w:t xml:space="preserve"> : </w:t>
      </w:r>
      <w:r w:rsidR="0016597A" w:rsidRPr="0016597A">
        <w:rPr>
          <w:lang w:val="fr-MC"/>
        </w:rPr>
        <w:t>De la définition de la torture</w:t>
      </w:r>
      <w:bookmarkEnd w:id="12"/>
    </w:p>
    <w:p w14:paraId="334CD5D1" w14:textId="0E8CBF4D" w:rsidR="0016597A" w:rsidRPr="0016597A" w:rsidRDefault="00BF2F03" w:rsidP="00BF2F03">
      <w:pPr>
        <w:pStyle w:val="SingleTxtG"/>
        <w:rPr>
          <w:lang w:val="fr-MC"/>
        </w:rPr>
      </w:pPr>
      <w:r w:rsidRPr="0016597A">
        <w:rPr>
          <w:lang w:val="fr-MC"/>
        </w:rPr>
        <w:t>20.</w:t>
      </w:r>
      <w:r w:rsidRPr="0016597A">
        <w:rPr>
          <w:lang w:val="fr-MC"/>
        </w:rPr>
        <w:tab/>
      </w:r>
      <w:r w:rsidR="0016597A" w:rsidRPr="0016597A">
        <w:rPr>
          <w:lang w:val="fr-MC"/>
        </w:rPr>
        <w:t xml:space="preserve">Le Code </w:t>
      </w:r>
      <w:r w:rsidR="0020117D">
        <w:rPr>
          <w:lang w:val="fr-MC"/>
        </w:rPr>
        <w:t>p</w:t>
      </w:r>
      <w:r w:rsidR="0016597A" w:rsidRPr="0016597A">
        <w:rPr>
          <w:lang w:val="fr-MC"/>
        </w:rPr>
        <w:t>énal burundais de 2009 et repris en 2017 reprend intégralement la définition de la torture telle qu’énoncée par la Convention contre la torture : « Est considéré comme torture tout acte par lequel une douleur ou des souffrances aigues, physiques ou mentales sont intentionnellement infligées à une personne aux fins</w:t>
      </w:r>
      <w:r w:rsidR="0016597A" w:rsidRPr="0016597A">
        <w:rPr>
          <w:color w:val="FF0000"/>
          <w:lang w:val="fr-MC"/>
        </w:rPr>
        <w:t xml:space="preserve"> </w:t>
      </w:r>
      <w:r w:rsidR="0016597A" w:rsidRPr="0016597A">
        <w:rPr>
          <w:lang w:val="fr-MC"/>
        </w:rPr>
        <w:t>notamment d’obtenir d’elle ou d’une tierce personne des renseignements ou des aveux , de la punir d’un acte qu’elle ou une tierce personne a commis ou est soupçonnée d’avoir commis , de l’intimider ou de</w:t>
      </w:r>
      <w:r w:rsidR="0016597A">
        <w:rPr>
          <w:lang w:val="fr-MC"/>
        </w:rPr>
        <w:t xml:space="preserve"> </w:t>
      </w:r>
      <w:r w:rsidR="0016597A" w:rsidRPr="0016597A">
        <w:rPr>
          <w:lang w:val="fr-MC"/>
        </w:rPr>
        <w:t>faire pression sur elle ou d’intimider ou de faire pression sur une tierce personne ou pour tout autre motif</w:t>
      </w:r>
      <w:r w:rsidR="0016597A">
        <w:rPr>
          <w:lang w:val="fr-MC"/>
        </w:rPr>
        <w:t xml:space="preserve"> </w:t>
      </w:r>
      <w:r w:rsidR="0016597A" w:rsidRPr="0016597A">
        <w:rPr>
          <w:lang w:val="fr-MC"/>
        </w:rPr>
        <w:t>fondé sur une forme de discrimination quelle qu’elle soit</w:t>
      </w:r>
      <w:r w:rsidR="0016597A" w:rsidRPr="0016597A">
        <w:rPr>
          <w:color w:val="FF0000"/>
          <w:lang w:val="fr-MC"/>
        </w:rPr>
        <w:t xml:space="preserve"> ,</w:t>
      </w:r>
      <w:r w:rsidR="0016597A" w:rsidRPr="0016597A">
        <w:rPr>
          <w:lang w:val="fr-MC"/>
        </w:rPr>
        <w:t>lorsqu’une telle douleur ou de</w:t>
      </w:r>
      <w:r w:rsidR="0016597A">
        <w:rPr>
          <w:lang w:val="fr-MC"/>
        </w:rPr>
        <w:t xml:space="preserve"> </w:t>
      </w:r>
      <w:r w:rsidR="0016597A" w:rsidRPr="0016597A">
        <w:rPr>
          <w:lang w:val="fr-MC"/>
        </w:rPr>
        <w:t>telles souffrances sont infligées par un agent public ou tout autre personne agissant à titre officiel ou à son instigation ou avec son consentement exprès ou tacite</w:t>
      </w:r>
      <w:r w:rsidR="0016597A" w:rsidRPr="00B345A8">
        <w:rPr>
          <w:rStyle w:val="Appelnotedebasdep"/>
        </w:rPr>
        <w:footnoteReference w:id="8"/>
      </w:r>
      <w:r w:rsidR="0016597A" w:rsidRPr="0016597A">
        <w:rPr>
          <w:lang w:val="fr-MC"/>
        </w:rPr>
        <w:t>.</w:t>
      </w:r>
      <w:r w:rsidR="00BD6FE6">
        <w:rPr>
          <w:lang w:val="fr-MC"/>
        </w:rPr>
        <w:t xml:space="preserve"> </w:t>
      </w:r>
      <w:r w:rsidR="0016597A" w:rsidRPr="0016597A">
        <w:rPr>
          <w:lang w:val="fr-MC"/>
        </w:rPr>
        <w:t>Aucune circonstance exceptionnelle, quelle qu’elle soit, qu’il s’agisse de l’état de guerre ou de menace de guerre, d’instabilité politique intérieure ou de tout autre état d’exception, ne peut être invo</w:t>
      </w:r>
      <w:r w:rsidR="009647C1">
        <w:rPr>
          <w:lang w:val="fr-MC"/>
        </w:rPr>
        <w:t>quée pour justifier la torture</w:t>
      </w:r>
      <w:r w:rsidR="0020117D">
        <w:rPr>
          <w:lang w:val="fr-MC"/>
        </w:rPr>
        <w:t> </w:t>
      </w:r>
      <w:r w:rsidR="0016597A" w:rsidRPr="0016597A">
        <w:rPr>
          <w:lang w:val="fr-MC"/>
        </w:rPr>
        <w:t>»</w:t>
      </w:r>
      <w:r w:rsidR="0016597A" w:rsidRPr="00B345A8">
        <w:rPr>
          <w:rStyle w:val="Appelnotedebasdep"/>
        </w:rPr>
        <w:footnoteReference w:id="9"/>
      </w:r>
      <w:r w:rsidR="009647C1">
        <w:rPr>
          <w:lang w:val="fr-MC"/>
        </w:rPr>
        <w:t>.</w:t>
      </w:r>
    </w:p>
    <w:p w14:paraId="25B37ED4" w14:textId="601D09C1" w:rsidR="0016597A" w:rsidRPr="0016597A" w:rsidRDefault="0047249D" w:rsidP="00BC23B3">
      <w:pPr>
        <w:pStyle w:val="H1G"/>
        <w:rPr>
          <w:lang w:val="fr-MC"/>
        </w:rPr>
      </w:pPr>
      <w:bookmarkStart w:id="13" w:name="_Toc529970199"/>
      <w:r>
        <w:rPr>
          <w:lang w:val="fr-MC"/>
        </w:rPr>
        <w:tab/>
      </w:r>
      <w:r>
        <w:rPr>
          <w:lang w:val="fr-MC"/>
        </w:rPr>
        <w:tab/>
      </w:r>
      <w:r w:rsidR="0016597A" w:rsidRPr="0016597A">
        <w:rPr>
          <w:lang w:val="fr-MC"/>
        </w:rPr>
        <w:t>Article 2</w:t>
      </w:r>
      <w:r w:rsidR="0020117D">
        <w:rPr>
          <w:lang w:val="fr-MC"/>
        </w:rPr>
        <w:t xml:space="preserve"> : </w:t>
      </w:r>
      <w:r w:rsidR="0016597A" w:rsidRPr="0016597A">
        <w:rPr>
          <w:lang w:val="fr-MC"/>
        </w:rPr>
        <w:t>Des mesures législatives, administratives et judiciaires</w:t>
      </w:r>
      <w:bookmarkEnd w:id="13"/>
    </w:p>
    <w:p w14:paraId="721564ED" w14:textId="16556F47" w:rsidR="0016597A" w:rsidRPr="0016597A" w:rsidRDefault="00BF2F03" w:rsidP="00BF2F03">
      <w:pPr>
        <w:pStyle w:val="SingleTxtG"/>
        <w:rPr>
          <w:lang w:val="fr-MC"/>
        </w:rPr>
      </w:pPr>
      <w:r w:rsidRPr="0016597A">
        <w:rPr>
          <w:lang w:val="fr-MC"/>
        </w:rPr>
        <w:t>21.</w:t>
      </w:r>
      <w:r w:rsidRPr="0016597A">
        <w:rPr>
          <w:lang w:val="fr-MC"/>
        </w:rPr>
        <w:tab/>
      </w:r>
      <w:r w:rsidR="0016597A" w:rsidRPr="0016597A">
        <w:rPr>
          <w:lang w:val="fr-MC"/>
        </w:rPr>
        <w:t xml:space="preserve">Le </w:t>
      </w:r>
      <w:r w:rsidR="00A2570C" w:rsidRPr="0016597A">
        <w:rPr>
          <w:lang w:val="fr-MC"/>
        </w:rPr>
        <w:t xml:space="preserve">Code </w:t>
      </w:r>
      <w:r w:rsidR="0016597A" w:rsidRPr="0016597A">
        <w:rPr>
          <w:lang w:val="fr-MC"/>
        </w:rPr>
        <w:t>de procédure pénale, en ses articles 289 et 290, prescrit la création d’un fonds d’indemnisation des victimes de la torture. Les auteurs étant des agents de l’Etat, celui-ci doit indemniser les victimes, quitte à se retourner contr</w:t>
      </w:r>
      <w:r w:rsidR="009647C1">
        <w:rPr>
          <w:lang w:val="fr-MC"/>
        </w:rPr>
        <w:t>e eux par une action récursoire</w:t>
      </w:r>
      <w:r w:rsidR="0016597A" w:rsidRPr="00B345A8">
        <w:rPr>
          <w:rStyle w:val="Appelnotedebasdep"/>
        </w:rPr>
        <w:footnoteReference w:id="10"/>
      </w:r>
      <w:r w:rsidR="009647C1">
        <w:rPr>
          <w:lang w:val="fr-MC"/>
        </w:rPr>
        <w:t>.</w:t>
      </w:r>
    </w:p>
    <w:p w14:paraId="39CDD71A" w14:textId="37D8E1A6" w:rsidR="0016597A" w:rsidRPr="0016597A" w:rsidRDefault="00BF2F03" w:rsidP="00BF2F03">
      <w:pPr>
        <w:pStyle w:val="SingleTxtG"/>
        <w:rPr>
          <w:lang w:val="fr-MC"/>
        </w:rPr>
      </w:pPr>
      <w:r w:rsidRPr="0016597A">
        <w:rPr>
          <w:lang w:val="fr-MC"/>
        </w:rPr>
        <w:t>22.</w:t>
      </w:r>
      <w:r w:rsidRPr="0016597A">
        <w:rPr>
          <w:lang w:val="fr-MC"/>
        </w:rPr>
        <w:tab/>
      </w:r>
      <w:r w:rsidR="0016597A" w:rsidRPr="0016597A">
        <w:rPr>
          <w:lang w:val="fr-MC"/>
        </w:rPr>
        <w:t xml:space="preserve">L’article 64 al 5 du Code de procédure pénale porte sur la protection des victimes des atteintes volontaires à la vie ou à l’intégrité physique de toute personne, en l’occurrence les mauvais traitements et les actes de torture. La loi autorise toute association agréée à se joindre à la victime des faits ou porter plainte en </w:t>
      </w:r>
      <w:r w:rsidR="009647C1">
        <w:rPr>
          <w:lang w:val="fr-MC"/>
        </w:rPr>
        <w:t>lieu et place de cette dernière</w:t>
      </w:r>
      <w:r w:rsidR="0016597A" w:rsidRPr="00B345A8">
        <w:rPr>
          <w:rStyle w:val="Appelnotedebasdep"/>
        </w:rPr>
        <w:footnoteReference w:id="11"/>
      </w:r>
      <w:r w:rsidR="009647C1">
        <w:rPr>
          <w:lang w:val="fr-MC"/>
        </w:rPr>
        <w:t>.</w:t>
      </w:r>
    </w:p>
    <w:p w14:paraId="28C1D5CA" w14:textId="270C4AAE" w:rsidR="0016597A" w:rsidRPr="0016597A" w:rsidRDefault="00BF2F03" w:rsidP="00BF2F03">
      <w:pPr>
        <w:pStyle w:val="SingleTxtG"/>
        <w:rPr>
          <w:lang w:val="fr-MC"/>
        </w:rPr>
      </w:pPr>
      <w:r w:rsidRPr="0016597A">
        <w:rPr>
          <w:lang w:val="fr-MC"/>
        </w:rPr>
        <w:t>23.</w:t>
      </w:r>
      <w:r w:rsidRPr="0016597A">
        <w:rPr>
          <w:lang w:val="fr-MC"/>
        </w:rPr>
        <w:tab/>
      </w:r>
      <w:r w:rsidR="0016597A" w:rsidRPr="0016597A">
        <w:rPr>
          <w:lang w:val="fr-MC"/>
        </w:rPr>
        <w:t xml:space="preserve">En outre, le Ministère des Droits de la Personne Humaine, des Affaires Sociales et du Genre, à travers la Direction Générale des Droits de la Personne Humaine, de l’Education à la Paix et à la Réconciliation Nationale, a multiplié des visites des lieux de détention de toutes les provinces du pays en vue de constater les irrégularités qui sont à l’origine des violations des droits de l’homme. Ainsi, de 2017 à 2018, 145 lieux de détention dont 9 </w:t>
      </w:r>
      <w:r w:rsidR="001E66BD">
        <w:rPr>
          <w:lang w:val="fr-MC"/>
        </w:rPr>
        <w:t>p</w:t>
      </w:r>
      <w:r w:rsidR="0016597A" w:rsidRPr="0016597A">
        <w:rPr>
          <w:lang w:val="fr-MC"/>
        </w:rPr>
        <w:t>risons et 136 cachots ont été visités. </w:t>
      </w:r>
    </w:p>
    <w:p w14:paraId="2F337BF4" w14:textId="550C29D2" w:rsidR="0016597A" w:rsidRPr="0016597A" w:rsidRDefault="0047249D" w:rsidP="00BC23B3">
      <w:pPr>
        <w:pStyle w:val="H1G"/>
        <w:rPr>
          <w:lang w:val="fr-MC"/>
        </w:rPr>
      </w:pPr>
      <w:bookmarkStart w:id="14" w:name="_Toc529970200"/>
      <w:r>
        <w:rPr>
          <w:lang w:val="fr-MC"/>
        </w:rPr>
        <w:lastRenderedPageBreak/>
        <w:tab/>
      </w:r>
      <w:r>
        <w:rPr>
          <w:lang w:val="fr-MC"/>
        </w:rPr>
        <w:tab/>
      </w:r>
      <w:r w:rsidR="0016597A" w:rsidRPr="0016597A">
        <w:rPr>
          <w:lang w:val="fr-MC"/>
        </w:rPr>
        <w:t>Article 3</w:t>
      </w:r>
      <w:r w:rsidR="0020117D">
        <w:rPr>
          <w:lang w:val="fr-MC"/>
        </w:rPr>
        <w:t xml:space="preserve"> : </w:t>
      </w:r>
      <w:r w:rsidR="0016597A" w:rsidRPr="0016597A">
        <w:rPr>
          <w:lang w:val="fr-MC"/>
        </w:rPr>
        <w:t>De l’expulsion, du refoulement et de l’extradition</w:t>
      </w:r>
      <w:bookmarkEnd w:id="14"/>
    </w:p>
    <w:p w14:paraId="652703C0" w14:textId="789649BE" w:rsidR="0016597A" w:rsidRPr="0016597A" w:rsidRDefault="00BF2F03" w:rsidP="00BF2F03">
      <w:pPr>
        <w:pStyle w:val="SingleTxtG"/>
        <w:rPr>
          <w:rFonts w:eastAsia="Times New Roman"/>
          <w:color w:val="000000"/>
          <w:lang w:val="fr-MC" w:eastAsia="fr-MC"/>
        </w:rPr>
      </w:pPr>
      <w:r w:rsidRPr="0016597A">
        <w:rPr>
          <w:rFonts w:eastAsia="Times New Roman"/>
          <w:lang w:val="fr-MC" w:eastAsia="fr-MC"/>
        </w:rPr>
        <w:t>24.</w:t>
      </w:r>
      <w:r w:rsidRPr="0016597A">
        <w:rPr>
          <w:rFonts w:eastAsia="Times New Roman"/>
          <w:lang w:val="fr-MC" w:eastAsia="fr-MC"/>
        </w:rPr>
        <w:tab/>
      </w:r>
      <w:r w:rsidR="0016597A" w:rsidRPr="0016597A">
        <w:rPr>
          <w:lang w:val="fr-MC"/>
        </w:rPr>
        <w:t xml:space="preserve">Les </w:t>
      </w:r>
      <w:r w:rsidR="0016597A" w:rsidRPr="0016597A">
        <w:rPr>
          <w:lang w:val="fr-FR"/>
        </w:rPr>
        <w:t>dispositions juridiques relatives à l’expulsion, au refoulement et à l’extradition sont prévues dans la législation burundaise.</w:t>
      </w:r>
      <w:r w:rsidR="00BC23B3">
        <w:rPr>
          <w:lang w:val="fr-FR"/>
        </w:rPr>
        <w:t xml:space="preserve"> </w:t>
      </w:r>
      <w:r w:rsidR="0016597A" w:rsidRPr="0016597A">
        <w:rPr>
          <w:color w:val="000000"/>
          <w:lang w:val="fr-MC"/>
        </w:rPr>
        <w:t>Il convient de signaler d’emblée que le Gouvernement du Burundi n’a pas une loi spécifique r</w:t>
      </w:r>
      <w:r w:rsidR="0016597A" w:rsidRPr="0016597A">
        <w:rPr>
          <w:rFonts w:eastAsia="Times New Roman"/>
          <w:color w:val="000000"/>
          <w:lang w:val="fr-MC" w:eastAsia="fr-MC"/>
        </w:rPr>
        <w:t xml:space="preserve">égissant l’extradition. En effet, l’extradition n’est autorisée que dans les limites prévues par la loi, </w:t>
      </w:r>
      <w:r w:rsidR="0016597A" w:rsidRPr="0016597A">
        <w:rPr>
          <w:rFonts w:eastAsia="Times New Roman"/>
          <w:lang w:val="fr-MC" w:eastAsia="fr-MC"/>
        </w:rPr>
        <w:t>et aucun Burundais</w:t>
      </w:r>
      <w:r w:rsidR="0016597A" w:rsidRPr="0016597A">
        <w:rPr>
          <w:rFonts w:eastAsia="Times New Roman"/>
          <w:color w:val="FF0000"/>
          <w:lang w:val="fr-MC" w:eastAsia="fr-MC"/>
        </w:rPr>
        <w:t xml:space="preserve"> </w:t>
      </w:r>
      <w:r w:rsidR="0016597A" w:rsidRPr="0016597A">
        <w:rPr>
          <w:rFonts w:eastAsia="Times New Roman"/>
          <w:color w:val="000000"/>
          <w:lang w:val="fr-MC" w:eastAsia="fr-MC"/>
        </w:rPr>
        <w:t>ne peut être extrad</w:t>
      </w:r>
      <w:r w:rsidR="009647C1">
        <w:rPr>
          <w:rFonts w:eastAsia="Times New Roman"/>
          <w:color w:val="000000"/>
          <w:lang w:val="fr-MC" w:eastAsia="fr-MC"/>
        </w:rPr>
        <w:t>é</w:t>
      </w:r>
      <w:r w:rsidR="0016597A" w:rsidRPr="00B345A8">
        <w:rPr>
          <w:rStyle w:val="Appelnotedebasdep"/>
        </w:rPr>
        <w:footnoteReference w:id="12"/>
      </w:r>
      <w:r w:rsidR="009647C1">
        <w:rPr>
          <w:rFonts w:eastAsia="Times New Roman"/>
          <w:color w:val="000000"/>
          <w:lang w:val="fr-MC" w:eastAsia="fr-MC"/>
        </w:rPr>
        <w:t>.</w:t>
      </w:r>
    </w:p>
    <w:p w14:paraId="24C7BADD" w14:textId="5672438D" w:rsidR="0016597A" w:rsidRPr="0016597A" w:rsidRDefault="00BF2F03" w:rsidP="00BF2F03">
      <w:pPr>
        <w:pStyle w:val="SingleTxtG"/>
        <w:rPr>
          <w:color w:val="000000"/>
          <w:lang w:val="fr-MC" w:eastAsia="fr-MC"/>
        </w:rPr>
      </w:pPr>
      <w:r w:rsidRPr="0016597A">
        <w:rPr>
          <w:lang w:val="fr-MC" w:eastAsia="fr-MC"/>
        </w:rPr>
        <w:t>25.</w:t>
      </w:r>
      <w:r w:rsidRPr="0016597A">
        <w:rPr>
          <w:lang w:val="fr-MC" w:eastAsia="fr-MC"/>
        </w:rPr>
        <w:tab/>
      </w:r>
      <w:r w:rsidR="0016597A" w:rsidRPr="0016597A">
        <w:rPr>
          <w:lang w:val="fr-MC"/>
        </w:rPr>
        <w:t>Tout</w:t>
      </w:r>
      <w:r w:rsidR="0016597A" w:rsidRPr="0016597A">
        <w:rPr>
          <w:lang w:val="fr-MC" w:eastAsia="fr-MC"/>
        </w:rPr>
        <w:t xml:space="preserve"> délit ou crime commis hors du territoire national par un Burundais ou un étranger est, sous réserve des conventions sur l</w:t>
      </w:r>
      <w:r w:rsidR="00A116A0">
        <w:rPr>
          <w:lang w:val="fr-MC" w:eastAsia="fr-MC"/>
        </w:rPr>
        <w:t>’</w:t>
      </w:r>
      <w:r w:rsidR="0016597A" w:rsidRPr="0016597A">
        <w:rPr>
          <w:lang w:val="fr-MC" w:eastAsia="fr-MC"/>
        </w:rPr>
        <w:t>extradition, puni par la loi pénale du Burundi si l</w:t>
      </w:r>
      <w:r w:rsidR="00A116A0">
        <w:rPr>
          <w:lang w:val="fr-MC" w:eastAsia="fr-MC"/>
        </w:rPr>
        <w:t>’</w:t>
      </w:r>
      <w:r w:rsidR="0016597A" w:rsidRPr="0016597A">
        <w:rPr>
          <w:lang w:val="fr-MC" w:eastAsia="fr-MC"/>
        </w:rPr>
        <w:t>auteur se trouve au Burundi ou si la victime a la nationalité burundaise et que le fait est puni par la législation du pay</w:t>
      </w:r>
      <w:r w:rsidR="009647C1">
        <w:rPr>
          <w:lang w:val="fr-MC" w:eastAsia="fr-MC"/>
        </w:rPr>
        <w:t>s où l</w:t>
      </w:r>
      <w:r w:rsidR="00A116A0">
        <w:rPr>
          <w:lang w:val="fr-MC" w:eastAsia="fr-MC"/>
        </w:rPr>
        <w:t>’</w:t>
      </w:r>
      <w:r w:rsidR="009647C1">
        <w:rPr>
          <w:lang w:val="fr-MC" w:eastAsia="fr-MC"/>
        </w:rPr>
        <w:t>infraction a été commise</w:t>
      </w:r>
      <w:r w:rsidR="0016597A" w:rsidRPr="00B345A8">
        <w:rPr>
          <w:rStyle w:val="Appelnotedebasdep"/>
        </w:rPr>
        <w:footnoteReference w:id="13"/>
      </w:r>
      <w:r w:rsidR="009647C1">
        <w:rPr>
          <w:lang w:val="fr-MC" w:eastAsia="fr-MC"/>
        </w:rPr>
        <w:t>.</w:t>
      </w:r>
    </w:p>
    <w:p w14:paraId="1D586928" w14:textId="08F26751" w:rsidR="0016597A" w:rsidRPr="0016597A" w:rsidRDefault="00BF2F03" w:rsidP="00BF2F03">
      <w:pPr>
        <w:pStyle w:val="SingleTxtG"/>
        <w:rPr>
          <w:rFonts w:eastAsia="Times New Roman"/>
          <w:lang w:val="fr-MC" w:eastAsia="fr-MC"/>
        </w:rPr>
      </w:pPr>
      <w:r w:rsidRPr="0016597A">
        <w:rPr>
          <w:rFonts w:eastAsia="Times New Roman"/>
          <w:lang w:val="fr-MC" w:eastAsia="fr-MC"/>
        </w:rPr>
        <w:t>26.</w:t>
      </w:r>
      <w:r w:rsidRPr="0016597A">
        <w:rPr>
          <w:rFonts w:eastAsia="Times New Roman"/>
          <w:lang w:val="fr-MC" w:eastAsia="fr-MC"/>
        </w:rPr>
        <w:tab/>
      </w:r>
      <w:r w:rsidR="0016597A" w:rsidRPr="0016597A">
        <w:rPr>
          <w:lang w:val="fr-FR"/>
        </w:rPr>
        <w:t xml:space="preserve">En outre, le Burundi a signé au niveau de la coopération bilatérale et multilatérale deux </w:t>
      </w:r>
      <w:r w:rsidR="0016597A" w:rsidRPr="008A5B30">
        <w:rPr>
          <w:lang w:val="fr-MC"/>
        </w:rPr>
        <w:t>conventions</w:t>
      </w:r>
      <w:r w:rsidR="0016597A" w:rsidRPr="0016597A">
        <w:rPr>
          <w:lang w:val="fr-FR"/>
        </w:rPr>
        <w:t xml:space="preserve"> d’extradition, l’une avec la Tanzanie signée le 27 avril 1988, l’autre avec les pays de la Communauté Economique des Pays des Grands Lacs (CEPGL).</w:t>
      </w:r>
    </w:p>
    <w:p w14:paraId="63C6F833" w14:textId="68A12417" w:rsidR="0016597A" w:rsidRPr="0016597A" w:rsidRDefault="00BF2F03" w:rsidP="00BF2F03">
      <w:pPr>
        <w:pStyle w:val="SingleTxtG"/>
        <w:rPr>
          <w:rFonts w:eastAsia="Times New Roman"/>
          <w:lang w:val="fr-MC" w:eastAsia="fr-MC"/>
        </w:rPr>
      </w:pPr>
      <w:r w:rsidRPr="0016597A">
        <w:rPr>
          <w:rFonts w:eastAsia="Times New Roman"/>
          <w:lang w:val="fr-MC" w:eastAsia="fr-MC"/>
        </w:rPr>
        <w:t>27.</w:t>
      </w:r>
      <w:r w:rsidRPr="0016597A">
        <w:rPr>
          <w:rFonts w:eastAsia="Times New Roman"/>
          <w:lang w:val="fr-MC" w:eastAsia="fr-MC"/>
        </w:rPr>
        <w:tab/>
      </w:r>
      <w:r w:rsidR="0016597A" w:rsidRPr="0016597A">
        <w:rPr>
          <w:lang w:val="fr-FR"/>
        </w:rPr>
        <w:t xml:space="preserve">Dans cette convention signée avec la Tanzanie, il est prévu en matière pénale, que les pays </w:t>
      </w:r>
      <w:r w:rsidR="0016597A" w:rsidRPr="008A5B30">
        <w:rPr>
          <w:lang w:val="fr-MC"/>
        </w:rPr>
        <w:t>s’engagent</w:t>
      </w:r>
      <w:r w:rsidR="0016597A" w:rsidRPr="0016597A">
        <w:rPr>
          <w:lang w:val="fr-FR"/>
        </w:rPr>
        <w:t xml:space="preserve"> à accorder l’extradition de toute personne accusée ou condamnée comme auteur principal ou comme complice d’un des trente délits mentionnés dans l’accord</w:t>
      </w:r>
      <w:r w:rsidR="0020117D">
        <w:rPr>
          <w:lang w:val="fr-FR"/>
        </w:rPr>
        <w:t>,</w:t>
      </w:r>
      <w:r w:rsidR="0016597A" w:rsidRPr="0016597A">
        <w:rPr>
          <w:lang w:val="fr-FR"/>
        </w:rPr>
        <w:t xml:space="preserve"> y</w:t>
      </w:r>
      <w:r w:rsidR="0020117D">
        <w:rPr>
          <w:lang w:val="fr-FR"/>
        </w:rPr>
        <w:t> </w:t>
      </w:r>
      <w:r w:rsidR="0016597A" w:rsidRPr="0016597A">
        <w:rPr>
          <w:lang w:val="fr-FR"/>
        </w:rPr>
        <w:t>compris la torture. La demande de l’extradition est faite par le Ministère des Affaires Etrangères de l’Etat requérant</w:t>
      </w:r>
      <w:r w:rsidR="0016597A" w:rsidRPr="00B345A8">
        <w:rPr>
          <w:rStyle w:val="Appelnotedebasdep"/>
        </w:rPr>
        <w:footnoteReference w:id="14"/>
      </w:r>
      <w:r w:rsidR="0016597A" w:rsidRPr="0016597A">
        <w:rPr>
          <w:rFonts w:eastAsia="Times New Roman"/>
          <w:lang w:val="fr-MC" w:eastAsia="fr-MC"/>
        </w:rPr>
        <w:t>.</w:t>
      </w:r>
    </w:p>
    <w:p w14:paraId="632CA01B" w14:textId="1D99C982" w:rsidR="0016597A" w:rsidRPr="0016597A" w:rsidRDefault="00BF2F03" w:rsidP="00BF2F03">
      <w:pPr>
        <w:pStyle w:val="SingleTxtG"/>
        <w:rPr>
          <w:rFonts w:eastAsia="Times New Roman"/>
          <w:color w:val="000000"/>
          <w:lang w:val="fr-MC" w:eastAsia="fr-MC"/>
        </w:rPr>
      </w:pPr>
      <w:r w:rsidRPr="0016597A">
        <w:rPr>
          <w:rFonts w:eastAsia="Times New Roman"/>
          <w:lang w:val="fr-MC" w:eastAsia="fr-MC"/>
        </w:rPr>
        <w:t>28.</w:t>
      </w:r>
      <w:r w:rsidRPr="0016597A">
        <w:rPr>
          <w:rFonts w:eastAsia="Times New Roman"/>
          <w:lang w:val="fr-MC" w:eastAsia="fr-MC"/>
        </w:rPr>
        <w:tab/>
      </w:r>
      <w:r w:rsidR="0016597A" w:rsidRPr="0016597A">
        <w:rPr>
          <w:lang w:val="fr-MC"/>
        </w:rPr>
        <w:t xml:space="preserve">Concernant le refoulement et l’expulsion, la loi </w:t>
      </w:r>
      <w:r w:rsidR="0020117D" w:rsidRPr="0016597A">
        <w:rPr>
          <w:lang w:val="fr-MC"/>
        </w:rPr>
        <w:t>n</w:t>
      </w:r>
      <w:r w:rsidR="0020117D" w:rsidRPr="008A395C">
        <w:rPr>
          <w:vertAlign w:val="superscript"/>
          <w:lang w:val="fr-MC"/>
        </w:rPr>
        <w:t>o</w:t>
      </w:r>
      <w:r w:rsidR="0020117D">
        <w:rPr>
          <w:lang w:val="fr-MC"/>
        </w:rPr>
        <w:t> </w:t>
      </w:r>
      <w:r w:rsidR="0016597A" w:rsidRPr="0016597A">
        <w:rPr>
          <w:lang w:val="fr-MC"/>
        </w:rPr>
        <w:t xml:space="preserve">1/03 du 4 février 2008 telle que revue par la loi </w:t>
      </w:r>
      <w:r w:rsidR="0020117D" w:rsidRPr="0016597A">
        <w:rPr>
          <w:lang w:val="fr-MC"/>
        </w:rPr>
        <w:t>n</w:t>
      </w:r>
      <w:r w:rsidR="0020117D" w:rsidRPr="008A395C">
        <w:rPr>
          <w:vertAlign w:val="superscript"/>
          <w:lang w:val="fr-MC"/>
        </w:rPr>
        <w:t>o</w:t>
      </w:r>
      <w:r w:rsidR="0020117D">
        <w:rPr>
          <w:lang w:val="fr-MC"/>
        </w:rPr>
        <w:t> </w:t>
      </w:r>
      <w:r w:rsidR="0016597A" w:rsidRPr="0016597A">
        <w:rPr>
          <w:lang w:val="fr-MC"/>
        </w:rPr>
        <w:t xml:space="preserve">1/32 du 13 novembre 2008 sur l’asile et la protection des réfugiés au Burundi et l’ordonnance </w:t>
      </w:r>
      <w:r w:rsidR="0020117D" w:rsidRPr="0016597A">
        <w:rPr>
          <w:lang w:val="fr-MC"/>
        </w:rPr>
        <w:t>n</w:t>
      </w:r>
      <w:r w:rsidR="0020117D" w:rsidRPr="008A395C">
        <w:rPr>
          <w:vertAlign w:val="superscript"/>
          <w:lang w:val="fr-MC"/>
        </w:rPr>
        <w:t>o</w:t>
      </w:r>
      <w:r w:rsidR="0020117D">
        <w:rPr>
          <w:lang w:val="fr-MC"/>
        </w:rPr>
        <w:t> </w:t>
      </w:r>
      <w:r w:rsidR="0016597A" w:rsidRPr="0016597A">
        <w:rPr>
          <w:lang w:val="fr-MC"/>
        </w:rPr>
        <w:t xml:space="preserve">530/443 du 4 avril 2009 d’application de cette dernière </w:t>
      </w:r>
      <w:r w:rsidR="0016597A" w:rsidRPr="0016597A">
        <w:rPr>
          <w:color w:val="000000"/>
          <w:lang w:val="fr-MC"/>
        </w:rPr>
        <w:t>répond aux préoccupations des demandeurs d’</w:t>
      </w:r>
      <w:r w:rsidR="0016597A" w:rsidRPr="0016597A">
        <w:rPr>
          <w:color w:val="000000"/>
          <w:lang w:val="fr-FR"/>
        </w:rPr>
        <w:t>asile y compris les apatrides.</w:t>
      </w:r>
      <w:r w:rsidR="0047249D">
        <w:rPr>
          <w:color w:val="000000"/>
          <w:lang w:val="fr-FR"/>
        </w:rPr>
        <w:t xml:space="preserve"> </w:t>
      </w:r>
      <w:r w:rsidR="0016597A" w:rsidRPr="0047249D">
        <w:t>Notons à toutes fins utiles qu’une loi sur les apatrides a été adoptée par le Parlement en 2018.</w:t>
      </w:r>
    </w:p>
    <w:p w14:paraId="42071502" w14:textId="6BE85275" w:rsidR="0016597A" w:rsidRPr="0016597A" w:rsidRDefault="00BF2F03" w:rsidP="00BF2F03">
      <w:pPr>
        <w:pStyle w:val="SingleTxtG"/>
        <w:rPr>
          <w:rFonts w:eastAsia="Times New Roman"/>
          <w:lang w:val="fr-MC" w:eastAsia="fr-MC"/>
        </w:rPr>
      </w:pPr>
      <w:r w:rsidRPr="0016597A">
        <w:rPr>
          <w:rFonts w:eastAsia="Times New Roman"/>
          <w:lang w:val="fr-MC" w:eastAsia="fr-MC"/>
        </w:rPr>
        <w:t>29.</w:t>
      </w:r>
      <w:r w:rsidRPr="0016597A">
        <w:rPr>
          <w:rFonts w:eastAsia="Times New Roman"/>
          <w:lang w:val="fr-MC" w:eastAsia="fr-MC"/>
        </w:rPr>
        <w:tab/>
      </w:r>
      <w:r w:rsidR="0016597A" w:rsidRPr="0016597A">
        <w:rPr>
          <w:lang w:val="fr-FR"/>
        </w:rPr>
        <w:t xml:space="preserve">Les articles 19, 78, et 79 de la loi sur les demandeurs d’asile interdisent le refoulement et </w:t>
      </w:r>
      <w:r w:rsidR="0016597A" w:rsidRPr="008A5B30">
        <w:rPr>
          <w:lang w:val="fr-MC"/>
        </w:rPr>
        <w:t>l’expulsion</w:t>
      </w:r>
      <w:r w:rsidR="0016597A" w:rsidRPr="0016597A">
        <w:rPr>
          <w:lang w:val="fr-FR"/>
        </w:rPr>
        <w:t xml:space="preserve"> d’un demandeur d’asile sur les frontières des territoires où sa vie ou sa liberté serait menacée en raison de sa race, de sa religion, de sa nationalité, de son appartenance à un groupe social ou de ses opinions politiques.</w:t>
      </w:r>
    </w:p>
    <w:p w14:paraId="24BDC877" w14:textId="24315C96" w:rsidR="0016597A" w:rsidRPr="0016597A" w:rsidRDefault="0047249D" w:rsidP="00BC23B3">
      <w:pPr>
        <w:pStyle w:val="H1G"/>
        <w:rPr>
          <w:lang w:val="fr-FR"/>
        </w:rPr>
      </w:pPr>
      <w:bookmarkStart w:id="15" w:name="_Toc529970201"/>
      <w:r>
        <w:rPr>
          <w:lang w:val="fr-FR"/>
        </w:rPr>
        <w:tab/>
      </w:r>
      <w:r>
        <w:rPr>
          <w:lang w:val="fr-FR"/>
        </w:rPr>
        <w:tab/>
      </w:r>
      <w:r w:rsidR="0016597A" w:rsidRPr="0016597A">
        <w:rPr>
          <w:lang w:val="fr-FR"/>
        </w:rPr>
        <w:t>Article 4</w:t>
      </w:r>
      <w:r w:rsidR="0020117D">
        <w:rPr>
          <w:lang w:val="fr-FR"/>
        </w:rPr>
        <w:t xml:space="preserve"> : </w:t>
      </w:r>
      <w:r w:rsidR="0016597A" w:rsidRPr="0016597A">
        <w:rPr>
          <w:lang w:val="fr-FR"/>
        </w:rPr>
        <w:t>De l’incrimination des actes de torture</w:t>
      </w:r>
      <w:bookmarkEnd w:id="15"/>
    </w:p>
    <w:p w14:paraId="1FC055CC" w14:textId="63983FD9" w:rsidR="0016597A" w:rsidRPr="0016597A" w:rsidRDefault="00BF2F03" w:rsidP="00BF2F03">
      <w:pPr>
        <w:pStyle w:val="SingleTxtG"/>
        <w:rPr>
          <w:lang w:val="fr-FR"/>
        </w:rPr>
      </w:pPr>
      <w:r w:rsidRPr="0016597A">
        <w:rPr>
          <w:lang w:val="fr-FR"/>
        </w:rPr>
        <w:t>30.</w:t>
      </w:r>
      <w:r w:rsidRPr="0016597A">
        <w:rPr>
          <w:lang w:val="fr-FR"/>
        </w:rPr>
        <w:tab/>
      </w:r>
      <w:r w:rsidR="0016597A" w:rsidRPr="0016597A">
        <w:rPr>
          <w:lang w:val="fr-MC"/>
        </w:rPr>
        <w:t>La Constitution de la République du Burundi du 7 juin 2018 en son article</w:t>
      </w:r>
      <w:r w:rsidR="001E66BD">
        <w:rPr>
          <w:lang w:val="fr-MC"/>
        </w:rPr>
        <w:t xml:space="preserve"> </w:t>
      </w:r>
      <w:r w:rsidR="0016597A" w:rsidRPr="0016597A">
        <w:rPr>
          <w:lang w:val="fr-MC"/>
        </w:rPr>
        <w:t xml:space="preserve">21 dispose que : « La dignité humaine est respectée et protégée. Toute atteinte à la dignité humaine est réprimée par le Code </w:t>
      </w:r>
      <w:r w:rsidR="00A2570C">
        <w:rPr>
          <w:lang w:val="fr-MC"/>
        </w:rPr>
        <w:t>p</w:t>
      </w:r>
      <w:r w:rsidR="0016597A" w:rsidRPr="0016597A">
        <w:rPr>
          <w:lang w:val="fr-MC"/>
        </w:rPr>
        <w:t>énal</w:t>
      </w:r>
      <w:r w:rsidR="001E66BD">
        <w:rPr>
          <w:lang w:val="fr-MC"/>
        </w:rPr>
        <w:t> </w:t>
      </w:r>
      <w:r w:rsidR="0016597A" w:rsidRPr="0016597A">
        <w:rPr>
          <w:lang w:val="fr-MC"/>
        </w:rPr>
        <w:t>».</w:t>
      </w:r>
    </w:p>
    <w:p w14:paraId="30A84169" w14:textId="62D65227" w:rsidR="0016597A" w:rsidRPr="0016597A" w:rsidRDefault="00BF2F03" w:rsidP="00BF2F03">
      <w:pPr>
        <w:pStyle w:val="SingleTxtG"/>
        <w:rPr>
          <w:lang w:val="fr-FR"/>
        </w:rPr>
      </w:pPr>
      <w:r w:rsidRPr="0016597A">
        <w:rPr>
          <w:lang w:val="fr-FR"/>
        </w:rPr>
        <w:t>31.</w:t>
      </w:r>
      <w:r w:rsidRPr="0016597A">
        <w:rPr>
          <w:lang w:val="fr-FR"/>
        </w:rPr>
        <w:tab/>
      </w:r>
      <w:r w:rsidR="0016597A" w:rsidRPr="0016597A">
        <w:rPr>
          <w:lang w:val="fr-MC"/>
        </w:rPr>
        <w:t>Ce dernier prévoit des sanctions contre les actes de torture</w:t>
      </w:r>
      <w:r w:rsidR="0016597A">
        <w:rPr>
          <w:lang w:val="fr-MC"/>
        </w:rPr>
        <w:t xml:space="preserve"> </w:t>
      </w:r>
      <w:r w:rsidR="0016597A" w:rsidRPr="0016597A">
        <w:rPr>
          <w:iCs/>
          <w:lang w:val="fr-MC"/>
        </w:rPr>
        <w:t>en</w:t>
      </w:r>
      <w:r w:rsidR="0016597A" w:rsidRPr="0016597A">
        <w:rPr>
          <w:lang w:val="fr-MC"/>
        </w:rPr>
        <w:t xml:space="preserve"> ses articles 207, 208 et 209.</w:t>
      </w:r>
      <w:r w:rsidR="001E66BD">
        <w:rPr>
          <w:lang w:val="fr-MC"/>
        </w:rPr>
        <w:t xml:space="preserve"> </w:t>
      </w:r>
      <w:r w:rsidR="0016597A" w:rsidRPr="0016597A">
        <w:rPr>
          <w:lang w:val="fr-MC"/>
        </w:rPr>
        <w:t>En effet, quiconque soumet une personne à la torture ou autres traitements cruels, inhumains ou dégradants est puni de la servitude pénale de dix ans et à une amende de cent mille à un million de francs burundais</w:t>
      </w:r>
      <w:r w:rsidR="0016597A" w:rsidRPr="00B345A8">
        <w:rPr>
          <w:rStyle w:val="Appelnotedebasdep"/>
        </w:rPr>
        <w:footnoteReference w:id="15"/>
      </w:r>
      <w:r w:rsidR="0016597A" w:rsidRPr="0016597A">
        <w:rPr>
          <w:lang w:val="fr-MC"/>
        </w:rPr>
        <w:t xml:space="preserve">. L’infraction est punie de la servitude pénale de vingt ans lorsqu’elle est commise : </w:t>
      </w:r>
    </w:p>
    <w:p w14:paraId="41E22BDE" w14:textId="07BB492F" w:rsidR="0016597A" w:rsidRPr="0016597A" w:rsidRDefault="00BF2F03" w:rsidP="00BF2F03">
      <w:pPr>
        <w:pStyle w:val="SingleTxtG"/>
        <w:ind w:firstLine="567"/>
        <w:rPr>
          <w:lang w:val="fr-MC"/>
        </w:rPr>
      </w:pPr>
      <w:r w:rsidRPr="0016597A">
        <w:rPr>
          <w:lang w:val="fr-MC"/>
        </w:rPr>
        <w:t>a)</w:t>
      </w:r>
      <w:r w:rsidRPr="0016597A">
        <w:rPr>
          <w:lang w:val="fr-MC"/>
        </w:rPr>
        <w:tab/>
      </w:r>
      <w:r w:rsidR="0047249D" w:rsidRPr="0016597A">
        <w:rPr>
          <w:lang w:val="fr-MC"/>
        </w:rPr>
        <w:t>Sur</w:t>
      </w:r>
      <w:r w:rsidR="0016597A" w:rsidRPr="0016597A">
        <w:rPr>
          <w:lang w:val="fr-MC"/>
        </w:rPr>
        <w:t xml:space="preserve"> un mineur de moins de dix-huit ans ;</w:t>
      </w:r>
    </w:p>
    <w:p w14:paraId="1CB9AB82" w14:textId="7AE03E19" w:rsidR="0016597A" w:rsidRPr="0016597A" w:rsidRDefault="00BF2F03" w:rsidP="00BF2F03">
      <w:pPr>
        <w:pStyle w:val="SingleTxtG"/>
        <w:ind w:firstLine="567"/>
        <w:rPr>
          <w:lang w:val="fr-MC"/>
        </w:rPr>
      </w:pPr>
      <w:r w:rsidRPr="0016597A">
        <w:rPr>
          <w:lang w:val="fr-MC"/>
        </w:rPr>
        <w:t>b)</w:t>
      </w:r>
      <w:r w:rsidRPr="0016597A">
        <w:rPr>
          <w:lang w:val="fr-MC"/>
        </w:rPr>
        <w:tab/>
      </w:r>
      <w:r w:rsidR="0047249D" w:rsidRPr="0016597A">
        <w:rPr>
          <w:lang w:val="fr-MC"/>
        </w:rPr>
        <w:t>Sur</w:t>
      </w:r>
      <w:r w:rsidR="0016597A" w:rsidRPr="0016597A">
        <w:rPr>
          <w:lang w:val="fr-MC"/>
        </w:rPr>
        <w:t xml:space="preserve"> une personne vulnérable en raison de son âge, de son état de santé, d’une infirmité, d’une déficience physique ou psychique ou d’un état de grossesse ;</w:t>
      </w:r>
    </w:p>
    <w:p w14:paraId="19F5551F" w14:textId="2820516B" w:rsidR="0016597A" w:rsidRPr="0016597A" w:rsidRDefault="00BF2F03" w:rsidP="00BF2F03">
      <w:pPr>
        <w:pStyle w:val="SingleTxtG"/>
        <w:ind w:firstLine="567"/>
        <w:rPr>
          <w:lang w:val="fr-MC"/>
        </w:rPr>
      </w:pPr>
      <w:r w:rsidRPr="0016597A">
        <w:rPr>
          <w:lang w:val="fr-MC"/>
        </w:rPr>
        <w:t>c)</w:t>
      </w:r>
      <w:r w:rsidRPr="0016597A">
        <w:rPr>
          <w:lang w:val="fr-MC"/>
        </w:rPr>
        <w:tab/>
      </w:r>
      <w:r w:rsidR="0047249D" w:rsidRPr="0016597A">
        <w:rPr>
          <w:lang w:val="fr-MC"/>
        </w:rPr>
        <w:t>Sur</w:t>
      </w:r>
      <w:r w:rsidR="0016597A" w:rsidRPr="0016597A">
        <w:rPr>
          <w:lang w:val="fr-MC"/>
        </w:rPr>
        <w:t xml:space="preserve"> un témoin, une victime ou partie civile, soit pour l’empêcher de dénoncer les faits, de déposer en justice, soit en raison de sa dénonciation, de sa plainte ou de sa déposition ;</w:t>
      </w:r>
    </w:p>
    <w:p w14:paraId="73CF5742" w14:textId="184B9F05" w:rsidR="0016597A" w:rsidRPr="0016597A" w:rsidRDefault="00BF2F03" w:rsidP="00BF2F03">
      <w:pPr>
        <w:pStyle w:val="SingleTxtG"/>
        <w:ind w:firstLine="567"/>
        <w:rPr>
          <w:lang w:val="fr-MC"/>
        </w:rPr>
      </w:pPr>
      <w:r w:rsidRPr="0016597A">
        <w:rPr>
          <w:lang w:val="fr-MC"/>
        </w:rPr>
        <w:t>d)</w:t>
      </w:r>
      <w:r w:rsidRPr="0016597A">
        <w:rPr>
          <w:lang w:val="fr-MC"/>
        </w:rPr>
        <w:tab/>
      </w:r>
      <w:r w:rsidR="0047249D" w:rsidRPr="0016597A">
        <w:rPr>
          <w:lang w:val="fr-MC"/>
        </w:rPr>
        <w:t>Par</w:t>
      </w:r>
      <w:r w:rsidR="0016597A" w:rsidRPr="0016597A">
        <w:rPr>
          <w:lang w:val="fr-MC"/>
        </w:rPr>
        <w:t xml:space="preserve"> plusieurs personnes agissant en qualité d’auteurs ou de complices ;</w:t>
      </w:r>
    </w:p>
    <w:p w14:paraId="74536660" w14:textId="2301D4C0" w:rsidR="0016597A" w:rsidRPr="0016597A" w:rsidRDefault="00BF2F03" w:rsidP="00BF2F03">
      <w:pPr>
        <w:pStyle w:val="SingleTxtG"/>
        <w:ind w:firstLine="567"/>
        <w:rPr>
          <w:lang w:val="fr-MC"/>
        </w:rPr>
      </w:pPr>
      <w:r w:rsidRPr="0016597A">
        <w:rPr>
          <w:lang w:val="fr-MC"/>
        </w:rPr>
        <w:lastRenderedPageBreak/>
        <w:t>e)</w:t>
      </w:r>
      <w:r w:rsidRPr="0016597A">
        <w:rPr>
          <w:lang w:val="fr-MC"/>
        </w:rPr>
        <w:tab/>
      </w:r>
      <w:r w:rsidR="0047249D">
        <w:rPr>
          <w:lang w:val="fr-MC"/>
        </w:rPr>
        <w:t>A</w:t>
      </w:r>
      <w:r w:rsidR="0016597A" w:rsidRPr="0016597A">
        <w:rPr>
          <w:lang w:val="fr-MC"/>
        </w:rPr>
        <w:t>vec usage ou menace d’une arme</w:t>
      </w:r>
      <w:r w:rsidR="0016597A" w:rsidRPr="00B345A8">
        <w:rPr>
          <w:rStyle w:val="Appelnotedebasdep"/>
        </w:rPr>
        <w:footnoteReference w:id="16"/>
      </w:r>
      <w:r w:rsidR="0016597A" w:rsidRPr="0016597A">
        <w:rPr>
          <w:lang w:val="fr-MC"/>
        </w:rPr>
        <w:t>.</w:t>
      </w:r>
    </w:p>
    <w:p w14:paraId="3E8B6431" w14:textId="43B572CC" w:rsidR="0016597A" w:rsidRPr="0016597A" w:rsidRDefault="00BF2F03" w:rsidP="00BF2F03">
      <w:pPr>
        <w:pStyle w:val="SingleTxtG"/>
        <w:rPr>
          <w:lang w:val="fr-MC"/>
        </w:rPr>
      </w:pPr>
      <w:r w:rsidRPr="0016597A">
        <w:rPr>
          <w:lang w:val="fr-MC"/>
        </w:rPr>
        <w:t>32.</w:t>
      </w:r>
      <w:r w:rsidRPr="0016597A">
        <w:rPr>
          <w:lang w:val="fr-MC"/>
        </w:rPr>
        <w:tab/>
      </w:r>
      <w:r w:rsidR="0016597A" w:rsidRPr="0016597A">
        <w:rPr>
          <w:lang w:val="fr-MC"/>
        </w:rPr>
        <w:t>Le coupable est puni de vingt ans de servitude pénale lorsque la torture et autres traitements cruels, inhumains ou dégradants ont entrainé une mutilation ou une infirmité permanente ou lorsqu’elle est accompagnée d’agression sexuelle. Il est puni de la servitude pénale à perpétuité lorsqu’elle a</w:t>
      </w:r>
      <w:r w:rsidR="009647C1">
        <w:rPr>
          <w:lang w:val="fr-MC"/>
        </w:rPr>
        <w:t xml:space="preserve"> entrainé la mort de la victime</w:t>
      </w:r>
      <w:r w:rsidR="0016597A" w:rsidRPr="00B345A8">
        <w:rPr>
          <w:rStyle w:val="Appelnotedebasdep"/>
        </w:rPr>
        <w:footnoteReference w:id="17"/>
      </w:r>
      <w:r w:rsidR="009647C1">
        <w:rPr>
          <w:lang w:val="fr-MC"/>
        </w:rPr>
        <w:t>.</w:t>
      </w:r>
    </w:p>
    <w:p w14:paraId="048F7443" w14:textId="3E6118DE" w:rsidR="0016597A" w:rsidRPr="0016597A" w:rsidRDefault="00BF2F03" w:rsidP="00BF2F03">
      <w:pPr>
        <w:pStyle w:val="SingleTxtG"/>
        <w:rPr>
          <w:lang w:val="fr-MC"/>
        </w:rPr>
      </w:pPr>
      <w:r w:rsidRPr="0016597A">
        <w:rPr>
          <w:lang w:val="fr-MC"/>
        </w:rPr>
        <w:t>33.</w:t>
      </w:r>
      <w:r w:rsidRPr="0016597A">
        <w:rPr>
          <w:lang w:val="fr-MC"/>
        </w:rPr>
        <w:tab/>
      </w:r>
      <w:r w:rsidR="001E66BD">
        <w:rPr>
          <w:lang w:val="fr-FR"/>
        </w:rPr>
        <w:t>À</w:t>
      </w:r>
      <w:r w:rsidR="0016597A" w:rsidRPr="0016597A">
        <w:rPr>
          <w:lang w:val="fr-FR"/>
        </w:rPr>
        <w:t xml:space="preserve"> titre illustratif, les dossiers en rapport avec la torture en cours devant les instances </w:t>
      </w:r>
      <w:r w:rsidR="0016597A" w:rsidRPr="008A5B30">
        <w:rPr>
          <w:lang w:val="fr-MC"/>
        </w:rPr>
        <w:t>judiciaires</w:t>
      </w:r>
      <w:r w:rsidR="0016597A" w:rsidRPr="0016597A">
        <w:rPr>
          <w:lang w:val="fr-FR"/>
        </w:rPr>
        <w:t xml:space="preserve"> sont : le RMP 152724, RMP 155353, RMP 155357, RMP</w:t>
      </w:r>
      <w:r w:rsidR="0016597A">
        <w:rPr>
          <w:lang w:val="fr-FR"/>
        </w:rPr>
        <w:t xml:space="preserve"> </w:t>
      </w:r>
      <w:r w:rsidR="0016597A" w:rsidRPr="0016597A">
        <w:rPr>
          <w:lang w:val="fr-FR"/>
        </w:rPr>
        <w:t>155358 et RMP 155366.</w:t>
      </w:r>
    </w:p>
    <w:p w14:paraId="0E6BD442" w14:textId="77777777" w:rsidR="0016597A" w:rsidRPr="0016597A" w:rsidRDefault="0047249D" w:rsidP="00BC23B3">
      <w:pPr>
        <w:pStyle w:val="H1G"/>
        <w:rPr>
          <w:lang w:val="fr-MC"/>
        </w:rPr>
      </w:pPr>
      <w:bookmarkStart w:id="16" w:name="_Toc529970202"/>
      <w:r>
        <w:rPr>
          <w:lang w:val="fr-MC"/>
        </w:rPr>
        <w:tab/>
      </w:r>
      <w:r>
        <w:rPr>
          <w:lang w:val="fr-MC"/>
        </w:rPr>
        <w:tab/>
      </w:r>
      <w:r w:rsidR="0016597A" w:rsidRPr="0016597A">
        <w:rPr>
          <w:lang w:val="fr-MC"/>
        </w:rPr>
        <w:t>Article 5 : De la compétence territoriale</w:t>
      </w:r>
      <w:bookmarkEnd w:id="16"/>
    </w:p>
    <w:p w14:paraId="59BA9801" w14:textId="36E47E49" w:rsidR="0016597A" w:rsidRPr="0016597A" w:rsidRDefault="00BF2F03" w:rsidP="00BF2F03">
      <w:pPr>
        <w:pStyle w:val="SingleTxtG"/>
        <w:rPr>
          <w:lang w:val="fr-MC"/>
        </w:rPr>
      </w:pPr>
      <w:r w:rsidRPr="0016597A">
        <w:rPr>
          <w:lang w:val="fr-MC"/>
        </w:rPr>
        <w:t>34.</w:t>
      </w:r>
      <w:r w:rsidRPr="0016597A">
        <w:rPr>
          <w:lang w:val="fr-MC"/>
        </w:rPr>
        <w:tab/>
      </w:r>
      <w:r w:rsidR="0016597A" w:rsidRPr="0016597A">
        <w:rPr>
          <w:lang w:val="fr-MC"/>
        </w:rPr>
        <w:t xml:space="preserve">Les articles 8 et 9 du Code de </w:t>
      </w:r>
      <w:r w:rsidR="0020117D">
        <w:rPr>
          <w:lang w:val="fr-MC"/>
        </w:rPr>
        <w:t>p</w:t>
      </w:r>
      <w:r w:rsidR="0016597A" w:rsidRPr="0016597A">
        <w:rPr>
          <w:lang w:val="fr-MC"/>
        </w:rPr>
        <w:t xml:space="preserve">rocédure </w:t>
      </w:r>
      <w:r w:rsidR="0020117D">
        <w:rPr>
          <w:lang w:val="fr-MC"/>
        </w:rPr>
        <w:t>p</w:t>
      </w:r>
      <w:r w:rsidR="0016597A" w:rsidRPr="0016597A">
        <w:rPr>
          <w:lang w:val="fr-MC"/>
        </w:rPr>
        <w:t>énale précisent l’étendue de la compétence territoriale sous réserve des conventions internationales sur les immunités diplomatiques et consulaires.</w:t>
      </w:r>
    </w:p>
    <w:p w14:paraId="666648C2" w14:textId="1A187245" w:rsidR="0016597A" w:rsidRPr="0016597A" w:rsidRDefault="00BF2F03" w:rsidP="00BF2F03">
      <w:pPr>
        <w:pStyle w:val="SingleTxtG"/>
        <w:rPr>
          <w:lang w:val="fr-MC"/>
        </w:rPr>
      </w:pPr>
      <w:r w:rsidRPr="0016597A">
        <w:rPr>
          <w:lang w:val="fr-MC"/>
        </w:rPr>
        <w:t>35.</w:t>
      </w:r>
      <w:r w:rsidRPr="0016597A">
        <w:rPr>
          <w:lang w:val="fr-MC"/>
        </w:rPr>
        <w:tab/>
      </w:r>
      <w:r w:rsidR="0016597A" w:rsidRPr="0016597A">
        <w:rPr>
          <w:lang w:val="fr-MC"/>
        </w:rPr>
        <w:t xml:space="preserve">De même, l’article 10 du Code </w:t>
      </w:r>
      <w:r w:rsidR="0020117D">
        <w:rPr>
          <w:lang w:val="fr-MC"/>
        </w:rPr>
        <w:t>p</w:t>
      </w:r>
      <w:r w:rsidR="0016597A" w:rsidRPr="0016597A">
        <w:rPr>
          <w:lang w:val="fr-MC"/>
        </w:rPr>
        <w:t>énal du Burundi dispose que « Tout délit ou crime commis hors du territoire national par un burundais ou étranger est, sous réserve des conventions sur l’extradition, puni par la loi pénale du Burundi, si l’auteur se trouve au Burundi ou la victime a la nationalité burundaise et que le fait est puni par la législation du pays où l’infraction a été commise ».</w:t>
      </w:r>
    </w:p>
    <w:p w14:paraId="7D0237FA" w14:textId="19F68AF7" w:rsidR="0016597A" w:rsidRPr="0016597A" w:rsidRDefault="0047249D" w:rsidP="00BC23B3">
      <w:pPr>
        <w:pStyle w:val="H1G"/>
        <w:rPr>
          <w:lang w:val="fr-MC"/>
        </w:rPr>
      </w:pPr>
      <w:bookmarkStart w:id="17" w:name="_Toc529970203"/>
      <w:r>
        <w:rPr>
          <w:lang w:val="fr-MC"/>
        </w:rPr>
        <w:tab/>
      </w:r>
      <w:r>
        <w:rPr>
          <w:lang w:val="fr-MC"/>
        </w:rPr>
        <w:tab/>
      </w:r>
      <w:r w:rsidR="0016597A" w:rsidRPr="0016597A">
        <w:rPr>
          <w:lang w:val="fr-MC"/>
        </w:rPr>
        <w:t>Article 6 : De l’arrestation et détention des personnes inculpées des</w:t>
      </w:r>
      <w:r w:rsidR="0020117D">
        <w:rPr>
          <w:lang w:val="fr-MC"/>
        </w:rPr>
        <w:t> </w:t>
      </w:r>
      <w:r w:rsidR="0016597A" w:rsidRPr="0016597A">
        <w:rPr>
          <w:lang w:val="fr-MC"/>
        </w:rPr>
        <w:t>actes de torture</w:t>
      </w:r>
      <w:bookmarkEnd w:id="17"/>
    </w:p>
    <w:p w14:paraId="592A7B8A" w14:textId="3BA3E86D" w:rsidR="0016597A" w:rsidRPr="0016597A" w:rsidRDefault="00BF2F03" w:rsidP="00BF2F03">
      <w:pPr>
        <w:pStyle w:val="SingleTxtG"/>
        <w:rPr>
          <w:rFonts w:eastAsia="Calibri"/>
          <w:lang w:val="fr-MC"/>
        </w:rPr>
      </w:pPr>
      <w:r w:rsidRPr="0016597A">
        <w:rPr>
          <w:rFonts w:eastAsia="Calibri"/>
          <w:lang w:val="fr-MC"/>
        </w:rPr>
        <w:t>36.</w:t>
      </w:r>
      <w:r w:rsidRPr="0016597A">
        <w:rPr>
          <w:rFonts w:eastAsia="Calibri"/>
          <w:lang w:val="fr-MC"/>
        </w:rPr>
        <w:tab/>
      </w:r>
      <w:r w:rsidR="0016597A" w:rsidRPr="0016597A">
        <w:rPr>
          <w:lang w:val="fr-MC" w:eastAsia="fr-FR"/>
        </w:rPr>
        <w:t xml:space="preserve">Le Burundi a déjà enregistré des avancées significatives en intégrant dans sa législation des </w:t>
      </w:r>
      <w:r w:rsidR="0016597A" w:rsidRPr="0016597A">
        <w:rPr>
          <w:lang w:val="fr-MC"/>
        </w:rPr>
        <w:t>dispositions</w:t>
      </w:r>
      <w:r w:rsidR="0016597A" w:rsidRPr="0016597A">
        <w:rPr>
          <w:lang w:val="fr-MC" w:eastAsia="fr-FR"/>
        </w:rPr>
        <w:t xml:space="preserve"> pertinentes de la Convention contre la torture.</w:t>
      </w:r>
    </w:p>
    <w:p w14:paraId="4DD23194" w14:textId="0A8C18E6" w:rsidR="0016597A" w:rsidRPr="0016597A" w:rsidRDefault="00BF2F03" w:rsidP="00BF2F03">
      <w:pPr>
        <w:pStyle w:val="SingleTxtG"/>
        <w:rPr>
          <w:rFonts w:eastAsia="Calibri"/>
          <w:lang w:val="fr-MC"/>
        </w:rPr>
      </w:pPr>
      <w:r w:rsidRPr="0016597A">
        <w:rPr>
          <w:rFonts w:eastAsia="Calibri"/>
          <w:lang w:val="fr-MC"/>
        </w:rPr>
        <w:t>37.</w:t>
      </w:r>
      <w:r w:rsidRPr="0016597A">
        <w:rPr>
          <w:rFonts w:eastAsia="Calibri"/>
          <w:lang w:val="fr-MC"/>
        </w:rPr>
        <w:tab/>
      </w:r>
      <w:r w:rsidR="0016597A" w:rsidRPr="0016597A">
        <w:rPr>
          <w:lang w:val="fr-MC" w:eastAsia="fr-FR"/>
        </w:rPr>
        <w:t xml:space="preserve">Aussi, la Constitution de la République du Burundi du 7 juin 2018 prévoit en son article 39, </w:t>
      </w:r>
      <w:r w:rsidR="0016597A" w:rsidRPr="0016597A">
        <w:rPr>
          <w:lang w:val="fr-MC"/>
        </w:rPr>
        <w:t>alinéas</w:t>
      </w:r>
      <w:r w:rsidR="0016597A" w:rsidRPr="0016597A">
        <w:rPr>
          <w:lang w:val="fr-MC" w:eastAsia="fr-FR"/>
        </w:rPr>
        <w:t xml:space="preserve"> 1 et 2, que « Nul ne peut être privé de sa liberté, si ce n’est conformément à la loi. Nul ne peut être inculpé, arrêté, détenu ou jugé que dans les cas déterminés par la loi promulguée antérieurement aux faits qui lui sont reprochés. »</w:t>
      </w:r>
    </w:p>
    <w:p w14:paraId="13C4C971" w14:textId="73DA6A8D" w:rsidR="0016597A" w:rsidRPr="0016597A" w:rsidRDefault="00BF2F03" w:rsidP="00BF2F03">
      <w:pPr>
        <w:pStyle w:val="SingleTxtG"/>
        <w:rPr>
          <w:rFonts w:eastAsia="Calibri"/>
          <w:lang w:val="fr-MC"/>
        </w:rPr>
      </w:pPr>
      <w:r w:rsidRPr="0016597A">
        <w:rPr>
          <w:rFonts w:eastAsia="Calibri"/>
          <w:lang w:val="fr-MC"/>
        </w:rPr>
        <w:t>38.</w:t>
      </w:r>
      <w:r w:rsidRPr="0016597A">
        <w:rPr>
          <w:rFonts w:eastAsia="Calibri"/>
          <w:lang w:val="fr-MC"/>
        </w:rPr>
        <w:tab/>
      </w:r>
      <w:r w:rsidR="0016597A" w:rsidRPr="0016597A">
        <w:rPr>
          <w:lang w:val="fr-MC" w:eastAsia="fr-FR"/>
        </w:rPr>
        <w:t xml:space="preserve">En outre, l’article 40 de la même Constitution dispose que : « Toute personne accusée d’un </w:t>
      </w:r>
      <w:r w:rsidR="0016597A" w:rsidRPr="0016597A">
        <w:rPr>
          <w:lang w:val="fr-MC"/>
        </w:rPr>
        <w:t>acte</w:t>
      </w:r>
      <w:r w:rsidR="0016597A" w:rsidRPr="0016597A">
        <w:rPr>
          <w:lang w:val="fr-MC" w:eastAsia="fr-FR"/>
        </w:rPr>
        <w:t xml:space="preserve"> délictueux est présumée innocente jusqu’à ce que sa culpabilité ait été légalement établie au cours d’un procès public durant lequel toutes les garanties nécessaires à sa libre défense lui auront été assurées. »</w:t>
      </w:r>
      <w:r w:rsidR="00863A65">
        <w:rPr>
          <w:lang w:val="fr-MC" w:eastAsia="fr-FR"/>
        </w:rPr>
        <w:t>.</w:t>
      </w:r>
    </w:p>
    <w:p w14:paraId="7F70C33F" w14:textId="1D36AB38" w:rsidR="0016597A" w:rsidRPr="0016597A" w:rsidRDefault="00BF2F03" w:rsidP="00BF2F03">
      <w:pPr>
        <w:pStyle w:val="SingleTxtG"/>
        <w:rPr>
          <w:rFonts w:eastAsia="Calibri"/>
          <w:lang w:val="fr-MC"/>
        </w:rPr>
      </w:pPr>
      <w:r w:rsidRPr="0016597A">
        <w:rPr>
          <w:rFonts w:eastAsia="Calibri"/>
          <w:lang w:val="fr-MC"/>
        </w:rPr>
        <w:t>39.</w:t>
      </w:r>
      <w:r w:rsidRPr="0016597A">
        <w:rPr>
          <w:rFonts w:eastAsia="Calibri"/>
          <w:lang w:val="fr-MC"/>
        </w:rPr>
        <w:tab/>
      </w:r>
      <w:r w:rsidR="0016597A" w:rsidRPr="0016597A">
        <w:rPr>
          <w:lang w:val="fr-MC"/>
        </w:rPr>
        <w:t>L’article</w:t>
      </w:r>
      <w:r w:rsidR="0016597A" w:rsidRPr="0016597A">
        <w:rPr>
          <w:lang w:val="fr-MC" w:eastAsia="fr-FR"/>
        </w:rPr>
        <w:t xml:space="preserve"> 154 du Code de procédure pénale de 2018 dispose en son alinéa 1</w:t>
      </w:r>
      <w:r w:rsidR="0016597A" w:rsidRPr="0016597A">
        <w:rPr>
          <w:vertAlign w:val="superscript"/>
          <w:lang w:val="fr-MC" w:eastAsia="fr-FR"/>
        </w:rPr>
        <w:t>er</w:t>
      </w:r>
      <w:r w:rsidR="0016597A" w:rsidRPr="0016597A">
        <w:rPr>
          <w:lang w:val="fr-MC" w:eastAsia="fr-FR"/>
        </w:rPr>
        <w:t xml:space="preserve"> que</w:t>
      </w:r>
      <w:r w:rsidR="0020117D">
        <w:rPr>
          <w:lang w:val="fr-MC" w:eastAsia="fr-FR"/>
        </w:rPr>
        <w:t xml:space="preserve"> </w:t>
      </w:r>
      <w:r w:rsidR="0016597A" w:rsidRPr="0016597A">
        <w:rPr>
          <w:lang w:val="fr-MC" w:eastAsia="fr-FR"/>
        </w:rPr>
        <w:t>« La liberté étant la règle et la détention l’exception, l’inculpé ne peut être mis en détention préventive que s’il existe contre lui des indices suffisants de culpabilité et que si les faits qui lui sont reprochés paraissent constituer une infraction que la loi réprime d’une peine d’au moins une année de servitude pénale</w:t>
      </w:r>
      <w:r w:rsidR="00863A65">
        <w:rPr>
          <w:lang w:val="fr-MC" w:eastAsia="fr-FR"/>
        </w:rPr>
        <w:t>.</w:t>
      </w:r>
      <w:r w:rsidR="0016597A" w:rsidRPr="0016597A">
        <w:rPr>
          <w:lang w:val="fr-MC" w:eastAsia="fr-FR"/>
        </w:rPr>
        <w:t> ».</w:t>
      </w:r>
    </w:p>
    <w:p w14:paraId="23FF47DE" w14:textId="781F160F" w:rsidR="0047249D" w:rsidRDefault="00BF2F03" w:rsidP="00BF2F03">
      <w:pPr>
        <w:pStyle w:val="SingleTxtG"/>
        <w:rPr>
          <w:lang w:val="fr-MC" w:eastAsia="fr-FR"/>
        </w:rPr>
      </w:pPr>
      <w:r>
        <w:rPr>
          <w:lang w:val="fr-MC" w:eastAsia="fr-FR"/>
        </w:rPr>
        <w:t>40.</w:t>
      </w:r>
      <w:r>
        <w:rPr>
          <w:lang w:val="fr-MC" w:eastAsia="fr-FR"/>
        </w:rPr>
        <w:tab/>
      </w:r>
      <w:r w:rsidR="0016597A" w:rsidRPr="0016597A">
        <w:rPr>
          <w:lang w:val="fr-MC" w:eastAsia="fr-FR"/>
        </w:rPr>
        <w:t xml:space="preserve">La loi </w:t>
      </w:r>
      <w:r w:rsidR="0020117D" w:rsidRPr="0016597A">
        <w:rPr>
          <w:lang w:val="fr-MC"/>
        </w:rPr>
        <w:t>n</w:t>
      </w:r>
      <w:r w:rsidR="0020117D" w:rsidRPr="008A395C">
        <w:rPr>
          <w:vertAlign w:val="superscript"/>
          <w:lang w:val="fr-MC"/>
        </w:rPr>
        <w:t>o</w:t>
      </w:r>
      <w:r w:rsidR="0020117D">
        <w:rPr>
          <w:lang w:val="fr-MC"/>
        </w:rPr>
        <w:t> </w:t>
      </w:r>
      <w:r w:rsidR="0016597A" w:rsidRPr="0016597A">
        <w:rPr>
          <w:lang w:val="fr-MC" w:eastAsia="fr-FR"/>
        </w:rPr>
        <w:t xml:space="preserve">1/09 du 11 mai 2018 portant révision du Code de procédure pénale prévoit les délais </w:t>
      </w:r>
      <w:r w:rsidR="0016597A" w:rsidRPr="0016597A">
        <w:rPr>
          <w:lang w:val="fr-MC"/>
        </w:rPr>
        <w:t>d’enquête</w:t>
      </w:r>
      <w:r w:rsidR="0016597A" w:rsidRPr="0016597A">
        <w:rPr>
          <w:lang w:val="fr-MC" w:eastAsia="fr-FR"/>
        </w:rPr>
        <w:t xml:space="preserve"> et de garde à vue tel que stipulé à</w:t>
      </w:r>
      <w:r w:rsidR="0016597A" w:rsidRPr="0016597A">
        <w:rPr>
          <w:color w:val="FF0000"/>
          <w:lang w:val="fr-MC" w:eastAsia="fr-FR"/>
        </w:rPr>
        <w:t xml:space="preserve"> </w:t>
      </w:r>
      <w:r w:rsidR="0016597A" w:rsidRPr="0016597A">
        <w:rPr>
          <w:lang w:val="fr-MC" w:eastAsia="fr-FR"/>
        </w:rPr>
        <w:t>l’article 34.</w:t>
      </w:r>
      <w:bookmarkStart w:id="18" w:name="_Toc529970204"/>
    </w:p>
    <w:p w14:paraId="1374CC6B" w14:textId="026EAF22" w:rsidR="0016597A" w:rsidRPr="00BF2F03" w:rsidRDefault="0047249D" w:rsidP="00BC23B3">
      <w:pPr>
        <w:pStyle w:val="H1G"/>
        <w:rPr>
          <w:rFonts w:eastAsia="Calibri"/>
          <w:color w:val="000000" w:themeColor="text1"/>
          <w:lang w:val="fr-MC"/>
        </w:rPr>
      </w:pPr>
      <w:r>
        <w:rPr>
          <w:lang w:val="fr-MC"/>
        </w:rPr>
        <w:tab/>
      </w:r>
      <w:r>
        <w:rPr>
          <w:lang w:val="fr-MC"/>
        </w:rPr>
        <w:tab/>
      </w:r>
      <w:r w:rsidR="0016597A" w:rsidRPr="0016597A">
        <w:rPr>
          <w:lang w:val="fr-MC"/>
        </w:rPr>
        <w:t>Article 7</w:t>
      </w:r>
      <w:r w:rsidR="0020117D">
        <w:rPr>
          <w:lang w:val="fr-MC"/>
        </w:rPr>
        <w:t> </w:t>
      </w:r>
      <w:r w:rsidR="0016597A" w:rsidRPr="0016597A">
        <w:rPr>
          <w:lang w:val="fr-MC"/>
        </w:rPr>
        <w:t xml:space="preserve">: Du jugement ou extradition des personnes soupçonnées d’avoir commis des actes de </w:t>
      </w:r>
      <w:r w:rsidR="0016597A" w:rsidRPr="00BF2F03">
        <w:rPr>
          <w:color w:val="000000" w:themeColor="text1"/>
          <w:lang w:val="fr-MC"/>
        </w:rPr>
        <w:t>torture </w:t>
      </w:r>
      <w:bookmarkEnd w:id="18"/>
    </w:p>
    <w:p w14:paraId="02D2E444" w14:textId="60DC225C" w:rsidR="0016597A" w:rsidRPr="0016597A" w:rsidRDefault="00BF2F03" w:rsidP="00BF2F03">
      <w:pPr>
        <w:pStyle w:val="SingleTxtG"/>
        <w:rPr>
          <w:lang w:val="fr-MC" w:eastAsia="fr-FR"/>
        </w:rPr>
      </w:pPr>
      <w:r w:rsidRPr="0016597A">
        <w:rPr>
          <w:lang w:val="fr-MC" w:eastAsia="fr-FR"/>
        </w:rPr>
        <w:t>41.</w:t>
      </w:r>
      <w:r w:rsidRPr="0016597A">
        <w:rPr>
          <w:lang w:val="fr-MC" w:eastAsia="fr-FR"/>
        </w:rPr>
        <w:tab/>
      </w:r>
      <w:r w:rsidR="0016597A" w:rsidRPr="0016597A">
        <w:rPr>
          <w:lang w:val="fr-MC" w:eastAsia="fr-FR"/>
        </w:rPr>
        <w:t xml:space="preserve">Pour ce qui est du jugement, il n’y a pas de traitement particulier. Les auteurs des actes de </w:t>
      </w:r>
      <w:r w:rsidR="0016597A" w:rsidRPr="0016597A">
        <w:rPr>
          <w:lang w:val="fr-MC"/>
        </w:rPr>
        <w:t>torture</w:t>
      </w:r>
      <w:r w:rsidR="0016597A" w:rsidRPr="0016597A">
        <w:rPr>
          <w:lang w:val="fr-MC" w:eastAsia="fr-FR"/>
        </w:rPr>
        <w:t xml:space="preserve"> sont poursuivis et jugés conformément aux règles de procédures de droit commun. En effet, toute personne accusée de crime de torture est jugée selon les dispositions</w:t>
      </w:r>
      <w:r w:rsidR="0020117D">
        <w:rPr>
          <w:lang w:val="fr-MC" w:eastAsia="fr-FR"/>
        </w:rPr>
        <w:t xml:space="preserve"> </w:t>
      </w:r>
      <w:r w:rsidR="0016597A" w:rsidRPr="0016597A">
        <w:rPr>
          <w:lang w:val="fr-MC" w:eastAsia="fr-FR"/>
        </w:rPr>
        <w:t>8, 9 et 10 du Code pénal en vigueur sous réserves de conventions sur l’extradition que le Burundi a signées avec d’autres pays.</w:t>
      </w:r>
    </w:p>
    <w:p w14:paraId="6F8BAB70" w14:textId="6B415C5A" w:rsidR="0016597A" w:rsidRPr="0016597A" w:rsidRDefault="0047249D" w:rsidP="00BC23B3">
      <w:pPr>
        <w:pStyle w:val="H1G"/>
        <w:rPr>
          <w:lang w:val="fr-MC"/>
        </w:rPr>
      </w:pPr>
      <w:bookmarkStart w:id="19" w:name="_Toc529970205"/>
      <w:r>
        <w:rPr>
          <w:lang w:val="fr-MC"/>
        </w:rPr>
        <w:lastRenderedPageBreak/>
        <w:tab/>
      </w:r>
      <w:r>
        <w:rPr>
          <w:lang w:val="fr-MC"/>
        </w:rPr>
        <w:tab/>
      </w:r>
      <w:r w:rsidR="0016597A" w:rsidRPr="0016597A">
        <w:rPr>
          <w:lang w:val="fr-MC"/>
        </w:rPr>
        <w:t>Article 8</w:t>
      </w:r>
      <w:r w:rsidR="0020117D">
        <w:rPr>
          <w:lang w:val="fr-MC"/>
        </w:rPr>
        <w:t> </w:t>
      </w:r>
      <w:r w:rsidR="0016597A" w:rsidRPr="0016597A">
        <w:rPr>
          <w:lang w:val="fr-MC"/>
        </w:rPr>
        <w:t>: De l’incrimination des actes de torture dans les traités d’extradition</w:t>
      </w:r>
      <w:bookmarkEnd w:id="19"/>
    </w:p>
    <w:p w14:paraId="5C3CE45E" w14:textId="0CF65308" w:rsidR="0016597A" w:rsidRPr="0016597A" w:rsidRDefault="00BF2F03" w:rsidP="00BF2F03">
      <w:pPr>
        <w:pStyle w:val="SingleTxtG"/>
        <w:rPr>
          <w:lang w:val="fr-MC" w:eastAsia="fr-FR"/>
        </w:rPr>
      </w:pPr>
      <w:r w:rsidRPr="0016597A">
        <w:rPr>
          <w:lang w:val="fr-MC" w:eastAsia="fr-FR"/>
        </w:rPr>
        <w:t>42.</w:t>
      </w:r>
      <w:r w:rsidRPr="0016597A">
        <w:rPr>
          <w:lang w:val="fr-MC" w:eastAsia="fr-FR"/>
        </w:rPr>
        <w:tab/>
      </w:r>
      <w:r w:rsidR="0016597A" w:rsidRPr="0016597A">
        <w:rPr>
          <w:lang w:val="fr-MC" w:eastAsia="fr-FR"/>
        </w:rPr>
        <w:t>La recommandation suivante a été dégagée au niveau de l’article 8 de la Convention</w:t>
      </w:r>
      <w:r w:rsidR="00424FF5">
        <w:rPr>
          <w:lang w:val="fr-MC" w:eastAsia="fr-FR"/>
        </w:rPr>
        <w:t>.</w:t>
      </w:r>
    </w:p>
    <w:p w14:paraId="2711E4A8" w14:textId="70D09523" w:rsidR="0016597A" w:rsidRPr="0016597A" w:rsidRDefault="00BF2F03" w:rsidP="00BF2F03">
      <w:pPr>
        <w:pStyle w:val="SingleTxtG"/>
        <w:rPr>
          <w:lang w:val="fr-MC" w:eastAsia="fr-FR"/>
        </w:rPr>
      </w:pPr>
      <w:r w:rsidRPr="0016597A">
        <w:rPr>
          <w:lang w:val="fr-MC" w:eastAsia="fr-FR"/>
        </w:rPr>
        <w:t>43.</w:t>
      </w:r>
      <w:r w:rsidRPr="0016597A">
        <w:rPr>
          <w:lang w:val="fr-MC" w:eastAsia="fr-FR"/>
        </w:rPr>
        <w:tab/>
      </w:r>
      <w:r w:rsidR="0016597A" w:rsidRPr="0016597A">
        <w:rPr>
          <w:lang w:val="fr-MC" w:eastAsia="fr-FR"/>
        </w:rPr>
        <w:t>L’Etat partie devrait prendre des mesures législatives et administratives pour que la présente convention puisse être invoquée comme constituant une base juridique de l’extradition, en ce qui concerne les infractions visées à l’article 4 de la convention, lorsqu’il est saisi d’une demande d’extradition émanant d’un autre Etat partie avec lequel il n’est pas lié par un traité d’extradition, tout en respectant les dispositions de l’article 3 de la convention.</w:t>
      </w:r>
    </w:p>
    <w:p w14:paraId="747DDA31" w14:textId="7B5E6EE1" w:rsidR="0016597A" w:rsidRPr="0016597A" w:rsidRDefault="00BF2F03" w:rsidP="00BF2F03">
      <w:pPr>
        <w:pStyle w:val="SingleTxtG"/>
        <w:rPr>
          <w:lang w:val="fr-MC" w:eastAsia="fr-FR"/>
        </w:rPr>
      </w:pPr>
      <w:r w:rsidRPr="0016597A">
        <w:rPr>
          <w:lang w:val="fr-MC" w:eastAsia="fr-FR"/>
        </w:rPr>
        <w:t>44.</w:t>
      </w:r>
      <w:r w:rsidRPr="0016597A">
        <w:rPr>
          <w:lang w:val="fr-MC" w:eastAsia="fr-FR"/>
        </w:rPr>
        <w:tab/>
      </w:r>
      <w:r w:rsidR="0016597A" w:rsidRPr="0016597A">
        <w:rPr>
          <w:lang w:val="fr-MC" w:eastAsia="fr-FR"/>
        </w:rPr>
        <w:t>Il existe deux conventions d’extradition : l’une avec la Tanzanie et l’autre avec les Pays de la communauté Economique des pays des grands lacs (CEPGL)</w:t>
      </w:r>
      <w:r w:rsidR="0016597A">
        <w:rPr>
          <w:lang w:val="fr-MC" w:eastAsia="fr-FR"/>
        </w:rPr>
        <w:t xml:space="preserve"> </w:t>
      </w:r>
      <w:r w:rsidR="0016597A" w:rsidRPr="0016597A">
        <w:rPr>
          <w:lang w:val="fr-MC" w:eastAsia="fr-FR"/>
        </w:rPr>
        <w:t>composée du Rwanda, de la RDC et du Burundi.</w:t>
      </w:r>
    </w:p>
    <w:p w14:paraId="1B288FDA" w14:textId="2D0A334A" w:rsidR="0016597A" w:rsidRPr="0016597A" w:rsidRDefault="00BF2F03" w:rsidP="00BF2F03">
      <w:pPr>
        <w:pStyle w:val="SingleTxtG"/>
        <w:rPr>
          <w:lang w:val="fr-MC" w:eastAsia="fr-FR"/>
        </w:rPr>
      </w:pPr>
      <w:r w:rsidRPr="0016597A">
        <w:rPr>
          <w:lang w:val="fr-MC" w:eastAsia="fr-FR"/>
        </w:rPr>
        <w:t>45.</w:t>
      </w:r>
      <w:r w:rsidRPr="0016597A">
        <w:rPr>
          <w:lang w:val="fr-MC" w:eastAsia="fr-FR"/>
        </w:rPr>
        <w:tab/>
      </w:r>
      <w:r w:rsidR="0016597A" w:rsidRPr="0016597A">
        <w:rPr>
          <w:lang w:val="fr-MC" w:eastAsia="fr-FR"/>
        </w:rPr>
        <w:t xml:space="preserve">Le Code </w:t>
      </w:r>
      <w:r w:rsidR="00424FF5">
        <w:rPr>
          <w:lang w:val="fr-MC" w:eastAsia="fr-FR"/>
        </w:rPr>
        <w:t>p</w:t>
      </w:r>
      <w:r w:rsidR="0016597A" w:rsidRPr="0016597A">
        <w:rPr>
          <w:lang w:val="fr-MC" w:eastAsia="fr-FR"/>
        </w:rPr>
        <w:t>énal de 2017, en son article 10, étaye le contenu de la Convention sur l’extradition en matière de torture.</w:t>
      </w:r>
    </w:p>
    <w:p w14:paraId="7E235005" w14:textId="751E78B8" w:rsidR="0016597A" w:rsidRPr="0016597A" w:rsidRDefault="00BF2F03" w:rsidP="00BF2F03">
      <w:pPr>
        <w:pStyle w:val="SingleTxtG"/>
        <w:rPr>
          <w:lang w:val="fr-MC" w:eastAsia="fr-FR"/>
        </w:rPr>
      </w:pPr>
      <w:r w:rsidRPr="0016597A">
        <w:rPr>
          <w:lang w:val="fr-MC" w:eastAsia="fr-FR"/>
        </w:rPr>
        <w:t>46.</w:t>
      </w:r>
      <w:r w:rsidRPr="0016597A">
        <w:rPr>
          <w:lang w:val="fr-MC" w:eastAsia="fr-FR"/>
        </w:rPr>
        <w:tab/>
      </w:r>
      <w:r w:rsidR="0016597A" w:rsidRPr="0016597A">
        <w:rPr>
          <w:lang w:val="fr-MC" w:eastAsia="fr-FR"/>
        </w:rPr>
        <w:t>En ce qui concerne la pratique, les investigations menées jusque-là ne font état d’aucun cas d’extradition déjà opéré par rapport à l’infraction de torture si on s’en tient à la définition de ce concept.</w:t>
      </w:r>
    </w:p>
    <w:p w14:paraId="2BC1C801" w14:textId="77777777" w:rsidR="0016597A" w:rsidRPr="0016597A" w:rsidRDefault="0047249D" w:rsidP="00BC23B3">
      <w:pPr>
        <w:pStyle w:val="H1G"/>
        <w:rPr>
          <w:lang w:val="fr-MC"/>
        </w:rPr>
      </w:pPr>
      <w:bookmarkStart w:id="20" w:name="_Toc529970206"/>
      <w:r>
        <w:rPr>
          <w:lang w:val="fr-MC"/>
        </w:rPr>
        <w:tab/>
      </w:r>
      <w:r>
        <w:rPr>
          <w:lang w:val="fr-MC"/>
        </w:rPr>
        <w:tab/>
      </w:r>
      <w:r w:rsidR="0016597A" w:rsidRPr="0016597A">
        <w:rPr>
          <w:lang w:val="fr-MC"/>
        </w:rPr>
        <w:t>Article 9</w:t>
      </w:r>
      <w:r w:rsidR="00A6762E">
        <w:rPr>
          <w:lang w:val="fr-MC"/>
        </w:rPr>
        <w:t> :</w:t>
      </w:r>
      <w:r w:rsidR="0016597A" w:rsidRPr="0016597A">
        <w:rPr>
          <w:lang w:val="fr-MC"/>
        </w:rPr>
        <w:t xml:space="preserve"> Entraide judiciaire entre Etats parties</w:t>
      </w:r>
      <w:bookmarkEnd w:id="20"/>
    </w:p>
    <w:p w14:paraId="44228F54" w14:textId="688944BA" w:rsidR="0016597A" w:rsidRPr="0016597A" w:rsidRDefault="00BF2F03" w:rsidP="00BF2F03">
      <w:pPr>
        <w:pStyle w:val="SingleTxtG"/>
        <w:rPr>
          <w:lang w:val="fr-MC" w:eastAsia="fr-FR"/>
        </w:rPr>
      </w:pPr>
      <w:r w:rsidRPr="0016597A">
        <w:rPr>
          <w:lang w:val="fr-MC" w:eastAsia="fr-FR"/>
        </w:rPr>
        <w:t>47.</w:t>
      </w:r>
      <w:r w:rsidRPr="0016597A">
        <w:rPr>
          <w:lang w:val="fr-MC" w:eastAsia="fr-FR"/>
        </w:rPr>
        <w:tab/>
      </w:r>
      <w:r w:rsidR="0016597A" w:rsidRPr="0016597A">
        <w:rPr>
          <w:lang w:val="fr-MC" w:eastAsia="fr-FR"/>
        </w:rPr>
        <w:t>Le Burundi subordonne l’extradition à l’existence d’un traité d’extradition avec celui qui en fait la demande. Il lui est recommandé de prendre des mesures législatives et administratives pour que la Convention puisse être invoquée comme constituant une base juridique d’extradition.</w:t>
      </w:r>
    </w:p>
    <w:p w14:paraId="7CE14F7F" w14:textId="7C42F5EF" w:rsidR="0016597A" w:rsidRPr="0016597A" w:rsidRDefault="0047249D" w:rsidP="00BC23B3">
      <w:pPr>
        <w:pStyle w:val="H1G"/>
        <w:rPr>
          <w:lang w:val="fr-MC"/>
        </w:rPr>
      </w:pPr>
      <w:bookmarkStart w:id="21" w:name="_Toc529970207"/>
      <w:r>
        <w:rPr>
          <w:lang w:val="fr-MC"/>
        </w:rPr>
        <w:tab/>
      </w:r>
      <w:r>
        <w:rPr>
          <w:lang w:val="fr-MC"/>
        </w:rPr>
        <w:tab/>
      </w:r>
      <w:r w:rsidR="00A6762E">
        <w:rPr>
          <w:lang w:val="fr-MC"/>
        </w:rPr>
        <w:t>Article 10</w:t>
      </w:r>
      <w:r w:rsidR="0020117D">
        <w:rPr>
          <w:lang w:val="fr-MC"/>
        </w:rPr>
        <w:t> </w:t>
      </w:r>
      <w:r w:rsidR="0016597A" w:rsidRPr="0016597A">
        <w:rPr>
          <w:lang w:val="fr-MC"/>
        </w:rPr>
        <w:t xml:space="preserve">: Enseignement et information concernant l’interdiction </w:t>
      </w:r>
      <w:r w:rsidR="0020117D">
        <w:rPr>
          <w:lang w:val="fr-MC"/>
        </w:rPr>
        <w:br/>
      </w:r>
      <w:r w:rsidR="0016597A" w:rsidRPr="0016597A">
        <w:rPr>
          <w:lang w:val="fr-MC"/>
        </w:rPr>
        <w:t>de la torture</w:t>
      </w:r>
      <w:bookmarkEnd w:id="21"/>
    </w:p>
    <w:p w14:paraId="6AB3AE00" w14:textId="5173F4F5" w:rsidR="0016597A" w:rsidRPr="0016597A" w:rsidRDefault="00BF2F03" w:rsidP="00BF2F03">
      <w:pPr>
        <w:pStyle w:val="SingleTxtG"/>
        <w:rPr>
          <w:lang w:val="fr-MC" w:eastAsia="fr-FR"/>
        </w:rPr>
      </w:pPr>
      <w:r w:rsidRPr="0016597A">
        <w:rPr>
          <w:lang w:val="fr-MC" w:eastAsia="fr-FR"/>
        </w:rPr>
        <w:t>48.</w:t>
      </w:r>
      <w:r w:rsidRPr="0016597A">
        <w:rPr>
          <w:lang w:val="fr-MC" w:eastAsia="fr-FR"/>
        </w:rPr>
        <w:tab/>
      </w:r>
      <w:r w:rsidR="0016597A" w:rsidRPr="0016597A">
        <w:rPr>
          <w:lang w:val="fr-MC" w:eastAsia="fr-FR"/>
        </w:rPr>
        <w:t xml:space="preserve">Le Gouvernement du Burundi à travers le Ministère des Droits de la Personne Humaine, des Affaires Sociales et du Genre organise régulièrement des sessions de formation ou ateliers de sensibilisation et d’information de lutte contre la torture à l’endroit des magistrats, des officiers de police judiciaire et autres dans le but d’éradiquer ce crime contre l’humanité. Des ateliers de sensibilisation ont été organisés à l’endroit des </w:t>
      </w:r>
      <w:r w:rsidR="0016597A" w:rsidRPr="0016597A">
        <w:rPr>
          <w:rFonts w:eastAsia="Calibri"/>
          <w:lang w:val="fr-MC"/>
        </w:rPr>
        <w:t>Magistrats et des Corps de police, sur les droits de la personne humaine dans le cadre du monitoring des droits de l’homme en 2017.</w:t>
      </w:r>
      <w:r w:rsidR="00424FF5">
        <w:rPr>
          <w:rFonts w:eastAsia="Calibri"/>
          <w:lang w:val="fr-MC"/>
        </w:rPr>
        <w:t xml:space="preserve"> </w:t>
      </w:r>
      <w:r w:rsidR="0016597A" w:rsidRPr="0016597A">
        <w:rPr>
          <w:rFonts w:eastAsia="Calibri"/>
          <w:lang w:val="fr-MC"/>
        </w:rPr>
        <w:t>Dans cette même optique, des a</w:t>
      </w:r>
      <w:r w:rsidR="0016597A" w:rsidRPr="0016597A">
        <w:rPr>
          <w:rFonts w:eastAsia="Calibri"/>
          <w:lang w:val="fr-MC" w:eastAsia="fr-FR"/>
        </w:rPr>
        <w:t>teliers de vulgarisation de la Politique Nationale des Droits de l’Homme (PNDH) ont été organisés à l’intention des Jeunes affiliés ou non aux partis politiques, aux juges et greffiers des Tribunaux de Résidence, en 2017.</w:t>
      </w:r>
      <w:r w:rsidR="00424FF5">
        <w:rPr>
          <w:rFonts w:eastAsia="Calibri"/>
          <w:lang w:val="fr-MC" w:eastAsia="fr-FR"/>
        </w:rPr>
        <w:t xml:space="preserve"> </w:t>
      </w:r>
      <w:r w:rsidR="0016597A" w:rsidRPr="0016597A">
        <w:rPr>
          <w:rFonts w:eastAsia="Calibri"/>
          <w:color w:val="000000"/>
          <w:lang w:val="fr-MC"/>
        </w:rPr>
        <w:t>Le Centre de Promotion des Droits de la Personne Humaine et de Prévention du Génocide dispense des formations au profit des conseils collinaires et des chefs de zone sur la promotion et la protection des droits de l’homme en général et sur la Convention contre la torture et la répression des actes de torture et de mauvais traitements en particulier. La même formation est dispensée à l’endroit des encadreurs des clubs des droits de l’homme en milieu scolaire.</w:t>
      </w:r>
    </w:p>
    <w:p w14:paraId="0A272160" w14:textId="3A0AF55E" w:rsidR="0016597A" w:rsidRPr="0016597A" w:rsidRDefault="00BF2F03" w:rsidP="00BF2F03">
      <w:pPr>
        <w:pStyle w:val="SingleTxtG"/>
        <w:rPr>
          <w:rFonts w:eastAsia="Times New Roman"/>
          <w:lang w:val="fr-MC" w:eastAsia="fr-FR"/>
        </w:rPr>
      </w:pPr>
      <w:r w:rsidRPr="0016597A">
        <w:rPr>
          <w:rFonts w:eastAsia="Times New Roman"/>
          <w:lang w:val="fr-MC" w:eastAsia="fr-FR"/>
        </w:rPr>
        <w:t>49.</w:t>
      </w:r>
      <w:r w:rsidRPr="0016597A">
        <w:rPr>
          <w:rFonts w:eastAsia="Times New Roman"/>
          <w:lang w:val="fr-MC" w:eastAsia="fr-FR"/>
        </w:rPr>
        <w:tab/>
      </w:r>
      <w:r w:rsidR="0016597A" w:rsidRPr="0016597A">
        <w:rPr>
          <w:lang w:val="fr-MC"/>
        </w:rPr>
        <w:t>En plus de ces initiatives ci-dessus, d’autres acteurs étatiques et non étatiques contribuent à vulgariser largement les principes relatifs à l’interdiction des actes de torture.</w:t>
      </w:r>
    </w:p>
    <w:p w14:paraId="1A381E85" w14:textId="02D2A944" w:rsidR="0016597A" w:rsidRPr="0016597A" w:rsidRDefault="0047249D" w:rsidP="00BC23B3">
      <w:pPr>
        <w:pStyle w:val="H1G"/>
        <w:rPr>
          <w:lang w:val="fr-MC"/>
        </w:rPr>
      </w:pPr>
      <w:bookmarkStart w:id="22" w:name="_Toc529970208"/>
      <w:r>
        <w:rPr>
          <w:lang w:val="fr-MC"/>
        </w:rPr>
        <w:tab/>
      </w:r>
      <w:r>
        <w:rPr>
          <w:lang w:val="fr-MC"/>
        </w:rPr>
        <w:tab/>
      </w:r>
      <w:r w:rsidR="0016597A" w:rsidRPr="0016597A">
        <w:rPr>
          <w:lang w:val="fr-MC"/>
        </w:rPr>
        <w:t>Article 11</w:t>
      </w:r>
      <w:r w:rsidR="00424FF5">
        <w:rPr>
          <w:lang w:val="fr-MC"/>
        </w:rPr>
        <w:t> </w:t>
      </w:r>
      <w:r w:rsidR="0016597A" w:rsidRPr="0016597A">
        <w:rPr>
          <w:lang w:val="fr-MC"/>
        </w:rPr>
        <w:t>: Mesures de contrôle des interrogatoires, des détentions et</w:t>
      </w:r>
      <w:r w:rsidR="00424FF5">
        <w:rPr>
          <w:lang w:val="fr-MC"/>
        </w:rPr>
        <w:t> </w:t>
      </w:r>
      <w:bookmarkEnd w:id="22"/>
      <w:r w:rsidR="0016597A" w:rsidRPr="0016597A">
        <w:rPr>
          <w:lang w:val="fr-MC"/>
        </w:rPr>
        <w:t>des emp</w:t>
      </w:r>
      <w:r w:rsidR="00BC23B3">
        <w:rPr>
          <w:lang w:val="fr-MC"/>
        </w:rPr>
        <w:t>risonnements</w:t>
      </w:r>
    </w:p>
    <w:p w14:paraId="75F78218" w14:textId="3E255A6E" w:rsidR="0016597A" w:rsidRPr="0016597A" w:rsidRDefault="00BF2F03" w:rsidP="00BF2F03">
      <w:pPr>
        <w:pStyle w:val="SingleTxtG"/>
        <w:rPr>
          <w:lang w:val="fr-MC"/>
        </w:rPr>
      </w:pPr>
      <w:r w:rsidRPr="0016597A">
        <w:rPr>
          <w:lang w:val="fr-MC"/>
        </w:rPr>
        <w:t>50.</w:t>
      </w:r>
      <w:r w:rsidRPr="0016597A">
        <w:rPr>
          <w:lang w:val="fr-MC"/>
        </w:rPr>
        <w:tab/>
      </w:r>
      <w:r w:rsidR="0016597A" w:rsidRPr="0016597A">
        <w:rPr>
          <w:lang w:val="fr-MC"/>
        </w:rPr>
        <w:t xml:space="preserve">Le Code de procédure pénale de 2018 a pris toutes les mesures qui s’imposent, afin d’éviter </w:t>
      </w:r>
      <w:r w:rsidR="0016597A" w:rsidRPr="0016597A">
        <w:rPr>
          <w:lang w:val="fr-MC" w:eastAsia="fr-FR"/>
        </w:rPr>
        <w:t>l’arbitraire</w:t>
      </w:r>
      <w:r w:rsidR="0016597A" w:rsidRPr="0016597A">
        <w:rPr>
          <w:lang w:val="fr-MC"/>
        </w:rPr>
        <w:t xml:space="preserve"> et partant la torture sous toutes ses formes et à toutes</w:t>
      </w:r>
      <w:r w:rsidR="0016597A" w:rsidRPr="0016597A">
        <w:rPr>
          <w:color w:val="FF0000"/>
          <w:lang w:val="fr-MC"/>
        </w:rPr>
        <w:t xml:space="preserve"> </w:t>
      </w:r>
      <w:r w:rsidR="0016597A" w:rsidRPr="0016597A">
        <w:rPr>
          <w:lang w:val="fr-MC"/>
        </w:rPr>
        <w:t>les étapes de la procédure. Ces mesures apportent d’ailleurs une réponse aux préoccupations du Comité contre la Torture.</w:t>
      </w:r>
    </w:p>
    <w:p w14:paraId="3346D23F" w14:textId="77777777" w:rsidR="0016597A" w:rsidRPr="0016597A" w:rsidRDefault="0047249D" w:rsidP="0047249D">
      <w:pPr>
        <w:pStyle w:val="H23G"/>
        <w:rPr>
          <w:lang w:val="fr-MC" w:eastAsia="fr-MC"/>
        </w:rPr>
      </w:pPr>
      <w:r>
        <w:rPr>
          <w:lang w:val="fr-MC" w:eastAsia="fr-MC"/>
        </w:rPr>
        <w:lastRenderedPageBreak/>
        <w:tab/>
      </w:r>
      <w:r>
        <w:rPr>
          <w:lang w:val="fr-MC" w:eastAsia="fr-MC"/>
        </w:rPr>
        <w:tab/>
      </w:r>
      <w:r w:rsidR="0016597A" w:rsidRPr="0016597A">
        <w:rPr>
          <w:lang w:val="fr-MC" w:eastAsia="fr-MC"/>
        </w:rPr>
        <w:t>De la garde à vue et de l’interrogatoire</w:t>
      </w:r>
    </w:p>
    <w:p w14:paraId="3EFC9AB8" w14:textId="65BA7B9E" w:rsidR="0016597A" w:rsidRPr="0016597A" w:rsidRDefault="00BF2F03" w:rsidP="00BF2F03">
      <w:pPr>
        <w:pStyle w:val="SingleTxtG"/>
        <w:rPr>
          <w:b/>
          <w:lang w:val="fr-MC"/>
        </w:rPr>
      </w:pPr>
      <w:r w:rsidRPr="0016597A">
        <w:rPr>
          <w:lang w:val="fr-MC"/>
        </w:rPr>
        <w:t>51.</w:t>
      </w:r>
      <w:r w:rsidRPr="0016597A">
        <w:rPr>
          <w:lang w:val="fr-MC"/>
        </w:rPr>
        <w:tab/>
      </w:r>
      <w:r w:rsidR="0016597A" w:rsidRPr="0047249D">
        <w:rPr>
          <w:lang w:val="fr-MC"/>
        </w:rPr>
        <w:t>Lors de la garde à vue, l’Officier de</w:t>
      </w:r>
      <w:r w:rsidR="0016597A" w:rsidRPr="0016597A">
        <w:rPr>
          <w:lang w:val="fr-MC"/>
        </w:rPr>
        <w:t xml:space="preserve"> Police Judiciaire doit absolument dresser un procès-verbal de garde à vue avec comme mention, l’identification de la personne gardée à vue, la </w:t>
      </w:r>
      <w:r w:rsidR="0016597A" w:rsidRPr="0016597A">
        <w:rPr>
          <w:lang w:val="fr-MC" w:eastAsia="fr-FR"/>
        </w:rPr>
        <w:t>nature</w:t>
      </w:r>
      <w:r w:rsidR="0016597A" w:rsidRPr="0016597A">
        <w:rPr>
          <w:lang w:val="fr-MC"/>
        </w:rPr>
        <w:t xml:space="preserve"> et les motifs de la garde à vue et les conditions dans lesquelles la personne est gardée à vue (si elle a été torturée ou pas), ainsi que le lieu où s’est effectuée la garde à vue. Dans ce cas, le procès-verbal est non seulement signé par la personne retenue, mais aussi une copie est laissée à cette personne.</w:t>
      </w:r>
    </w:p>
    <w:p w14:paraId="7BC86AE5" w14:textId="62B8C716" w:rsidR="0016597A" w:rsidRPr="0016597A" w:rsidRDefault="00BF2F03" w:rsidP="00BF2F03">
      <w:pPr>
        <w:pStyle w:val="SingleTxtG"/>
        <w:rPr>
          <w:b/>
          <w:lang w:val="fr-MC"/>
        </w:rPr>
      </w:pPr>
      <w:r w:rsidRPr="0016597A">
        <w:rPr>
          <w:lang w:val="fr-MC"/>
        </w:rPr>
        <w:t>52.</w:t>
      </w:r>
      <w:r w:rsidRPr="0016597A">
        <w:rPr>
          <w:lang w:val="fr-MC"/>
        </w:rPr>
        <w:tab/>
      </w:r>
      <w:r w:rsidR="0016597A" w:rsidRPr="0016597A">
        <w:rPr>
          <w:lang w:val="fr-MC"/>
        </w:rPr>
        <w:t>Notons également qu’une femme enceinte de plus de six mois ou qui allaite un nourrisson de moins de six mois ne peut pas être mis en garde à vue, sauf pour les cas des crimes et sur autorisation du Procureur de la République (art</w:t>
      </w:r>
      <w:r w:rsidR="00424FF5">
        <w:rPr>
          <w:lang w:val="fr-MC"/>
        </w:rPr>
        <w:t>icle </w:t>
      </w:r>
      <w:r w:rsidR="0016597A" w:rsidRPr="0016597A">
        <w:rPr>
          <w:lang w:val="fr-MC"/>
        </w:rPr>
        <w:t xml:space="preserve">32, 3). La raison de la garde à vue dans ce cas de crime est d’éviter qu’elle ne puisse prendre le large ou s’échapper avant que son dossier ne soit confectionné. De même, le Code de procédure pénale prescrit que la garde à vue doit être organisée de telle sorte que les personnes de sexe féminin et celles de sexe masculin soient détenues dans des lieux différents et que la surveillance des uns et des autres soit assurée par des policiers de même sexe (article 32, 4). </w:t>
      </w:r>
    </w:p>
    <w:p w14:paraId="52B9BC2A" w14:textId="6ED7AA9A" w:rsidR="0016597A" w:rsidRPr="0016597A" w:rsidRDefault="00BF2F03" w:rsidP="00BF2F03">
      <w:pPr>
        <w:pStyle w:val="SingleTxtG"/>
        <w:rPr>
          <w:b/>
          <w:lang w:val="fr-MC"/>
        </w:rPr>
      </w:pPr>
      <w:r w:rsidRPr="0016597A">
        <w:rPr>
          <w:lang w:val="fr-MC"/>
        </w:rPr>
        <w:t>53.</w:t>
      </w:r>
      <w:r w:rsidRPr="0016597A">
        <w:rPr>
          <w:lang w:val="fr-MC"/>
        </w:rPr>
        <w:tab/>
      </w:r>
      <w:r w:rsidR="0016597A" w:rsidRPr="0016597A">
        <w:rPr>
          <w:lang w:val="fr-MC"/>
        </w:rPr>
        <w:t xml:space="preserve">Il importe néanmoins de souligner que le Code de procédure pénale a introduit une restriction à la liberté de communiquer en cas de garde à vue de peur d’éviter des communications </w:t>
      </w:r>
      <w:r w:rsidR="0016597A" w:rsidRPr="0016597A">
        <w:rPr>
          <w:lang w:val="fr-MC" w:eastAsia="fr-FR"/>
        </w:rPr>
        <w:t>pouvant</w:t>
      </w:r>
      <w:r w:rsidR="0016597A" w:rsidRPr="0016597A">
        <w:rPr>
          <w:lang w:val="fr-MC"/>
        </w:rPr>
        <w:t xml:space="preserve"> faire disparaître ou effacer les indices ou pièces à conviction de l’infraction commise. Cependant, le même Code de procédure pénale indique que l’Officier de la Police Judiciaire responsable de la garde à vue (GAV) doit </w:t>
      </w:r>
      <w:r w:rsidR="0016597A" w:rsidRPr="00D05EE5">
        <w:rPr>
          <w:i/>
          <w:iCs/>
          <w:lang w:val="fr-MC"/>
        </w:rPr>
        <w:t>ipso facto</w:t>
      </w:r>
      <w:r w:rsidR="0016597A" w:rsidRPr="0016597A">
        <w:rPr>
          <w:lang w:val="fr-MC"/>
        </w:rPr>
        <w:t xml:space="preserve"> informer la famille de la personne gardée à vue ou toute autre personne intéressée de la mesure dont elle est l’objet et du lieu de garde à vue.</w:t>
      </w:r>
    </w:p>
    <w:p w14:paraId="3A748388" w14:textId="2C8469B2" w:rsidR="0016597A" w:rsidRPr="0016597A" w:rsidRDefault="00BF2F03" w:rsidP="00BF2F03">
      <w:pPr>
        <w:pStyle w:val="SingleTxtG"/>
        <w:rPr>
          <w:b/>
          <w:lang w:val="fr-MC"/>
        </w:rPr>
      </w:pPr>
      <w:r w:rsidRPr="0016597A">
        <w:rPr>
          <w:lang w:val="fr-MC"/>
        </w:rPr>
        <w:t>54.</w:t>
      </w:r>
      <w:r w:rsidRPr="0016597A">
        <w:rPr>
          <w:lang w:val="fr-MC"/>
        </w:rPr>
        <w:tab/>
      </w:r>
      <w:r w:rsidR="0016597A" w:rsidRPr="0016597A">
        <w:rPr>
          <w:lang w:val="fr-MC"/>
        </w:rPr>
        <w:t>Concernant les délais de garde à vue, ceux-là ne peuvent pas excéder sept jours francs, sauf dérogation décidée par l’Officier du Ministère Public ayant comme limite maximale le double de ce délai (art</w:t>
      </w:r>
      <w:r w:rsidR="00424FF5">
        <w:rPr>
          <w:lang w:val="fr-MC"/>
        </w:rPr>
        <w:t>icle</w:t>
      </w:r>
      <w:r w:rsidR="0016597A" w:rsidRPr="0016597A">
        <w:rPr>
          <w:lang w:val="fr-MC"/>
        </w:rPr>
        <w:t xml:space="preserve"> 34). Cette dérogation est justifiée par le fait que lors du transfert des détenus et leurs dossiers aux parquets de leurs ressorts, les Officiers de Police Judiciaire étant dans des Commissariats Communaux éloignés des chefs-lieux des communes éprouvent des difficultés de trouver des moyens de déplacement. Ils sont, des fois, obligés</w:t>
      </w:r>
      <w:r w:rsidR="0016597A" w:rsidRPr="0016597A">
        <w:rPr>
          <w:color w:val="FF0000"/>
          <w:lang w:val="fr-MC"/>
        </w:rPr>
        <w:t xml:space="preserve"> </w:t>
      </w:r>
      <w:r w:rsidR="0016597A" w:rsidRPr="0016597A">
        <w:rPr>
          <w:lang w:val="fr-MC"/>
        </w:rPr>
        <w:t>d’utiliser le déplacement de l’Administrateur communal, du commissariat provincial de son ressort ou du parquet lui-même. N’empêche que les ONG puissent aider les OPJ au transfert des détenus vers le parquet, dans le cadre de la coopération.</w:t>
      </w:r>
    </w:p>
    <w:p w14:paraId="22E6BDF1" w14:textId="77777777" w:rsidR="0016597A" w:rsidRPr="0016597A" w:rsidRDefault="0047249D" w:rsidP="0047249D">
      <w:pPr>
        <w:pStyle w:val="H23G"/>
        <w:rPr>
          <w:lang w:val="fr-MC" w:eastAsia="fr-MC"/>
        </w:rPr>
      </w:pPr>
      <w:r>
        <w:rPr>
          <w:lang w:val="fr-MC" w:eastAsia="fr-MC"/>
        </w:rPr>
        <w:tab/>
      </w:r>
      <w:r>
        <w:rPr>
          <w:lang w:val="fr-MC" w:eastAsia="fr-MC"/>
        </w:rPr>
        <w:tab/>
      </w:r>
      <w:r w:rsidR="0016597A" w:rsidRPr="0016597A">
        <w:rPr>
          <w:lang w:val="fr-MC" w:eastAsia="fr-MC"/>
        </w:rPr>
        <w:t>De la surve</w:t>
      </w:r>
      <w:r w:rsidR="00A6762E">
        <w:rPr>
          <w:lang w:val="fr-MC" w:eastAsia="fr-MC"/>
        </w:rPr>
        <w:t>illance des lieux de détention</w:t>
      </w:r>
    </w:p>
    <w:p w14:paraId="09118F9C" w14:textId="31FC0624" w:rsidR="0016597A" w:rsidRPr="0016597A" w:rsidRDefault="00BF2F03" w:rsidP="00BF2F03">
      <w:pPr>
        <w:pStyle w:val="SingleTxtG"/>
        <w:rPr>
          <w:b/>
          <w:bCs/>
          <w:lang w:val="fr-MC"/>
        </w:rPr>
      </w:pPr>
      <w:r w:rsidRPr="0016597A">
        <w:rPr>
          <w:bCs/>
          <w:lang w:val="fr-MC"/>
        </w:rPr>
        <w:t>55.</w:t>
      </w:r>
      <w:r w:rsidRPr="0016597A">
        <w:rPr>
          <w:bCs/>
          <w:lang w:val="fr-MC"/>
        </w:rPr>
        <w:tab/>
      </w:r>
      <w:r w:rsidR="0016597A" w:rsidRPr="0016597A">
        <w:rPr>
          <w:lang w:val="fr-MC"/>
        </w:rPr>
        <w:t xml:space="preserve">Le seul mécanisme de surveillance des lieux de détention existant au Burundi est purement </w:t>
      </w:r>
      <w:r w:rsidR="0016597A" w:rsidRPr="0016597A">
        <w:rPr>
          <w:lang w:val="fr-MC" w:eastAsia="fr-FR"/>
        </w:rPr>
        <w:t>judiciaire</w:t>
      </w:r>
      <w:r w:rsidR="0016597A" w:rsidRPr="0016597A">
        <w:rPr>
          <w:lang w:val="fr-MC"/>
        </w:rPr>
        <w:t xml:space="preserve">. En effet, les Magistrats du Ministère Public sont chargés d’inspecter régulièrement les lieux de détention à la police et dans les établissements </w:t>
      </w:r>
      <w:r w:rsidR="0016597A" w:rsidRPr="0047249D">
        <w:t>pénitentiaires. Il</w:t>
      </w:r>
      <w:r w:rsidR="0004248B">
        <w:t> </w:t>
      </w:r>
      <w:r w:rsidR="0016597A" w:rsidRPr="0047249D">
        <w:t>n’existe pas non plus de médecins légistes formés à l’identification des séquelles de la torture ; les Officiers de Police Judiciaire et les Officiers du Ministère Public font recours aux médecins généralistes du Gouvernement pour pouvoir apprécier les séquelles de la torture.</w:t>
      </w:r>
    </w:p>
    <w:p w14:paraId="01BF0AF9" w14:textId="63A0FC4D" w:rsidR="0016597A" w:rsidRPr="0016597A" w:rsidRDefault="00BF2F03" w:rsidP="00BF2F03">
      <w:pPr>
        <w:pStyle w:val="SingleTxtG"/>
        <w:rPr>
          <w:b/>
          <w:bCs/>
          <w:lang w:val="fr-MC"/>
        </w:rPr>
      </w:pPr>
      <w:r w:rsidRPr="0016597A">
        <w:rPr>
          <w:bCs/>
          <w:lang w:val="fr-MC"/>
        </w:rPr>
        <w:t>56.</w:t>
      </w:r>
      <w:r w:rsidRPr="0016597A">
        <w:rPr>
          <w:bCs/>
          <w:lang w:val="fr-MC"/>
        </w:rPr>
        <w:tab/>
      </w:r>
      <w:r w:rsidR="0016597A" w:rsidRPr="0016597A">
        <w:rPr>
          <w:lang w:val="fr-MC"/>
        </w:rPr>
        <w:t xml:space="preserve">Les </w:t>
      </w:r>
      <w:r w:rsidR="0016597A" w:rsidRPr="0016597A">
        <w:rPr>
          <w:lang w:val="fr-MC" w:eastAsia="fr-FR"/>
        </w:rPr>
        <w:t>organisations</w:t>
      </w:r>
      <w:r w:rsidR="0016597A" w:rsidRPr="0016597A">
        <w:rPr>
          <w:lang w:val="fr-MC"/>
        </w:rPr>
        <w:t xml:space="preserve"> de défense des droits de l’homme affirment qu’elles effectuent des visites régulières dans les lieux de détention. C’est l’exemple du Comité International de la Croix Rouge.</w:t>
      </w:r>
    </w:p>
    <w:p w14:paraId="1914A7E2" w14:textId="3CF4332A" w:rsidR="0016597A" w:rsidRPr="0047249D" w:rsidRDefault="00BF2F03" w:rsidP="00BF2F03">
      <w:pPr>
        <w:pStyle w:val="SingleTxtG"/>
      </w:pPr>
      <w:r w:rsidRPr="0047249D">
        <w:t>57.</w:t>
      </w:r>
      <w:r w:rsidRPr="0047249D">
        <w:tab/>
      </w:r>
      <w:r w:rsidR="0016597A" w:rsidRPr="0047249D">
        <w:t>Pour ce qui est de l’interrogatoire, avant de procéder à cette dernière, la personne interrogée est informée de ses droits, notamment le droit de garder le silence en l’absence de son Conseil (article 10, al</w:t>
      </w:r>
      <w:r w:rsidR="00D05EE5">
        <w:t>inéa</w:t>
      </w:r>
      <w:r w:rsidR="0016597A" w:rsidRPr="0047249D">
        <w:t xml:space="preserve"> 5).</w:t>
      </w:r>
    </w:p>
    <w:p w14:paraId="48795023" w14:textId="309478BE" w:rsidR="0016597A" w:rsidRPr="0016597A" w:rsidRDefault="00BF2F03" w:rsidP="00BF2F03">
      <w:pPr>
        <w:pStyle w:val="SingleTxtG"/>
        <w:rPr>
          <w:b/>
          <w:bCs/>
          <w:lang w:val="fr-MC"/>
        </w:rPr>
      </w:pPr>
      <w:r w:rsidRPr="0016597A">
        <w:rPr>
          <w:bCs/>
          <w:lang w:val="fr-MC"/>
        </w:rPr>
        <w:t>58.</w:t>
      </w:r>
      <w:r w:rsidRPr="0016597A">
        <w:rPr>
          <w:bCs/>
          <w:lang w:val="fr-MC"/>
        </w:rPr>
        <w:tab/>
      </w:r>
      <w:r w:rsidR="0016597A" w:rsidRPr="0016597A">
        <w:rPr>
          <w:lang w:val="fr-MC"/>
        </w:rPr>
        <w:t xml:space="preserve">Afin d’éviter la torture ou autres traitements cruels, inhumains ou dégradants, le Code de procédure pénale mentionne que tout interrogatoire doit faire objet d’un procès-verbal dûment </w:t>
      </w:r>
      <w:r w:rsidR="0016597A" w:rsidRPr="0016597A">
        <w:rPr>
          <w:lang w:val="fr-MC" w:eastAsia="fr-FR"/>
        </w:rPr>
        <w:t>signé</w:t>
      </w:r>
      <w:r w:rsidR="0016597A" w:rsidRPr="0016597A">
        <w:rPr>
          <w:lang w:val="fr-MC"/>
        </w:rPr>
        <w:t xml:space="preserve"> par l’Officier de la Police Judiciaire verbalisant sous forme de serment, de même que la personne entendue. </w:t>
      </w:r>
    </w:p>
    <w:p w14:paraId="710420AF" w14:textId="726BE747" w:rsidR="0016597A" w:rsidRPr="00D05EE5" w:rsidRDefault="00BF2F03" w:rsidP="00BF2F03">
      <w:pPr>
        <w:pStyle w:val="SingleTxtG"/>
        <w:rPr>
          <w:lang w:val="fr-MC"/>
        </w:rPr>
      </w:pPr>
      <w:r w:rsidRPr="0016597A">
        <w:rPr>
          <w:bCs/>
          <w:lang w:val="fr-MC"/>
        </w:rPr>
        <w:t>59.</w:t>
      </w:r>
      <w:r w:rsidRPr="0016597A">
        <w:rPr>
          <w:bCs/>
          <w:lang w:val="fr-MC"/>
        </w:rPr>
        <w:tab/>
      </w:r>
      <w:r w:rsidR="0016597A" w:rsidRPr="0016597A">
        <w:rPr>
          <w:lang w:val="fr-MC"/>
        </w:rPr>
        <w:t xml:space="preserve">Par ailleurs, ils doivent conjointement parapher chaque page pour éviter des glissements de papiers ou de mots dans le dossier constitué. Avant qu’il ne puisse signer ce PV ou apposer son </w:t>
      </w:r>
      <w:r w:rsidR="0016597A" w:rsidRPr="0016597A">
        <w:rPr>
          <w:lang w:val="fr-MC" w:eastAsia="fr-FR"/>
        </w:rPr>
        <w:t>empreinte</w:t>
      </w:r>
      <w:r w:rsidR="0016597A" w:rsidRPr="0016597A">
        <w:rPr>
          <w:lang w:val="fr-MC"/>
        </w:rPr>
        <w:t xml:space="preserve"> digitale, la personne entendue doit d’abord lire et relire le PV et s’il ne sait pas lire, lecture lui est donnée par une personne de son choix. Il reste en droit </w:t>
      </w:r>
      <w:r w:rsidR="0016597A" w:rsidRPr="0016597A">
        <w:rPr>
          <w:lang w:val="fr-MC"/>
        </w:rPr>
        <w:lastRenderedPageBreak/>
        <w:t>de refuser de signer si l’interrogatoire n’a pas été bien diligenté ou si mention n’est pas conforme à ses déclarations</w:t>
      </w:r>
      <w:r w:rsidR="0016597A" w:rsidRPr="00D05EE5">
        <w:rPr>
          <w:lang w:val="fr-MC"/>
        </w:rPr>
        <w:t>.</w:t>
      </w:r>
    </w:p>
    <w:p w14:paraId="4666CED6" w14:textId="4D167AA5" w:rsidR="0016597A" w:rsidRPr="00D05EE5" w:rsidRDefault="00BF2F03" w:rsidP="00BF2F03">
      <w:pPr>
        <w:pStyle w:val="SingleTxtG"/>
        <w:rPr>
          <w:lang w:val="fr-MC"/>
        </w:rPr>
      </w:pPr>
      <w:r w:rsidRPr="0016597A">
        <w:rPr>
          <w:bCs/>
          <w:lang w:val="fr-MC"/>
        </w:rPr>
        <w:t>60.</w:t>
      </w:r>
      <w:r w:rsidRPr="0016597A">
        <w:rPr>
          <w:bCs/>
          <w:lang w:val="fr-MC"/>
        </w:rPr>
        <w:tab/>
      </w:r>
      <w:r w:rsidR="0016597A" w:rsidRPr="0016597A">
        <w:rPr>
          <w:lang w:val="fr-MC"/>
        </w:rPr>
        <w:t xml:space="preserve">Cela est également valable pour l’Officier du Ministère Public qui fait comparaître un inculpé </w:t>
      </w:r>
      <w:r w:rsidR="0016597A" w:rsidRPr="0016597A">
        <w:rPr>
          <w:lang w:val="fr-MC" w:eastAsia="fr-FR"/>
        </w:rPr>
        <w:t>afin</w:t>
      </w:r>
      <w:r w:rsidR="0016597A" w:rsidRPr="0016597A">
        <w:rPr>
          <w:lang w:val="fr-MC"/>
        </w:rPr>
        <w:t xml:space="preserve"> qu’il fournisse des explications sur les faits qui lui sont reprochés. L’article 111 prescrit que sous peine de nullité, l’inculpé doit être informé de ses droits dans les mêmes conditions que lors de l’interrogatoire de l’OPJ</w:t>
      </w:r>
      <w:r w:rsidR="0016597A" w:rsidRPr="00D05EE5">
        <w:rPr>
          <w:lang w:val="fr-MC"/>
        </w:rPr>
        <w:t xml:space="preserve">. </w:t>
      </w:r>
    </w:p>
    <w:p w14:paraId="7119CBEB" w14:textId="0A392393" w:rsidR="0016597A" w:rsidRPr="00D05EE5" w:rsidRDefault="00BF2F03" w:rsidP="00BF2F03">
      <w:pPr>
        <w:pStyle w:val="SingleTxtG"/>
        <w:rPr>
          <w:lang w:val="fr-MC"/>
        </w:rPr>
      </w:pPr>
      <w:r w:rsidRPr="0016597A">
        <w:rPr>
          <w:bCs/>
          <w:lang w:val="fr-MC"/>
        </w:rPr>
        <w:t>61.</w:t>
      </w:r>
      <w:r w:rsidRPr="0016597A">
        <w:rPr>
          <w:bCs/>
          <w:lang w:val="fr-MC"/>
        </w:rPr>
        <w:tab/>
      </w:r>
      <w:r w:rsidR="0016597A" w:rsidRPr="0016597A">
        <w:rPr>
          <w:lang w:val="fr-MC"/>
        </w:rPr>
        <w:t xml:space="preserve">Il en est de même de l’article 137sur les objets saisis où il doit y avoir un PV de saisie qui doit </w:t>
      </w:r>
      <w:r w:rsidR="0016597A" w:rsidRPr="0016597A">
        <w:rPr>
          <w:lang w:val="fr-MC" w:eastAsia="fr-FR"/>
        </w:rPr>
        <w:t>être</w:t>
      </w:r>
      <w:r w:rsidR="0016597A" w:rsidRPr="0016597A">
        <w:rPr>
          <w:lang w:val="fr-MC"/>
        </w:rPr>
        <w:t xml:space="preserve"> signé par le détenteur, les autorités administratives locales et ou les témoins.</w:t>
      </w:r>
    </w:p>
    <w:p w14:paraId="05B0F0F5" w14:textId="1A6AB1F1" w:rsidR="0016597A" w:rsidRPr="00D05EE5" w:rsidRDefault="00BF2F03" w:rsidP="00BF2F03">
      <w:pPr>
        <w:pStyle w:val="SingleTxtG"/>
        <w:rPr>
          <w:lang w:val="fr-MC"/>
        </w:rPr>
      </w:pPr>
      <w:r w:rsidRPr="0016597A">
        <w:rPr>
          <w:bCs/>
          <w:lang w:val="fr-MC"/>
        </w:rPr>
        <w:t>62.</w:t>
      </w:r>
      <w:r w:rsidRPr="0016597A">
        <w:rPr>
          <w:bCs/>
          <w:lang w:val="fr-MC"/>
        </w:rPr>
        <w:tab/>
      </w:r>
      <w:r w:rsidR="0016597A" w:rsidRPr="0016597A">
        <w:rPr>
          <w:lang w:val="fr-MC"/>
        </w:rPr>
        <w:t>La saisie, s’il y a lieu, doit se faire en présence du suspect, s’il est présent,</w:t>
      </w:r>
      <w:r w:rsidR="0016597A" w:rsidRPr="0016597A">
        <w:rPr>
          <w:color w:val="FF0000"/>
          <w:lang w:val="fr-MC"/>
        </w:rPr>
        <w:t xml:space="preserve"> </w:t>
      </w:r>
      <w:r w:rsidR="0016597A" w:rsidRPr="0016597A">
        <w:rPr>
          <w:lang w:val="fr-MC"/>
        </w:rPr>
        <w:t xml:space="preserve">à l’effet de les </w:t>
      </w:r>
      <w:r w:rsidR="0016597A" w:rsidRPr="0016597A">
        <w:rPr>
          <w:lang w:val="fr-MC" w:eastAsia="fr-FR"/>
        </w:rPr>
        <w:t>reconnaître</w:t>
      </w:r>
      <w:r w:rsidR="0016597A" w:rsidRPr="0016597A">
        <w:rPr>
          <w:lang w:val="fr-MC"/>
        </w:rPr>
        <w:t xml:space="preserve"> et, s’il y a lieu,</w:t>
      </w:r>
      <w:r w:rsidR="0016597A" w:rsidRPr="0016597A">
        <w:rPr>
          <w:color w:val="FF0000"/>
          <w:lang w:val="fr-MC"/>
        </w:rPr>
        <w:t xml:space="preserve"> </w:t>
      </w:r>
      <w:r w:rsidR="0016597A" w:rsidRPr="0016597A">
        <w:rPr>
          <w:lang w:val="fr-MC"/>
        </w:rPr>
        <w:t xml:space="preserve">de les parapher ou de les marquer. S’il est absent et ne peut pas être trouvé, mention en est faite sur le procès-verbal. En plus de cela, le CPP mentionne que sous peine de nullité de l’interrogatoire, l’inculpé a le droit de ne pas être forcé à témoigner contre lui-même ou de s’avouer coupable. </w:t>
      </w:r>
    </w:p>
    <w:p w14:paraId="7018A0C5" w14:textId="7127AED2" w:rsidR="0016597A" w:rsidRPr="0016597A" w:rsidRDefault="00BF2F03" w:rsidP="00BF2F03">
      <w:pPr>
        <w:pStyle w:val="SingleTxtG"/>
        <w:rPr>
          <w:b/>
          <w:bCs/>
          <w:lang w:val="fr-MC"/>
        </w:rPr>
      </w:pPr>
      <w:r w:rsidRPr="0016597A">
        <w:rPr>
          <w:bCs/>
          <w:lang w:val="fr-MC"/>
        </w:rPr>
        <w:t>63.</w:t>
      </w:r>
      <w:r w:rsidRPr="0016597A">
        <w:rPr>
          <w:bCs/>
          <w:lang w:val="fr-MC"/>
        </w:rPr>
        <w:tab/>
      </w:r>
      <w:r w:rsidR="0016597A" w:rsidRPr="0016597A">
        <w:rPr>
          <w:lang w:val="fr-MC"/>
        </w:rPr>
        <w:t xml:space="preserve">Le Code reconnait à l’auteur présumé de l’infraction, certaines garanties pour pouvoir exercer son </w:t>
      </w:r>
      <w:r w:rsidR="0016597A" w:rsidRPr="0016597A">
        <w:rPr>
          <w:lang w:val="fr-MC" w:eastAsia="fr-FR"/>
        </w:rPr>
        <w:t>droit</w:t>
      </w:r>
      <w:r w:rsidR="0016597A" w:rsidRPr="0016597A">
        <w:rPr>
          <w:lang w:val="fr-MC"/>
        </w:rPr>
        <w:t xml:space="preserve"> à la défense, notamment le droit de se faire assister de son Conseil au cours des actes d’instruction et de garder le silence en l’absence de son Conseil. </w:t>
      </w:r>
    </w:p>
    <w:p w14:paraId="7BDCA77D" w14:textId="416C41DE" w:rsidR="0016597A" w:rsidRPr="00D05EE5" w:rsidRDefault="00BF2F03" w:rsidP="00BF2F03">
      <w:pPr>
        <w:pStyle w:val="SingleTxtG"/>
        <w:rPr>
          <w:lang w:val="fr-MC"/>
        </w:rPr>
      </w:pPr>
      <w:r w:rsidRPr="0016597A">
        <w:rPr>
          <w:bCs/>
          <w:lang w:val="fr-MC"/>
        </w:rPr>
        <w:t>64.</w:t>
      </w:r>
      <w:r w:rsidRPr="0016597A">
        <w:rPr>
          <w:bCs/>
          <w:lang w:val="fr-MC"/>
        </w:rPr>
        <w:tab/>
      </w:r>
      <w:r w:rsidR="0016597A" w:rsidRPr="0016597A">
        <w:rPr>
          <w:lang w:val="fr-MC"/>
        </w:rPr>
        <w:t xml:space="preserve">Il en est de même lors de l’audience publique où chacune des parties peut se faire assister d’un </w:t>
      </w:r>
      <w:r w:rsidR="0004248B">
        <w:rPr>
          <w:lang w:val="fr-MC"/>
        </w:rPr>
        <w:t>a</w:t>
      </w:r>
      <w:r w:rsidR="0016597A" w:rsidRPr="0016597A">
        <w:rPr>
          <w:lang w:val="fr-MC"/>
        </w:rPr>
        <w:t xml:space="preserve">vocat ou d’une personne agréée spécialement dans chaque cas par le tribunal pour prendre la parole en son nom. Sauf si le prévenu s’y oppose, le juge peut demander au Bâtonnier de lui désigner un </w:t>
      </w:r>
      <w:r w:rsidR="0004248B">
        <w:rPr>
          <w:lang w:val="fr-MC"/>
        </w:rPr>
        <w:t>a</w:t>
      </w:r>
      <w:r w:rsidR="0016597A" w:rsidRPr="0016597A">
        <w:rPr>
          <w:lang w:val="fr-MC"/>
        </w:rPr>
        <w:t>vocat inscrit au Barreau</w:t>
      </w:r>
      <w:r w:rsidR="0016597A" w:rsidRPr="00D05EE5">
        <w:rPr>
          <w:lang w:val="fr-MC"/>
        </w:rPr>
        <w:t xml:space="preserve">. </w:t>
      </w:r>
    </w:p>
    <w:p w14:paraId="5B12656A" w14:textId="0B6F21B1" w:rsidR="0016597A" w:rsidRPr="00D05EE5" w:rsidRDefault="00BF2F03" w:rsidP="00BF2F03">
      <w:pPr>
        <w:pStyle w:val="SingleTxtG"/>
        <w:rPr>
          <w:lang w:val="fr-MC"/>
        </w:rPr>
      </w:pPr>
      <w:r w:rsidRPr="0016597A">
        <w:rPr>
          <w:bCs/>
          <w:lang w:val="fr-MC"/>
        </w:rPr>
        <w:t>65.</w:t>
      </w:r>
      <w:r w:rsidRPr="0016597A">
        <w:rPr>
          <w:bCs/>
          <w:lang w:val="fr-MC"/>
        </w:rPr>
        <w:tab/>
      </w:r>
      <w:r w:rsidR="0016597A" w:rsidRPr="0016597A">
        <w:rPr>
          <w:lang w:val="fr-MC" w:eastAsia="fr-FR"/>
        </w:rPr>
        <w:t>Toutefois</w:t>
      </w:r>
      <w:r w:rsidR="0016597A" w:rsidRPr="0016597A">
        <w:rPr>
          <w:lang w:val="fr-MC"/>
        </w:rPr>
        <w:t>, l’assistance d’un défenseur est obligatoire pour les prévenus mineurs (article 222).</w:t>
      </w:r>
    </w:p>
    <w:p w14:paraId="6BC968D9" w14:textId="6D9515B8" w:rsidR="0016597A" w:rsidRPr="00D05EE5" w:rsidRDefault="00BF2F03" w:rsidP="00BF2F03">
      <w:pPr>
        <w:pStyle w:val="SingleTxtG"/>
        <w:rPr>
          <w:lang w:val="fr-MC"/>
        </w:rPr>
      </w:pPr>
      <w:r w:rsidRPr="0016597A">
        <w:rPr>
          <w:bCs/>
          <w:lang w:val="fr-MC"/>
        </w:rPr>
        <w:t>66.</w:t>
      </w:r>
      <w:r w:rsidRPr="0016597A">
        <w:rPr>
          <w:bCs/>
          <w:lang w:val="fr-MC"/>
        </w:rPr>
        <w:tab/>
      </w:r>
      <w:r w:rsidR="0016597A" w:rsidRPr="0016597A">
        <w:rPr>
          <w:lang w:val="fr-MC"/>
        </w:rPr>
        <w:t>Afin de pouvoir contrecarrer le problème d’exiguïté et de manque des prisons pour la détention des présumés coupables, le Gouvernement a recommandé, à travers le CPP en son article 154, que « l’inculpé ne peut être mis en état de détention préventive que s’il existe contre lui des indices suffisants de culpabilité et que les faits lui reprochés paraissent constituer une infraction que la loi réprime d’une peine d’au moins une année de servitude pénale ».</w:t>
      </w:r>
    </w:p>
    <w:p w14:paraId="5507D9EA" w14:textId="516D6A55" w:rsidR="0016597A" w:rsidRPr="00D05EE5" w:rsidRDefault="00BF2F03" w:rsidP="00BF2F03">
      <w:pPr>
        <w:pStyle w:val="SingleTxtG"/>
        <w:rPr>
          <w:lang w:val="fr-MC"/>
        </w:rPr>
      </w:pPr>
      <w:r w:rsidRPr="003C0BF6">
        <w:rPr>
          <w:bCs/>
          <w:lang w:val="fr-MC"/>
        </w:rPr>
        <w:t>67.</w:t>
      </w:r>
      <w:r w:rsidRPr="003C0BF6">
        <w:rPr>
          <w:bCs/>
          <w:lang w:val="fr-MC"/>
        </w:rPr>
        <w:tab/>
      </w:r>
      <w:r w:rsidR="0016597A" w:rsidRPr="003C0BF6">
        <w:rPr>
          <w:lang w:val="fr-MC"/>
        </w:rPr>
        <w:t xml:space="preserve">Il est également précisé à l’article 159 que « l’ordonnance autorisant la mise en état de détention préventive est valable pour 30 jours, y compris le jour où elle est rendue. </w:t>
      </w:r>
      <w:r w:rsidR="0004248B" w:rsidRPr="00BF2F03">
        <w:rPr>
          <w:lang w:val="fr-MC"/>
        </w:rPr>
        <w:t>À </w:t>
      </w:r>
      <w:r w:rsidR="0016597A" w:rsidRPr="00BF2F03">
        <w:rPr>
          <w:lang w:val="fr-MC"/>
        </w:rPr>
        <w:t>l’expiration de ce délai, la détention préventive peut être prorogée par décision motivée pour un mois et ainsi de suite, de mois en mois, aussi longtemps que l’intérêt public l’exige.</w:t>
      </w:r>
      <w:r w:rsidR="003C0BF6">
        <w:rPr>
          <w:lang w:val="fr-MC"/>
        </w:rPr>
        <w:t xml:space="preserve"> T</w:t>
      </w:r>
      <w:r w:rsidR="0016597A" w:rsidRPr="003C0BF6">
        <w:rPr>
          <w:lang w:val="fr-MC"/>
        </w:rPr>
        <w:t xml:space="preserve">outefois, la détention préventive ne peut dépasser douze mois, si le fait parait ne constituer qu’une </w:t>
      </w:r>
      <w:r w:rsidR="0016597A" w:rsidRPr="00BF2F03">
        <w:rPr>
          <w:lang w:val="fr-MC" w:eastAsia="fr-FR"/>
        </w:rPr>
        <w:t>infraction</w:t>
      </w:r>
      <w:r w:rsidR="0016597A" w:rsidRPr="00BF2F03">
        <w:rPr>
          <w:lang w:val="fr-MC"/>
        </w:rPr>
        <w:t xml:space="preserve"> à l’égard de laquelle la peine prévue par la loi n’est pas supérieure à 5 ans de servitude pénale. </w:t>
      </w:r>
      <w:r w:rsidR="0004248B" w:rsidRPr="00BF2F03">
        <w:rPr>
          <w:lang w:val="fr-MC"/>
        </w:rPr>
        <w:t>À</w:t>
      </w:r>
      <w:r w:rsidR="0016597A" w:rsidRPr="00BF2F03">
        <w:rPr>
          <w:lang w:val="fr-MC"/>
        </w:rPr>
        <w:t xml:space="preserve"> l’expiration de ce délai (12</w:t>
      </w:r>
      <w:r w:rsidR="0004248B" w:rsidRPr="00BF2F03">
        <w:rPr>
          <w:lang w:val="fr-MC"/>
        </w:rPr>
        <w:t> </w:t>
      </w:r>
      <w:r w:rsidR="0016597A" w:rsidRPr="00BF2F03">
        <w:rPr>
          <w:lang w:val="fr-MC"/>
        </w:rPr>
        <w:t xml:space="preserve">mois), l’autorité hiérarchique du Magistrat qui a le dossier en charge ordonne la liberté provisoire à la diligence soit de l’intéressé, soit du responsable de l’établissement pénitentiaire. </w:t>
      </w:r>
      <w:r w:rsidR="0016597A" w:rsidRPr="003C0BF6">
        <w:rPr>
          <w:lang w:val="fr-MC"/>
        </w:rPr>
        <w:t>Lorsque</w:t>
      </w:r>
      <w:r w:rsidR="0016597A" w:rsidRPr="003C0BF6">
        <w:rPr>
          <w:color w:val="FF0000"/>
          <w:lang w:val="fr-MC"/>
        </w:rPr>
        <w:t xml:space="preserve"> </w:t>
      </w:r>
      <w:r w:rsidR="0016597A" w:rsidRPr="003C0BF6">
        <w:rPr>
          <w:lang w:val="fr-MC"/>
        </w:rPr>
        <w:t xml:space="preserve">sans excuses valables, le Magistrat instructeur omet de présenter un inculpé devant le </w:t>
      </w:r>
      <w:r w:rsidR="0016597A" w:rsidRPr="003C0BF6">
        <w:rPr>
          <w:lang w:val="fr-MC" w:eastAsia="fr-FR"/>
        </w:rPr>
        <w:t>juge</w:t>
      </w:r>
      <w:r w:rsidR="0016597A" w:rsidRPr="003C0BF6">
        <w:rPr>
          <w:lang w:val="fr-MC"/>
        </w:rPr>
        <w:t xml:space="preserve"> de la détention préventive, il s’expose à des sanctions disciplinaires et éventuellement pénales. Les ordonnances de prorogation sont rendues en observant les formes et les délais prévus </w:t>
      </w:r>
      <w:r w:rsidR="00A6762E" w:rsidRPr="003C0BF6">
        <w:rPr>
          <w:lang w:val="fr-MC"/>
        </w:rPr>
        <w:t>à l’article 156 et 158</w:t>
      </w:r>
      <w:r w:rsidR="00BC23B3" w:rsidRPr="003C0BF6">
        <w:rPr>
          <w:lang w:val="fr-MC"/>
        </w:rPr>
        <w:t>.</w:t>
      </w:r>
      <w:r w:rsidR="002622B2">
        <w:rPr>
          <w:lang w:val="fr-MC"/>
        </w:rPr>
        <w:t> </w:t>
      </w:r>
      <w:r w:rsidR="0016597A" w:rsidRPr="003C0BF6">
        <w:rPr>
          <w:lang w:val="fr-MC"/>
        </w:rPr>
        <w:t>».</w:t>
      </w:r>
    </w:p>
    <w:p w14:paraId="293FBD00" w14:textId="3A32FF00" w:rsidR="0016597A" w:rsidRPr="0016597A" w:rsidRDefault="00BF2F03" w:rsidP="00BF2F03">
      <w:pPr>
        <w:pStyle w:val="SingleTxtG"/>
        <w:rPr>
          <w:lang w:val="fr-FR"/>
        </w:rPr>
      </w:pPr>
      <w:r w:rsidRPr="0016597A">
        <w:rPr>
          <w:lang w:val="fr-FR"/>
        </w:rPr>
        <w:t>68.</w:t>
      </w:r>
      <w:r w:rsidRPr="0016597A">
        <w:rPr>
          <w:lang w:val="fr-FR"/>
        </w:rPr>
        <w:tab/>
      </w:r>
      <w:r w:rsidR="0016597A" w:rsidRPr="0016597A">
        <w:t xml:space="preserve">Il importe de signaler que le Président de la République accorde une grâce présidentielle aux </w:t>
      </w:r>
      <w:r w:rsidR="0016597A" w:rsidRPr="008A5B30">
        <w:rPr>
          <w:lang w:val="fr-MC" w:eastAsia="fr-FR"/>
        </w:rPr>
        <w:t>personnes</w:t>
      </w:r>
      <w:r w:rsidR="0016597A" w:rsidRPr="0016597A">
        <w:t xml:space="preserve"> déjà condamnées ce qui contribue au désengorgement des prisons. </w:t>
      </w:r>
    </w:p>
    <w:p w14:paraId="0D427E6C" w14:textId="3D03146A" w:rsidR="0016597A" w:rsidRPr="0016597A" w:rsidRDefault="00BF2F03" w:rsidP="00BF2F03">
      <w:pPr>
        <w:pStyle w:val="SingleTxtG"/>
        <w:rPr>
          <w:lang w:val="fr-FR"/>
        </w:rPr>
      </w:pPr>
      <w:r w:rsidRPr="0016597A">
        <w:rPr>
          <w:lang w:val="fr-FR"/>
        </w:rPr>
        <w:t>69.</w:t>
      </w:r>
      <w:r w:rsidRPr="0016597A">
        <w:rPr>
          <w:lang w:val="fr-FR"/>
        </w:rPr>
        <w:tab/>
      </w:r>
      <w:r w:rsidR="0016597A" w:rsidRPr="008A5B30">
        <w:rPr>
          <w:lang w:val="fr-MC" w:eastAsia="fr-FR"/>
        </w:rPr>
        <w:t>Concernant</w:t>
      </w:r>
      <w:r w:rsidR="0016597A" w:rsidRPr="0016597A">
        <w:rPr>
          <w:lang w:val="fr-FR"/>
        </w:rPr>
        <w:t xml:space="preserve"> les mesures prises en faveur des personnes détenues, depuis de nombreuses années, le Burundi a déjà mis en place, à travers le Ministère de la Justice et de la Protection Civique, une </w:t>
      </w:r>
      <w:r w:rsidR="0016597A" w:rsidRPr="0016597A">
        <w:t>commission permanente chargée du suivi des dossiers pénitentiaires et judiciaires des détenus</w:t>
      </w:r>
      <w:r w:rsidR="0016597A">
        <w:t xml:space="preserve"> </w:t>
      </w:r>
      <w:r w:rsidR="0016597A" w:rsidRPr="0016597A">
        <w:t xml:space="preserve">par l’ordonnance </w:t>
      </w:r>
      <w:r w:rsidR="002622B2" w:rsidRPr="0016597A">
        <w:rPr>
          <w:lang w:val="fr-MC"/>
        </w:rPr>
        <w:t>n</w:t>
      </w:r>
      <w:r w:rsidR="002622B2" w:rsidRPr="008A395C">
        <w:rPr>
          <w:vertAlign w:val="superscript"/>
          <w:lang w:val="fr-MC"/>
        </w:rPr>
        <w:t>o</w:t>
      </w:r>
      <w:r w:rsidR="002622B2">
        <w:rPr>
          <w:lang w:val="fr-MC"/>
        </w:rPr>
        <w:t> </w:t>
      </w:r>
      <w:r w:rsidR="0016597A" w:rsidRPr="0016597A">
        <w:t>550/2083 du 11 novembre 2016 du Ministre en charge de la justice dans ses attributions.</w:t>
      </w:r>
    </w:p>
    <w:p w14:paraId="4AF8AB68" w14:textId="35529AA2" w:rsidR="0016597A" w:rsidRPr="0016597A" w:rsidRDefault="00BF2F03" w:rsidP="00BF2F03">
      <w:pPr>
        <w:pStyle w:val="SingleTxtG"/>
        <w:rPr>
          <w:lang w:val="fr-FR"/>
        </w:rPr>
      </w:pPr>
      <w:r w:rsidRPr="0016597A">
        <w:rPr>
          <w:lang w:val="fr-FR"/>
        </w:rPr>
        <w:t>70.</w:t>
      </w:r>
      <w:r w:rsidRPr="0016597A">
        <w:rPr>
          <w:lang w:val="fr-FR"/>
        </w:rPr>
        <w:tab/>
      </w:r>
      <w:r w:rsidR="0016597A" w:rsidRPr="008A5B30">
        <w:rPr>
          <w:lang w:val="fr-MC" w:eastAsia="fr-FR"/>
        </w:rPr>
        <w:t>Signalons</w:t>
      </w:r>
      <w:r w:rsidR="0016597A" w:rsidRPr="0016597A">
        <w:rPr>
          <w:lang w:val="fr-FR"/>
        </w:rPr>
        <w:t xml:space="preserve"> à toutes fins utiles qu’en 2016, à travers la mesure de Grâce, 1</w:t>
      </w:r>
      <w:r w:rsidR="002622B2">
        <w:rPr>
          <w:lang w:val="fr-FR"/>
        </w:rPr>
        <w:t> </w:t>
      </w:r>
      <w:r w:rsidR="0016597A" w:rsidRPr="0016597A">
        <w:rPr>
          <w:lang w:val="fr-FR"/>
        </w:rPr>
        <w:t>357 condamnés détenus ont vu leurs peines remises totalement et sortis des prisons tandis que 498 ont bénéficié de la remise partielle de leurs peines et 12 ont vu leurs peines commuées (c</w:t>
      </w:r>
      <w:r w:rsidR="00A116A0">
        <w:rPr>
          <w:lang w:val="fr-FR"/>
        </w:rPr>
        <w:t>’</w:t>
      </w:r>
      <w:r w:rsidR="0016597A" w:rsidRPr="0016597A">
        <w:rPr>
          <w:lang w:val="fr-FR"/>
        </w:rPr>
        <w:t>est-à-dire qu’ils étaient condamnés à perpétuité mais que leur peine a été réduite jusqu’à 20</w:t>
      </w:r>
      <w:r w:rsidR="002622B2">
        <w:rPr>
          <w:lang w:val="fr-FR"/>
        </w:rPr>
        <w:t xml:space="preserve"> </w:t>
      </w:r>
      <w:r w:rsidR="0016597A" w:rsidRPr="0016597A">
        <w:rPr>
          <w:lang w:val="fr-FR"/>
        </w:rPr>
        <w:t>ans de prison).</w:t>
      </w:r>
    </w:p>
    <w:p w14:paraId="40D49B22" w14:textId="413BFC80" w:rsidR="0016597A" w:rsidRPr="0016597A" w:rsidRDefault="00BF2F03" w:rsidP="00BF2F03">
      <w:pPr>
        <w:pStyle w:val="SingleTxtG"/>
        <w:rPr>
          <w:lang w:val="fr-FR"/>
        </w:rPr>
      </w:pPr>
      <w:r w:rsidRPr="0016597A">
        <w:rPr>
          <w:lang w:val="fr-FR"/>
        </w:rPr>
        <w:lastRenderedPageBreak/>
        <w:t>71.</w:t>
      </w:r>
      <w:r w:rsidRPr="0016597A">
        <w:rPr>
          <w:lang w:val="fr-FR"/>
        </w:rPr>
        <w:tab/>
      </w:r>
      <w:r w:rsidR="0016597A" w:rsidRPr="0016597A">
        <w:rPr>
          <w:lang w:val="fr-FR"/>
        </w:rPr>
        <w:t xml:space="preserve">En ce </w:t>
      </w:r>
      <w:r w:rsidR="0016597A" w:rsidRPr="008A5B30">
        <w:rPr>
          <w:lang w:val="fr-MC" w:eastAsia="fr-FR"/>
        </w:rPr>
        <w:t>qui</w:t>
      </w:r>
      <w:r w:rsidR="0016597A" w:rsidRPr="0016597A">
        <w:rPr>
          <w:lang w:val="fr-FR"/>
        </w:rPr>
        <w:t xml:space="preserve"> est de l’année 2017, on a enregistré 2</w:t>
      </w:r>
      <w:r w:rsidR="002622B2">
        <w:rPr>
          <w:lang w:val="fr-FR"/>
        </w:rPr>
        <w:t> </w:t>
      </w:r>
      <w:r w:rsidR="0016597A" w:rsidRPr="0016597A">
        <w:rPr>
          <w:lang w:val="fr-FR"/>
        </w:rPr>
        <w:t>576 condamnés détenus qui ont bénéficié de la remise totale des peines, 576 qui ont bénéficié de la remise partielle des peines tandis que 16 ont vu leurs peines commuées et 123 qui ont joui de la libération conditionnelle.</w:t>
      </w:r>
    </w:p>
    <w:p w14:paraId="375045D6" w14:textId="5AD890E8" w:rsidR="0016597A" w:rsidRPr="0016597A" w:rsidRDefault="00BF2F03" w:rsidP="00BF2F03">
      <w:pPr>
        <w:pStyle w:val="SingleTxtG"/>
        <w:rPr>
          <w:lang w:val="fr-FR"/>
        </w:rPr>
      </w:pPr>
      <w:r w:rsidRPr="0016597A">
        <w:rPr>
          <w:lang w:val="fr-FR"/>
        </w:rPr>
        <w:t>72.</w:t>
      </w:r>
      <w:r w:rsidRPr="0016597A">
        <w:rPr>
          <w:lang w:val="fr-FR"/>
        </w:rPr>
        <w:tab/>
      </w:r>
      <w:r w:rsidR="0016597A" w:rsidRPr="0016597A">
        <w:rPr>
          <w:lang w:val="fr-FR"/>
        </w:rPr>
        <w:t>Pour l’année 2018, on enregistre</w:t>
      </w:r>
      <w:r w:rsidR="002622B2">
        <w:rPr>
          <w:lang w:val="fr-FR"/>
        </w:rPr>
        <w:t xml:space="preserve"> </w:t>
      </w:r>
      <w:r w:rsidR="0016597A" w:rsidRPr="0016597A">
        <w:rPr>
          <w:lang w:val="fr-FR"/>
        </w:rPr>
        <w:t>1</w:t>
      </w:r>
      <w:r w:rsidR="002622B2">
        <w:rPr>
          <w:lang w:val="fr-FR"/>
        </w:rPr>
        <w:t> </w:t>
      </w:r>
      <w:r w:rsidR="0016597A" w:rsidRPr="0016597A">
        <w:rPr>
          <w:lang w:val="fr-FR"/>
        </w:rPr>
        <w:t xml:space="preserve">365 détenus bénéficiaires de la libération partielle et de la </w:t>
      </w:r>
      <w:r w:rsidR="0016597A" w:rsidRPr="008A5B30">
        <w:rPr>
          <w:lang w:val="fr-MC" w:eastAsia="fr-FR"/>
        </w:rPr>
        <w:t>commutation</w:t>
      </w:r>
      <w:r w:rsidR="0016597A" w:rsidRPr="0016597A">
        <w:rPr>
          <w:lang w:val="fr-FR"/>
        </w:rPr>
        <w:t xml:space="preserve"> et 2</w:t>
      </w:r>
      <w:r w:rsidR="002622B2">
        <w:rPr>
          <w:lang w:val="fr-FR"/>
        </w:rPr>
        <w:t> </w:t>
      </w:r>
      <w:r w:rsidR="0016597A" w:rsidRPr="0016597A">
        <w:rPr>
          <w:lang w:val="fr-FR"/>
        </w:rPr>
        <w:t>979 bénéficiaires de la remise totale.</w:t>
      </w:r>
    </w:p>
    <w:p w14:paraId="1D93FE75" w14:textId="00F53AAC" w:rsidR="0016597A" w:rsidRPr="0016597A" w:rsidRDefault="00BF2F03" w:rsidP="00BF2F03">
      <w:pPr>
        <w:pStyle w:val="SingleTxtG"/>
        <w:rPr>
          <w:lang w:val="fr-FR"/>
        </w:rPr>
      </w:pPr>
      <w:r w:rsidRPr="0016597A">
        <w:rPr>
          <w:lang w:val="fr-FR"/>
        </w:rPr>
        <w:t>73.</w:t>
      </w:r>
      <w:r w:rsidRPr="0016597A">
        <w:rPr>
          <w:lang w:val="fr-FR"/>
        </w:rPr>
        <w:tab/>
      </w:r>
      <w:r w:rsidR="0016597A" w:rsidRPr="0016597A">
        <w:rPr>
          <w:lang w:val="fr-FR"/>
        </w:rPr>
        <w:t>Il faut signaler d’autres mesures qui sont prises par les Juridictions et Parquets chaque fois qu’ils constatent une détention prolongée.</w:t>
      </w:r>
    </w:p>
    <w:p w14:paraId="51958E91" w14:textId="02FB6242" w:rsidR="0016597A" w:rsidRPr="0016597A" w:rsidRDefault="00BF2F03" w:rsidP="00BF2F03">
      <w:pPr>
        <w:pStyle w:val="SingleTxtG"/>
        <w:rPr>
          <w:b/>
          <w:bCs/>
          <w:lang w:val="fr-MC"/>
        </w:rPr>
      </w:pPr>
      <w:r w:rsidRPr="0016597A">
        <w:rPr>
          <w:bCs/>
          <w:lang w:val="fr-MC"/>
        </w:rPr>
        <w:t>74.</w:t>
      </w:r>
      <w:r w:rsidRPr="0016597A">
        <w:rPr>
          <w:bCs/>
          <w:lang w:val="fr-MC"/>
        </w:rPr>
        <w:tab/>
      </w:r>
      <w:r w:rsidR="0016597A" w:rsidRPr="0016597A">
        <w:rPr>
          <w:lang w:val="fr-MC"/>
        </w:rPr>
        <w:t xml:space="preserve">Dans les provinces où les postes de police sont nouvellement construits avec l’appui financier du </w:t>
      </w:r>
      <w:r w:rsidR="0016597A" w:rsidRPr="0016597A">
        <w:rPr>
          <w:lang w:val="fr-MC" w:eastAsia="fr-FR"/>
        </w:rPr>
        <w:t>BNUB</w:t>
      </w:r>
      <w:r w:rsidR="0016597A" w:rsidRPr="0016597A">
        <w:rPr>
          <w:lang w:val="fr-MC"/>
        </w:rPr>
        <w:t xml:space="preserve">, les conditions de détention sont bonnes ainsi que les conditions de travail des agents policiers (cas des Provinces Rutana et </w:t>
      </w:r>
      <w:proofErr w:type="spellStart"/>
      <w:r w:rsidR="0016597A" w:rsidRPr="0016597A">
        <w:rPr>
          <w:lang w:val="fr-MC"/>
        </w:rPr>
        <w:t>Makamba</w:t>
      </w:r>
      <w:proofErr w:type="spellEnd"/>
      <w:r w:rsidR="0016597A" w:rsidRPr="0016597A">
        <w:rPr>
          <w:lang w:val="fr-MC"/>
        </w:rPr>
        <w:t>).</w:t>
      </w:r>
    </w:p>
    <w:p w14:paraId="718B3620" w14:textId="2D2F5F1A" w:rsidR="0016597A" w:rsidRPr="0016597A" w:rsidRDefault="00CC66AC" w:rsidP="00CC66AC">
      <w:pPr>
        <w:pStyle w:val="H23G"/>
        <w:rPr>
          <w:lang w:val="fr-MC" w:eastAsia="fr-MC"/>
        </w:rPr>
      </w:pPr>
      <w:r>
        <w:rPr>
          <w:lang w:val="fr-MC" w:eastAsia="fr-MC"/>
        </w:rPr>
        <w:tab/>
      </w:r>
      <w:r>
        <w:rPr>
          <w:lang w:val="fr-MC" w:eastAsia="fr-MC"/>
        </w:rPr>
        <w:tab/>
      </w:r>
      <w:r w:rsidR="0016597A" w:rsidRPr="0016597A">
        <w:rPr>
          <w:lang w:val="fr-MC" w:eastAsia="fr-MC"/>
        </w:rPr>
        <w:t>De la violence sexuelle généralisée contre les femmes et les enfan</w:t>
      </w:r>
      <w:r w:rsidR="00A6762E">
        <w:rPr>
          <w:lang w:val="fr-MC" w:eastAsia="fr-MC"/>
        </w:rPr>
        <w:t>ts dans les lieux de</w:t>
      </w:r>
      <w:r w:rsidR="002622B2">
        <w:rPr>
          <w:lang w:val="fr-MC" w:eastAsia="fr-MC"/>
        </w:rPr>
        <w:t> </w:t>
      </w:r>
      <w:r w:rsidR="00A6762E">
        <w:rPr>
          <w:lang w:val="fr-MC" w:eastAsia="fr-MC"/>
        </w:rPr>
        <w:t>détention</w:t>
      </w:r>
    </w:p>
    <w:p w14:paraId="04A86795" w14:textId="04386806" w:rsidR="0016597A" w:rsidRDefault="00BF2F03" w:rsidP="00BF2F03">
      <w:pPr>
        <w:pStyle w:val="SingleTxtG"/>
        <w:rPr>
          <w:b/>
          <w:bCs/>
          <w:lang w:val="fr-MC"/>
        </w:rPr>
      </w:pPr>
      <w:r>
        <w:rPr>
          <w:bCs/>
          <w:lang w:val="fr-MC"/>
        </w:rPr>
        <w:t>75.</w:t>
      </w:r>
      <w:r>
        <w:rPr>
          <w:bCs/>
          <w:lang w:val="fr-MC"/>
        </w:rPr>
        <w:tab/>
      </w:r>
      <w:r w:rsidR="0016597A" w:rsidRPr="0016597A">
        <w:rPr>
          <w:lang w:val="fr-MC"/>
        </w:rPr>
        <w:t xml:space="preserve">Les responsables de la prison ont mis en place un système de traitement de dossiers en rapport avec les éventuelles violences sexuelles basées sur le genre : les délégués des prisonniers </w:t>
      </w:r>
      <w:r w:rsidR="0016597A" w:rsidRPr="0016597A">
        <w:rPr>
          <w:lang w:val="fr-MC" w:eastAsia="fr-FR"/>
        </w:rPr>
        <w:t>reçoivent</w:t>
      </w:r>
      <w:r w:rsidR="0016597A" w:rsidRPr="0016597A">
        <w:rPr>
          <w:lang w:val="fr-MC"/>
        </w:rPr>
        <w:t xml:space="preserve"> les plaintes des victimes, écoutent les auteurs et en font rapport aux responsables de la prison. Ces derniers prennent à leur tour la décision de mettre les auteurs au cachot. Cela est renforcé par les acteurs étatiques et non étatiques intervenant en matière des droits de l’homme à travers l’organisation régulière des visites dans les lieux de détention par les </w:t>
      </w:r>
      <w:proofErr w:type="spellStart"/>
      <w:r w:rsidR="0016597A" w:rsidRPr="0016597A">
        <w:rPr>
          <w:lang w:val="fr-MC"/>
        </w:rPr>
        <w:t>ONGs</w:t>
      </w:r>
      <w:proofErr w:type="spellEnd"/>
      <w:r w:rsidR="0016597A" w:rsidRPr="0016597A">
        <w:rPr>
          <w:lang w:val="fr-MC"/>
        </w:rPr>
        <w:t xml:space="preserve"> et les institutions des droits de l’homme. </w:t>
      </w:r>
    </w:p>
    <w:p w14:paraId="4B9A7FA4" w14:textId="77777777" w:rsidR="0016597A" w:rsidRPr="0016597A" w:rsidRDefault="00CC66AC" w:rsidP="00BC23B3">
      <w:pPr>
        <w:pStyle w:val="H1G"/>
        <w:rPr>
          <w:lang w:val="fr-MC"/>
        </w:rPr>
      </w:pPr>
      <w:bookmarkStart w:id="23" w:name="_Toc529970209"/>
      <w:r>
        <w:rPr>
          <w:lang w:val="fr-MC"/>
        </w:rPr>
        <w:tab/>
      </w:r>
      <w:r>
        <w:rPr>
          <w:lang w:val="fr-MC"/>
        </w:rPr>
        <w:tab/>
      </w:r>
      <w:r w:rsidR="0016597A" w:rsidRPr="0016597A">
        <w:rPr>
          <w:lang w:val="fr-MC"/>
        </w:rPr>
        <w:t>Article 12 : De l’enquête au sujet de la commission d’un acte de torture</w:t>
      </w:r>
      <w:bookmarkEnd w:id="23"/>
    </w:p>
    <w:p w14:paraId="011F9F7B" w14:textId="6CB20360" w:rsidR="0016597A" w:rsidRPr="0016597A" w:rsidRDefault="00BF2F03" w:rsidP="00BF2F03">
      <w:pPr>
        <w:pStyle w:val="SingleTxtG"/>
        <w:rPr>
          <w:lang w:val="fr-MC"/>
        </w:rPr>
      </w:pPr>
      <w:r w:rsidRPr="0016597A">
        <w:rPr>
          <w:lang w:val="fr-MC"/>
        </w:rPr>
        <w:t>76.</w:t>
      </w:r>
      <w:r w:rsidRPr="0016597A">
        <w:rPr>
          <w:lang w:val="fr-MC"/>
        </w:rPr>
        <w:tab/>
      </w:r>
      <w:r w:rsidR="0016597A" w:rsidRPr="0016597A">
        <w:rPr>
          <w:lang w:val="fr-MC"/>
        </w:rPr>
        <w:t xml:space="preserve">Le Code de procédure pénale de 2018 est plus sévère pour ce qui est des cas de torture. L’article 349 du même </w:t>
      </w:r>
      <w:r w:rsidR="00A2570C">
        <w:rPr>
          <w:lang w:val="fr-MC"/>
        </w:rPr>
        <w:t>c</w:t>
      </w:r>
      <w:r w:rsidR="0016597A" w:rsidRPr="0016597A">
        <w:rPr>
          <w:lang w:val="fr-MC"/>
        </w:rPr>
        <w:t>ode prescrit qu</w:t>
      </w:r>
      <w:r w:rsidR="00BC23B3">
        <w:rPr>
          <w:lang w:val="fr-MC"/>
        </w:rPr>
        <w:t>’</w:t>
      </w:r>
      <w:r w:rsidR="00BC23B3" w:rsidRPr="0016597A">
        <w:rPr>
          <w:lang w:val="fr-MC"/>
        </w:rPr>
        <w:t>«</w:t>
      </w:r>
      <w:r w:rsidR="0016597A" w:rsidRPr="0016597A">
        <w:rPr>
          <w:lang w:val="fr-MC"/>
        </w:rPr>
        <w:t> En cas de torture par un préposé de l’Etat dans l’exercice de ses fonctions dûment constaté, et si la victime s’est régulièrement constituée partie civile, la réparation intégrale du préjudice est supportée par l’Etat ».</w:t>
      </w:r>
    </w:p>
    <w:p w14:paraId="3535F08D" w14:textId="5696A7D9" w:rsidR="0016597A" w:rsidRPr="0016597A" w:rsidRDefault="00BF2F03" w:rsidP="00BF2F03">
      <w:pPr>
        <w:pStyle w:val="SingleTxtG"/>
        <w:rPr>
          <w:lang w:val="fr-MC"/>
        </w:rPr>
      </w:pPr>
      <w:r w:rsidRPr="0016597A">
        <w:rPr>
          <w:lang w:val="fr-MC"/>
        </w:rPr>
        <w:t>77.</w:t>
      </w:r>
      <w:r w:rsidRPr="0016597A">
        <w:rPr>
          <w:lang w:val="fr-MC"/>
        </w:rPr>
        <w:tab/>
      </w:r>
      <w:r w:rsidR="0016597A" w:rsidRPr="0016597A">
        <w:rPr>
          <w:lang w:val="fr-MC"/>
        </w:rPr>
        <w:t xml:space="preserve">L’Etat peut exercer une action récursoire contre l’agent tortionnaire, ses coauteurs et ses </w:t>
      </w:r>
      <w:r w:rsidR="0016597A" w:rsidRPr="0016597A">
        <w:rPr>
          <w:lang w:val="fr-MC" w:eastAsia="fr-FR"/>
        </w:rPr>
        <w:t>complices</w:t>
      </w:r>
      <w:r w:rsidR="0016597A" w:rsidRPr="0016597A">
        <w:rPr>
          <w:lang w:val="fr-MC"/>
        </w:rPr>
        <w:t xml:space="preserve"> en cas d’indemnisat</w:t>
      </w:r>
      <w:r w:rsidR="009647C1">
        <w:rPr>
          <w:lang w:val="fr-MC"/>
        </w:rPr>
        <w:t>ion de la victime de la torture</w:t>
      </w:r>
      <w:r w:rsidR="0016597A" w:rsidRPr="00B345A8">
        <w:rPr>
          <w:rStyle w:val="Appelnotedebasdep"/>
        </w:rPr>
        <w:footnoteReference w:id="18"/>
      </w:r>
      <w:r w:rsidR="009647C1">
        <w:rPr>
          <w:lang w:val="fr-MC"/>
        </w:rPr>
        <w:t>.</w:t>
      </w:r>
    </w:p>
    <w:p w14:paraId="715A13E8" w14:textId="16946941" w:rsidR="0016597A" w:rsidRPr="0016597A" w:rsidRDefault="00BF2F03" w:rsidP="00BF2F03">
      <w:pPr>
        <w:pStyle w:val="SingleTxtG"/>
        <w:rPr>
          <w:lang w:val="fr-MC"/>
        </w:rPr>
      </w:pPr>
      <w:r w:rsidRPr="0016597A">
        <w:rPr>
          <w:lang w:val="fr-MC"/>
        </w:rPr>
        <w:t>78.</w:t>
      </w:r>
      <w:r w:rsidRPr="0016597A">
        <w:rPr>
          <w:lang w:val="fr-MC"/>
        </w:rPr>
        <w:tab/>
      </w:r>
      <w:r w:rsidR="0016597A" w:rsidRPr="0016597A">
        <w:rPr>
          <w:lang w:val="fr-MC"/>
        </w:rPr>
        <w:t xml:space="preserve">En cas de la commission d’un acte de torture, le Code de procédure pénale prévoit des enquêtes promptes, impartiales et exhaustives. Malheureusement, il n’existe pas de médecins </w:t>
      </w:r>
      <w:r w:rsidR="0016597A" w:rsidRPr="0016597A">
        <w:rPr>
          <w:lang w:val="fr-MC" w:eastAsia="fr-FR"/>
        </w:rPr>
        <w:t>légistes</w:t>
      </w:r>
      <w:r w:rsidR="0016597A" w:rsidRPr="0016597A">
        <w:rPr>
          <w:lang w:val="fr-MC"/>
        </w:rPr>
        <w:t xml:space="preserve"> formés à l’identification des séquelles de la torture. En cas de plainte contre la torture, les Officiers de Police Judiciaire et les Officiers du Ministère Public font recours aux médecins généralistes pour pouvoir apprécier les séquelles de la torture. </w:t>
      </w:r>
    </w:p>
    <w:p w14:paraId="27BAA9F3" w14:textId="5C82877B" w:rsidR="0016597A" w:rsidRPr="0016597A" w:rsidRDefault="00BF2F03" w:rsidP="00BF2F03">
      <w:pPr>
        <w:pStyle w:val="SingleTxtG"/>
        <w:rPr>
          <w:lang w:val="fr-MC"/>
        </w:rPr>
      </w:pPr>
      <w:r w:rsidRPr="0016597A">
        <w:rPr>
          <w:lang w:val="fr-MC"/>
        </w:rPr>
        <w:t>79.</w:t>
      </w:r>
      <w:r w:rsidRPr="0016597A">
        <w:rPr>
          <w:lang w:val="fr-MC"/>
        </w:rPr>
        <w:tab/>
      </w:r>
      <w:r w:rsidR="0016597A" w:rsidRPr="0016597A">
        <w:rPr>
          <w:lang w:val="fr-MC"/>
        </w:rPr>
        <w:t>Une fois l’infraction de torture établie, le Code pénal qui l’a érigée en infraction réprime sévèrement quiconque soumet une personne à des tortures ou autres traitements cruels, inhumains ou dégradants à une peine de servitude pénale de 10 ans à 15 ans et à une amende de cent mille à un million de francs burundais</w:t>
      </w:r>
      <w:r w:rsidR="0016597A" w:rsidRPr="00B345A8">
        <w:rPr>
          <w:rStyle w:val="Appelnotedebasdep"/>
        </w:rPr>
        <w:footnoteReference w:id="19"/>
      </w:r>
      <w:r w:rsidR="0016597A" w:rsidRPr="0016597A">
        <w:rPr>
          <w:lang w:val="fr-MC"/>
        </w:rPr>
        <w:t>.</w:t>
      </w:r>
    </w:p>
    <w:p w14:paraId="3F16987C" w14:textId="5408466C" w:rsidR="0016597A" w:rsidRPr="0016597A" w:rsidRDefault="00BF2F03" w:rsidP="00BF2F03">
      <w:pPr>
        <w:pStyle w:val="SingleTxtG"/>
        <w:rPr>
          <w:lang w:val="fr-MC"/>
        </w:rPr>
      </w:pPr>
      <w:r w:rsidRPr="0016597A">
        <w:rPr>
          <w:lang w:val="fr-MC"/>
        </w:rPr>
        <w:t>80.</w:t>
      </w:r>
      <w:r w:rsidRPr="0016597A">
        <w:rPr>
          <w:lang w:val="fr-MC"/>
        </w:rPr>
        <w:tab/>
      </w:r>
      <w:r w:rsidR="0016597A" w:rsidRPr="0016597A">
        <w:rPr>
          <w:lang w:val="fr-MC"/>
        </w:rPr>
        <w:t>Cependant, cette peine peut passer de 15 ans à 20 ans si la torture a été exercée contre un mineur de moins de 18 ans, sur une personne vulnérable en raison de son âge, de son état de santé, d’une infirmité, d’une déficience physique ou psychique ou d’un état de grossesse, sur un témoin, une victime ou une partie civile soit pour l’empêcher de dénoncer les faits, de porter plainte ou de déposer en justice, soit en raison de sa dénonciation de sa plainte ou de sa déposition, mais aussi avec usage ou menace d’une arme</w:t>
      </w:r>
      <w:r w:rsidR="0016597A" w:rsidRPr="00B345A8">
        <w:rPr>
          <w:rStyle w:val="Appelnotedebasdep"/>
        </w:rPr>
        <w:footnoteReference w:id="20"/>
      </w:r>
      <w:r w:rsidR="0016597A" w:rsidRPr="0016597A">
        <w:rPr>
          <w:lang w:val="fr-MC"/>
        </w:rPr>
        <w:t xml:space="preserve">. </w:t>
      </w:r>
    </w:p>
    <w:p w14:paraId="60E49247" w14:textId="610D3DCA" w:rsidR="0016597A" w:rsidRPr="0016597A" w:rsidRDefault="00BF2F03" w:rsidP="00BF2F03">
      <w:pPr>
        <w:pStyle w:val="SingleTxtG"/>
        <w:rPr>
          <w:lang w:val="fr-MC"/>
        </w:rPr>
      </w:pPr>
      <w:r w:rsidRPr="0016597A">
        <w:rPr>
          <w:lang w:val="fr-MC"/>
        </w:rPr>
        <w:t>81.</w:t>
      </w:r>
      <w:r w:rsidRPr="0016597A">
        <w:rPr>
          <w:lang w:val="fr-MC"/>
        </w:rPr>
        <w:tab/>
      </w:r>
      <w:r w:rsidR="0016597A" w:rsidRPr="0016597A">
        <w:rPr>
          <w:lang w:val="fr-MC"/>
        </w:rPr>
        <w:t>La peine de 20 ans est également prononcée lorsque la torture a entrainé une mutilation ou une infirmité permanente ou lorsqu’elle est accompagnée d’agression sexuelle</w:t>
      </w:r>
      <w:r w:rsidR="0016597A" w:rsidRPr="00B345A8">
        <w:rPr>
          <w:rStyle w:val="Appelnotedebasdep"/>
        </w:rPr>
        <w:footnoteReference w:id="21"/>
      </w:r>
      <w:r w:rsidR="0016597A" w:rsidRPr="0016597A">
        <w:rPr>
          <w:lang w:val="fr-MC"/>
        </w:rPr>
        <w:t xml:space="preserve">. </w:t>
      </w:r>
    </w:p>
    <w:p w14:paraId="3BCCA7B4" w14:textId="7FFE7CF8" w:rsidR="0016597A" w:rsidRPr="0016597A" w:rsidRDefault="00BF2F03" w:rsidP="00BF2F03">
      <w:pPr>
        <w:pStyle w:val="SingleTxtG"/>
        <w:rPr>
          <w:lang w:val="fr-MC"/>
        </w:rPr>
      </w:pPr>
      <w:r w:rsidRPr="0016597A">
        <w:rPr>
          <w:lang w:val="fr-MC"/>
        </w:rPr>
        <w:lastRenderedPageBreak/>
        <w:t>82.</w:t>
      </w:r>
      <w:r w:rsidRPr="0016597A">
        <w:rPr>
          <w:lang w:val="fr-MC"/>
        </w:rPr>
        <w:tab/>
      </w:r>
      <w:r w:rsidR="0016597A" w:rsidRPr="0016597A">
        <w:rPr>
          <w:lang w:val="fr-MC"/>
        </w:rPr>
        <w:t>La servitude pénale à perpétuité est prononcée lorsque la torture a entrainé la mort de la victime. Le Code pénal de 2017</w:t>
      </w:r>
      <w:r w:rsidR="002622B2">
        <w:rPr>
          <w:lang w:val="fr-MC"/>
        </w:rPr>
        <w:t xml:space="preserve"> </w:t>
      </w:r>
      <w:r w:rsidR="0016597A" w:rsidRPr="0016597A">
        <w:rPr>
          <w:lang w:val="fr-MC"/>
        </w:rPr>
        <w:t>renforce ces sanctions pénales en précisant qu’aucune circonstance exceptionnelle, quelle qu’elle soit, qu’il s’agisse de l’état de guerre ou de menace de guerre, d’instabilité politique intérieure ou de tout autre état d’exception, ne peut être invoquée pour justifier la torture et autres peines ou traitements cruels, inhumains ou dégradants</w:t>
      </w:r>
      <w:r w:rsidR="0016597A" w:rsidRPr="00B345A8">
        <w:rPr>
          <w:rStyle w:val="Appelnotedebasdep"/>
        </w:rPr>
        <w:footnoteReference w:id="22"/>
      </w:r>
      <w:r w:rsidR="0016597A" w:rsidRPr="0016597A">
        <w:rPr>
          <w:lang w:val="fr-MC"/>
        </w:rPr>
        <w:t xml:space="preserve">. </w:t>
      </w:r>
    </w:p>
    <w:p w14:paraId="354A6C2C" w14:textId="51352CA4" w:rsidR="0016597A" w:rsidRPr="0016597A" w:rsidRDefault="00BF2F03" w:rsidP="00BF2F03">
      <w:pPr>
        <w:pStyle w:val="SingleTxtG"/>
        <w:rPr>
          <w:lang w:val="fr-MC"/>
        </w:rPr>
      </w:pPr>
      <w:r w:rsidRPr="0016597A">
        <w:rPr>
          <w:lang w:val="fr-MC"/>
        </w:rPr>
        <w:t>83.</w:t>
      </w:r>
      <w:r w:rsidRPr="0016597A">
        <w:rPr>
          <w:lang w:val="fr-MC"/>
        </w:rPr>
        <w:tab/>
      </w:r>
      <w:r w:rsidR="0016597A" w:rsidRPr="0016597A">
        <w:rPr>
          <w:lang w:val="fr-MC"/>
        </w:rPr>
        <w:t xml:space="preserve">Les </w:t>
      </w:r>
      <w:r w:rsidR="0016597A" w:rsidRPr="0016597A">
        <w:rPr>
          <w:lang w:val="fr-MC" w:eastAsia="fr-FR"/>
        </w:rPr>
        <w:t>agents</w:t>
      </w:r>
      <w:r w:rsidR="0016597A" w:rsidRPr="0016597A">
        <w:rPr>
          <w:lang w:val="fr-MC"/>
        </w:rPr>
        <w:t xml:space="preserve"> de l’Etat ne peuvent non plus invoquer l’ordre d’un supérieur ou d’une autorité pub</w:t>
      </w:r>
      <w:r w:rsidR="009647C1">
        <w:rPr>
          <w:lang w:val="fr-MC"/>
        </w:rPr>
        <w:t>lique pour justifier la torture</w:t>
      </w:r>
      <w:r w:rsidR="0016597A" w:rsidRPr="00B345A8">
        <w:rPr>
          <w:rStyle w:val="Appelnotedebasdep"/>
        </w:rPr>
        <w:footnoteReference w:id="23"/>
      </w:r>
      <w:r w:rsidR="009647C1">
        <w:rPr>
          <w:lang w:val="fr-MC"/>
        </w:rPr>
        <w:t>.</w:t>
      </w:r>
    </w:p>
    <w:p w14:paraId="0324AE47" w14:textId="33DD7097" w:rsidR="0016597A" w:rsidRPr="0016597A" w:rsidRDefault="00BF2F03" w:rsidP="00BF2F03">
      <w:pPr>
        <w:pStyle w:val="SingleTxtG"/>
        <w:rPr>
          <w:lang w:val="fr-MC"/>
        </w:rPr>
      </w:pPr>
      <w:r w:rsidRPr="0016597A">
        <w:rPr>
          <w:lang w:val="fr-MC"/>
        </w:rPr>
        <w:t>84.</w:t>
      </w:r>
      <w:r w:rsidRPr="0016597A">
        <w:rPr>
          <w:lang w:val="fr-MC"/>
        </w:rPr>
        <w:tab/>
      </w:r>
      <w:r w:rsidR="0016597A" w:rsidRPr="0016597A">
        <w:rPr>
          <w:lang w:val="fr-MC"/>
        </w:rPr>
        <w:t xml:space="preserve">Il importe de préciser que ces peines sont incompressibles. Par ailleurs, d’autres sanctions </w:t>
      </w:r>
      <w:r w:rsidR="0016597A" w:rsidRPr="0016597A">
        <w:rPr>
          <w:lang w:val="fr-MC" w:eastAsia="fr-FR"/>
        </w:rPr>
        <w:t>complémentaires</w:t>
      </w:r>
      <w:r w:rsidR="0016597A" w:rsidRPr="0016597A">
        <w:rPr>
          <w:lang w:val="fr-MC"/>
        </w:rPr>
        <w:t xml:space="preserve"> ont été prévues par le Code pénal pour décourager ces actes de barbarie</w:t>
      </w:r>
      <w:r w:rsidR="0016597A" w:rsidRPr="00B345A8">
        <w:rPr>
          <w:rStyle w:val="Appelnotedebasdep"/>
        </w:rPr>
        <w:footnoteReference w:id="24"/>
      </w:r>
      <w:r w:rsidR="009647C1">
        <w:rPr>
          <w:lang w:val="fr-MC"/>
        </w:rPr>
        <w:t>.</w:t>
      </w:r>
    </w:p>
    <w:p w14:paraId="313E888D" w14:textId="787822D6" w:rsidR="0016597A" w:rsidRPr="0016597A" w:rsidRDefault="00BF2F03" w:rsidP="00BF2F03">
      <w:pPr>
        <w:pStyle w:val="SingleTxtG"/>
        <w:rPr>
          <w:lang w:val="fr-MC"/>
        </w:rPr>
      </w:pPr>
      <w:r w:rsidRPr="0016597A">
        <w:rPr>
          <w:lang w:val="fr-MC"/>
        </w:rPr>
        <w:t>85.</w:t>
      </w:r>
      <w:r w:rsidRPr="0016597A">
        <w:rPr>
          <w:lang w:val="fr-MC"/>
        </w:rPr>
        <w:tab/>
      </w:r>
      <w:r w:rsidR="0016597A" w:rsidRPr="0016597A">
        <w:rPr>
          <w:lang w:val="fr-MC"/>
        </w:rPr>
        <w:t>En plus de ces actes de torture, de traitements cruels, inhumains ou dégradants, d’autres infractions ou actes de violences ont été prévus dans ce code, notamment</w:t>
      </w:r>
      <w:r w:rsidR="0016597A">
        <w:rPr>
          <w:lang w:val="fr-MC"/>
        </w:rPr>
        <w:t xml:space="preserve"> </w:t>
      </w:r>
      <w:r w:rsidR="0016597A" w:rsidRPr="0016597A">
        <w:rPr>
          <w:lang w:val="fr-MC"/>
        </w:rPr>
        <w:t>l’homicide volontaire</w:t>
      </w:r>
      <w:r w:rsidR="0016597A" w:rsidRPr="00B345A8">
        <w:rPr>
          <w:rStyle w:val="Appelnotedebasdep"/>
        </w:rPr>
        <w:footnoteReference w:id="25"/>
      </w:r>
      <w:r w:rsidR="0016597A" w:rsidRPr="0016597A">
        <w:rPr>
          <w:lang w:val="fr-MC"/>
        </w:rPr>
        <w:t xml:space="preserve">. </w:t>
      </w:r>
    </w:p>
    <w:p w14:paraId="470949E3" w14:textId="2BB5CCA2" w:rsidR="0016597A" w:rsidRPr="0016597A" w:rsidRDefault="00BF2F03" w:rsidP="00BF2F03">
      <w:pPr>
        <w:pStyle w:val="SingleTxtG"/>
        <w:rPr>
          <w:lang w:val="fr-MC"/>
        </w:rPr>
      </w:pPr>
      <w:r w:rsidRPr="0016597A">
        <w:rPr>
          <w:lang w:val="fr-MC"/>
        </w:rPr>
        <w:t>86.</w:t>
      </w:r>
      <w:r w:rsidRPr="0016597A">
        <w:rPr>
          <w:lang w:val="fr-MC"/>
        </w:rPr>
        <w:tab/>
      </w:r>
      <w:r w:rsidR="0016597A" w:rsidRPr="0016597A">
        <w:rPr>
          <w:lang w:val="fr-MC"/>
        </w:rPr>
        <w:t>Le Code pénal prévoit également des sanctions très sévères pour le cas d’homicide volontaire, allant jusqu’à la peine d’une servitude pénale à perpétuité, quels que soient le mobile, les conditions et les moyens de la commission de l’infraction.</w:t>
      </w:r>
    </w:p>
    <w:p w14:paraId="4A6470F1" w14:textId="160A7EF9" w:rsidR="0016597A" w:rsidRPr="0016597A" w:rsidRDefault="00BF2F03" w:rsidP="00BF2F03">
      <w:pPr>
        <w:pStyle w:val="SingleTxtG"/>
        <w:rPr>
          <w:lang w:val="fr-MC"/>
        </w:rPr>
      </w:pPr>
      <w:r w:rsidRPr="0016597A">
        <w:rPr>
          <w:lang w:val="fr-MC"/>
        </w:rPr>
        <w:t>87.</w:t>
      </w:r>
      <w:r w:rsidRPr="0016597A">
        <w:rPr>
          <w:lang w:val="fr-MC"/>
        </w:rPr>
        <w:tab/>
      </w:r>
      <w:r w:rsidR="0016597A" w:rsidRPr="0016597A">
        <w:rPr>
          <w:lang w:val="fr-MC" w:eastAsia="fr-FR"/>
        </w:rPr>
        <w:t>L’article</w:t>
      </w:r>
      <w:r w:rsidR="0016597A" w:rsidRPr="0016597A">
        <w:rPr>
          <w:lang w:val="fr-MC"/>
        </w:rPr>
        <w:t xml:space="preserve"> 220 de ce code mentionne qu’elles sont incompressibles et que le juge, en même temps qu’il condamne à une peine principale, prononce une mesure de suivi socio-judiciaire sans préjudice des autres sanctions complémentaires prévues par ce même code.</w:t>
      </w:r>
    </w:p>
    <w:p w14:paraId="0A4DA179" w14:textId="6C0EFCF0" w:rsidR="0016597A" w:rsidRPr="0016597A" w:rsidRDefault="00BF2F03" w:rsidP="00BF2F03">
      <w:pPr>
        <w:pStyle w:val="SingleTxtG"/>
        <w:rPr>
          <w:lang w:val="fr-MC"/>
        </w:rPr>
      </w:pPr>
      <w:r w:rsidRPr="0016597A">
        <w:rPr>
          <w:lang w:val="fr-MC"/>
        </w:rPr>
        <w:t>88.</w:t>
      </w:r>
      <w:r w:rsidRPr="0016597A">
        <w:rPr>
          <w:lang w:val="fr-MC"/>
        </w:rPr>
        <w:tab/>
      </w:r>
      <w:r w:rsidR="0016597A" w:rsidRPr="0016597A">
        <w:rPr>
          <w:lang w:val="fr-MC"/>
        </w:rPr>
        <w:t xml:space="preserve">D’autres infractions ou actes de violences pouvant être liés aux actes de torture et prévus par ce code sont notamment : les </w:t>
      </w:r>
      <w:r w:rsidR="00A6762E">
        <w:rPr>
          <w:lang w:val="fr-MC"/>
        </w:rPr>
        <w:t>lésions corporelles volontaires</w:t>
      </w:r>
      <w:r w:rsidR="0016597A" w:rsidRPr="00B345A8">
        <w:rPr>
          <w:rStyle w:val="Appelnotedebasdep"/>
        </w:rPr>
        <w:footnoteReference w:id="26"/>
      </w:r>
      <w:r w:rsidR="00A6762E">
        <w:rPr>
          <w:lang w:val="fr-MC"/>
        </w:rPr>
        <w:t>,</w:t>
      </w:r>
      <w:r w:rsidR="0016597A" w:rsidRPr="0016597A">
        <w:rPr>
          <w:lang w:val="fr-MC"/>
        </w:rPr>
        <w:t xml:space="preserve"> les voies de fait</w:t>
      </w:r>
      <w:r w:rsidR="0016597A" w:rsidRPr="00B345A8">
        <w:rPr>
          <w:rStyle w:val="Appelnotedebasdep"/>
        </w:rPr>
        <w:footnoteReference w:id="27"/>
      </w:r>
      <w:r w:rsidR="0016597A" w:rsidRPr="0016597A">
        <w:rPr>
          <w:lang w:val="fr-MC"/>
        </w:rPr>
        <w:t>, l’enlèvement</w:t>
      </w:r>
      <w:r w:rsidR="0016597A" w:rsidRPr="00B345A8">
        <w:rPr>
          <w:rStyle w:val="Appelnotedebasdep"/>
        </w:rPr>
        <w:footnoteReference w:id="28"/>
      </w:r>
      <w:r w:rsidR="0016597A" w:rsidRPr="0016597A">
        <w:rPr>
          <w:lang w:val="fr-MC"/>
        </w:rPr>
        <w:t>, le viol</w:t>
      </w:r>
      <w:r w:rsidR="0016597A" w:rsidRPr="00B345A8">
        <w:rPr>
          <w:rStyle w:val="Appelnotedebasdep"/>
        </w:rPr>
        <w:footnoteReference w:id="29"/>
      </w:r>
      <w:r w:rsidR="0016597A" w:rsidRPr="0016597A">
        <w:rPr>
          <w:lang w:val="fr-MC"/>
        </w:rPr>
        <w:t>, les infractions contre l’ordre des famille</w:t>
      </w:r>
      <w:r w:rsidR="00CC66AC">
        <w:rPr>
          <w:lang w:val="fr-MC"/>
        </w:rPr>
        <w:t>s particulièrement l’avortement</w:t>
      </w:r>
      <w:r w:rsidR="0016597A" w:rsidRPr="00B345A8">
        <w:rPr>
          <w:rStyle w:val="Appelnotedebasdep"/>
        </w:rPr>
        <w:footnoteReference w:id="30"/>
      </w:r>
      <w:r w:rsidR="0016597A" w:rsidRPr="0016597A">
        <w:rPr>
          <w:lang w:val="fr-MC"/>
        </w:rPr>
        <w:t xml:space="preserve"> et </w:t>
      </w:r>
      <w:r w:rsidR="009647C1">
        <w:rPr>
          <w:lang w:val="fr-MC"/>
        </w:rPr>
        <w:t>les infractions contre l’enfant</w:t>
      </w:r>
      <w:r w:rsidR="0016597A" w:rsidRPr="00B345A8">
        <w:rPr>
          <w:rStyle w:val="Appelnotedebasdep"/>
        </w:rPr>
        <w:footnoteReference w:id="31"/>
      </w:r>
      <w:r w:rsidR="009647C1">
        <w:rPr>
          <w:lang w:val="fr-MC"/>
        </w:rPr>
        <w:t>.</w:t>
      </w:r>
    </w:p>
    <w:p w14:paraId="5F386337" w14:textId="05641890" w:rsidR="0016597A" w:rsidRPr="0016597A" w:rsidRDefault="00BF2F03" w:rsidP="00BF2F03">
      <w:pPr>
        <w:pStyle w:val="SingleTxtG"/>
        <w:rPr>
          <w:lang w:val="fr-MC"/>
        </w:rPr>
      </w:pPr>
      <w:r w:rsidRPr="0016597A">
        <w:rPr>
          <w:lang w:val="fr-MC"/>
        </w:rPr>
        <w:t>89.</w:t>
      </w:r>
      <w:r w:rsidRPr="0016597A">
        <w:rPr>
          <w:lang w:val="fr-MC"/>
        </w:rPr>
        <w:tab/>
      </w:r>
      <w:r w:rsidR="0016597A" w:rsidRPr="0016597A">
        <w:rPr>
          <w:lang w:val="fr-MC"/>
        </w:rPr>
        <w:t>Spécialement pour ce qui est des infractions contre l’enfant, le Code pénal punit de 10 ans de servitude pénale quiconque expose ou délaisse un enfant et que cela a entrainé une mutilation ou une infirmité et à 20 ans si cette exposition ou ce d</w:t>
      </w:r>
      <w:r w:rsidR="009647C1">
        <w:rPr>
          <w:lang w:val="fr-MC"/>
        </w:rPr>
        <w:t>élaissement a été suivi de mort</w:t>
      </w:r>
      <w:r w:rsidR="0016597A" w:rsidRPr="00B345A8">
        <w:rPr>
          <w:rStyle w:val="Appelnotedebasdep"/>
        </w:rPr>
        <w:footnoteReference w:id="32"/>
      </w:r>
      <w:r w:rsidR="009647C1">
        <w:rPr>
          <w:lang w:val="fr-MC"/>
        </w:rPr>
        <w:t>.</w:t>
      </w:r>
    </w:p>
    <w:p w14:paraId="11432108" w14:textId="1EFDB060" w:rsidR="0016597A" w:rsidRPr="0016597A" w:rsidRDefault="00BF2F03" w:rsidP="00BF2F03">
      <w:pPr>
        <w:pStyle w:val="SingleTxtG"/>
        <w:rPr>
          <w:lang w:val="fr-MC"/>
        </w:rPr>
      </w:pPr>
      <w:r w:rsidRPr="0016597A">
        <w:rPr>
          <w:lang w:val="fr-MC"/>
        </w:rPr>
        <w:t>90.</w:t>
      </w:r>
      <w:r w:rsidRPr="0016597A">
        <w:rPr>
          <w:lang w:val="fr-MC"/>
        </w:rPr>
        <w:tab/>
      </w:r>
      <w:r w:rsidR="0016597A" w:rsidRPr="0016597A">
        <w:rPr>
          <w:lang w:val="fr-MC"/>
        </w:rPr>
        <w:t>L’enlèvement d’un</w:t>
      </w:r>
      <w:r w:rsidR="0016597A" w:rsidRPr="0016597A">
        <w:rPr>
          <w:color w:val="FF0000"/>
          <w:lang w:val="fr-MC"/>
        </w:rPr>
        <w:t xml:space="preserve"> </w:t>
      </w:r>
      <w:r w:rsidR="0016597A" w:rsidRPr="0016597A">
        <w:rPr>
          <w:lang w:val="fr-MC"/>
        </w:rPr>
        <w:t>enfant exécuté dans le but de se faire une rançon est également puni de 10 à 20 ans de servitude pénale et si cet enlèvement a été suivi de mort de l’enfant. Dans ce cas, les coupables sont punis de servitude pénale à perpétuité</w:t>
      </w:r>
      <w:r w:rsidR="0016597A" w:rsidRPr="00B345A8">
        <w:rPr>
          <w:rStyle w:val="Appelnotedebasdep"/>
        </w:rPr>
        <w:footnoteReference w:id="33"/>
      </w:r>
      <w:r w:rsidR="0016597A" w:rsidRPr="0016597A">
        <w:rPr>
          <w:lang w:val="fr-MC"/>
        </w:rPr>
        <w:t>.</w:t>
      </w:r>
    </w:p>
    <w:p w14:paraId="5756E089" w14:textId="100BCE2E" w:rsidR="0016597A" w:rsidRPr="0016597A" w:rsidRDefault="00BF2F03" w:rsidP="00BF2F03">
      <w:pPr>
        <w:pStyle w:val="SingleTxtG"/>
        <w:rPr>
          <w:lang w:val="fr-MC"/>
        </w:rPr>
      </w:pPr>
      <w:r w:rsidRPr="0016597A">
        <w:rPr>
          <w:lang w:val="fr-MC"/>
        </w:rPr>
        <w:t>91.</w:t>
      </w:r>
      <w:r w:rsidRPr="0016597A">
        <w:rPr>
          <w:lang w:val="fr-MC"/>
        </w:rPr>
        <w:tab/>
      </w:r>
      <w:r w:rsidR="0016597A" w:rsidRPr="0016597A">
        <w:rPr>
          <w:lang w:val="fr-MC"/>
        </w:rPr>
        <w:t xml:space="preserve">Le </w:t>
      </w:r>
      <w:r w:rsidR="00A2570C" w:rsidRPr="0016597A">
        <w:rPr>
          <w:lang w:val="fr-MC"/>
        </w:rPr>
        <w:t xml:space="preserve">Code </w:t>
      </w:r>
      <w:r w:rsidR="0016597A" w:rsidRPr="0016597A">
        <w:rPr>
          <w:lang w:val="fr-MC"/>
        </w:rPr>
        <w:t>a également prévu des sanctions pénales contre d’autres faits répréhensifs contre l’enfant comme le fait d’obtenir frauduleusement une adoption de l’enfant</w:t>
      </w:r>
      <w:r w:rsidR="0016597A" w:rsidRPr="00B345A8">
        <w:rPr>
          <w:rStyle w:val="Appelnotedebasdep"/>
        </w:rPr>
        <w:footnoteReference w:id="34"/>
      </w:r>
      <w:r w:rsidR="0016597A" w:rsidRPr="0016597A">
        <w:rPr>
          <w:lang w:val="fr-MC"/>
        </w:rPr>
        <w:t>, le fait d’inciter directement un enfant à commettre un acte illicite ou susceptible de compromettre sa santé, sa moralité ou son développement</w:t>
      </w:r>
      <w:r w:rsidR="0016597A" w:rsidRPr="00B345A8">
        <w:rPr>
          <w:rStyle w:val="Appelnotedebasdep"/>
        </w:rPr>
        <w:footnoteReference w:id="35"/>
      </w:r>
      <w:r w:rsidR="0016597A" w:rsidRPr="0016597A">
        <w:rPr>
          <w:lang w:val="fr-MC"/>
        </w:rPr>
        <w:t>, le fait d’utiliser, recruter ou offrir un enfant à des fins de prostitution, de production de matériel ou de spectacles pornographiques</w:t>
      </w:r>
      <w:r w:rsidR="0016597A" w:rsidRPr="00B345A8">
        <w:rPr>
          <w:rStyle w:val="Appelnotedebasdep"/>
        </w:rPr>
        <w:footnoteReference w:id="36"/>
      </w:r>
      <w:r w:rsidR="0016597A" w:rsidRPr="0016597A">
        <w:rPr>
          <w:lang w:val="fr-MC"/>
        </w:rPr>
        <w:t xml:space="preserve">, le fait de se rendre coupable d’un acte ou d’une transaction portant sur le transfert d’un enfant </w:t>
      </w:r>
      <w:r w:rsidR="0016597A" w:rsidRPr="0016597A">
        <w:rPr>
          <w:lang w:val="fr-MC"/>
        </w:rPr>
        <w:lastRenderedPageBreak/>
        <w:t>à</w:t>
      </w:r>
      <w:r w:rsidR="00CC0721">
        <w:rPr>
          <w:lang w:val="fr-MC"/>
        </w:rPr>
        <w:t> </w:t>
      </w:r>
      <w:r w:rsidR="0016597A" w:rsidRPr="0016597A">
        <w:rPr>
          <w:lang w:val="fr-MC"/>
        </w:rPr>
        <w:t>quelqu’un contre une rémunération ou tout aut</w:t>
      </w:r>
      <w:r w:rsidR="00A6762E">
        <w:rPr>
          <w:lang w:val="fr-MC"/>
        </w:rPr>
        <w:t>re avantage</w:t>
      </w:r>
      <w:r w:rsidR="0016597A" w:rsidRPr="00B345A8">
        <w:rPr>
          <w:rStyle w:val="Appelnotedebasdep"/>
        </w:rPr>
        <w:footnoteReference w:id="37"/>
      </w:r>
      <w:r w:rsidR="0016597A" w:rsidRPr="0016597A">
        <w:rPr>
          <w:lang w:val="fr-MC"/>
        </w:rPr>
        <w:t>, ainsi que le fait d’utiliser un enfant à des activités sexuelles contre une rémunération ou toute autre forme d’avantage</w:t>
      </w:r>
      <w:r w:rsidR="0016597A" w:rsidRPr="00B345A8">
        <w:rPr>
          <w:rStyle w:val="Appelnotedebasdep"/>
        </w:rPr>
        <w:footnoteReference w:id="38"/>
      </w:r>
      <w:r w:rsidR="0016597A" w:rsidRPr="0016597A">
        <w:rPr>
          <w:lang w:val="fr-MC"/>
        </w:rPr>
        <w:t>.</w:t>
      </w:r>
    </w:p>
    <w:p w14:paraId="3AF0BD30" w14:textId="7982E6FA" w:rsidR="0016597A" w:rsidRPr="0016597A" w:rsidRDefault="00BF2F03" w:rsidP="00BF2F03">
      <w:pPr>
        <w:pStyle w:val="SingleTxtG"/>
        <w:rPr>
          <w:lang w:val="fr-MC"/>
        </w:rPr>
      </w:pPr>
      <w:r w:rsidRPr="0016597A">
        <w:rPr>
          <w:lang w:val="fr-MC"/>
        </w:rPr>
        <w:t>92.</w:t>
      </w:r>
      <w:r w:rsidRPr="0016597A">
        <w:rPr>
          <w:lang w:val="fr-MC"/>
        </w:rPr>
        <w:tab/>
      </w:r>
      <w:r w:rsidR="0016597A" w:rsidRPr="0016597A">
        <w:rPr>
          <w:lang w:val="fr-MC"/>
        </w:rPr>
        <w:t>Concernant les infractions contre l’ordre des familles, le Code pénal insiste particulièrement sur l’avortement, en précisant que celui qui, par aliments, breuvage, médicaments, a, à dessein, fait avorter une femme, en dehors des cas prévus par la loi, est puni d’une servitude pénale d’un an à deux ans et d’une amende de 20</w:t>
      </w:r>
      <w:r w:rsidR="00607AA9">
        <w:rPr>
          <w:lang w:val="fr-MC"/>
        </w:rPr>
        <w:t> </w:t>
      </w:r>
      <w:r w:rsidR="0016597A" w:rsidRPr="0016597A">
        <w:rPr>
          <w:lang w:val="fr-MC"/>
        </w:rPr>
        <w:t>000 FBU à 50</w:t>
      </w:r>
      <w:r w:rsidR="00607AA9">
        <w:rPr>
          <w:lang w:val="fr-MC"/>
        </w:rPr>
        <w:t> </w:t>
      </w:r>
      <w:r w:rsidR="0016597A" w:rsidRPr="0016597A">
        <w:rPr>
          <w:lang w:val="fr-MC"/>
        </w:rPr>
        <w:t>000 FBU. Il punit de 5 à 10 ans et d’une amende de 50</w:t>
      </w:r>
      <w:r w:rsidR="00607AA9">
        <w:rPr>
          <w:lang w:val="fr-MC"/>
        </w:rPr>
        <w:t> </w:t>
      </w:r>
      <w:r w:rsidR="0016597A" w:rsidRPr="0016597A">
        <w:rPr>
          <w:lang w:val="fr-MC"/>
        </w:rPr>
        <w:t>000 FBU à 100</w:t>
      </w:r>
      <w:r w:rsidR="00607AA9">
        <w:rPr>
          <w:lang w:val="fr-MC"/>
        </w:rPr>
        <w:t> </w:t>
      </w:r>
      <w:r w:rsidR="0016597A" w:rsidRPr="0016597A">
        <w:rPr>
          <w:lang w:val="fr-MC"/>
        </w:rPr>
        <w:t xml:space="preserve">000 FBU quiconque aurait exercé des violences contre une femme enceinte avec préméditation et avec connaissance de l’état de la victime. Et si cela a provoqué la mort de la femme, la peine est portée à 20 ans de servitude </w:t>
      </w:r>
      <w:r w:rsidR="009647C1">
        <w:rPr>
          <w:lang w:val="fr-MC"/>
        </w:rPr>
        <w:t>pénale</w:t>
      </w:r>
      <w:r w:rsidR="0016597A" w:rsidRPr="00B345A8">
        <w:rPr>
          <w:rStyle w:val="Appelnotedebasdep"/>
        </w:rPr>
        <w:footnoteReference w:id="39"/>
      </w:r>
      <w:r w:rsidR="009647C1">
        <w:rPr>
          <w:lang w:val="fr-MC"/>
        </w:rPr>
        <w:t>.</w:t>
      </w:r>
    </w:p>
    <w:p w14:paraId="4096B6F9" w14:textId="2D7B97FF" w:rsidR="0016597A" w:rsidRPr="0016597A" w:rsidRDefault="00BF2F03" w:rsidP="00BF2F03">
      <w:pPr>
        <w:pStyle w:val="SingleTxtG"/>
        <w:rPr>
          <w:lang w:val="fr-MC"/>
        </w:rPr>
      </w:pPr>
      <w:r w:rsidRPr="0016597A">
        <w:rPr>
          <w:lang w:val="fr-MC"/>
        </w:rPr>
        <w:t>93.</w:t>
      </w:r>
      <w:r w:rsidRPr="0016597A">
        <w:rPr>
          <w:lang w:val="fr-MC"/>
        </w:rPr>
        <w:tab/>
      </w:r>
      <w:r w:rsidR="0016597A" w:rsidRPr="0016597A">
        <w:rPr>
          <w:lang w:val="fr-MC"/>
        </w:rPr>
        <w:t>Il en est de même des violences domestiques (art</w:t>
      </w:r>
      <w:r w:rsidR="00607AA9">
        <w:rPr>
          <w:lang w:val="fr-MC"/>
        </w:rPr>
        <w:t>icle</w:t>
      </w:r>
      <w:r w:rsidR="0016597A" w:rsidRPr="0016597A">
        <w:rPr>
          <w:lang w:val="fr-MC"/>
        </w:rPr>
        <w:t xml:space="preserve"> 558). Le Code pénal punit d’une Servitude Pénale (SP) de 3 à 5 ans et d’une amende de 50</w:t>
      </w:r>
      <w:r w:rsidR="00607AA9">
        <w:rPr>
          <w:lang w:val="fr-MC"/>
        </w:rPr>
        <w:t> </w:t>
      </w:r>
      <w:r w:rsidR="0016597A" w:rsidRPr="0016597A">
        <w:rPr>
          <w:lang w:val="fr-MC"/>
        </w:rPr>
        <w:t>000 FBU quiconque soumet son conjoint, son enfant ou toute autre personne habitant le même toit à des traitements cruels, inhumains ou dégradants.</w:t>
      </w:r>
    </w:p>
    <w:p w14:paraId="70F654CE" w14:textId="1253A207" w:rsidR="0016597A" w:rsidRPr="00BF2F03" w:rsidRDefault="00BF2F03" w:rsidP="00BF2F03">
      <w:pPr>
        <w:pStyle w:val="SingleTxtG"/>
        <w:rPr>
          <w:color w:val="000000" w:themeColor="text1"/>
        </w:rPr>
      </w:pPr>
      <w:r w:rsidRPr="00BF2F03">
        <w:t>94.</w:t>
      </w:r>
      <w:r w:rsidRPr="00BF2F03">
        <w:tab/>
      </w:r>
      <w:r w:rsidR="0016597A" w:rsidRPr="0016597A">
        <w:t xml:space="preserve">Le </w:t>
      </w:r>
      <w:r w:rsidR="0016597A" w:rsidRPr="008A5B30">
        <w:rPr>
          <w:lang w:val="fr-MC"/>
        </w:rPr>
        <w:t>Burundi</w:t>
      </w:r>
      <w:r w:rsidR="0016597A" w:rsidRPr="0016597A">
        <w:t xml:space="preserve"> informe le Comité que les dispositions du Code pénal relatives aux violences conjugales sont toutes appliquées et que la loi spécifique </w:t>
      </w:r>
      <w:r w:rsidR="0016597A" w:rsidRPr="0016597A">
        <w:rPr>
          <w:lang w:val="fr-FR"/>
        </w:rPr>
        <w:t>portant prévention et répression des violences basées sur le genre</w:t>
      </w:r>
      <w:r w:rsidR="0016597A" w:rsidRPr="0016597A">
        <w:t xml:space="preserve"> a été promulguée en2016 (voir la</w:t>
      </w:r>
      <w:r w:rsidR="0016597A">
        <w:t xml:space="preserve"> </w:t>
      </w:r>
      <w:r w:rsidR="00607AA9">
        <w:t>l</w:t>
      </w:r>
      <w:r w:rsidR="0016597A" w:rsidRPr="0016597A">
        <w:t xml:space="preserve">oi </w:t>
      </w:r>
      <w:r w:rsidR="00607AA9" w:rsidRPr="0016597A">
        <w:rPr>
          <w:lang w:val="fr-MC"/>
        </w:rPr>
        <w:t>n</w:t>
      </w:r>
      <w:r w:rsidR="00607AA9" w:rsidRPr="008A395C">
        <w:rPr>
          <w:vertAlign w:val="superscript"/>
          <w:lang w:val="fr-MC"/>
        </w:rPr>
        <w:t>o</w:t>
      </w:r>
      <w:r w:rsidR="00607AA9">
        <w:rPr>
          <w:lang w:val="fr-MC"/>
        </w:rPr>
        <w:t> </w:t>
      </w:r>
      <w:r w:rsidR="0016597A" w:rsidRPr="0016597A">
        <w:t>1/013 du 22 septembre 2016 portant prévention, protection des victimes et répression des violences basées sur le genre).</w:t>
      </w:r>
    </w:p>
    <w:p w14:paraId="352067AF" w14:textId="334C5488" w:rsidR="0016597A" w:rsidRPr="0016597A" w:rsidRDefault="00BF2F03" w:rsidP="00BF2F03">
      <w:pPr>
        <w:pStyle w:val="SingleTxtG"/>
        <w:rPr>
          <w:lang w:val="fr-FR"/>
        </w:rPr>
      </w:pPr>
      <w:r w:rsidRPr="0016597A">
        <w:rPr>
          <w:lang w:val="fr-FR"/>
        </w:rPr>
        <w:t>95.</w:t>
      </w:r>
      <w:r w:rsidRPr="0016597A">
        <w:rPr>
          <w:lang w:val="fr-FR"/>
        </w:rPr>
        <w:tab/>
      </w:r>
      <w:r w:rsidR="0016597A" w:rsidRPr="0016597A">
        <w:t xml:space="preserve">La mise en application de cette loi permet de </w:t>
      </w:r>
      <w:r w:rsidR="0016597A" w:rsidRPr="0016597A">
        <w:rPr>
          <w:lang w:val="fr-FR"/>
        </w:rPr>
        <w:t xml:space="preserve">protéger les femmes contre toutes représailles et toute </w:t>
      </w:r>
      <w:r w:rsidR="0016597A" w:rsidRPr="008A5B30">
        <w:rPr>
          <w:lang w:val="fr-MC"/>
        </w:rPr>
        <w:t>réprobation</w:t>
      </w:r>
      <w:r w:rsidR="0016597A" w:rsidRPr="0016597A">
        <w:rPr>
          <w:lang w:val="fr-FR"/>
        </w:rPr>
        <w:t xml:space="preserve"> sociale, de garantir que les cas de violence conjugale fassent l’objet d’une enquête approfondie et que les auteurs soient traduits en justice à travers</w:t>
      </w:r>
      <w:r w:rsidR="0016597A">
        <w:rPr>
          <w:lang w:val="fr-FR"/>
        </w:rPr>
        <w:t xml:space="preserve"> </w:t>
      </w:r>
      <w:r w:rsidR="0016597A" w:rsidRPr="0016597A">
        <w:rPr>
          <w:lang w:val="fr-FR"/>
        </w:rPr>
        <w:t xml:space="preserve">la mises en place des Chambres spécialisées au sein des Cours et Tribunaux, la mise en place d’une unité de police des mineurs et de protection des mœurs, l’implantation des comités de lutte contre les </w:t>
      </w:r>
      <w:proofErr w:type="spellStart"/>
      <w:r w:rsidR="0016597A" w:rsidRPr="0016597A">
        <w:rPr>
          <w:lang w:val="fr-FR"/>
        </w:rPr>
        <w:t>VSBGs</w:t>
      </w:r>
      <w:proofErr w:type="spellEnd"/>
      <w:r w:rsidR="0016597A" w:rsidRPr="0016597A">
        <w:rPr>
          <w:lang w:val="fr-FR"/>
        </w:rPr>
        <w:t xml:space="preserve"> à tous les niveaux (niveau provincial, communal et collinaire). Afin de faire en sorte que les responsables de l’application des lois reçoivent une formation suffisante pour pouvoir prendre en charge les cas de violence conjugale, des formations ont été organisées à l’intention des Magistrats des chambres spécialisées et des unités de police des mineurs et protection des mœurs par des acteurs étatiques et non étatiques.</w:t>
      </w:r>
    </w:p>
    <w:p w14:paraId="3736805D" w14:textId="2132C215" w:rsidR="0016597A" w:rsidRPr="0016597A" w:rsidRDefault="00BF2F03" w:rsidP="00BF2F03">
      <w:pPr>
        <w:pStyle w:val="SingleTxtG"/>
        <w:rPr>
          <w:lang w:val="fr-FR"/>
        </w:rPr>
      </w:pPr>
      <w:r w:rsidRPr="0016597A">
        <w:rPr>
          <w:lang w:val="fr-FR"/>
        </w:rPr>
        <w:t>96.</w:t>
      </w:r>
      <w:r w:rsidRPr="0016597A">
        <w:rPr>
          <w:lang w:val="fr-FR"/>
        </w:rPr>
        <w:tab/>
      </w:r>
      <w:r w:rsidR="0016597A" w:rsidRPr="0016597A">
        <w:rPr>
          <w:lang w:val="fr-FR"/>
        </w:rPr>
        <w:t>En outre,</w:t>
      </w:r>
      <w:r w:rsidR="0016597A" w:rsidRPr="0016597A">
        <w:t xml:space="preserve"> le Burundi poursuit ses efforts en matière de lutte contre les VSBG, y</w:t>
      </w:r>
      <w:r w:rsidR="00607AA9">
        <w:t> </w:t>
      </w:r>
      <w:r w:rsidR="0016597A" w:rsidRPr="0016597A">
        <w:t>compris les violences conjugales. En effet, il est à noter la mise en place d’une cellule d’aide légale au Ministère de la Justice et de la Protection Civique dotée</w:t>
      </w:r>
      <w:r w:rsidR="0016597A" w:rsidRPr="0016597A">
        <w:rPr>
          <w:color w:val="FF0000"/>
        </w:rPr>
        <w:t xml:space="preserve"> </w:t>
      </w:r>
      <w:r w:rsidR="0016597A" w:rsidRPr="0016597A">
        <w:t>d’un budget d’assistance judicaire destiné à payer les honoraires d’avocats pour les vulnérables.</w:t>
      </w:r>
      <w:r w:rsidR="0016597A">
        <w:t xml:space="preserve"> </w:t>
      </w:r>
      <w:r w:rsidR="0016597A" w:rsidRPr="0016597A">
        <w:t xml:space="preserve">Signalons que les Centres de </w:t>
      </w:r>
      <w:r w:rsidR="0016597A" w:rsidRPr="008A5B30">
        <w:rPr>
          <w:lang w:val="fr-FR"/>
        </w:rPr>
        <w:t>Développement</w:t>
      </w:r>
      <w:r w:rsidR="0016597A" w:rsidRPr="0016597A">
        <w:t xml:space="preserve"> Familial et Communautaire (CDFC), services déconcentrés du Ministère en charge des droits de l’homme et du genre sont fortement impliqués dans la vulgarisation de la loi spécifique sur les VSBG et dans l’écoute, l’orientation et l’accompagnement des victimes des VSBG. </w:t>
      </w:r>
    </w:p>
    <w:p w14:paraId="40E736D1" w14:textId="155962DF" w:rsidR="0016597A" w:rsidRPr="0016597A" w:rsidRDefault="00BF2F03" w:rsidP="00BF2F03">
      <w:pPr>
        <w:pStyle w:val="SingleTxtG"/>
        <w:rPr>
          <w:lang w:val="fr-FR"/>
        </w:rPr>
      </w:pPr>
      <w:r w:rsidRPr="0016597A">
        <w:rPr>
          <w:lang w:val="fr-FR"/>
        </w:rPr>
        <w:t>97.</w:t>
      </w:r>
      <w:r w:rsidRPr="0016597A">
        <w:rPr>
          <w:lang w:val="fr-FR"/>
        </w:rPr>
        <w:tab/>
      </w:r>
      <w:r w:rsidR="0016597A" w:rsidRPr="0016597A">
        <w:rPr>
          <w:lang w:val="fr-FR"/>
        </w:rPr>
        <w:t xml:space="preserve">En vue d’accroitre l’assistance aux victimes non seulement des violences conjugales, mais aussi de celles des VSBG, de nouveaux centres de prise en charge intégrée ont été mis en place dans les Provinces de MAKAMBA, MUYINGA, CIBITOKE, </w:t>
      </w:r>
      <w:r w:rsidR="0016597A" w:rsidRPr="00CC66AC">
        <w:t>en 2017</w:t>
      </w:r>
      <w:r w:rsidR="00CC66AC" w:rsidRPr="00CC66AC">
        <w:t xml:space="preserve">, </w:t>
      </w:r>
      <w:r w:rsidR="0016597A" w:rsidRPr="00CC66AC">
        <w:t>en plus</w:t>
      </w:r>
      <w:r w:rsidR="0016597A" w:rsidRPr="0016597A">
        <w:rPr>
          <w:lang w:val="fr-FR"/>
        </w:rPr>
        <w:t xml:space="preserve"> des Centres HUMURA (étatique), SERUKA et NTURENGAHO (privés). Au sein de chacun de ces centres, il est organisé un service d’accompagnement juridique et judiciaire aux victimes.</w:t>
      </w:r>
    </w:p>
    <w:p w14:paraId="012ED143" w14:textId="5F853BF1" w:rsidR="0016597A" w:rsidRPr="0016597A" w:rsidRDefault="00BF2F03" w:rsidP="00BF2F03">
      <w:pPr>
        <w:pStyle w:val="SingleTxtG"/>
        <w:rPr>
          <w:lang w:val="fr-FR"/>
        </w:rPr>
      </w:pPr>
      <w:r w:rsidRPr="0016597A">
        <w:rPr>
          <w:lang w:val="fr-FR"/>
        </w:rPr>
        <w:t>98.</w:t>
      </w:r>
      <w:r w:rsidRPr="0016597A">
        <w:rPr>
          <w:lang w:val="fr-FR"/>
        </w:rPr>
        <w:tab/>
      </w:r>
      <w:r w:rsidR="0016597A" w:rsidRPr="0016597A">
        <w:rPr>
          <w:lang w:val="fr-FR"/>
        </w:rPr>
        <w:t xml:space="preserve">Enfin, dans les activités menées par ces centres, les campagnes de sensibilisation de la population sur les effets néfastes de la violence faite aux femmes constituent un des axes prioritaires de leurs interventions. </w:t>
      </w:r>
    </w:p>
    <w:p w14:paraId="7C1EA8F0" w14:textId="1EE8AEC3" w:rsidR="0016597A" w:rsidRPr="0016597A" w:rsidRDefault="00BF2F03" w:rsidP="00BF2F03">
      <w:pPr>
        <w:pStyle w:val="SingleTxtG"/>
        <w:rPr>
          <w:lang w:val="fr-MC"/>
        </w:rPr>
      </w:pPr>
      <w:r w:rsidRPr="0016597A">
        <w:rPr>
          <w:lang w:val="fr-MC"/>
        </w:rPr>
        <w:t>99.</w:t>
      </w:r>
      <w:r w:rsidRPr="0016597A">
        <w:rPr>
          <w:lang w:val="fr-MC"/>
        </w:rPr>
        <w:tab/>
      </w:r>
      <w:r w:rsidR="0016597A" w:rsidRPr="0016597A">
        <w:rPr>
          <w:lang w:val="fr-FR"/>
        </w:rPr>
        <w:t>Toutes ces mesures ont eu comme effet la régularisation des unions libres comme le montre le tableau ci-dessous.</w:t>
      </w:r>
    </w:p>
    <w:p w14:paraId="3F4408D5" w14:textId="4D6C80A7" w:rsidR="0016597A" w:rsidRPr="0016597A" w:rsidRDefault="00CC66AC" w:rsidP="00CC66AC">
      <w:pPr>
        <w:pStyle w:val="H23G"/>
        <w:rPr>
          <w:lang w:val="fr-FR"/>
        </w:rPr>
      </w:pPr>
      <w:r>
        <w:rPr>
          <w:lang w:val="fr-FR"/>
        </w:rPr>
        <w:lastRenderedPageBreak/>
        <w:tab/>
      </w:r>
      <w:r>
        <w:rPr>
          <w:lang w:val="fr-FR"/>
        </w:rPr>
        <w:tab/>
      </w:r>
      <w:r w:rsidR="0016597A" w:rsidRPr="0016597A">
        <w:rPr>
          <w:lang w:val="fr-FR"/>
        </w:rPr>
        <w:t xml:space="preserve">Tableau sur la régularisation des ménages en unions libres dans le cadre de l’application de la loi </w:t>
      </w:r>
      <w:r w:rsidR="0016597A" w:rsidRPr="0016597A">
        <w:t xml:space="preserve">spécifique </w:t>
      </w:r>
      <w:r w:rsidR="0016597A" w:rsidRPr="0016597A">
        <w:rPr>
          <w:lang w:val="fr-FR"/>
        </w:rPr>
        <w:t>portant Prévention et Protection des victimes</w:t>
      </w:r>
      <w:r>
        <w:rPr>
          <w:lang w:val="fr-FR"/>
        </w:rPr>
        <w:t xml:space="preserve"> </w:t>
      </w:r>
      <w:r w:rsidR="00607AA9">
        <w:rPr>
          <w:lang w:val="fr-FR"/>
        </w:rPr>
        <w:br/>
      </w:r>
      <w:r>
        <w:rPr>
          <w:lang w:val="fr-FR"/>
        </w:rPr>
        <w:t>sur les</w:t>
      </w:r>
      <w:r w:rsidR="00EF7F93">
        <w:rPr>
          <w:lang w:val="fr-FR"/>
        </w:rPr>
        <w:t xml:space="preserve"> </w:t>
      </w:r>
      <w:r>
        <w:rPr>
          <w:lang w:val="fr-FR"/>
        </w:rPr>
        <w:t>répression</w:t>
      </w:r>
      <w:r w:rsidR="00EF7F93">
        <w:rPr>
          <w:lang w:val="fr-FR"/>
        </w:rPr>
        <w:t xml:space="preserve">s </w:t>
      </w:r>
      <w:r>
        <w:rPr>
          <w:lang w:val="fr-FR"/>
        </w:rPr>
        <w:t>des VSBG</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3"/>
        <w:gridCol w:w="1824"/>
        <w:gridCol w:w="1359"/>
        <w:gridCol w:w="1978"/>
        <w:gridCol w:w="1286"/>
      </w:tblGrid>
      <w:tr w:rsidR="0016597A" w:rsidRPr="00CC66AC" w14:paraId="5053B8DC" w14:textId="77777777" w:rsidTr="00CC66AC">
        <w:trPr>
          <w:tblHeader/>
        </w:trPr>
        <w:tc>
          <w:tcPr>
            <w:tcW w:w="923" w:type="dxa"/>
            <w:tcBorders>
              <w:top w:val="single" w:sz="4" w:space="0" w:color="auto"/>
              <w:bottom w:val="single" w:sz="12" w:space="0" w:color="auto"/>
            </w:tcBorders>
            <w:shd w:val="clear" w:color="auto" w:fill="auto"/>
            <w:vAlign w:val="bottom"/>
          </w:tcPr>
          <w:p w14:paraId="3013AC52" w14:textId="77777777" w:rsidR="0016597A" w:rsidRPr="00CC66AC" w:rsidRDefault="0016597A" w:rsidP="00CC66AC">
            <w:pPr>
              <w:suppressAutoHyphens w:val="0"/>
              <w:kinsoku/>
              <w:overflowPunct/>
              <w:autoSpaceDE/>
              <w:autoSpaceDN/>
              <w:adjustRightInd/>
              <w:snapToGrid/>
              <w:spacing w:before="80" w:after="80" w:line="200" w:lineRule="exact"/>
              <w:rPr>
                <w:rFonts w:eastAsia="Times New Roman"/>
                <w:i/>
                <w:sz w:val="16"/>
                <w:szCs w:val="24"/>
              </w:rPr>
            </w:pPr>
            <w:r w:rsidRPr="00CC66AC">
              <w:rPr>
                <w:rFonts w:eastAsia="Times New Roman"/>
                <w:i/>
                <w:sz w:val="16"/>
                <w:szCs w:val="24"/>
              </w:rPr>
              <w:t>N° d’ordre</w:t>
            </w:r>
          </w:p>
        </w:tc>
        <w:tc>
          <w:tcPr>
            <w:tcW w:w="1824" w:type="dxa"/>
            <w:tcBorders>
              <w:top w:val="single" w:sz="4" w:space="0" w:color="auto"/>
              <w:bottom w:val="single" w:sz="12" w:space="0" w:color="auto"/>
            </w:tcBorders>
            <w:shd w:val="clear" w:color="auto" w:fill="auto"/>
            <w:vAlign w:val="bottom"/>
          </w:tcPr>
          <w:p w14:paraId="7DC69090" w14:textId="77777777" w:rsidR="0016597A" w:rsidRPr="00CC66AC" w:rsidRDefault="0016597A" w:rsidP="00BF2F03">
            <w:pPr>
              <w:suppressAutoHyphens w:val="0"/>
              <w:kinsoku/>
              <w:overflowPunct/>
              <w:autoSpaceDE/>
              <w:autoSpaceDN/>
              <w:adjustRightInd/>
              <w:snapToGrid/>
              <w:spacing w:before="80" w:after="80" w:line="200" w:lineRule="exact"/>
              <w:rPr>
                <w:rFonts w:eastAsia="Times New Roman"/>
                <w:i/>
                <w:sz w:val="16"/>
                <w:szCs w:val="24"/>
              </w:rPr>
            </w:pPr>
            <w:r w:rsidRPr="00CC66AC">
              <w:rPr>
                <w:rFonts w:eastAsia="Times New Roman"/>
                <w:i/>
                <w:sz w:val="16"/>
                <w:szCs w:val="24"/>
              </w:rPr>
              <w:t>Provinces</w:t>
            </w:r>
          </w:p>
        </w:tc>
        <w:tc>
          <w:tcPr>
            <w:tcW w:w="1359" w:type="dxa"/>
            <w:tcBorders>
              <w:top w:val="single" w:sz="4" w:space="0" w:color="auto"/>
              <w:bottom w:val="single" w:sz="12" w:space="0" w:color="auto"/>
            </w:tcBorders>
            <w:shd w:val="clear" w:color="auto" w:fill="auto"/>
            <w:vAlign w:val="bottom"/>
          </w:tcPr>
          <w:p w14:paraId="45A4EF28" w14:textId="77777777" w:rsidR="0016597A" w:rsidRPr="00CC66AC" w:rsidRDefault="0016597A" w:rsidP="00CC66AC">
            <w:pPr>
              <w:suppressAutoHyphens w:val="0"/>
              <w:kinsoku/>
              <w:overflowPunct/>
              <w:autoSpaceDE/>
              <w:autoSpaceDN/>
              <w:adjustRightInd/>
              <w:snapToGrid/>
              <w:spacing w:before="80" w:after="80" w:line="200" w:lineRule="exact"/>
              <w:jc w:val="right"/>
              <w:rPr>
                <w:rFonts w:eastAsia="Times New Roman"/>
                <w:i/>
                <w:sz w:val="16"/>
                <w:szCs w:val="24"/>
              </w:rPr>
            </w:pPr>
            <w:r w:rsidRPr="00CC66AC">
              <w:rPr>
                <w:rFonts w:eastAsia="Times New Roman"/>
                <w:i/>
                <w:sz w:val="16"/>
                <w:szCs w:val="24"/>
              </w:rPr>
              <w:t>MUL</w:t>
            </w:r>
          </w:p>
        </w:tc>
        <w:tc>
          <w:tcPr>
            <w:tcW w:w="1978" w:type="dxa"/>
            <w:tcBorders>
              <w:top w:val="single" w:sz="4" w:space="0" w:color="auto"/>
              <w:bottom w:val="single" w:sz="12" w:space="0" w:color="auto"/>
            </w:tcBorders>
            <w:shd w:val="clear" w:color="auto" w:fill="auto"/>
            <w:vAlign w:val="bottom"/>
          </w:tcPr>
          <w:p w14:paraId="63779B55" w14:textId="69419A99" w:rsidR="0016597A" w:rsidRPr="00CC66AC" w:rsidRDefault="0016597A" w:rsidP="00CC66AC">
            <w:pPr>
              <w:suppressAutoHyphens w:val="0"/>
              <w:kinsoku/>
              <w:overflowPunct/>
              <w:autoSpaceDE/>
              <w:autoSpaceDN/>
              <w:adjustRightInd/>
              <w:snapToGrid/>
              <w:spacing w:before="80" w:after="80" w:line="200" w:lineRule="exact"/>
              <w:jc w:val="right"/>
              <w:rPr>
                <w:rFonts w:eastAsia="Times New Roman"/>
                <w:i/>
                <w:sz w:val="16"/>
                <w:szCs w:val="24"/>
              </w:rPr>
            </w:pPr>
            <w:r w:rsidRPr="00CC66AC">
              <w:rPr>
                <w:rFonts w:eastAsia="Times New Roman"/>
                <w:i/>
                <w:sz w:val="16"/>
                <w:szCs w:val="24"/>
              </w:rPr>
              <w:t xml:space="preserve">Régularisés au </w:t>
            </w:r>
            <w:r w:rsidR="00607AA9">
              <w:rPr>
                <w:rFonts w:eastAsia="Times New Roman"/>
                <w:i/>
                <w:sz w:val="16"/>
                <w:szCs w:val="24"/>
              </w:rPr>
              <w:br/>
            </w:r>
            <w:r w:rsidRPr="00CC66AC">
              <w:rPr>
                <w:rFonts w:eastAsia="Times New Roman"/>
                <w:i/>
                <w:sz w:val="16"/>
                <w:szCs w:val="24"/>
              </w:rPr>
              <w:t>30 octobre 2018</w:t>
            </w:r>
          </w:p>
        </w:tc>
        <w:tc>
          <w:tcPr>
            <w:tcW w:w="1286" w:type="dxa"/>
            <w:tcBorders>
              <w:top w:val="single" w:sz="4" w:space="0" w:color="auto"/>
              <w:bottom w:val="single" w:sz="12" w:space="0" w:color="auto"/>
            </w:tcBorders>
            <w:shd w:val="clear" w:color="auto" w:fill="auto"/>
            <w:vAlign w:val="bottom"/>
          </w:tcPr>
          <w:p w14:paraId="7E8F08DB" w14:textId="77777777" w:rsidR="0016597A" w:rsidRPr="00CC66AC" w:rsidRDefault="0016597A" w:rsidP="00CC66AC">
            <w:pPr>
              <w:suppressAutoHyphens w:val="0"/>
              <w:kinsoku/>
              <w:overflowPunct/>
              <w:autoSpaceDE/>
              <w:autoSpaceDN/>
              <w:adjustRightInd/>
              <w:snapToGrid/>
              <w:spacing w:before="80" w:after="80" w:line="200" w:lineRule="exact"/>
              <w:jc w:val="right"/>
              <w:rPr>
                <w:rFonts w:eastAsia="Times New Roman"/>
                <w:i/>
                <w:sz w:val="16"/>
                <w:szCs w:val="24"/>
              </w:rPr>
            </w:pPr>
            <w:r w:rsidRPr="00CC66AC">
              <w:rPr>
                <w:rFonts w:eastAsia="Times New Roman"/>
                <w:i/>
                <w:sz w:val="16"/>
                <w:szCs w:val="24"/>
              </w:rPr>
              <w:t xml:space="preserve">Reste </w:t>
            </w:r>
          </w:p>
        </w:tc>
      </w:tr>
      <w:tr w:rsidR="0016597A" w:rsidRPr="00CC66AC" w14:paraId="62F1473B" w14:textId="77777777" w:rsidTr="00CC66AC">
        <w:tc>
          <w:tcPr>
            <w:tcW w:w="923" w:type="dxa"/>
            <w:tcBorders>
              <w:top w:val="single" w:sz="12" w:space="0" w:color="auto"/>
            </w:tcBorders>
            <w:shd w:val="clear" w:color="auto" w:fill="auto"/>
          </w:tcPr>
          <w:p w14:paraId="36E7C124" w14:textId="77777777" w:rsidR="0016597A" w:rsidRPr="00CC66AC" w:rsidRDefault="0016597A" w:rsidP="00CC66AC">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1</w:t>
            </w:r>
          </w:p>
        </w:tc>
        <w:tc>
          <w:tcPr>
            <w:tcW w:w="1824" w:type="dxa"/>
            <w:tcBorders>
              <w:top w:val="single" w:sz="12" w:space="0" w:color="auto"/>
            </w:tcBorders>
            <w:shd w:val="clear" w:color="auto" w:fill="auto"/>
            <w:vAlign w:val="bottom"/>
          </w:tcPr>
          <w:p w14:paraId="73E94729" w14:textId="77777777" w:rsidR="0016597A" w:rsidRPr="00CC66AC" w:rsidRDefault="0016597A" w:rsidP="00BF2F03">
            <w:pPr>
              <w:suppressAutoHyphens w:val="0"/>
              <w:kinsoku/>
              <w:overflowPunct/>
              <w:autoSpaceDE/>
              <w:autoSpaceDN/>
              <w:adjustRightInd/>
              <w:snapToGrid/>
              <w:spacing w:before="40" w:after="40" w:line="220" w:lineRule="exact"/>
              <w:rPr>
                <w:rFonts w:eastAsia="Times New Roman"/>
                <w:sz w:val="18"/>
                <w:szCs w:val="24"/>
              </w:rPr>
            </w:pPr>
            <w:proofErr w:type="spellStart"/>
            <w:r w:rsidRPr="00CC66AC">
              <w:rPr>
                <w:rFonts w:eastAsia="Times New Roman"/>
                <w:sz w:val="18"/>
                <w:szCs w:val="24"/>
              </w:rPr>
              <w:t>Bubanza</w:t>
            </w:r>
            <w:proofErr w:type="spellEnd"/>
          </w:p>
        </w:tc>
        <w:tc>
          <w:tcPr>
            <w:tcW w:w="1359" w:type="dxa"/>
            <w:tcBorders>
              <w:top w:val="single" w:sz="12" w:space="0" w:color="auto"/>
            </w:tcBorders>
            <w:shd w:val="clear" w:color="auto" w:fill="auto"/>
            <w:vAlign w:val="bottom"/>
          </w:tcPr>
          <w:p w14:paraId="575BDBDD" w14:textId="569061DB"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12</w:t>
            </w:r>
            <w:r w:rsidR="00A24D76">
              <w:rPr>
                <w:rFonts w:eastAsia="Times New Roman"/>
                <w:sz w:val="18"/>
                <w:szCs w:val="24"/>
              </w:rPr>
              <w:t xml:space="preserve"> </w:t>
            </w:r>
            <w:r w:rsidRPr="00CC66AC">
              <w:rPr>
                <w:rFonts w:eastAsia="Times New Roman"/>
                <w:sz w:val="18"/>
                <w:szCs w:val="24"/>
              </w:rPr>
              <w:t>048</w:t>
            </w:r>
          </w:p>
        </w:tc>
        <w:tc>
          <w:tcPr>
            <w:tcW w:w="1978" w:type="dxa"/>
            <w:tcBorders>
              <w:top w:val="single" w:sz="12" w:space="0" w:color="auto"/>
            </w:tcBorders>
            <w:shd w:val="clear" w:color="auto" w:fill="auto"/>
            <w:vAlign w:val="bottom"/>
          </w:tcPr>
          <w:p w14:paraId="7A0EA3BE" w14:textId="7C06EA91"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11</w:t>
            </w:r>
            <w:r w:rsidR="00A24D76">
              <w:rPr>
                <w:rFonts w:eastAsia="Times New Roman"/>
                <w:sz w:val="18"/>
                <w:szCs w:val="24"/>
              </w:rPr>
              <w:t xml:space="preserve"> </w:t>
            </w:r>
            <w:r w:rsidRPr="00CC66AC">
              <w:rPr>
                <w:rFonts w:eastAsia="Times New Roman"/>
                <w:sz w:val="18"/>
                <w:szCs w:val="24"/>
              </w:rPr>
              <w:t>746</w:t>
            </w:r>
          </w:p>
        </w:tc>
        <w:tc>
          <w:tcPr>
            <w:tcW w:w="1286" w:type="dxa"/>
            <w:tcBorders>
              <w:top w:val="single" w:sz="12" w:space="0" w:color="auto"/>
            </w:tcBorders>
            <w:shd w:val="clear" w:color="auto" w:fill="auto"/>
            <w:vAlign w:val="bottom"/>
          </w:tcPr>
          <w:p w14:paraId="1EACB6E6" w14:textId="77777777"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302</w:t>
            </w:r>
          </w:p>
        </w:tc>
      </w:tr>
      <w:tr w:rsidR="0016597A" w:rsidRPr="00CC66AC" w14:paraId="27EFA652" w14:textId="77777777" w:rsidTr="00CC66AC">
        <w:tc>
          <w:tcPr>
            <w:tcW w:w="923" w:type="dxa"/>
            <w:shd w:val="clear" w:color="auto" w:fill="auto"/>
          </w:tcPr>
          <w:p w14:paraId="5D468CAE" w14:textId="77777777" w:rsidR="0016597A" w:rsidRPr="00CC66AC" w:rsidRDefault="0016597A" w:rsidP="00CC66AC">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2</w:t>
            </w:r>
          </w:p>
        </w:tc>
        <w:tc>
          <w:tcPr>
            <w:tcW w:w="1824" w:type="dxa"/>
            <w:shd w:val="clear" w:color="auto" w:fill="auto"/>
            <w:vAlign w:val="bottom"/>
          </w:tcPr>
          <w:p w14:paraId="768FDEC7" w14:textId="77777777" w:rsidR="0016597A" w:rsidRPr="00CC66AC" w:rsidRDefault="0016597A" w:rsidP="00BF2F03">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Bujumbura</w:t>
            </w:r>
          </w:p>
        </w:tc>
        <w:tc>
          <w:tcPr>
            <w:tcW w:w="1359" w:type="dxa"/>
            <w:shd w:val="clear" w:color="auto" w:fill="auto"/>
            <w:vAlign w:val="bottom"/>
          </w:tcPr>
          <w:p w14:paraId="086263E5" w14:textId="3061BEFA"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13</w:t>
            </w:r>
            <w:r w:rsidR="00A24D76">
              <w:rPr>
                <w:rFonts w:eastAsia="Times New Roman"/>
                <w:sz w:val="18"/>
                <w:szCs w:val="24"/>
              </w:rPr>
              <w:t xml:space="preserve"> </w:t>
            </w:r>
            <w:r w:rsidRPr="00CC66AC">
              <w:rPr>
                <w:rFonts w:eastAsia="Times New Roman"/>
                <w:sz w:val="18"/>
                <w:szCs w:val="24"/>
              </w:rPr>
              <w:t>254</w:t>
            </w:r>
          </w:p>
        </w:tc>
        <w:tc>
          <w:tcPr>
            <w:tcW w:w="1978" w:type="dxa"/>
            <w:shd w:val="clear" w:color="auto" w:fill="auto"/>
            <w:vAlign w:val="bottom"/>
          </w:tcPr>
          <w:p w14:paraId="419EF560" w14:textId="30E851DD"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12</w:t>
            </w:r>
            <w:r w:rsidR="00A24D76">
              <w:rPr>
                <w:rFonts w:eastAsia="Times New Roman"/>
                <w:sz w:val="18"/>
                <w:szCs w:val="24"/>
              </w:rPr>
              <w:t xml:space="preserve"> </w:t>
            </w:r>
            <w:r w:rsidRPr="00CC66AC">
              <w:rPr>
                <w:rFonts w:eastAsia="Times New Roman"/>
                <w:sz w:val="18"/>
                <w:szCs w:val="24"/>
              </w:rPr>
              <w:t>952</w:t>
            </w:r>
          </w:p>
        </w:tc>
        <w:tc>
          <w:tcPr>
            <w:tcW w:w="1286" w:type="dxa"/>
            <w:shd w:val="clear" w:color="auto" w:fill="auto"/>
            <w:vAlign w:val="bottom"/>
          </w:tcPr>
          <w:p w14:paraId="0A382BA9" w14:textId="77777777"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302</w:t>
            </w:r>
          </w:p>
        </w:tc>
      </w:tr>
      <w:tr w:rsidR="0016597A" w:rsidRPr="00CC66AC" w14:paraId="0C56EBF4" w14:textId="77777777" w:rsidTr="00CC66AC">
        <w:tc>
          <w:tcPr>
            <w:tcW w:w="923" w:type="dxa"/>
            <w:shd w:val="clear" w:color="auto" w:fill="auto"/>
          </w:tcPr>
          <w:p w14:paraId="2FCC6CE9" w14:textId="77777777" w:rsidR="0016597A" w:rsidRPr="00CC66AC" w:rsidRDefault="0016597A" w:rsidP="00CC66AC">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3</w:t>
            </w:r>
          </w:p>
        </w:tc>
        <w:tc>
          <w:tcPr>
            <w:tcW w:w="1824" w:type="dxa"/>
            <w:shd w:val="clear" w:color="auto" w:fill="auto"/>
            <w:vAlign w:val="bottom"/>
          </w:tcPr>
          <w:p w14:paraId="507AE74F" w14:textId="77777777" w:rsidR="0016597A" w:rsidRPr="00CC66AC" w:rsidRDefault="0016597A" w:rsidP="00BF2F03">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 xml:space="preserve">Bururi </w:t>
            </w:r>
          </w:p>
        </w:tc>
        <w:tc>
          <w:tcPr>
            <w:tcW w:w="1359" w:type="dxa"/>
            <w:shd w:val="clear" w:color="auto" w:fill="auto"/>
            <w:vAlign w:val="bottom"/>
          </w:tcPr>
          <w:p w14:paraId="1608922D" w14:textId="5B996B58"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4</w:t>
            </w:r>
            <w:r w:rsidR="00A24D76">
              <w:rPr>
                <w:rFonts w:eastAsia="Times New Roman"/>
                <w:sz w:val="18"/>
                <w:szCs w:val="24"/>
              </w:rPr>
              <w:t xml:space="preserve"> </w:t>
            </w:r>
            <w:r w:rsidRPr="00CC66AC">
              <w:rPr>
                <w:rFonts w:eastAsia="Times New Roman"/>
                <w:sz w:val="18"/>
                <w:szCs w:val="24"/>
              </w:rPr>
              <w:t>473</w:t>
            </w:r>
          </w:p>
        </w:tc>
        <w:tc>
          <w:tcPr>
            <w:tcW w:w="1978" w:type="dxa"/>
            <w:shd w:val="clear" w:color="auto" w:fill="auto"/>
            <w:vAlign w:val="bottom"/>
          </w:tcPr>
          <w:p w14:paraId="61DC7EF8" w14:textId="27B7E391"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4</w:t>
            </w:r>
            <w:r w:rsidR="00A24D76">
              <w:rPr>
                <w:rFonts w:eastAsia="Times New Roman"/>
                <w:sz w:val="18"/>
                <w:szCs w:val="24"/>
              </w:rPr>
              <w:t xml:space="preserve"> </w:t>
            </w:r>
            <w:r w:rsidRPr="00CC66AC">
              <w:rPr>
                <w:rFonts w:eastAsia="Times New Roman"/>
                <w:sz w:val="18"/>
                <w:szCs w:val="24"/>
              </w:rPr>
              <w:t>179</w:t>
            </w:r>
          </w:p>
        </w:tc>
        <w:tc>
          <w:tcPr>
            <w:tcW w:w="1286" w:type="dxa"/>
            <w:shd w:val="clear" w:color="auto" w:fill="auto"/>
            <w:vAlign w:val="bottom"/>
          </w:tcPr>
          <w:p w14:paraId="62FFD9E4" w14:textId="77777777"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294</w:t>
            </w:r>
          </w:p>
        </w:tc>
      </w:tr>
      <w:tr w:rsidR="0016597A" w:rsidRPr="00CC66AC" w14:paraId="0C5CF99A" w14:textId="77777777" w:rsidTr="00CC66AC">
        <w:tc>
          <w:tcPr>
            <w:tcW w:w="923" w:type="dxa"/>
            <w:shd w:val="clear" w:color="auto" w:fill="auto"/>
          </w:tcPr>
          <w:p w14:paraId="7DA6A73C" w14:textId="77777777" w:rsidR="0016597A" w:rsidRPr="00CC66AC" w:rsidRDefault="0016597A" w:rsidP="00CC66AC">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4</w:t>
            </w:r>
          </w:p>
        </w:tc>
        <w:tc>
          <w:tcPr>
            <w:tcW w:w="1824" w:type="dxa"/>
            <w:shd w:val="clear" w:color="auto" w:fill="auto"/>
            <w:vAlign w:val="bottom"/>
          </w:tcPr>
          <w:p w14:paraId="7D6AA074" w14:textId="77777777" w:rsidR="0016597A" w:rsidRPr="00CC66AC" w:rsidRDefault="0016597A" w:rsidP="00BF2F03">
            <w:pPr>
              <w:suppressAutoHyphens w:val="0"/>
              <w:kinsoku/>
              <w:overflowPunct/>
              <w:autoSpaceDE/>
              <w:autoSpaceDN/>
              <w:adjustRightInd/>
              <w:snapToGrid/>
              <w:spacing w:before="40" w:after="40" w:line="220" w:lineRule="exact"/>
              <w:rPr>
                <w:rFonts w:eastAsia="Times New Roman"/>
                <w:sz w:val="18"/>
                <w:szCs w:val="24"/>
              </w:rPr>
            </w:pPr>
            <w:proofErr w:type="spellStart"/>
            <w:r w:rsidRPr="00CC66AC">
              <w:rPr>
                <w:rFonts w:eastAsia="Times New Roman"/>
                <w:sz w:val="18"/>
                <w:szCs w:val="24"/>
              </w:rPr>
              <w:t>Cankuzo</w:t>
            </w:r>
            <w:proofErr w:type="spellEnd"/>
          </w:p>
        </w:tc>
        <w:tc>
          <w:tcPr>
            <w:tcW w:w="1359" w:type="dxa"/>
            <w:shd w:val="clear" w:color="auto" w:fill="auto"/>
            <w:vAlign w:val="bottom"/>
          </w:tcPr>
          <w:p w14:paraId="7E9A857D" w14:textId="54A1E7EC"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9</w:t>
            </w:r>
            <w:r w:rsidR="00A24D76">
              <w:rPr>
                <w:rFonts w:eastAsia="Times New Roman"/>
                <w:sz w:val="18"/>
                <w:szCs w:val="24"/>
              </w:rPr>
              <w:t xml:space="preserve"> </w:t>
            </w:r>
            <w:r w:rsidRPr="00CC66AC">
              <w:rPr>
                <w:rFonts w:eastAsia="Times New Roman"/>
                <w:sz w:val="18"/>
                <w:szCs w:val="24"/>
              </w:rPr>
              <w:t>506</w:t>
            </w:r>
          </w:p>
        </w:tc>
        <w:tc>
          <w:tcPr>
            <w:tcW w:w="1978" w:type="dxa"/>
            <w:shd w:val="clear" w:color="auto" w:fill="auto"/>
            <w:vAlign w:val="bottom"/>
          </w:tcPr>
          <w:p w14:paraId="08FFF64A" w14:textId="624B360E"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9</w:t>
            </w:r>
            <w:r w:rsidR="00A24D76">
              <w:rPr>
                <w:rFonts w:eastAsia="Times New Roman"/>
                <w:sz w:val="18"/>
                <w:szCs w:val="24"/>
              </w:rPr>
              <w:t xml:space="preserve"> </w:t>
            </w:r>
            <w:r w:rsidRPr="00CC66AC">
              <w:rPr>
                <w:rFonts w:eastAsia="Times New Roman"/>
                <w:sz w:val="18"/>
                <w:szCs w:val="24"/>
              </w:rPr>
              <w:t>185</w:t>
            </w:r>
          </w:p>
        </w:tc>
        <w:tc>
          <w:tcPr>
            <w:tcW w:w="1286" w:type="dxa"/>
            <w:shd w:val="clear" w:color="auto" w:fill="auto"/>
            <w:vAlign w:val="bottom"/>
          </w:tcPr>
          <w:p w14:paraId="5E981B52" w14:textId="77777777"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321</w:t>
            </w:r>
          </w:p>
        </w:tc>
      </w:tr>
      <w:tr w:rsidR="0016597A" w:rsidRPr="00CC66AC" w14:paraId="76385854" w14:textId="77777777" w:rsidTr="00CC66AC">
        <w:tc>
          <w:tcPr>
            <w:tcW w:w="923" w:type="dxa"/>
            <w:shd w:val="clear" w:color="auto" w:fill="auto"/>
          </w:tcPr>
          <w:p w14:paraId="65E03021" w14:textId="77777777" w:rsidR="0016597A" w:rsidRPr="00CC66AC" w:rsidRDefault="0016597A" w:rsidP="00CC66AC">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5</w:t>
            </w:r>
          </w:p>
        </w:tc>
        <w:tc>
          <w:tcPr>
            <w:tcW w:w="1824" w:type="dxa"/>
            <w:shd w:val="clear" w:color="auto" w:fill="auto"/>
            <w:vAlign w:val="bottom"/>
          </w:tcPr>
          <w:p w14:paraId="64A3621D" w14:textId="77777777" w:rsidR="0016597A" w:rsidRPr="00CC66AC" w:rsidRDefault="0016597A" w:rsidP="00BF2F03">
            <w:pPr>
              <w:suppressAutoHyphens w:val="0"/>
              <w:kinsoku/>
              <w:overflowPunct/>
              <w:autoSpaceDE/>
              <w:autoSpaceDN/>
              <w:adjustRightInd/>
              <w:snapToGrid/>
              <w:spacing w:before="40" w:after="40" w:line="220" w:lineRule="exact"/>
              <w:rPr>
                <w:rFonts w:eastAsia="Times New Roman"/>
                <w:sz w:val="18"/>
                <w:szCs w:val="24"/>
              </w:rPr>
            </w:pPr>
            <w:proofErr w:type="spellStart"/>
            <w:r w:rsidRPr="00CC66AC">
              <w:rPr>
                <w:rFonts w:eastAsia="Times New Roman"/>
                <w:sz w:val="18"/>
                <w:szCs w:val="24"/>
              </w:rPr>
              <w:t>Cibitoke</w:t>
            </w:r>
            <w:proofErr w:type="spellEnd"/>
          </w:p>
        </w:tc>
        <w:tc>
          <w:tcPr>
            <w:tcW w:w="1359" w:type="dxa"/>
            <w:shd w:val="clear" w:color="auto" w:fill="auto"/>
            <w:vAlign w:val="bottom"/>
          </w:tcPr>
          <w:p w14:paraId="6AF7E39A" w14:textId="7A659172"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26</w:t>
            </w:r>
            <w:r w:rsidR="00A24D76">
              <w:rPr>
                <w:rFonts w:eastAsia="Times New Roman"/>
                <w:sz w:val="18"/>
                <w:szCs w:val="24"/>
              </w:rPr>
              <w:t xml:space="preserve"> </w:t>
            </w:r>
            <w:r w:rsidRPr="00CC66AC">
              <w:rPr>
                <w:rFonts w:eastAsia="Times New Roman"/>
                <w:sz w:val="18"/>
                <w:szCs w:val="24"/>
              </w:rPr>
              <w:t>140</w:t>
            </w:r>
          </w:p>
        </w:tc>
        <w:tc>
          <w:tcPr>
            <w:tcW w:w="1978" w:type="dxa"/>
            <w:shd w:val="clear" w:color="auto" w:fill="auto"/>
            <w:vAlign w:val="bottom"/>
          </w:tcPr>
          <w:p w14:paraId="42E36875" w14:textId="2589C4DE"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26</w:t>
            </w:r>
            <w:r w:rsidR="00A24D76">
              <w:rPr>
                <w:rFonts w:eastAsia="Times New Roman"/>
                <w:sz w:val="18"/>
                <w:szCs w:val="24"/>
              </w:rPr>
              <w:t xml:space="preserve"> </w:t>
            </w:r>
            <w:r w:rsidRPr="00CC66AC">
              <w:rPr>
                <w:rFonts w:eastAsia="Times New Roman"/>
                <w:sz w:val="18"/>
                <w:szCs w:val="24"/>
              </w:rPr>
              <w:t>078</w:t>
            </w:r>
          </w:p>
        </w:tc>
        <w:tc>
          <w:tcPr>
            <w:tcW w:w="1286" w:type="dxa"/>
            <w:shd w:val="clear" w:color="auto" w:fill="auto"/>
            <w:vAlign w:val="bottom"/>
          </w:tcPr>
          <w:p w14:paraId="292B1E5B" w14:textId="77777777"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62</w:t>
            </w:r>
          </w:p>
        </w:tc>
      </w:tr>
      <w:tr w:rsidR="0016597A" w:rsidRPr="00CC66AC" w14:paraId="6D609272" w14:textId="77777777" w:rsidTr="00CC66AC">
        <w:tc>
          <w:tcPr>
            <w:tcW w:w="923" w:type="dxa"/>
            <w:shd w:val="clear" w:color="auto" w:fill="auto"/>
          </w:tcPr>
          <w:p w14:paraId="6AA19576" w14:textId="77777777" w:rsidR="0016597A" w:rsidRPr="00CC66AC" w:rsidRDefault="0016597A" w:rsidP="00CC66AC">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6</w:t>
            </w:r>
          </w:p>
        </w:tc>
        <w:tc>
          <w:tcPr>
            <w:tcW w:w="1824" w:type="dxa"/>
            <w:shd w:val="clear" w:color="auto" w:fill="auto"/>
            <w:vAlign w:val="bottom"/>
          </w:tcPr>
          <w:p w14:paraId="53EFAEF3" w14:textId="77777777" w:rsidR="0016597A" w:rsidRPr="00CC66AC" w:rsidRDefault="0016597A" w:rsidP="00BF2F03">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 xml:space="preserve">Gitega </w:t>
            </w:r>
          </w:p>
        </w:tc>
        <w:tc>
          <w:tcPr>
            <w:tcW w:w="1359" w:type="dxa"/>
            <w:shd w:val="clear" w:color="auto" w:fill="auto"/>
            <w:vAlign w:val="bottom"/>
          </w:tcPr>
          <w:p w14:paraId="2D178D60" w14:textId="31523544"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13</w:t>
            </w:r>
            <w:r w:rsidR="00A24D76">
              <w:rPr>
                <w:rFonts w:eastAsia="Times New Roman"/>
                <w:sz w:val="18"/>
                <w:szCs w:val="24"/>
              </w:rPr>
              <w:t xml:space="preserve"> </w:t>
            </w:r>
            <w:r w:rsidRPr="00CC66AC">
              <w:rPr>
                <w:rFonts w:eastAsia="Times New Roman"/>
                <w:sz w:val="18"/>
                <w:szCs w:val="24"/>
              </w:rPr>
              <w:t>563</w:t>
            </w:r>
          </w:p>
        </w:tc>
        <w:tc>
          <w:tcPr>
            <w:tcW w:w="1978" w:type="dxa"/>
            <w:shd w:val="clear" w:color="auto" w:fill="auto"/>
            <w:vAlign w:val="bottom"/>
          </w:tcPr>
          <w:p w14:paraId="7B976155" w14:textId="39D24985"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13</w:t>
            </w:r>
            <w:r w:rsidR="00A24D76">
              <w:rPr>
                <w:rFonts w:eastAsia="Times New Roman"/>
                <w:sz w:val="18"/>
                <w:szCs w:val="24"/>
              </w:rPr>
              <w:t xml:space="preserve"> </w:t>
            </w:r>
            <w:r w:rsidRPr="00CC66AC">
              <w:rPr>
                <w:rFonts w:eastAsia="Times New Roman"/>
                <w:sz w:val="18"/>
                <w:szCs w:val="24"/>
              </w:rPr>
              <w:t>538</w:t>
            </w:r>
          </w:p>
        </w:tc>
        <w:tc>
          <w:tcPr>
            <w:tcW w:w="1286" w:type="dxa"/>
            <w:shd w:val="clear" w:color="auto" w:fill="auto"/>
            <w:vAlign w:val="bottom"/>
          </w:tcPr>
          <w:p w14:paraId="797DE253" w14:textId="77777777"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25</w:t>
            </w:r>
          </w:p>
        </w:tc>
      </w:tr>
      <w:tr w:rsidR="0016597A" w:rsidRPr="00CC66AC" w14:paraId="6BB9A617" w14:textId="77777777" w:rsidTr="00CC66AC">
        <w:tc>
          <w:tcPr>
            <w:tcW w:w="923" w:type="dxa"/>
            <w:shd w:val="clear" w:color="auto" w:fill="auto"/>
          </w:tcPr>
          <w:p w14:paraId="2CDF08D7" w14:textId="77777777" w:rsidR="0016597A" w:rsidRPr="00CC66AC" w:rsidRDefault="0016597A" w:rsidP="00CC66AC">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7</w:t>
            </w:r>
          </w:p>
        </w:tc>
        <w:tc>
          <w:tcPr>
            <w:tcW w:w="1824" w:type="dxa"/>
            <w:shd w:val="clear" w:color="auto" w:fill="auto"/>
            <w:vAlign w:val="bottom"/>
          </w:tcPr>
          <w:p w14:paraId="0362E977" w14:textId="77777777" w:rsidR="0016597A" w:rsidRPr="00CC66AC" w:rsidRDefault="0016597A" w:rsidP="00BF2F03">
            <w:pPr>
              <w:suppressAutoHyphens w:val="0"/>
              <w:kinsoku/>
              <w:overflowPunct/>
              <w:autoSpaceDE/>
              <w:autoSpaceDN/>
              <w:adjustRightInd/>
              <w:snapToGrid/>
              <w:spacing w:before="40" w:after="40" w:line="220" w:lineRule="exact"/>
              <w:rPr>
                <w:rFonts w:eastAsia="Times New Roman"/>
                <w:sz w:val="18"/>
                <w:szCs w:val="24"/>
              </w:rPr>
            </w:pPr>
            <w:proofErr w:type="spellStart"/>
            <w:r w:rsidRPr="00CC66AC">
              <w:rPr>
                <w:rFonts w:eastAsia="Times New Roman"/>
                <w:sz w:val="18"/>
                <w:szCs w:val="24"/>
              </w:rPr>
              <w:t>Karusi</w:t>
            </w:r>
            <w:proofErr w:type="spellEnd"/>
          </w:p>
        </w:tc>
        <w:tc>
          <w:tcPr>
            <w:tcW w:w="1359" w:type="dxa"/>
            <w:shd w:val="clear" w:color="auto" w:fill="auto"/>
            <w:vAlign w:val="bottom"/>
          </w:tcPr>
          <w:p w14:paraId="04A3270B" w14:textId="535B48A9"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9</w:t>
            </w:r>
            <w:r w:rsidR="00A24D76">
              <w:rPr>
                <w:rFonts w:eastAsia="Times New Roman"/>
                <w:sz w:val="18"/>
                <w:szCs w:val="24"/>
              </w:rPr>
              <w:t xml:space="preserve"> </w:t>
            </w:r>
            <w:r w:rsidRPr="00CC66AC">
              <w:rPr>
                <w:rFonts w:eastAsia="Times New Roman"/>
                <w:sz w:val="18"/>
                <w:szCs w:val="24"/>
              </w:rPr>
              <w:t>892</w:t>
            </w:r>
          </w:p>
        </w:tc>
        <w:tc>
          <w:tcPr>
            <w:tcW w:w="1978" w:type="dxa"/>
            <w:shd w:val="clear" w:color="auto" w:fill="auto"/>
            <w:vAlign w:val="bottom"/>
          </w:tcPr>
          <w:p w14:paraId="021D75F1" w14:textId="6FFF50F6"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7</w:t>
            </w:r>
            <w:r w:rsidR="00A24D76">
              <w:rPr>
                <w:rFonts w:eastAsia="Times New Roman"/>
                <w:sz w:val="18"/>
                <w:szCs w:val="24"/>
              </w:rPr>
              <w:t xml:space="preserve"> </w:t>
            </w:r>
            <w:r w:rsidRPr="00CC66AC">
              <w:rPr>
                <w:rFonts w:eastAsia="Times New Roman"/>
                <w:sz w:val="18"/>
                <w:szCs w:val="24"/>
              </w:rPr>
              <w:t>978</w:t>
            </w:r>
          </w:p>
        </w:tc>
        <w:tc>
          <w:tcPr>
            <w:tcW w:w="1286" w:type="dxa"/>
            <w:shd w:val="clear" w:color="auto" w:fill="auto"/>
            <w:vAlign w:val="bottom"/>
          </w:tcPr>
          <w:p w14:paraId="3F4240B8" w14:textId="34C72E76"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1</w:t>
            </w:r>
            <w:r w:rsidR="00353735">
              <w:rPr>
                <w:rFonts w:eastAsia="Times New Roman"/>
                <w:sz w:val="18"/>
                <w:szCs w:val="24"/>
              </w:rPr>
              <w:t xml:space="preserve"> </w:t>
            </w:r>
            <w:r w:rsidRPr="00CC66AC">
              <w:rPr>
                <w:rFonts w:eastAsia="Times New Roman"/>
                <w:sz w:val="18"/>
                <w:szCs w:val="24"/>
              </w:rPr>
              <w:t>914</w:t>
            </w:r>
          </w:p>
        </w:tc>
      </w:tr>
      <w:tr w:rsidR="0016597A" w:rsidRPr="00CC66AC" w14:paraId="424F1B64" w14:textId="77777777" w:rsidTr="00CC66AC">
        <w:tc>
          <w:tcPr>
            <w:tcW w:w="923" w:type="dxa"/>
            <w:shd w:val="clear" w:color="auto" w:fill="auto"/>
          </w:tcPr>
          <w:p w14:paraId="4C25A9A1" w14:textId="77777777" w:rsidR="0016597A" w:rsidRPr="00CC66AC" w:rsidRDefault="0016597A" w:rsidP="00CC66AC">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8</w:t>
            </w:r>
          </w:p>
        </w:tc>
        <w:tc>
          <w:tcPr>
            <w:tcW w:w="1824" w:type="dxa"/>
            <w:shd w:val="clear" w:color="auto" w:fill="auto"/>
            <w:vAlign w:val="bottom"/>
          </w:tcPr>
          <w:p w14:paraId="5BE96745" w14:textId="77777777" w:rsidR="0016597A" w:rsidRPr="00CC66AC" w:rsidRDefault="0016597A" w:rsidP="00BF2F03">
            <w:pPr>
              <w:suppressAutoHyphens w:val="0"/>
              <w:kinsoku/>
              <w:overflowPunct/>
              <w:autoSpaceDE/>
              <w:autoSpaceDN/>
              <w:adjustRightInd/>
              <w:snapToGrid/>
              <w:spacing w:before="40" w:after="40" w:line="220" w:lineRule="exact"/>
              <w:rPr>
                <w:rFonts w:eastAsia="Times New Roman"/>
                <w:sz w:val="18"/>
                <w:szCs w:val="24"/>
              </w:rPr>
            </w:pPr>
            <w:proofErr w:type="spellStart"/>
            <w:r w:rsidRPr="00CC66AC">
              <w:rPr>
                <w:rFonts w:eastAsia="Times New Roman"/>
                <w:sz w:val="18"/>
                <w:szCs w:val="24"/>
              </w:rPr>
              <w:t>Kirundo</w:t>
            </w:r>
            <w:proofErr w:type="spellEnd"/>
          </w:p>
        </w:tc>
        <w:tc>
          <w:tcPr>
            <w:tcW w:w="1359" w:type="dxa"/>
            <w:shd w:val="clear" w:color="auto" w:fill="auto"/>
            <w:vAlign w:val="bottom"/>
          </w:tcPr>
          <w:p w14:paraId="242B9D7B" w14:textId="77777777"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Non disponibles</w:t>
            </w:r>
          </w:p>
        </w:tc>
        <w:tc>
          <w:tcPr>
            <w:tcW w:w="1978" w:type="dxa"/>
            <w:shd w:val="clear" w:color="auto" w:fill="auto"/>
            <w:vAlign w:val="bottom"/>
          </w:tcPr>
          <w:p w14:paraId="3845423D" w14:textId="77777777"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w:t>
            </w:r>
          </w:p>
        </w:tc>
        <w:tc>
          <w:tcPr>
            <w:tcW w:w="1286" w:type="dxa"/>
            <w:shd w:val="clear" w:color="auto" w:fill="auto"/>
            <w:vAlign w:val="bottom"/>
          </w:tcPr>
          <w:p w14:paraId="540AEDBC" w14:textId="77777777"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w:t>
            </w:r>
          </w:p>
        </w:tc>
      </w:tr>
      <w:tr w:rsidR="0016597A" w:rsidRPr="00CC66AC" w14:paraId="79474B24" w14:textId="77777777" w:rsidTr="00CC66AC">
        <w:tc>
          <w:tcPr>
            <w:tcW w:w="923" w:type="dxa"/>
            <w:shd w:val="clear" w:color="auto" w:fill="auto"/>
          </w:tcPr>
          <w:p w14:paraId="6FDA99DA" w14:textId="77777777" w:rsidR="0016597A" w:rsidRPr="00CC66AC" w:rsidRDefault="0016597A" w:rsidP="00CC66AC">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9</w:t>
            </w:r>
          </w:p>
        </w:tc>
        <w:tc>
          <w:tcPr>
            <w:tcW w:w="1824" w:type="dxa"/>
            <w:shd w:val="clear" w:color="auto" w:fill="auto"/>
            <w:vAlign w:val="bottom"/>
          </w:tcPr>
          <w:p w14:paraId="304D27D3" w14:textId="77777777" w:rsidR="0016597A" w:rsidRPr="00CC66AC" w:rsidRDefault="0016597A" w:rsidP="00BF2F03">
            <w:pPr>
              <w:suppressAutoHyphens w:val="0"/>
              <w:kinsoku/>
              <w:overflowPunct/>
              <w:autoSpaceDE/>
              <w:autoSpaceDN/>
              <w:adjustRightInd/>
              <w:snapToGrid/>
              <w:spacing w:before="40" w:after="40" w:line="220" w:lineRule="exact"/>
              <w:rPr>
                <w:rFonts w:eastAsia="Times New Roman"/>
                <w:sz w:val="18"/>
                <w:szCs w:val="24"/>
              </w:rPr>
            </w:pPr>
            <w:proofErr w:type="spellStart"/>
            <w:r w:rsidRPr="00CC66AC">
              <w:rPr>
                <w:rFonts w:eastAsia="Times New Roman"/>
                <w:sz w:val="18"/>
                <w:szCs w:val="24"/>
              </w:rPr>
              <w:t>Kayanza</w:t>
            </w:r>
            <w:proofErr w:type="spellEnd"/>
          </w:p>
        </w:tc>
        <w:tc>
          <w:tcPr>
            <w:tcW w:w="1359" w:type="dxa"/>
            <w:shd w:val="clear" w:color="auto" w:fill="auto"/>
            <w:vAlign w:val="bottom"/>
          </w:tcPr>
          <w:p w14:paraId="1AFD8539" w14:textId="30D1D7D7"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7</w:t>
            </w:r>
            <w:r w:rsidR="00A24D76">
              <w:rPr>
                <w:rFonts w:eastAsia="Times New Roman"/>
                <w:sz w:val="18"/>
                <w:szCs w:val="24"/>
              </w:rPr>
              <w:t xml:space="preserve"> </w:t>
            </w:r>
            <w:r w:rsidRPr="00CC66AC">
              <w:rPr>
                <w:rFonts w:eastAsia="Times New Roman"/>
                <w:sz w:val="18"/>
                <w:szCs w:val="24"/>
              </w:rPr>
              <w:t>607</w:t>
            </w:r>
          </w:p>
        </w:tc>
        <w:tc>
          <w:tcPr>
            <w:tcW w:w="1978" w:type="dxa"/>
            <w:shd w:val="clear" w:color="auto" w:fill="auto"/>
            <w:vAlign w:val="bottom"/>
          </w:tcPr>
          <w:p w14:paraId="0AEC9EB2" w14:textId="7D523149"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7</w:t>
            </w:r>
            <w:r w:rsidR="00A24D76">
              <w:rPr>
                <w:rFonts w:eastAsia="Times New Roman"/>
                <w:sz w:val="18"/>
                <w:szCs w:val="24"/>
              </w:rPr>
              <w:t xml:space="preserve"> </w:t>
            </w:r>
            <w:r w:rsidRPr="00CC66AC">
              <w:rPr>
                <w:rFonts w:eastAsia="Times New Roman"/>
                <w:sz w:val="18"/>
                <w:szCs w:val="24"/>
              </w:rPr>
              <w:t>565</w:t>
            </w:r>
          </w:p>
        </w:tc>
        <w:tc>
          <w:tcPr>
            <w:tcW w:w="1286" w:type="dxa"/>
            <w:shd w:val="clear" w:color="auto" w:fill="auto"/>
            <w:vAlign w:val="bottom"/>
          </w:tcPr>
          <w:p w14:paraId="3290D4FA" w14:textId="77777777"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42</w:t>
            </w:r>
          </w:p>
        </w:tc>
      </w:tr>
      <w:tr w:rsidR="0016597A" w:rsidRPr="00CC66AC" w14:paraId="7445D427" w14:textId="77777777" w:rsidTr="00CC66AC">
        <w:tc>
          <w:tcPr>
            <w:tcW w:w="923" w:type="dxa"/>
            <w:shd w:val="clear" w:color="auto" w:fill="auto"/>
          </w:tcPr>
          <w:p w14:paraId="3F1A997E" w14:textId="77777777" w:rsidR="0016597A" w:rsidRPr="00CC66AC" w:rsidRDefault="0016597A" w:rsidP="00CC66AC">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10</w:t>
            </w:r>
          </w:p>
        </w:tc>
        <w:tc>
          <w:tcPr>
            <w:tcW w:w="1824" w:type="dxa"/>
            <w:shd w:val="clear" w:color="auto" w:fill="auto"/>
            <w:vAlign w:val="bottom"/>
          </w:tcPr>
          <w:p w14:paraId="7A7F4286" w14:textId="77777777" w:rsidR="0016597A" w:rsidRPr="00CC66AC" w:rsidRDefault="0016597A" w:rsidP="00BF2F03">
            <w:pPr>
              <w:suppressAutoHyphens w:val="0"/>
              <w:kinsoku/>
              <w:overflowPunct/>
              <w:autoSpaceDE/>
              <w:autoSpaceDN/>
              <w:adjustRightInd/>
              <w:snapToGrid/>
              <w:spacing w:before="40" w:after="40" w:line="220" w:lineRule="exact"/>
              <w:rPr>
                <w:rFonts w:eastAsia="Times New Roman"/>
                <w:sz w:val="18"/>
                <w:szCs w:val="24"/>
              </w:rPr>
            </w:pPr>
            <w:proofErr w:type="spellStart"/>
            <w:r w:rsidRPr="00CC66AC">
              <w:rPr>
                <w:rFonts w:eastAsia="Times New Roman"/>
                <w:sz w:val="18"/>
                <w:szCs w:val="24"/>
              </w:rPr>
              <w:t>Makamba</w:t>
            </w:r>
            <w:proofErr w:type="spellEnd"/>
          </w:p>
        </w:tc>
        <w:tc>
          <w:tcPr>
            <w:tcW w:w="1359" w:type="dxa"/>
            <w:shd w:val="clear" w:color="auto" w:fill="auto"/>
            <w:vAlign w:val="bottom"/>
          </w:tcPr>
          <w:p w14:paraId="7F280104" w14:textId="5539CA16"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25</w:t>
            </w:r>
            <w:r w:rsidR="00A24D76">
              <w:rPr>
                <w:rFonts w:eastAsia="Times New Roman"/>
                <w:sz w:val="18"/>
                <w:szCs w:val="24"/>
              </w:rPr>
              <w:t xml:space="preserve"> </w:t>
            </w:r>
            <w:r w:rsidRPr="00CC66AC">
              <w:rPr>
                <w:rFonts w:eastAsia="Times New Roman"/>
                <w:sz w:val="18"/>
                <w:szCs w:val="24"/>
              </w:rPr>
              <w:t>314</w:t>
            </w:r>
          </w:p>
        </w:tc>
        <w:tc>
          <w:tcPr>
            <w:tcW w:w="1978" w:type="dxa"/>
            <w:shd w:val="clear" w:color="auto" w:fill="auto"/>
            <w:vAlign w:val="bottom"/>
          </w:tcPr>
          <w:p w14:paraId="3CBBFDD9" w14:textId="250A7E8B"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15</w:t>
            </w:r>
            <w:r w:rsidR="00A24D76">
              <w:rPr>
                <w:rFonts w:eastAsia="Times New Roman"/>
                <w:sz w:val="18"/>
                <w:szCs w:val="24"/>
              </w:rPr>
              <w:t xml:space="preserve"> </w:t>
            </w:r>
            <w:r w:rsidRPr="00CC66AC">
              <w:rPr>
                <w:rFonts w:eastAsia="Times New Roman"/>
                <w:sz w:val="18"/>
                <w:szCs w:val="24"/>
              </w:rPr>
              <w:t>560</w:t>
            </w:r>
          </w:p>
        </w:tc>
        <w:tc>
          <w:tcPr>
            <w:tcW w:w="1286" w:type="dxa"/>
            <w:shd w:val="clear" w:color="auto" w:fill="auto"/>
            <w:vAlign w:val="bottom"/>
          </w:tcPr>
          <w:p w14:paraId="1306505E" w14:textId="1EA55817"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9</w:t>
            </w:r>
            <w:r w:rsidR="00A24D76">
              <w:rPr>
                <w:rFonts w:eastAsia="Times New Roman"/>
                <w:sz w:val="18"/>
                <w:szCs w:val="24"/>
              </w:rPr>
              <w:t xml:space="preserve"> </w:t>
            </w:r>
            <w:r w:rsidRPr="00CC66AC">
              <w:rPr>
                <w:rFonts w:eastAsia="Times New Roman"/>
                <w:sz w:val="18"/>
                <w:szCs w:val="24"/>
              </w:rPr>
              <w:t>754</w:t>
            </w:r>
          </w:p>
        </w:tc>
      </w:tr>
      <w:tr w:rsidR="0016597A" w:rsidRPr="00CC66AC" w14:paraId="454D54F7" w14:textId="77777777" w:rsidTr="00CC66AC">
        <w:tc>
          <w:tcPr>
            <w:tcW w:w="923" w:type="dxa"/>
            <w:shd w:val="clear" w:color="auto" w:fill="auto"/>
          </w:tcPr>
          <w:p w14:paraId="35E8CA3D" w14:textId="77777777" w:rsidR="0016597A" w:rsidRPr="00CC66AC" w:rsidRDefault="0016597A" w:rsidP="00CC66AC">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11</w:t>
            </w:r>
          </w:p>
        </w:tc>
        <w:tc>
          <w:tcPr>
            <w:tcW w:w="1824" w:type="dxa"/>
            <w:shd w:val="clear" w:color="auto" w:fill="auto"/>
            <w:vAlign w:val="bottom"/>
          </w:tcPr>
          <w:p w14:paraId="3EA3598E" w14:textId="77777777" w:rsidR="0016597A" w:rsidRPr="00CC66AC" w:rsidRDefault="0016597A" w:rsidP="00BF2F03">
            <w:pPr>
              <w:suppressAutoHyphens w:val="0"/>
              <w:kinsoku/>
              <w:overflowPunct/>
              <w:autoSpaceDE/>
              <w:autoSpaceDN/>
              <w:adjustRightInd/>
              <w:snapToGrid/>
              <w:spacing w:before="40" w:after="40" w:line="220" w:lineRule="exact"/>
              <w:rPr>
                <w:rFonts w:eastAsia="Times New Roman"/>
                <w:sz w:val="18"/>
                <w:szCs w:val="24"/>
              </w:rPr>
            </w:pPr>
            <w:proofErr w:type="spellStart"/>
            <w:r w:rsidRPr="00CC66AC">
              <w:rPr>
                <w:rFonts w:eastAsia="Times New Roman"/>
                <w:sz w:val="18"/>
                <w:szCs w:val="24"/>
              </w:rPr>
              <w:t>Muramvya</w:t>
            </w:r>
            <w:proofErr w:type="spellEnd"/>
          </w:p>
        </w:tc>
        <w:tc>
          <w:tcPr>
            <w:tcW w:w="1359" w:type="dxa"/>
            <w:shd w:val="clear" w:color="auto" w:fill="auto"/>
            <w:vAlign w:val="bottom"/>
          </w:tcPr>
          <w:p w14:paraId="1BAF7CCC" w14:textId="483129AB"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3</w:t>
            </w:r>
            <w:r w:rsidR="00A24D76">
              <w:rPr>
                <w:rFonts w:eastAsia="Times New Roman"/>
                <w:sz w:val="18"/>
                <w:szCs w:val="24"/>
              </w:rPr>
              <w:t xml:space="preserve"> </w:t>
            </w:r>
            <w:r w:rsidRPr="00CC66AC">
              <w:rPr>
                <w:rFonts w:eastAsia="Times New Roman"/>
                <w:sz w:val="18"/>
                <w:szCs w:val="24"/>
              </w:rPr>
              <w:t>442</w:t>
            </w:r>
          </w:p>
        </w:tc>
        <w:tc>
          <w:tcPr>
            <w:tcW w:w="1978" w:type="dxa"/>
            <w:shd w:val="clear" w:color="auto" w:fill="auto"/>
            <w:vAlign w:val="bottom"/>
          </w:tcPr>
          <w:p w14:paraId="36535A47" w14:textId="584E3CFB"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2</w:t>
            </w:r>
            <w:r w:rsidR="00353735">
              <w:rPr>
                <w:rFonts w:eastAsia="Times New Roman"/>
                <w:sz w:val="18"/>
                <w:szCs w:val="24"/>
              </w:rPr>
              <w:t xml:space="preserve"> </w:t>
            </w:r>
            <w:r w:rsidRPr="00CC66AC">
              <w:rPr>
                <w:rFonts w:eastAsia="Times New Roman"/>
                <w:sz w:val="18"/>
                <w:szCs w:val="24"/>
              </w:rPr>
              <w:t>878</w:t>
            </w:r>
          </w:p>
        </w:tc>
        <w:tc>
          <w:tcPr>
            <w:tcW w:w="1286" w:type="dxa"/>
            <w:shd w:val="clear" w:color="auto" w:fill="auto"/>
            <w:vAlign w:val="bottom"/>
          </w:tcPr>
          <w:p w14:paraId="36BB2A2A" w14:textId="77777777"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564</w:t>
            </w:r>
          </w:p>
        </w:tc>
      </w:tr>
      <w:tr w:rsidR="0016597A" w:rsidRPr="00CC66AC" w14:paraId="7685C44E" w14:textId="77777777" w:rsidTr="00CC66AC">
        <w:tc>
          <w:tcPr>
            <w:tcW w:w="923" w:type="dxa"/>
            <w:shd w:val="clear" w:color="auto" w:fill="auto"/>
          </w:tcPr>
          <w:p w14:paraId="42C15B0D" w14:textId="77777777" w:rsidR="0016597A" w:rsidRPr="00CC66AC" w:rsidRDefault="0016597A" w:rsidP="00CC66AC">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12</w:t>
            </w:r>
          </w:p>
        </w:tc>
        <w:tc>
          <w:tcPr>
            <w:tcW w:w="1824" w:type="dxa"/>
            <w:shd w:val="clear" w:color="auto" w:fill="auto"/>
            <w:vAlign w:val="bottom"/>
          </w:tcPr>
          <w:p w14:paraId="0ECEDAF7" w14:textId="77777777" w:rsidR="0016597A" w:rsidRPr="00CC66AC" w:rsidRDefault="0016597A" w:rsidP="00BF2F03">
            <w:pPr>
              <w:suppressAutoHyphens w:val="0"/>
              <w:kinsoku/>
              <w:overflowPunct/>
              <w:autoSpaceDE/>
              <w:autoSpaceDN/>
              <w:adjustRightInd/>
              <w:snapToGrid/>
              <w:spacing w:before="40" w:after="40" w:line="220" w:lineRule="exact"/>
              <w:rPr>
                <w:rFonts w:eastAsia="Times New Roman"/>
                <w:sz w:val="18"/>
                <w:szCs w:val="24"/>
              </w:rPr>
            </w:pPr>
            <w:proofErr w:type="spellStart"/>
            <w:r w:rsidRPr="00CC66AC">
              <w:rPr>
                <w:rFonts w:eastAsia="Times New Roman"/>
                <w:sz w:val="18"/>
                <w:szCs w:val="24"/>
              </w:rPr>
              <w:t>Muyinga</w:t>
            </w:r>
            <w:proofErr w:type="spellEnd"/>
          </w:p>
        </w:tc>
        <w:tc>
          <w:tcPr>
            <w:tcW w:w="1359" w:type="dxa"/>
            <w:shd w:val="clear" w:color="auto" w:fill="auto"/>
            <w:vAlign w:val="bottom"/>
          </w:tcPr>
          <w:p w14:paraId="30B2F605" w14:textId="2118719F"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20</w:t>
            </w:r>
            <w:r w:rsidR="00A24D76">
              <w:rPr>
                <w:rFonts w:eastAsia="Times New Roman"/>
                <w:sz w:val="18"/>
                <w:szCs w:val="24"/>
              </w:rPr>
              <w:t xml:space="preserve"> </w:t>
            </w:r>
            <w:r w:rsidRPr="00CC66AC">
              <w:rPr>
                <w:rFonts w:eastAsia="Times New Roman"/>
                <w:sz w:val="18"/>
                <w:szCs w:val="24"/>
              </w:rPr>
              <w:t>348</w:t>
            </w:r>
          </w:p>
        </w:tc>
        <w:tc>
          <w:tcPr>
            <w:tcW w:w="1978" w:type="dxa"/>
            <w:shd w:val="clear" w:color="auto" w:fill="auto"/>
            <w:vAlign w:val="bottom"/>
          </w:tcPr>
          <w:p w14:paraId="5C94F1CF" w14:textId="41CB94D6"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19</w:t>
            </w:r>
            <w:r w:rsidR="00A24D76">
              <w:rPr>
                <w:rFonts w:eastAsia="Times New Roman"/>
                <w:sz w:val="18"/>
                <w:szCs w:val="24"/>
              </w:rPr>
              <w:t xml:space="preserve"> </w:t>
            </w:r>
            <w:r w:rsidRPr="00CC66AC">
              <w:rPr>
                <w:rFonts w:eastAsia="Times New Roman"/>
                <w:sz w:val="18"/>
                <w:szCs w:val="24"/>
              </w:rPr>
              <w:t>497</w:t>
            </w:r>
          </w:p>
        </w:tc>
        <w:tc>
          <w:tcPr>
            <w:tcW w:w="1286" w:type="dxa"/>
            <w:shd w:val="clear" w:color="auto" w:fill="auto"/>
            <w:vAlign w:val="bottom"/>
          </w:tcPr>
          <w:p w14:paraId="590D83CA" w14:textId="77777777"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851</w:t>
            </w:r>
          </w:p>
        </w:tc>
      </w:tr>
      <w:tr w:rsidR="0016597A" w:rsidRPr="00CC66AC" w14:paraId="6B0BEF96" w14:textId="77777777" w:rsidTr="00CC66AC">
        <w:tc>
          <w:tcPr>
            <w:tcW w:w="923" w:type="dxa"/>
            <w:shd w:val="clear" w:color="auto" w:fill="auto"/>
          </w:tcPr>
          <w:p w14:paraId="04C8E212" w14:textId="77777777" w:rsidR="0016597A" w:rsidRPr="00CC66AC" w:rsidRDefault="0016597A" w:rsidP="00CC66AC">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13</w:t>
            </w:r>
          </w:p>
        </w:tc>
        <w:tc>
          <w:tcPr>
            <w:tcW w:w="1824" w:type="dxa"/>
            <w:shd w:val="clear" w:color="auto" w:fill="auto"/>
            <w:vAlign w:val="bottom"/>
          </w:tcPr>
          <w:p w14:paraId="29957839" w14:textId="77777777" w:rsidR="0016597A" w:rsidRPr="00CC66AC" w:rsidRDefault="0016597A" w:rsidP="00BF2F03">
            <w:pPr>
              <w:suppressAutoHyphens w:val="0"/>
              <w:kinsoku/>
              <w:overflowPunct/>
              <w:autoSpaceDE/>
              <w:autoSpaceDN/>
              <w:adjustRightInd/>
              <w:snapToGrid/>
              <w:spacing w:before="40" w:after="40" w:line="220" w:lineRule="exact"/>
              <w:rPr>
                <w:rFonts w:eastAsia="Times New Roman"/>
                <w:sz w:val="18"/>
                <w:szCs w:val="24"/>
              </w:rPr>
            </w:pPr>
            <w:proofErr w:type="spellStart"/>
            <w:r w:rsidRPr="00CC66AC">
              <w:rPr>
                <w:rFonts w:eastAsia="Times New Roman"/>
                <w:sz w:val="18"/>
                <w:szCs w:val="24"/>
              </w:rPr>
              <w:t>Mwaro</w:t>
            </w:r>
            <w:proofErr w:type="spellEnd"/>
          </w:p>
        </w:tc>
        <w:tc>
          <w:tcPr>
            <w:tcW w:w="1359" w:type="dxa"/>
            <w:shd w:val="clear" w:color="auto" w:fill="auto"/>
            <w:vAlign w:val="bottom"/>
          </w:tcPr>
          <w:p w14:paraId="6631F893" w14:textId="3A19B8CC"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1</w:t>
            </w:r>
            <w:r w:rsidR="00A24D76">
              <w:rPr>
                <w:rFonts w:eastAsia="Times New Roman"/>
                <w:sz w:val="18"/>
                <w:szCs w:val="24"/>
              </w:rPr>
              <w:t xml:space="preserve"> </w:t>
            </w:r>
            <w:r w:rsidRPr="00CC66AC">
              <w:rPr>
                <w:rFonts w:eastAsia="Times New Roman"/>
                <w:sz w:val="18"/>
                <w:szCs w:val="24"/>
              </w:rPr>
              <w:t>962</w:t>
            </w:r>
          </w:p>
        </w:tc>
        <w:tc>
          <w:tcPr>
            <w:tcW w:w="1978" w:type="dxa"/>
            <w:shd w:val="clear" w:color="auto" w:fill="auto"/>
            <w:vAlign w:val="bottom"/>
          </w:tcPr>
          <w:p w14:paraId="2619FF63" w14:textId="07D348E6"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1</w:t>
            </w:r>
            <w:r w:rsidR="00A24D76">
              <w:rPr>
                <w:rFonts w:eastAsia="Times New Roman"/>
                <w:sz w:val="18"/>
                <w:szCs w:val="24"/>
              </w:rPr>
              <w:t xml:space="preserve"> </w:t>
            </w:r>
            <w:r w:rsidRPr="00CC66AC">
              <w:rPr>
                <w:rFonts w:eastAsia="Times New Roman"/>
                <w:sz w:val="18"/>
                <w:szCs w:val="24"/>
              </w:rPr>
              <w:t>913</w:t>
            </w:r>
          </w:p>
        </w:tc>
        <w:tc>
          <w:tcPr>
            <w:tcW w:w="1286" w:type="dxa"/>
            <w:shd w:val="clear" w:color="auto" w:fill="auto"/>
            <w:vAlign w:val="bottom"/>
          </w:tcPr>
          <w:p w14:paraId="4E674697" w14:textId="77777777"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49</w:t>
            </w:r>
          </w:p>
        </w:tc>
      </w:tr>
      <w:tr w:rsidR="0016597A" w:rsidRPr="00CC66AC" w14:paraId="523E1E93" w14:textId="77777777" w:rsidTr="00CC66AC">
        <w:tc>
          <w:tcPr>
            <w:tcW w:w="923" w:type="dxa"/>
            <w:shd w:val="clear" w:color="auto" w:fill="auto"/>
          </w:tcPr>
          <w:p w14:paraId="43F33A70" w14:textId="77777777" w:rsidR="0016597A" w:rsidRPr="00CC66AC" w:rsidRDefault="0016597A" w:rsidP="00CC66AC">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14</w:t>
            </w:r>
          </w:p>
        </w:tc>
        <w:tc>
          <w:tcPr>
            <w:tcW w:w="1824" w:type="dxa"/>
            <w:shd w:val="clear" w:color="auto" w:fill="auto"/>
            <w:vAlign w:val="bottom"/>
          </w:tcPr>
          <w:p w14:paraId="6515B8B8" w14:textId="77777777" w:rsidR="0016597A" w:rsidRPr="00CC66AC" w:rsidRDefault="0016597A" w:rsidP="00BF2F03">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 xml:space="preserve">Ngozi </w:t>
            </w:r>
          </w:p>
        </w:tc>
        <w:tc>
          <w:tcPr>
            <w:tcW w:w="1359" w:type="dxa"/>
            <w:shd w:val="clear" w:color="auto" w:fill="auto"/>
            <w:vAlign w:val="bottom"/>
          </w:tcPr>
          <w:p w14:paraId="0D5C697A" w14:textId="4FA04A6A"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49</w:t>
            </w:r>
            <w:r w:rsidR="00A24D76">
              <w:rPr>
                <w:rFonts w:eastAsia="Times New Roman"/>
                <w:sz w:val="18"/>
                <w:szCs w:val="24"/>
              </w:rPr>
              <w:t xml:space="preserve"> </w:t>
            </w:r>
            <w:r w:rsidRPr="00CC66AC">
              <w:rPr>
                <w:rFonts w:eastAsia="Times New Roman"/>
                <w:sz w:val="18"/>
                <w:szCs w:val="24"/>
              </w:rPr>
              <w:t>125</w:t>
            </w:r>
          </w:p>
        </w:tc>
        <w:tc>
          <w:tcPr>
            <w:tcW w:w="1978" w:type="dxa"/>
            <w:shd w:val="clear" w:color="auto" w:fill="auto"/>
            <w:vAlign w:val="bottom"/>
          </w:tcPr>
          <w:p w14:paraId="2D471FC0" w14:textId="53539A73"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46</w:t>
            </w:r>
            <w:r w:rsidR="00A24D76">
              <w:rPr>
                <w:rFonts w:eastAsia="Times New Roman"/>
                <w:sz w:val="18"/>
                <w:szCs w:val="24"/>
              </w:rPr>
              <w:t xml:space="preserve"> </w:t>
            </w:r>
            <w:r w:rsidRPr="00CC66AC">
              <w:rPr>
                <w:rFonts w:eastAsia="Times New Roman"/>
                <w:sz w:val="18"/>
                <w:szCs w:val="24"/>
              </w:rPr>
              <w:t>305</w:t>
            </w:r>
          </w:p>
        </w:tc>
        <w:tc>
          <w:tcPr>
            <w:tcW w:w="1286" w:type="dxa"/>
            <w:shd w:val="clear" w:color="auto" w:fill="auto"/>
            <w:vAlign w:val="bottom"/>
          </w:tcPr>
          <w:p w14:paraId="1C99C598" w14:textId="495914BB"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2</w:t>
            </w:r>
            <w:r w:rsidR="00A24D76">
              <w:rPr>
                <w:rFonts w:eastAsia="Times New Roman"/>
                <w:sz w:val="18"/>
                <w:szCs w:val="24"/>
              </w:rPr>
              <w:t xml:space="preserve"> </w:t>
            </w:r>
            <w:r w:rsidRPr="00CC66AC">
              <w:rPr>
                <w:rFonts w:eastAsia="Times New Roman"/>
                <w:sz w:val="18"/>
                <w:szCs w:val="24"/>
              </w:rPr>
              <w:t>820</w:t>
            </w:r>
          </w:p>
        </w:tc>
      </w:tr>
      <w:tr w:rsidR="0016597A" w:rsidRPr="00CC66AC" w14:paraId="3149F38E" w14:textId="77777777" w:rsidTr="00CC66AC">
        <w:tc>
          <w:tcPr>
            <w:tcW w:w="923" w:type="dxa"/>
            <w:shd w:val="clear" w:color="auto" w:fill="auto"/>
          </w:tcPr>
          <w:p w14:paraId="3427DCBF" w14:textId="77777777" w:rsidR="0016597A" w:rsidRPr="00CC66AC" w:rsidRDefault="0016597A" w:rsidP="00CC66AC">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15</w:t>
            </w:r>
          </w:p>
        </w:tc>
        <w:tc>
          <w:tcPr>
            <w:tcW w:w="1824" w:type="dxa"/>
            <w:shd w:val="clear" w:color="auto" w:fill="auto"/>
            <w:vAlign w:val="bottom"/>
          </w:tcPr>
          <w:p w14:paraId="784C6213" w14:textId="77777777" w:rsidR="0016597A" w:rsidRPr="00CC66AC" w:rsidRDefault="0016597A" w:rsidP="00BF2F03">
            <w:pPr>
              <w:suppressAutoHyphens w:val="0"/>
              <w:kinsoku/>
              <w:overflowPunct/>
              <w:autoSpaceDE/>
              <w:autoSpaceDN/>
              <w:adjustRightInd/>
              <w:snapToGrid/>
              <w:spacing w:before="40" w:after="40" w:line="220" w:lineRule="exact"/>
              <w:rPr>
                <w:rFonts w:eastAsia="Times New Roman"/>
                <w:sz w:val="18"/>
                <w:szCs w:val="24"/>
              </w:rPr>
            </w:pPr>
            <w:proofErr w:type="spellStart"/>
            <w:r w:rsidRPr="00CC66AC">
              <w:rPr>
                <w:rFonts w:eastAsia="Times New Roman"/>
                <w:sz w:val="18"/>
                <w:szCs w:val="24"/>
              </w:rPr>
              <w:t>Rumonge</w:t>
            </w:r>
            <w:proofErr w:type="spellEnd"/>
          </w:p>
        </w:tc>
        <w:tc>
          <w:tcPr>
            <w:tcW w:w="1359" w:type="dxa"/>
            <w:shd w:val="clear" w:color="auto" w:fill="auto"/>
            <w:vAlign w:val="bottom"/>
          </w:tcPr>
          <w:p w14:paraId="255B792D" w14:textId="797D136F"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7</w:t>
            </w:r>
            <w:r w:rsidR="00A24D76">
              <w:rPr>
                <w:rFonts w:eastAsia="Times New Roman"/>
                <w:sz w:val="18"/>
                <w:szCs w:val="24"/>
              </w:rPr>
              <w:t xml:space="preserve"> </w:t>
            </w:r>
            <w:r w:rsidRPr="00CC66AC">
              <w:rPr>
                <w:rFonts w:eastAsia="Times New Roman"/>
                <w:sz w:val="18"/>
                <w:szCs w:val="24"/>
              </w:rPr>
              <w:t>456</w:t>
            </w:r>
          </w:p>
        </w:tc>
        <w:tc>
          <w:tcPr>
            <w:tcW w:w="1978" w:type="dxa"/>
            <w:shd w:val="clear" w:color="auto" w:fill="auto"/>
            <w:vAlign w:val="bottom"/>
          </w:tcPr>
          <w:p w14:paraId="41447A01" w14:textId="77777777"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Données non disponibles</w:t>
            </w:r>
          </w:p>
        </w:tc>
        <w:tc>
          <w:tcPr>
            <w:tcW w:w="1286" w:type="dxa"/>
            <w:shd w:val="clear" w:color="auto" w:fill="auto"/>
            <w:vAlign w:val="bottom"/>
          </w:tcPr>
          <w:p w14:paraId="7B095D37" w14:textId="4E5F90CB"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7</w:t>
            </w:r>
            <w:r w:rsidR="00A24D76">
              <w:rPr>
                <w:rFonts w:eastAsia="Times New Roman"/>
                <w:sz w:val="18"/>
                <w:szCs w:val="24"/>
              </w:rPr>
              <w:t xml:space="preserve"> </w:t>
            </w:r>
            <w:r w:rsidRPr="00CC66AC">
              <w:rPr>
                <w:rFonts w:eastAsia="Times New Roman"/>
                <w:sz w:val="18"/>
                <w:szCs w:val="24"/>
              </w:rPr>
              <w:t>456</w:t>
            </w:r>
          </w:p>
        </w:tc>
      </w:tr>
      <w:tr w:rsidR="0016597A" w:rsidRPr="00CC66AC" w14:paraId="22788647" w14:textId="77777777" w:rsidTr="00CC66AC">
        <w:tc>
          <w:tcPr>
            <w:tcW w:w="923" w:type="dxa"/>
            <w:shd w:val="clear" w:color="auto" w:fill="auto"/>
          </w:tcPr>
          <w:p w14:paraId="7D1149B3" w14:textId="77777777" w:rsidR="0016597A" w:rsidRPr="00CC66AC" w:rsidRDefault="0016597A" w:rsidP="00CC66AC">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16</w:t>
            </w:r>
          </w:p>
        </w:tc>
        <w:tc>
          <w:tcPr>
            <w:tcW w:w="1824" w:type="dxa"/>
            <w:shd w:val="clear" w:color="auto" w:fill="auto"/>
            <w:vAlign w:val="bottom"/>
          </w:tcPr>
          <w:p w14:paraId="1B45644C" w14:textId="77777777" w:rsidR="0016597A" w:rsidRPr="00CC66AC" w:rsidRDefault="0016597A" w:rsidP="00BF2F03">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 xml:space="preserve">Rutana </w:t>
            </w:r>
          </w:p>
        </w:tc>
        <w:tc>
          <w:tcPr>
            <w:tcW w:w="1359" w:type="dxa"/>
            <w:shd w:val="clear" w:color="auto" w:fill="auto"/>
            <w:vAlign w:val="bottom"/>
          </w:tcPr>
          <w:p w14:paraId="50256C49" w14:textId="4342A52C"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7</w:t>
            </w:r>
            <w:r w:rsidR="00A24D76">
              <w:rPr>
                <w:rFonts w:eastAsia="Times New Roman"/>
                <w:sz w:val="18"/>
                <w:szCs w:val="24"/>
              </w:rPr>
              <w:t xml:space="preserve"> </w:t>
            </w:r>
            <w:r w:rsidRPr="00CC66AC">
              <w:rPr>
                <w:rFonts w:eastAsia="Times New Roman"/>
                <w:sz w:val="18"/>
                <w:szCs w:val="24"/>
              </w:rPr>
              <w:t>638</w:t>
            </w:r>
          </w:p>
        </w:tc>
        <w:tc>
          <w:tcPr>
            <w:tcW w:w="1978" w:type="dxa"/>
            <w:shd w:val="clear" w:color="auto" w:fill="auto"/>
            <w:vAlign w:val="bottom"/>
          </w:tcPr>
          <w:p w14:paraId="46B7FA98" w14:textId="6EC75243"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5</w:t>
            </w:r>
            <w:r w:rsidR="00A24D76">
              <w:rPr>
                <w:rFonts w:eastAsia="Times New Roman"/>
                <w:sz w:val="18"/>
                <w:szCs w:val="24"/>
              </w:rPr>
              <w:t xml:space="preserve"> </w:t>
            </w:r>
            <w:r w:rsidRPr="00CC66AC">
              <w:rPr>
                <w:rFonts w:eastAsia="Times New Roman"/>
                <w:sz w:val="18"/>
                <w:szCs w:val="24"/>
              </w:rPr>
              <w:t>323</w:t>
            </w:r>
          </w:p>
        </w:tc>
        <w:tc>
          <w:tcPr>
            <w:tcW w:w="1286" w:type="dxa"/>
            <w:shd w:val="clear" w:color="auto" w:fill="auto"/>
            <w:vAlign w:val="bottom"/>
          </w:tcPr>
          <w:p w14:paraId="1B157D67" w14:textId="6FABC6E7"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2</w:t>
            </w:r>
            <w:r w:rsidR="00A24D76">
              <w:rPr>
                <w:rFonts w:eastAsia="Times New Roman"/>
                <w:sz w:val="18"/>
                <w:szCs w:val="24"/>
              </w:rPr>
              <w:t xml:space="preserve"> </w:t>
            </w:r>
            <w:r w:rsidRPr="00CC66AC">
              <w:rPr>
                <w:rFonts w:eastAsia="Times New Roman"/>
                <w:sz w:val="18"/>
                <w:szCs w:val="24"/>
              </w:rPr>
              <w:t>315</w:t>
            </w:r>
          </w:p>
        </w:tc>
      </w:tr>
      <w:tr w:rsidR="0016597A" w:rsidRPr="00CC66AC" w14:paraId="046DDFEB" w14:textId="77777777" w:rsidTr="00CC66AC">
        <w:tc>
          <w:tcPr>
            <w:tcW w:w="923" w:type="dxa"/>
            <w:shd w:val="clear" w:color="auto" w:fill="auto"/>
          </w:tcPr>
          <w:p w14:paraId="04C40B91" w14:textId="77777777" w:rsidR="0016597A" w:rsidRPr="00CC66AC" w:rsidRDefault="0016597A" w:rsidP="00CC66AC">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17</w:t>
            </w:r>
          </w:p>
        </w:tc>
        <w:tc>
          <w:tcPr>
            <w:tcW w:w="1824" w:type="dxa"/>
            <w:shd w:val="clear" w:color="auto" w:fill="auto"/>
            <w:vAlign w:val="bottom"/>
          </w:tcPr>
          <w:p w14:paraId="6FFC6EDF" w14:textId="77777777" w:rsidR="0016597A" w:rsidRPr="00CC66AC" w:rsidRDefault="0016597A" w:rsidP="00BF2F03">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 xml:space="preserve">Ruyigi </w:t>
            </w:r>
          </w:p>
        </w:tc>
        <w:tc>
          <w:tcPr>
            <w:tcW w:w="1359" w:type="dxa"/>
            <w:shd w:val="clear" w:color="auto" w:fill="auto"/>
            <w:vAlign w:val="bottom"/>
          </w:tcPr>
          <w:p w14:paraId="42365FDE" w14:textId="2BFA81C8"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7</w:t>
            </w:r>
            <w:r w:rsidR="00A24D76">
              <w:rPr>
                <w:rFonts w:eastAsia="Times New Roman"/>
                <w:sz w:val="18"/>
                <w:szCs w:val="24"/>
              </w:rPr>
              <w:t xml:space="preserve"> </w:t>
            </w:r>
            <w:r w:rsidRPr="00CC66AC">
              <w:rPr>
                <w:rFonts w:eastAsia="Times New Roman"/>
                <w:sz w:val="18"/>
                <w:szCs w:val="24"/>
              </w:rPr>
              <w:t>706</w:t>
            </w:r>
          </w:p>
        </w:tc>
        <w:tc>
          <w:tcPr>
            <w:tcW w:w="1978" w:type="dxa"/>
            <w:shd w:val="clear" w:color="auto" w:fill="auto"/>
            <w:vAlign w:val="bottom"/>
          </w:tcPr>
          <w:p w14:paraId="3B088F0E" w14:textId="4451A4DB"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5</w:t>
            </w:r>
            <w:r w:rsidR="00A24D76">
              <w:rPr>
                <w:rFonts w:eastAsia="Times New Roman"/>
                <w:sz w:val="18"/>
                <w:szCs w:val="24"/>
              </w:rPr>
              <w:t xml:space="preserve"> </w:t>
            </w:r>
            <w:r w:rsidRPr="00CC66AC">
              <w:rPr>
                <w:rFonts w:eastAsia="Times New Roman"/>
                <w:sz w:val="18"/>
                <w:szCs w:val="24"/>
              </w:rPr>
              <w:t>918</w:t>
            </w:r>
          </w:p>
        </w:tc>
        <w:tc>
          <w:tcPr>
            <w:tcW w:w="1286" w:type="dxa"/>
            <w:shd w:val="clear" w:color="auto" w:fill="auto"/>
            <w:vAlign w:val="bottom"/>
          </w:tcPr>
          <w:p w14:paraId="5264E9E5" w14:textId="0B2E3F2D"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1</w:t>
            </w:r>
            <w:r w:rsidR="00A24D76">
              <w:rPr>
                <w:rFonts w:eastAsia="Times New Roman"/>
                <w:sz w:val="18"/>
                <w:szCs w:val="24"/>
              </w:rPr>
              <w:t xml:space="preserve"> </w:t>
            </w:r>
            <w:r w:rsidRPr="00CC66AC">
              <w:rPr>
                <w:rFonts w:eastAsia="Times New Roman"/>
                <w:sz w:val="18"/>
                <w:szCs w:val="24"/>
              </w:rPr>
              <w:t>788</w:t>
            </w:r>
          </w:p>
        </w:tc>
      </w:tr>
      <w:tr w:rsidR="0016597A" w:rsidRPr="00CC66AC" w14:paraId="34E9F9C6" w14:textId="77777777" w:rsidTr="00BF2F03">
        <w:tc>
          <w:tcPr>
            <w:tcW w:w="923" w:type="dxa"/>
            <w:tcBorders>
              <w:bottom w:val="single" w:sz="4" w:space="0" w:color="auto"/>
            </w:tcBorders>
            <w:shd w:val="clear" w:color="auto" w:fill="auto"/>
          </w:tcPr>
          <w:p w14:paraId="0633F92A" w14:textId="77777777" w:rsidR="0016597A" w:rsidRPr="00CC66AC" w:rsidRDefault="0016597A" w:rsidP="00CC66AC">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18</w:t>
            </w:r>
          </w:p>
        </w:tc>
        <w:tc>
          <w:tcPr>
            <w:tcW w:w="1824" w:type="dxa"/>
            <w:tcBorders>
              <w:bottom w:val="single" w:sz="4" w:space="0" w:color="auto"/>
            </w:tcBorders>
            <w:shd w:val="clear" w:color="auto" w:fill="auto"/>
            <w:vAlign w:val="bottom"/>
          </w:tcPr>
          <w:p w14:paraId="12EA7BFB" w14:textId="77777777" w:rsidR="0016597A" w:rsidRPr="00CC66AC" w:rsidRDefault="0016597A" w:rsidP="00BF2F03">
            <w:pPr>
              <w:suppressAutoHyphens w:val="0"/>
              <w:kinsoku/>
              <w:overflowPunct/>
              <w:autoSpaceDE/>
              <w:autoSpaceDN/>
              <w:adjustRightInd/>
              <w:snapToGrid/>
              <w:spacing w:before="40" w:after="40" w:line="220" w:lineRule="exact"/>
              <w:rPr>
                <w:rFonts w:eastAsia="Times New Roman"/>
                <w:sz w:val="18"/>
                <w:szCs w:val="24"/>
              </w:rPr>
            </w:pPr>
            <w:r w:rsidRPr="00CC66AC">
              <w:rPr>
                <w:rFonts w:eastAsia="Times New Roman"/>
                <w:sz w:val="18"/>
                <w:szCs w:val="24"/>
              </w:rPr>
              <w:t>Mairie Bujumbura</w:t>
            </w:r>
          </w:p>
        </w:tc>
        <w:tc>
          <w:tcPr>
            <w:tcW w:w="1359" w:type="dxa"/>
            <w:tcBorders>
              <w:bottom w:val="single" w:sz="4" w:space="0" w:color="auto"/>
            </w:tcBorders>
            <w:shd w:val="clear" w:color="auto" w:fill="auto"/>
            <w:vAlign w:val="bottom"/>
          </w:tcPr>
          <w:p w14:paraId="48A2F6BE" w14:textId="083A5E1E"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19</w:t>
            </w:r>
            <w:r w:rsidR="00A24D76">
              <w:rPr>
                <w:rFonts w:eastAsia="Times New Roman"/>
                <w:sz w:val="18"/>
                <w:szCs w:val="24"/>
              </w:rPr>
              <w:t xml:space="preserve"> </w:t>
            </w:r>
            <w:r w:rsidRPr="00CC66AC">
              <w:rPr>
                <w:rFonts w:eastAsia="Times New Roman"/>
                <w:sz w:val="18"/>
                <w:szCs w:val="24"/>
              </w:rPr>
              <w:t>098</w:t>
            </w:r>
          </w:p>
        </w:tc>
        <w:tc>
          <w:tcPr>
            <w:tcW w:w="1978" w:type="dxa"/>
            <w:tcBorders>
              <w:bottom w:val="single" w:sz="4" w:space="0" w:color="auto"/>
            </w:tcBorders>
            <w:shd w:val="clear" w:color="auto" w:fill="auto"/>
            <w:vAlign w:val="bottom"/>
          </w:tcPr>
          <w:p w14:paraId="2EE0B775" w14:textId="77777777"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Données non disponibles</w:t>
            </w:r>
          </w:p>
        </w:tc>
        <w:tc>
          <w:tcPr>
            <w:tcW w:w="1286" w:type="dxa"/>
            <w:tcBorders>
              <w:bottom w:val="single" w:sz="4" w:space="0" w:color="auto"/>
            </w:tcBorders>
            <w:shd w:val="clear" w:color="auto" w:fill="auto"/>
            <w:vAlign w:val="bottom"/>
          </w:tcPr>
          <w:p w14:paraId="7DEAD493" w14:textId="4239644A" w:rsidR="0016597A" w:rsidRPr="00CC66AC" w:rsidRDefault="0016597A" w:rsidP="00CC66AC">
            <w:pPr>
              <w:suppressAutoHyphens w:val="0"/>
              <w:kinsoku/>
              <w:overflowPunct/>
              <w:autoSpaceDE/>
              <w:autoSpaceDN/>
              <w:adjustRightInd/>
              <w:snapToGrid/>
              <w:spacing w:before="40" w:after="40" w:line="220" w:lineRule="exact"/>
              <w:jc w:val="right"/>
              <w:rPr>
                <w:rFonts w:eastAsia="Times New Roman"/>
                <w:sz w:val="18"/>
                <w:szCs w:val="24"/>
              </w:rPr>
            </w:pPr>
            <w:r w:rsidRPr="00CC66AC">
              <w:rPr>
                <w:rFonts w:eastAsia="Times New Roman"/>
                <w:sz w:val="18"/>
                <w:szCs w:val="24"/>
              </w:rPr>
              <w:t>19</w:t>
            </w:r>
            <w:r w:rsidR="00A24D76">
              <w:rPr>
                <w:rFonts w:eastAsia="Times New Roman"/>
                <w:sz w:val="18"/>
                <w:szCs w:val="24"/>
              </w:rPr>
              <w:t xml:space="preserve"> </w:t>
            </w:r>
            <w:r w:rsidRPr="00CC66AC">
              <w:rPr>
                <w:rFonts w:eastAsia="Times New Roman"/>
                <w:sz w:val="18"/>
                <w:szCs w:val="24"/>
              </w:rPr>
              <w:t>098</w:t>
            </w:r>
          </w:p>
        </w:tc>
      </w:tr>
      <w:tr w:rsidR="0016597A" w:rsidRPr="00BF2F03" w14:paraId="66BEB887" w14:textId="77777777" w:rsidTr="00BF2F03">
        <w:tc>
          <w:tcPr>
            <w:tcW w:w="923" w:type="dxa"/>
            <w:tcBorders>
              <w:top w:val="single" w:sz="4" w:space="0" w:color="auto"/>
              <w:bottom w:val="single" w:sz="12" w:space="0" w:color="auto"/>
            </w:tcBorders>
            <w:shd w:val="clear" w:color="auto" w:fill="auto"/>
          </w:tcPr>
          <w:p w14:paraId="0F1FE9D7" w14:textId="77777777" w:rsidR="0016597A" w:rsidRPr="00BF2F03" w:rsidRDefault="0016597A" w:rsidP="00BF2F03">
            <w:pPr>
              <w:suppressAutoHyphens w:val="0"/>
              <w:kinsoku/>
              <w:overflowPunct/>
              <w:autoSpaceDE/>
              <w:autoSpaceDN/>
              <w:adjustRightInd/>
              <w:snapToGrid/>
              <w:spacing w:before="80" w:after="80" w:line="220" w:lineRule="exact"/>
              <w:ind w:left="283"/>
              <w:rPr>
                <w:rFonts w:eastAsia="Times New Roman"/>
                <w:b/>
                <w:sz w:val="18"/>
                <w:szCs w:val="24"/>
              </w:rPr>
            </w:pPr>
          </w:p>
        </w:tc>
        <w:tc>
          <w:tcPr>
            <w:tcW w:w="1824" w:type="dxa"/>
            <w:tcBorders>
              <w:top w:val="single" w:sz="4" w:space="0" w:color="auto"/>
              <w:bottom w:val="single" w:sz="12" w:space="0" w:color="auto"/>
            </w:tcBorders>
            <w:shd w:val="clear" w:color="auto" w:fill="auto"/>
            <w:vAlign w:val="bottom"/>
          </w:tcPr>
          <w:p w14:paraId="565A8677" w14:textId="39E71AFF" w:rsidR="0016597A" w:rsidRPr="00BF2F03" w:rsidRDefault="00C74407" w:rsidP="00BF2F03">
            <w:pPr>
              <w:suppressAutoHyphens w:val="0"/>
              <w:kinsoku/>
              <w:overflowPunct/>
              <w:autoSpaceDE/>
              <w:autoSpaceDN/>
              <w:adjustRightInd/>
              <w:snapToGrid/>
              <w:spacing w:before="80" w:after="80" w:line="220" w:lineRule="exact"/>
              <w:ind w:left="284"/>
              <w:rPr>
                <w:rFonts w:eastAsia="Times New Roman"/>
                <w:b/>
                <w:sz w:val="18"/>
                <w:szCs w:val="24"/>
              </w:rPr>
            </w:pPr>
            <w:r w:rsidRPr="00BF2F03">
              <w:rPr>
                <w:rFonts w:eastAsia="Times New Roman"/>
                <w:b/>
                <w:sz w:val="18"/>
                <w:szCs w:val="24"/>
              </w:rPr>
              <w:t>Total</w:t>
            </w:r>
          </w:p>
        </w:tc>
        <w:tc>
          <w:tcPr>
            <w:tcW w:w="1359" w:type="dxa"/>
            <w:tcBorders>
              <w:top w:val="single" w:sz="4" w:space="0" w:color="auto"/>
              <w:bottom w:val="single" w:sz="12" w:space="0" w:color="auto"/>
            </w:tcBorders>
            <w:shd w:val="clear" w:color="auto" w:fill="auto"/>
            <w:vAlign w:val="bottom"/>
          </w:tcPr>
          <w:p w14:paraId="69E56742" w14:textId="2EC937FC" w:rsidR="0016597A" w:rsidRPr="00BF2F03" w:rsidRDefault="0016597A" w:rsidP="00BF2F03">
            <w:pPr>
              <w:suppressAutoHyphens w:val="0"/>
              <w:kinsoku/>
              <w:overflowPunct/>
              <w:autoSpaceDE/>
              <w:autoSpaceDN/>
              <w:adjustRightInd/>
              <w:snapToGrid/>
              <w:spacing w:before="80" w:after="80" w:line="220" w:lineRule="exact"/>
              <w:jc w:val="right"/>
              <w:rPr>
                <w:rFonts w:eastAsia="Times New Roman"/>
                <w:b/>
                <w:sz w:val="18"/>
                <w:szCs w:val="24"/>
              </w:rPr>
            </w:pPr>
            <w:r w:rsidRPr="00BF2F03">
              <w:rPr>
                <w:rFonts w:eastAsia="Times New Roman"/>
                <w:b/>
                <w:sz w:val="18"/>
                <w:szCs w:val="24"/>
              </w:rPr>
              <w:t>234</w:t>
            </w:r>
            <w:r w:rsidR="00A24D76">
              <w:rPr>
                <w:rFonts w:eastAsia="Times New Roman"/>
                <w:b/>
                <w:sz w:val="18"/>
                <w:szCs w:val="24"/>
              </w:rPr>
              <w:t xml:space="preserve"> </w:t>
            </w:r>
            <w:r w:rsidRPr="00BF2F03">
              <w:rPr>
                <w:rFonts w:eastAsia="Times New Roman"/>
                <w:b/>
                <w:sz w:val="18"/>
                <w:szCs w:val="24"/>
              </w:rPr>
              <w:t>629</w:t>
            </w:r>
          </w:p>
        </w:tc>
        <w:tc>
          <w:tcPr>
            <w:tcW w:w="1978" w:type="dxa"/>
            <w:tcBorders>
              <w:top w:val="single" w:sz="4" w:space="0" w:color="auto"/>
              <w:bottom w:val="single" w:sz="12" w:space="0" w:color="auto"/>
            </w:tcBorders>
            <w:shd w:val="clear" w:color="auto" w:fill="auto"/>
            <w:vAlign w:val="bottom"/>
          </w:tcPr>
          <w:p w14:paraId="20B73BA0" w14:textId="787594DC" w:rsidR="0016597A" w:rsidRPr="00BF2F03" w:rsidRDefault="0016597A" w:rsidP="00BF2F03">
            <w:pPr>
              <w:suppressAutoHyphens w:val="0"/>
              <w:kinsoku/>
              <w:overflowPunct/>
              <w:autoSpaceDE/>
              <w:autoSpaceDN/>
              <w:adjustRightInd/>
              <w:snapToGrid/>
              <w:spacing w:before="80" w:after="80" w:line="220" w:lineRule="exact"/>
              <w:jc w:val="right"/>
              <w:rPr>
                <w:rFonts w:eastAsia="Times New Roman"/>
                <w:b/>
                <w:sz w:val="18"/>
                <w:szCs w:val="24"/>
              </w:rPr>
            </w:pPr>
            <w:r w:rsidRPr="00BF2F03">
              <w:rPr>
                <w:rFonts w:eastAsia="Times New Roman"/>
                <w:b/>
                <w:sz w:val="18"/>
                <w:szCs w:val="24"/>
              </w:rPr>
              <w:t>190</w:t>
            </w:r>
            <w:r w:rsidR="00A24D76">
              <w:rPr>
                <w:rFonts w:eastAsia="Times New Roman"/>
                <w:b/>
                <w:sz w:val="18"/>
                <w:szCs w:val="24"/>
              </w:rPr>
              <w:t xml:space="preserve"> </w:t>
            </w:r>
            <w:r w:rsidRPr="00BF2F03">
              <w:rPr>
                <w:rFonts w:eastAsia="Times New Roman"/>
                <w:b/>
                <w:sz w:val="18"/>
                <w:szCs w:val="24"/>
              </w:rPr>
              <w:t>615</w:t>
            </w:r>
          </w:p>
        </w:tc>
        <w:tc>
          <w:tcPr>
            <w:tcW w:w="1286" w:type="dxa"/>
            <w:tcBorders>
              <w:top w:val="single" w:sz="4" w:space="0" w:color="auto"/>
              <w:bottom w:val="single" w:sz="12" w:space="0" w:color="auto"/>
            </w:tcBorders>
            <w:shd w:val="clear" w:color="auto" w:fill="auto"/>
            <w:vAlign w:val="bottom"/>
          </w:tcPr>
          <w:p w14:paraId="30772B23" w14:textId="51DCC5B7" w:rsidR="0016597A" w:rsidRPr="00BF2F03" w:rsidRDefault="0016597A" w:rsidP="00BF2F03">
            <w:pPr>
              <w:suppressAutoHyphens w:val="0"/>
              <w:kinsoku/>
              <w:overflowPunct/>
              <w:autoSpaceDE/>
              <w:autoSpaceDN/>
              <w:adjustRightInd/>
              <w:snapToGrid/>
              <w:spacing w:before="80" w:after="80" w:line="220" w:lineRule="exact"/>
              <w:jc w:val="right"/>
              <w:rPr>
                <w:rFonts w:eastAsia="Times New Roman"/>
                <w:b/>
                <w:sz w:val="18"/>
                <w:szCs w:val="24"/>
              </w:rPr>
            </w:pPr>
            <w:r w:rsidRPr="00BF2F03">
              <w:rPr>
                <w:rFonts w:eastAsia="Times New Roman"/>
                <w:b/>
                <w:sz w:val="18"/>
                <w:szCs w:val="24"/>
              </w:rPr>
              <w:t>47</w:t>
            </w:r>
            <w:r w:rsidR="00A24D76">
              <w:rPr>
                <w:rFonts w:eastAsia="Times New Roman"/>
                <w:b/>
                <w:sz w:val="18"/>
                <w:szCs w:val="24"/>
              </w:rPr>
              <w:t xml:space="preserve"> </w:t>
            </w:r>
            <w:r w:rsidRPr="00BF2F03">
              <w:rPr>
                <w:rFonts w:eastAsia="Times New Roman"/>
                <w:b/>
                <w:sz w:val="18"/>
                <w:szCs w:val="24"/>
              </w:rPr>
              <w:t>957</w:t>
            </w:r>
          </w:p>
        </w:tc>
      </w:tr>
    </w:tbl>
    <w:p w14:paraId="3DB9F294" w14:textId="1D99D8D2" w:rsidR="0016597A" w:rsidRPr="00BF2F03" w:rsidRDefault="0016597A" w:rsidP="00BF2F03">
      <w:pPr>
        <w:pStyle w:val="SingleTxtG"/>
        <w:spacing w:before="120" w:after="240"/>
        <w:ind w:firstLine="170"/>
        <w:jc w:val="left"/>
        <w:rPr>
          <w:sz w:val="18"/>
          <w:szCs w:val="18"/>
          <w:lang w:val="fr-FR"/>
        </w:rPr>
      </w:pPr>
      <w:r w:rsidRPr="00BF2F03">
        <w:rPr>
          <w:i/>
          <w:iCs/>
          <w:sz w:val="18"/>
          <w:szCs w:val="18"/>
          <w:lang w:val="fr-FR"/>
        </w:rPr>
        <w:t>Source</w:t>
      </w:r>
      <w:r w:rsidRPr="00BF2F03">
        <w:rPr>
          <w:sz w:val="18"/>
          <w:szCs w:val="18"/>
          <w:lang w:val="fr-FR"/>
        </w:rPr>
        <w:t> : Données recueillies au Ministère de l’Intérieur, de la Formation Patriotique et du Développement Local, octobre 2018.</w:t>
      </w:r>
    </w:p>
    <w:p w14:paraId="219BE1F2" w14:textId="3EA018EA" w:rsidR="0016597A" w:rsidRPr="0016597A" w:rsidRDefault="00BF2F03" w:rsidP="00BF2F03">
      <w:pPr>
        <w:pStyle w:val="SingleTxtG"/>
        <w:spacing w:before="120"/>
        <w:rPr>
          <w:lang w:val="fr-MC"/>
        </w:rPr>
      </w:pPr>
      <w:r w:rsidRPr="0016597A">
        <w:rPr>
          <w:lang w:val="fr-MC"/>
        </w:rPr>
        <w:t>100.</w:t>
      </w:r>
      <w:r w:rsidRPr="0016597A">
        <w:rPr>
          <w:lang w:val="fr-MC"/>
        </w:rPr>
        <w:tab/>
      </w:r>
      <w:r w:rsidR="0016597A" w:rsidRPr="0016597A">
        <w:rPr>
          <w:lang w:val="fr-MC"/>
        </w:rPr>
        <w:t>Enfin pour ce qui est du viol (art</w:t>
      </w:r>
      <w:r w:rsidR="00C74407">
        <w:rPr>
          <w:lang w:val="fr-MC"/>
        </w:rPr>
        <w:t xml:space="preserve">icle </w:t>
      </w:r>
      <w:r w:rsidR="0016597A" w:rsidRPr="0016597A">
        <w:rPr>
          <w:lang w:val="fr-MC"/>
        </w:rPr>
        <w:t>577-585),</w:t>
      </w:r>
      <w:r w:rsidR="0016597A">
        <w:rPr>
          <w:lang w:val="fr-MC"/>
        </w:rPr>
        <w:t xml:space="preserve"> </w:t>
      </w:r>
      <w:r w:rsidR="0016597A" w:rsidRPr="0016597A">
        <w:rPr>
          <w:lang w:val="fr-MC"/>
        </w:rPr>
        <w:t>cet acte barbare est sanctionné de 15 à 25 ans</w:t>
      </w:r>
      <w:r w:rsidR="0016597A">
        <w:rPr>
          <w:lang w:val="fr-MC"/>
        </w:rPr>
        <w:t xml:space="preserve"> </w:t>
      </w:r>
      <w:r w:rsidR="0016597A" w:rsidRPr="0016597A">
        <w:rPr>
          <w:lang w:val="fr-MC"/>
        </w:rPr>
        <w:t>de servitude pénale et d’une amende de 50</w:t>
      </w:r>
      <w:r w:rsidR="00C74407">
        <w:rPr>
          <w:lang w:val="fr-MC"/>
        </w:rPr>
        <w:t> </w:t>
      </w:r>
      <w:r w:rsidR="0016597A" w:rsidRPr="0016597A">
        <w:rPr>
          <w:lang w:val="fr-MC"/>
        </w:rPr>
        <w:t>000 FBU à 200</w:t>
      </w:r>
      <w:r w:rsidR="00353735">
        <w:rPr>
          <w:lang w:val="fr-MC"/>
        </w:rPr>
        <w:t> </w:t>
      </w:r>
      <w:r w:rsidR="0016597A" w:rsidRPr="0016597A">
        <w:rPr>
          <w:lang w:val="fr-MC"/>
        </w:rPr>
        <w:t>000 FBU, particulièrement lorsqu’il est commis sur un enfant mineur de 15 à 18 ans, sur une personne vulnérable en raison de son âge, d’une maladie, d’une infirmité, d’une déficience physique ou mentale ou d’un état de grossesse apparente ou connue de l’auteur, mais aussi commis par un éducateur, un ministre de culte, un médecin, chirurgien, accoucheur ou autre personnel médical envers les personnes confiées à leurs soins, etc.</w:t>
      </w:r>
    </w:p>
    <w:p w14:paraId="7437D402" w14:textId="11F9FE5E" w:rsidR="0016597A" w:rsidRPr="0016597A" w:rsidRDefault="00BF2F03" w:rsidP="00BF2F03">
      <w:pPr>
        <w:pStyle w:val="SingleTxtG"/>
        <w:rPr>
          <w:lang w:val="fr-MC"/>
        </w:rPr>
      </w:pPr>
      <w:r w:rsidRPr="0016597A">
        <w:rPr>
          <w:lang w:val="fr-MC"/>
        </w:rPr>
        <w:t>101.</w:t>
      </w:r>
      <w:r w:rsidRPr="0016597A">
        <w:rPr>
          <w:lang w:val="fr-MC"/>
        </w:rPr>
        <w:tab/>
      </w:r>
      <w:r w:rsidR="0016597A" w:rsidRPr="0016597A">
        <w:rPr>
          <w:lang w:val="fr-MC"/>
        </w:rPr>
        <w:t>Lorsque l’auteur a commis le viol avec usage ou menace d’une arme, ou sur un enfant de 12 à 15 ans ou lorsque le viol a été commis par plusieurs personnes agissant en qualité d’auteur ou de complice, ou encore lorsqu’il a causé à la victime une altération grave de sa santé et/ou laissé des séquelles physiques graves notamment une mutilation, une infirmité permanente ou la transmission d’une maladie, la peine est portée de 20 à 30 ans de servitude pénale.</w:t>
      </w:r>
    </w:p>
    <w:p w14:paraId="1CCD3B6D" w14:textId="1FB248EA" w:rsidR="0016597A" w:rsidRPr="0016597A" w:rsidRDefault="00BF2F03" w:rsidP="00BF2F03">
      <w:pPr>
        <w:pStyle w:val="SingleTxtG"/>
        <w:rPr>
          <w:lang w:val="fr-MC"/>
        </w:rPr>
      </w:pPr>
      <w:r w:rsidRPr="0016597A">
        <w:rPr>
          <w:lang w:val="fr-MC"/>
        </w:rPr>
        <w:t>102.</w:t>
      </w:r>
      <w:r w:rsidRPr="0016597A">
        <w:rPr>
          <w:lang w:val="fr-MC"/>
        </w:rPr>
        <w:tab/>
      </w:r>
      <w:r w:rsidR="0016597A" w:rsidRPr="0016597A">
        <w:rPr>
          <w:lang w:val="fr-MC"/>
        </w:rPr>
        <w:t>Il faut noter cependant qu’il existe des défis liés à la répression de violences sexuelles. C’est notamment le problème d’administration des preuves, la lenteur des expertises médico-légales renseignant sur l’état de la victime bloquant ainsi l’instruction du dossier etc.</w:t>
      </w:r>
    </w:p>
    <w:p w14:paraId="086D9141" w14:textId="488A91C4" w:rsidR="0016597A" w:rsidRPr="0016597A" w:rsidRDefault="00BF2F03" w:rsidP="00BF2F03">
      <w:pPr>
        <w:pStyle w:val="SingleTxtG"/>
        <w:rPr>
          <w:lang w:val="fr-MC"/>
        </w:rPr>
      </w:pPr>
      <w:r w:rsidRPr="0016597A">
        <w:rPr>
          <w:lang w:val="fr-MC"/>
        </w:rPr>
        <w:t>103.</w:t>
      </w:r>
      <w:r w:rsidRPr="0016597A">
        <w:rPr>
          <w:lang w:val="fr-MC"/>
        </w:rPr>
        <w:tab/>
      </w:r>
      <w:r w:rsidR="0016597A" w:rsidRPr="0016597A">
        <w:rPr>
          <w:lang w:val="fr-MC"/>
        </w:rPr>
        <w:t>Dans le cadre de la lutte effective des violences sexuelles et celles basées sur le genre, des progrès énormes ont été enregistrés. Ainsi, du point de vue législatif et réglementaire, le Burundi a adopté</w:t>
      </w:r>
      <w:r w:rsidR="009C1184">
        <w:rPr>
          <w:lang w:val="fr-MC"/>
        </w:rPr>
        <w:t xml:space="preserve"> </w:t>
      </w:r>
      <w:r w:rsidR="0016597A" w:rsidRPr="0016597A">
        <w:rPr>
          <w:lang w:val="fr-MC"/>
        </w:rPr>
        <w:t xml:space="preserve">(i) la loi </w:t>
      </w:r>
      <w:r w:rsidR="00C74407" w:rsidRPr="0016597A">
        <w:rPr>
          <w:lang w:val="fr-MC"/>
        </w:rPr>
        <w:t>n</w:t>
      </w:r>
      <w:r w:rsidR="00C74407" w:rsidRPr="008A395C">
        <w:rPr>
          <w:vertAlign w:val="superscript"/>
          <w:lang w:val="fr-MC"/>
        </w:rPr>
        <w:t>o</w:t>
      </w:r>
      <w:r w:rsidR="00C74407">
        <w:rPr>
          <w:lang w:val="fr-MC"/>
        </w:rPr>
        <w:t> </w:t>
      </w:r>
      <w:r w:rsidR="0016597A" w:rsidRPr="0016597A">
        <w:rPr>
          <w:lang w:val="fr-MC"/>
        </w:rPr>
        <w:t xml:space="preserve">1/13 du 22 </w:t>
      </w:r>
      <w:r w:rsidR="009C1184">
        <w:rPr>
          <w:lang w:val="fr-MC"/>
        </w:rPr>
        <w:t>s</w:t>
      </w:r>
      <w:r w:rsidR="0016597A" w:rsidRPr="0016597A">
        <w:rPr>
          <w:lang w:val="fr-MC"/>
        </w:rPr>
        <w:t>eptembre 2016 portant Prévention, Protection des victimes et répression des Violences Basées sur le Genre (VBG), (ii) l’élaboration du Plan d’Action National de la Résolution 1325 (2017-2021), (iii) le plan d’action nationale Genre 2017-2021, en vue de conscientiser tous les acteurs sur les impératifs de la prévention des effets des conflits sur les femmes et les filles, de protection des femmes et des filles des violences sexuelles et celles basées sur le genre et d’autres multiples conséquences néfastes.</w:t>
      </w:r>
    </w:p>
    <w:p w14:paraId="6E6A171E" w14:textId="29D05614" w:rsidR="0016597A" w:rsidRPr="0016597A" w:rsidRDefault="00BF2F03" w:rsidP="00BF2F03">
      <w:pPr>
        <w:pStyle w:val="SingleTxtG"/>
        <w:rPr>
          <w:lang w:val="fr-MC"/>
        </w:rPr>
      </w:pPr>
      <w:r w:rsidRPr="0016597A">
        <w:rPr>
          <w:lang w:val="fr-MC"/>
        </w:rPr>
        <w:lastRenderedPageBreak/>
        <w:t>104.</w:t>
      </w:r>
      <w:r w:rsidRPr="0016597A">
        <w:rPr>
          <w:lang w:val="fr-MC"/>
        </w:rPr>
        <w:tab/>
      </w:r>
      <w:r w:rsidR="0016597A" w:rsidRPr="0016597A">
        <w:rPr>
          <w:lang w:val="fr-MC"/>
        </w:rPr>
        <w:t xml:space="preserve">En outre, il y a eu signature de l’Ordonnance Ministérielle </w:t>
      </w:r>
      <w:r w:rsidR="00C74407" w:rsidRPr="0016597A">
        <w:rPr>
          <w:lang w:val="fr-MC"/>
        </w:rPr>
        <w:t>n</w:t>
      </w:r>
      <w:r w:rsidR="00C74407" w:rsidRPr="008A395C">
        <w:rPr>
          <w:vertAlign w:val="superscript"/>
          <w:lang w:val="fr-MC"/>
        </w:rPr>
        <w:t>o</w:t>
      </w:r>
      <w:r w:rsidR="00C74407">
        <w:rPr>
          <w:lang w:val="fr-MC"/>
        </w:rPr>
        <w:t> </w:t>
      </w:r>
      <w:r w:rsidR="0016597A" w:rsidRPr="0016597A">
        <w:rPr>
          <w:lang w:val="fr-MC"/>
        </w:rPr>
        <w:t>550/1622 du 19</w:t>
      </w:r>
      <w:r w:rsidR="00C74407">
        <w:rPr>
          <w:lang w:val="fr-MC"/>
        </w:rPr>
        <w:t> </w:t>
      </w:r>
      <w:r w:rsidR="0016597A" w:rsidRPr="0016597A">
        <w:rPr>
          <w:lang w:val="fr-MC"/>
        </w:rPr>
        <w:t>novembre 2013 portant Mission, Composition et</w:t>
      </w:r>
      <w:r w:rsidR="0016597A">
        <w:rPr>
          <w:lang w:val="fr-MC"/>
        </w:rPr>
        <w:t xml:space="preserve"> </w:t>
      </w:r>
      <w:r w:rsidR="0016597A" w:rsidRPr="0016597A">
        <w:rPr>
          <w:lang w:val="fr-MC"/>
        </w:rPr>
        <w:t>Fonctionnement</w:t>
      </w:r>
      <w:r w:rsidR="0016597A">
        <w:rPr>
          <w:lang w:val="fr-MC"/>
        </w:rPr>
        <w:t xml:space="preserve"> </w:t>
      </w:r>
      <w:r w:rsidR="0016597A" w:rsidRPr="0016597A">
        <w:rPr>
          <w:lang w:val="fr-MC"/>
        </w:rPr>
        <w:t>des</w:t>
      </w:r>
      <w:r w:rsidR="0016597A">
        <w:rPr>
          <w:lang w:val="fr-MC"/>
        </w:rPr>
        <w:t xml:space="preserve"> </w:t>
      </w:r>
      <w:r w:rsidR="0016597A" w:rsidRPr="0016597A">
        <w:rPr>
          <w:lang w:val="fr-MC"/>
        </w:rPr>
        <w:t>Chambres</w:t>
      </w:r>
      <w:r w:rsidR="0016597A">
        <w:rPr>
          <w:lang w:val="fr-MC"/>
        </w:rPr>
        <w:t xml:space="preserve"> </w:t>
      </w:r>
      <w:r w:rsidR="0016597A" w:rsidRPr="0016597A">
        <w:rPr>
          <w:lang w:val="fr-MC"/>
        </w:rPr>
        <w:t>Spéciales</w:t>
      </w:r>
      <w:r w:rsidR="0016597A">
        <w:rPr>
          <w:lang w:val="fr-MC"/>
        </w:rPr>
        <w:t xml:space="preserve"> </w:t>
      </w:r>
      <w:r w:rsidR="0016597A" w:rsidRPr="0016597A">
        <w:rPr>
          <w:lang w:val="fr-MC"/>
        </w:rPr>
        <w:t>pour</w:t>
      </w:r>
      <w:r w:rsidR="0016597A">
        <w:rPr>
          <w:lang w:val="fr-MC"/>
        </w:rPr>
        <w:t xml:space="preserve"> </w:t>
      </w:r>
      <w:r w:rsidR="0016597A" w:rsidRPr="0016597A">
        <w:rPr>
          <w:lang w:val="fr-MC"/>
        </w:rPr>
        <w:t>Mineurs</w:t>
      </w:r>
      <w:r w:rsidR="0016597A">
        <w:rPr>
          <w:lang w:val="fr-MC"/>
        </w:rPr>
        <w:t xml:space="preserve"> </w:t>
      </w:r>
      <w:r w:rsidR="0016597A" w:rsidRPr="0016597A">
        <w:rPr>
          <w:lang w:val="fr-MC"/>
        </w:rPr>
        <w:t>et</w:t>
      </w:r>
      <w:r w:rsidR="0016597A">
        <w:rPr>
          <w:lang w:val="fr-MC"/>
        </w:rPr>
        <w:t xml:space="preserve"> </w:t>
      </w:r>
      <w:r w:rsidR="0016597A" w:rsidRPr="0016597A">
        <w:rPr>
          <w:lang w:val="fr-MC"/>
        </w:rPr>
        <w:t>Victimes</w:t>
      </w:r>
      <w:r w:rsidR="0016597A">
        <w:rPr>
          <w:lang w:val="fr-MC"/>
        </w:rPr>
        <w:t xml:space="preserve"> </w:t>
      </w:r>
      <w:r w:rsidR="0016597A" w:rsidRPr="0016597A">
        <w:rPr>
          <w:lang w:val="fr-MC"/>
        </w:rPr>
        <w:t>des</w:t>
      </w:r>
      <w:r w:rsidR="0016597A">
        <w:rPr>
          <w:lang w:val="fr-MC"/>
        </w:rPr>
        <w:t xml:space="preserve"> </w:t>
      </w:r>
      <w:r w:rsidR="0016597A" w:rsidRPr="0016597A">
        <w:rPr>
          <w:lang w:val="fr-MC"/>
        </w:rPr>
        <w:t>Violences Sexuelles au</w:t>
      </w:r>
      <w:r w:rsidR="0016597A">
        <w:rPr>
          <w:lang w:val="fr-MC"/>
        </w:rPr>
        <w:t xml:space="preserve"> </w:t>
      </w:r>
      <w:r w:rsidR="0016597A" w:rsidRPr="0016597A">
        <w:rPr>
          <w:lang w:val="fr-MC"/>
        </w:rPr>
        <w:t>Burundi par le Ministère de la Justice et de la Protection Civique et Gardes des Sceaux, particulièrement en ses articles 3 et 4. L’article 3 stipule que «</w:t>
      </w:r>
      <w:r w:rsidR="00C74407">
        <w:rPr>
          <w:lang w:val="fr-MC"/>
        </w:rPr>
        <w:t> </w:t>
      </w:r>
      <w:r w:rsidR="0016597A" w:rsidRPr="0016597A">
        <w:rPr>
          <w:lang w:val="fr-MC"/>
        </w:rPr>
        <w:t>la Chambre des Mineurs</w:t>
      </w:r>
      <w:r w:rsidR="0016597A">
        <w:rPr>
          <w:lang w:val="fr-MC"/>
        </w:rPr>
        <w:t xml:space="preserve"> </w:t>
      </w:r>
      <w:r w:rsidR="0016597A" w:rsidRPr="0016597A">
        <w:rPr>
          <w:lang w:val="fr-MC"/>
        </w:rPr>
        <w:t>et victimes des violences sexuelles du Tribunal de Grande</w:t>
      </w:r>
      <w:r w:rsidR="0016597A">
        <w:rPr>
          <w:lang w:val="fr-MC"/>
        </w:rPr>
        <w:t xml:space="preserve"> </w:t>
      </w:r>
      <w:r w:rsidR="0016597A" w:rsidRPr="0016597A">
        <w:rPr>
          <w:lang w:val="fr-MC"/>
        </w:rPr>
        <w:t>Instance</w:t>
      </w:r>
      <w:r w:rsidR="0016597A">
        <w:rPr>
          <w:lang w:val="fr-MC"/>
        </w:rPr>
        <w:t xml:space="preserve"> </w:t>
      </w:r>
      <w:r w:rsidR="0016597A" w:rsidRPr="0016597A">
        <w:rPr>
          <w:lang w:val="fr-MC"/>
        </w:rPr>
        <w:t>comprend</w:t>
      </w:r>
      <w:r w:rsidR="0016597A">
        <w:rPr>
          <w:lang w:val="fr-MC"/>
        </w:rPr>
        <w:t xml:space="preserve"> </w:t>
      </w:r>
      <w:r w:rsidR="0016597A" w:rsidRPr="0016597A">
        <w:rPr>
          <w:lang w:val="fr-MC"/>
        </w:rPr>
        <w:t>un</w:t>
      </w:r>
      <w:r w:rsidR="0016597A">
        <w:rPr>
          <w:lang w:val="fr-MC"/>
        </w:rPr>
        <w:t xml:space="preserve"> </w:t>
      </w:r>
      <w:r w:rsidR="0016597A" w:rsidRPr="0016597A">
        <w:rPr>
          <w:lang w:val="fr-MC"/>
        </w:rPr>
        <w:t>Président</w:t>
      </w:r>
      <w:r w:rsidR="0016597A">
        <w:rPr>
          <w:lang w:val="fr-MC"/>
        </w:rPr>
        <w:t xml:space="preserve"> </w:t>
      </w:r>
      <w:r w:rsidR="0016597A" w:rsidRPr="0016597A">
        <w:rPr>
          <w:lang w:val="fr-MC"/>
        </w:rPr>
        <w:t>et</w:t>
      </w:r>
      <w:r w:rsidR="0016597A">
        <w:rPr>
          <w:lang w:val="fr-MC"/>
        </w:rPr>
        <w:t xml:space="preserve"> </w:t>
      </w:r>
      <w:r w:rsidR="0016597A" w:rsidRPr="0016597A">
        <w:rPr>
          <w:lang w:val="fr-MC"/>
        </w:rPr>
        <w:t>deux</w:t>
      </w:r>
      <w:r w:rsidR="0016597A">
        <w:rPr>
          <w:lang w:val="fr-MC"/>
        </w:rPr>
        <w:t xml:space="preserve"> </w:t>
      </w:r>
      <w:r w:rsidR="0016597A" w:rsidRPr="0016597A">
        <w:rPr>
          <w:lang w:val="fr-MC"/>
        </w:rPr>
        <w:t>juges,</w:t>
      </w:r>
      <w:r w:rsidR="0016597A">
        <w:rPr>
          <w:lang w:val="fr-MC"/>
        </w:rPr>
        <w:t xml:space="preserve"> </w:t>
      </w:r>
      <w:r w:rsidR="0016597A" w:rsidRPr="0016597A">
        <w:rPr>
          <w:lang w:val="fr-MC"/>
        </w:rPr>
        <w:t>assistés</w:t>
      </w:r>
      <w:r w:rsidR="0016597A">
        <w:rPr>
          <w:lang w:val="fr-MC"/>
        </w:rPr>
        <w:t xml:space="preserve"> </w:t>
      </w:r>
      <w:r w:rsidR="0016597A" w:rsidRPr="0016597A">
        <w:rPr>
          <w:lang w:val="fr-MC"/>
        </w:rPr>
        <w:t>d’un</w:t>
      </w:r>
      <w:r w:rsidR="0016597A">
        <w:rPr>
          <w:lang w:val="fr-MC"/>
        </w:rPr>
        <w:t xml:space="preserve"> </w:t>
      </w:r>
      <w:r w:rsidR="0016597A" w:rsidRPr="0016597A">
        <w:rPr>
          <w:lang w:val="fr-MC"/>
        </w:rPr>
        <w:t>Officier</w:t>
      </w:r>
      <w:r w:rsidR="0016597A">
        <w:rPr>
          <w:lang w:val="fr-MC"/>
        </w:rPr>
        <w:t xml:space="preserve"> </w:t>
      </w:r>
      <w:r w:rsidR="0016597A" w:rsidRPr="0016597A">
        <w:rPr>
          <w:lang w:val="fr-MC"/>
        </w:rPr>
        <w:t>du</w:t>
      </w:r>
      <w:r w:rsidR="0016597A">
        <w:rPr>
          <w:lang w:val="fr-MC"/>
        </w:rPr>
        <w:t xml:space="preserve"> </w:t>
      </w:r>
      <w:r w:rsidR="0016597A" w:rsidRPr="0016597A">
        <w:rPr>
          <w:lang w:val="fr-MC"/>
        </w:rPr>
        <w:t>Ministère Public et d’un</w:t>
      </w:r>
      <w:r w:rsidR="0016597A">
        <w:rPr>
          <w:lang w:val="fr-MC"/>
        </w:rPr>
        <w:t xml:space="preserve"> </w:t>
      </w:r>
      <w:r w:rsidR="0016597A" w:rsidRPr="0016597A">
        <w:rPr>
          <w:lang w:val="fr-MC"/>
        </w:rPr>
        <w:t>Greffier ».</w:t>
      </w:r>
      <w:r w:rsidR="0016597A">
        <w:rPr>
          <w:lang w:val="fr-MC"/>
        </w:rPr>
        <w:t xml:space="preserve"> </w:t>
      </w:r>
      <w:r w:rsidR="0016597A" w:rsidRPr="0016597A">
        <w:rPr>
          <w:lang w:val="fr-MC"/>
        </w:rPr>
        <w:t>L’article 4 quant à lui dispose que «</w:t>
      </w:r>
      <w:r w:rsidR="00C74407">
        <w:rPr>
          <w:lang w:val="fr-MC"/>
        </w:rPr>
        <w:t> </w:t>
      </w:r>
      <w:r w:rsidR="0016597A" w:rsidRPr="0016597A">
        <w:rPr>
          <w:lang w:val="fr-MC"/>
        </w:rPr>
        <w:t>la Cour d’Appel siégeant en Chambre des Mineurs et Victimes des violences sexuelles comprend un Président et deux Conseillers assistés d’un Officier du Ministère Public et d’un Greffier ».</w:t>
      </w:r>
    </w:p>
    <w:p w14:paraId="7705D60D" w14:textId="5D65EA09" w:rsidR="0016597A" w:rsidRPr="0016597A" w:rsidRDefault="00BF2F03" w:rsidP="00BF2F03">
      <w:pPr>
        <w:pStyle w:val="SingleTxtG"/>
        <w:rPr>
          <w:lang w:val="fr-MC"/>
        </w:rPr>
      </w:pPr>
      <w:r w:rsidRPr="0016597A">
        <w:rPr>
          <w:lang w:val="fr-MC"/>
        </w:rPr>
        <w:t>105.</w:t>
      </w:r>
      <w:r w:rsidRPr="0016597A">
        <w:rPr>
          <w:lang w:val="fr-MC"/>
        </w:rPr>
        <w:tab/>
      </w:r>
      <w:r w:rsidR="0016597A" w:rsidRPr="0016597A">
        <w:rPr>
          <w:lang w:val="fr-MC"/>
        </w:rPr>
        <w:t xml:space="preserve">La mise en place des cellules genre au niveau des Ministères clés dont celui de la Justice et Protection Civique et Gardes des Sceaux, la Sécurité Publique et Gestion des Catastrophes, la Défense Nationale et des Anciens Combattants, y compris le Ministère en charge les droits de l’homme. </w:t>
      </w:r>
    </w:p>
    <w:p w14:paraId="35F1B02D" w14:textId="3D1B5A59" w:rsidR="0016597A" w:rsidRPr="0016597A" w:rsidRDefault="00BF2F03" w:rsidP="00BF2F03">
      <w:pPr>
        <w:pStyle w:val="SingleTxtG"/>
        <w:rPr>
          <w:lang w:val="fr-MC"/>
        </w:rPr>
      </w:pPr>
      <w:r w:rsidRPr="0016597A">
        <w:rPr>
          <w:lang w:val="fr-MC"/>
        </w:rPr>
        <w:t>106.</w:t>
      </w:r>
      <w:r w:rsidRPr="0016597A">
        <w:rPr>
          <w:lang w:val="fr-MC"/>
        </w:rPr>
        <w:tab/>
      </w:r>
      <w:r w:rsidR="0016597A" w:rsidRPr="0016597A">
        <w:rPr>
          <w:lang w:val="fr-MC"/>
        </w:rPr>
        <w:t>La Décentralisation progressive de l’Unité de Police de la Protection des Mineurs et des Mœurs dans les différentes provinces du pays (dans 6 provinces sur les 18 dans un premier temps). </w:t>
      </w:r>
    </w:p>
    <w:p w14:paraId="14008724" w14:textId="1A229E30" w:rsidR="0016597A" w:rsidRPr="0016597A" w:rsidRDefault="00BF2F03" w:rsidP="00BF2F03">
      <w:pPr>
        <w:pStyle w:val="SingleTxtG"/>
        <w:rPr>
          <w:lang w:val="fr-MC"/>
        </w:rPr>
      </w:pPr>
      <w:r w:rsidRPr="0016597A">
        <w:rPr>
          <w:lang w:val="fr-MC"/>
        </w:rPr>
        <w:t>107.</w:t>
      </w:r>
      <w:r w:rsidRPr="0016597A">
        <w:rPr>
          <w:lang w:val="fr-MC"/>
        </w:rPr>
        <w:tab/>
      </w:r>
      <w:r w:rsidR="0016597A" w:rsidRPr="0016597A">
        <w:rPr>
          <w:lang w:val="fr-MC"/>
        </w:rPr>
        <w:t xml:space="preserve">Le renforcement des capacités des points focaux </w:t>
      </w:r>
      <w:proofErr w:type="spellStart"/>
      <w:r w:rsidR="0016597A" w:rsidRPr="0016597A">
        <w:rPr>
          <w:lang w:val="fr-MC"/>
        </w:rPr>
        <w:t>VBGs</w:t>
      </w:r>
      <w:proofErr w:type="spellEnd"/>
      <w:r w:rsidR="0016597A" w:rsidRPr="0016597A">
        <w:rPr>
          <w:lang w:val="fr-MC"/>
        </w:rPr>
        <w:t xml:space="preserve"> sur le guide de conduite en cas de </w:t>
      </w:r>
      <w:proofErr w:type="spellStart"/>
      <w:r w:rsidR="0016597A" w:rsidRPr="0016597A">
        <w:rPr>
          <w:lang w:val="fr-MC"/>
        </w:rPr>
        <w:t>VBGs</w:t>
      </w:r>
      <w:proofErr w:type="spellEnd"/>
      <w:r w:rsidR="0016597A" w:rsidRPr="0016597A">
        <w:rPr>
          <w:lang w:val="fr-MC"/>
        </w:rPr>
        <w:t xml:space="preserve"> et du Protocole de prise en charge des victimes des </w:t>
      </w:r>
      <w:proofErr w:type="spellStart"/>
      <w:r w:rsidR="0016597A" w:rsidRPr="0016597A">
        <w:rPr>
          <w:lang w:val="fr-MC"/>
        </w:rPr>
        <w:t>VBGs</w:t>
      </w:r>
      <w:proofErr w:type="spellEnd"/>
      <w:r w:rsidR="0016597A" w:rsidRPr="0016597A">
        <w:rPr>
          <w:lang w:val="fr-MC"/>
        </w:rPr>
        <w:t xml:space="preserve">. </w:t>
      </w:r>
    </w:p>
    <w:p w14:paraId="734D2CEB" w14:textId="48485646" w:rsidR="0016597A" w:rsidRPr="0016597A" w:rsidRDefault="00BF2F03" w:rsidP="00BF2F03">
      <w:pPr>
        <w:pStyle w:val="SingleTxtG"/>
        <w:rPr>
          <w:lang w:val="fr-MC"/>
        </w:rPr>
      </w:pPr>
      <w:r w:rsidRPr="0016597A">
        <w:rPr>
          <w:lang w:val="fr-MC"/>
        </w:rPr>
        <w:t>108.</w:t>
      </w:r>
      <w:r w:rsidRPr="0016597A">
        <w:rPr>
          <w:lang w:val="fr-MC"/>
        </w:rPr>
        <w:tab/>
      </w:r>
      <w:r w:rsidR="0016597A" w:rsidRPr="0016597A">
        <w:rPr>
          <w:lang w:val="fr-MC"/>
        </w:rPr>
        <w:t xml:space="preserve">Les formations des Officiers de Police Judiciaire et tous les policiers en matière de lutte contre les violences sexuelles et celles basées sur le genre, ainsi que l’intégration des modules de lutte contre ces violences dans les écoles et institut de Police, y compris la signature, par le MSPGC, d’un Protocole de la Police Nationale sur la Lutte contre les </w:t>
      </w:r>
      <w:proofErr w:type="spellStart"/>
      <w:r w:rsidR="0016597A" w:rsidRPr="0016597A">
        <w:rPr>
          <w:lang w:val="fr-MC"/>
        </w:rPr>
        <w:t>VBGs</w:t>
      </w:r>
      <w:proofErr w:type="spellEnd"/>
      <w:r w:rsidR="0016597A" w:rsidRPr="0016597A">
        <w:rPr>
          <w:lang w:val="fr-MC"/>
        </w:rPr>
        <w:t xml:space="preserve"> et la Prise en charge des Victimes des </w:t>
      </w:r>
      <w:proofErr w:type="spellStart"/>
      <w:r w:rsidR="0016597A" w:rsidRPr="0016597A">
        <w:rPr>
          <w:lang w:val="fr-MC"/>
        </w:rPr>
        <w:t>VBGs</w:t>
      </w:r>
      <w:proofErr w:type="spellEnd"/>
      <w:r w:rsidR="0016597A" w:rsidRPr="0016597A">
        <w:rPr>
          <w:lang w:val="fr-MC"/>
        </w:rPr>
        <w:t xml:space="preserve">, au mois de </w:t>
      </w:r>
      <w:r w:rsidR="00C74407">
        <w:rPr>
          <w:lang w:val="fr-MC"/>
        </w:rPr>
        <w:t>j</w:t>
      </w:r>
      <w:r w:rsidR="0016597A" w:rsidRPr="0016597A">
        <w:rPr>
          <w:lang w:val="fr-MC"/>
        </w:rPr>
        <w:t>uillet 2016.</w:t>
      </w:r>
    </w:p>
    <w:p w14:paraId="72C12017" w14:textId="50437E12" w:rsidR="0016597A" w:rsidRPr="0016597A" w:rsidRDefault="00BF2F03" w:rsidP="00BF2F03">
      <w:pPr>
        <w:pStyle w:val="SingleTxtG"/>
        <w:rPr>
          <w:lang w:val="fr-MC"/>
        </w:rPr>
      </w:pPr>
      <w:r w:rsidRPr="0016597A">
        <w:rPr>
          <w:lang w:val="fr-MC"/>
        </w:rPr>
        <w:t>109.</w:t>
      </w:r>
      <w:r w:rsidRPr="0016597A">
        <w:rPr>
          <w:lang w:val="fr-MC"/>
        </w:rPr>
        <w:tab/>
      </w:r>
      <w:r w:rsidR="0016597A" w:rsidRPr="0016597A">
        <w:rPr>
          <w:lang w:val="fr-MC"/>
        </w:rPr>
        <w:t>De surcroit, plusieurs séances de sensibilisations, formations et informations sur la lutte contre ces violences ont été organisées à l’intention des leaders d’opinion, des agents de santé communautaire et autres prestataires de santé, des agents prestataires des CDFC (Centres de Développement Familial et Communautaire), des membres des associations, des élèves, des enseignants, des Magistrats, des prisonniers par le Burundi, en collaboration avec des agences du système des Nations Unies comme le PNUD, ONU FEMMES, OHCDH, Banque Mondiale, UNICEF, etc.</w:t>
      </w:r>
    </w:p>
    <w:p w14:paraId="75F901C5" w14:textId="2F4DA1C3" w:rsidR="0016597A" w:rsidRPr="0016597A" w:rsidRDefault="00BF2F03" w:rsidP="00BF2F03">
      <w:pPr>
        <w:pStyle w:val="SingleTxtG"/>
        <w:rPr>
          <w:lang w:val="fr-MC"/>
        </w:rPr>
      </w:pPr>
      <w:r w:rsidRPr="0016597A">
        <w:rPr>
          <w:lang w:val="fr-MC"/>
        </w:rPr>
        <w:t>110.</w:t>
      </w:r>
      <w:r w:rsidRPr="0016597A">
        <w:rPr>
          <w:lang w:val="fr-MC"/>
        </w:rPr>
        <w:tab/>
      </w:r>
      <w:r w:rsidR="0016597A" w:rsidRPr="0016597A">
        <w:rPr>
          <w:lang w:val="fr-MC"/>
        </w:rPr>
        <w:t>Le Burundi organise également des campagnes régulières de sensibilisation, des sessions spéciales pour le traitement avec célérité des dossiers judiciaires en rapport avec les VSBG. Ces organisations partenaires n’ont jusqu’ici rapporté de cas de viols utilisés comme moyen de répression des opposants politiques.</w:t>
      </w:r>
    </w:p>
    <w:p w14:paraId="6CC5E6AA" w14:textId="3A5D7B3D" w:rsidR="0016597A" w:rsidRPr="0016597A" w:rsidRDefault="00BF2F03" w:rsidP="00BF2F03">
      <w:pPr>
        <w:pStyle w:val="SingleTxtG"/>
        <w:rPr>
          <w:lang w:val="fr-MC"/>
        </w:rPr>
      </w:pPr>
      <w:r w:rsidRPr="0016597A">
        <w:rPr>
          <w:lang w:val="fr-MC"/>
        </w:rPr>
        <w:t>111.</w:t>
      </w:r>
      <w:r w:rsidRPr="0016597A">
        <w:rPr>
          <w:lang w:val="fr-MC"/>
        </w:rPr>
        <w:tab/>
      </w:r>
      <w:r w:rsidR="0016597A" w:rsidRPr="0016597A">
        <w:rPr>
          <w:lang w:val="fr-MC"/>
        </w:rPr>
        <w:t xml:space="preserve">Dans le cadre du projet d’urgence relatif aux violences sexuelles et basées sur le genre et la santé des femmes dans la région de Grands Lacs, trois Centres intégrés de prise en charge des </w:t>
      </w:r>
      <w:proofErr w:type="spellStart"/>
      <w:r w:rsidR="0016597A" w:rsidRPr="0016597A">
        <w:rPr>
          <w:lang w:val="fr-MC"/>
        </w:rPr>
        <w:t>VBGs</w:t>
      </w:r>
      <w:proofErr w:type="spellEnd"/>
      <w:r w:rsidR="0016597A" w:rsidRPr="0016597A">
        <w:rPr>
          <w:lang w:val="fr-MC"/>
        </w:rPr>
        <w:t xml:space="preserve"> ont été créés</w:t>
      </w:r>
      <w:r w:rsidR="0016597A">
        <w:rPr>
          <w:lang w:val="fr-MC"/>
        </w:rPr>
        <w:t xml:space="preserve"> </w:t>
      </w:r>
      <w:r w:rsidR="0016597A" w:rsidRPr="0016597A">
        <w:rPr>
          <w:lang w:val="fr-MC"/>
        </w:rPr>
        <w:t xml:space="preserve">au sein des hôpitaux de </w:t>
      </w:r>
      <w:proofErr w:type="spellStart"/>
      <w:r w:rsidR="0016597A" w:rsidRPr="0016597A">
        <w:rPr>
          <w:lang w:val="fr-MC"/>
        </w:rPr>
        <w:t>Cibitoke</w:t>
      </w:r>
      <w:proofErr w:type="spellEnd"/>
      <w:r w:rsidR="0016597A" w:rsidRPr="0016597A">
        <w:rPr>
          <w:lang w:val="fr-MC"/>
        </w:rPr>
        <w:t xml:space="preserve">, </w:t>
      </w:r>
      <w:proofErr w:type="spellStart"/>
      <w:r w:rsidR="0016597A" w:rsidRPr="0016597A">
        <w:rPr>
          <w:lang w:val="fr-MC"/>
        </w:rPr>
        <w:t>Makamba</w:t>
      </w:r>
      <w:proofErr w:type="spellEnd"/>
      <w:r w:rsidR="0016597A" w:rsidRPr="0016597A">
        <w:rPr>
          <w:lang w:val="fr-MC"/>
        </w:rPr>
        <w:t xml:space="preserve"> et </w:t>
      </w:r>
      <w:proofErr w:type="spellStart"/>
      <w:r w:rsidR="0016597A" w:rsidRPr="0016597A">
        <w:rPr>
          <w:lang w:val="fr-MC"/>
        </w:rPr>
        <w:t>Muyinga</w:t>
      </w:r>
      <w:proofErr w:type="spellEnd"/>
      <w:r w:rsidR="0016597A" w:rsidRPr="0016597A">
        <w:rPr>
          <w:lang w:val="fr-MC"/>
        </w:rPr>
        <w:t xml:space="preserve">. Ils sont opérationnels depuis le 20 </w:t>
      </w:r>
      <w:r w:rsidR="00C74407">
        <w:rPr>
          <w:lang w:val="fr-MC"/>
        </w:rPr>
        <w:t>f</w:t>
      </w:r>
      <w:r w:rsidR="0016597A" w:rsidRPr="0016597A">
        <w:rPr>
          <w:lang w:val="fr-MC"/>
        </w:rPr>
        <w:t>évrier 2017.</w:t>
      </w:r>
    </w:p>
    <w:p w14:paraId="7F2EEA96" w14:textId="5E6DEE57" w:rsidR="0016597A" w:rsidRPr="0016597A" w:rsidRDefault="00BF2F03" w:rsidP="00BF2F03">
      <w:pPr>
        <w:pStyle w:val="SingleTxtG"/>
        <w:rPr>
          <w:lang w:val="fr-MC"/>
        </w:rPr>
      </w:pPr>
      <w:r w:rsidRPr="0016597A">
        <w:rPr>
          <w:lang w:val="fr-MC"/>
        </w:rPr>
        <w:t>112.</w:t>
      </w:r>
      <w:r w:rsidRPr="0016597A">
        <w:rPr>
          <w:lang w:val="fr-MC"/>
        </w:rPr>
        <w:tab/>
      </w:r>
      <w:r w:rsidR="0016597A" w:rsidRPr="0016597A">
        <w:rPr>
          <w:lang w:val="fr-MC"/>
        </w:rPr>
        <w:t>Par ailleurs, les prestations des trois Centres de prise en charge médicale, juridique, psycho-sociale et réinsertion des victimes des Violences sexuelles et celles basées sur le genre dont les Centres de HUMURA, SERUKA et NTURENGAHO sont améliorés, dans le cadre du renforcement de la prévention, l’accès aux services de traitement et l’accompagnement des victimes.</w:t>
      </w:r>
    </w:p>
    <w:p w14:paraId="45EA6CCF" w14:textId="3ADA2944" w:rsidR="0016597A" w:rsidRPr="0016597A" w:rsidRDefault="00BF2F03" w:rsidP="00BF2F03">
      <w:pPr>
        <w:pStyle w:val="SingleTxtG"/>
        <w:rPr>
          <w:lang w:val="fr-MC"/>
        </w:rPr>
      </w:pPr>
      <w:r w:rsidRPr="0016597A">
        <w:rPr>
          <w:lang w:val="fr-MC"/>
        </w:rPr>
        <w:t>113.</w:t>
      </w:r>
      <w:r w:rsidRPr="0016597A">
        <w:rPr>
          <w:lang w:val="fr-MC"/>
        </w:rPr>
        <w:tab/>
      </w:r>
      <w:r w:rsidR="0016597A" w:rsidRPr="0016597A">
        <w:rPr>
          <w:lang w:val="fr-MC"/>
        </w:rPr>
        <w:t xml:space="preserve">Concernant la préoccupation du Comité sur </w:t>
      </w:r>
      <w:r w:rsidR="0016597A" w:rsidRPr="0016597A">
        <w:rPr>
          <w:lang w:val="fr-FR"/>
        </w:rPr>
        <w:t xml:space="preserve">l’absence d’informations sur les statistiques </w:t>
      </w:r>
      <w:r w:rsidR="0016597A" w:rsidRPr="008A5B30">
        <w:rPr>
          <w:lang w:val="fr-MC"/>
        </w:rPr>
        <w:t>pouvant</w:t>
      </w:r>
      <w:r w:rsidR="0016597A" w:rsidRPr="0016597A">
        <w:rPr>
          <w:lang w:val="fr-FR"/>
        </w:rPr>
        <w:t xml:space="preserve"> permettre de mesurer l’ampleur de la violence faite aux femmes, le Burundi s’est doté, au sein du Ministère de la Justice et de la Protection Civique, d’un logiciel permettant d’avoir une</w:t>
      </w:r>
      <w:r w:rsidR="0016597A">
        <w:rPr>
          <w:lang w:val="fr-FR"/>
        </w:rPr>
        <w:t xml:space="preserve"> </w:t>
      </w:r>
      <w:r w:rsidR="0016597A" w:rsidRPr="0016597A">
        <w:rPr>
          <w:lang w:val="fr-FR"/>
        </w:rPr>
        <w:t>base de données</w:t>
      </w:r>
      <w:r w:rsidR="0016597A">
        <w:rPr>
          <w:lang w:val="fr-FR"/>
        </w:rPr>
        <w:t xml:space="preserve"> </w:t>
      </w:r>
      <w:r w:rsidR="0016597A" w:rsidRPr="0016597A">
        <w:rPr>
          <w:lang w:val="fr-FR"/>
        </w:rPr>
        <w:t>renseignant sur les plaintes déposées, les enquêtes, les poursuites, les condamnations et les sanctions infligées aux responsables. Ce logiciel est installé dans tous les Tribunaux de Grande Instance du Burundi.</w:t>
      </w:r>
    </w:p>
    <w:p w14:paraId="4D5D25D4" w14:textId="75EDB232" w:rsidR="0016597A" w:rsidRPr="0016597A" w:rsidRDefault="00BF2F03" w:rsidP="00BF2F03">
      <w:pPr>
        <w:pStyle w:val="SingleTxtG"/>
        <w:rPr>
          <w:lang w:val="fr-MC"/>
        </w:rPr>
      </w:pPr>
      <w:r w:rsidRPr="0016597A">
        <w:rPr>
          <w:lang w:val="fr-MC"/>
        </w:rPr>
        <w:t>114.</w:t>
      </w:r>
      <w:r w:rsidRPr="0016597A">
        <w:rPr>
          <w:lang w:val="fr-MC"/>
        </w:rPr>
        <w:tab/>
      </w:r>
      <w:r w:rsidR="0016597A" w:rsidRPr="0016597A">
        <w:rPr>
          <w:lang w:val="fr-MC"/>
        </w:rPr>
        <w:t xml:space="preserve">Enfin, </w:t>
      </w:r>
      <w:r w:rsidR="0016597A" w:rsidRPr="0016597A">
        <w:rPr>
          <w:lang w:val="fr-FR"/>
        </w:rPr>
        <w:t>sur les mille deux cent et un (1</w:t>
      </w:r>
      <w:r w:rsidR="00C74407">
        <w:rPr>
          <w:lang w:val="fr-FR"/>
        </w:rPr>
        <w:t> </w:t>
      </w:r>
      <w:r w:rsidR="0016597A" w:rsidRPr="0016597A">
        <w:rPr>
          <w:lang w:val="fr-FR"/>
        </w:rPr>
        <w:t xml:space="preserve">201) cas de viol dont </w:t>
      </w:r>
      <w:r w:rsidR="0016597A" w:rsidRPr="0016597A">
        <w:rPr>
          <w:lang w:val="fr-MC"/>
        </w:rPr>
        <w:t>la Chambre Spéciale pour Mineurs et Victimes des Violences Sexuelles au Burundi</w:t>
      </w:r>
      <w:r w:rsidR="0016597A" w:rsidRPr="0016597A">
        <w:rPr>
          <w:lang w:val="fr-FR"/>
        </w:rPr>
        <w:t>s’est saisi jusqu’au 1</w:t>
      </w:r>
      <w:r w:rsidR="0016597A" w:rsidRPr="0016597A">
        <w:rPr>
          <w:vertAlign w:val="superscript"/>
          <w:lang w:val="fr-FR"/>
        </w:rPr>
        <w:t>er</w:t>
      </w:r>
      <w:r w:rsidR="0016597A" w:rsidRPr="0016597A">
        <w:rPr>
          <w:lang w:val="fr-FR"/>
        </w:rPr>
        <w:t xml:space="preserve"> semestre de l’année 2018, les dossiers ont été clôturés et les auteurs condamnés conformément au Code pénal burundais.</w:t>
      </w:r>
    </w:p>
    <w:p w14:paraId="09810DAF" w14:textId="4CC568C8" w:rsidR="0016597A" w:rsidRPr="0016597A" w:rsidRDefault="00CC66AC" w:rsidP="00BC23B3">
      <w:pPr>
        <w:pStyle w:val="H1G"/>
        <w:rPr>
          <w:lang w:val="fr-MC"/>
        </w:rPr>
      </w:pPr>
      <w:bookmarkStart w:id="24" w:name="_Toc529970210"/>
      <w:r>
        <w:rPr>
          <w:lang w:val="fr-MC"/>
        </w:rPr>
        <w:lastRenderedPageBreak/>
        <w:tab/>
      </w:r>
      <w:r>
        <w:rPr>
          <w:lang w:val="fr-MC"/>
        </w:rPr>
        <w:tab/>
        <w:t>Article 13</w:t>
      </w:r>
      <w:r w:rsidR="00C74407">
        <w:rPr>
          <w:lang w:val="fr-MC"/>
        </w:rPr>
        <w:t> </w:t>
      </w:r>
      <w:r w:rsidR="0016597A" w:rsidRPr="0016597A">
        <w:rPr>
          <w:lang w:val="fr-MC"/>
        </w:rPr>
        <w:t>: Du droit pour la victime de porter plainte</w:t>
      </w:r>
      <w:bookmarkEnd w:id="24"/>
    </w:p>
    <w:p w14:paraId="36F6B9FB" w14:textId="2FA55D01" w:rsidR="0016597A" w:rsidRPr="0016597A" w:rsidRDefault="00BF2F03" w:rsidP="00BF2F03">
      <w:pPr>
        <w:pStyle w:val="SingleTxtG"/>
        <w:rPr>
          <w:lang w:val="fr-MC"/>
        </w:rPr>
      </w:pPr>
      <w:r w:rsidRPr="0016597A">
        <w:rPr>
          <w:lang w:val="fr-MC"/>
        </w:rPr>
        <w:t>115.</w:t>
      </w:r>
      <w:r w:rsidRPr="0016597A">
        <w:rPr>
          <w:lang w:val="fr-MC"/>
        </w:rPr>
        <w:tab/>
      </w:r>
      <w:r w:rsidR="0016597A" w:rsidRPr="0016597A">
        <w:rPr>
          <w:lang w:val="fr-MC"/>
        </w:rPr>
        <w:t>Le Code de procédure pénale de 2018 enjoint à l’Officier de Police Judiciaire de recevoir les dénonciations, les plaintes et rapports relatifs aux infractions qu’ils ont mission de rechercher</w:t>
      </w:r>
      <w:r w:rsidR="0016597A" w:rsidRPr="00B345A8">
        <w:rPr>
          <w:rStyle w:val="Appelnotedebasdep"/>
        </w:rPr>
        <w:footnoteReference w:id="40"/>
      </w:r>
      <w:r w:rsidR="0016597A" w:rsidRPr="0016597A">
        <w:rPr>
          <w:lang w:val="fr-MC"/>
        </w:rPr>
        <w:t xml:space="preserve">. </w:t>
      </w:r>
    </w:p>
    <w:p w14:paraId="3249AFFF" w14:textId="12AA705D" w:rsidR="0016597A" w:rsidRPr="0016597A" w:rsidRDefault="00BF2F03" w:rsidP="00BF2F03">
      <w:pPr>
        <w:pStyle w:val="SingleTxtG"/>
        <w:rPr>
          <w:lang w:val="fr-MC"/>
        </w:rPr>
      </w:pPr>
      <w:r w:rsidRPr="0016597A">
        <w:rPr>
          <w:lang w:val="fr-MC"/>
        </w:rPr>
        <w:t>116.</w:t>
      </w:r>
      <w:r w:rsidRPr="0016597A">
        <w:rPr>
          <w:lang w:val="fr-MC"/>
        </w:rPr>
        <w:tab/>
      </w:r>
      <w:r w:rsidR="0016597A" w:rsidRPr="0016597A">
        <w:rPr>
          <w:lang w:val="fr-MC"/>
        </w:rPr>
        <w:t>Toujours dans le cadre des plaintes des victimes aux infractions pénales, il revient à l’Officier de Police Judiciaire de rechercher les auteurs de ces infractions, en réunir les indices à leur charge afin de les mettre à la disposition du Ministère Public.</w:t>
      </w:r>
    </w:p>
    <w:p w14:paraId="4FF18CFF" w14:textId="3EBDCE91" w:rsidR="0016597A" w:rsidRPr="0016597A" w:rsidRDefault="00BF2F03" w:rsidP="00BF2F03">
      <w:pPr>
        <w:pStyle w:val="SingleTxtG"/>
        <w:rPr>
          <w:lang w:val="fr-MC"/>
        </w:rPr>
      </w:pPr>
      <w:r w:rsidRPr="0016597A">
        <w:rPr>
          <w:lang w:val="fr-MC"/>
        </w:rPr>
        <w:t>117.</w:t>
      </w:r>
      <w:r w:rsidRPr="0016597A">
        <w:rPr>
          <w:lang w:val="fr-MC"/>
        </w:rPr>
        <w:tab/>
      </w:r>
      <w:r w:rsidR="0016597A" w:rsidRPr="0016597A">
        <w:rPr>
          <w:lang w:val="fr-MC"/>
        </w:rPr>
        <w:t>Toutefois, lorsque l’Officier de Police Judiciaire, de même que l’Officier du Ministère Public constatent que la victime a porté plainte surtout pour des infractions contre la personne ou portant sur la moralité de la personne comme la torture, le traitement cruel, inhumain ou dégradant ou les violences sexuelles, ils ont le devoir de ne pas la confronter avec le présumé auteur, mais</w:t>
      </w:r>
      <w:r w:rsidR="00A6762E">
        <w:rPr>
          <w:lang w:val="fr-MC"/>
        </w:rPr>
        <w:t xml:space="preserve"> plutôt d’assurer sa protection</w:t>
      </w:r>
      <w:r w:rsidR="0016597A" w:rsidRPr="00B345A8">
        <w:rPr>
          <w:rStyle w:val="Appelnotedebasdep"/>
        </w:rPr>
        <w:footnoteReference w:id="41"/>
      </w:r>
      <w:r w:rsidR="00A6762E">
        <w:rPr>
          <w:lang w:val="fr-MC"/>
        </w:rPr>
        <w:t>.</w:t>
      </w:r>
    </w:p>
    <w:p w14:paraId="00BAF7CB" w14:textId="00BBC694" w:rsidR="0016597A" w:rsidRPr="0016597A" w:rsidRDefault="00BF2F03" w:rsidP="00BF2F03">
      <w:pPr>
        <w:pStyle w:val="SingleTxtG"/>
        <w:rPr>
          <w:lang w:val="fr-MC"/>
        </w:rPr>
      </w:pPr>
      <w:r w:rsidRPr="0016597A">
        <w:rPr>
          <w:lang w:val="fr-MC"/>
        </w:rPr>
        <w:t>118.</w:t>
      </w:r>
      <w:r w:rsidRPr="0016597A">
        <w:rPr>
          <w:lang w:val="fr-MC"/>
        </w:rPr>
        <w:tab/>
      </w:r>
      <w:r w:rsidR="0016597A" w:rsidRPr="0016597A">
        <w:rPr>
          <w:lang w:val="fr-MC"/>
        </w:rPr>
        <w:t xml:space="preserve">Le Burundi a connu des avancées significatives et louables en mettant sur pied la </w:t>
      </w:r>
      <w:r w:rsidR="00C74407">
        <w:rPr>
          <w:lang w:val="fr-MC"/>
        </w:rPr>
        <w:t>l</w:t>
      </w:r>
      <w:r w:rsidR="0016597A" w:rsidRPr="0016597A">
        <w:rPr>
          <w:lang w:val="fr-MC"/>
        </w:rPr>
        <w:t xml:space="preserve">oi </w:t>
      </w:r>
      <w:r w:rsidR="00C74407" w:rsidRPr="0016597A">
        <w:rPr>
          <w:lang w:val="fr-MC"/>
        </w:rPr>
        <w:t>n</w:t>
      </w:r>
      <w:r w:rsidR="00C74407" w:rsidRPr="008A395C">
        <w:rPr>
          <w:vertAlign w:val="superscript"/>
          <w:lang w:val="fr-MC"/>
        </w:rPr>
        <w:t>o</w:t>
      </w:r>
      <w:r w:rsidR="00C74407">
        <w:rPr>
          <w:lang w:val="fr-MC"/>
        </w:rPr>
        <w:t> </w:t>
      </w:r>
      <w:r w:rsidR="0016597A" w:rsidRPr="0016597A">
        <w:rPr>
          <w:lang w:val="fr-MC"/>
        </w:rPr>
        <w:t>1/04 du 27 juin 2016 portant Protection des victimes, des témoins et d’autres personnes en situation de risque. Cette loi vise ainsi la protection des personnes intervenant dans une procédure pénale (les enquêteurs, les Officiers du Ministère Public, les Juges, les Avocats ou tout autre agent impliqué dans les procédures en matière pénale) ou dans les commissions chargées de faire des enquêtes telle que la Commission Vérité et Réconciliation (CVR) et qui, de ce fait, sont en situation de risque.</w:t>
      </w:r>
    </w:p>
    <w:p w14:paraId="1FC0E277" w14:textId="1464F947" w:rsidR="0016597A" w:rsidRPr="0016597A" w:rsidRDefault="00BF2F03" w:rsidP="00BF2F03">
      <w:pPr>
        <w:pStyle w:val="SingleTxtG"/>
        <w:rPr>
          <w:lang w:val="fr-MC"/>
        </w:rPr>
      </w:pPr>
      <w:r w:rsidRPr="0016597A">
        <w:rPr>
          <w:lang w:val="fr-MC"/>
        </w:rPr>
        <w:t>119.</w:t>
      </w:r>
      <w:r w:rsidRPr="0016597A">
        <w:rPr>
          <w:lang w:val="fr-MC"/>
        </w:rPr>
        <w:tab/>
      </w:r>
      <w:r w:rsidR="0016597A" w:rsidRPr="0016597A">
        <w:rPr>
          <w:lang w:val="fr-MC"/>
        </w:rPr>
        <w:t>Les mesures de protection ainsi prises, visent à préserver leur sécurité, le bien-être physique et psychologique, la dignité et le respect de la vie privée des victimes, des témoins et des autres personnes en situation de risque sérieux. Il s’agit ainsi des mesures à caractère juridictionnel comme l’autorisation d’une déposition anonyme et la non-divulgation de l’identité du témoin, de celle de la victime ou de celle de toute autre personne à risque, l’autorisation à la victime ou le témoin de dissimuler son visage ou déformer sa voix, les mettre à l’abri du public et du prévenu, tenir l’</w:t>
      </w:r>
      <w:r w:rsidR="00A6762E">
        <w:rPr>
          <w:lang w:val="fr-MC"/>
        </w:rPr>
        <w:t>audience à huis clos, et autres</w:t>
      </w:r>
      <w:r w:rsidR="0016597A" w:rsidRPr="00B345A8">
        <w:rPr>
          <w:rStyle w:val="Appelnotedebasdep"/>
        </w:rPr>
        <w:footnoteReference w:id="42"/>
      </w:r>
      <w:r w:rsidR="00A6762E">
        <w:rPr>
          <w:lang w:val="fr-MC"/>
        </w:rPr>
        <w:t>.</w:t>
      </w:r>
    </w:p>
    <w:p w14:paraId="45BCC027" w14:textId="5A6FF709" w:rsidR="0016597A" w:rsidRPr="0016597A" w:rsidRDefault="00BF2F03" w:rsidP="00BF2F03">
      <w:pPr>
        <w:pStyle w:val="SingleTxtG"/>
        <w:rPr>
          <w:lang w:val="fr-MC"/>
        </w:rPr>
      </w:pPr>
      <w:r w:rsidRPr="0016597A">
        <w:rPr>
          <w:lang w:val="fr-MC"/>
        </w:rPr>
        <w:t>120.</w:t>
      </w:r>
      <w:r w:rsidRPr="0016597A">
        <w:rPr>
          <w:lang w:val="fr-MC"/>
        </w:rPr>
        <w:tab/>
      </w:r>
      <w:r w:rsidR="0016597A" w:rsidRPr="0016597A">
        <w:rPr>
          <w:lang w:val="fr-MC"/>
        </w:rPr>
        <w:t xml:space="preserve">Les mesures à caractère non juridictionnel concernent particulièrement des mesures prises par les autorités ou les commissions d’enquête, mais aussi les OPJ et les OMP telles que : </w:t>
      </w:r>
    </w:p>
    <w:p w14:paraId="75248419" w14:textId="0945EBB3"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CC66AC" w:rsidRPr="0016597A">
        <w:rPr>
          <w:lang w:val="fr-MC"/>
        </w:rPr>
        <w:t>Garantir</w:t>
      </w:r>
      <w:r w:rsidR="0016597A" w:rsidRPr="0016597A">
        <w:rPr>
          <w:lang w:val="fr-MC"/>
        </w:rPr>
        <w:t xml:space="preserve"> la confidentialité de la déposition des victimes ou des témoins ;</w:t>
      </w:r>
    </w:p>
    <w:p w14:paraId="14ECB935" w14:textId="6D8B04D9"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CC66AC" w:rsidRPr="0016597A">
        <w:rPr>
          <w:lang w:val="fr-MC"/>
        </w:rPr>
        <w:t>Informer</w:t>
      </w:r>
      <w:r w:rsidR="0016597A" w:rsidRPr="0016597A">
        <w:rPr>
          <w:lang w:val="fr-MC"/>
        </w:rPr>
        <w:t xml:space="preserve"> les victimes et les témoins des mesures de protection dont ils peuvent bénéficier et des structures de prise en charge en cas de danger imminent ;</w:t>
      </w:r>
    </w:p>
    <w:p w14:paraId="5889DF20" w14:textId="2A35D076"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CC66AC" w:rsidRPr="0016597A">
        <w:rPr>
          <w:lang w:val="fr-MC"/>
        </w:rPr>
        <w:t>Veiller</w:t>
      </w:r>
      <w:r w:rsidR="0016597A" w:rsidRPr="0016597A">
        <w:rPr>
          <w:lang w:val="fr-MC"/>
        </w:rPr>
        <w:t xml:space="preserve"> à ce que toute intimidation présumée à l’égard d’une victime ou d’un témoin soit signalée et fasse l’objet d’une enquête ;</w:t>
      </w:r>
    </w:p>
    <w:p w14:paraId="3C41A34B" w14:textId="404B778A"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CC66AC" w:rsidRPr="0016597A">
        <w:rPr>
          <w:lang w:val="fr-MC"/>
        </w:rPr>
        <w:t>Aider</w:t>
      </w:r>
      <w:r w:rsidR="0016597A" w:rsidRPr="0016597A">
        <w:rPr>
          <w:lang w:val="fr-MC"/>
        </w:rPr>
        <w:t xml:space="preserve"> les témoins en situation de risque à comparaître en justice dans des conditions sûres, etc. </w:t>
      </w:r>
    </w:p>
    <w:p w14:paraId="3D2257D4" w14:textId="08BC7119" w:rsidR="0016597A" w:rsidRPr="0016597A" w:rsidRDefault="00BF2F03" w:rsidP="00BF2F03">
      <w:pPr>
        <w:pStyle w:val="SingleTxtG"/>
        <w:rPr>
          <w:lang w:val="fr-MC"/>
        </w:rPr>
      </w:pPr>
      <w:r w:rsidRPr="0016597A">
        <w:rPr>
          <w:lang w:val="fr-MC"/>
        </w:rPr>
        <w:t>121.</w:t>
      </w:r>
      <w:r w:rsidRPr="0016597A">
        <w:rPr>
          <w:lang w:val="fr-MC"/>
        </w:rPr>
        <w:tab/>
      </w:r>
      <w:r w:rsidR="0016597A" w:rsidRPr="0016597A">
        <w:rPr>
          <w:lang w:val="fr-MC"/>
        </w:rPr>
        <w:t>Il importe de signaler que la loi portant protection des victimes et témoins a prévu une unité de protection des victimes, des témoins et d’autres personnes en situation de risque, qui n’est pas encore mis en place malheureusement faute de moyens.</w:t>
      </w:r>
    </w:p>
    <w:p w14:paraId="699022D9" w14:textId="1920727B" w:rsidR="0016597A" w:rsidRPr="0016597A" w:rsidRDefault="00CC66AC" w:rsidP="00BC23B3">
      <w:pPr>
        <w:pStyle w:val="H1G"/>
        <w:rPr>
          <w:lang w:val="fr-MC"/>
        </w:rPr>
      </w:pPr>
      <w:bookmarkStart w:id="25" w:name="_Toc529970211"/>
      <w:r>
        <w:rPr>
          <w:lang w:val="fr-MC"/>
        </w:rPr>
        <w:tab/>
      </w:r>
      <w:r>
        <w:rPr>
          <w:lang w:val="fr-MC"/>
        </w:rPr>
        <w:tab/>
      </w:r>
      <w:r w:rsidR="0016597A" w:rsidRPr="0016597A">
        <w:rPr>
          <w:lang w:val="fr-MC"/>
        </w:rPr>
        <w:t>Article 14</w:t>
      </w:r>
      <w:r w:rsidR="00861273">
        <w:rPr>
          <w:lang w:val="fr-MC"/>
        </w:rPr>
        <w:t> </w:t>
      </w:r>
      <w:r w:rsidR="0016597A" w:rsidRPr="0016597A">
        <w:rPr>
          <w:lang w:val="fr-MC"/>
        </w:rPr>
        <w:t>: Du droit de la victime d’obtenir réparation</w:t>
      </w:r>
      <w:bookmarkEnd w:id="25"/>
    </w:p>
    <w:p w14:paraId="5995DFEF" w14:textId="5813C013" w:rsidR="0016597A" w:rsidRPr="0016597A" w:rsidRDefault="00BF2F03" w:rsidP="00BF2F03">
      <w:pPr>
        <w:pStyle w:val="SingleTxtG"/>
        <w:rPr>
          <w:b/>
          <w:lang w:val="fr-MC"/>
        </w:rPr>
      </w:pPr>
      <w:r w:rsidRPr="0016597A">
        <w:rPr>
          <w:lang w:val="fr-MC"/>
        </w:rPr>
        <w:t>122.</w:t>
      </w:r>
      <w:r w:rsidRPr="0016597A">
        <w:rPr>
          <w:lang w:val="fr-MC"/>
        </w:rPr>
        <w:tab/>
      </w:r>
      <w:r w:rsidR="0016597A" w:rsidRPr="0016597A">
        <w:rPr>
          <w:lang w:val="fr-MC"/>
        </w:rPr>
        <w:t>La Constitution de la République du Burundi de 2018 garantit le droit de la victime d’obtenir la réparation. En effet, l’Etat a l’obligation d’indemniser toute personne victime de traitement arbitraire de son f</w:t>
      </w:r>
      <w:r w:rsidR="00A6762E">
        <w:rPr>
          <w:lang w:val="fr-MC"/>
        </w:rPr>
        <w:t>ait ou du fait de ses organes »</w:t>
      </w:r>
      <w:r w:rsidR="0016597A" w:rsidRPr="00B345A8">
        <w:rPr>
          <w:rStyle w:val="Appelnotedebasdep"/>
        </w:rPr>
        <w:footnoteReference w:id="43"/>
      </w:r>
      <w:r w:rsidR="00A6762E">
        <w:rPr>
          <w:lang w:val="fr-MC"/>
        </w:rPr>
        <w:t>.</w:t>
      </w:r>
    </w:p>
    <w:p w14:paraId="65BCAC63" w14:textId="7B2F13B3" w:rsidR="0016597A" w:rsidRPr="0016597A" w:rsidRDefault="00BF2F03" w:rsidP="00BF2F03">
      <w:pPr>
        <w:pStyle w:val="SingleTxtG"/>
        <w:rPr>
          <w:b/>
          <w:lang w:val="fr-MC"/>
        </w:rPr>
      </w:pPr>
      <w:r w:rsidRPr="0016597A">
        <w:rPr>
          <w:lang w:val="fr-MC"/>
        </w:rPr>
        <w:lastRenderedPageBreak/>
        <w:t>123.</w:t>
      </w:r>
      <w:r w:rsidRPr="0016597A">
        <w:rPr>
          <w:lang w:val="fr-MC"/>
        </w:rPr>
        <w:tab/>
      </w:r>
      <w:r w:rsidR="0016597A" w:rsidRPr="0016597A">
        <w:rPr>
          <w:lang w:val="fr-MC"/>
        </w:rPr>
        <w:t>Le Code de procédure pénale de 2018, dans la 2</w:t>
      </w:r>
      <w:r w:rsidR="0016597A" w:rsidRPr="0016597A">
        <w:rPr>
          <w:vertAlign w:val="superscript"/>
          <w:lang w:val="fr-MC"/>
        </w:rPr>
        <w:t>ème</w:t>
      </w:r>
      <w:r w:rsidR="0016597A" w:rsidRPr="0016597A">
        <w:rPr>
          <w:lang w:val="fr-MC"/>
        </w:rPr>
        <w:t xml:space="preserve"> section du chapitre XII sur l’exécution des jugements, a prévu une partie sur l’indemnisation des victimes de la torture. Ce qui est une innovation par rapport à l’ancien Code de procédure pénale du 3 avril 2013 qui ignorait la réparation des dommages causés par les auteurs de la torture.</w:t>
      </w:r>
    </w:p>
    <w:p w14:paraId="122E46A2" w14:textId="3E952812" w:rsidR="0016597A" w:rsidRPr="0016597A" w:rsidRDefault="00BF2F03" w:rsidP="00BF2F03">
      <w:pPr>
        <w:pStyle w:val="SingleTxtG"/>
        <w:rPr>
          <w:b/>
          <w:lang w:val="fr-MC"/>
        </w:rPr>
      </w:pPr>
      <w:r w:rsidRPr="0016597A">
        <w:rPr>
          <w:lang w:val="fr-MC"/>
        </w:rPr>
        <w:t>124.</w:t>
      </w:r>
      <w:r w:rsidRPr="0016597A">
        <w:rPr>
          <w:lang w:val="fr-MC"/>
        </w:rPr>
        <w:tab/>
      </w:r>
      <w:r w:rsidR="00C74407">
        <w:rPr>
          <w:lang w:val="fr-MC"/>
        </w:rPr>
        <w:t>À</w:t>
      </w:r>
      <w:r w:rsidR="0016597A" w:rsidRPr="0016597A">
        <w:rPr>
          <w:lang w:val="fr-MC"/>
        </w:rPr>
        <w:t xml:space="preserve"> cet effet, en cas de torture</w:t>
      </w:r>
      <w:r w:rsidR="0016597A" w:rsidRPr="0016597A">
        <w:rPr>
          <w:color w:val="FF0000"/>
          <w:lang w:val="fr-MC"/>
        </w:rPr>
        <w:t xml:space="preserve"> </w:t>
      </w:r>
      <w:r w:rsidR="0016597A" w:rsidRPr="0016597A">
        <w:rPr>
          <w:lang w:val="fr-MC"/>
        </w:rPr>
        <w:t>par un préposé de l’Etat dans l’exercice de ses fonctions, dûment constatée, et si la victime s’est régulièrement constituée partie civile, la réparation intégrale du préjudice est supportée par l’Etat</w:t>
      </w:r>
      <w:r w:rsidR="0016597A" w:rsidRPr="00B345A8">
        <w:rPr>
          <w:rStyle w:val="Appelnotedebasdep"/>
        </w:rPr>
        <w:footnoteReference w:id="44"/>
      </w:r>
      <w:r w:rsidR="0016597A" w:rsidRPr="0016597A">
        <w:rPr>
          <w:lang w:val="fr-MC"/>
        </w:rPr>
        <w:t>.</w:t>
      </w:r>
    </w:p>
    <w:p w14:paraId="14586136" w14:textId="4C38EAD1" w:rsidR="0016597A" w:rsidRPr="0016597A" w:rsidRDefault="00BF2F03" w:rsidP="00BF2F03">
      <w:pPr>
        <w:pStyle w:val="SingleTxtG"/>
        <w:rPr>
          <w:b/>
          <w:lang w:val="fr-MC"/>
        </w:rPr>
      </w:pPr>
      <w:r w:rsidRPr="0016597A">
        <w:rPr>
          <w:lang w:val="fr-MC"/>
        </w:rPr>
        <w:t>125.</w:t>
      </w:r>
      <w:r w:rsidRPr="0016597A">
        <w:rPr>
          <w:lang w:val="fr-MC"/>
        </w:rPr>
        <w:tab/>
      </w:r>
      <w:r w:rsidR="0016597A" w:rsidRPr="0016597A">
        <w:rPr>
          <w:lang w:val="fr-MC"/>
        </w:rPr>
        <w:t>Cependant, même si la victime est indemnisée par l’Etat, le même code prévoit que l’Etat peut exercer une action récursoire contre l’agent tortionnaire, ses coauteurs ou ses complices</w:t>
      </w:r>
      <w:r w:rsidR="0016597A" w:rsidRPr="00B345A8">
        <w:rPr>
          <w:rStyle w:val="Appelnotedebasdep"/>
        </w:rPr>
        <w:footnoteReference w:id="45"/>
      </w:r>
      <w:r w:rsidR="0016597A" w:rsidRPr="0016597A">
        <w:rPr>
          <w:lang w:val="fr-MC"/>
        </w:rPr>
        <w:t>.</w:t>
      </w:r>
    </w:p>
    <w:p w14:paraId="1D961C7A" w14:textId="1BF62011" w:rsidR="0016597A" w:rsidRPr="0016597A" w:rsidRDefault="00BF2F03" w:rsidP="00BF2F03">
      <w:pPr>
        <w:pStyle w:val="SingleTxtG"/>
        <w:rPr>
          <w:b/>
          <w:lang w:val="fr-MC"/>
        </w:rPr>
      </w:pPr>
      <w:r w:rsidRPr="0016597A">
        <w:rPr>
          <w:lang w:val="fr-MC"/>
        </w:rPr>
        <w:t>126.</w:t>
      </w:r>
      <w:r w:rsidRPr="0016597A">
        <w:rPr>
          <w:lang w:val="fr-MC"/>
        </w:rPr>
        <w:tab/>
      </w:r>
      <w:r w:rsidR="0016597A" w:rsidRPr="0016597A">
        <w:rPr>
          <w:lang w:val="fr-MC"/>
        </w:rPr>
        <w:t>En exécution de cette réparation, l’Etat, ses démembrements ou la Commune doivent exercer une action récursoire en se retournant contre l’auteur de la faute à l’occasion de laquelle la réparation a été prononcée en vue de le contraindre à rembourser tout ou une partie des montants supportés par ces institutions</w:t>
      </w:r>
      <w:r w:rsidR="0016597A" w:rsidRPr="00B345A8">
        <w:rPr>
          <w:rStyle w:val="Appelnotedebasdep"/>
        </w:rPr>
        <w:footnoteReference w:id="46"/>
      </w:r>
      <w:r w:rsidR="0016597A" w:rsidRPr="0016597A">
        <w:rPr>
          <w:lang w:val="fr-MC"/>
        </w:rPr>
        <w:t>».</w:t>
      </w:r>
    </w:p>
    <w:p w14:paraId="22CF2F37" w14:textId="0E07FE0F" w:rsidR="0016597A" w:rsidRPr="0016597A" w:rsidRDefault="00CC66AC" w:rsidP="00BC23B3">
      <w:pPr>
        <w:pStyle w:val="H1G"/>
        <w:rPr>
          <w:lang w:val="fr-MC"/>
        </w:rPr>
      </w:pPr>
      <w:bookmarkStart w:id="26" w:name="_Toc529970212"/>
      <w:r>
        <w:rPr>
          <w:lang w:val="fr-MC"/>
        </w:rPr>
        <w:tab/>
      </w:r>
      <w:r>
        <w:rPr>
          <w:lang w:val="fr-MC"/>
        </w:rPr>
        <w:tab/>
      </w:r>
      <w:r w:rsidR="009647C1">
        <w:rPr>
          <w:lang w:val="fr-MC"/>
        </w:rPr>
        <w:t>Article 15</w:t>
      </w:r>
      <w:r w:rsidR="00C74407">
        <w:rPr>
          <w:lang w:val="fr-MC"/>
        </w:rPr>
        <w:t> </w:t>
      </w:r>
      <w:r w:rsidR="0016597A" w:rsidRPr="0016597A">
        <w:rPr>
          <w:lang w:val="fr-MC"/>
        </w:rPr>
        <w:t>: De la valeur des aveux obtenus par la torture</w:t>
      </w:r>
      <w:bookmarkEnd w:id="26"/>
    </w:p>
    <w:p w14:paraId="015321FB" w14:textId="643D3A65" w:rsidR="0016597A" w:rsidRPr="0016597A" w:rsidRDefault="00BF2F03" w:rsidP="00BF2F03">
      <w:pPr>
        <w:pStyle w:val="SingleTxtG"/>
        <w:rPr>
          <w:lang w:val="fr-MC"/>
        </w:rPr>
      </w:pPr>
      <w:r w:rsidRPr="0016597A">
        <w:rPr>
          <w:lang w:val="fr-MC"/>
        </w:rPr>
        <w:t>127.</w:t>
      </w:r>
      <w:r w:rsidRPr="0016597A">
        <w:rPr>
          <w:lang w:val="fr-MC"/>
        </w:rPr>
        <w:tab/>
      </w:r>
      <w:r w:rsidR="0016597A" w:rsidRPr="0016597A">
        <w:rPr>
          <w:lang w:val="fr-MC"/>
        </w:rPr>
        <w:t>Conformément à l’article 15 de la Convention contre la torture et autres peines ou traitements cruels, inhumains ou dégradants qui stipule que « Tout Etat partie veille à ce que toute déclaration dont il est établi qu’elle a été obtenue par la torture ne puisse être invoquée comme un élément de preuve dans une procédure, si ce n’est contre la personne accusée de torture pour établir qu’une déclaration a été faite », le Code de procédure pénale de 2018 a été plus clair en précisant, en son article 90 alinéa 3, que « lorsqu’il est constaté ou prouvé que des aveux de culpabilité ou toute autre information ont été obtenus par la torture, par contrainte par corps ou par tout autre moyen déloyal, ils sont frappés de nullité ainsi que les preuves qui en découlent</w:t>
      </w:r>
      <w:r w:rsidR="00C74407">
        <w:rPr>
          <w:lang w:val="fr-MC"/>
        </w:rPr>
        <w:t> </w:t>
      </w:r>
      <w:r w:rsidR="0016597A" w:rsidRPr="0016597A">
        <w:rPr>
          <w:lang w:val="fr-MC"/>
        </w:rPr>
        <w:t xml:space="preserve">». </w:t>
      </w:r>
    </w:p>
    <w:p w14:paraId="6D4B5B38" w14:textId="52A6CE17" w:rsidR="0016597A" w:rsidRPr="0016597A" w:rsidRDefault="00BF2F03" w:rsidP="00BF2F03">
      <w:pPr>
        <w:pStyle w:val="SingleTxtG"/>
        <w:rPr>
          <w:lang w:val="fr-MC"/>
        </w:rPr>
      </w:pPr>
      <w:r w:rsidRPr="0016597A">
        <w:rPr>
          <w:lang w:val="fr-MC"/>
        </w:rPr>
        <w:t>128.</w:t>
      </w:r>
      <w:r w:rsidRPr="0016597A">
        <w:rPr>
          <w:lang w:val="fr-MC"/>
        </w:rPr>
        <w:tab/>
      </w:r>
      <w:r w:rsidR="0016597A" w:rsidRPr="0016597A">
        <w:rPr>
          <w:lang w:val="fr-MC"/>
        </w:rPr>
        <w:t xml:space="preserve">Le même article donne la prérogative au juge de prononcer, en plus de ces peines principales, l’interdiction d’exercer la fonction à l’occasion de laquelle la torture a été pratiquée, sans préjudice d’autres peines complémentaires prévues par ce même code. </w:t>
      </w:r>
    </w:p>
    <w:p w14:paraId="7EF766A8" w14:textId="61389486" w:rsidR="0016597A" w:rsidRPr="0016597A" w:rsidRDefault="00BF2F03" w:rsidP="00BF2F03">
      <w:pPr>
        <w:pStyle w:val="SingleTxtG"/>
        <w:rPr>
          <w:lang w:val="fr-MC"/>
        </w:rPr>
      </w:pPr>
      <w:r w:rsidRPr="0016597A">
        <w:rPr>
          <w:lang w:val="fr-MC"/>
        </w:rPr>
        <w:t>129.</w:t>
      </w:r>
      <w:r w:rsidRPr="0016597A">
        <w:rPr>
          <w:lang w:val="fr-MC"/>
        </w:rPr>
        <w:tab/>
      </w:r>
      <w:r w:rsidR="0016597A" w:rsidRPr="0016597A">
        <w:rPr>
          <w:lang w:val="fr-MC"/>
        </w:rPr>
        <w:t>Pour ce qui est du rejet systématique</w:t>
      </w:r>
      <w:r w:rsidR="0016597A" w:rsidRPr="0016597A">
        <w:rPr>
          <w:color w:val="FF0000"/>
          <w:lang w:val="fr-MC"/>
        </w:rPr>
        <w:t xml:space="preserve"> </w:t>
      </w:r>
      <w:r w:rsidR="0016597A" w:rsidRPr="0016597A">
        <w:rPr>
          <w:lang w:val="fr-MC"/>
        </w:rPr>
        <w:t xml:space="preserve">par les Tribunaux, des aveux reçus sous la torture, l’Etat du Burundi informe le Comité que le Code de procédure pénale frappe de nullité tous aveux et/ou informations obtenus par torture, par contrainte ou par tout autre moyen déloyal ainsi que toutes les preuves qui en découlent. </w:t>
      </w:r>
    </w:p>
    <w:p w14:paraId="742A3563" w14:textId="77A3C7E5" w:rsidR="0016597A" w:rsidRPr="0016597A" w:rsidRDefault="00BF2F03" w:rsidP="00BF2F03">
      <w:pPr>
        <w:pStyle w:val="SingleTxtG"/>
        <w:rPr>
          <w:lang w:val="fr-MC"/>
        </w:rPr>
      </w:pPr>
      <w:r w:rsidRPr="0016597A">
        <w:rPr>
          <w:lang w:val="fr-MC"/>
        </w:rPr>
        <w:t>130.</w:t>
      </w:r>
      <w:r w:rsidRPr="0016597A">
        <w:rPr>
          <w:lang w:val="fr-MC"/>
        </w:rPr>
        <w:tab/>
      </w:r>
      <w:r w:rsidR="0016597A" w:rsidRPr="0016597A">
        <w:rPr>
          <w:lang w:val="fr-MC"/>
        </w:rPr>
        <w:t>En effet l’article 90 du nouveau Code de procédure (article 90</w:t>
      </w:r>
      <w:r w:rsidR="00C74407">
        <w:rPr>
          <w:lang w:val="fr-MC"/>
        </w:rPr>
        <w:t xml:space="preserve">, </w:t>
      </w:r>
      <w:r w:rsidR="0016597A" w:rsidRPr="0016597A">
        <w:rPr>
          <w:lang w:val="fr-MC"/>
        </w:rPr>
        <w:t>alinéa</w:t>
      </w:r>
      <w:r w:rsidR="00C74407">
        <w:rPr>
          <w:lang w:val="fr-MC"/>
        </w:rPr>
        <w:t xml:space="preserve"> </w:t>
      </w:r>
      <w:r w:rsidR="0016597A" w:rsidRPr="0016597A">
        <w:rPr>
          <w:lang w:val="fr-MC"/>
        </w:rPr>
        <w:t>3) dispose que « lorsqu’il est constaté ou prouvé que des aveux de culpabilité ou toute autre information ont été obtenus par torture, par contrainte ou par tout autre moyen déloyal, ils sont frappés de nullité ainsi que les preuves qui en découlent ».</w:t>
      </w:r>
      <w:r w:rsidR="0016597A">
        <w:rPr>
          <w:lang w:val="fr-MC"/>
        </w:rPr>
        <w:t xml:space="preserve"> </w:t>
      </w:r>
    </w:p>
    <w:p w14:paraId="124F08A2" w14:textId="0CCB8B18" w:rsidR="0016597A" w:rsidRPr="0016597A" w:rsidRDefault="00BF2F03" w:rsidP="00BF2F03">
      <w:pPr>
        <w:pStyle w:val="SingleTxtG"/>
        <w:rPr>
          <w:lang w:val="fr-MC"/>
        </w:rPr>
      </w:pPr>
      <w:r w:rsidRPr="0016597A">
        <w:rPr>
          <w:lang w:val="fr-MC"/>
        </w:rPr>
        <w:t>131.</w:t>
      </w:r>
      <w:r w:rsidRPr="0016597A">
        <w:rPr>
          <w:lang w:val="fr-MC"/>
        </w:rPr>
        <w:tab/>
      </w:r>
      <w:r w:rsidR="0016597A" w:rsidRPr="0016597A">
        <w:rPr>
          <w:lang w:val="fr-MC"/>
        </w:rPr>
        <w:t>Il est donc inadmissible que des aveux extorqués par le moyen de torture soient admis par les juridictions. Si des cas auraient été rapportés au Comité, il serait mieux de nous les communiquer pour les analyser au cas par cas.</w:t>
      </w:r>
    </w:p>
    <w:p w14:paraId="7D0AF774" w14:textId="5111D291" w:rsidR="0016597A" w:rsidRPr="0016597A" w:rsidRDefault="00CC66AC" w:rsidP="00BC23B3">
      <w:pPr>
        <w:pStyle w:val="H1G"/>
        <w:rPr>
          <w:lang w:val="fr-MC"/>
        </w:rPr>
      </w:pPr>
      <w:bookmarkStart w:id="27" w:name="_Toc529970213"/>
      <w:r>
        <w:rPr>
          <w:lang w:val="fr-MC"/>
        </w:rPr>
        <w:tab/>
      </w:r>
      <w:r>
        <w:rPr>
          <w:lang w:val="fr-MC"/>
        </w:rPr>
        <w:tab/>
      </w:r>
      <w:r w:rsidR="0016597A" w:rsidRPr="0016597A">
        <w:rPr>
          <w:lang w:val="fr-MC"/>
        </w:rPr>
        <w:t>Article 16</w:t>
      </w:r>
      <w:r w:rsidR="00861273">
        <w:rPr>
          <w:lang w:val="fr-MC"/>
        </w:rPr>
        <w:t> </w:t>
      </w:r>
      <w:r w:rsidR="0016597A" w:rsidRPr="0016597A">
        <w:rPr>
          <w:lang w:val="fr-MC"/>
        </w:rPr>
        <w:t>: De l’interdiction d’autres actes constitutifs de peines ou</w:t>
      </w:r>
      <w:r w:rsidR="00C74407">
        <w:rPr>
          <w:lang w:val="fr-MC"/>
        </w:rPr>
        <w:t> </w:t>
      </w:r>
      <w:r w:rsidR="0016597A" w:rsidRPr="0016597A">
        <w:rPr>
          <w:lang w:val="fr-MC"/>
        </w:rPr>
        <w:t>traitements cruels, inhumains ou dégradants</w:t>
      </w:r>
      <w:bookmarkEnd w:id="27"/>
    </w:p>
    <w:p w14:paraId="28C41DB8" w14:textId="716A0EED" w:rsidR="0016597A" w:rsidRPr="0016597A" w:rsidRDefault="00BF2F03" w:rsidP="00BF2F03">
      <w:pPr>
        <w:pStyle w:val="SingleTxtG"/>
        <w:rPr>
          <w:lang w:val="fr-MC"/>
        </w:rPr>
      </w:pPr>
      <w:r w:rsidRPr="0016597A">
        <w:rPr>
          <w:lang w:val="fr-MC"/>
        </w:rPr>
        <w:t>132.</w:t>
      </w:r>
      <w:r w:rsidRPr="0016597A">
        <w:rPr>
          <w:lang w:val="fr-MC"/>
        </w:rPr>
        <w:tab/>
      </w:r>
      <w:r w:rsidR="0016597A" w:rsidRPr="0016597A">
        <w:rPr>
          <w:lang w:val="fr-MC"/>
        </w:rPr>
        <w:t>Le Burundi a connu en 2015 des manifestations violentes qui étaient dues aux contestations contre les élections présidentielles, suivies de la tentative de coup d’Etat du 13</w:t>
      </w:r>
      <w:r w:rsidR="00C74407">
        <w:rPr>
          <w:lang w:val="fr-MC"/>
        </w:rPr>
        <w:t> </w:t>
      </w:r>
      <w:r w:rsidR="0016597A" w:rsidRPr="0016597A">
        <w:rPr>
          <w:lang w:val="fr-MC"/>
        </w:rPr>
        <w:t>mai de la même année.</w:t>
      </w:r>
    </w:p>
    <w:p w14:paraId="06B4E9FF" w14:textId="52D93243" w:rsidR="0016597A" w:rsidRPr="0016597A" w:rsidRDefault="00BF2F03" w:rsidP="00BF2F03">
      <w:pPr>
        <w:pStyle w:val="SingleTxtG"/>
        <w:rPr>
          <w:lang w:val="fr-MC"/>
        </w:rPr>
      </w:pPr>
      <w:r w:rsidRPr="0016597A">
        <w:rPr>
          <w:lang w:val="fr-MC"/>
        </w:rPr>
        <w:t>133.</w:t>
      </w:r>
      <w:r w:rsidRPr="0016597A">
        <w:rPr>
          <w:lang w:val="fr-MC"/>
        </w:rPr>
        <w:tab/>
      </w:r>
      <w:r w:rsidR="0016597A" w:rsidRPr="0016597A">
        <w:rPr>
          <w:lang w:val="fr-MC"/>
        </w:rPr>
        <w:t xml:space="preserve">Dès lors, certains médias burundais et certaines organisations de la Société Civile qui étaient censés défendre les droits humains et dénoncer les actes de torture ou mauvais </w:t>
      </w:r>
      <w:r w:rsidR="0016597A" w:rsidRPr="0016597A">
        <w:rPr>
          <w:lang w:val="fr-MC"/>
        </w:rPr>
        <w:lastRenderedPageBreak/>
        <w:t>traitements contre les actes d’intimidation, représailles et menaces ont été impliqués dans ce mouvement contestataire, jusqu’à ce que des mesures administratives et judiciaires soient prises à leur encontre</w:t>
      </w:r>
      <w:r w:rsidR="00A6762E">
        <w:rPr>
          <w:lang w:val="fr-MC"/>
        </w:rPr>
        <w:t>.</w:t>
      </w:r>
    </w:p>
    <w:p w14:paraId="6581A06B" w14:textId="6250DA72" w:rsidR="0016597A" w:rsidRPr="0016597A" w:rsidRDefault="00BF2F03" w:rsidP="00BF2F03">
      <w:pPr>
        <w:pStyle w:val="SingleTxtG"/>
        <w:rPr>
          <w:lang w:val="fr-MC"/>
        </w:rPr>
      </w:pPr>
      <w:r w:rsidRPr="0016597A">
        <w:rPr>
          <w:lang w:val="fr-MC"/>
        </w:rPr>
        <w:t>134.</w:t>
      </w:r>
      <w:r w:rsidRPr="0016597A">
        <w:rPr>
          <w:lang w:val="fr-MC"/>
        </w:rPr>
        <w:tab/>
      </w:r>
      <w:r w:rsidR="0016597A" w:rsidRPr="0016597A">
        <w:rPr>
          <w:lang w:val="fr-MC"/>
        </w:rPr>
        <w:t>C’est notamment la mesure gouvernementale portant interdiction temporaire d’accéder à certains sites des stations des radios privées ayant trempé dans ces mouvements, surtout pour des besoins d’enquêtes, mais aussi pour sauvegarder les droits des stations, les droits d’autrui et les droits de la communauté. Il sied de noter que certaines stations ont continué à fonctionner tandis certaines autres parmi celles qui avaient été suspendues ont été réouvertes et fonctionnent normalement.</w:t>
      </w:r>
    </w:p>
    <w:p w14:paraId="38F41F55" w14:textId="58E19CFF" w:rsidR="0016597A" w:rsidRDefault="00BF2F03" w:rsidP="00BF2F03">
      <w:pPr>
        <w:pStyle w:val="SingleTxtG"/>
        <w:rPr>
          <w:lang w:val="fr-MC"/>
        </w:rPr>
      </w:pPr>
      <w:r>
        <w:rPr>
          <w:lang w:val="fr-MC"/>
        </w:rPr>
        <w:t>135.</w:t>
      </w:r>
      <w:r>
        <w:rPr>
          <w:lang w:val="fr-MC"/>
        </w:rPr>
        <w:tab/>
      </w:r>
      <w:r w:rsidR="0016597A" w:rsidRPr="0016597A">
        <w:rPr>
          <w:lang w:val="fr-MC"/>
        </w:rPr>
        <w:t xml:space="preserve">D’autre part, certaines organisations de la Société civile ont été également suspendues, de par </w:t>
      </w:r>
      <w:r w:rsidR="0016597A" w:rsidRPr="0016597A">
        <w:rPr>
          <w:lang w:val="fr-FR"/>
        </w:rPr>
        <w:t>plusieurs actes répréhensibles eu égard au droit pénal burundais commis par les membres de ces organisations et leurs leaders. Pour ces derniers, des enquêtes ont été menées soit à travers des commissions d’enquêtes ou, comme à l’accoutumée, par l’ouverture d’un dossier sur les faits portés à la connaissance de la justice et un mandat d’arrêt international a été livré pour qu’ils soient appréhendés et poursuivis par la justice.</w:t>
      </w:r>
    </w:p>
    <w:p w14:paraId="0862E064" w14:textId="3C2C003F" w:rsidR="0016597A" w:rsidRPr="0016597A" w:rsidRDefault="00CC66AC" w:rsidP="00BC23B3">
      <w:pPr>
        <w:pStyle w:val="HChG"/>
        <w:rPr>
          <w:rFonts w:eastAsia="Calibri"/>
          <w:lang w:val="fr-MC"/>
        </w:rPr>
      </w:pPr>
      <w:bookmarkStart w:id="28" w:name="_Toc529970214"/>
      <w:r>
        <w:rPr>
          <w:lang w:val="fr-MC"/>
        </w:rPr>
        <w:tab/>
        <w:t>III.</w:t>
      </w:r>
      <w:r>
        <w:rPr>
          <w:lang w:val="fr-MC"/>
        </w:rPr>
        <w:tab/>
      </w:r>
      <w:r w:rsidR="0016597A" w:rsidRPr="0016597A">
        <w:rPr>
          <w:lang w:val="fr-MC"/>
        </w:rPr>
        <w:t>Etat de la mise en application des recommandations du</w:t>
      </w:r>
      <w:r w:rsidR="00C74407">
        <w:rPr>
          <w:lang w:val="fr-MC"/>
        </w:rPr>
        <w:t> </w:t>
      </w:r>
      <w:r w:rsidR="0016597A" w:rsidRPr="0016597A">
        <w:rPr>
          <w:lang w:val="fr-MC"/>
        </w:rPr>
        <w:t>Comité sur la Convention contre la torture et autres peines ou traitements cruels, inhumains ou dégradants</w:t>
      </w:r>
      <w:bookmarkEnd w:id="28"/>
    </w:p>
    <w:p w14:paraId="54470E01" w14:textId="38E23F1F" w:rsidR="0016597A" w:rsidRPr="0016597A" w:rsidRDefault="00CC66AC" w:rsidP="00CC66AC">
      <w:pPr>
        <w:pStyle w:val="H23G"/>
        <w:rPr>
          <w:lang w:val="fr-MC" w:eastAsia="fr-FR"/>
        </w:rPr>
      </w:pPr>
      <w:bookmarkStart w:id="29" w:name="_Toc529970215"/>
      <w:r>
        <w:rPr>
          <w:lang w:val="fr-MC" w:eastAsia="fr-FR"/>
        </w:rPr>
        <w:tab/>
      </w:r>
      <w:r w:rsidR="00FE2712">
        <w:rPr>
          <w:lang w:val="fr-MC" w:eastAsia="fr-FR"/>
        </w:rPr>
        <w:t>1.</w:t>
      </w:r>
      <w:r>
        <w:rPr>
          <w:lang w:val="fr-MC" w:eastAsia="fr-FR"/>
        </w:rPr>
        <w:tab/>
      </w:r>
      <w:r w:rsidR="0016597A" w:rsidRPr="0016597A">
        <w:rPr>
          <w:lang w:val="fr-MC" w:eastAsia="fr-FR"/>
        </w:rPr>
        <w:t>Applicabilité de la Convention par les juridictions nationales</w:t>
      </w:r>
      <w:bookmarkEnd w:id="29"/>
    </w:p>
    <w:p w14:paraId="44F1269D" w14:textId="1B1A860E" w:rsidR="0016597A" w:rsidRPr="0016597A" w:rsidRDefault="00BF2F03" w:rsidP="00BF2F03">
      <w:pPr>
        <w:pStyle w:val="SingleTxtG"/>
        <w:rPr>
          <w:lang w:val="fr-MC"/>
        </w:rPr>
      </w:pPr>
      <w:r w:rsidRPr="0016597A">
        <w:rPr>
          <w:lang w:val="fr-MC"/>
        </w:rPr>
        <w:t>136.</w:t>
      </w:r>
      <w:r w:rsidRPr="0016597A">
        <w:rPr>
          <w:lang w:val="fr-MC"/>
        </w:rPr>
        <w:tab/>
      </w:r>
      <w:r w:rsidR="0016597A" w:rsidRPr="0016597A">
        <w:rPr>
          <w:lang w:val="fr-MC"/>
        </w:rPr>
        <w:t xml:space="preserve">Conformément à l’article 15 de la Convention contre la torture et autres peines ou traitements cruels, inhumains ou dégradants qui stipule que « Tout Etat partie veille à ce que toute déclaration dont il est établi qu’elle a été obtenue par la torture ne puisse être invoquée comme un élément de preuve dans une procédure, si ce n’est contre la personne accusée de torture pour établir qu’une déclaration a été faite », le Code de procédure pénale de 2018 a été plus clair en précisant, en son article 90 alinéa 3, que « lorsqu’il est constaté ou prouvé que des aveux de culpabilité ou toute autre information ont été obtenus par la torture, par contrainte par corps ou par tout autre moyen déloyal, ils sont frappés de nullité ainsi que les preuves qui en découlent ». </w:t>
      </w:r>
    </w:p>
    <w:p w14:paraId="72631E3D" w14:textId="1BD37ACB" w:rsidR="0016597A" w:rsidRPr="0016597A" w:rsidRDefault="00BF2F03" w:rsidP="00BF2F03">
      <w:pPr>
        <w:pStyle w:val="SingleTxtG"/>
        <w:rPr>
          <w:lang w:val="fr-MC"/>
        </w:rPr>
      </w:pPr>
      <w:r w:rsidRPr="0016597A">
        <w:rPr>
          <w:lang w:val="fr-MC"/>
        </w:rPr>
        <w:t>137.</w:t>
      </w:r>
      <w:r w:rsidRPr="0016597A">
        <w:rPr>
          <w:lang w:val="fr-MC"/>
        </w:rPr>
        <w:tab/>
      </w:r>
      <w:r w:rsidR="00FE2712">
        <w:rPr>
          <w:lang w:val="fr-MC"/>
        </w:rPr>
        <w:t>À</w:t>
      </w:r>
      <w:r w:rsidR="0016597A" w:rsidRPr="0016597A">
        <w:rPr>
          <w:lang w:val="fr-MC"/>
        </w:rPr>
        <w:t xml:space="preserve"> cet effet, le Code pénal de 2017 punit sévèrement quiconque soumet une personne à la torture ou autres traitements cruels, inhumains ou dégradants par une peine de servitude pénale de dix ans et à une amende de cent mille à</w:t>
      </w:r>
      <w:r w:rsidR="00A6762E">
        <w:rPr>
          <w:lang w:val="fr-MC"/>
        </w:rPr>
        <w:t xml:space="preserve"> un million de francs burundais</w:t>
      </w:r>
      <w:r w:rsidR="0016597A" w:rsidRPr="00B345A8">
        <w:rPr>
          <w:rStyle w:val="Appelnotedebasdep"/>
        </w:rPr>
        <w:footnoteReference w:id="47"/>
      </w:r>
      <w:r w:rsidR="00A6762E">
        <w:rPr>
          <w:lang w:val="fr-MC"/>
        </w:rPr>
        <w:t>.</w:t>
      </w:r>
      <w:r w:rsidR="00CC66AC">
        <w:rPr>
          <w:lang w:val="fr-MC"/>
        </w:rPr>
        <w:t xml:space="preserve"> </w:t>
      </w:r>
      <w:r w:rsidR="0016597A" w:rsidRPr="0016597A">
        <w:rPr>
          <w:lang w:val="fr-MC"/>
        </w:rPr>
        <w:t>Le coupable est également puni de vingt ans de servitude pénale lorsque la torture et autres traitements cruels, inhumains ou dégradants ont entrainé une mutilation ou une infirmité permanente ou lorsqu’elle est accompagnée d’agression sexuelle. Elle est punie de la servitude pénale à perpétuité lorsqu’elle a</w:t>
      </w:r>
      <w:r w:rsidR="00A6762E">
        <w:rPr>
          <w:lang w:val="fr-MC"/>
        </w:rPr>
        <w:t xml:space="preserve"> entrainé la mort de la victime</w:t>
      </w:r>
      <w:r w:rsidR="0016597A" w:rsidRPr="00B345A8">
        <w:rPr>
          <w:rStyle w:val="Appelnotedebasdep"/>
        </w:rPr>
        <w:footnoteReference w:id="48"/>
      </w:r>
      <w:r w:rsidR="00A6762E">
        <w:rPr>
          <w:lang w:val="fr-MC"/>
        </w:rPr>
        <w:t>.</w:t>
      </w:r>
    </w:p>
    <w:p w14:paraId="5F8BF5C1" w14:textId="3473E384" w:rsidR="0016597A" w:rsidRPr="0016597A" w:rsidRDefault="00CC66AC" w:rsidP="00CC66AC">
      <w:pPr>
        <w:pStyle w:val="H23G"/>
        <w:rPr>
          <w:rFonts w:eastAsia="Calibri"/>
          <w:lang w:val="fr-FR"/>
        </w:rPr>
      </w:pPr>
      <w:bookmarkStart w:id="30" w:name="_Toc529970216"/>
      <w:r>
        <w:rPr>
          <w:lang w:val="fr-MC" w:eastAsia="fr-FR"/>
        </w:rPr>
        <w:tab/>
        <w:t>2.</w:t>
      </w:r>
      <w:r>
        <w:rPr>
          <w:lang w:val="fr-MC" w:eastAsia="fr-FR"/>
        </w:rPr>
        <w:tab/>
      </w:r>
      <w:r w:rsidR="0016597A" w:rsidRPr="0016597A">
        <w:rPr>
          <w:lang w:val="fr-MC" w:eastAsia="fr-FR"/>
        </w:rPr>
        <w:t>Mesures législatives de prévention de la torture</w:t>
      </w:r>
      <w:bookmarkEnd w:id="30"/>
    </w:p>
    <w:p w14:paraId="175FE706" w14:textId="7ADA17E4" w:rsidR="0016597A" w:rsidRPr="0016597A" w:rsidRDefault="00BF2F03" w:rsidP="00BF2F03">
      <w:pPr>
        <w:pStyle w:val="SingleTxtG"/>
        <w:rPr>
          <w:lang w:val="fr-MC" w:eastAsia="fr-FR"/>
        </w:rPr>
      </w:pPr>
      <w:r w:rsidRPr="0016597A">
        <w:rPr>
          <w:lang w:val="fr-MC" w:eastAsia="fr-FR"/>
        </w:rPr>
        <w:t>138.</w:t>
      </w:r>
      <w:r w:rsidRPr="0016597A">
        <w:rPr>
          <w:lang w:val="fr-MC" w:eastAsia="fr-FR"/>
        </w:rPr>
        <w:tab/>
      </w:r>
      <w:r w:rsidR="0016597A" w:rsidRPr="0016597A">
        <w:rPr>
          <w:lang w:val="fr-MC" w:eastAsia="fr-FR"/>
        </w:rPr>
        <w:t xml:space="preserve">La Constitution de la République du Burundi de 2018 précise en ses articles 254 et 258 que les lois organiques déterminent les missions, l’organisation, l’instruction, les conditions de service et le fonctionnement de la Force de Défense Nationale, de la Police Nationale et du Service </w:t>
      </w:r>
      <w:r w:rsidR="0016597A" w:rsidRPr="0016597A">
        <w:rPr>
          <w:lang w:val="fr-MC"/>
        </w:rPr>
        <w:t>National</w:t>
      </w:r>
      <w:r w:rsidR="0016597A" w:rsidRPr="0016597A">
        <w:rPr>
          <w:lang w:val="fr-MC" w:eastAsia="fr-FR"/>
        </w:rPr>
        <w:t xml:space="preserve"> de Renseignement. L’Etat du Burundi enregistre à cet effet une avancée significative.</w:t>
      </w:r>
    </w:p>
    <w:p w14:paraId="552E98F6" w14:textId="5094E320" w:rsidR="0016597A" w:rsidRPr="0016597A" w:rsidRDefault="00BF2F03" w:rsidP="00BF2F03">
      <w:pPr>
        <w:pStyle w:val="SingleTxtG"/>
        <w:rPr>
          <w:lang w:val="fr-MC" w:eastAsia="fr-FR"/>
        </w:rPr>
      </w:pPr>
      <w:r w:rsidRPr="0016597A">
        <w:rPr>
          <w:lang w:val="fr-MC" w:eastAsia="fr-FR"/>
        </w:rPr>
        <w:t>139.</w:t>
      </w:r>
      <w:r w:rsidRPr="0016597A">
        <w:rPr>
          <w:lang w:val="fr-MC" w:eastAsia="fr-FR"/>
        </w:rPr>
        <w:tab/>
      </w:r>
      <w:r w:rsidR="0016597A" w:rsidRPr="0016597A">
        <w:rPr>
          <w:lang w:val="fr-MC" w:eastAsia="fr-FR"/>
        </w:rPr>
        <w:t xml:space="preserve">Nous citerons notamment (i) la </w:t>
      </w:r>
      <w:r w:rsidR="00A2570C">
        <w:rPr>
          <w:lang w:val="fr-MC" w:eastAsia="fr-FR"/>
        </w:rPr>
        <w:t>L</w:t>
      </w:r>
      <w:r w:rsidR="0016597A" w:rsidRPr="0016597A">
        <w:rPr>
          <w:lang w:val="fr-MC" w:eastAsia="fr-FR"/>
        </w:rPr>
        <w:t xml:space="preserve">oi organique </w:t>
      </w:r>
      <w:r w:rsidR="00FE2712" w:rsidRPr="0016597A">
        <w:rPr>
          <w:lang w:val="fr-MC"/>
        </w:rPr>
        <w:t>n</w:t>
      </w:r>
      <w:r w:rsidR="00FE2712" w:rsidRPr="008A395C">
        <w:rPr>
          <w:vertAlign w:val="superscript"/>
          <w:lang w:val="fr-MC"/>
        </w:rPr>
        <w:t>o</w:t>
      </w:r>
      <w:r w:rsidR="00FE2712">
        <w:rPr>
          <w:lang w:val="fr-MC"/>
        </w:rPr>
        <w:t> </w:t>
      </w:r>
      <w:r w:rsidR="0016597A" w:rsidRPr="0016597A">
        <w:rPr>
          <w:lang w:val="fr-MC" w:eastAsia="fr-FR"/>
        </w:rPr>
        <w:t xml:space="preserve">1/03 du 20 février 2017 portant Mission, organisation, composition et fonctionnement de la Police Nationale du Burundi (ii) la Loi organique </w:t>
      </w:r>
      <w:r w:rsidR="00FE2712" w:rsidRPr="0016597A">
        <w:rPr>
          <w:lang w:val="fr-MC"/>
        </w:rPr>
        <w:t>n</w:t>
      </w:r>
      <w:r w:rsidR="00FE2712" w:rsidRPr="008A395C">
        <w:rPr>
          <w:vertAlign w:val="superscript"/>
          <w:lang w:val="fr-MC"/>
        </w:rPr>
        <w:t>o</w:t>
      </w:r>
      <w:r w:rsidR="00FE2712">
        <w:rPr>
          <w:lang w:val="fr-MC"/>
        </w:rPr>
        <w:t> </w:t>
      </w:r>
      <w:r w:rsidR="0016597A" w:rsidRPr="0016597A">
        <w:rPr>
          <w:lang w:val="fr-MC" w:eastAsia="fr-FR"/>
        </w:rPr>
        <w:t xml:space="preserve">1/04 du 20 février 2017 portant Missions, organisation, composition, </w:t>
      </w:r>
      <w:r w:rsidR="0016597A" w:rsidRPr="0016597A">
        <w:rPr>
          <w:lang w:val="fr-MC"/>
        </w:rPr>
        <w:t>instructions</w:t>
      </w:r>
      <w:r w:rsidR="0016597A" w:rsidRPr="0016597A">
        <w:rPr>
          <w:lang w:val="fr-MC" w:eastAsia="fr-FR"/>
        </w:rPr>
        <w:t xml:space="preserve">, conditions de service et fonctionnement de la Force de Défense Nationale du Burundi, (iii) la </w:t>
      </w:r>
      <w:r w:rsidR="00FE2712">
        <w:rPr>
          <w:lang w:val="fr-MC" w:eastAsia="fr-FR"/>
        </w:rPr>
        <w:t>L</w:t>
      </w:r>
      <w:r w:rsidR="0016597A" w:rsidRPr="0016597A">
        <w:rPr>
          <w:lang w:val="fr-MC" w:eastAsia="fr-FR"/>
        </w:rPr>
        <w:t xml:space="preserve">oi organique </w:t>
      </w:r>
      <w:r w:rsidR="00FE2712" w:rsidRPr="0016597A">
        <w:rPr>
          <w:lang w:val="fr-MC"/>
        </w:rPr>
        <w:t>n</w:t>
      </w:r>
      <w:r w:rsidR="00FE2712" w:rsidRPr="008A395C">
        <w:rPr>
          <w:vertAlign w:val="superscript"/>
          <w:lang w:val="fr-MC"/>
        </w:rPr>
        <w:t>o</w:t>
      </w:r>
      <w:r w:rsidR="00FE2712">
        <w:rPr>
          <w:lang w:val="fr-MC"/>
        </w:rPr>
        <w:t> </w:t>
      </w:r>
      <w:r w:rsidR="0016597A" w:rsidRPr="0016597A">
        <w:rPr>
          <w:lang w:val="fr-MC" w:eastAsia="fr-FR"/>
        </w:rPr>
        <w:t xml:space="preserve">1/06 du 2 mars 2006 portant statut du personnel du Service National de Renseignement. </w:t>
      </w:r>
    </w:p>
    <w:p w14:paraId="77AEEFA7" w14:textId="173B14AD" w:rsidR="0016597A" w:rsidRPr="0016597A" w:rsidRDefault="00BF2F03" w:rsidP="00BF2F03">
      <w:pPr>
        <w:pStyle w:val="SingleTxtG"/>
        <w:rPr>
          <w:lang w:val="fr-MC" w:eastAsia="fr-FR"/>
        </w:rPr>
      </w:pPr>
      <w:r w:rsidRPr="0016597A">
        <w:rPr>
          <w:lang w:val="fr-MC" w:eastAsia="fr-FR"/>
        </w:rPr>
        <w:lastRenderedPageBreak/>
        <w:t>140.</w:t>
      </w:r>
      <w:r w:rsidRPr="0016597A">
        <w:rPr>
          <w:lang w:val="fr-MC" w:eastAsia="fr-FR"/>
        </w:rPr>
        <w:tab/>
      </w:r>
      <w:r w:rsidR="0016597A" w:rsidRPr="0016597A">
        <w:rPr>
          <w:lang w:val="fr-MC"/>
        </w:rPr>
        <w:t>Notons</w:t>
      </w:r>
      <w:r w:rsidR="0016597A" w:rsidRPr="0016597A">
        <w:rPr>
          <w:lang w:val="fr-MC" w:eastAsia="fr-FR"/>
        </w:rPr>
        <w:t>, qu’un code de déontologie du personnel du SNR a été élaboré avec l’aide du BNUB et est opérationnel.</w:t>
      </w:r>
    </w:p>
    <w:p w14:paraId="0D2CD527" w14:textId="4B79B5AA" w:rsidR="0016597A" w:rsidRPr="0016597A" w:rsidRDefault="00BF2F03" w:rsidP="00BF2F03">
      <w:pPr>
        <w:pStyle w:val="SingleTxtG"/>
        <w:rPr>
          <w:lang w:val="fr-MC" w:eastAsia="fr-FR"/>
        </w:rPr>
      </w:pPr>
      <w:r w:rsidRPr="0016597A">
        <w:rPr>
          <w:lang w:val="fr-MC" w:eastAsia="fr-FR"/>
        </w:rPr>
        <w:t>141.</w:t>
      </w:r>
      <w:r w:rsidRPr="0016597A">
        <w:rPr>
          <w:lang w:val="fr-MC" w:eastAsia="fr-FR"/>
        </w:rPr>
        <w:tab/>
      </w:r>
      <w:r w:rsidR="0016597A" w:rsidRPr="0016597A">
        <w:rPr>
          <w:lang w:val="fr-MC" w:eastAsia="fr-FR"/>
        </w:rPr>
        <w:t xml:space="preserve">Le Gouvernement du Burundi a également ratifié en septembre 2013 le Protocole facultatif à </w:t>
      </w:r>
      <w:r w:rsidR="0016597A" w:rsidRPr="0016597A">
        <w:rPr>
          <w:lang w:val="fr-MC"/>
        </w:rPr>
        <w:t>la</w:t>
      </w:r>
      <w:r w:rsidR="0016597A" w:rsidRPr="0016597A">
        <w:rPr>
          <w:lang w:val="fr-MC" w:eastAsia="fr-FR"/>
        </w:rPr>
        <w:t xml:space="preserve"> Convention contre la torture et autres peines ou traitements cruels, inhumains ou dégradants.</w:t>
      </w:r>
    </w:p>
    <w:p w14:paraId="0BF9F9D6" w14:textId="0B6C0EA0" w:rsidR="0016597A" w:rsidRPr="0016597A" w:rsidRDefault="00BF2F03" w:rsidP="00BF2F03">
      <w:pPr>
        <w:pStyle w:val="SingleTxtG"/>
        <w:rPr>
          <w:lang w:val="fr-MC" w:eastAsia="fr-FR"/>
        </w:rPr>
      </w:pPr>
      <w:r w:rsidRPr="0016597A">
        <w:rPr>
          <w:lang w:val="fr-MC" w:eastAsia="fr-FR"/>
        </w:rPr>
        <w:t>142.</w:t>
      </w:r>
      <w:r w:rsidRPr="0016597A">
        <w:rPr>
          <w:lang w:val="fr-MC" w:eastAsia="fr-FR"/>
        </w:rPr>
        <w:tab/>
      </w:r>
      <w:r w:rsidR="0016597A" w:rsidRPr="0016597A">
        <w:rPr>
          <w:lang w:val="fr-MC" w:eastAsia="fr-FR"/>
        </w:rPr>
        <w:t xml:space="preserve">Par ailleurs, les lois </w:t>
      </w:r>
      <w:r w:rsidR="00FE2712" w:rsidRPr="0016597A">
        <w:rPr>
          <w:lang w:val="fr-MC"/>
        </w:rPr>
        <w:t>n</w:t>
      </w:r>
      <w:r w:rsidR="00FE2712" w:rsidRPr="008A395C">
        <w:rPr>
          <w:vertAlign w:val="superscript"/>
          <w:lang w:val="fr-MC"/>
        </w:rPr>
        <w:t>o</w:t>
      </w:r>
      <w:r w:rsidR="00FE2712">
        <w:rPr>
          <w:vertAlign w:val="superscript"/>
          <w:lang w:val="fr-MC"/>
        </w:rPr>
        <w:t>s</w:t>
      </w:r>
      <w:r w:rsidR="00FE2712">
        <w:rPr>
          <w:lang w:val="fr-MC"/>
        </w:rPr>
        <w:t> </w:t>
      </w:r>
      <w:r w:rsidR="0016597A" w:rsidRPr="0016597A">
        <w:rPr>
          <w:lang w:val="fr-MC" w:eastAsia="fr-FR"/>
        </w:rPr>
        <w:t xml:space="preserve">1/16,17 et 18 du 31 décembre 2010 portant respectivement Statuts des </w:t>
      </w:r>
      <w:r w:rsidR="0016597A" w:rsidRPr="0016597A">
        <w:rPr>
          <w:lang w:val="fr-MC"/>
        </w:rPr>
        <w:t>Agents</w:t>
      </w:r>
      <w:r w:rsidR="0016597A" w:rsidRPr="0016597A">
        <w:rPr>
          <w:lang w:val="fr-MC" w:eastAsia="fr-FR"/>
        </w:rPr>
        <w:t>, des Brigadiers et des Officiers de la Police Nationale du Burundi interdisent formellement le personnel policier de soumettre les gens à la torture et aux traitements cruels, inhumains ou dégradants, tout comme il l’autorise à ne pas exécuter les ordres d’un supérieur qui seraient incompatibles avec l’honneur du service, en l’occurrence la torture.</w:t>
      </w:r>
    </w:p>
    <w:p w14:paraId="0FF230DB" w14:textId="1D4ADFF8" w:rsidR="0016597A" w:rsidRPr="0016597A" w:rsidRDefault="00CC66AC" w:rsidP="00CC66AC">
      <w:pPr>
        <w:pStyle w:val="H23G"/>
        <w:rPr>
          <w:lang w:val="fr-MC"/>
        </w:rPr>
      </w:pPr>
      <w:bookmarkStart w:id="31" w:name="_Toc529970217"/>
      <w:r>
        <w:rPr>
          <w:lang w:val="fr-MC"/>
        </w:rPr>
        <w:tab/>
        <w:t>3.</w:t>
      </w:r>
      <w:r>
        <w:rPr>
          <w:lang w:val="fr-MC"/>
        </w:rPr>
        <w:tab/>
      </w:r>
      <w:r w:rsidR="0016597A" w:rsidRPr="0016597A">
        <w:rPr>
          <w:lang w:val="fr-MC"/>
        </w:rPr>
        <w:t>Interdiction absolue de la torture</w:t>
      </w:r>
      <w:bookmarkEnd w:id="31"/>
    </w:p>
    <w:p w14:paraId="5948F82E" w14:textId="63D8B386" w:rsidR="0016597A" w:rsidRPr="0016597A" w:rsidRDefault="00BF2F03" w:rsidP="00BF2F03">
      <w:pPr>
        <w:pStyle w:val="SingleTxtG"/>
        <w:rPr>
          <w:lang w:val="fr-MC" w:eastAsia="fr-FR"/>
        </w:rPr>
      </w:pPr>
      <w:r w:rsidRPr="0016597A">
        <w:rPr>
          <w:lang w:val="fr-MC" w:eastAsia="fr-FR"/>
        </w:rPr>
        <w:t>143.</w:t>
      </w:r>
      <w:r w:rsidRPr="0016597A">
        <w:rPr>
          <w:lang w:val="fr-MC" w:eastAsia="fr-FR"/>
        </w:rPr>
        <w:tab/>
      </w:r>
      <w:r w:rsidR="0016597A" w:rsidRPr="0016597A">
        <w:rPr>
          <w:lang w:val="fr-MC" w:eastAsia="fr-FR"/>
        </w:rPr>
        <w:t>Le Burundi est en conformité avec les normes Internationales en matière de lutte contre les actes de torture imputables aux militaires.</w:t>
      </w:r>
    </w:p>
    <w:p w14:paraId="5F65E682" w14:textId="329045F6" w:rsidR="0016597A" w:rsidRPr="0016597A" w:rsidRDefault="00BF2F03" w:rsidP="00BF2F03">
      <w:pPr>
        <w:pStyle w:val="SingleTxtG"/>
        <w:rPr>
          <w:lang w:val="fr-MC" w:eastAsia="fr-FR"/>
        </w:rPr>
      </w:pPr>
      <w:r w:rsidRPr="0016597A">
        <w:rPr>
          <w:lang w:val="fr-MC" w:eastAsia="fr-FR"/>
        </w:rPr>
        <w:t>144.</w:t>
      </w:r>
      <w:r w:rsidRPr="0016597A">
        <w:rPr>
          <w:lang w:val="fr-MC" w:eastAsia="fr-FR"/>
        </w:rPr>
        <w:tab/>
      </w:r>
      <w:r w:rsidR="0016597A" w:rsidRPr="0016597A">
        <w:rPr>
          <w:lang w:val="fr-MC" w:eastAsia="fr-FR"/>
        </w:rPr>
        <w:t xml:space="preserve">En </w:t>
      </w:r>
      <w:r w:rsidR="0016597A" w:rsidRPr="0016597A">
        <w:rPr>
          <w:lang w:val="fr-MC"/>
        </w:rPr>
        <w:t>effet</w:t>
      </w:r>
      <w:r w:rsidR="0016597A" w:rsidRPr="0016597A">
        <w:rPr>
          <w:lang w:val="fr-MC" w:eastAsia="fr-FR"/>
        </w:rPr>
        <w:t>, le Code pénal militaire est un code pénal spécial applicable aux militaires et incrimine les actes répréhensibles commis dans l’exercice de la profession militaire.</w:t>
      </w:r>
      <w:r w:rsidR="0016597A">
        <w:rPr>
          <w:lang w:val="fr-MC" w:eastAsia="fr-FR"/>
        </w:rPr>
        <w:t xml:space="preserve"> </w:t>
      </w:r>
      <w:r w:rsidR="0016597A" w:rsidRPr="0016597A">
        <w:rPr>
          <w:lang w:val="fr-MC" w:eastAsia="fr-FR"/>
        </w:rPr>
        <w:t>Il</w:t>
      </w:r>
      <w:r w:rsidR="00FE2712">
        <w:rPr>
          <w:lang w:val="fr-MC" w:eastAsia="fr-FR"/>
        </w:rPr>
        <w:t> </w:t>
      </w:r>
      <w:r w:rsidR="0016597A" w:rsidRPr="0016597A">
        <w:rPr>
          <w:lang w:val="fr-MC" w:eastAsia="fr-FR"/>
        </w:rPr>
        <w:t>coexiste par ailleurs avec le Code pénal ordinaire qui réprime les actes de torture. Dès lors, les militaires coupables d’actes de torture encourent les peines prévues par le Code pénal ordinaire et selon les mêmes modalités (imprescriptibilité et incompressibilité des peines).</w:t>
      </w:r>
    </w:p>
    <w:p w14:paraId="6348F559" w14:textId="75D61FD6" w:rsidR="0016597A" w:rsidRPr="0016597A" w:rsidRDefault="00BF2F03" w:rsidP="00BF2F03">
      <w:pPr>
        <w:pStyle w:val="SingleTxtG"/>
        <w:rPr>
          <w:rFonts w:eastAsia="Times New Roman"/>
          <w:lang w:val="fr-MC" w:eastAsia="fr-FR"/>
        </w:rPr>
      </w:pPr>
      <w:r w:rsidRPr="0016597A">
        <w:rPr>
          <w:rFonts w:eastAsia="Times New Roman"/>
          <w:lang w:val="fr-MC" w:eastAsia="fr-FR"/>
        </w:rPr>
        <w:t>145.</w:t>
      </w:r>
      <w:r w:rsidRPr="0016597A">
        <w:rPr>
          <w:rFonts w:eastAsia="Times New Roman"/>
          <w:lang w:val="fr-MC" w:eastAsia="fr-FR"/>
        </w:rPr>
        <w:tab/>
      </w:r>
      <w:r w:rsidR="0016597A" w:rsidRPr="0016597A">
        <w:rPr>
          <w:lang w:val="fr-FR"/>
        </w:rPr>
        <w:t>Le Burundi a en outre amélioré</w:t>
      </w:r>
      <w:r w:rsidR="0016597A">
        <w:rPr>
          <w:lang w:val="fr-FR"/>
        </w:rPr>
        <w:t xml:space="preserve"> </w:t>
      </w:r>
      <w:r w:rsidR="0016597A" w:rsidRPr="0016597A">
        <w:rPr>
          <w:lang w:val="fr-FR"/>
        </w:rPr>
        <w:t xml:space="preserve">le mécanisme de prévention de la torture en renforçant les </w:t>
      </w:r>
      <w:r w:rsidR="0016597A" w:rsidRPr="008A5B30">
        <w:rPr>
          <w:lang w:val="fr-MC"/>
        </w:rPr>
        <w:t>capacités</w:t>
      </w:r>
      <w:r w:rsidR="0016597A" w:rsidRPr="0016597A">
        <w:rPr>
          <w:lang w:val="fr-FR"/>
        </w:rPr>
        <w:t xml:space="preserve"> des Officiers de Police Judiciaire, des Officiers du Ministère Public et des Magistrats assis à travers des séances de formation organisées à leur endroit. En plus, le Burundi a révisé son Code pénal en date du 29/12/2017 qui incrimine toujours la torture (article 206) et les peines prévues sont dissuasives. Elles varient, selon les circonstances, de la servitude pénale de dix ans à la perpétuité (articles 206-211). Ces peines sont aussi incompressibles, aucune mesure d’allègement ne peut être prise. Ces peines peuvent aussi être assorties de peines complémentaires. </w:t>
      </w:r>
    </w:p>
    <w:p w14:paraId="00F9354C" w14:textId="64933127" w:rsidR="0016597A" w:rsidRPr="0016597A" w:rsidRDefault="00CC66AC" w:rsidP="00CC66AC">
      <w:pPr>
        <w:pStyle w:val="H23G"/>
        <w:rPr>
          <w:lang w:val="fr-MC"/>
        </w:rPr>
      </w:pPr>
      <w:bookmarkStart w:id="32" w:name="_Toc529970218"/>
      <w:r>
        <w:rPr>
          <w:lang w:val="fr-MC"/>
        </w:rPr>
        <w:tab/>
        <w:t>4.</w:t>
      </w:r>
      <w:r>
        <w:rPr>
          <w:lang w:val="fr-MC"/>
        </w:rPr>
        <w:tab/>
      </w:r>
      <w:r w:rsidR="0016597A" w:rsidRPr="0016597A">
        <w:rPr>
          <w:lang w:val="fr-MC"/>
        </w:rPr>
        <w:t>Garde à vue, détention préventive et garanties juridiques fondamentales</w:t>
      </w:r>
      <w:bookmarkEnd w:id="32"/>
    </w:p>
    <w:p w14:paraId="737E4F8A" w14:textId="2A25590D" w:rsidR="0016597A" w:rsidRPr="0016597A" w:rsidRDefault="00BF2F03" w:rsidP="00BF2F03">
      <w:pPr>
        <w:pStyle w:val="SingleTxtG"/>
        <w:rPr>
          <w:lang w:val="fr-MC" w:eastAsia="fr-FR"/>
        </w:rPr>
      </w:pPr>
      <w:r w:rsidRPr="0016597A">
        <w:rPr>
          <w:lang w:val="fr-MC" w:eastAsia="fr-FR"/>
        </w:rPr>
        <w:t>146.</w:t>
      </w:r>
      <w:r w:rsidRPr="0016597A">
        <w:rPr>
          <w:lang w:val="fr-MC" w:eastAsia="fr-FR"/>
        </w:rPr>
        <w:tab/>
      </w:r>
      <w:r w:rsidR="0016597A" w:rsidRPr="0016597A">
        <w:rPr>
          <w:lang w:val="fr-MC" w:eastAsia="fr-FR"/>
        </w:rPr>
        <w:t>Le Code de procédure pénale en vigueur organise la procédure de la garde à vue</w:t>
      </w:r>
      <w:r w:rsidR="0016597A">
        <w:rPr>
          <w:lang w:val="fr-MC" w:eastAsia="fr-FR"/>
        </w:rPr>
        <w:t xml:space="preserve"> </w:t>
      </w:r>
      <w:r w:rsidR="0016597A" w:rsidRPr="0016597A">
        <w:rPr>
          <w:lang w:val="fr-MC" w:eastAsia="fr-FR"/>
        </w:rPr>
        <w:t xml:space="preserve">et de la </w:t>
      </w:r>
      <w:r w:rsidR="0016597A" w:rsidRPr="0016597A">
        <w:rPr>
          <w:lang w:val="fr-MC"/>
        </w:rPr>
        <w:t>détention</w:t>
      </w:r>
      <w:r w:rsidR="0016597A" w:rsidRPr="0016597A">
        <w:rPr>
          <w:lang w:val="fr-MC" w:eastAsia="fr-FR"/>
        </w:rPr>
        <w:t xml:space="preserve"> préventive. </w:t>
      </w:r>
    </w:p>
    <w:p w14:paraId="4FBE6468" w14:textId="38D04CF6" w:rsidR="0016597A" w:rsidRPr="0016597A" w:rsidRDefault="00BF2F03" w:rsidP="00BF2F03">
      <w:pPr>
        <w:pStyle w:val="SingleTxtG"/>
        <w:rPr>
          <w:rFonts w:eastAsia="Times New Roman"/>
          <w:lang w:val="fr-MC" w:eastAsia="fr-FR"/>
        </w:rPr>
      </w:pPr>
      <w:r w:rsidRPr="0016597A">
        <w:rPr>
          <w:rFonts w:eastAsia="Times New Roman"/>
          <w:lang w:val="fr-MC" w:eastAsia="fr-FR"/>
        </w:rPr>
        <w:t>147.</w:t>
      </w:r>
      <w:r w:rsidRPr="0016597A">
        <w:rPr>
          <w:rFonts w:eastAsia="Times New Roman"/>
          <w:lang w:val="fr-MC" w:eastAsia="fr-FR"/>
        </w:rPr>
        <w:tab/>
      </w:r>
      <w:r w:rsidR="0016597A" w:rsidRPr="0016597A">
        <w:rPr>
          <w:lang w:val="fr-FR"/>
        </w:rPr>
        <w:t xml:space="preserve">Le Burundi a revu le Code de procédure pénale le 11 mai 2018 qui prévoit en ses articles 41, 43 et 44 les délais de vingt-quatre heures au maximum de la rétention pour état d’ivresse manifeste, </w:t>
      </w:r>
      <w:r w:rsidR="0016597A" w:rsidRPr="008A5B30">
        <w:rPr>
          <w:lang w:val="fr-MC"/>
        </w:rPr>
        <w:t>pour</w:t>
      </w:r>
      <w:r w:rsidR="0016597A" w:rsidRPr="0016597A">
        <w:rPr>
          <w:lang w:val="fr-FR"/>
        </w:rPr>
        <w:t xml:space="preserve"> contrôle ou vérification d’identité et pour état mental dangereux.</w:t>
      </w:r>
      <w:r w:rsidR="0016597A">
        <w:rPr>
          <w:lang w:val="fr-FR"/>
        </w:rPr>
        <w:t xml:space="preserve"> </w:t>
      </w:r>
      <w:r w:rsidR="0016597A" w:rsidRPr="0016597A">
        <w:rPr>
          <w:lang w:val="fr-FR"/>
        </w:rPr>
        <w:t>Pour les autres cas qui nécessitent une enquête approfondie, la durée de garde à vue est restée à 7 jours renouvelables une fois par le Procureur.</w:t>
      </w:r>
    </w:p>
    <w:p w14:paraId="561ED826" w14:textId="7E26FD4C" w:rsidR="0016597A" w:rsidRPr="0016597A" w:rsidRDefault="00BF2F03" w:rsidP="00BF2F03">
      <w:pPr>
        <w:pStyle w:val="SingleTxtG"/>
        <w:rPr>
          <w:lang w:val="fr-FR"/>
        </w:rPr>
      </w:pPr>
      <w:r w:rsidRPr="0016597A">
        <w:rPr>
          <w:lang w:val="fr-FR"/>
        </w:rPr>
        <w:t>148.</w:t>
      </w:r>
      <w:r w:rsidRPr="0016597A">
        <w:rPr>
          <w:lang w:val="fr-FR"/>
        </w:rPr>
        <w:tab/>
      </w:r>
      <w:r w:rsidR="0016597A" w:rsidRPr="008A5B30">
        <w:rPr>
          <w:lang w:val="fr-MC"/>
        </w:rPr>
        <w:t>S’agissant</w:t>
      </w:r>
      <w:r w:rsidR="0016597A" w:rsidRPr="0016597A">
        <w:rPr>
          <w:lang w:val="fr-FR"/>
        </w:rPr>
        <w:t xml:space="preserve"> de la durée de la détention préventive, le Code de procédure pénale prévoit une durée de 15 jours pour le Mandat d’arrêt provisoire signé par le Magistrat instructeur. Avant l’expiration de ce délai, le Magistrat instructeur doit présenter l’inculpé en chambre de Conseil pour contrôle de la régularité de cette détention. L’ordonnance du Juge qui confirme la détention préventive a une durée de 30 jours</w:t>
      </w:r>
      <w:r w:rsidR="0016597A">
        <w:rPr>
          <w:lang w:val="fr-FR"/>
        </w:rPr>
        <w:t xml:space="preserve"> </w:t>
      </w:r>
      <w:r w:rsidR="0016597A" w:rsidRPr="0016597A">
        <w:rPr>
          <w:lang w:val="fr-FR"/>
        </w:rPr>
        <w:t xml:space="preserve">renouvelable de mois en mois sans dépasser 12 mois selon la nature et la gravité de l’infraction. </w:t>
      </w:r>
    </w:p>
    <w:p w14:paraId="785718FF" w14:textId="715C549D" w:rsidR="0016597A" w:rsidRPr="0016597A" w:rsidRDefault="00BF2F03" w:rsidP="00BF2F03">
      <w:pPr>
        <w:pStyle w:val="SingleTxtG"/>
        <w:rPr>
          <w:lang w:val="fr-FR"/>
        </w:rPr>
      </w:pPr>
      <w:r w:rsidRPr="0016597A">
        <w:rPr>
          <w:lang w:val="fr-FR"/>
        </w:rPr>
        <w:t>149.</w:t>
      </w:r>
      <w:r w:rsidRPr="0016597A">
        <w:rPr>
          <w:lang w:val="fr-FR"/>
        </w:rPr>
        <w:tab/>
      </w:r>
      <w:r w:rsidR="0016597A" w:rsidRPr="0016597A">
        <w:rPr>
          <w:lang w:val="fr-FR"/>
        </w:rPr>
        <w:t xml:space="preserve">En </w:t>
      </w:r>
      <w:r w:rsidR="0016597A" w:rsidRPr="008A5B30">
        <w:rPr>
          <w:lang w:val="fr-MC"/>
        </w:rPr>
        <w:t>effet</w:t>
      </w:r>
      <w:r w:rsidR="0016597A" w:rsidRPr="0016597A">
        <w:rPr>
          <w:lang w:val="fr-FR"/>
        </w:rPr>
        <w:t>, l’article 159 du Code de procédure pénale prévoit aux alinéas 2 et 3 les délais maximum d’une année pour une infraction à l’égard de laquelle la peine prévue n’est pas supérieure à cinq ans et de trois ans si la peine prévue pour</w:t>
      </w:r>
      <w:r w:rsidR="0016597A">
        <w:rPr>
          <w:lang w:val="fr-FR"/>
        </w:rPr>
        <w:t xml:space="preserve"> </w:t>
      </w:r>
      <w:r w:rsidR="0016597A" w:rsidRPr="0016597A">
        <w:rPr>
          <w:lang w:val="fr-FR"/>
        </w:rPr>
        <w:t>l’infraction est supérieure à cinq ans de servitude pénale.</w:t>
      </w:r>
    </w:p>
    <w:p w14:paraId="4066DDC1" w14:textId="1157D392" w:rsidR="0016597A" w:rsidRPr="0016597A" w:rsidRDefault="00BF2F03" w:rsidP="00BF2F03">
      <w:pPr>
        <w:pStyle w:val="SingleTxtG"/>
        <w:rPr>
          <w:lang w:val="fr-FR"/>
        </w:rPr>
      </w:pPr>
      <w:r w:rsidRPr="0016597A">
        <w:rPr>
          <w:lang w:val="fr-FR"/>
        </w:rPr>
        <w:t>150.</w:t>
      </w:r>
      <w:r w:rsidRPr="0016597A">
        <w:rPr>
          <w:lang w:val="fr-FR"/>
        </w:rPr>
        <w:tab/>
      </w:r>
      <w:r w:rsidR="0016597A" w:rsidRPr="0016597A">
        <w:rPr>
          <w:lang w:val="fr-FR"/>
        </w:rPr>
        <w:t xml:space="preserve">Eu égard aux droits garantis aux personnes en garde à vue ou en détention préventive, l’article 138 du Code de procédure pénale prévoit qu’avant tout interrogatoire, l’inculpé est informé de </w:t>
      </w:r>
      <w:r w:rsidR="0016597A" w:rsidRPr="008A5B30">
        <w:rPr>
          <w:lang w:val="fr-MC"/>
        </w:rPr>
        <w:t>ses</w:t>
      </w:r>
      <w:r w:rsidR="0016597A" w:rsidRPr="0016597A">
        <w:rPr>
          <w:lang w:val="fr-FR"/>
        </w:rPr>
        <w:t xml:space="preserve"> droits, sous peine de nullité de la procédure. En effet, l’inculpé est informé de son droit de se choisir un Conseil, de communiquer librement avec lui, de garder silence en l’absence de son </w:t>
      </w:r>
      <w:r w:rsidR="00A2570C">
        <w:rPr>
          <w:lang w:val="fr-FR"/>
        </w:rPr>
        <w:t>c</w:t>
      </w:r>
      <w:r w:rsidR="0016597A" w:rsidRPr="0016597A">
        <w:rPr>
          <w:lang w:val="fr-FR"/>
        </w:rPr>
        <w:t>onseil, etc.</w:t>
      </w:r>
    </w:p>
    <w:p w14:paraId="45561D57" w14:textId="368E6F7D" w:rsidR="0016597A" w:rsidRPr="0016597A" w:rsidRDefault="00BF2F03" w:rsidP="00BF2F03">
      <w:pPr>
        <w:pStyle w:val="SingleTxtG"/>
        <w:rPr>
          <w:lang w:val="fr-FR"/>
        </w:rPr>
      </w:pPr>
      <w:r w:rsidRPr="0016597A">
        <w:rPr>
          <w:lang w:val="fr-FR"/>
        </w:rPr>
        <w:t>151.</w:t>
      </w:r>
      <w:r w:rsidRPr="0016597A">
        <w:rPr>
          <w:lang w:val="fr-FR"/>
        </w:rPr>
        <w:tab/>
      </w:r>
      <w:r w:rsidR="0016597A" w:rsidRPr="0016597A">
        <w:rPr>
          <w:lang w:val="fr-FR"/>
        </w:rPr>
        <w:t xml:space="preserve">Pour garantir de manière systématique aux personnes détenues en garde à vue ou en détention </w:t>
      </w:r>
      <w:r w:rsidR="0016597A" w:rsidRPr="008A5B30">
        <w:rPr>
          <w:lang w:val="fr-MC"/>
        </w:rPr>
        <w:t>préventive</w:t>
      </w:r>
      <w:r w:rsidR="0016597A" w:rsidRPr="0016597A">
        <w:rPr>
          <w:lang w:val="fr-FR"/>
        </w:rPr>
        <w:t xml:space="preserve">, l’information de leurs droits et l’application de garanties juridiques </w:t>
      </w:r>
      <w:r w:rsidR="0016597A" w:rsidRPr="0016597A">
        <w:rPr>
          <w:lang w:val="fr-FR"/>
        </w:rPr>
        <w:lastRenderedPageBreak/>
        <w:t>fondamentales mentionnées, l’article 155 al</w:t>
      </w:r>
      <w:r w:rsidR="00FE2712">
        <w:rPr>
          <w:lang w:val="fr-FR"/>
        </w:rPr>
        <w:t xml:space="preserve">inéa </w:t>
      </w:r>
      <w:r w:rsidR="0016597A" w:rsidRPr="0016597A">
        <w:rPr>
          <w:lang w:val="fr-FR"/>
        </w:rPr>
        <w:t>3 du Code de procédure pénale prévoit des sanctions disciplinaires à l’encontre d’un Magistrat instructeur qui ne saisit pas le juge compétent du contrôle de la détention dans un délai de quinze jours au maximum.</w:t>
      </w:r>
    </w:p>
    <w:p w14:paraId="13B05F7C" w14:textId="76946909" w:rsidR="0016597A" w:rsidRPr="0016597A" w:rsidRDefault="00BF2F03" w:rsidP="00BF2F03">
      <w:pPr>
        <w:pStyle w:val="SingleTxtG"/>
        <w:rPr>
          <w:lang w:val="fr-FR"/>
        </w:rPr>
      </w:pPr>
      <w:r w:rsidRPr="0016597A">
        <w:rPr>
          <w:lang w:val="fr-FR"/>
        </w:rPr>
        <w:t>152.</w:t>
      </w:r>
      <w:r w:rsidRPr="0016597A">
        <w:rPr>
          <w:lang w:val="fr-FR"/>
        </w:rPr>
        <w:tab/>
      </w:r>
      <w:r w:rsidR="0016597A" w:rsidRPr="0016597A">
        <w:rPr>
          <w:lang w:val="fr-FR"/>
        </w:rPr>
        <w:t xml:space="preserve">L’alinéa 4 de cet article prévoit aussi de telles sanctions à l’encontre d’un juge-président qui </w:t>
      </w:r>
      <w:r w:rsidR="0016597A" w:rsidRPr="008A5B30">
        <w:rPr>
          <w:lang w:val="fr-MC"/>
        </w:rPr>
        <w:t>n’organise</w:t>
      </w:r>
      <w:r w:rsidR="0016597A" w:rsidRPr="0016597A">
        <w:rPr>
          <w:lang w:val="fr-FR"/>
        </w:rPr>
        <w:t xml:space="preserve"> pas une audience du contrôle de la détention préventive dans un délai de quinze jours au maximum comptant du jour de sa saisine par le Ministère Public ou par l’inculpé.</w:t>
      </w:r>
    </w:p>
    <w:p w14:paraId="704BD975" w14:textId="04456DDD" w:rsidR="0016597A" w:rsidRPr="0016597A" w:rsidRDefault="00BF2F03" w:rsidP="00BF2F03">
      <w:pPr>
        <w:pStyle w:val="SingleTxtG"/>
        <w:rPr>
          <w:lang w:val="fr-FR"/>
        </w:rPr>
      </w:pPr>
      <w:r w:rsidRPr="0016597A">
        <w:rPr>
          <w:lang w:val="fr-FR"/>
        </w:rPr>
        <w:t>153.</w:t>
      </w:r>
      <w:r w:rsidRPr="0016597A">
        <w:rPr>
          <w:lang w:val="fr-FR"/>
        </w:rPr>
        <w:tab/>
      </w:r>
      <w:r w:rsidR="0016597A" w:rsidRPr="008A5B30">
        <w:rPr>
          <w:lang w:val="fr-MC"/>
        </w:rPr>
        <w:t>Quant</w:t>
      </w:r>
      <w:r w:rsidR="0016597A" w:rsidRPr="0016597A">
        <w:rPr>
          <w:lang w:val="fr-FR"/>
        </w:rPr>
        <w:t xml:space="preserve"> à l’article 156 du même code, la mainlevée de la détention préventive est d’office prononcée par le juge en cas d’irrégularité de la détention.</w:t>
      </w:r>
    </w:p>
    <w:p w14:paraId="28E24D4C" w14:textId="1269EA12" w:rsidR="0016597A" w:rsidRPr="0016597A" w:rsidRDefault="00BF2F03" w:rsidP="00BF2F03">
      <w:pPr>
        <w:pStyle w:val="SingleTxtG"/>
        <w:rPr>
          <w:lang w:val="fr-FR"/>
        </w:rPr>
      </w:pPr>
      <w:r w:rsidRPr="0016597A">
        <w:rPr>
          <w:lang w:val="fr-FR"/>
        </w:rPr>
        <w:t>154.</w:t>
      </w:r>
      <w:r w:rsidRPr="0016597A">
        <w:rPr>
          <w:lang w:val="fr-FR"/>
        </w:rPr>
        <w:tab/>
      </w:r>
      <w:r w:rsidR="0016597A" w:rsidRPr="0016597A">
        <w:t xml:space="preserve">Cependant, le même Code de </w:t>
      </w:r>
      <w:r w:rsidR="00FE2712">
        <w:t>p</w:t>
      </w:r>
      <w:r w:rsidR="0016597A" w:rsidRPr="0016597A">
        <w:t xml:space="preserve">rocédure </w:t>
      </w:r>
      <w:r w:rsidR="00FE2712">
        <w:t>p</w:t>
      </w:r>
      <w:r w:rsidR="0016597A" w:rsidRPr="0016597A">
        <w:t xml:space="preserve">énale indique que l’Officier de la Police Judiciaire </w:t>
      </w:r>
      <w:r w:rsidR="0016597A" w:rsidRPr="008A5B30">
        <w:rPr>
          <w:lang w:val="fr-MC"/>
        </w:rPr>
        <w:t>responsable</w:t>
      </w:r>
      <w:r w:rsidR="0016597A" w:rsidRPr="0016597A">
        <w:t xml:space="preserve"> de la garde à vue (GAV) doit ipso facto informer la famille de la personne gardée à vue ou toute autre personne intéressée de la mesure dont elle est l’objet et du lieu de garde à vue</w:t>
      </w:r>
      <w:r w:rsidR="0016597A" w:rsidRPr="0016597A">
        <w:rPr>
          <w:lang w:eastAsia="fr-FR"/>
        </w:rPr>
        <w:t>.</w:t>
      </w:r>
    </w:p>
    <w:p w14:paraId="0CBC36C0" w14:textId="53AF9813" w:rsidR="0016597A" w:rsidRPr="0016597A" w:rsidRDefault="00BF2F03" w:rsidP="00BF2F03">
      <w:pPr>
        <w:pStyle w:val="SingleTxtG"/>
        <w:rPr>
          <w:lang w:val="fr-FR"/>
        </w:rPr>
      </w:pPr>
      <w:r w:rsidRPr="0016597A">
        <w:rPr>
          <w:lang w:val="fr-FR"/>
        </w:rPr>
        <w:t>155.</w:t>
      </w:r>
      <w:r w:rsidRPr="0016597A">
        <w:rPr>
          <w:lang w:val="fr-FR"/>
        </w:rPr>
        <w:tab/>
      </w:r>
      <w:r w:rsidR="0016597A" w:rsidRPr="0016597A">
        <w:t xml:space="preserve">De plus, le Code de procédure pénale reconnait à l’auteur présumé de l’infraction, certaines garanties pour pouvoir exercer son droit à la défense, notamment le droit de se faire assister de son Conseil au cours des actes d’instruction et de garder le silence en l’absence de son Conseil. </w:t>
      </w:r>
    </w:p>
    <w:p w14:paraId="2B8D2AEF" w14:textId="1517F8C7" w:rsidR="0016597A" w:rsidRPr="0016597A" w:rsidRDefault="00BF2F03" w:rsidP="00BF2F03">
      <w:pPr>
        <w:pStyle w:val="SingleTxtG"/>
        <w:rPr>
          <w:lang w:val="fr-FR"/>
        </w:rPr>
      </w:pPr>
      <w:r w:rsidRPr="0016597A">
        <w:rPr>
          <w:lang w:val="fr-FR"/>
        </w:rPr>
        <w:t>156.</w:t>
      </w:r>
      <w:r w:rsidRPr="0016597A">
        <w:rPr>
          <w:lang w:val="fr-FR"/>
        </w:rPr>
        <w:tab/>
      </w:r>
      <w:r w:rsidR="0016597A" w:rsidRPr="0016597A">
        <w:t xml:space="preserve">Il en est de même lors de l’audience publique où chacune des parties peut se faire assister d’un </w:t>
      </w:r>
      <w:r w:rsidR="00FE2712">
        <w:t>a</w:t>
      </w:r>
      <w:r w:rsidR="0016597A" w:rsidRPr="0016597A">
        <w:t xml:space="preserve">vocat ou d’une personne agréée spécialement dans chaque cas par le tribunal pour prendre la parole en son nom. Sauf si le prévenu s’y oppose, le juge peut demander au Bâtonnier de lui désigner un </w:t>
      </w:r>
      <w:r w:rsidR="00FE2712">
        <w:t>a</w:t>
      </w:r>
      <w:r w:rsidR="0016597A" w:rsidRPr="0016597A">
        <w:t xml:space="preserve">vocat inscrit au Barreau. </w:t>
      </w:r>
    </w:p>
    <w:p w14:paraId="61B4DBBA" w14:textId="1BCFFC8A" w:rsidR="0016597A" w:rsidRDefault="00BF2F03" w:rsidP="00BF2F03">
      <w:pPr>
        <w:pStyle w:val="SingleTxtG"/>
        <w:rPr>
          <w:lang w:val="fr-FR"/>
        </w:rPr>
      </w:pPr>
      <w:r>
        <w:rPr>
          <w:lang w:val="fr-FR"/>
        </w:rPr>
        <w:t>157.</w:t>
      </w:r>
      <w:r>
        <w:rPr>
          <w:lang w:val="fr-FR"/>
        </w:rPr>
        <w:tab/>
      </w:r>
      <w:r w:rsidR="0016597A" w:rsidRPr="008A5B30">
        <w:rPr>
          <w:lang w:val="fr-MC"/>
        </w:rPr>
        <w:t>Toutefois</w:t>
      </w:r>
      <w:r w:rsidR="0016597A" w:rsidRPr="0016597A">
        <w:t>, l’assistance d’un défenseur est obligatoire pour les prévenus mineurs</w:t>
      </w:r>
      <w:r w:rsidR="0016597A" w:rsidRPr="00B345A8">
        <w:rPr>
          <w:rStyle w:val="Appelnotedebasdep"/>
        </w:rPr>
        <w:footnoteReference w:id="49"/>
      </w:r>
      <w:r w:rsidR="0016597A" w:rsidRPr="0016597A">
        <w:t>.</w:t>
      </w:r>
    </w:p>
    <w:p w14:paraId="725E64A8" w14:textId="73CD3E43" w:rsidR="0016597A" w:rsidRDefault="00CC66AC" w:rsidP="00CC66AC">
      <w:pPr>
        <w:pStyle w:val="H23G"/>
        <w:rPr>
          <w:lang w:val="fr-MC"/>
        </w:rPr>
      </w:pPr>
      <w:bookmarkStart w:id="33" w:name="_Toc529970219"/>
      <w:r>
        <w:rPr>
          <w:lang w:val="fr-MC"/>
        </w:rPr>
        <w:tab/>
        <w:t>5.</w:t>
      </w:r>
      <w:r>
        <w:rPr>
          <w:lang w:val="fr-MC"/>
        </w:rPr>
        <w:tab/>
      </w:r>
      <w:r w:rsidR="0016597A" w:rsidRPr="0016597A">
        <w:rPr>
          <w:lang w:val="fr-MC"/>
        </w:rPr>
        <w:t>Allégations de torture et d’exécutions extrajudiciaires</w:t>
      </w:r>
      <w:bookmarkEnd w:id="33"/>
    </w:p>
    <w:p w14:paraId="2A486510" w14:textId="546AAF32" w:rsidR="0016597A" w:rsidRPr="0016597A" w:rsidRDefault="00BF2F03" w:rsidP="00BF2F03">
      <w:pPr>
        <w:pStyle w:val="SingleTxtG"/>
        <w:rPr>
          <w:lang w:val="fr-FR"/>
        </w:rPr>
      </w:pPr>
      <w:r w:rsidRPr="0016597A">
        <w:rPr>
          <w:lang w:val="fr-FR"/>
        </w:rPr>
        <w:t>158.</w:t>
      </w:r>
      <w:r w:rsidRPr="0016597A">
        <w:rPr>
          <w:lang w:val="fr-FR"/>
        </w:rPr>
        <w:tab/>
      </w:r>
      <w:r w:rsidR="0016597A" w:rsidRPr="0016597A">
        <w:rPr>
          <w:lang w:val="fr-FR"/>
        </w:rPr>
        <w:t>Pour faire face à l’impunité, les coupables des actes de torture sont punis conformément à la loi</w:t>
      </w:r>
      <w:r w:rsidR="0016597A" w:rsidRPr="0016597A">
        <w:t>.</w:t>
      </w:r>
      <w:r w:rsidR="0016597A" w:rsidRPr="0016597A">
        <w:rPr>
          <w:lang w:eastAsia="fr-FR"/>
        </w:rPr>
        <w:t xml:space="preserve"> En effet, durant l’année 2015, la Commission Nationale Indépendante des Droits de l’Homme (CNIDH) a enregistré au total 27 cas d’allégation de torture et d’autres traitements cruels, inhumains ou dégradants.</w:t>
      </w:r>
    </w:p>
    <w:p w14:paraId="3659DD2C" w14:textId="0B298F4A" w:rsidR="0016597A" w:rsidRPr="0016597A" w:rsidRDefault="00BF2F03" w:rsidP="00BF2F03">
      <w:pPr>
        <w:pStyle w:val="SingleTxtG"/>
        <w:rPr>
          <w:lang w:val="fr-FR"/>
        </w:rPr>
      </w:pPr>
      <w:r w:rsidRPr="0016597A">
        <w:rPr>
          <w:lang w:val="fr-FR"/>
        </w:rPr>
        <w:t>159.</w:t>
      </w:r>
      <w:r w:rsidRPr="0016597A">
        <w:rPr>
          <w:lang w:val="fr-FR"/>
        </w:rPr>
        <w:tab/>
      </w:r>
      <w:r w:rsidR="0016597A" w:rsidRPr="0016597A">
        <w:rPr>
          <w:lang w:eastAsia="fr-FR"/>
        </w:rPr>
        <w:t xml:space="preserve">Concernant la protection des victimes ayant porté plainte, l’Etat du Burundi a connu des </w:t>
      </w:r>
      <w:r w:rsidR="0016597A" w:rsidRPr="008A5B30">
        <w:rPr>
          <w:lang w:val="fr-MC"/>
        </w:rPr>
        <w:t>avancées</w:t>
      </w:r>
      <w:r w:rsidR="0016597A" w:rsidRPr="0016597A">
        <w:rPr>
          <w:lang w:eastAsia="fr-FR"/>
        </w:rPr>
        <w:t xml:space="preserve"> significatives en mettant sur pied la loi </w:t>
      </w:r>
      <w:r w:rsidR="00FE2712" w:rsidRPr="0016597A">
        <w:rPr>
          <w:lang w:val="fr-MC"/>
        </w:rPr>
        <w:t>n</w:t>
      </w:r>
      <w:r w:rsidR="00FE2712" w:rsidRPr="008A395C">
        <w:rPr>
          <w:vertAlign w:val="superscript"/>
          <w:lang w:val="fr-MC"/>
        </w:rPr>
        <w:t>o</w:t>
      </w:r>
      <w:r w:rsidR="00FE2712">
        <w:rPr>
          <w:lang w:val="fr-MC"/>
        </w:rPr>
        <w:t> </w:t>
      </w:r>
      <w:r w:rsidR="0016597A" w:rsidRPr="0016597A">
        <w:rPr>
          <w:lang w:eastAsia="fr-FR"/>
        </w:rPr>
        <w:t>1/04 du 27 juin 2016 portant protection des victimes, des témoins et d’autres personnes en situation de risque.</w:t>
      </w:r>
    </w:p>
    <w:p w14:paraId="3086A9F7" w14:textId="0633C56D" w:rsidR="0016597A" w:rsidRPr="0016597A" w:rsidRDefault="00BF2F03" w:rsidP="00BF2F03">
      <w:pPr>
        <w:pStyle w:val="SingleTxtG"/>
        <w:rPr>
          <w:lang w:val="fr-FR"/>
        </w:rPr>
      </w:pPr>
      <w:r w:rsidRPr="0016597A">
        <w:rPr>
          <w:lang w:val="fr-FR"/>
        </w:rPr>
        <w:t>160.</w:t>
      </w:r>
      <w:r w:rsidRPr="0016597A">
        <w:rPr>
          <w:lang w:val="fr-FR"/>
        </w:rPr>
        <w:tab/>
      </w:r>
      <w:r w:rsidR="0016597A" w:rsidRPr="0016597A">
        <w:t xml:space="preserve">En ce qui concerne le dépôt des plaintes par les victimes de la torture, l’Etat du Burundi informe le Comité que le Code de procédure pénale prévoit trois modes de saisine des organes </w:t>
      </w:r>
      <w:r w:rsidR="0016597A" w:rsidRPr="008A5B30">
        <w:rPr>
          <w:lang w:val="fr-MC"/>
        </w:rPr>
        <w:t>d’enquête</w:t>
      </w:r>
      <w:r w:rsidR="0016597A" w:rsidRPr="0016597A">
        <w:t xml:space="preserve"> : la plainte, la dénonciation et la saisine d’office. Dans tous ces cas, l’audition de la victime reste une priorité des organes poursuivants pour éclairer l’enquêteur. </w:t>
      </w:r>
    </w:p>
    <w:p w14:paraId="39333F6C" w14:textId="6D84440E" w:rsidR="0016597A" w:rsidRPr="0016597A" w:rsidRDefault="00BF2F03" w:rsidP="00BF2F03">
      <w:pPr>
        <w:pStyle w:val="SingleTxtG"/>
        <w:rPr>
          <w:lang w:val="fr-FR"/>
        </w:rPr>
      </w:pPr>
      <w:r w:rsidRPr="0016597A">
        <w:rPr>
          <w:lang w:val="fr-FR"/>
        </w:rPr>
        <w:t>161.</w:t>
      </w:r>
      <w:r w:rsidRPr="0016597A">
        <w:rPr>
          <w:lang w:val="fr-FR"/>
        </w:rPr>
        <w:tab/>
      </w:r>
      <w:r w:rsidR="0016597A" w:rsidRPr="008A5B30">
        <w:rPr>
          <w:lang w:val="fr-MC"/>
        </w:rPr>
        <w:t>Cependant</w:t>
      </w:r>
      <w:r w:rsidR="0016597A" w:rsidRPr="0016597A">
        <w:t>, l’Etat du Burundi déplore certains cas où les victimes ne comparaissent pas devant les autorités judiciaires pour déposer plainte ou dénoncer préférant fuir ou dénoncer aux médias, ce qui handicape la procédure. C’est pourquoi, beaucoup de cas sont rapportés par les médias mais les victimes n’osent pas dénoncer ou porter plainte aux autorités judiciaires.</w:t>
      </w:r>
    </w:p>
    <w:p w14:paraId="7E14F224" w14:textId="0E44D36C" w:rsidR="0016597A" w:rsidRPr="0016597A" w:rsidRDefault="00CC66AC" w:rsidP="00CC66AC">
      <w:pPr>
        <w:pStyle w:val="H23G"/>
        <w:rPr>
          <w:lang w:val="fr-MC"/>
        </w:rPr>
      </w:pPr>
      <w:bookmarkStart w:id="34" w:name="_Toc529970220"/>
      <w:r>
        <w:rPr>
          <w:lang w:val="fr-MC"/>
        </w:rPr>
        <w:tab/>
      </w:r>
      <w:r w:rsidR="0016597A" w:rsidRPr="0016597A">
        <w:rPr>
          <w:lang w:val="fr-MC"/>
        </w:rPr>
        <w:t xml:space="preserve">6. </w:t>
      </w:r>
      <w:r>
        <w:rPr>
          <w:lang w:val="fr-MC"/>
        </w:rPr>
        <w:tab/>
      </w:r>
      <w:r w:rsidR="0016597A" w:rsidRPr="0016597A">
        <w:rPr>
          <w:lang w:val="fr-MC"/>
        </w:rPr>
        <w:t>Personnes atteintes d’albinisme</w:t>
      </w:r>
      <w:bookmarkEnd w:id="34"/>
    </w:p>
    <w:p w14:paraId="049A3C1A" w14:textId="12DAC355" w:rsidR="0016597A" w:rsidRPr="0016597A" w:rsidRDefault="00BF2F03" w:rsidP="00BF2F03">
      <w:pPr>
        <w:pStyle w:val="SingleTxtG"/>
        <w:rPr>
          <w:lang w:val="fr-MC"/>
        </w:rPr>
      </w:pPr>
      <w:r w:rsidRPr="0016597A">
        <w:rPr>
          <w:lang w:val="fr-MC"/>
        </w:rPr>
        <w:t>162.</w:t>
      </w:r>
      <w:r w:rsidRPr="0016597A">
        <w:rPr>
          <w:lang w:val="fr-MC"/>
        </w:rPr>
        <w:tab/>
      </w:r>
      <w:r w:rsidR="0016597A" w:rsidRPr="0016597A">
        <w:rPr>
          <w:lang w:val="fr-MC"/>
        </w:rPr>
        <w:t>Au Burundi, des campagnes de sensibilisation de la population ont été entreprises pour assurer la protection des personnes albinos et en particulier des enfants. Une police de proximité a même été mobilisée pour assurer la protection spéciale des personnes albinos.</w:t>
      </w:r>
    </w:p>
    <w:p w14:paraId="2C007003" w14:textId="72FA995F" w:rsidR="0016597A" w:rsidRPr="0016597A" w:rsidRDefault="00BF2F03" w:rsidP="00BF2F03">
      <w:pPr>
        <w:pStyle w:val="SingleTxtG"/>
        <w:rPr>
          <w:lang w:val="fr-MC"/>
        </w:rPr>
      </w:pPr>
      <w:r w:rsidRPr="0016597A">
        <w:rPr>
          <w:lang w:val="fr-MC"/>
        </w:rPr>
        <w:t>163.</w:t>
      </w:r>
      <w:r w:rsidRPr="0016597A">
        <w:rPr>
          <w:lang w:val="fr-MC"/>
        </w:rPr>
        <w:tab/>
      </w:r>
      <w:r w:rsidR="0016597A" w:rsidRPr="0016597A">
        <w:rPr>
          <w:lang w:val="fr-MC"/>
        </w:rPr>
        <w:t>Le Gouvernement a également agréé les associations de défense des droits des personnes albinos notamment « Albinos sans frontières »</w:t>
      </w:r>
      <w:r w:rsidR="0016597A" w:rsidRPr="0016597A">
        <w:rPr>
          <w:color w:val="FF0000"/>
          <w:lang w:val="fr-MC"/>
        </w:rPr>
        <w:t xml:space="preserve"> </w:t>
      </w:r>
      <w:r w:rsidR="0016597A" w:rsidRPr="0016597A">
        <w:rPr>
          <w:lang w:val="fr-MC"/>
        </w:rPr>
        <w:t>et</w:t>
      </w:r>
      <w:r w:rsidR="00A6762E">
        <w:rPr>
          <w:lang w:val="fr-MC"/>
        </w:rPr>
        <w:t xml:space="preserve"> </w:t>
      </w:r>
      <w:r w:rsidR="0016597A" w:rsidRPr="0016597A">
        <w:rPr>
          <w:lang w:val="fr-MC"/>
        </w:rPr>
        <w:t>«</w:t>
      </w:r>
      <w:r w:rsidR="00FE2712">
        <w:rPr>
          <w:lang w:val="fr-MC"/>
        </w:rPr>
        <w:t> </w:t>
      </w:r>
      <w:r w:rsidR="00A6762E">
        <w:rPr>
          <w:lang w:val="fr-MC"/>
        </w:rPr>
        <w:t>OPA- Burundi</w:t>
      </w:r>
      <w:r w:rsidR="00FE2712">
        <w:rPr>
          <w:lang w:val="fr-MC"/>
        </w:rPr>
        <w:t> </w:t>
      </w:r>
      <w:r w:rsidR="0016597A" w:rsidRPr="0016597A">
        <w:rPr>
          <w:lang w:val="fr-MC"/>
        </w:rPr>
        <w:t>»</w:t>
      </w:r>
      <w:r w:rsidR="00FE2712">
        <w:rPr>
          <w:lang w:val="fr-MC"/>
        </w:rPr>
        <w:t xml:space="preserve"> </w:t>
      </w:r>
      <w:r w:rsidR="0016597A" w:rsidRPr="0016597A">
        <w:rPr>
          <w:lang w:val="fr-MC"/>
        </w:rPr>
        <w:t>qui ont pour objectifs d’aider les personnes souffrant d’albinisme à défendre leurs droits.</w:t>
      </w:r>
    </w:p>
    <w:p w14:paraId="27D5F045" w14:textId="61EE7D04" w:rsidR="0016597A" w:rsidRPr="0016597A" w:rsidRDefault="00BF2F03" w:rsidP="00BF2F03">
      <w:pPr>
        <w:pStyle w:val="SingleTxtG"/>
        <w:rPr>
          <w:lang w:val="fr-MC"/>
        </w:rPr>
      </w:pPr>
      <w:r w:rsidRPr="0016597A">
        <w:rPr>
          <w:lang w:val="fr-MC"/>
        </w:rPr>
        <w:lastRenderedPageBreak/>
        <w:t>164.</w:t>
      </w:r>
      <w:r w:rsidRPr="0016597A">
        <w:rPr>
          <w:lang w:val="fr-MC"/>
        </w:rPr>
        <w:tab/>
      </w:r>
      <w:r w:rsidR="0016597A" w:rsidRPr="0016597A">
        <w:rPr>
          <w:lang w:val="fr-MC"/>
        </w:rPr>
        <w:t xml:space="preserve">De son côté, le MDPHASG continue d’octroyer chaque année des moyens financiers à ces associations destinés à pourvoir aux besoins d’alimentation, d’éducation et de santé des Albinos. </w:t>
      </w:r>
    </w:p>
    <w:p w14:paraId="556F3DFD" w14:textId="37520DF7" w:rsidR="0016597A" w:rsidRPr="0016597A" w:rsidRDefault="00BF2F03" w:rsidP="00BF2F03">
      <w:pPr>
        <w:pStyle w:val="SingleTxtG"/>
        <w:rPr>
          <w:lang w:val="fr-MC"/>
        </w:rPr>
      </w:pPr>
      <w:r w:rsidRPr="0016597A">
        <w:rPr>
          <w:lang w:val="fr-MC"/>
        </w:rPr>
        <w:t>165.</w:t>
      </w:r>
      <w:r w:rsidRPr="0016597A">
        <w:rPr>
          <w:lang w:val="fr-MC"/>
        </w:rPr>
        <w:tab/>
      </w:r>
      <w:r w:rsidR="0016597A" w:rsidRPr="0016597A">
        <w:rPr>
          <w:lang w:val="fr-MC"/>
        </w:rPr>
        <w:t>Néanmoins, il subsiste des difficultés liées aux maladies affectant leurs yeux et leurs peaux qui nécessitent des médicaments coûteux.</w:t>
      </w:r>
    </w:p>
    <w:p w14:paraId="27A9F239" w14:textId="76765A38" w:rsidR="0016597A" w:rsidRPr="0016597A" w:rsidRDefault="00CC66AC" w:rsidP="00CC66AC">
      <w:pPr>
        <w:pStyle w:val="H23G"/>
        <w:rPr>
          <w:lang w:val="fr-MC"/>
        </w:rPr>
      </w:pPr>
      <w:bookmarkStart w:id="35" w:name="_Toc529970221"/>
      <w:r>
        <w:rPr>
          <w:lang w:val="fr-MC"/>
        </w:rPr>
        <w:tab/>
      </w:r>
      <w:r w:rsidR="0016597A" w:rsidRPr="0016597A">
        <w:rPr>
          <w:lang w:val="fr-MC"/>
        </w:rPr>
        <w:t xml:space="preserve">7. </w:t>
      </w:r>
      <w:r>
        <w:rPr>
          <w:lang w:val="fr-MC"/>
        </w:rPr>
        <w:tab/>
      </w:r>
      <w:r w:rsidR="0016597A" w:rsidRPr="0016597A">
        <w:rPr>
          <w:lang w:val="fr-MC"/>
        </w:rPr>
        <w:t>Indépendance de la justice</w:t>
      </w:r>
      <w:bookmarkEnd w:id="35"/>
    </w:p>
    <w:p w14:paraId="3DBE29FB" w14:textId="1E582A0E" w:rsidR="0016597A" w:rsidRPr="0016597A" w:rsidRDefault="00BF2F03" w:rsidP="00BF2F03">
      <w:pPr>
        <w:pStyle w:val="SingleTxtG"/>
        <w:rPr>
          <w:lang w:val="fr-MC"/>
        </w:rPr>
      </w:pPr>
      <w:r w:rsidRPr="0016597A">
        <w:rPr>
          <w:lang w:val="fr-MC"/>
        </w:rPr>
        <w:t>166.</w:t>
      </w:r>
      <w:r w:rsidRPr="0016597A">
        <w:rPr>
          <w:lang w:val="fr-MC"/>
        </w:rPr>
        <w:tab/>
      </w:r>
      <w:r w:rsidR="0016597A" w:rsidRPr="0016597A">
        <w:rPr>
          <w:lang w:val="fr-MC"/>
        </w:rPr>
        <w:t>L</w:t>
      </w:r>
      <w:r w:rsidR="0016597A" w:rsidRPr="0016597A">
        <w:rPr>
          <w:lang w:val="fr-FR"/>
        </w:rPr>
        <w:t>’indépendance de la justice est garantie par la Constitution de la République du Burundi de 2018</w:t>
      </w:r>
      <w:r w:rsidR="0016597A" w:rsidRPr="00B345A8">
        <w:rPr>
          <w:rStyle w:val="Appelnotedebasdep"/>
        </w:rPr>
        <w:footnoteReference w:id="50"/>
      </w:r>
      <w:r w:rsidR="00A6762E">
        <w:rPr>
          <w:lang w:val="fr-MC"/>
        </w:rPr>
        <w:t xml:space="preserve">. </w:t>
      </w:r>
      <w:r w:rsidR="0016597A" w:rsidRPr="0016597A">
        <w:rPr>
          <w:lang w:val="fr-FR"/>
        </w:rPr>
        <w:t>En plus, la</w:t>
      </w:r>
      <w:r w:rsidR="0016597A">
        <w:rPr>
          <w:lang w:val="fr-MC"/>
        </w:rPr>
        <w:t xml:space="preserve"> </w:t>
      </w:r>
      <w:r w:rsidR="0016597A" w:rsidRPr="0016597A">
        <w:rPr>
          <w:lang w:val="fr-MC"/>
        </w:rPr>
        <w:t xml:space="preserve">politique sectorielle du Ministère de la justice 2016-2020 vient mettre en œuvre cette indépendance. En effet, cette politique tourne autour de trois axes stratégiques : </w:t>
      </w:r>
    </w:p>
    <w:p w14:paraId="435D61A4" w14:textId="0C546FF8"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CC66AC" w:rsidRPr="0016597A">
        <w:rPr>
          <w:lang w:val="fr-MC"/>
        </w:rPr>
        <w:t>La</w:t>
      </w:r>
      <w:r w:rsidR="00CC66AC">
        <w:rPr>
          <w:lang w:val="fr-MC"/>
        </w:rPr>
        <w:t xml:space="preserve"> justice indépendante</w:t>
      </w:r>
      <w:r w:rsidR="00BC23B3">
        <w:rPr>
          <w:lang w:val="fr-MC"/>
        </w:rPr>
        <w:t> ;</w:t>
      </w:r>
      <w:r w:rsidR="00CC66AC">
        <w:rPr>
          <w:lang w:val="fr-MC"/>
        </w:rPr>
        <w:t> </w:t>
      </w:r>
    </w:p>
    <w:p w14:paraId="7077BA26" w14:textId="0DD7012A"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CC66AC" w:rsidRPr="0016597A">
        <w:rPr>
          <w:lang w:val="fr-MC"/>
        </w:rPr>
        <w:t>La</w:t>
      </w:r>
      <w:r w:rsidR="00CC66AC">
        <w:rPr>
          <w:lang w:val="fr-MC"/>
        </w:rPr>
        <w:t xml:space="preserve"> justice pour tous</w:t>
      </w:r>
      <w:r w:rsidR="00BC23B3">
        <w:rPr>
          <w:lang w:val="fr-MC"/>
        </w:rPr>
        <w:t> ;</w:t>
      </w:r>
    </w:p>
    <w:p w14:paraId="3C2D4163" w14:textId="70692C57"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CC66AC" w:rsidRPr="0016597A">
        <w:rPr>
          <w:lang w:val="fr-MC"/>
        </w:rPr>
        <w:t>La</w:t>
      </w:r>
      <w:r w:rsidR="0016597A" w:rsidRPr="0016597A">
        <w:rPr>
          <w:lang w:val="fr-MC"/>
        </w:rPr>
        <w:t xml:space="preserve"> justice pénale respectueuse des droits humains. </w:t>
      </w:r>
    </w:p>
    <w:p w14:paraId="2F3236ED" w14:textId="2FA88E55" w:rsidR="0016597A" w:rsidRPr="0016597A" w:rsidRDefault="00BF2F03" w:rsidP="00BF2F03">
      <w:pPr>
        <w:pStyle w:val="SingleTxtG"/>
        <w:rPr>
          <w:lang w:val="fr-MC"/>
        </w:rPr>
      </w:pPr>
      <w:r w:rsidRPr="0016597A">
        <w:rPr>
          <w:lang w:val="fr-MC"/>
        </w:rPr>
        <w:t>167.</w:t>
      </w:r>
      <w:r w:rsidRPr="0016597A">
        <w:rPr>
          <w:lang w:val="fr-MC"/>
        </w:rPr>
        <w:tab/>
      </w:r>
      <w:r w:rsidR="0016597A" w:rsidRPr="0016597A">
        <w:rPr>
          <w:lang w:val="fr-MC"/>
        </w:rPr>
        <w:t xml:space="preserve">Sa vision est de stimuler, sur le territoire burundais, le renforcement d’une justice indépendante, équitable, modernisée et accessible à tous. </w:t>
      </w:r>
    </w:p>
    <w:p w14:paraId="3471F246" w14:textId="699C63AB" w:rsidR="0016597A" w:rsidRPr="0016597A" w:rsidRDefault="00BF2F03" w:rsidP="00BF2F03">
      <w:pPr>
        <w:pStyle w:val="SingleTxtG"/>
        <w:rPr>
          <w:lang w:val="fr-MC"/>
        </w:rPr>
      </w:pPr>
      <w:r w:rsidRPr="0016597A">
        <w:rPr>
          <w:lang w:val="fr-MC"/>
        </w:rPr>
        <w:t>168.</w:t>
      </w:r>
      <w:r w:rsidRPr="0016597A">
        <w:rPr>
          <w:lang w:val="fr-MC"/>
        </w:rPr>
        <w:tab/>
      </w:r>
      <w:r w:rsidR="0016597A" w:rsidRPr="0016597A">
        <w:rPr>
          <w:lang w:val="fr-MC"/>
        </w:rPr>
        <w:t>Cette vision garantissant le droit individuel à une justice équitable s’articule autour des sept (7) principes directeurs : (i) l’indépendance du juge ;(ii) l’accès à la justice ;</w:t>
      </w:r>
      <w:r w:rsidR="00FE2712">
        <w:rPr>
          <w:lang w:val="fr-MC"/>
        </w:rPr>
        <w:t xml:space="preserve"> </w:t>
      </w:r>
      <w:r w:rsidR="0016597A" w:rsidRPr="0016597A">
        <w:rPr>
          <w:lang w:val="fr-MC"/>
        </w:rPr>
        <w:t>(iii)</w:t>
      </w:r>
      <w:r w:rsidR="00FE2712">
        <w:rPr>
          <w:lang w:val="fr-MC"/>
        </w:rPr>
        <w:t> </w:t>
      </w:r>
      <w:r w:rsidR="0016597A" w:rsidRPr="0016597A">
        <w:rPr>
          <w:lang w:val="fr-MC"/>
        </w:rPr>
        <w:t>l’égalité des citoyens devant la loi ;</w:t>
      </w:r>
      <w:r w:rsidR="00FE2712">
        <w:rPr>
          <w:lang w:val="fr-MC"/>
        </w:rPr>
        <w:t xml:space="preserve"> </w:t>
      </w:r>
      <w:r w:rsidR="0016597A" w:rsidRPr="0016597A">
        <w:rPr>
          <w:lang w:val="fr-MC"/>
        </w:rPr>
        <w:t>(iv) le respect des droits de la défense ;(v) la collaboration et la coopération ;</w:t>
      </w:r>
      <w:r w:rsidR="00FE2712">
        <w:rPr>
          <w:lang w:val="fr-MC"/>
        </w:rPr>
        <w:t xml:space="preserve"> </w:t>
      </w:r>
      <w:r w:rsidR="0016597A" w:rsidRPr="0016597A">
        <w:rPr>
          <w:lang w:val="fr-MC"/>
        </w:rPr>
        <w:t>(vi) le renforcement du capital humain ;</w:t>
      </w:r>
      <w:r w:rsidR="00FE2712">
        <w:rPr>
          <w:lang w:val="fr-MC"/>
        </w:rPr>
        <w:t xml:space="preserve"> </w:t>
      </w:r>
      <w:r w:rsidR="0016597A" w:rsidRPr="0016597A">
        <w:rPr>
          <w:lang w:val="fr-MC"/>
        </w:rPr>
        <w:t xml:space="preserve">(vii) la promotion des technologies de l’information et de la communication. </w:t>
      </w:r>
    </w:p>
    <w:p w14:paraId="1268288C" w14:textId="115FEB5E" w:rsidR="0016597A" w:rsidRPr="0016597A" w:rsidRDefault="00CC66AC" w:rsidP="00CC66AC">
      <w:pPr>
        <w:pStyle w:val="H23G"/>
        <w:rPr>
          <w:lang w:val="fr-MC" w:eastAsia="fr-FR"/>
        </w:rPr>
      </w:pPr>
      <w:bookmarkStart w:id="36" w:name="_Toc529970222"/>
      <w:r>
        <w:rPr>
          <w:lang w:val="fr-MC" w:eastAsia="fr-FR"/>
        </w:rPr>
        <w:tab/>
      </w:r>
      <w:r w:rsidR="0016597A" w:rsidRPr="0016597A">
        <w:rPr>
          <w:lang w:val="fr-MC" w:eastAsia="fr-FR"/>
        </w:rPr>
        <w:t xml:space="preserve">8. </w:t>
      </w:r>
      <w:r>
        <w:rPr>
          <w:lang w:val="fr-MC" w:eastAsia="fr-FR"/>
        </w:rPr>
        <w:tab/>
      </w:r>
      <w:r w:rsidR="0016597A" w:rsidRPr="0016597A">
        <w:rPr>
          <w:lang w:val="fr-MC" w:eastAsia="fr-FR"/>
        </w:rPr>
        <w:t>Formation</w:t>
      </w:r>
      <w:bookmarkEnd w:id="36"/>
    </w:p>
    <w:p w14:paraId="40E8306B" w14:textId="49C36F94" w:rsidR="0016597A" w:rsidRPr="0016597A" w:rsidRDefault="00BF2F03" w:rsidP="00BF2F03">
      <w:pPr>
        <w:pStyle w:val="SingleTxtG"/>
        <w:rPr>
          <w:lang w:val="fr-MC"/>
        </w:rPr>
      </w:pPr>
      <w:r w:rsidRPr="0016597A">
        <w:rPr>
          <w:lang w:val="fr-MC"/>
        </w:rPr>
        <w:t>169.</w:t>
      </w:r>
      <w:r w:rsidRPr="0016597A">
        <w:rPr>
          <w:lang w:val="fr-MC"/>
        </w:rPr>
        <w:tab/>
      </w:r>
      <w:r w:rsidR="0016597A" w:rsidRPr="0016597A">
        <w:rPr>
          <w:lang w:val="fr-MC"/>
        </w:rPr>
        <w:t>Par rapport au renforcement des capacités des intervenants dans la prévention et la répression de la torture, le Burundi a poursuivi ses efforts dans la formation des Magistrats assis</w:t>
      </w:r>
      <w:r w:rsidR="0016597A" w:rsidRPr="0016597A">
        <w:rPr>
          <w:color w:val="FF0000"/>
          <w:lang w:val="fr-MC"/>
        </w:rPr>
        <w:t xml:space="preserve"> </w:t>
      </w:r>
      <w:r w:rsidR="0016597A" w:rsidRPr="0016597A">
        <w:rPr>
          <w:lang w:val="fr-MC"/>
        </w:rPr>
        <w:t xml:space="preserve">et des Policiers </w:t>
      </w:r>
      <w:r w:rsidR="0016597A" w:rsidRPr="0016597A">
        <w:rPr>
          <w:bCs/>
          <w:lang w:val="fr-FR"/>
        </w:rPr>
        <w:t>à travers des séances de formation organisées à leur endroit</w:t>
      </w:r>
      <w:r w:rsidR="0016597A" w:rsidRPr="0016597A">
        <w:rPr>
          <w:lang w:val="fr-MC"/>
        </w:rPr>
        <w:t>.</w:t>
      </w:r>
      <w:r w:rsidR="0016597A">
        <w:rPr>
          <w:lang w:val="fr-MC"/>
        </w:rPr>
        <w:t xml:space="preserve"> </w:t>
      </w:r>
      <w:r w:rsidR="0016597A" w:rsidRPr="0016597A">
        <w:rPr>
          <w:lang w:val="fr-MC"/>
        </w:rPr>
        <w:t>D’autres intervenants étatiques et non étatiques ont bénéficié des formations en matière de lutte contre la torture dispensée par le Ministère ayant les droits humains dans ses attributions. Ces efforts sont hélas présentement contrariés par le retrait et le désengagement de certains partenaires techniques et financiers traditionnels du Burundi.</w:t>
      </w:r>
    </w:p>
    <w:p w14:paraId="26963D22" w14:textId="21C96AC5" w:rsidR="0016597A" w:rsidRPr="0016597A" w:rsidRDefault="00CC66AC" w:rsidP="00CC66AC">
      <w:pPr>
        <w:pStyle w:val="H23G"/>
        <w:rPr>
          <w:lang w:val="fr-MC"/>
        </w:rPr>
      </w:pPr>
      <w:bookmarkStart w:id="37" w:name="_Toc529970223"/>
      <w:r>
        <w:rPr>
          <w:lang w:val="fr-MC"/>
        </w:rPr>
        <w:tab/>
      </w:r>
      <w:r w:rsidR="0016597A" w:rsidRPr="0016597A">
        <w:rPr>
          <w:lang w:val="fr-MC"/>
        </w:rPr>
        <w:t xml:space="preserve">9. </w:t>
      </w:r>
      <w:r>
        <w:rPr>
          <w:lang w:val="fr-MC"/>
        </w:rPr>
        <w:tab/>
      </w:r>
      <w:r w:rsidR="0016597A" w:rsidRPr="0016597A">
        <w:rPr>
          <w:lang w:val="fr-MC"/>
        </w:rPr>
        <w:t>Conditions de détention</w:t>
      </w:r>
      <w:bookmarkEnd w:id="37"/>
    </w:p>
    <w:p w14:paraId="6CB40708" w14:textId="4DCCED96" w:rsidR="0016597A" w:rsidRPr="0016597A" w:rsidRDefault="00BF2F03" w:rsidP="00BF2F03">
      <w:pPr>
        <w:pStyle w:val="SingleTxtG"/>
        <w:rPr>
          <w:lang w:val="fr-MC"/>
        </w:rPr>
      </w:pPr>
      <w:r w:rsidRPr="0016597A">
        <w:rPr>
          <w:lang w:val="fr-MC"/>
        </w:rPr>
        <w:t>170.</w:t>
      </w:r>
      <w:r w:rsidRPr="0016597A">
        <w:rPr>
          <w:lang w:val="fr-MC"/>
        </w:rPr>
        <w:tab/>
      </w:r>
      <w:r w:rsidR="0016597A" w:rsidRPr="0016597A">
        <w:rPr>
          <w:lang w:val="fr-FR"/>
        </w:rPr>
        <w:t>Le Burundi a révisé le Code de procédure pénale le 11</w:t>
      </w:r>
      <w:r w:rsidR="00FE2712">
        <w:rPr>
          <w:lang w:val="fr-FR"/>
        </w:rPr>
        <w:t xml:space="preserve"> m</w:t>
      </w:r>
      <w:r w:rsidR="0016597A" w:rsidRPr="0016597A">
        <w:rPr>
          <w:lang w:val="fr-FR"/>
        </w:rPr>
        <w:t>ai 2018 qui prévoit en ses articles 41, 43 et 44 les délais de vingt-quatre heures au maximum de la rétention pour état d’ivresse manifeste, pour contrôle ou vérification d’identité et pour état mental dangereux.</w:t>
      </w:r>
      <w:r w:rsidR="0016597A">
        <w:rPr>
          <w:lang w:val="fr-FR"/>
        </w:rPr>
        <w:t xml:space="preserve"> </w:t>
      </w:r>
      <w:r w:rsidR="0016597A" w:rsidRPr="0016597A">
        <w:rPr>
          <w:lang w:val="fr-FR"/>
        </w:rPr>
        <w:t xml:space="preserve">Pour les autres cas qui </w:t>
      </w:r>
      <w:r w:rsidR="0016597A" w:rsidRPr="008A5B30">
        <w:rPr>
          <w:lang w:val="fr-MC"/>
        </w:rPr>
        <w:t>nécessitent</w:t>
      </w:r>
      <w:r w:rsidR="0016597A" w:rsidRPr="0016597A">
        <w:rPr>
          <w:lang w:val="fr-FR"/>
        </w:rPr>
        <w:t xml:space="preserve"> une enquête approfondie, la durée de garde à vue est restée à 7 jours renouvelables une fois par le Procureur.</w:t>
      </w:r>
    </w:p>
    <w:p w14:paraId="517EBB43" w14:textId="42839A8D" w:rsidR="0016597A" w:rsidRPr="0016597A" w:rsidRDefault="00BF2F03" w:rsidP="00BF2F03">
      <w:pPr>
        <w:pStyle w:val="SingleTxtG"/>
        <w:rPr>
          <w:lang w:val="fr-MC"/>
        </w:rPr>
      </w:pPr>
      <w:r w:rsidRPr="0016597A">
        <w:rPr>
          <w:lang w:val="fr-MC"/>
        </w:rPr>
        <w:t>171.</w:t>
      </w:r>
      <w:r w:rsidRPr="0016597A">
        <w:rPr>
          <w:lang w:val="fr-MC"/>
        </w:rPr>
        <w:tab/>
      </w:r>
      <w:r w:rsidR="0016597A" w:rsidRPr="0016597A">
        <w:rPr>
          <w:lang w:val="fr-FR"/>
        </w:rPr>
        <w:t>S’agissant de la durée de la détention préventive, le Code de procédure pénale prévoit une durée de 15 jours pour le Mandat d’arrêt provisoire signé par le Magistrat instructeur. Avant l’expiration de ce délai, le Magistrat instructeur doit présenter l’inculpé en chambre de Conseil pour contrôle de la régularité de cette détention. L’ordonnance du Juge qui confirme la détention préventive a une durée de 30 jours renouvelable de mois en mois sans dépasser 12 mois selon la nature et la gravité de l’infraction. En effet, l’article 159 du Code de procédure pénale prévoit aux alinéas 2 et 3 les délais maximum d’une année pour</w:t>
      </w:r>
      <w:r w:rsidR="0016597A">
        <w:rPr>
          <w:lang w:val="fr-FR"/>
        </w:rPr>
        <w:t xml:space="preserve"> </w:t>
      </w:r>
      <w:r w:rsidR="0016597A" w:rsidRPr="0016597A">
        <w:rPr>
          <w:lang w:val="fr-FR"/>
        </w:rPr>
        <w:t>une infraction à l’égard de laquelle la peine prévue n’est pas supérieure à cinq ans et de trois ans si la peine prévue pour</w:t>
      </w:r>
      <w:r w:rsidR="0016597A">
        <w:rPr>
          <w:lang w:val="fr-FR"/>
        </w:rPr>
        <w:t xml:space="preserve"> </w:t>
      </w:r>
      <w:r w:rsidR="0016597A" w:rsidRPr="0016597A">
        <w:rPr>
          <w:lang w:val="fr-FR"/>
        </w:rPr>
        <w:t>l’infraction est supérieure à cinq ans de servitude pénale.</w:t>
      </w:r>
    </w:p>
    <w:p w14:paraId="05E2CED6" w14:textId="19FAB878" w:rsidR="0016597A" w:rsidRPr="0016597A" w:rsidRDefault="00BF2F03" w:rsidP="00BF2F03">
      <w:pPr>
        <w:pStyle w:val="SingleTxtG"/>
        <w:rPr>
          <w:lang w:val="fr-MC"/>
        </w:rPr>
      </w:pPr>
      <w:r w:rsidRPr="0016597A">
        <w:rPr>
          <w:lang w:val="fr-MC"/>
        </w:rPr>
        <w:t>172.</w:t>
      </w:r>
      <w:r w:rsidRPr="0016597A">
        <w:rPr>
          <w:lang w:val="fr-MC"/>
        </w:rPr>
        <w:tab/>
      </w:r>
      <w:r w:rsidR="0016597A" w:rsidRPr="0016597A">
        <w:rPr>
          <w:lang w:val="fr-FR"/>
        </w:rPr>
        <w:t xml:space="preserve">Concernant les mesures prises en faveur des personnes détenues depuis de nombreuses années, le Burundi a déjà mis en place, à travers le Ministère de la Justice et de la Protection Civique et Garde des Sceaux, une </w:t>
      </w:r>
      <w:r w:rsidR="0016597A" w:rsidRPr="0016597A">
        <w:rPr>
          <w:lang w:val="fr-MC"/>
        </w:rPr>
        <w:t>Commission permanente chargée du suivi des dossiers pénitentiaires et judiciaires des détenus</w:t>
      </w:r>
      <w:r w:rsidR="0016597A">
        <w:rPr>
          <w:lang w:val="fr-MC"/>
        </w:rPr>
        <w:t xml:space="preserve"> </w:t>
      </w:r>
      <w:r w:rsidR="0016597A" w:rsidRPr="0016597A">
        <w:rPr>
          <w:lang w:val="fr-MC"/>
        </w:rPr>
        <w:t xml:space="preserve">par l’ordonnance </w:t>
      </w:r>
      <w:r w:rsidR="00FE2712" w:rsidRPr="0016597A">
        <w:rPr>
          <w:lang w:val="fr-MC"/>
        </w:rPr>
        <w:t>n</w:t>
      </w:r>
      <w:r w:rsidR="00FE2712" w:rsidRPr="008A395C">
        <w:rPr>
          <w:vertAlign w:val="superscript"/>
          <w:lang w:val="fr-MC"/>
        </w:rPr>
        <w:t>o</w:t>
      </w:r>
      <w:r w:rsidR="00FE2712">
        <w:rPr>
          <w:lang w:val="fr-MC"/>
        </w:rPr>
        <w:t> </w:t>
      </w:r>
      <w:r w:rsidR="0016597A" w:rsidRPr="0016597A">
        <w:rPr>
          <w:lang w:val="fr-MC"/>
        </w:rPr>
        <w:t>550/2083 du 11</w:t>
      </w:r>
      <w:r w:rsidR="00FE2712">
        <w:rPr>
          <w:lang w:val="fr-MC"/>
        </w:rPr>
        <w:t> n</w:t>
      </w:r>
      <w:r w:rsidR="0016597A" w:rsidRPr="0016597A">
        <w:rPr>
          <w:lang w:val="fr-MC"/>
        </w:rPr>
        <w:t>ovembre 2016 du Ministre en charge de la justice dans ses attributions.</w:t>
      </w:r>
    </w:p>
    <w:p w14:paraId="6925A4E2" w14:textId="0CEA7798" w:rsidR="0016597A" w:rsidRPr="0016597A" w:rsidRDefault="00BF2F03" w:rsidP="00BF2F03">
      <w:pPr>
        <w:pStyle w:val="SingleTxtG"/>
        <w:rPr>
          <w:lang w:val="fr-MC"/>
        </w:rPr>
      </w:pPr>
      <w:r w:rsidRPr="0016597A">
        <w:rPr>
          <w:lang w:val="fr-MC"/>
        </w:rPr>
        <w:lastRenderedPageBreak/>
        <w:t>173.</w:t>
      </w:r>
      <w:r w:rsidRPr="0016597A">
        <w:rPr>
          <w:lang w:val="fr-MC"/>
        </w:rPr>
        <w:tab/>
      </w:r>
      <w:r w:rsidR="0016597A" w:rsidRPr="0016597A">
        <w:rPr>
          <w:lang w:val="fr-MC"/>
        </w:rPr>
        <w:t>En outre, le Ministre des Droits de la Personne Humaine, des Affaires Sociales et du Genre, à travers la Direction Générale des Droits de la Personne Humaine, de l’Education à la Paix et à la Réconciliation Nationale, multiplie des descentes sur terrain dans des cachots et prisons de toutes les provinces du pays en vue de constater les irrégularités et les conditions de détention qui sont à l’origine des violations des droits de l’homme.</w:t>
      </w:r>
    </w:p>
    <w:p w14:paraId="64335455" w14:textId="3DF2210B" w:rsidR="0016597A" w:rsidRPr="0016597A" w:rsidRDefault="00BF2F03" w:rsidP="00BF2F03">
      <w:pPr>
        <w:pStyle w:val="SingleTxtG"/>
        <w:rPr>
          <w:lang w:val="fr-MC"/>
        </w:rPr>
      </w:pPr>
      <w:r w:rsidRPr="0016597A">
        <w:rPr>
          <w:lang w:val="fr-MC"/>
        </w:rPr>
        <w:t>174.</w:t>
      </w:r>
      <w:r w:rsidRPr="0016597A">
        <w:rPr>
          <w:lang w:val="fr-MC"/>
        </w:rPr>
        <w:tab/>
      </w:r>
      <w:r w:rsidR="0016597A" w:rsidRPr="0016597A">
        <w:rPr>
          <w:lang w:val="fr-MC"/>
        </w:rPr>
        <w:t xml:space="preserve">Ainsi en 2017, durant ces descentes, 107 lieux de détention dont 9 </w:t>
      </w:r>
      <w:r w:rsidR="00FE2712">
        <w:rPr>
          <w:lang w:val="fr-MC"/>
        </w:rPr>
        <w:t>p</w:t>
      </w:r>
      <w:r w:rsidR="0016597A" w:rsidRPr="0016597A">
        <w:rPr>
          <w:lang w:val="fr-MC"/>
        </w:rPr>
        <w:t>risons et 98</w:t>
      </w:r>
      <w:r w:rsidR="00FE2712">
        <w:rPr>
          <w:lang w:val="fr-MC"/>
        </w:rPr>
        <w:t> </w:t>
      </w:r>
      <w:r w:rsidR="0016597A" w:rsidRPr="0016597A">
        <w:rPr>
          <w:lang w:val="fr-MC"/>
        </w:rPr>
        <w:t>cachots ont été visités : 368 personnes ont été libérées</w:t>
      </w:r>
      <w:r w:rsidR="0016597A">
        <w:rPr>
          <w:lang w:val="fr-MC"/>
        </w:rPr>
        <w:t xml:space="preserve"> </w:t>
      </w:r>
      <w:r w:rsidR="0016597A" w:rsidRPr="0016597A">
        <w:rPr>
          <w:lang w:val="fr-MC"/>
        </w:rPr>
        <w:t xml:space="preserve">dont 52 détenus dans les différentes prisons après avoir régularisé leurs dossiers et 316 retenues dans les cachots après avoir constaté des irrégularités. </w:t>
      </w:r>
    </w:p>
    <w:p w14:paraId="20371FBE" w14:textId="1FFCBD2D" w:rsidR="0016597A" w:rsidRPr="0016597A" w:rsidRDefault="00BF2F03" w:rsidP="00BF2F03">
      <w:pPr>
        <w:pStyle w:val="SingleTxtG"/>
        <w:rPr>
          <w:lang w:val="fr-MC"/>
        </w:rPr>
      </w:pPr>
      <w:r w:rsidRPr="0016597A">
        <w:rPr>
          <w:lang w:val="fr-MC"/>
        </w:rPr>
        <w:t>175.</w:t>
      </w:r>
      <w:r w:rsidRPr="0016597A">
        <w:rPr>
          <w:lang w:val="fr-MC"/>
        </w:rPr>
        <w:tab/>
      </w:r>
      <w:r w:rsidR="0016597A" w:rsidRPr="0016597A">
        <w:rPr>
          <w:lang w:val="fr-MC"/>
        </w:rPr>
        <w:t xml:space="preserve">Concernant </w:t>
      </w:r>
      <w:r w:rsidR="0016597A" w:rsidRPr="0016597A">
        <w:rPr>
          <w:lang w:val="fr-FR"/>
        </w:rPr>
        <w:t xml:space="preserve">les besoins vitaux, les personnes en situation de détention ou d’emprisonnement ont </w:t>
      </w:r>
      <w:r w:rsidR="0016597A" w:rsidRPr="008A5B30">
        <w:rPr>
          <w:lang w:val="fr-MC"/>
        </w:rPr>
        <w:t>accès</w:t>
      </w:r>
      <w:r w:rsidR="0016597A" w:rsidRPr="0016597A">
        <w:rPr>
          <w:lang w:val="fr-FR"/>
        </w:rPr>
        <w:t xml:space="preserve"> aux services de santé et aux activités ludiques. </w:t>
      </w:r>
    </w:p>
    <w:p w14:paraId="7DC96DD9" w14:textId="4BB14F12" w:rsidR="0016597A" w:rsidRPr="0016597A" w:rsidRDefault="00BF2F03" w:rsidP="00BF2F03">
      <w:pPr>
        <w:pStyle w:val="SingleTxtG"/>
        <w:rPr>
          <w:lang w:val="fr-MC"/>
        </w:rPr>
      </w:pPr>
      <w:r w:rsidRPr="0016597A">
        <w:rPr>
          <w:lang w:val="fr-MC"/>
        </w:rPr>
        <w:t>176.</w:t>
      </w:r>
      <w:r w:rsidRPr="0016597A">
        <w:rPr>
          <w:lang w:val="fr-MC"/>
        </w:rPr>
        <w:tab/>
      </w:r>
      <w:r w:rsidR="0016597A" w:rsidRPr="0016597A">
        <w:rPr>
          <w:lang w:val="fr-FR"/>
        </w:rPr>
        <w:t>Ainsi, le Gouvernement autorise les visites demandées par les défenseurs nationaux</w:t>
      </w:r>
      <w:r w:rsidR="0016597A">
        <w:rPr>
          <w:lang w:val="fr-FR"/>
        </w:rPr>
        <w:t xml:space="preserve"> </w:t>
      </w:r>
      <w:r w:rsidR="0016597A" w:rsidRPr="0016597A">
        <w:rPr>
          <w:lang w:val="fr-FR"/>
        </w:rPr>
        <w:t>et internationaux des droits de l’</w:t>
      </w:r>
      <w:r w:rsidR="009B173B">
        <w:rPr>
          <w:lang w:val="fr-FR"/>
        </w:rPr>
        <w:t>h</w:t>
      </w:r>
      <w:r w:rsidR="0016597A" w:rsidRPr="0016597A">
        <w:rPr>
          <w:lang w:val="fr-FR"/>
        </w:rPr>
        <w:t>omme qui veulent s’enquérir des conditions carcérales dans les prisons et les centres de détention</w:t>
      </w:r>
    </w:p>
    <w:p w14:paraId="33881605" w14:textId="0666958D" w:rsidR="0016597A" w:rsidRPr="0016597A" w:rsidRDefault="00CC66AC" w:rsidP="00CC66AC">
      <w:pPr>
        <w:pStyle w:val="H23G"/>
        <w:rPr>
          <w:lang w:val="fr-MC"/>
        </w:rPr>
      </w:pPr>
      <w:bookmarkStart w:id="38" w:name="_Toc529970224"/>
      <w:r>
        <w:rPr>
          <w:lang w:val="fr-MC"/>
        </w:rPr>
        <w:tab/>
      </w:r>
      <w:r w:rsidR="0016597A" w:rsidRPr="0016597A">
        <w:rPr>
          <w:lang w:val="fr-MC"/>
        </w:rPr>
        <w:t>10.</w:t>
      </w:r>
      <w:r>
        <w:rPr>
          <w:lang w:val="fr-MC"/>
        </w:rPr>
        <w:tab/>
      </w:r>
      <w:r w:rsidR="0016597A" w:rsidRPr="0016597A">
        <w:rPr>
          <w:lang w:val="fr-MC"/>
        </w:rPr>
        <w:t>Situation des réfugiés et demandeurs d’asile</w:t>
      </w:r>
      <w:bookmarkEnd w:id="38"/>
    </w:p>
    <w:p w14:paraId="06C17EC8" w14:textId="1171539A" w:rsidR="0016597A" w:rsidRPr="0016597A" w:rsidRDefault="00BF2F03" w:rsidP="00BF2F03">
      <w:pPr>
        <w:pStyle w:val="SingleTxtG"/>
        <w:rPr>
          <w:lang w:val="fr-MC"/>
        </w:rPr>
      </w:pPr>
      <w:r w:rsidRPr="0016597A">
        <w:rPr>
          <w:lang w:val="fr-MC"/>
        </w:rPr>
        <w:t>177.</w:t>
      </w:r>
      <w:r w:rsidRPr="0016597A">
        <w:rPr>
          <w:lang w:val="fr-MC"/>
        </w:rPr>
        <w:tab/>
      </w:r>
      <w:r w:rsidR="0016597A" w:rsidRPr="0016597A">
        <w:rPr>
          <w:lang w:val="fr-FR"/>
        </w:rPr>
        <w:t>La Constitution de la République du Burundi de 2018 en son article 50</w:t>
      </w:r>
      <w:r w:rsidR="0016597A">
        <w:rPr>
          <w:lang w:val="fr-FR"/>
        </w:rPr>
        <w:t xml:space="preserve"> </w:t>
      </w:r>
      <w:r w:rsidR="0016597A" w:rsidRPr="0016597A">
        <w:rPr>
          <w:lang w:val="fr-FR"/>
        </w:rPr>
        <w:t xml:space="preserve">dispose que « le droit </w:t>
      </w:r>
      <w:r w:rsidR="0016597A" w:rsidRPr="008A5B30">
        <w:rPr>
          <w:lang w:val="fr-MC"/>
        </w:rPr>
        <w:t>d’asile</w:t>
      </w:r>
      <w:r w:rsidR="0016597A">
        <w:rPr>
          <w:lang w:val="fr-FR"/>
        </w:rPr>
        <w:t xml:space="preserve"> </w:t>
      </w:r>
      <w:r w:rsidR="0016597A" w:rsidRPr="0016597A">
        <w:rPr>
          <w:lang w:val="fr-FR"/>
        </w:rPr>
        <w:t>est reconnu dans les conditions définies par la loi ».</w:t>
      </w:r>
      <w:r w:rsidR="0016597A">
        <w:rPr>
          <w:lang w:val="fr-FR"/>
        </w:rPr>
        <w:t xml:space="preserve"> </w:t>
      </w:r>
      <w:r w:rsidR="0016597A" w:rsidRPr="0016597A">
        <w:rPr>
          <w:lang w:val="fr-FR"/>
        </w:rPr>
        <w:t xml:space="preserve">Cela a été concrétisé par la promulgation de la loi </w:t>
      </w:r>
      <w:r w:rsidR="00FE2712" w:rsidRPr="0016597A">
        <w:rPr>
          <w:lang w:val="fr-MC"/>
        </w:rPr>
        <w:t>n</w:t>
      </w:r>
      <w:r w:rsidR="00FE2712" w:rsidRPr="008A395C">
        <w:rPr>
          <w:vertAlign w:val="superscript"/>
          <w:lang w:val="fr-MC"/>
        </w:rPr>
        <w:t>o</w:t>
      </w:r>
      <w:r w:rsidR="00FE2712">
        <w:rPr>
          <w:lang w:val="fr-MC"/>
        </w:rPr>
        <w:t> </w:t>
      </w:r>
      <w:r w:rsidR="0016597A" w:rsidRPr="0016597A">
        <w:rPr>
          <w:lang w:val="fr-FR"/>
        </w:rPr>
        <w:t>1/32 du 13 novembre 2008 sur l’asile et la protection des réfugiés au Burundi qui est en vigueur. Cette loi a été mise en œuvre à travers trois ordonnances ministérielles concernant l’asile, à savoir :</w:t>
      </w:r>
    </w:p>
    <w:p w14:paraId="482984A4" w14:textId="4A78A57C" w:rsidR="0016597A" w:rsidRPr="0016597A" w:rsidRDefault="00BF2F03" w:rsidP="00BF2F03">
      <w:pPr>
        <w:pStyle w:val="Bullet1G"/>
        <w:numPr>
          <w:ilvl w:val="0"/>
          <w:numId w:val="0"/>
        </w:numPr>
        <w:tabs>
          <w:tab w:val="left" w:pos="1701"/>
        </w:tabs>
        <w:ind w:left="1701" w:hanging="170"/>
        <w:rPr>
          <w:lang w:val="fr-MC"/>
        </w:rPr>
      </w:pPr>
      <w:bookmarkStart w:id="39" w:name="_Toc502309929"/>
      <w:r w:rsidRPr="0016597A">
        <w:rPr>
          <w:lang w:val="fr-MC"/>
        </w:rPr>
        <w:t>•</w:t>
      </w:r>
      <w:r w:rsidRPr="0016597A">
        <w:rPr>
          <w:lang w:val="fr-MC"/>
        </w:rPr>
        <w:tab/>
      </w:r>
      <w:r w:rsidR="0016597A" w:rsidRPr="0016597A">
        <w:rPr>
          <w:lang w:val="fr-FR"/>
        </w:rPr>
        <w:t xml:space="preserve">L’Ordonnance Ministérielle </w:t>
      </w:r>
      <w:r w:rsidR="00FE2712" w:rsidRPr="0016597A">
        <w:rPr>
          <w:lang w:val="fr-MC"/>
        </w:rPr>
        <w:t>n</w:t>
      </w:r>
      <w:r w:rsidR="00FE2712" w:rsidRPr="008A395C">
        <w:rPr>
          <w:vertAlign w:val="superscript"/>
          <w:lang w:val="fr-MC"/>
        </w:rPr>
        <w:t>o</w:t>
      </w:r>
      <w:r w:rsidR="00FE2712">
        <w:rPr>
          <w:lang w:val="fr-MC"/>
        </w:rPr>
        <w:t> </w:t>
      </w:r>
      <w:r w:rsidR="0016597A" w:rsidRPr="0016597A">
        <w:rPr>
          <w:lang w:val="fr-FR"/>
        </w:rPr>
        <w:t>530/442 du 7 avril 2009 sur les mesures</w:t>
      </w:r>
      <w:bookmarkStart w:id="40" w:name="_Toc502309930"/>
      <w:bookmarkEnd w:id="39"/>
      <w:r w:rsidR="0016597A" w:rsidRPr="0016597A">
        <w:rPr>
          <w:lang w:val="fr-FR"/>
        </w:rPr>
        <w:t xml:space="preserve"> d’application de la </w:t>
      </w:r>
      <w:bookmarkStart w:id="41" w:name="_Toc502309931"/>
      <w:bookmarkEnd w:id="40"/>
      <w:r w:rsidR="00BD1593">
        <w:rPr>
          <w:lang w:val="fr-FR"/>
        </w:rPr>
        <w:t>loi susmentionnée</w:t>
      </w:r>
      <w:r w:rsidR="00FE2712">
        <w:rPr>
          <w:lang w:val="fr-FR"/>
        </w:rPr>
        <w:t> </w:t>
      </w:r>
      <w:r w:rsidR="0016597A" w:rsidRPr="0016597A">
        <w:rPr>
          <w:lang w:val="fr-FR"/>
        </w:rPr>
        <w:t>;</w:t>
      </w:r>
    </w:p>
    <w:p w14:paraId="7BD25414" w14:textId="5DF99291"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FR"/>
        </w:rPr>
        <w:t xml:space="preserve">L’Ordonnance Ministérielle </w:t>
      </w:r>
      <w:r w:rsidR="00FE2712" w:rsidRPr="0016597A">
        <w:rPr>
          <w:lang w:val="fr-MC"/>
        </w:rPr>
        <w:t>n</w:t>
      </w:r>
      <w:r w:rsidR="00FE2712" w:rsidRPr="008A395C">
        <w:rPr>
          <w:vertAlign w:val="superscript"/>
          <w:lang w:val="fr-MC"/>
        </w:rPr>
        <w:t>o</w:t>
      </w:r>
      <w:r w:rsidR="00FE2712">
        <w:rPr>
          <w:lang w:val="fr-MC"/>
        </w:rPr>
        <w:t> </w:t>
      </w:r>
      <w:r w:rsidR="0016597A" w:rsidRPr="0016597A">
        <w:rPr>
          <w:lang w:val="fr-FR"/>
        </w:rPr>
        <w:t>530/443 du 7 avril 2009 portant mesures d’application de la même loi portant composition, organisation et fonctionnement de la Commission Consultative pour les Etrangers et R</w:t>
      </w:r>
      <w:r w:rsidR="00BD1593">
        <w:rPr>
          <w:lang w:val="fr-FR"/>
        </w:rPr>
        <w:t>éfugiés et du Comité de Recours</w:t>
      </w:r>
      <w:r w:rsidR="00FE2712">
        <w:t> </w:t>
      </w:r>
      <w:r w:rsidR="0016597A" w:rsidRPr="0016597A">
        <w:rPr>
          <w:lang w:val="fr-FR"/>
        </w:rPr>
        <w:t>;</w:t>
      </w:r>
      <w:bookmarkStart w:id="42" w:name="_Toc502309932"/>
      <w:bookmarkEnd w:id="41"/>
    </w:p>
    <w:p w14:paraId="4EF06E90" w14:textId="50977893"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FR"/>
        </w:rPr>
        <w:t xml:space="preserve">L’Ordonnance Ministérielle </w:t>
      </w:r>
      <w:r w:rsidR="00FE2712" w:rsidRPr="0016597A">
        <w:rPr>
          <w:lang w:val="fr-MC"/>
        </w:rPr>
        <w:t>n</w:t>
      </w:r>
      <w:r w:rsidR="00FE2712" w:rsidRPr="008A395C">
        <w:rPr>
          <w:vertAlign w:val="superscript"/>
          <w:lang w:val="fr-MC"/>
        </w:rPr>
        <w:t>o</w:t>
      </w:r>
      <w:r w:rsidR="00FE2712">
        <w:rPr>
          <w:lang w:val="fr-MC"/>
        </w:rPr>
        <w:t> </w:t>
      </w:r>
      <w:r w:rsidR="0016597A" w:rsidRPr="0016597A">
        <w:rPr>
          <w:lang w:val="fr-FR"/>
        </w:rPr>
        <w:t xml:space="preserve">530/881 du 6 juillet 2009 portant nomination des membres de la Commission Consultative pour les Etrangers et Réfugiés (CCER) et du Comité de Recours (CR). L’adoption et la promulgation de cette loi ont été suivies par la création de l’Office National chargé de la Protection des Réfugiés et des Apatrides (ONPRA) en mai 2009. </w:t>
      </w:r>
    </w:p>
    <w:p w14:paraId="78CE6858" w14:textId="4629E733" w:rsidR="0016597A" w:rsidRPr="0016597A" w:rsidRDefault="00BF2F03" w:rsidP="00BF2F03">
      <w:pPr>
        <w:pStyle w:val="SingleTxtG"/>
        <w:rPr>
          <w:lang w:val="fr-MC"/>
        </w:rPr>
      </w:pPr>
      <w:r w:rsidRPr="0016597A">
        <w:rPr>
          <w:lang w:val="fr-MC"/>
        </w:rPr>
        <w:t>178.</w:t>
      </w:r>
      <w:r w:rsidRPr="0016597A">
        <w:rPr>
          <w:lang w:val="fr-MC"/>
        </w:rPr>
        <w:tab/>
      </w:r>
      <w:r w:rsidR="0016597A" w:rsidRPr="0016597A">
        <w:rPr>
          <w:lang w:val="fr-FR"/>
        </w:rPr>
        <w:t>Cet organe constitue le Secrétariat de la CCER et est chargé de la coordination et du suivi des questions relatives à l’asile.</w:t>
      </w:r>
      <w:bookmarkEnd w:id="42"/>
    </w:p>
    <w:p w14:paraId="2185F69A" w14:textId="444FD84D" w:rsidR="0016597A" w:rsidRPr="0016597A" w:rsidRDefault="00BF2F03" w:rsidP="00BF2F03">
      <w:pPr>
        <w:pStyle w:val="SingleTxtG"/>
        <w:rPr>
          <w:lang w:val="fr-MC"/>
        </w:rPr>
      </w:pPr>
      <w:r w:rsidRPr="0016597A">
        <w:rPr>
          <w:lang w:val="fr-MC"/>
        </w:rPr>
        <w:t>179.</w:t>
      </w:r>
      <w:r w:rsidRPr="0016597A">
        <w:rPr>
          <w:lang w:val="fr-MC"/>
        </w:rPr>
        <w:tab/>
      </w:r>
      <w:r w:rsidR="0016597A" w:rsidRPr="0016597A">
        <w:rPr>
          <w:lang w:val="fr-FR"/>
        </w:rPr>
        <w:t>Les articles 19, 78, et 79 de ladite</w:t>
      </w:r>
      <w:r w:rsidR="0016597A" w:rsidRPr="0016597A">
        <w:rPr>
          <w:color w:val="FF0000"/>
          <w:lang w:val="fr-FR"/>
        </w:rPr>
        <w:t xml:space="preserve"> </w:t>
      </w:r>
      <w:r w:rsidR="0016597A" w:rsidRPr="0016597A">
        <w:rPr>
          <w:lang w:val="fr-FR"/>
        </w:rPr>
        <w:t>loi interdisent le refoulement et l’expulsion d’un demandeur d’asile sur les frontières des territoires où sa vie ou sa liberté serait menacée en raison de sa race, de sa religion, de sa nationalité, de son appartenance à un groupe social ou de ses opinions politiques.</w:t>
      </w:r>
    </w:p>
    <w:p w14:paraId="2B522486" w14:textId="14420894" w:rsidR="0016597A" w:rsidRPr="0016597A" w:rsidRDefault="00BF2F03" w:rsidP="00BF2F03">
      <w:pPr>
        <w:pStyle w:val="SingleTxtG"/>
        <w:rPr>
          <w:lang w:val="fr-MC"/>
        </w:rPr>
      </w:pPr>
      <w:r w:rsidRPr="0016597A">
        <w:rPr>
          <w:lang w:val="fr-MC"/>
        </w:rPr>
        <w:t>180.</w:t>
      </w:r>
      <w:r w:rsidRPr="0016597A">
        <w:rPr>
          <w:lang w:val="fr-MC"/>
        </w:rPr>
        <w:tab/>
      </w:r>
      <w:r w:rsidR="0016597A" w:rsidRPr="0016597A">
        <w:rPr>
          <w:lang w:val="fr-FR"/>
        </w:rPr>
        <w:t xml:space="preserve">Durant le mois d’août 2018, le rapport de l’Office National de Protection de Réfugiés et des </w:t>
      </w:r>
      <w:r w:rsidR="0016597A" w:rsidRPr="008A5B30">
        <w:rPr>
          <w:lang w:val="fr-MC"/>
        </w:rPr>
        <w:t>Apatrides</w:t>
      </w:r>
      <w:r w:rsidR="0016597A" w:rsidRPr="0016597A">
        <w:rPr>
          <w:lang w:val="fr-FR"/>
        </w:rPr>
        <w:t xml:space="preserve"> (ONPRA) au Burundi </w:t>
      </w:r>
      <w:r w:rsidR="00BD1593">
        <w:rPr>
          <w:lang w:val="fr-FR"/>
        </w:rPr>
        <w:t>précise que la situation est de</w:t>
      </w:r>
      <w:r w:rsidR="00FE2712">
        <w:rPr>
          <w:lang w:val="fr-FR"/>
        </w:rPr>
        <w:t> </w:t>
      </w:r>
      <w:r w:rsidR="0016597A" w:rsidRPr="0016597A">
        <w:rPr>
          <w:lang w:val="fr-FR"/>
        </w:rPr>
        <w:t>:</w:t>
      </w:r>
    </w:p>
    <w:p w14:paraId="094FF376" w14:textId="0543C750"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FR"/>
        </w:rPr>
        <w:t>882 nouveaux demandeurs d’asile dont 778 cong</w:t>
      </w:r>
      <w:r w:rsidR="00BD1593">
        <w:rPr>
          <w:lang w:val="fr-FR"/>
        </w:rPr>
        <w:t>olais (RDC) ont été enregistrés</w:t>
      </w:r>
      <w:r w:rsidR="00FE2712">
        <w:rPr>
          <w:lang w:val="fr-FR"/>
        </w:rPr>
        <w:t> </w:t>
      </w:r>
      <w:r w:rsidR="0016597A" w:rsidRPr="0016597A">
        <w:rPr>
          <w:lang w:val="fr-FR"/>
        </w:rPr>
        <w:t>; parmi lesquels, 446 ont déclaré être arrivés au Bu</w:t>
      </w:r>
      <w:r w:rsidR="00BD1593">
        <w:rPr>
          <w:lang w:val="fr-FR"/>
        </w:rPr>
        <w:t>rundi durant le mois sous revue</w:t>
      </w:r>
      <w:r w:rsidR="00FE2712">
        <w:rPr>
          <w:lang w:val="fr-FR"/>
        </w:rPr>
        <w:t> </w:t>
      </w:r>
      <w:r w:rsidR="0016597A" w:rsidRPr="0016597A">
        <w:rPr>
          <w:lang w:val="fr-FR"/>
        </w:rPr>
        <w:t>;</w:t>
      </w:r>
    </w:p>
    <w:p w14:paraId="5B3BB3FB" w14:textId="0F673408" w:rsidR="0016597A" w:rsidRPr="0016597A" w:rsidRDefault="00BF2F03" w:rsidP="00BF2F03">
      <w:pPr>
        <w:pStyle w:val="Bullet1G"/>
        <w:numPr>
          <w:ilvl w:val="0"/>
          <w:numId w:val="0"/>
        </w:numPr>
        <w:tabs>
          <w:tab w:val="left" w:pos="1701"/>
        </w:tabs>
        <w:ind w:left="1701" w:hanging="170"/>
        <w:rPr>
          <w:lang w:val="fr-FR"/>
        </w:rPr>
      </w:pPr>
      <w:r w:rsidRPr="0016597A">
        <w:rPr>
          <w:lang w:val="fr-FR"/>
        </w:rPr>
        <w:t>•</w:t>
      </w:r>
      <w:r w:rsidRPr="0016597A">
        <w:rPr>
          <w:lang w:val="fr-FR"/>
        </w:rPr>
        <w:tab/>
      </w:r>
      <w:r w:rsidR="0016597A" w:rsidRPr="0016597A">
        <w:rPr>
          <w:lang w:val="fr-FR"/>
        </w:rPr>
        <w:t>Le statut de réfugié a été reconnu à</w:t>
      </w:r>
      <w:r w:rsidR="00BD1593">
        <w:rPr>
          <w:lang w:val="fr-FR"/>
        </w:rPr>
        <w:t xml:space="preserve"> 546 anciens demandeurs d’asile</w:t>
      </w:r>
      <w:r w:rsidR="00FE2712">
        <w:rPr>
          <w:lang w:val="fr-FR"/>
        </w:rPr>
        <w:t> </w:t>
      </w:r>
      <w:r w:rsidR="0016597A" w:rsidRPr="0016597A">
        <w:rPr>
          <w:lang w:val="fr-FR"/>
        </w:rPr>
        <w:t xml:space="preserve">; </w:t>
      </w:r>
    </w:p>
    <w:p w14:paraId="1C749447" w14:textId="05A7BF6C" w:rsidR="0016597A" w:rsidRPr="0016597A" w:rsidRDefault="00BF2F03" w:rsidP="00BF2F03">
      <w:pPr>
        <w:pStyle w:val="Bullet1G"/>
        <w:numPr>
          <w:ilvl w:val="0"/>
          <w:numId w:val="0"/>
        </w:numPr>
        <w:tabs>
          <w:tab w:val="left" w:pos="1701"/>
        </w:tabs>
        <w:ind w:left="1701" w:hanging="170"/>
        <w:rPr>
          <w:lang w:val="fr-FR"/>
        </w:rPr>
      </w:pPr>
      <w:r w:rsidRPr="0016597A">
        <w:rPr>
          <w:lang w:val="fr-FR"/>
        </w:rPr>
        <w:t>•</w:t>
      </w:r>
      <w:r w:rsidRPr="0016597A">
        <w:rPr>
          <w:lang w:val="fr-FR"/>
        </w:rPr>
        <w:tab/>
      </w:r>
      <w:r w:rsidR="0016597A" w:rsidRPr="0016597A">
        <w:rPr>
          <w:lang w:val="fr-FR"/>
        </w:rPr>
        <w:t>136 réfugiés sont partis pour la ré</w:t>
      </w:r>
      <w:r w:rsidR="00BD1593">
        <w:rPr>
          <w:lang w:val="fr-FR"/>
        </w:rPr>
        <w:t>installation dans un pays tiers</w:t>
      </w:r>
      <w:r w:rsidR="00FE2712">
        <w:rPr>
          <w:lang w:val="fr-FR"/>
        </w:rPr>
        <w:t> </w:t>
      </w:r>
      <w:r w:rsidR="0016597A" w:rsidRPr="0016597A">
        <w:rPr>
          <w:lang w:val="fr-FR"/>
        </w:rPr>
        <w:t>;</w:t>
      </w:r>
    </w:p>
    <w:p w14:paraId="3F693771" w14:textId="0FB3F417" w:rsidR="0016597A" w:rsidRPr="0016597A" w:rsidRDefault="00BF2F03" w:rsidP="00BF2F03">
      <w:pPr>
        <w:pStyle w:val="Bullet1G"/>
        <w:numPr>
          <w:ilvl w:val="0"/>
          <w:numId w:val="0"/>
        </w:numPr>
        <w:tabs>
          <w:tab w:val="left" w:pos="1701"/>
        </w:tabs>
        <w:ind w:left="1701" w:hanging="170"/>
        <w:rPr>
          <w:lang w:val="fr-MC"/>
        </w:rPr>
      </w:pPr>
      <w:r w:rsidRPr="0016597A">
        <w:rPr>
          <w:lang w:val="fr-MC"/>
        </w:rPr>
        <w:t>•</w:t>
      </w:r>
      <w:r w:rsidRPr="0016597A">
        <w:rPr>
          <w:lang w:val="fr-MC"/>
        </w:rPr>
        <w:tab/>
      </w:r>
      <w:r w:rsidR="0016597A" w:rsidRPr="0016597A">
        <w:rPr>
          <w:lang w:val="fr-FR"/>
        </w:rPr>
        <w:t>Pour les déplacés internes, le chiffre de 159,152 est tiré de la DTM (Matrice de suivi des</w:t>
      </w:r>
      <w:r w:rsidR="0016597A">
        <w:rPr>
          <w:lang w:val="fr-FR"/>
        </w:rPr>
        <w:t xml:space="preserve"> </w:t>
      </w:r>
      <w:r w:rsidR="0016597A" w:rsidRPr="0016597A">
        <w:rPr>
          <w:lang w:val="fr-FR"/>
        </w:rPr>
        <w:t xml:space="preserve">Déplacements) de l’OIM publiée pour le mois de </w:t>
      </w:r>
      <w:r w:rsidR="00FE2712">
        <w:rPr>
          <w:lang w:val="fr-FR"/>
        </w:rPr>
        <w:t>j</w:t>
      </w:r>
      <w:r w:rsidR="0016597A" w:rsidRPr="0016597A">
        <w:rPr>
          <w:lang w:val="fr-FR"/>
        </w:rPr>
        <w:t>uin 2018 pour tout le territoire national.</w:t>
      </w:r>
    </w:p>
    <w:p w14:paraId="4280C71D" w14:textId="4509454A" w:rsidR="0016597A" w:rsidRPr="0016597A" w:rsidRDefault="00BF2F03" w:rsidP="00BF2F03">
      <w:pPr>
        <w:pStyle w:val="SingleTxtG"/>
        <w:rPr>
          <w:lang w:val="fr-MC"/>
        </w:rPr>
      </w:pPr>
      <w:r w:rsidRPr="0016597A">
        <w:rPr>
          <w:lang w:val="fr-MC"/>
        </w:rPr>
        <w:t>181.</w:t>
      </w:r>
      <w:r w:rsidRPr="0016597A">
        <w:rPr>
          <w:lang w:val="fr-MC"/>
        </w:rPr>
        <w:tab/>
      </w:r>
      <w:r w:rsidR="0016597A" w:rsidRPr="0016597A">
        <w:rPr>
          <w:lang w:val="fr-FR"/>
        </w:rPr>
        <w:t>Il y a aussi des réfugiés burundais se trouvant dans les pays limitrophes. C’est entre autres 45</w:t>
      </w:r>
      <w:r w:rsidR="00FE2712">
        <w:rPr>
          <w:lang w:val="fr-FR"/>
        </w:rPr>
        <w:t> </w:t>
      </w:r>
      <w:r w:rsidR="0016597A" w:rsidRPr="0016597A">
        <w:rPr>
          <w:lang w:val="fr-FR"/>
        </w:rPr>
        <w:t xml:space="preserve">886 </w:t>
      </w:r>
      <w:r w:rsidR="00FE2712">
        <w:rPr>
          <w:lang w:val="fr-MC"/>
        </w:rPr>
        <w:t>r</w:t>
      </w:r>
      <w:r w:rsidR="0016597A" w:rsidRPr="008A5B30">
        <w:rPr>
          <w:lang w:val="fr-MC"/>
        </w:rPr>
        <w:t>apatriés</w:t>
      </w:r>
      <w:r w:rsidR="0016597A" w:rsidRPr="0016597A">
        <w:rPr>
          <w:lang w:val="fr-FR"/>
        </w:rPr>
        <w:t xml:space="preserve"> dans le cadre du rapatriement volontaire organisé des réfugiés burundais de la Tanzanie, 77 rapatriés du camp de </w:t>
      </w:r>
      <w:proofErr w:type="spellStart"/>
      <w:r w:rsidR="0016597A" w:rsidRPr="0016597A">
        <w:rPr>
          <w:lang w:val="fr-FR"/>
        </w:rPr>
        <w:t>Lusenda</w:t>
      </w:r>
      <w:proofErr w:type="spellEnd"/>
      <w:r w:rsidR="0016597A" w:rsidRPr="0016597A">
        <w:rPr>
          <w:lang w:val="fr-FR"/>
        </w:rPr>
        <w:t xml:space="preserve"> en RDC et 191 du camp de </w:t>
      </w:r>
      <w:proofErr w:type="spellStart"/>
      <w:r w:rsidR="0016597A" w:rsidRPr="0016597A">
        <w:rPr>
          <w:lang w:val="fr-FR"/>
        </w:rPr>
        <w:t>Kakuma</w:t>
      </w:r>
      <w:proofErr w:type="spellEnd"/>
      <w:r w:rsidR="0016597A" w:rsidRPr="0016597A">
        <w:rPr>
          <w:lang w:val="fr-FR"/>
        </w:rPr>
        <w:t xml:space="preserve"> au Kenya.</w:t>
      </w:r>
    </w:p>
    <w:p w14:paraId="61636DF0" w14:textId="497267EA" w:rsidR="0016597A" w:rsidRPr="0016597A" w:rsidRDefault="00BF2F03" w:rsidP="00BF2F03">
      <w:pPr>
        <w:pStyle w:val="SingleTxtG"/>
        <w:rPr>
          <w:lang w:val="fr-MC"/>
        </w:rPr>
      </w:pPr>
      <w:r w:rsidRPr="0016597A">
        <w:rPr>
          <w:lang w:val="fr-MC"/>
        </w:rPr>
        <w:lastRenderedPageBreak/>
        <w:t>182.</w:t>
      </w:r>
      <w:r w:rsidRPr="0016597A">
        <w:rPr>
          <w:lang w:val="fr-MC"/>
        </w:rPr>
        <w:tab/>
      </w:r>
      <w:r w:rsidR="0016597A" w:rsidRPr="0016597A">
        <w:rPr>
          <w:lang w:val="fr-FR"/>
        </w:rPr>
        <w:t>Signalons que</w:t>
      </w:r>
      <w:r w:rsidR="0016597A" w:rsidRPr="0016597A">
        <w:rPr>
          <w:color w:val="FF0000"/>
          <w:lang w:val="fr-FR"/>
        </w:rPr>
        <w:t xml:space="preserve"> </w:t>
      </w:r>
      <w:r w:rsidR="0016597A" w:rsidRPr="0016597A">
        <w:rPr>
          <w:lang w:val="fr-FR"/>
        </w:rPr>
        <w:t>l’Assemble Nationale du Burundi a également analysé et adopté, au mois de</w:t>
      </w:r>
      <w:r w:rsidR="0016597A" w:rsidRPr="0016597A">
        <w:rPr>
          <w:color w:val="FF0000"/>
          <w:lang w:val="fr-FR"/>
        </w:rPr>
        <w:t xml:space="preserve"> </w:t>
      </w:r>
      <w:r w:rsidR="0016597A" w:rsidRPr="008A5B30">
        <w:rPr>
          <w:lang w:val="fr-MC"/>
        </w:rPr>
        <w:t>septembre</w:t>
      </w:r>
      <w:r w:rsidR="0016597A" w:rsidRPr="0016597A">
        <w:rPr>
          <w:lang w:val="fr-FR"/>
        </w:rPr>
        <w:t xml:space="preserve"> 2018,</w:t>
      </w:r>
      <w:r w:rsidR="00BC23B3">
        <w:rPr>
          <w:lang w:val="fr-FR"/>
        </w:rPr>
        <w:t xml:space="preserve"> </w:t>
      </w:r>
      <w:r w:rsidR="0016597A" w:rsidRPr="0016597A">
        <w:rPr>
          <w:lang w:val="fr-FR"/>
        </w:rPr>
        <w:t>deux projets de loi, l’un portant adhésion du Burundi à la Convention de 1954 relative au statut des apatrides et l’autre portant adhésion à la Convention de 1961 relative à la réduction des cas d’apatridie.</w:t>
      </w:r>
    </w:p>
    <w:p w14:paraId="3E7D7830" w14:textId="0AFDDD7F" w:rsidR="0016597A" w:rsidRPr="0016597A" w:rsidRDefault="00BD1593" w:rsidP="00BD1593">
      <w:pPr>
        <w:pStyle w:val="H23G"/>
        <w:rPr>
          <w:lang w:val="fr-MC"/>
        </w:rPr>
      </w:pPr>
      <w:bookmarkStart w:id="43" w:name="_Toc529970225"/>
      <w:r>
        <w:rPr>
          <w:lang w:val="fr-MC"/>
        </w:rPr>
        <w:tab/>
        <w:t>11.</w:t>
      </w:r>
      <w:r>
        <w:rPr>
          <w:lang w:val="fr-MC"/>
        </w:rPr>
        <w:tab/>
      </w:r>
      <w:r w:rsidR="0016597A" w:rsidRPr="0016597A">
        <w:rPr>
          <w:lang w:val="fr-MC"/>
        </w:rPr>
        <w:t>Compétence universelle</w:t>
      </w:r>
      <w:bookmarkEnd w:id="43"/>
    </w:p>
    <w:p w14:paraId="6E78A7C5" w14:textId="3830F6A2" w:rsidR="0016597A" w:rsidRPr="0016597A" w:rsidRDefault="00BF2F03" w:rsidP="00BF2F03">
      <w:pPr>
        <w:pStyle w:val="SingleTxtG"/>
        <w:rPr>
          <w:lang w:val="fr-MC"/>
        </w:rPr>
      </w:pPr>
      <w:r w:rsidRPr="0016597A">
        <w:rPr>
          <w:lang w:val="fr-MC"/>
        </w:rPr>
        <w:t>183.</w:t>
      </w:r>
      <w:r w:rsidRPr="0016597A">
        <w:rPr>
          <w:lang w:val="fr-MC"/>
        </w:rPr>
        <w:tab/>
      </w:r>
      <w:r w:rsidR="0016597A" w:rsidRPr="0016597A">
        <w:rPr>
          <w:lang w:val="fr-MC"/>
        </w:rPr>
        <w:t xml:space="preserve">Aux termes de l’article 10 du Code pénal du Burundi, tout délit ou crime commis hors du territoire national par un </w:t>
      </w:r>
      <w:r w:rsidR="00803DC8" w:rsidRPr="0016597A">
        <w:rPr>
          <w:lang w:val="fr-MC"/>
        </w:rPr>
        <w:t>Burundais</w:t>
      </w:r>
      <w:r w:rsidR="0016597A" w:rsidRPr="0016597A">
        <w:rPr>
          <w:lang w:val="fr-MC"/>
        </w:rPr>
        <w:t xml:space="preserve"> ou étranger est, sous réserve des conventions sur l’extradition, puni par la loi pénale</w:t>
      </w:r>
      <w:r w:rsidR="0016597A">
        <w:rPr>
          <w:lang w:val="fr-MC"/>
        </w:rPr>
        <w:t xml:space="preserve"> </w:t>
      </w:r>
      <w:r w:rsidR="0016597A" w:rsidRPr="0016597A">
        <w:rPr>
          <w:lang w:val="fr-MC"/>
        </w:rPr>
        <w:t xml:space="preserve">du Burundi, si l’auteur se trouve au Burundi ou la victime a la nationalité burundaise et que le fait est puni par la législation du pays où l’infraction a été commise. </w:t>
      </w:r>
    </w:p>
    <w:p w14:paraId="25C924B5" w14:textId="58BE207D" w:rsidR="0016597A" w:rsidRPr="0016597A" w:rsidRDefault="00BD1593" w:rsidP="00BD1593">
      <w:pPr>
        <w:pStyle w:val="H23G"/>
        <w:rPr>
          <w:lang w:val="fr-MC"/>
        </w:rPr>
      </w:pPr>
      <w:bookmarkStart w:id="44" w:name="_Toc529970226"/>
      <w:r>
        <w:rPr>
          <w:lang w:val="fr-MC"/>
        </w:rPr>
        <w:tab/>
      </w:r>
      <w:r w:rsidR="0016597A" w:rsidRPr="0016597A">
        <w:rPr>
          <w:lang w:val="fr-MC"/>
        </w:rPr>
        <w:t xml:space="preserve">12. </w:t>
      </w:r>
      <w:r>
        <w:rPr>
          <w:lang w:val="fr-MC"/>
        </w:rPr>
        <w:tab/>
      </w:r>
      <w:r w:rsidR="0016597A" w:rsidRPr="0016597A">
        <w:rPr>
          <w:lang w:val="fr-MC"/>
        </w:rPr>
        <w:t>Réparation et réhabilitation des victimes de torture</w:t>
      </w:r>
      <w:bookmarkEnd w:id="44"/>
    </w:p>
    <w:p w14:paraId="3091FC36" w14:textId="66E3473E" w:rsidR="0016597A" w:rsidRPr="0016597A" w:rsidRDefault="00BF2F03" w:rsidP="00BF2F03">
      <w:pPr>
        <w:pStyle w:val="SingleTxtG"/>
        <w:rPr>
          <w:rFonts w:eastAsia="Calibri"/>
          <w:lang w:val="fr-MC"/>
        </w:rPr>
      </w:pPr>
      <w:r w:rsidRPr="0016597A">
        <w:rPr>
          <w:rFonts w:eastAsia="Calibri"/>
          <w:lang w:val="fr-MC"/>
        </w:rPr>
        <w:t>184.</w:t>
      </w:r>
      <w:r w:rsidRPr="0016597A">
        <w:rPr>
          <w:rFonts w:eastAsia="Calibri"/>
          <w:lang w:val="fr-MC"/>
        </w:rPr>
        <w:tab/>
      </w:r>
      <w:r w:rsidR="0016597A" w:rsidRPr="0016597A">
        <w:rPr>
          <w:lang w:val="fr-MC"/>
        </w:rPr>
        <w:t>Concernant la réparation due aux victimes, le Code de procédure pénale du 11 mai 2018 met à charge de l’Etat la réparation intégrale du préjudice résultant de la torture</w:t>
      </w:r>
      <w:r w:rsidR="0016597A" w:rsidRPr="0016597A">
        <w:rPr>
          <w:rFonts w:eastAsia="Calibri"/>
          <w:lang w:val="fr-MC"/>
        </w:rPr>
        <w:t xml:space="preserve"> commise par un préposé de l’Etat dans l’exercice de ses fonctions</w:t>
      </w:r>
      <w:r w:rsidR="0016597A" w:rsidRPr="00B345A8">
        <w:rPr>
          <w:rStyle w:val="Appelnotedebasdep"/>
        </w:rPr>
        <w:footnoteReference w:id="51"/>
      </w:r>
      <w:r w:rsidR="0016597A" w:rsidRPr="0016597A">
        <w:rPr>
          <w:rFonts w:eastAsia="Calibri"/>
          <w:lang w:val="fr-MC"/>
        </w:rPr>
        <w:t>.</w:t>
      </w:r>
      <w:r w:rsidR="0016597A">
        <w:rPr>
          <w:rFonts w:eastAsia="Calibri"/>
          <w:lang w:val="fr-MC"/>
        </w:rPr>
        <w:t xml:space="preserve"> </w:t>
      </w:r>
    </w:p>
    <w:p w14:paraId="6B856FE4" w14:textId="08EF7EE2" w:rsidR="0016597A" w:rsidRPr="0016597A" w:rsidRDefault="00BF2F03" w:rsidP="00BF2F03">
      <w:pPr>
        <w:pStyle w:val="SingleTxtG"/>
        <w:rPr>
          <w:lang w:val="fr-MC"/>
        </w:rPr>
      </w:pPr>
      <w:r w:rsidRPr="0016597A">
        <w:rPr>
          <w:lang w:val="fr-MC"/>
        </w:rPr>
        <w:t>185.</w:t>
      </w:r>
      <w:r w:rsidRPr="0016597A">
        <w:rPr>
          <w:lang w:val="fr-MC"/>
        </w:rPr>
        <w:tab/>
      </w:r>
      <w:r w:rsidR="0016597A" w:rsidRPr="0016597A">
        <w:rPr>
          <w:lang w:val="fr-MC"/>
        </w:rPr>
        <w:t>Lorsque l’Etat indemnise la victime de la torture, il a la faculté d’exercer une action récursoire contre l’agent tortionnaire, ses auteurs et ses complices (art</w:t>
      </w:r>
      <w:r w:rsidR="00FE2712">
        <w:rPr>
          <w:lang w:val="fr-MC"/>
        </w:rPr>
        <w:t xml:space="preserve">icle </w:t>
      </w:r>
      <w:r w:rsidR="0016597A" w:rsidRPr="0016597A">
        <w:rPr>
          <w:lang w:val="fr-MC"/>
        </w:rPr>
        <w:t xml:space="preserve">350). </w:t>
      </w:r>
    </w:p>
    <w:p w14:paraId="79227A95" w14:textId="254FFED2" w:rsidR="0016597A" w:rsidRPr="0016597A" w:rsidRDefault="00BF2F03" w:rsidP="00BF2F03">
      <w:pPr>
        <w:pStyle w:val="SingleTxtG"/>
        <w:rPr>
          <w:lang w:val="fr-MC"/>
        </w:rPr>
      </w:pPr>
      <w:r w:rsidRPr="0016597A">
        <w:rPr>
          <w:lang w:val="fr-MC"/>
        </w:rPr>
        <w:t>186.</w:t>
      </w:r>
      <w:r w:rsidRPr="0016597A">
        <w:rPr>
          <w:lang w:val="fr-MC"/>
        </w:rPr>
        <w:tab/>
      </w:r>
      <w:r w:rsidR="0016597A" w:rsidRPr="0016597A">
        <w:rPr>
          <w:lang w:val="fr-MC"/>
        </w:rPr>
        <w:t>La même loi étend le droit de constitution de partie civile à toute association régulièrement agréée ayant pour objet la lutte contre les violences sexuelles ou toute autre atteinte volontaire à la vie et à l’intégrité de la personne (sous-entendu la torture).</w:t>
      </w:r>
    </w:p>
    <w:p w14:paraId="3AC5909A" w14:textId="596F7E60" w:rsidR="0016597A" w:rsidRPr="0016597A" w:rsidRDefault="00BF2F03" w:rsidP="00BF2F03">
      <w:pPr>
        <w:pStyle w:val="SingleTxtG"/>
        <w:rPr>
          <w:lang w:val="fr-MC"/>
        </w:rPr>
      </w:pPr>
      <w:r w:rsidRPr="0016597A">
        <w:rPr>
          <w:lang w:val="fr-MC"/>
        </w:rPr>
        <w:t>187.</w:t>
      </w:r>
      <w:r w:rsidRPr="0016597A">
        <w:rPr>
          <w:lang w:val="fr-MC"/>
        </w:rPr>
        <w:tab/>
      </w:r>
      <w:r w:rsidR="0016597A" w:rsidRPr="0016597A">
        <w:rPr>
          <w:lang w:val="fr-MC"/>
        </w:rPr>
        <w:t>Notons à</w:t>
      </w:r>
      <w:r w:rsidR="0016597A" w:rsidRPr="0016597A">
        <w:rPr>
          <w:color w:val="FF0000"/>
          <w:lang w:val="fr-MC"/>
        </w:rPr>
        <w:t xml:space="preserve"> </w:t>
      </w:r>
      <w:r w:rsidR="0016597A" w:rsidRPr="0016597A">
        <w:rPr>
          <w:lang w:val="fr-MC"/>
        </w:rPr>
        <w:t xml:space="preserve">toutes fins utiles, que l’action récursoire en faveur de l’Etat est aujourd’hui régie par la loi </w:t>
      </w:r>
      <w:r w:rsidR="00FE2712" w:rsidRPr="0016597A">
        <w:rPr>
          <w:lang w:val="fr-MC"/>
        </w:rPr>
        <w:t>n</w:t>
      </w:r>
      <w:r w:rsidR="00FE2712" w:rsidRPr="008A395C">
        <w:rPr>
          <w:vertAlign w:val="superscript"/>
          <w:lang w:val="fr-MC"/>
        </w:rPr>
        <w:t>o</w:t>
      </w:r>
      <w:r w:rsidR="00FE2712">
        <w:rPr>
          <w:lang w:val="fr-MC"/>
        </w:rPr>
        <w:t> </w:t>
      </w:r>
      <w:r w:rsidR="0016597A" w:rsidRPr="0016597A">
        <w:rPr>
          <w:lang w:val="fr-MC"/>
        </w:rPr>
        <w:t xml:space="preserve">1/22 du 25/7/2014 portant réglementation de l’action récursoire et directe de l’Etat et des communes contre leurs mandataires et leurs préposés. </w:t>
      </w:r>
    </w:p>
    <w:p w14:paraId="48494221" w14:textId="073EAA11" w:rsidR="0016597A" w:rsidRPr="0016597A" w:rsidRDefault="00BD1593" w:rsidP="00BD1593">
      <w:pPr>
        <w:pStyle w:val="H23G"/>
        <w:rPr>
          <w:lang w:val="fr-MC"/>
        </w:rPr>
      </w:pPr>
      <w:bookmarkStart w:id="45" w:name="_Toc529970227"/>
      <w:r>
        <w:rPr>
          <w:lang w:val="fr-MC"/>
        </w:rPr>
        <w:tab/>
      </w:r>
      <w:r w:rsidR="0016597A" w:rsidRPr="0016597A">
        <w:rPr>
          <w:lang w:val="fr-MC"/>
        </w:rPr>
        <w:t xml:space="preserve">13. </w:t>
      </w:r>
      <w:r>
        <w:rPr>
          <w:lang w:val="fr-MC"/>
        </w:rPr>
        <w:tab/>
      </w:r>
      <w:r w:rsidR="0016597A" w:rsidRPr="0016597A">
        <w:rPr>
          <w:lang w:val="fr-MC"/>
        </w:rPr>
        <w:t>Mécanisme de surveillance des lieux de privation de liberté</w:t>
      </w:r>
      <w:bookmarkEnd w:id="45"/>
    </w:p>
    <w:p w14:paraId="3D7AD231" w14:textId="1D681A70" w:rsidR="0016597A" w:rsidRPr="0016597A" w:rsidRDefault="00BF2F03" w:rsidP="00BF2F03">
      <w:pPr>
        <w:pStyle w:val="SingleTxtG"/>
        <w:rPr>
          <w:lang w:val="fr-MC" w:eastAsia="fr-MC"/>
        </w:rPr>
      </w:pPr>
      <w:r w:rsidRPr="0016597A">
        <w:rPr>
          <w:lang w:val="fr-MC" w:eastAsia="fr-MC"/>
        </w:rPr>
        <w:t>188.</w:t>
      </w:r>
      <w:r w:rsidRPr="0016597A">
        <w:rPr>
          <w:lang w:val="fr-MC" w:eastAsia="fr-MC"/>
        </w:rPr>
        <w:tab/>
      </w:r>
      <w:r w:rsidR="0016597A" w:rsidRPr="0016597A">
        <w:rPr>
          <w:lang w:val="fr-MC" w:eastAsia="fr-MC"/>
        </w:rPr>
        <w:t xml:space="preserve">Le </w:t>
      </w:r>
      <w:r w:rsidR="0016597A" w:rsidRPr="0016597A">
        <w:rPr>
          <w:lang w:val="fr-MC"/>
        </w:rPr>
        <w:t>Gouvernement</w:t>
      </w:r>
      <w:r w:rsidR="0016597A" w:rsidRPr="0016597A">
        <w:rPr>
          <w:lang w:val="fr-MC" w:eastAsia="fr-MC"/>
        </w:rPr>
        <w:t xml:space="preserve"> du Burundi a ratifié</w:t>
      </w:r>
      <w:r w:rsidR="0016597A" w:rsidRPr="0016597A">
        <w:rPr>
          <w:color w:val="FF0000"/>
          <w:lang w:val="fr-MC" w:eastAsia="fr-MC"/>
        </w:rPr>
        <w:t xml:space="preserve">, </w:t>
      </w:r>
      <w:r w:rsidR="0016597A" w:rsidRPr="0016597A">
        <w:rPr>
          <w:lang w:val="fr-MC" w:eastAsia="fr-MC"/>
        </w:rPr>
        <w:t>en</w:t>
      </w:r>
      <w:r w:rsidR="0016597A">
        <w:rPr>
          <w:lang w:val="fr-MC" w:eastAsia="fr-MC"/>
        </w:rPr>
        <w:t xml:space="preserve"> </w:t>
      </w:r>
      <w:r w:rsidR="0016597A" w:rsidRPr="0016597A">
        <w:rPr>
          <w:lang w:val="fr-MC" w:eastAsia="fr-MC"/>
        </w:rPr>
        <w:t>septembre</w:t>
      </w:r>
      <w:r w:rsidR="0016597A" w:rsidRPr="0016597A">
        <w:rPr>
          <w:color w:val="FF0000"/>
          <w:lang w:val="fr-MC" w:eastAsia="fr-MC"/>
        </w:rPr>
        <w:t xml:space="preserve"> </w:t>
      </w:r>
      <w:r w:rsidR="0016597A" w:rsidRPr="0016597A">
        <w:rPr>
          <w:lang w:val="fr-MC" w:eastAsia="fr-MC"/>
        </w:rPr>
        <w:t xml:space="preserve">2013, le Protocole </w:t>
      </w:r>
      <w:r w:rsidR="00F428E3">
        <w:rPr>
          <w:lang w:val="fr-MC" w:eastAsia="fr-MC"/>
        </w:rPr>
        <w:t>f</w:t>
      </w:r>
      <w:r w:rsidR="0016597A" w:rsidRPr="0016597A">
        <w:rPr>
          <w:lang w:val="fr-MC" w:eastAsia="fr-MC"/>
        </w:rPr>
        <w:t>acultatif à la</w:t>
      </w:r>
      <w:r w:rsidR="0016597A" w:rsidRPr="0016597A">
        <w:rPr>
          <w:color w:val="FF0000"/>
          <w:lang w:val="fr-MC" w:eastAsia="fr-MC"/>
        </w:rPr>
        <w:t xml:space="preserve"> </w:t>
      </w:r>
      <w:r w:rsidR="0016597A" w:rsidRPr="0016597A">
        <w:rPr>
          <w:lang w:val="fr-MC" w:eastAsia="fr-MC"/>
        </w:rPr>
        <w:t>Convention contre la torture et autres peines ou traitements c</w:t>
      </w:r>
      <w:r w:rsidR="00BD1593">
        <w:rPr>
          <w:lang w:val="fr-MC" w:eastAsia="fr-MC"/>
        </w:rPr>
        <w:t>ruels, inhumains ou dégradants.</w:t>
      </w:r>
      <w:r w:rsidR="0016597A" w:rsidRPr="0016597A">
        <w:rPr>
          <w:lang w:val="fr-MC" w:eastAsia="fr-MC"/>
        </w:rPr>
        <w:t xml:space="preserve"> </w:t>
      </w:r>
    </w:p>
    <w:p w14:paraId="2BDE725A" w14:textId="61EC1012" w:rsidR="0016597A" w:rsidRPr="0016597A" w:rsidRDefault="00BF2F03" w:rsidP="00BF2F03">
      <w:pPr>
        <w:pStyle w:val="SingleTxtG"/>
        <w:rPr>
          <w:lang w:val="fr-MC" w:eastAsia="fr-MC"/>
        </w:rPr>
      </w:pPr>
      <w:r w:rsidRPr="0016597A">
        <w:rPr>
          <w:lang w:val="fr-MC" w:eastAsia="fr-MC"/>
        </w:rPr>
        <w:t>189.</w:t>
      </w:r>
      <w:r w:rsidRPr="0016597A">
        <w:rPr>
          <w:lang w:val="fr-MC" w:eastAsia="fr-MC"/>
        </w:rPr>
        <w:tab/>
      </w:r>
      <w:r w:rsidR="0016597A" w:rsidRPr="0016597A">
        <w:rPr>
          <w:lang w:val="fr-MC"/>
        </w:rPr>
        <w:t>Cependant</w:t>
      </w:r>
      <w:r w:rsidR="0016597A" w:rsidRPr="0016597A">
        <w:rPr>
          <w:lang w:val="fr-MC" w:eastAsia="fr-MC"/>
        </w:rPr>
        <w:t>, il n’a pas encore mis sur pied le Mécanisme National de Prévention de la Torture comme cela</w:t>
      </w:r>
      <w:r w:rsidR="0016597A" w:rsidRPr="0016597A">
        <w:rPr>
          <w:color w:val="FF0000"/>
          <w:lang w:val="fr-MC" w:eastAsia="fr-MC"/>
        </w:rPr>
        <w:t xml:space="preserve"> </w:t>
      </w:r>
      <w:r w:rsidR="0016597A" w:rsidRPr="0016597A">
        <w:rPr>
          <w:lang w:val="fr-MC" w:eastAsia="fr-MC"/>
        </w:rPr>
        <w:t>découle de la ratification du protocole.</w:t>
      </w:r>
    </w:p>
    <w:p w14:paraId="0FD5A44A" w14:textId="59F688D4" w:rsidR="0016597A" w:rsidRPr="0016597A" w:rsidRDefault="00BF2F03" w:rsidP="00BF2F03">
      <w:pPr>
        <w:pStyle w:val="SingleTxtG"/>
        <w:rPr>
          <w:rFonts w:eastAsia="Times New Roman"/>
          <w:lang w:val="fr-MC" w:eastAsia="fr-MC"/>
        </w:rPr>
      </w:pPr>
      <w:r w:rsidRPr="0016597A">
        <w:rPr>
          <w:rFonts w:eastAsia="Times New Roman"/>
          <w:lang w:val="fr-MC" w:eastAsia="fr-MC"/>
        </w:rPr>
        <w:t>190.</w:t>
      </w:r>
      <w:r w:rsidRPr="0016597A">
        <w:rPr>
          <w:rFonts w:eastAsia="Times New Roman"/>
          <w:lang w:val="fr-MC" w:eastAsia="fr-MC"/>
        </w:rPr>
        <w:tab/>
      </w:r>
      <w:r w:rsidR="0016597A" w:rsidRPr="0016597A">
        <w:rPr>
          <w:lang w:val="fr-MC"/>
        </w:rPr>
        <w:t xml:space="preserve">S’agissant du mécanisme indépendant chargé d’enquêter sur les plaintes pour les faits de torture et de mauvais traitement, le Burundi estime que les organes en charge d’enquête et de poursuite des infractions mis en place depuis les postes de police au niveau de chaque commune et des parquets au niveau de chaque province sont suffisants. </w:t>
      </w:r>
    </w:p>
    <w:p w14:paraId="120C6A33" w14:textId="231439B5" w:rsidR="0016597A" w:rsidRPr="0016597A" w:rsidRDefault="00BF2F03" w:rsidP="00BF2F03">
      <w:pPr>
        <w:pStyle w:val="SingleTxtG"/>
        <w:rPr>
          <w:rFonts w:eastAsia="Times New Roman"/>
          <w:lang w:val="fr-MC" w:eastAsia="fr-MC"/>
        </w:rPr>
      </w:pPr>
      <w:r w:rsidRPr="0016597A">
        <w:rPr>
          <w:rFonts w:eastAsia="Times New Roman"/>
          <w:lang w:val="fr-MC" w:eastAsia="fr-MC"/>
        </w:rPr>
        <w:t>191.</w:t>
      </w:r>
      <w:r w:rsidRPr="0016597A">
        <w:rPr>
          <w:rFonts w:eastAsia="Times New Roman"/>
          <w:lang w:val="fr-MC" w:eastAsia="fr-MC"/>
        </w:rPr>
        <w:tab/>
      </w:r>
      <w:r w:rsidR="0016597A" w:rsidRPr="0016597A">
        <w:rPr>
          <w:lang w:val="fr-MC"/>
        </w:rPr>
        <w:t xml:space="preserve">Il importe de signaler aussi qu’à chaque fois que de besoin, le Procureur Général de la République peut mettre en place des commissions ad-hoc pour enquêter sur les violations alléguées. C’est notamment le cas de la mise en place de la Commission d’enquête sur le mouvement insurrectionnel déclenché le 26 avril 2015, la Commission d’enquête sur les allégations d’exécutions extrajudiciaires lors des combats qui ont suivi l’attaque de quatre camps militaires du 11 décembre 2015, la Commission d’enquête sur les massacres de RUHAGARIKA en commune BUGANDA de la Province de </w:t>
      </w:r>
      <w:proofErr w:type="spellStart"/>
      <w:r w:rsidR="0016597A" w:rsidRPr="0016597A">
        <w:rPr>
          <w:lang w:val="fr-MC"/>
        </w:rPr>
        <w:t>Cibitoke</w:t>
      </w:r>
      <w:proofErr w:type="spellEnd"/>
      <w:r w:rsidR="0016597A" w:rsidRPr="0016597A">
        <w:rPr>
          <w:lang w:val="fr-MC"/>
        </w:rPr>
        <w:t xml:space="preserve"> du 14 mai 2018, etc.</w:t>
      </w:r>
    </w:p>
    <w:p w14:paraId="0152ECAA" w14:textId="755265E8" w:rsidR="0016597A" w:rsidRPr="0016597A" w:rsidRDefault="00BD1593" w:rsidP="00BD1593">
      <w:pPr>
        <w:pStyle w:val="H23G"/>
        <w:rPr>
          <w:lang w:val="fr-MC"/>
        </w:rPr>
      </w:pPr>
      <w:bookmarkStart w:id="46" w:name="_Toc529970228"/>
      <w:r>
        <w:rPr>
          <w:lang w:val="fr-MC"/>
        </w:rPr>
        <w:tab/>
        <w:t>14.</w:t>
      </w:r>
      <w:r>
        <w:rPr>
          <w:lang w:val="fr-MC"/>
        </w:rPr>
        <w:tab/>
      </w:r>
      <w:r w:rsidR="0016597A" w:rsidRPr="0016597A">
        <w:rPr>
          <w:lang w:val="fr-MC"/>
        </w:rPr>
        <w:t>Commission Nationale Indépendante des Droits de l’Homme</w:t>
      </w:r>
      <w:bookmarkEnd w:id="46"/>
    </w:p>
    <w:p w14:paraId="654DE9D5" w14:textId="0738A4BA" w:rsidR="0016597A" w:rsidRPr="0016597A" w:rsidRDefault="00BF2F03" w:rsidP="00BF2F03">
      <w:pPr>
        <w:pStyle w:val="SingleTxtG"/>
        <w:rPr>
          <w:lang w:val="fr-MC" w:eastAsia="fr-MC"/>
        </w:rPr>
      </w:pPr>
      <w:r w:rsidRPr="0016597A">
        <w:rPr>
          <w:lang w:val="fr-MC" w:eastAsia="fr-MC"/>
        </w:rPr>
        <w:t>192.</w:t>
      </w:r>
      <w:r w:rsidRPr="0016597A">
        <w:rPr>
          <w:lang w:val="fr-MC" w:eastAsia="fr-MC"/>
        </w:rPr>
        <w:tab/>
      </w:r>
      <w:r w:rsidR="0016597A" w:rsidRPr="0016597A">
        <w:rPr>
          <w:lang w:val="fr-MC" w:eastAsia="fr-MC"/>
        </w:rPr>
        <w:t xml:space="preserve">L’indépendance de la Commission Nationale Indépendante des Droits de l’Homme du </w:t>
      </w:r>
      <w:r w:rsidR="0016597A" w:rsidRPr="0016597A">
        <w:rPr>
          <w:lang w:val="fr-MC"/>
        </w:rPr>
        <w:t>Burundi</w:t>
      </w:r>
      <w:r w:rsidR="0016597A" w:rsidRPr="0016597A">
        <w:rPr>
          <w:lang w:val="fr-MC" w:eastAsia="fr-MC"/>
        </w:rPr>
        <w:t xml:space="preserve"> est consacrée dans plusieurs dispositions de la loi </w:t>
      </w:r>
      <w:r w:rsidR="00FE2712" w:rsidRPr="0016597A">
        <w:rPr>
          <w:lang w:val="fr-MC"/>
        </w:rPr>
        <w:t>n</w:t>
      </w:r>
      <w:r w:rsidR="00FE2712" w:rsidRPr="008A395C">
        <w:rPr>
          <w:vertAlign w:val="superscript"/>
          <w:lang w:val="fr-MC"/>
        </w:rPr>
        <w:t>o</w:t>
      </w:r>
      <w:r w:rsidR="00FE2712">
        <w:rPr>
          <w:lang w:val="fr-MC"/>
        </w:rPr>
        <w:t> </w:t>
      </w:r>
      <w:r w:rsidR="0016597A" w:rsidRPr="0016597A">
        <w:rPr>
          <w:lang w:val="fr-MC" w:eastAsia="fr-MC"/>
        </w:rPr>
        <w:t xml:space="preserve">1/04 du 5 janvier 2011 portant création de la Commission Nationale Indépendante des Droits de l’Homme. Dans son fonctionnement, la Commission n’est soumise qu’à la loi. </w:t>
      </w:r>
    </w:p>
    <w:p w14:paraId="7910736F" w14:textId="1757327D" w:rsidR="0016597A" w:rsidRPr="0016597A" w:rsidRDefault="00BF2F03" w:rsidP="00BF2F03">
      <w:pPr>
        <w:pStyle w:val="SingleTxtG"/>
        <w:rPr>
          <w:lang w:val="fr-MC" w:eastAsia="fr-MC"/>
        </w:rPr>
      </w:pPr>
      <w:r w:rsidRPr="0016597A">
        <w:rPr>
          <w:lang w:val="fr-MC" w:eastAsia="fr-MC"/>
        </w:rPr>
        <w:t>193.</w:t>
      </w:r>
      <w:r w:rsidRPr="0016597A">
        <w:rPr>
          <w:lang w:val="fr-MC" w:eastAsia="fr-MC"/>
        </w:rPr>
        <w:tab/>
      </w:r>
      <w:r w:rsidR="0016597A" w:rsidRPr="0016597A">
        <w:rPr>
          <w:lang w:val="fr-MC" w:eastAsia="fr-MC"/>
        </w:rPr>
        <w:t>En vue de préserver son indépendance et sa crédibilité, aucun organe étatique ne peut lui donner des injonctions dans l’accomplissement de ses missions. Tous les services de l’État lui accordent l’assistance et le soutien dont elle a besoin.</w:t>
      </w:r>
    </w:p>
    <w:p w14:paraId="07295394" w14:textId="36709028" w:rsidR="0016597A" w:rsidRPr="0016597A" w:rsidRDefault="00BF2F03" w:rsidP="00BF2F03">
      <w:pPr>
        <w:pStyle w:val="SingleTxtG"/>
        <w:rPr>
          <w:lang w:val="fr-MC" w:eastAsia="fr-MC"/>
        </w:rPr>
      </w:pPr>
      <w:r w:rsidRPr="0016597A">
        <w:rPr>
          <w:lang w:val="fr-MC" w:eastAsia="fr-MC"/>
        </w:rPr>
        <w:lastRenderedPageBreak/>
        <w:t>194.</w:t>
      </w:r>
      <w:r w:rsidRPr="0016597A">
        <w:rPr>
          <w:lang w:val="fr-MC" w:eastAsia="fr-MC"/>
        </w:rPr>
        <w:tab/>
      </w:r>
      <w:r w:rsidR="0016597A" w:rsidRPr="0016597A">
        <w:rPr>
          <w:lang w:val="fr-MC" w:eastAsia="fr-MC"/>
        </w:rPr>
        <w:t>Cette Commission est composée de personnalités reconnues pour leur probité, leur intégrité, leur sens élevé de responsabilité et d’écoute, leur attachement à la cause des droits de l’homme, leur dynamisme, leur esprit d’indépendance et d’impartial</w:t>
      </w:r>
      <w:r w:rsidR="00A6762E">
        <w:rPr>
          <w:lang w:val="fr-MC" w:eastAsia="fr-MC"/>
        </w:rPr>
        <w:t>ité dans la prise des décisions.</w:t>
      </w:r>
      <w:r w:rsidR="0016597A" w:rsidRPr="0016597A">
        <w:rPr>
          <w:lang w:val="fr-MC" w:eastAsia="fr-MC"/>
        </w:rPr>
        <w:t xml:space="preserve"> Ainsi, </w:t>
      </w:r>
      <w:r w:rsidR="0016597A" w:rsidRPr="0016597A">
        <w:rPr>
          <w:lang w:val="fr-MC" w:eastAsia="fr-FR"/>
        </w:rPr>
        <w:t xml:space="preserve">Durant l’année 2015, la Commission Nationale Indépendante des Droits de l’Homme (CNIDH) a enregistré au total 27 cas d’allégations de torture et d’autres traitements cruels, inhumains ou dégradants. </w:t>
      </w:r>
    </w:p>
    <w:p w14:paraId="5777F7C2" w14:textId="4EFC0C4C" w:rsidR="0016597A" w:rsidRPr="0016597A" w:rsidRDefault="00BF2F03" w:rsidP="00BF2F03">
      <w:pPr>
        <w:pStyle w:val="SingleTxtG"/>
        <w:rPr>
          <w:lang w:val="fr-MC" w:eastAsia="fr-MC"/>
        </w:rPr>
      </w:pPr>
      <w:r w:rsidRPr="0016597A">
        <w:rPr>
          <w:lang w:val="fr-MC" w:eastAsia="fr-MC"/>
        </w:rPr>
        <w:t>195.</w:t>
      </w:r>
      <w:r w:rsidRPr="0016597A">
        <w:rPr>
          <w:lang w:val="fr-MC" w:eastAsia="fr-MC"/>
        </w:rPr>
        <w:tab/>
      </w:r>
      <w:r w:rsidR="0016597A" w:rsidRPr="0016597A">
        <w:rPr>
          <w:lang w:val="fr-MC" w:eastAsia="fr-FR"/>
        </w:rPr>
        <w:t xml:space="preserve">Il ressort des investigations menées par la CNIDH que ces actes se commettent généralement dans le cadre des opérations d’arrestation ou pendant la procédure de garde à vue. </w:t>
      </w:r>
    </w:p>
    <w:p w14:paraId="3068A0A6" w14:textId="4E3A7BE0" w:rsidR="0016597A" w:rsidRPr="0016597A" w:rsidRDefault="00BD1593" w:rsidP="00BD1593">
      <w:pPr>
        <w:pStyle w:val="H23G"/>
        <w:rPr>
          <w:lang w:val="fr-MC"/>
        </w:rPr>
      </w:pPr>
      <w:bookmarkStart w:id="47" w:name="_Toc529970229"/>
      <w:r>
        <w:rPr>
          <w:lang w:val="fr-MC"/>
        </w:rPr>
        <w:tab/>
      </w:r>
      <w:r w:rsidR="0016597A" w:rsidRPr="0016597A">
        <w:rPr>
          <w:lang w:val="fr-MC"/>
        </w:rPr>
        <w:t xml:space="preserve">15. </w:t>
      </w:r>
      <w:r>
        <w:rPr>
          <w:lang w:val="fr-MC"/>
        </w:rPr>
        <w:tab/>
      </w:r>
      <w:r w:rsidR="0016597A" w:rsidRPr="0016597A">
        <w:rPr>
          <w:lang w:val="fr-MC"/>
        </w:rPr>
        <w:t>Justice transitionnelle</w:t>
      </w:r>
      <w:bookmarkEnd w:id="47"/>
    </w:p>
    <w:p w14:paraId="38E7CB9C" w14:textId="3BDF840C" w:rsidR="0016597A" w:rsidRPr="0016597A" w:rsidRDefault="00BF2F03" w:rsidP="00BF2F03">
      <w:pPr>
        <w:pStyle w:val="SingleTxtG"/>
        <w:rPr>
          <w:rFonts w:eastAsia="Times New Roman"/>
          <w:lang w:val="fr-MC" w:eastAsia="fr-MC"/>
        </w:rPr>
      </w:pPr>
      <w:r w:rsidRPr="0016597A">
        <w:rPr>
          <w:rFonts w:eastAsia="Times New Roman"/>
          <w:lang w:val="fr-MC" w:eastAsia="fr-MC"/>
        </w:rPr>
        <w:t>196.</w:t>
      </w:r>
      <w:r w:rsidRPr="0016597A">
        <w:rPr>
          <w:rFonts w:eastAsia="Times New Roman"/>
          <w:lang w:val="fr-MC" w:eastAsia="fr-MC"/>
        </w:rPr>
        <w:tab/>
      </w:r>
      <w:r w:rsidR="0016597A" w:rsidRPr="0016597A">
        <w:rPr>
          <w:lang w:val="fr-MC"/>
        </w:rPr>
        <w:t>Le Gouvernement du Burundi a mis en place la Commission, Vérité et Réconciliation (CVR)</w:t>
      </w:r>
      <w:r w:rsidR="00F428E3">
        <w:rPr>
          <w:lang w:val="fr-MC"/>
        </w:rPr>
        <w:t xml:space="preserve"> </w:t>
      </w:r>
      <w:r w:rsidR="0016597A" w:rsidRPr="0016597A">
        <w:rPr>
          <w:lang w:val="fr-MC"/>
        </w:rPr>
        <w:t xml:space="preserve">par la loi </w:t>
      </w:r>
      <w:r w:rsidR="00FE2712" w:rsidRPr="0016597A">
        <w:rPr>
          <w:lang w:val="fr-MC"/>
        </w:rPr>
        <w:t>n</w:t>
      </w:r>
      <w:r w:rsidR="00FE2712" w:rsidRPr="008A395C">
        <w:rPr>
          <w:vertAlign w:val="superscript"/>
          <w:lang w:val="fr-MC"/>
        </w:rPr>
        <w:t>o</w:t>
      </w:r>
      <w:r w:rsidR="00FE2712">
        <w:rPr>
          <w:lang w:val="fr-MC"/>
        </w:rPr>
        <w:t> </w:t>
      </w:r>
      <w:r w:rsidR="0016597A" w:rsidRPr="0016597A">
        <w:rPr>
          <w:lang w:val="fr-MC"/>
        </w:rPr>
        <w:t>1/18 du 15 mai 2014 portant création, mandat, composition, organisation et fonctionnement de la Commission Vérité et Réconciliation.</w:t>
      </w:r>
    </w:p>
    <w:p w14:paraId="2F7AE834" w14:textId="0628EB5E" w:rsidR="0016597A" w:rsidRPr="0016597A" w:rsidRDefault="00BF2F03" w:rsidP="00BF2F03">
      <w:pPr>
        <w:pStyle w:val="SingleTxtG"/>
        <w:rPr>
          <w:rFonts w:eastAsia="Times New Roman"/>
          <w:lang w:val="fr-MC" w:eastAsia="fr-MC"/>
        </w:rPr>
      </w:pPr>
      <w:r w:rsidRPr="0016597A">
        <w:rPr>
          <w:rFonts w:eastAsia="Times New Roman"/>
          <w:lang w:val="fr-MC" w:eastAsia="fr-MC"/>
        </w:rPr>
        <w:t>197.</w:t>
      </w:r>
      <w:r w:rsidRPr="0016597A">
        <w:rPr>
          <w:rFonts w:eastAsia="Times New Roman"/>
          <w:lang w:val="fr-MC" w:eastAsia="fr-MC"/>
        </w:rPr>
        <w:tab/>
      </w:r>
      <w:r w:rsidR="0016597A" w:rsidRPr="0016597A">
        <w:rPr>
          <w:lang w:val="fr-MC"/>
        </w:rPr>
        <w:t xml:space="preserve">Cette Commission a pour mission </w:t>
      </w:r>
      <w:r w:rsidR="0016597A" w:rsidRPr="0016597A">
        <w:rPr>
          <w:bCs/>
          <w:iCs/>
          <w:lang w:val="fr-MC"/>
        </w:rPr>
        <w:t>d’enquêter et d’établir la vérité sur les violations graves des droits de l’homme qui</w:t>
      </w:r>
      <w:r w:rsidR="0016597A" w:rsidRPr="0016597A">
        <w:rPr>
          <w:lang w:val="fr-MC"/>
        </w:rPr>
        <w:t xml:space="preserve"> se sont commises</w:t>
      </w:r>
      <w:r w:rsidR="0016597A" w:rsidRPr="0016597A">
        <w:rPr>
          <w:color w:val="1F1F1F"/>
          <w:lang w:val="fr-MC"/>
        </w:rPr>
        <w:t xml:space="preserve"> depuis le 1</w:t>
      </w:r>
      <w:r w:rsidR="0016597A" w:rsidRPr="00BF2F03">
        <w:rPr>
          <w:color w:val="1F1F1F"/>
          <w:vertAlign w:val="superscript"/>
          <w:lang w:val="fr-MC"/>
        </w:rPr>
        <w:t>er</w:t>
      </w:r>
      <w:r w:rsidR="00FE2712">
        <w:rPr>
          <w:color w:val="1F1F1F"/>
          <w:lang w:val="fr-MC"/>
        </w:rPr>
        <w:t xml:space="preserve"> </w:t>
      </w:r>
      <w:r w:rsidR="0016597A" w:rsidRPr="0016597A">
        <w:rPr>
          <w:color w:val="1F1F1F"/>
          <w:lang w:val="fr-MC"/>
        </w:rPr>
        <w:t>juillet 1962</w:t>
      </w:r>
      <w:r w:rsidR="0016597A" w:rsidRPr="0016597A">
        <w:rPr>
          <w:lang w:val="fr-MC"/>
        </w:rPr>
        <w:t xml:space="preserve"> jusqu’en 2008, </w:t>
      </w:r>
      <w:r w:rsidR="0016597A" w:rsidRPr="0016597A">
        <w:rPr>
          <w:rFonts w:eastAsia="Times New Roman"/>
          <w:lang w:val="fr-MC" w:eastAsia="fr-FR"/>
        </w:rPr>
        <w:t>date de la fin des hostilités. </w:t>
      </w:r>
    </w:p>
    <w:p w14:paraId="192AE623" w14:textId="061F9F24" w:rsidR="0016597A" w:rsidRPr="0016597A" w:rsidRDefault="00BF2F03" w:rsidP="00BF2F03">
      <w:pPr>
        <w:pStyle w:val="SingleTxtG"/>
        <w:rPr>
          <w:rFonts w:eastAsia="Times New Roman"/>
          <w:lang w:val="fr-MC" w:eastAsia="fr-FR"/>
        </w:rPr>
      </w:pPr>
      <w:r w:rsidRPr="0016597A">
        <w:rPr>
          <w:rFonts w:eastAsia="Times New Roman"/>
          <w:lang w:val="fr-MC" w:eastAsia="fr-FR"/>
        </w:rPr>
        <w:t>198.</w:t>
      </w:r>
      <w:r w:rsidRPr="0016597A">
        <w:rPr>
          <w:rFonts w:eastAsia="Times New Roman"/>
          <w:lang w:val="fr-MC" w:eastAsia="fr-FR"/>
        </w:rPr>
        <w:tab/>
      </w:r>
      <w:r w:rsidR="0016597A" w:rsidRPr="0016597A">
        <w:rPr>
          <w:rFonts w:eastAsia="Times New Roman"/>
          <w:lang w:val="fr-MC" w:eastAsia="fr-FR"/>
        </w:rPr>
        <w:t xml:space="preserve">En vue </w:t>
      </w:r>
      <w:r w:rsidR="0016597A" w:rsidRPr="008A5B30">
        <w:rPr>
          <w:lang w:val="fr-MC"/>
        </w:rPr>
        <w:t>d’appuyer</w:t>
      </w:r>
      <w:r w:rsidR="0016597A" w:rsidRPr="0016597A">
        <w:rPr>
          <w:rFonts w:eastAsia="Times New Roman"/>
          <w:lang w:val="fr-MC" w:eastAsia="fr-FR"/>
        </w:rPr>
        <w:t xml:space="preserve"> la mission de la CVR, l</w:t>
      </w:r>
      <w:r w:rsidR="0016597A" w:rsidRPr="0016597A">
        <w:rPr>
          <w:lang w:val="fr-MC"/>
        </w:rPr>
        <w:t xml:space="preserve">a loi </w:t>
      </w:r>
      <w:r w:rsidR="00FE2712" w:rsidRPr="0016597A">
        <w:rPr>
          <w:lang w:val="fr-MC"/>
        </w:rPr>
        <w:t>n</w:t>
      </w:r>
      <w:r w:rsidR="00FE2712" w:rsidRPr="008A395C">
        <w:rPr>
          <w:vertAlign w:val="superscript"/>
          <w:lang w:val="fr-MC"/>
        </w:rPr>
        <w:t>o</w:t>
      </w:r>
      <w:r w:rsidR="00FE2712">
        <w:rPr>
          <w:lang w:val="fr-MC"/>
        </w:rPr>
        <w:t> </w:t>
      </w:r>
      <w:r w:rsidR="0016597A" w:rsidRPr="0016597A">
        <w:rPr>
          <w:lang w:val="fr-MC"/>
        </w:rPr>
        <w:t>1/04 du 27 juin 2016 portant protection des victimes, des témoins et d’autres personnes en situation de risque a été promulguée.</w:t>
      </w:r>
    </w:p>
    <w:p w14:paraId="1DCB9EFD" w14:textId="00D88E18" w:rsidR="0016597A" w:rsidRPr="0016597A" w:rsidRDefault="00BF2F03" w:rsidP="00BF2F03">
      <w:pPr>
        <w:pStyle w:val="SingleTxtG"/>
        <w:rPr>
          <w:lang w:val="fr-MC" w:eastAsia="fr-FR"/>
        </w:rPr>
      </w:pPr>
      <w:r w:rsidRPr="0016597A">
        <w:rPr>
          <w:lang w:val="fr-MC" w:eastAsia="fr-FR"/>
        </w:rPr>
        <w:t>199.</w:t>
      </w:r>
      <w:r w:rsidRPr="0016597A">
        <w:rPr>
          <w:lang w:val="fr-MC" w:eastAsia="fr-FR"/>
        </w:rPr>
        <w:tab/>
      </w:r>
      <w:r w:rsidR="0016597A" w:rsidRPr="0016597A">
        <w:rPr>
          <w:lang w:val="fr-MC" w:eastAsia="en-CA"/>
        </w:rPr>
        <w:t>Selon le rapport de la CVR présenté en octobre</w:t>
      </w:r>
      <w:r w:rsidR="0016597A">
        <w:rPr>
          <w:lang w:val="fr-MC" w:eastAsia="en-CA"/>
        </w:rPr>
        <w:t xml:space="preserve"> </w:t>
      </w:r>
      <w:r w:rsidR="0016597A" w:rsidRPr="0016597A">
        <w:rPr>
          <w:lang w:val="fr-MC" w:eastAsia="en-CA"/>
        </w:rPr>
        <w:t>2018</w:t>
      </w:r>
      <w:r w:rsidR="00FE2712">
        <w:rPr>
          <w:lang w:val="fr-MC" w:eastAsia="en-CA"/>
        </w:rPr>
        <w:t xml:space="preserve"> </w:t>
      </w:r>
      <w:r w:rsidR="0016597A" w:rsidRPr="0016597A">
        <w:rPr>
          <w:lang w:val="fr-MC" w:eastAsia="en-CA"/>
        </w:rPr>
        <w:t xml:space="preserve">devant l’Assemblée Nationale en vue du </w:t>
      </w:r>
      <w:r w:rsidR="0016597A" w:rsidRPr="0016597A">
        <w:rPr>
          <w:lang w:val="fr-MC"/>
        </w:rPr>
        <w:t>renouvellement</w:t>
      </w:r>
      <w:r w:rsidR="0016597A" w:rsidRPr="0016597A">
        <w:rPr>
          <w:lang w:val="fr-MC" w:eastAsia="en-CA"/>
        </w:rPr>
        <w:t xml:space="preserve"> de son mandat, la réalisation des activités du 25 avril au 6 mai 2018, effectuées sous la supervision d’au moins un commissaire par province a permis de montrer que des descentes pour recueillir les dépositions ont été organisées dans toutes les provinces du Burundi. Le résultat provisoire a fait état de 72</w:t>
      </w:r>
      <w:r w:rsidR="008D1639">
        <w:rPr>
          <w:lang w:val="fr-MC" w:eastAsia="en-CA"/>
        </w:rPr>
        <w:t> </w:t>
      </w:r>
      <w:r w:rsidR="0016597A" w:rsidRPr="0016597A">
        <w:rPr>
          <w:lang w:val="fr-MC" w:eastAsia="en-CA"/>
        </w:rPr>
        <w:t>961 déposants, 100</w:t>
      </w:r>
      <w:r w:rsidR="008D1639">
        <w:rPr>
          <w:lang w:val="fr-MC" w:eastAsia="en-CA"/>
        </w:rPr>
        <w:t> </w:t>
      </w:r>
      <w:r w:rsidR="0016597A" w:rsidRPr="0016597A">
        <w:rPr>
          <w:lang w:val="fr-MC" w:eastAsia="en-CA"/>
        </w:rPr>
        <w:t>024 personnes assassinées ou disparues, 21</w:t>
      </w:r>
      <w:r w:rsidR="008D1639">
        <w:rPr>
          <w:lang w:val="fr-MC" w:eastAsia="en-CA"/>
        </w:rPr>
        <w:t> </w:t>
      </w:r>
      <w:r w:rsidR="0016597A" w:rsidRPr="0016597A">
        <w:rPr>
          <w:lang w:val="fr-MC" w:eastAsia="en-CA"/>
        </w:rPr>
        <w:t>671 présumés auteurs des violations, 4</w:t>
      </w:r>
      <w:r w:rsidR="008D1639">
        <w:rPr>
          <w:lang w:val="fr-MC" w:eastAsia="en-CA"/>
        </w:rPr>
        <w:t> </w:t>
      </w:r>
      <w:r w:rsidR="0016597A" w:rsidRPr="0016597A">
        <w:rPr>
          <w:lang w:val="fr-MC" w:eastAsia="en-CA"/>
        </w:rPr>
        <w:t>163 fosses communes identifiées et 11</w:t>
      </w:r>
      <w:r w:rsidR="008D1639">
        <w:rPr>
          <w:lang w:val="fr-MC" w:eastAsia="en-CA"/>
        </w:rPr>
        <w:t> </w:t>
      </w:r>
      <w:r w:rsidR="0016597A" w:rsidRPr="0016597A">
        <w:rPr>
          <w:lang w:val="fr-MC" w:eastAsia="en-CA"/>
        </w:rPr>
        <w:t>378 personnes qui se sont distinguées dans la protection des vies humaines.</w:t>
      </w:r>
    </w:p>
    <w:p w14:paraId="279F1452" w14:textId="1BC5E3AB" w:rsidR="0016597A" w:rsidRPr="0016597A" w:rsidRDefault="00BD1593" w:rsidP="00BD1593">
      <w:pPr>
        <w:pStyle w:val="H23G"/>
        <w:rPr>
          <w:lang w:val="fr-MC"/>
        </w:rPr>
      </w:pPr>
      <w:bookmarkStart w:id="48" w:name="_Toc529970230"/>
      <w:r>
        <w:rPr>
          <w:lang w:val="fr-MC"/>
        </w:rPr>
        <w:tab/>
      </w:r>
      <w:r w:rsidR="0016597A" w:rsidRPr="0016597A">
        <w:rPr>
          <w:lang w:val="fr-MC"/>
        </w:rPr>
        <w:t xml:space="preserve">16. </w:t>
      </w:r>
      <w:r>
        <w:rPr>
          <w:lang w:val="fr-MC"/>
        </w:rPr>
        <w:tab/>
      </w:r>
      <w:r w:rsidR="0016597A" w:rsidRPr="0016597A">
        <w:rPr>
          <w:lang w:val="fr-MC"/>
        </w:rPr>
        <w:t>Violences politiques</w:t>
      </w:r>
      <w:bookmarkEnd w:id="48"/>
    </w:p>
    <w:p w14:paraId="1CDB6169" w14:textId="5673A4B5" w:rsidR="0016597A" w:rsidRPr="0016597A" w:rsidRDefault="00BF2F03" w:rsidP="00BF2F03">
      <w:pPr>
        <w:pStyle w:val="SingleTxtG"/>
        <w:rPr>
          <w:rFonts w:eastAsia="Times New Roman"/>
          <w:lang w:val="fr-MC" w:eastAsia="fr-FR"/>
        </w:rPr>
      </w:pPr>
      <w:r w:rsidRPr="0016597A">
        <w:rPr>
          <w:rFonts w:eastAsia="Times New Roman"/>
          <w:lang w:val="fr-MC" w:eastAsia="fr-FR"/>
        </w:rPr>
        <w:t>200.</w:t>
      </w:r>
      <w:r w:rsidRPr="0016597A">
        <w:rPr>
          <w:rFonts w:eastAsia="Times New Roman"/>
          <w:lang w:val="fr-MC" w:eastAsia="fr-FR"/>
        </w:rPr>
        <w:tab/>
      </w:r>
      <w:r w:rsidR="0016597A" w:rsidRPr="0016597A">
        <w:rPr>
          <w:lang w:val="fr-BE"/>
        </w:rPr>
        <w:t>Concernant les violences politiques, il</w:t>
      </w:r>
      <w:r w:rsidR="0016597A" w:rsidRPr="0016597A">
        <w:rPr>
          <w:lang w:val="fr-MC"/>
        </w:rPr>
        <w:t xml:space="preserve"> convient de signaler que pour des cas infractionnels y compris des cas de violations des droits de l’homme ainsi que celles basées sur le genre ou violences faites aux femmes, les présumés auteurs sont directement acheminés vers la Police Judiciaire et aux instances judiciaires pour la confection des dossiers pénaux. Cela concerne ainsi tout citoyen sans exception, y compris les membres de la Ligue des</w:t>
      </w:r>
      <w:r w:rsidR="0016597A" w:rsidRPr="0016597A">
        <w:rPr>
          <w:color w:val="FF0000"/>
          <w:lang w:val="fr-MC"/>
        </w:rPr>
        <w:t xml:space="preserve"> </w:t>
      </w:r>
      <w:r w:rsidR="0016597A" w:rsidRPr="0016597A">
        <w:rPr>
          <w:lang w:val="fr-MC"/>
        </w:rPr>
        <w:t>Jeunes IMBONERAKURE et tout le personnel des Forces de Défense et de Sécurité en conflit avec la loi, pour n’importe quelle infraction, du moment qu’aucune personne n’est au-dessus de la loi.</w:t>
      </w:r>
    </w:p>
    <w:p w14:paraId="2734C7E5" w14:textId="37F179FF" w:rsidR="0016597A" w:rsidRPr="0016597A" w:rsidRDefault="00BD1593" w:rsidP="00BD1593">
      <w:pPr>
        <w:pStyle w:val="H23G"/>
        <w:rPr>
          <w:lang w:val="fr-MC"/>
        </w:rPr>
      </w:pPr>
      <w:bookmarkStart w:id="49" w:name="_Toc529970231"/>
      <w:r>
        <w:rPr>
          <w:lang w:val="fr-MC"/>
        </w:rPr>
        <w:tab/>
      </w:r>
      <w:r w:rsidR="0016597A" w:rsidRPr="0016597A">
        <w:rPr>
          <w:lang w:val="fr-MC"/>
        </w:rPr>
        <w:t xml:space="preserve">17. </w:t>
      </w:r>
      <w:r>
        <w:rPr>
          <w:lang w:val="fr-MC"/>
        </w:rPr>
        <w:tab/>
      </w:r>
      <w:r w:rsidR="0016597A" w:rsidRPr="0016597A">
        <w:rPr>
          <w:lang w:val="fr-MC"/>
        </w:rPr>
        <w:t>Discrimination basée sur l’orientation sexuelle</w:t>
      </w:r>
      <w:bookmarkEnd w:id="49"/>
    </w:p>
    <w:p w14:paraId="2EE5725C" w14:textId="413CD993" w:rsidR="0016597A" w:rsidRPr="0016597A" w:rsidRDefault="00BF2F03" w:rsidP="00BF2F03">
      <w:pPr>
        <w:pStyle w:val="SingleTxtG"/>
        <w:rPr>
          <w:rFonts w:eastAsia="Times New Roman"/>
          <w:lang w:val="fr-MC" w:eastAsia="fr-FR"/>
        </w:rPr>
      </w:pPr>
      <w:r w:rsidRPr="0016597A">
        <w:rPr>
          <w:rFonts w:eastAsia="Times New Roman"/>
          <w:lang w:val="fr-MC" w:eastAsia="fr-FR"/>
        </w:rPr>
        <w:t>201.</w:t>
      </w:r>
      <w:r w:rsidRPr="0016597A">
        <w:rPr>
          <w:rFonts w:eastAsia="Times New Roman"/>
          <w:lang w:val="fr-MC" w:eastAsia="fr-FR"/>
        </w:rPr>
        <w:tab/>
      </w:r>
      <w:r w:rsidR="0016597A" w:rsidRPr="0016597A">
        <w:rPr>
          <w:lang w:val="fr-MC" w:eastAsia="fr-FR"/>
        </w:rPr>
        <w:t xml:space="preserve">Concernant la dépénalisation de l’homosexualité, le </w:t>
      </w:r>
      <w:r w:rsidR="0016597A" w:rsidRPr="0016597A">
        <w:rPr>
          <w:lang w:val="fr-MC"/>
        </w:rPr>
        <w:t xml:space="preserve">Code </w:t>
      </w:r>
      <w:r w:rsidR="00A2570C">
        <w:rPr>
          <w:lang w:val="fr-MC"/>
        </w:rPr>
        <w:t>p</w:t>
      </w:r>
      <w:r w:rsidR="0016597A" w:rsidRPr="0016597A">
        <w:rPr>
          <w:lang w:val="fr-MC"/>
        </w:rPr>
        <w:t xml:space="preserve">énal </w:t>
      </w:r>
      <w:r w:rsidR="00A2570C">
        <w:rPr>
          <w:lang w:val="fr-MC"/>
        </w:rPr>
        <w:t>b</w:t>
      </w:r>
      <w:r w:rsidR="0016597A" w:rsidRPr="0016597A">
        <w:rPr>
          <w:lang w:val="fr-MC"/>
        </w:rPr>
        <w:t>urundais de</w:t>
      </w:r>
      <w:r w:rsidR="00FE2712">
        <w:rPr>
          <w:lang w:val="fr-MC"/>
        </w:rPr>
        <w:t xml:space="preserve"> </w:t>
      </w:r>
      <w:r w:rsidR="0016597A" w:rsidRPr="0016597A">
        <w:rPr>
          <w:lang w:val="fr-MC"/>
        </w:rPr>
        <w:t>2017</w:t>
      </w:r>
      <w:r w:rsidR="0016597A">
        <w:rPr>
          <w:lang w:val="fr-MC"/>
        </w:rPr>
        <w:t xml:space="preserve"> </w:t>
      </w:r>
      <w:r w:rsidR="0016597A" w:rsidRPr="0016597A">
        <w:rPr>
          <w:lang w:val="fr-MC"/>
        </w:rPr>
        <w:t>érige en infraction l’homosexualité en son article</w:t>
      </w:r>
      <w:r w:rsidR="0016597A">
        <w:rPr>
          <w:lang w:val="fr-MC"/>
        </w:rPr>
        <w:t xml:space="preserve"> </w:t>
      </w:r>
      <w:r w:rsidR="0016597A" w:rsidRPr="0016597A">
        <w:rPr>
          <w:lang w:val="fr-MC"/>
        </w:rPr>
        <w:t>590 car ce comportement est contraire à la coutume et aux bonnes mœurs</w:t>
      </w:r>
      <w:r w:rsidR="0016597A" w:rsidRPr="0016597A">
        <w:rPr>
          <w:color w:val="FF0000"/>
          <w:lang w:val="fr-MC"/>
        </w:rPr>
        <w:t xml:space="preserve"> </w:t>
      </w:r>
      <w:r w:rsidR="0016597A" w:rsidRPr="0016597A">
        <w:rPr>
          <w:lang w:val="fr-MC"/>
        </w:rPr>
        <w:t>burundaises.</w:t>
      </w:r>
    </w:p>
    <w:p w14:paraId="336108EB" w14:textId="0876663D" w:rsidR="0016597A" w:rsidRPr="0016597A" w:rsidRDefault="00BF2F03" w:rsidP="00BF2F03">
      <w:pPr>
        <w:pStyle w:val="SingleTxtG"/>
        <w:rPr>
          <w:rFonts w:eastAsia="Times New Roman"/>
          <w:lang w:val="fr-MC" w:eastAsia="fr-FR"/>
        </w:rPr>
      </w:pPr>
      <w:r w:rsidRPr="0016597A">
        <w:rPr>
          <w:rFonts w:eastAsia="Times New Roman"/>
          <w:lang w:val="fr-MC" w:eastAsia="fr-FR"/>
        </w:rPr>
        <w:t>202.</w:t>
      </w:r>
      <w:r w:rsidRPr="0016597A">
        <w:rPr>
          <w:rFonts w:eastAsia="Times New Roman"/>
          <w:lang w:val="fr-MC" w:eastAsia="fr-FR"/>
        </w:rPr>
        <w:tab/>
      </w:r>
      <w:r w:rsidR="0016597A" w:rsidRPr="0016597A">
        <w:rPr>
          <w:lang w:val="fr-MC"/>
        </w:rPr>
        <w:t>Néanmoins, l’État</w:t>
      </w:r>
      <w:r w:rsidR="0016597A" w:rsidRPr="0016597A">
        <w:rPr>
          <w:lang w:val="fr-MC" w:eastAsia="fr-FR"/>
        </w:rPr>
        <w:t xml:space="preserve"> du Burundi assure la protection de tous de manière effective, les personnes homosexuelles comme tant d’autres citoyens burundais contre toutes menaces, violences et atteinte à leur intégrité physique selon la loi nationale.</w:t>
      </w:r>
    </w:p>
    <w:p w14:paraId="2C9FDC84" w14:textId="4E85B2B4" w:rsidR="0016597A" w:rsidRPr="0016597A" w:rsidRDefault="00BD1593" w:rsidP="00BD1593">
      <w:pPr>
        <w:pStyle w:val="H23G"/>
        <w:rPr>
          <w:lang w:val="fr-MC"/>
        </w:rPr>
      </w:pPr>
      <w:bookmarkStart w:id="50" w:name="_Toc529970232"/>
      <w:r>
        <w:rPr>
          <w:lang w:val="fr-MC"/>
        </w:rPr>
        <w:tab/>
      </w:r>
      <w:r w:rsidR="0016597A" w:rsidRPr="0016597A">
        <w:rPr>
          <w:lang w:val="fr-MC"/>
        </w:rPr>
        <w:t xml:space="preserve">18. </w:t>
      </w:r>
      <w:r>
        <w:rPr>
          <w:lang w:val="fr-MC"/>
        </w:rPr>
        <w:tab/>
      </w:r>
      <w:r w:rsidR="0016597A" w:rsidRPr="0016597A">
        <w:rPr>
          <w:lang w:val="fr-MC"/>
        </w:rPr>
        <w:t>Coopération avec les mécanismes des Nations Unies</w:t>
      </w:r>
      <w:bookmarkEnd w:id="50"/>
    </w:p>
    <w:p w14:paraId="0BDB6FD3" w14:textId="53769D1E" w:rsidR="0016597A" w:rsidRPr="0016597A" w:rsidRDefault="00BF2F03" w:rsidP="00BF2F03">
      <w:pPr>
        <w:pStyle w:val="SingleTxtG"/>
        <w:rPr>
          <w:rFonts w:eastAsia="Times New Roman"/>
          <w:lang w:val="fr-MC" w:eastAsia="fr-FR"/>
        </w:rPr>
      </w:pPr>
      <w:r w:rsidRPr="0016597A">
        <w:rPr>
          <w:rFonts w:eastAsia="Times New Roman"/>
          <w:lang w:val="fr-MC" w:eastAsia="fr-FR"/>
        </w:rPr>
        <w:t>203.</w:t>
      </w:r>
      <w:r w:rsidRPr="0016597A">
        <w:rPr>
          <w:rFonts w:eastAsia="Times New Roman"/>
          <w:lang w:val="fr-MC" w:eastAsia="fr-FR"/>
        </w:rPr>
        <w:tab/>
      </w:r>
      <w:r w:rsidR="0016597A" w:rsidRPr="0016597A">
        <w:rPr>
          <w:lang w:val="fr-MC"/>
        </w:rPr>
        <w:t>L</w:t>
      </w:r>
      <w:r w:rsidR="0016597A" w:rsidRPr="0016597A">
        <w:rPr>
          <w:lang w:val="fr-FR"/>
        </w:rPr>
        <w:t>e Gouvernement du Burundi a</w:t>
      </w:r>
      <w:r w:rsidR="00FE2712">
        <w:rPr>
          <w:lang w:val="fr-FR"/>
        </w:rPr>
        <w:t xml:space="preserve"> </w:t>
      </w:r>
      <w:r w:rsidR="0016597A" w:rsidRPr="0016597A">
        <w:rPr>
          <w:lang w:val="fr-FR"/>
        </w:rPr>
        <w:t xml:space="preserve">mis en place le Département des Organes de Traités, Procédures Spéciales et Examen Périodique Universel des Nations Unies et autres </w:t>
      </w:r>
      <w:r w:rsidR="0016597A" w:rsidRPr="008A5B30">
        <w:rPr>
          <w:lang w:val="fr-MC"/>
        </w:rPr>
        <w:t>mécanismes</w:t>
      </w:r>
      <w:r w:rsidR="0016597A" w:rsidRPr="0016597A">
        <w:rPr>
          <w:lang w:val="fr-FR"/>
        </w:rPr>
        <w:t xml:space="preserve"> par le décret </w:t>
      </w:r>
      <w:r w:rsidR="00FE2712" w:rsidRPr="0016597A">
        <w:rPr>
          <w:lang w:val="fr-MC"/>
        </w:rPr>
        <w:t>n</w:t>
      </w:r>
      <w:r w:rsidR="00FE2712" w:rsidRPr="008A395C">
        <w:rPr>
          <w:vertAlign w:val="superscript"/>
          <w:lang w:val="fr-MC"/>
        </w:rPr>
        <w:t>o</w:t>
      </w:r>
      <w:r w:rsidR="00FE2712">
        <w:rPr>
          <w:lang w:val="fr-MC"/>
        </w:rPr>
        <w:t> </w:t>
      </w:r>
      <w:r w:rsidR="0016597A" w:rsidRPr="0016597A">
        <w:rPr>
          <w:lang w:val="fr-FR"/>
        </w:rPr>
        <w:t xml:space="preserve">100/57 du 4 avril 2016 portant missions organisation et fonctionnement du Ministère des Droits de la Personne Humaine, des Affaires Sociales et du Genre. Il est chargé de : </w:t>
      </w:r>
    </w:p>
    <w:p w14:paraId="7C5DAA25" w14:textId="27E33BB7" w:rsidR="0016597A" w:rsidRPr="0016597A" w:rsidRDefault="00BF2F03" w:rsidP="00BF2F03">
      <w:pPr>
        <w:pStyle w:val="Bullet1G"/>
        <w:numPr>
          <w:ilvl w:val="0"/>
          <w:numId w:val="0"/>
        </w:numPr>
        <w:tabs>
          <w:tab w:val="left" w:pos="1701"/>
        </w:tabs>
        <w:ind w:left="1701" w:hanging="170"/>
        <w:rPr>
          <w:lang w:val="fr-FR"/>
        </w:rPr>
      </w:pPr>
      <w:r w:rsidRPr="0016597A">
        <w:rPr>
          <w:lang w:val="fr-FR"/>
        </w:rPr>
        <w:t>•</w:t>
      </w:r>
      <w:r w:rsidRPr="0016597A">
        <w:rPr>
          <w:lang w:val="fr-FR"/>
        </w:rPr>
        <w:tab/>
      </w:r>
      <w:r w:rsidR="0016597A" w:rsidRPr="0016597A">
        <w:rPr>
          <w:lang w:val="fr-FR"/>
        </w:rPr>
        <w:t>Faire un é</w:t>
      </w:r>
      <w:r w:rsidR="00BD1593">
        <w:rPr>
          <w:lang w:val="fr-FR"/>
        </w:rPr>
        <w:t>tat de ratification des Traités ;</w:t>
      </w:r>
    </w:p>
    <w:p w14:paraId="30554BFF" w14:textId="1C7AA39B" w:rsidR="0016597A" w:rsidRPr="0016597A" w:rsidRDefault="00BF2F03" w:rsidP="00BF2F03">
      <w:pPr>
        <w:pStyle w:val="Bullet1G"/>
        <w:numPr>
          <w:ilvl w:val="0"/>
          <w:numId w:val="0"/>
        </w:numPr>
        <w:tabs>
          <w:tab w:val="left" w:pos="1701"/>
        </w:tabs>
        <w:ind w:left="1701" w:hanging="170"/>
        <w:rPr>
          <w:lang w:val="fr-FR"/>
        </w:rPr>
      </w:pPr>
      <w:r w:rsidRPr="0016597A">
        <w:rPr>
          <w:lang w:val="fr-FR"/>
        </w:rPr>
        <w:lastRenderedPageBreak/>
        <w:t>•</w:t>
      </w:r>
      <w:r w:rsidRPr="0016597A">
        <w:rPr>
          <w:lang w:val="fr-FR"/>
        </w:rPr>
        <w:tab/>
      </w:r>
      <w:r w:rsidR="0016597A" w:rsidRPr="0016597A">
        <w:rPr>
          <w:lang w:val="fr-FR"/>
        </w:rPr>
        <w:t>Identifier les rapports à soumettre et planifier leur élaboration ;</w:t>
      </w:r>
    </w:p>
    <w:p w14:paraId="53514788" w14:textId="33A00207" w:rsidR="0016597A" w:rsidRPr="0016597A" w:rsidRDefault="00BF2F03" w:rsidP="00BF2F03">
      <w:pPr>
        <w:pStyle w:val="Bullet1G"/>
        <w:numPr>
          <w:ilvl w:val="0"/>
          <w:numId w:val="0"/>
        </w:numPr>
        <w:tabs>
          <w:tab w:val="left" w:pos="1701"/>
        </w:tabs>
        <w:ind w:left="1701" w:hanging="170"/>
        <w:rPr>
          <w:lang w:val="fr-FR"/>
        </w:rPr>
      </w:pPr>
      <w:r w:rsidRPr="0016597A">
        <w:rPr>
          <w:lang w:val="fr-FR"/>
        </w:rPr>
        <w:t>•</w:t>
      </w:r>
      <w:r w:rsidRPr="0016597A">
        <w:rPr>
          <w:lang w:val="fr-FR"/>
        </w:rPr>
        <w:tab/>
      </w:r>
      <w:r w:rsidR="0016597A" w:rsidRPr="0016597A">
        <w:rPr>
          <w:lang w:val="fr-FR"/>
        </w:rPr>
        <w:t>Rédiger les rapports initiaux et périodiques des Organes des Traités ;</w:t>
      </w:r>
    </w:p>
    <w:p w14:paraId="70321AB3" w14:textId="519DF3D5" w:rsidR="0016597A" w:rsidRPr="0016597A" w:rsidRDefault="00BF2F03" w:rsidP="00BF2F03">
      <w:pPr>
        <w:pStyle w:val="Bullet1G"/>
        <w:numPr>
          <w:ilvl w:val="0"/>
          <w:numId w:val="0"/>
        </w:numPr>
        <w:tabs>
          <w:tab w:val="left" w:pos="1701"/>
        </w:tabs>
        <w:ind w:left="1701" w:hanging="170"/>
        <w:rPr>
          <w:lang w:val="fr-FR"/>
        </w:rPr>
      </w:pPr>
      <w:r w:rsidRPr="0016597A">
        <w:rPr>
          <w:lang w:val="fr-FR"/>
        </w:rPr>
        <w:t>•</w:t>
      </w:r>
      <w:r w:rsidRPr="0016597A">
        <w:rPr>
          <w:lang w:val="fr-FR"/>
        </w:rPr>
        <w:tab/>
      </w:r>
      <w:r w:rsidR="0016597A" w:rsidRPr="0016597A">
        <w:rPr>
          <w:lang w:val="fr-FR"/>
        </w:rPr>
        <w:t>Assurer le suivi des recommandations des Organes des traités ;</w:t>
      </w:r>
    </w:p>
    <w:p w14:paraId="4D372D41" w14:textId="791FBCE1" w:rsidR="0016597A" w:rsidRPr="0016597A" w:rsidRDefault="00BF2F03" w:rsidP="00BF2F03">
      <w:pPr>
        <w:pStyle w:val="Bullet1G"/>
        <w:numPr>
          <w:ilvl w:val="0"/>
          <w:numId w:val="0"/>
        </w:numPr>
        <w:tabs>
          <w:tab w:val="left" w:pos="1701"/>
        </w:tabs>
        <w:ind w:left="1701" w:hanging="170"/>
        <w:rPr>
          <w:lang w:val="fr-FR"/>
        </w:rPr>
      </w:pPr>
      <w:r w:rsidRPr="0016597A">
        <w:rPr>
          <w:lang w:val="fr-FR"/>
        </w:rPr>
        <w:t>•</w:t>
      </w:r>
      <w:r w:rsidRPr="0016597A">
        <w:rPr>
          <w:lang w:val="fr-FR"/>
        </w:rPr>
        <w:tab/>
      </w:r>
      <w:r w:rsidR="0016597A" w:rsidRPr="0016597A">
        <w:rPr>
          <w:lang w:val="fr-FR"/>
        </w:rPr>
        <w:t>Assurer le suivi des observations finales des Procédures Spéciales ;</w:t>
      </w:r>
    </w:p>
    <w:p w14:paraId="58CFE390" w14:textId="64610593" w:rsidR="0016597A" w:rsidRPr="0016597A" w:rsidRDefault="00BF2F03" w:rsidP="00BF2F03">
      <w:pPr>
        <w:pStyle w:val="Bullet1G"/>
        <w:numPr>
          <w:ilvl w:val="0"/>
          <w:numId w:val="0"/>
        </w:numPr>
        <w:tabs>
          <w:tab w:val="left" w:pos="1701"/>
        </w:tabs>
        <w:ind w:left="1701" w:hanging="170"/>
        <w:rPr>
          <w:lang w:val="fr-FR"/>
        </w:rPr>
      </w:pPr>
      <w:r w:rsidRPr="0016597A">
        <w:rPr>
          <w:lang w:val="fr-FR"/>
        </w:rPr>
        <w:t>•</w:t>
      </w:r>
      <w:r w:rsidRPr="0016597A">
        <w:rPr>
          <w:lang w:val="fr-FR"/>
        </w:rPr>
        <w:tab/>
      </w:r>
      <w:r w:rsidR="0016597A" w:rsidRPr="0016597A">
        <w:rPr>
          <w:lang w:val="fr-FR"/>
        </w:rPr>
        <w:t>Préparer et rédiger les rapports pour l’Examen Périodique Universel ;</w:t>
      </w:r>
    </w:p>
    <w:p w14:paraId="3A59FA0F" w14:textId="35AA613C" w:rsidR="0016597A" w:rsidRPr="0016597A" w:rsidRDefault="00BF2F03" w:rsidP="00BF2F03">
      <w:pPr>
        <w:pStyle w:val="Bullet1G"/>
        <w:numPr>
          <w:ilvl w:val="0"/>
          <w:numId w:val="0"/>
        </w:numPr>
        <w:tabs>
          <w:tab w:val="left" w:pos="1701"/>
        </w:tabs>
        <w:ind w:left="1701" w:hanging="170"/>
        <w:rPr>
          <w:lang w:val="fr-FR"/>
        </w:rPr>
      </w:pPr>
      <w:r w:rsidRPr="0016597A">
        <w:rPr>
          <w:lang w:val="fr-FR"/>
        </w:rPr>
        <w:t>•</w:t>
      </w:r>
      <w:r w:rsidRPr="0016597A">
        <w:rPr>
          <w:lang w:val="fr-FR"/>
        </w:rPr>
        <w:tab/>
      </w:r>
      <w:r w:rsidR="0016597A" w:rsidRPr="0016597A">
        <w:rPr>
          <w:lang w:val="fr-FR"/>
        </w:rPr>
        <w:t>Assurer le suivi des recommandations de l’Examen Périodique Universel ;</w:t>
      </w:r>
    </w:p>
    <w:p w14:paraId="28DAD6C2" w14:textId="12572EC8" w:rsidR="0016597A" w:rsidRPr="0016597A" w:rsidRDefault="00BF2F03" w:rsidP="00BF2F03">
      <w:pPr>
        <w:pStyle w:val="Bullet1G"/>
        <w:numPr>
          <w:ilvl w:val="0"/>
          <w:numId w:val="0"/>
        </w:numPr>
        <w:tabs>
          <w:tab w:val="left" w:pos="1701"/>
        </w:tabs>
        <w:ind w:left="1701" w:hanging="170"/>
        <w:rPr>
          <w:lang w:val="fr-FR"/>
        </w:rPr>
      </w:pPr>
      <w:r w:rsidRPr="0016597A">
        <w:rPr>
          <w:lang w:val="fr-FR"/>
        </w:rPr>
        <w:t>•</w:t>
      </w:r>
      <w:r w:rsidRPr="0016597A">
        <w:rPr>
          <w:lang w:val="fr-FR"/>
        </w:rPr>
        <w:tab/>
      </w:r>
      <w:r w:rsidR="0016597A" w:rsidRPr="0016597A">
        <w:rPr>
          <w:lang w:val="fr-FR"/>
        </w:rPr>
        <w:t>Elaborer les réponses aux différents questionnaires et correspondances des mandats thématiques ;</w:t>
      </w:r>
    </w:p>
    <w:p w14:paraId="6E6DAAFD" w14:textId="7C20D34D" w:rsidR="0016597A" w:rsidRPr="0016597A" w:rsidRDefault="00BF2F03" w:rsidP="00BF2F03">
      <w:pPr>
        <w:pStyle w:val="Bullet1G"/>
        <w:numPr>
          <w:ilvl w:val="0"/>
          <w:numId w:val="0"/>
        </w:numPr>
        <w:tabs>
          <w:tab w:val="left" w:pos="1701"/>
        </w:tabs>
        <w:ind w:left="1701" w:hanging="170"/>
        <w:rPr>
          <w:lang w:val="fr-FR"/>
        </w:rPr>
      </w:pPr>
      <w:r w:rsidRPr="0016597A">
        <w:rPr>
          <w:lang w:val="fr-FR"/>
        </w:rPr>
        <w:t>•</w:t>
      </w:r>
      <w:r w:rsidRPr="0016597A">
        <w:rPr>
          <w:lang w:val="fr-FR"/>
        </w:rPr>
        <w:tab/>
      </w:r>
      <w:r w:rsidR="0016597A" w:rsidRPr="0016597A">
        <w:rPr>
          <w:lang w:val="fr-FR"/>
        </w:rPr>
        <w:t>Initier des activités de sensibilisation et d’information sur les Traités, leur mise en œuvre à l’intention des institutions étatiques et non étatiques ainsi que la population ;</w:t>
      </w:r>
    </w:p>
    <w:p w14:paraId="004595F0" w14:textId="10ADF1C5" w:rsidR="0016597A" w:rsidRPr="0016597A" w:rsidRDefault="00BF2F03" w:rsidP="00BF2F03">
      <w:pPr>
        <w:pStyle w:val="Bullet1G"/>
        <w:numPr>
          <w:ilvl w:val="0"/>
          <w:numId w:val="0"/>
        </w:numPr>
        <w:tabs>
          <w:tab w:val="left" w:pos="1701"/>
        </w:tabs>
        <w:ind w:left="1701" w:hanging="170"/>
        <w:rPr>
          <w:lang w:val="fr-FR"/>
        </w:rPr>
      </w:pPr>
      <w:r w:rsidRPr="0016597A">
        <w:rPr>
          <w:lang w:val="fr-FR"/>
        </w:rPr>
        <w:t>•</w:t>
      </w:r>
      <w:r w:rsidRPr="0016597A">
        <w:rPr>
          <w:lang w:val="fr-FR"/>
        </w:rPr>
        <w:tab/>
      </w:r>
      <w:r w:rsidR="0016597A" w:rsidRPr="0016597A">
        <w:rPr>
          <w:lang w:val="fr-FR"/>
        </w:rPr>
        <w:t>Identifier les actions pertinentes et synergies possibles pour une plus grande collaboration avec les organes de surveillance de Traités.</w:t>
      </w:r>
    </w:p>
    <w:p w14:paraId="0895CC91" w14:textId="4BFBA9CD" w:rsidR="0016597A" w:rsidRDefault="00BF2F03" w:rsidP="00BF2F03">
      <w:pPr>
        <w:pStyle w:val="SingleTxtG"/>
        <w:rPr>
          <w:lang w:val="fr-FR"/>
        </w:rPr>
      </w:pPr>
      <w:r>
        <w:rPr>
          <w:lang w:val="fr-FR"/>
        </w:rPr>
        <w:t>204.</w:t>
      </w:r>
      <w:r>
        <w:rPr>
          <w:lang w:val="fr-FR"/>
        </w:rPr>
        <w:tab/>
      </w:r>
      <w:r w:rsidR="0016597A" w:rsidRPr="0016597A">
        <w:rPr>
          <w:lang w:val="fr-FR"/>
        </w:rPr>
        <w:t xml:space="preserve">En outre, toutes ces missions sont effectuées sous la supervision du comité permanent de </w:t>
      </w:r>
      <w:r w:rsidR="0016597A" w:rsidRPr="008A5B30">
        <w:rPr>
          <w:lang w:val="fr-MC"/>
        </w:rPr>
        <w:t>rédaction</w:t>
      </w:r>
      <w:r w:rsidR="0016597A" w:rsidRPr="0016597A">
        <w:rPr>
          <w:lang w:val="fr-FR"/>
        </w:rPr>
        <w:t xml:space="preserve"> des rapports initiaux et périodiques.</w:t>
      </w:r>
    </w:p>
    <w:p w14:paraId="75D588E0" w14:textId="77777777" w:rsidR="0016597A" w:rsidRDefault="00F60976" w:rsidP="00BC23B3">
      <w:pPr>
        <w:pStyle w:val="HChG"/>
        <w:rPr>
          <w:lang w:val="fr-MC"/>
        </w:rPr>
      </w:pPr>
      <w:bookmarkStart w:id="51" w:name="_Toc529970233"/>
      <w:r>
        <w:rPr>
          <w:lang w:val="fr-MC"/>
        </w:rPr>
        <w:tab/>
      </w:r>
      <w:r>
        <w:rPr>
          <w:lang w:val="fr-MC"/>
        </w:rPr>
        <w:tab/>
      </w:r>
      <w:r w:rsidR="0016597A" w:rsidRPr="0016597A">
        <w:rPr>
          <w:lang w:val="fr-MC"/>
        </w:rPr>
        <w:t>C</w:t>
      </w:r>
      <w:r w:rsidR="00BC23B3">
        <w:rPr>
          <w:lang w:val="fr-MC"/>
        </w:rPr>
        <w:t xml:space="preserve">onclusion </w:t>
      </w:r>
      <w:bookmarkEnd w:id="51"/>
    </w:p>
    <w:p w14:paraId="1BF0FC6B" w14:textId="5606551A" w:rsidR="0016597A" w:rsidRPr="0016597A" w:rsidRDefault="00BF2F03" w:rsidP="00BF2F03">
      <w:pPr>
        <w:pStyle w:val="SingleTxtG"/>
        <w:rPr>
          <w:rFonts w:eastAsia="Calibri"/>
          <w:lang w:val="fr-FR"/>
        </w:rPr>
      </w:pPr>
      <w:r w:rsidRPr="0016597A">
        <w:rPr>
          <w:rFonts w:eastAsia="Calibri"/>
          <w:lang w:val="fr-FR"/>
        </w:rPr>
        <w:t>205.</w:t>
      </w:r>
      <w:r w:rsidRPr="0016597A">
        <w:rPr>
          <w:rFonts w:eastAsia="Calibri"/>
          <w:lang w:val="fr-FR"/>
        </w:rPr>
        <w:tab/>
      </w:r>
      <w:r w:rsidR="0016597A" w:rsidRPr="0016597A">
        <w:rPr>
          <w:lang w:val="fr-MC" w:eastAsia="fr-FR"/>
        </w:rPr>
        <w:t>Il ressort de ce rapport que des réformes importantes ont été réalisées dans l’exécutif et</w:t>
      </w:r>
      <w:r w:rsidR="0016597A">
        <w:rPr>
          <w:lang w:val="fr-MC" w:eastAsia="fr-FR"/>
        </w:rPr>
        <w:t xml:space="preserve"> </w:t>
      </w:r>
      <w:r w:rsidR="0016597A" w:rsidRPr="0016597A">
        <w:rPr>
          <w:lang w:val="fr-MC" w:eastAsia="fr-FR"/>
        </w:rPr>
        <w:t xml:space="preserve">dans le </w:t>
      </w:r>
      <w:r w:rsidR="0016597A" w:rsidRPr="0016597A">
        <w:rPr>
          <w:lang w:val="fr-MC"/>
        </w:rPr>
        <w:t>législatif</w:t>
      </w:r>
      <w:r w:rsidR="0016597A" w:rsidRPr="0016597A">
        <w:rPr>
          <w:lang w:val="fr-MC" w:eastAsia="fr-FR"/>
        </w:rPr>
        <w:t xml:space="preserve"> par rapport à la situation qui prévalait au moment de la production du dernier rapport en 2013. </w:t>
      </w:r>
    </w:p>
    <w:p w14:paraId="07105397" w14:textId="6C335375" w:rsidR="0016597A" w:rsidRPr="0016597A" w:rsidRDefault="00BF2F03" w:rsidP="00BF2F03">
      <w:pPr>
        <w:pStyle w:val="SingleTxtG"/>
        <w:rPr>
          <w:rFonts w:eastAsia="Calibri"/>
          <w:lang w:val="fr-FR"/>
        </w:rPr>
      </w:pPr>
      <w:r w:rsidRPr="0016597A">
        <w:rPr>
          <w:rFonts w:eastAsia="Calibri"/>
          <w:lang w:val="fr-FR"/>
        </w:rPr>
        <w:t>206.</w:t>
      </w:r>
      <w:r w:rsidRPr="0016597A">
        <w:rPr>
          <w:rFonts w:eastAsia="Calibri"/>
          <w:lang w:val="fr-FR"/>
        </w:rPr>
        <w:tab/>
      </w:r>
      <w:r w:rsidR="0016597A" w:rsidRPr="0016597A">
        <w:rPr>
          <w:lang w:val="fr-MC" w:eastAsia="fr-FR"/>
        </w:rPr>
        <w:t xml:space="preserve">En effet, les cadres juridiques et institutionnels des droits de l’homme ont également </w:t>
      </w:r>
      <w:r w:rsidR="0016597A" w:rsidRPr="0016597A">
        <w:rPr>
          <w:lang w:val="fr-MC"/>
        </w:rPr>
        <w:t>positivement</w:t>
      </w:r>
      <w:r w:rsidR="0016597A" w:rsidRPr="0016597A">
        <w:rPr>
          <w:lang w:val="fr-MC" w:eastAsia="fr-FR"/>
        </w:rPr>
        <w:t xml:space="preserve"> évolué. C’est notamment la mise en place des différentes commissions dont la Commission Vérité et Réconciliation (CVR), la Commission Nationale de Dialogue Inter-Burundais</w:t>
      </w:r>
      <w:r w:rsidR="00B96926">
        <w:rPr>
          <w:lang w:val="fr-MC" w:eastAsia="fr-FR"/>
        </w:rPr>
        <w:t xml:space="preserve"> </w:t>
      </w:r>
      <w:r w:rsidR="0016597A" w:rsidRPr="0016597A">
        <w:rPr>
          <w:lang w:val="fr-MC" w:eastAsia="fr-FR"/>
        </w:rPr>
        <w:t>(CNDI)</w:t>
      </w:r>
      <w:r w:rsidR="009B173B">
        <w:rPr>
          <w:lang w:val="fr-MC" w:eastAsia="fr-FR"/>
        </w:rPr>
        <w:t>,</w:t>
      </w:r>
      <w:r w:rsidR="0016597A" w:rsidRPr="0016597A">
        <w:rPr>
          <w:lang w:val="fr-MC" w:eastAsia="fr-FR"/>
        </w:rPr>
        <w:t xml:space="preserve"> etc.</w:t>
      </w:r>
    </w:p>
    <w:p w14:paraId="18637C9C" w14:textId="7F570DCA" w:rsidR="0016597A" w:rsidRPr="0016597A" w:rsidRDefault="00BF2F03" w:rsidP="00BF2F03">
      <w:pPr>
        <w:pStyle w:val="SingleTxtG"/>
        <w:rPr>
          <w:rFonts w:eastAsia="Calibri"/>
          <w:lang w:val="fr-FR"/>
        </w:rPr>
      </w:pPr>
      <w:r w:rsidRPr="0016597A">
        <w:rPr>
          <w:rFonts w:eastAsia="Calibri"/>
          <w:lang w:val="fr-FR"/>
        </w:rPr>
        <w:t>207.</w:t>
      </w:r>
      <w:r w:rsidRPr="0016597A">
        <w:rPr>
          <w:rFonts w:eastAsia="Calibri"/>
          <w:lang w:val="fr-FR"/>
        </w:rPr>
        <w:tab/>
      </w:r>
      <w:r w:rsidR="0016597A" w:rsidRPr="0016597A">
        <w:rPr>
          <w:lang w:val="fr-MC" w:eastAsia="fr-FR"/>
        </w:rPr>
        <w:t xml:space="preserve">Le Gouvernement de la République du Burundi a en outre promulgué le Code </w:t>
      </w:r>
      <w:r w:rsidR="00A2570C">
        <w:rPr>
          <w:lang w:val="fr-MC" w:eastAsia="fr-FR"/>
        </w:rPr>
        <w:t>p</w:t>
      </w:r>
      <w:r w:rsidR="0016597A" w:rsidRPr="0016597A">
        <w:rPr>
          <w:lang w:val="fr-MC" w:eastAsia="fr-FR"/>
        </w:rPr>
        <w:t>énal de 2017 dans lequel il est incorporé la définition de la torture telle que consacrée par la Convention contre la torture.</w:t>
      </w:r>
      <w:r w:rsidR="0016597A">
        <w:rPr>
          <w:lang w:val="fr-MC" w:eastAsia="fr-FR"/>
        </w:rPr>
        <w:t xml:space="preserve"> </w:t>
      </w:r>
      <w:r w:rsidR="0016597A" w:rsidRPr="0016597A">
        <w:rPr>
          <w:lang w:val="fr-MC" w:eastAsia="fr-FR"/>
        </w:rPr>
        <w:t xml:space="preserve">Il y a eu également la révision du Code de </w:t>
      </w:r>
      <w:r w:rsidR="00A2570C">
        <w:rPr>
          <w:lang w:val="fr-MC" w:eastAsia="fr-FR"/>
        </w:rPr>
        <w:t>p</w:t>
      </w:r>
      <w:r w:rsidR="0016597A" w:rsidRPr="0016597A">
        <w:rPr>
          <w:lang w:val="fr-MC" w:eastAsia="fr-FR"/>
        </w:rPr>
        <w:t xml:space="preserve">rocédure </w:t>
      </w:r>
      <w:r w:rsidR="00A2570C">
        <w:rPr>
          <w:lang w:val="fr-MC" w:eastAsia="fr-FR"/>
        </w:rPr>
        <w:t>p</w:t>
      </w:r>
      <w:r w:rsidR="0016597A" w:rsidRPr="0016597A">
        <w:rPr>
          <w:lang w:val="fr-MC" w:eastAsia="fr-FR"/>
        </w:rPr>
        <w:t xml:space="preserve">énale de 2018 et la promulgation de la loi spécifique sur les </w:t>
      </w:r>
      <w:proofErr w:type="spellStart"/>
      <w:r w:rsidR="0016597A" w:rsidRPr="0016597A">
        <w:rPr>
          <w:lang w:val="fr-MC" w:eastAsia="fr-FR"/>
        </w:rPr>
        <w:t>VBGs</w:t>
      </w:r>
      <w:proofErr w:type="spellEnd"/>
      <w:r w:rsidR="0016597A" w:rsidRPr="0016597A">
        <w:rPr>
          <w:lang w:val="fr-MC" w:eastAsia="fr-FR"/>
        </w:rPr>
        <w:t xml:space="preserve">, etc. </w:t>
      </w:r>
    </w:p>
    <w:p w14:paraId="3BB01B5A" w14:textId="551AC727" w:rsidR="0016597A" w:rsidRPr="0016597A" w:rsidRDefault="00BF2F03" w:rsidP="00BF2F03">
      <w:pPr>
        <w:pStyle w:val="SingleTxtG"/>
        <w:rPr>
          <w:rFonts w:eastAsia="Calibri"/>
          <w:lang w:val="fr-FR"/>
        </w:rPr>
      </w:pPr>
      <w:r w:rsidRPr="0016597A">
        <w:rPr>
          <w:rFonts w:eastAsia="Calibri"/>
          <w:lang w:val="fr-FR"/>
        </w:rPr>
        <w:t>208.</w:t>
      </w:r>
      <w:r w:rsidRPr="0016597A">
        <w:rPr>
          <w:rFonts w:eastAsia="Calibri"/>
          <w:lang w:val="fr-FR"/>
        </w:rPr>
        <w:tab/>
      </w:r>
      <w:r w:rsidR="0016597A" w:rsidRPr="0016597A">
        <w:rPr>
          <w:lang w:val="fr-MC" w:eastAsia="fr-FR"/>
        </w:rPr>
        <w:t>En sus, le Gouvernement du Burundi a organisé, par</w:t>
      </w:r>
      <w:r w:rsidR="0016597A" w:rsidRPr="0016597A">
        <w:rPr>
          <w:color w:val="FF0000"/>
          <w:lang w:val="fr-MC" w:eastAsia="fr-FR"/>
        </w:rPr>
        <w:t xml:space="preserve"> </w:t>
      </w:r>
      <w:r w:rsidR="0016597A" w:rsidRPr="0016597A">
        <w:rPr>
          <w:lang w:val="fr-MC" w:eastAsia="fr-FR"/>
        </w:rPr>
        <w:t xml:space="preserve">le biais du Ministère des Droits Personne </w:t>
      </w:r>
      <w:r w:rsidR="0016597A" w:rsidRPr="0016597A">
        <w:rPr>
          <w:lang w:val="fr-MC"/>
        </w:rPr>
        <w:t>Humaine</w:t>
      </w:r>
      <w:r w:rsidR="0016597A" w:rsidRPr="0016597A">
        <w:rPr>
          <w:lang w:val="fr-MC" w:eastAsia="fr-FR"/>
        </w:rPr>
        <w:t>, des Affaires Sociales et du Genre,</w:t>
      </w:r>
      <w:r w:rsidR="0016597A" w:rsidRPr="0016597A">
        <w:rPr>
          <w:color w:val="FF0000"/>
          <w:lang w:val="fr-MC" w:eastAsia="fr-FR"/>
        </w:rPr>
        <w:t xml:space="preserve"> </w:t>
      </w:r>
      <w:r w:rsidR="0016597A" w:rsidRPr="0016597A">
        <w:rPr>
          <w:lang w:val="fr-MC" w:eastAsia="fr-FR"/>
        </w:rPr>
        <w:t>une série</w:t>
      </w:r>
      <w:r w:rsidR="0016597A" w:rsidRPr="0016597A">
        <w:rPr>
          <w:color w:val="FF0000"/>
          <w:lang w:val="fr-MC" w:eastAsia="fr-FR"/>
        </w:rPr>
        <w:t xml:space="preserve"> </w:t>
      </w:r>
      <w:r w:rsidR="0016597A" w:rsidRPr="0016597A">
        <w:rPr>
          <w:lang w:val="fr-MC" w:eastAsia="fr-FR"/>
        </w:rPr>
        <w:t>de formations et de sensibilisations en droits humains à l’endroit des Juges des tribunaux de résidence, des</w:t>
      </w:r>
      <w:r w:rsidR="0016597A">
        <w:rPr>
          <w:lang w:val="fr-MC" w:eastAsia="fr-FR"/>
        </w:rPr>
        <w:t xml:space="preserve"> </w:t>
      </w:r>
      <w:r w:rsidR="0016597A" w:rsidRPr="0016597A">
        <w:rPr>
          <w:lang w:val="fr-MC" w:eastAsia="fr-FR"/>
        </w:rPr>
        <w:t>Officiers de Police Judiciaire (OPJ) et des</w:t>
      </w:r>
      <w:r w:rsidR="0016597A" w:rsidRPr="0016597A">
        <w:rPr>
          <w:color w:val="FF0000"/>
          <w:lang w:val="fr-MC" w:eastAsia="fr-FR"/>
        </w:rPr>
        <w:t xml:space="preserve"> </w:t>
      </w:r>
      <w:r w:rsidR="0016597A" w:rsidRPr="0016597A">
        <w:rPr>
          <w:lang w:val="fr-MC" w:eastAsia="fr-FR"/>
        </w:rPr>
        <w:t>jeunes</w:t>
      </w:r>
      <w:r w:rsidR="0016597A">
        <w:rPr>
          <w:lang w:val="fr-MC" w:eastAsia="fr-FR"/>
        </w:rPr>
        <w:t xml:space="preserve"> </w:t>
      </w:r>
      <w:r w:rsidR="0016597A" w:rsidRPr="0016597A">
        <w:rPr>
          <w:lang w:val="fr-MC" w:eastAsia="fr-FR"/>
        </w:rPr>
        <w:t>dans le but de rappeler le respect des droits et libertés individuelles et collectives, l’interdiction de la torture, l’éradication de cette pratique de torture sous toutes ses formes etc.</w:t>
      </w:r>
    </w:p>
    <w:p w14:paraId="6E162BC0" w14:textId="5610946C" w:rsidR="0016597A" w:rsidRPr="0016597A" w:rsidRDefault="00BF2F03" w:rsidP="00BF2F03">
      <w:pPr>
        <w:pStyle w:val="SingleTxtG"/>
        <w:rPr>
          <w:rFonts w:eastAsia="Calibri"/>
          <w:lang w:val="fr-FR"/>
        </w:rPr>
      </w:pPr>
      <w:r w:rsidRPr="0016597A">
        <w:rPr>
          <w:rFonts w:eastAsia="Calibri"/>
          <w:lang w:val="fr-FR"/>
        </w:rPr>
        <w:t>209.</w:t>
      </w:r>
      <w:r w:rsidRPr="0016597A">
        <w:rPr>
          <w:rFonts w:eastAsia="Calibri"/>
          <w:lang w:val="fr-FR"/>
        </w:rPr>
        <w:tab/>
      </w:r>
      <w:r w:rsidR="0016597A" w:rsidRPr="0016597A">
        <w:rPr>
          <w:lang w:val="fr-MC" w:eastAsia="fr-FR"/>
        </w:rPr>
        <w:t>Eu égard à ce qui précède, il y a lieu d’affirmer que le pas déjà franchi dans la mise en œuvre de la Convention contre la Torture et autres Peines ou</w:t>
      </w:r>
      <w:r w:rsidR="0016597A" w:rsidRPr="0016597A">
        <w:rPr>
          <w:color w:val="FF0000"/>
          <w:lang w:val="fr-MC" w:eastAsia="fr-FR"/>
        </w:rPr>
        <w:t xml:space="preserve"> </w:t>
      </w:r>
      <w:r w:rsidR="0016597A" w:rsidRPr="0016597A">
        <w:rPr>
          <w:lang w:val="fr-MC" w:eastAsia="fr-FR"/>
        </w:rPr>
        <w:t>Traitements Cruels,</w:t>
      </w:r>
      <w:r w:rsidR="0016597A">
        <w:rPr>
          <w:lang w:val="fr-MC" w:eastAsia="fr-FR"/>
        </w:rPr>
        <w:t xml:space="preserve"> </w:t>
      </w:r>
      <w:r w:rsidR="0016597A" w:rsidRPr="0016597A">
        <w:rPr>
          <w:lang w:val="fr-MC" w:eastAsia="fr-FR"/>
        </w:rPr>
        <w:t>Inhumains</w:t>
      </w:r>
      <w:r w:rsidR="0016597A">
        <w:rPr>
          <w:lang w:val="fr-MC" w:eastAsia="fr-FR"/>
        </w:rPr>
        <w:t xml:space="preserve"> </w:t>
      </w:r>
      <w:r w:rsidR="0016597A" w:rsidRPr="0016597A">
        <w:rPr>
          <w:lang w:val="fr-MC" w:eastAsia="fr-FR"/>
        </w:rPr>
        <w:t xml:space="preserve">ou </w:t>
      </w:r>
      <w:r w:rsidR="0016597A" w:rsidRPr="0016597A">
        <w:rPr>
          <w:lang w:val="fr-MC"/>
        </w:rPr>
        <w:t>Dégradants</w:t>
      </w:r>
      <w:r w:rsidR="0016597A" w:rsidRPr="0016597A">
        <w:rPr>
          <w:lang w:val="fr-MC" w:eastAsia="fr-FR"/>
        </w:rPr>
        <w:t xml:space="preserve"> par le Burundi est satisfaisant. </w:t>
      </w:r>
    </w:p>
    <w:p w14:paraId="63995FB5" w14:textId="1D836D9B" w:rsidR="00BE3C14" w:rsidRDefault="00BF2F03" w:rsidP="00BF2F03">
      <w:pPr>
        <w:pStyle w:val="SingleTxtG"/>
        <w:rPr>
          <w:lang w:val="fr-MC" w:eastAsia="fr-FR"/>
        </w:rPr>
      </w:pPr>
      <w:r>
        <w:rPr>
          <w:lang w:val="fr-MC" w:eastAsia="fr-FR"/>
        </w:rPr>
        <w:t>210.</w:t>
      </w:r>
      <w:r>
        <w:rPr>
          <w:lang w:val="fr-MC" w:eastAsia="fr-FR"/>
        </w:rPr>
        <w:tab/>
      </w:r>
      <w:r w:rsidR="0016597A" w:rsidRPr="0016597A">
        <w:rPr>
          <w:lang w:val="fr-MC" w:eastAsia="fr-FR"/>
        </w:rPr>
        <w:t xml:space="preserve">Le Gouvernement réitère son attachement à la cause des droits de l’homme, à la justice, à la paix </w:t>
      </w:r>
      <w:r w:rsidR="0016597A" w:rsidRPr="0016597A">
        <w:rPr>
          <w:lang w:val="fr-MC"/>
        </w:rPr>
        <w:t>et</w:t>
      </w:r>
      <w:r w:rsidR="0016597A" w:rsidRPr="0016597A">
        <w:rPr>
          <w:lang w:val="fr-MC" w:eastAsia="fr-FR"/>
        </w:rPr>
        <w:t xml:space="preserve"> au développement pour tous.</w:t>
      </w:r>
    </w:p>
    <w:p w14:paraId="0DF97F72" w14:textId="4AE22EF0" w:rsidR="00BD1593" w:rsidRPr="00BD1593" w:rsidRDefault="00BD1593" w:rsidP="00BD1593">
      <w:pPr>
        <w:pStyle w:val="SingleTxtG"/>
        <w:spacing w:before="240" w:after="0"/>
        <w:jc w:val="center"/>
        <w:rPr>
          <w:u w:val="single"/>
        </w:rPr>
      </w:pPr>
      <w:r>
        <w:rPr>
          <w:u w:val="single"/>
          <w:lang w:val="fr-MC" w:eastAsia="fr-FR"/>
        </w:rPr>
        <w:tab/>
      </w:r>
      <w:r>
        <w:rPr>
          <w:u w:val="single"/>
          <w:lang w:val="fr-MC" w:eastAsia="fr-FR"/>
        </w:rPr>
        <w:tab/>
      </w:r>
      <w:r>
        <w:rPr>
          <w:u w:val="single"/>
          <w:lang w:val="fr-MC" w:eastAsia="fr-FR"/>
        </w:rPr>
        <w:tab/>
      </w:r>
      <w:r w:rsidR="00803DC8">
        <w:rPr>
          <w:u w:val="single"/>
          <w:lang w:val="fr-MC" w:eastAsia="fr-FR"/>
        </w:rPr>
        <w:tab/>
      </w:r>
    </w:p>
    <w:sectPr w:rsidR="00BD1593" w:rsidRPr="00BD1593" w:rsidSect="0038503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CA0EE" w14:textId="77777777" w:rsidR="00620700" w:rsidRDefault="00620700">
      <w:pPr>
        <w:spacing w:line="240" w:lineRule="auto"/>
      </w:pPr>
      <w:r>
        <w:separator/>
      </w:r>
    </w:p>
  </w:endnote>
  <w:endnote w:type="continuationSeparator" w:id="0">
    <w:p w14:paraId="2E8DE962" w14:textId="77777777" w:rsidR="00620700" w:rsidRDefault="00620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6B1E" w14:textId="2D42B45B" w:rsidR="00BC23B3" w:rsidRDefault="00BC23B3">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82304E">
      <w:rPr>
        <w:b/>
        <w:noProof/>
        <w:sz w:val="18"/>
      </w:rPr>
      <w:t>20</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5444" w14:textId="1074586A" w:rsidR="00BC23B3" w:rsidRDefault="00BC23B3">
    <w:pPr>
      <w:pStyle w:val="Pieddepag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82304E">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FF30" w14:textId="209F5ED8" w:rsidR="001874D6" w:rsidRPr="001874D6" w:rsidRDefault="001874D6" w:rsidP="001874D6">
    <w:pPr>
      <w:pStyle w:val="Pieddepage"/>
      <w:tabs>
        <w:tab w:val="left" w:pos="6520"/>
        <w:tab w:val="right" w:pos="9638"/>
      </w:tabs>
      <w:spacing w:before="120"/>
      <w:rPr>
        <w:sz w:val="20"/>
      </w:rPr>
    </w:pPr>
    <w:r>
      <w:rPr>
        <w:sz w:val="20"/>
      </w:rPr>
      <w:t>GE.22-01976  (F)</w:t>
    </w:r>
    <w:bookmarkStart w:id="52" w:name="_GoBack"/>
    <w:bookmarkEnd w:id="52"/>
    <w:r>
      <w:rPr>
        <w:sz w:val="20"/>
      </w:rPr>
      <w:tab/>
    </w:r>
    <w:r w:rsidRPr="001874D6">
      <w:rPr>
        <w:noProof/>
        <w:sz w:val="20"/>
        <w:lang w:eastAsia="fr-CH"/>
      </w:rPr>
      <w:drawing>
        <wp:inline distT="0" distB="0" distL="0" distR="0" wp14:anchorId="7A7F9DC9" wp14:editId="0CD52A8C">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338916C8" wp14:editId="79658201">
          <wp:extent cx="563880" cy="563880"/>
          <wp:effectExtent l="0" t="0" r="762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C338" w14:textId="77777777" w:rsidR="00620700" w:rsidRDefault="00620700">
      <w:pPr>
        <w:pStyle w:val="Pieddepage"/>
        <w:tabs>
          <w:tab w:val="right" w:pos="2155"/>
        </w:tabs>
        <w:spacing w:after="80" w:line="240" w:lineRule="atLeast"/>
        <w:ind w:left="680"/>
        <w:rPr>
          <w:u w:val="single"/>
        </w:rPr>
      </w:pPr>
      <w:r>
        <w:rPr>
          <w:u w:val="single"/>
        </w:rPr>
        <w:tab/>
      </w:r>
    </w:p>
  </w:footnote>
  <w:footnote w:type="continuationSeparator" w:id="0">
    <w:p w14:paraId="7F926F34" w14:textId="77777777" w:rsidR="00620700" w:rsidRDefault="00620700">
      <w:pPr>
        <w:pStyle w:val="Pieddepage"/>
        <w:tabs>
          <w:tab w:val="right" w:pos="2155"/>
        </w:tabs>
        <w:spacing w:after="80" w:line="240" w:lineRule="atLeast"/>
        <w:ind w:left="680"/>
        <w:rPr>
          <w:u w:val="single"/>
        </w:rPr>
      </w:pPr>
      <w:r>
        <w:rPr>
          <w:u w:val="single"/>
        </w:rPr>
        <w:tab/>
      </w:r>
    </w:p>
  </w:footnote>
  <w:footnote w:type="continuationNotice" w:id="1">
    <w:p w14:paraId="1BBE124C" w14:textId="77777777" w:rsidR="00620700" w:rsidRDefault="00620700">
      <w:pPr>
        <w:spacing w:line="240" w:lineRule="auto"/>
        <w:rPr>
          <w:sz w:val="2"/>
          <w:szCs w:val="2"/>
        </w:rPr>
      </w:pPr>
    </w:p>
  </w:footnote>
  <w:footnote w:id="2">
    <w:p w14:paraId="3E45173D" w14:textId="54B2B546" w:rsidR="00BC23B3" w:rsidRDefault="00BC23B3">
      <w:pPr>
        <w:pStyle w:val="Notedebasdepage"/>
      </w:pPr>
      <w:r>
        <w:tab/>
      </w:r>
      <w:r>
        <w:rPr>
          <w:rStyle w:val="Appelnotedebasdep"/>
          <w:sz w:val="20"/>
          <w:vertAlign w:val="baseline"/>
        </w:rPr>
        <w:t>*</w:t>
      </w:r>
      <w:r>
        <w:rPr>
          <w:sz w:val="20"/>
        </w:rPr>
        <w:tab/>
      </w:r>
      <w:r w:rsidR="00FC2DDF">
        <w:t>Le</w:t>
      </w:r>
      <w:r>
        <w:t xml:space="preserve"> présent document n’a pas été revu par les services d’édition.</w:t>
      </w:r>
    </w:p>
  </w:footnote>
  <w:footnote w:id="3">
    <w:p w14:paraId="7B994597" w14:textId="77777777" w:rsidR="00BC23B3" w:rsidRPr="003376C8" w:rsidRDefault="00BC23B3" w:rsidP="009647C1">
      <w:pPr>
        <w:pStyle w:val="Notedebasdepage"/>
        <w:rPr>
          <w:lang w:val="fr-FR"/>
        </w:rPr>
      </w:pPr>
      <w:r>
        <w:tab/>
      </w:r>
      <w:r w:rsidRPr="00B345A8">
        <w:rPr>
          <w:rStyle w:val="Appelnotedebasdep"/>
        </w:rPr>
        <w:footnoteRef/>
      </w:r>
      <w:r>
        <w:tab/>
      </w:r>
      <w:r w:rsidRPr="009647C1">
        <w:t>Données</w:t>
      </w:r>
      <w:r>
        <w:rPr>
          <w:lang w:val="fr-FR"/>
        </w:rPr>
        <w:t xml:space="preserve"> recueillies en 2016.</w:t>
      </w:r>
    </w:p>
  </w:footnote>
  <w:footnote w:id="4">
    <w:p w14:paraId="420FA82B" w14:textId="66E12B4C" w:rsidR="00BC23B3" w:rsidRPr="00052FA9" w:rsidRDefault="00BC23B3" w:rsidP="0016597A">
      <w:pPr>
        <w:pStyle w:val="Notedebasdepage"/>
        <w:rPr>
          <w:szCs w:val="18"/>
          <w:lang w:val="fr-FR"/>
        </w:rPr>
      </w:pPr>
      <w:r>
        <w:rPr>
          <w:szCs w:val="18"/>
        </w:rPr>
        <w:tab/>
      </w:r>
      <w:r w:rsidRPr="00B345A8">
        <w:rPr>
          <w:rStyle w:val="Appelnotedebasdep"/>
        </w:rPr>
        <w:footnoteRef/>
      </w:r>
      <w:r>
        <w:rPr>
          <w:szCs w:val="18"/>
        </w:rPr>
        <w:tab/>
        <w:t xml:space="preserve">Décret </w:t>
      </w:r>
      <w:r w:rsidR="00145C25" w:rsidRPr="0016597A">
        <w:rPr>
          <w:lang w:val="fr-MC"/>
        </w:rPr>
        <w:t>n</w:t>
      </w:r>
      <w:r w:rsidR="00145C25" w:rsidRPr="008A395C">
        <w:rPr>
          <w:vertAlign w:val="superscript"/>
          <w:lang w:val="fr-MC"/>
        </w:rPr>
        <w:t>o</w:t>
      </w:r>
      <w:r w:rsidR="00145C25">
        <w:rPr>
          <w:lang w:val="fr-MC"/>
        </w:rPr>
        <w:t> </w:t>
      </w:r>
      <w:r>
        <w:rPr>
          <w:szCs w:val="18"/>
        </w:rPr>
        <w:t>100/057 du 04/04/2016</w:t>
      </w:r>
      <w:r w:rsidRPr="00052FA9">
        <w:rPr>
          <w:szCs w:val="18"/>
        </w:rPr>
        <w:t xml:space="preserve"> portant </w:t>
      </w:r>
      <w:r>
        <w:rPr>
          <w:szCs w:val="18"/>
        </w:rPr>
        <w:t>missions, organisation et fonctionnement du Ministère des Droits de la Personne Humaine, des Affaires Sociales et du Genre</w:t>
      </w:r>
      <w:r w:rsidRPr="00052FA9">
        <w:rPr>
          <w:szCs w:val="18"/>
        </w:rPr>
        <w:t>.</w:t>
      </w:r>
    </w:p>
  </w:footnote>
  <w:footnote w:id="5">
    <w:p w14:paraId="6DB34C44" w14:textId="77777777" w:rsidR="00BC23B3" w:rsidRPr="00491F3E" w:rsidRDefault="00BC23B3" w:rsidP="009647C1">
      <w:pPr>
        <w:pStyle w:val="Notedebasdepage"/>
      </w:pPr>
      <w:r>
        <w:tab/>
      </w:r>
      <w:r w:rsidRPr="00B345A8">
        <w:rPr>
          <w:rStyle w:val="Appelnotedebasdep"/>
        </w:rPr>
        <w:footnoteRef/>
      </w:r>
      <w:r>
        <w:tab/>
      </w:r>
      <w:r w:rsidRPr="00491F3E">
        <w:t xml:space="preserve">Article 25 de la </w:t>
      </w:r>
      <w:r w:rsidRPr="009647C1">
        <w:t>Constitution</w:t>
      </w:r>
      <w:r w:rsidRPr="00491F3E">
        <w:t xml:space="preserve"> de la République de 2018</w:t>
      </w:r>
      <w:r>
        <w:t>.</w:t>
      </w:r>
    </w:p>
  </w:footnote>
  <w:footnote w:id="6">
    <w:p w14:paraId="1281B3F5" w14:textId="17870116" w:rsidR="00BC23B3" w:rsidRPr="00491F3E" w:rsidRDefault="00BC23B3" w:rsidP="009647C1">
      <w:pPr>
        <w:pStyle w:val="Notedebasdepage"/>
      </w:pPr>
      <w:r>
        <w:tab/>
      </w:r>
      <w:r w:rsidRPr="00B345A8">
        <w:rPr>
          <w:rStyle w:val="Appelnotedebasdep"/>
        </w:rPr>
        <w:footnoteRef/>
      </w:r>
      <w:r>
        <w:tab/>
      </w:r>
      <w:r w:rsidRPr="00491F3E">
        <w:t xml:space="preserve">Articles 289 et 290 du </w:t>
      </w:r>
      <w:r w:rsidR="00F709B2" w:rsidRPr="00491F3E">
        <w:t xml:space="preserve">Code </w:t>
      </w:r>
      <w:r w:rsidRPr="00491F3E">
        <w:t>de procédure pénale</w:t>
      </w:r>
      <w:r>
        <w:t>.</w:t>
      </w:r>
    </w:p>
  </w:footnote>
  <w:footnote w:id="7">
    <w:p w14:paraId="14E17D2C" w14:textId="3BCB93DA" w:rsidR="00BC23B3" w:rsidRPr="00A22CB2" w:rsidRDefault="00BC23B3" w:rsidP="0016597A">
      <w:pPr>
        <w:pStyle w:val="Notedebasdepage"/>
      </w:pPr>
      <w:r>
        <w:tab/>
      </w:r>
      <w:r w:rsidRPr="00B345A8">
        <w:rPr>
          <w:rStyle w:val="Appelnotedebasdep"/>
        </w:rPr>
        <w:footnoteRef/>
      </w:r>
      <w:r>
        <w:tab/>
      </w:r>
      <w:r w:rsidRPr="009647C1">
        <w:t>Article</w:t>
      </w:r>
      <w:r w:rsidR="0020117D">
        <w:t>s</w:t>
      </w:r>
      <w:r w:rsidRPr="00491F3E">
        <w:t xml:space="preserve"> 21et 25 de la Consti</w:t>
      </w:r>
      <w:r>
        <w:t>tution de la République de 2018.</w:t>
      </w:r>
    </w:p>
  </w:footnote>
  <w:footnote w:id="8">
    <w:p w14:paraId="298BB92F" w14:textId="361F3074" w:rsidR="00BC23B3" w:rsidRPr="00491F3E" w:rsidRDefault="00BC23B3" w:rsidP="0016597A">
      <w:pPr>
        <w:pStyle w:val="Notedebasdepage"/>
        <w:rPr>
          <w:lang w:val="fr-FR"/>
        </w:rPr>
      </w:pPr>
      <w:r>
        <w:tab/>
      </w:r>
      <w:r w:rsidRPr="00B345A8">
        <w:rPr>
          <w:rStyle w:val="Appelnotedebasdep"/>
        </w:rPr>
        <w:footnoteRef/>
      </w:r>
      <w:r>
        <w:tab/>
      </w:r>
      <w:r w:rsidRPr="00491F3E">
        <w:t xml:space="preserve">Article 206 de la </w:t>
      </w:r>
      <w:r w:rsidR="0020117D">
        <w:t>l</w:t>
      </w:r>
      <w:r w:rsidRPr="00491F3E">
        <w:t xml:space="preserve">oi </w:t>
      </w:r>
      <w:r w:rsidR="0020117D" w:rsidRPr="0016597A">
        <w:rPr>
          <w:lang w:val="fr-MC"/>
        </w:rPr>
        <w:t>n</w:t>
      </w:r>
      <w:r w:rsidR="0020117D" w:rsidRPr="008A395C">
        <w:rPr>
          <w:vertAlign w:val="superscript"/>
          <w:lang w:val="fr-MC"/>
        </w:rPr>
        <w:t>o</w:t>
      </w:r>
      <w:r w:rsidR="0020117D">
        <w:rPr>
          <w:lang w:val="fr-MC"/>
        </w:rPr>
        <w:t> </w:t>
      </w:r>
      <w:r w:rsidRPr="00491F3E">
        <w:t xml:space="preserve">1/27 du 29 décembre 2017 portant révision du Code </w:t>
      </w:r>
      <w:r w:rsidR="0020117D">
        <w:t>p</w:t>
      </w:r>
      <w:r w:rsidRPr="00491F3E">
        <w:t>énal</w:t>
      </w:r>
      <w:r>
        <w:t>.</w:t>
      </w:r>
      <w:r w:rsidRPr="00491F3E">
        <w:t xml:space="preserve"> </w:t>
      </w:r>
    </w:p>
  </w:footnote>
  <w:footnote w:id="9">
    <w:p w14:paraId="704BFC64" w14:textId="77777777" w:rsidR="00BC23B3" w:rsidRPr="00491F3E" w:rsidRDefault="00BC23B3" w:rsidP="0016597A">
      <w:pPr>
        <w:pStyle w:val="Notedebasdepage"/>
        <w:rPr>
          <w:lang w:val="fr-FR"/>
        </w:rPr>
      </w:pPr>
      <w:r>
        <w:tab/>
      </w:r>
      <w:r w:rsidRPr="00B345A8">
        <w:rPr>
          <w:rStyle w:val="Appelnotedebasdep"/>
        </w:rPr>
        <w:footnoteRef/>
      </w:r>
      <w:r>
        <w:tab/>
        <w:t>Article 210 de la même loi.</w:t>
      </w:r>
    </w:p>
  </w:footnote>
  <w:footnote w:id="10">
    <w:p w14:paraId="2E1E6AA3" w14:textId="42EE7B1F" w:rsidR="00BC23B3" w:rsidRPr="00491F3E" w:rsidRDefault="00BC23B3" w:rsidP="0016597A">
      <w:pPr>
        <w:pStyle w:val="Notedebasdepage"/>
      </w:pPr>
      <w:r>
        <w:tab/>
      </w:r>
      <w:r w:rsidRPr="00B345A8">
        <w:rPr>
          <w:rStyle w:val="Appelnotedebasdep"/>
        </w:rPr>
        <w:footnoteRef/>
      </w:r>
      <w:r w:rsidRPr="00491F3E">
        <w:t xml:space="preserve"> </w:t>
      </w:r>
      <w:r>
        <w:tab/>
      </w:r>
      <w:r w:rsidRPr="00491F3E">
        <w:t xml:space="preserve">L’article 8 de la loi </w:t>
      </w:r>
      <w:r w:rsidR="0020117D" w:rsidRPr="0016597A">
        <w:rPr>
          <w:lang w:val="fr-MC"/>
        </w:rPr>
        <w:t>n</w:t>
      </w:r>
      <w:r w:rsidR="0020117D" w:rsidRPr="008A395C">
        <w:rPr>
          <w:vertAlign w:val="superscript"/>
          <w:lang w:val="fr-MC"/>
        </w:rPr>
        <w:t>o</w:t>
      </w:r>
      <w:r w:rsidR="0020117D">
        <w:rPr>
          <w:lang w:val="fr-MC"/>
        </w:rPr>
        <w:t> </w:t>
      </w:r>
      <w:r w:rsidRPr="00491F3E">
        <w:t>1/22 du 25 juillet 2014 portant réglementation de l’action récursoire et directe de l’Etat et des communes contre leurs mandataires et leurs préposés</w:t>
      </w:r>
      <w:r>
        <w:t>.</w:t>
      </w:r>
    </w:p>
  </w:footnote>
  <w:footnote w:id="11">
    <w:p w14:paraId="5FEDAEAD" w14:textId="51F61E37" w:rsidR="00BC23B3" w:rsidRPr="00491F3E" w:rsidRDefault="00BC23B3" w:rsidP="0016597A">
      <w:pPr>
        <w:pStyle w:val="Notedebasdepage"/>
      </w:pPr>
      <w:r>
        <w:tab/>
      </w:r>
      <w:r w:rsidRPr="00B345A8">
        <w:rPr>
          <w:rStyle w:val="Appelnotedebasdep"/>
        </w:rPr>
        <w:footnoteRef/>
      </w:r>
      <w:r w:rsidRPr="00491F3E">
        <w:t xml:space="preserve"> </w:t>
      </w:r>
      <w:r>
        <w:tab/>
      </w:r>
      <w:r w:rsidRPr="00491F3E">
        <w:t xml:space="preserve">Article 219 du Code </w:t>
      </w:r>
      <w:r w:rsidR="0020117D">
        <w:t>p</w:t>
      </w:r>
      <w:r w:rsidRPr="00491F3E">
        <w:t>énal de 2017</w:t>
      </w:r>
      <w:r>
        <w:t>.</w:t>
      </w:r>
    </w:p>
  </w:footnote>
  <w:footnote w:id="12">
    <w:p w14:paraId="3C531D48" w14:textId="0DC5B50D" w:rsidR="00BC23B3" w:rsidRPr="00491F3E" w:rsidRDefault="00BC23B3" w:rsidP="0016597A">
      <w:pPr>
        <w:pStyle w:val="Notedebasdepage"/>
        <w:rPr>
          <w:lang w:val="fr-FR"/>
        </w:rPr>
      </w:pPr>
      <w:r>
        <w:rPr>
          <w:lang w:val="fr-FR"/>
        </w:rPr>
        <w:tab/>
      </w:r>
      <w:r w:rsidRPr="00B345A8">
        <w:rPr>
          <w:rStyle w:val="Appelnotedebasdep"/>
        </w:rPr>
        <w:footnoteRef/>
      </w:r>
      <w:r>
        <w:rPr>
          <w:lang w:val="fr-FR"/>
        </w:rPr>
        <w:tab/>
      </w:r>
      <w:r w:rsidRPr="00491F3E">
        <w:rPr>
          <w:lang w:val="fr-FR"/>
        </w:rPr>
        <w:t>Article 50 al</w:t>
      </w:r>
      <w:r w:rsidR="003E0A49">
        <w:rPr>
          <w:lang w:val="fr-FR"/>
        </w:rPr>
        <w:t xml:space="preserve">inéa </w:t>
      </w:r>
      <w:r w:rsidRPr="00491F3E">
        <w:rPr>
          <w:lang w:val="fr-FR"/>
        </w:rPr>
        <w:t>2 de la Constitution de la République du Burundi de 2018</w:t>
      </w:r>
      <w:r>
        <w:rPr>
          <w:lang w:val="fr-FR"/>
        </w:rPr>
        <w:t>.</w:t>
      </w:r>
    </w:p>
  </w:footnote>
  <w:footnote w:id="13">
    <w:p w14:paraId="5B97255A" w14:textId="74BF7E59" w:rsidR="00BC23B3" w:rsidRPr="0031428E" w:rsidRDefault="00BC23B3" w:rsidP="0016597A">
      <w:pPr>
        <w:pStyle w:val="Notedebasdepage"/>
      </w:pPr>
      <w:r>
        <w:rPr>
          <w:rFonts w:eastAsia="Times New Roman"/>
          <w:lang w:eastAsia="fr-MC"/>
        </w:rPr>
        <w:tab/>
      </w:r>
      <w:r w:rsidRPr="00B345A8">
        <w:rPr>
          <w:rStyle w:val="Appelnotedebasdep"/>
        </w:rPr>
        <w:footnoteRef/>
      </w:r>
      <w:r>
        <w:rPr>
          <w:rFonts w:eastAsia="Times New Roman"/>
          <w:lang w:eastAsia="fr-MC"/>
        </w:rPr>
        <w:tab/>
      </w:r>
      <w:r w:rsidRPr="0031428E">
        <w:rPr>
          <w:rFonts w:eastAsia="Times New Roman"/>
          <w:lang w:eastAsia="fr-MC"/>
        </w:rPr>
        <w:t xml:space="preserve">Article 219 du </w:t>
      </w:r>
      <w:r w:rsidR="0020117D" w:rsidRPr="0031428E">
        <w:rPr>
          <w:rFonts w:eastAsia="Times New Roman"/>
          <w:lang w:eastAsia="fr-MC"/>
        </w:rPr>
        <w:t xml:space="preserve">Code </w:t>
      </w:r>
      <w:r w:rsidRPr="0031428E">
        <w:rPr>
          <w:rFonts w:eastAsia="Times New Roman"/>
          <w:lang w:eastAsia="fr-MC"/>
        </w:rPr>
        <w:t>de procédure pénal</w:t>
      </w:r>
      <w:r w:rsidR="003E0A49">
        <w:rPr>
          <w:rFonts w:eastAsia="Times New Roman"/>
          <w:lang w:eastAsia="fr-MC"/>
        </w:rPr>
        <w:t>e</w:t>
      </w:r>
      <w:r w:rsidRPr="0031428E">
        <w:rPr>
          <w:rFonts w:eastAsia="Times New Roman"/>
          <w:lang w:eastAsia="fr-MC"/>
        </w:rPr>
        <w:t xml:space="preserve"> burundais de 2018</w:t>
      </w:r>
      <w:r>
        <w:rPr>
          <w:rFonts w:eastAsia="Times New Roman"/>
          <w:lang w:eastAsia="fr-MC"/>
        </w:rPr>
        <w:t>.</w:t>
      </w:r>
    </w:p>
  </w:footnote>
  <w:footnote w:id="14">
    <w:p w14:paraId="5080D180" w14:textId="77777777" w:rsidR="00BC23B3" w:rsidRPr="0031428E" w:rsidRDefault="00BC23B3" w:rsidP="0016597A">
      <w:pPr>
        <w:pStyle w:val="Notedebasdepage"/>
        <w:rPr>
          <w:lang w:val="fr-FR"/>
        </w:rPr>
      </w:pPr>
      <w:r>
        <w:rPr>
          <w:color w:val="000000"/>
          <w:lang w:val="fr-FR"/>
        </w:rPr>
        <w:tab/>
      </w:r>
      <w:r w:rsidRPr="00B345A8">
        <w:rPr>
          <w:rStyle w:val="Appelnotedebasdep"/>
        </w:rPr>
        <w:footnoteRef/>
      </w:r>
      <w:r>
        <w:rPr>
          <w:color w:val="000000"/>
          <w:lang w:val="fr-FR"/>
        </w:rPr>
        <w:tab/>
      </w:r>
      <w:r w:rsidRPr="0016597A">
        <w:rPr>
          <w:color w:val="000000"/>
          <w:lang w:val="fr-FR"/>
        </w:rPr>
        <w:t>Article 4 de la Convention sur la torture</w:t>
      </w:r>
      <w:r>
        <w:rPr>
          <w:color w:val="000000"/>
          <w:lang w:val="fr-FR"/>
        </w:rPr>
        <w:t>.</w:t>
      </w:r>
    </w:p>
  </w:footnote>
  <w:footnote w:id="15">
    <w:p w14:paraId="78F1F33D" w14:textId="053E4079" w:rsidR="00BC23B3" w:rsidRPr="0031428E" w:rsidRDefault="00BC23B3" w:rsidP="0016597A">
      <w:pPr>
        <w:pStyle w:val="Notedebasdepage"/>
        <w:rPr>
          <w:lang w:val="fr-FR"/>
        </w:rPr>
      </w:pPr>
      <w:r>
        <w:tab/>
      </w:r>
      <w:r w:rsidRPr="00B345A8">
        <w:rPr>
          <w:rStyle w:val="Appelnotedebasdep"/>
        </w:rPr>
        <w:footnoteRef/>
      </w:r>
      <w:r>
        <w:tab/>
      </w:r>
      <w:r w:rsidRPr="0031428E">
        <w:t xml:space="preserve">Article 207 de la </w:t>
      </w:r>
      <w:r w:rsidR="0020117D">
        <w:t>l</w:t>
      </w:r>
      <w:r w:rsidRPr="0031428E">
        <w:t xml:space="preserve">oi </w:t>
      </w:r>
      <w:r w:rsidR="0020117D" w:rsidRPr="0016597A">
        <w:rPr>
          <w:lang w:val="fr-MC"/>
        </w:rPr>
        <w:t>n</w:t>
      </w:r>
      <w:r w:rsidR="0020117D" w:rsidRPr="008A395C">
        <w:rPr>
          <w:vertAlign w:val="superscript"/>
          <w:lang w:val="fr-MC"/>
        </w:rPr>
        <w:t>o</w:t>
      </w:r>
      <w:r w:rsidR="0020117D">
        <w:rPr>
          <w:lang w:val="fr-MC"/>
        </w:rPr>
        <w:t> </w:t>
      </w:r>
      <w:r w:rsidRPr="0031428E">
        <w:t>1/27 du 29 décembre 2017 portant révision du Code pénal du Burundi</w:t>
      </w:r>
      <w:r>
        <w:t>.</w:t>
      </w:r>
    </w:p>
  </w:footnote>
  <w:footnote w:id="16">
    <w:p w14:paraId="750D5FE5" w14:textId="031C52EA" w:rsidR="00BC23B3" w:rsidRPr="0031428E" w:rsidRDefault="00BC23B3" w:rsidP="0016597A">
      <w:pPr>
        <w:pStyle w:val="Notedebasdepage"/>
        <w:rPr>
          <w:lang w:val="fr-FR"/>
        </w:rPr>
      </w:pPr>
      <w:r>
        <w:rPr>
          <w:color w:val="000000"/>
          <w:szCs w:val="18"/>
        </w:rPr>
        <w:tab/>
      </w:r>
      <w:r w:rsidRPr="00B345A8">
        <w:rPr>
          <w:rStyle w:val="Appelnotedebasdep"/>
        </w:rPr>
        <w:footnoteRef/>
      </w:r>
      <w:r>
        <w:rPr>
          <w:color w:val="000000"/>
          <w:szCs w:val="18"/>
        </w:rPr>
        <w:tab/>
      </w:r>
      <w:r w:rsidRPr="0016597A">
        <w:rPr>
          <w:color w:val="000000"/>
          <w:szCs w:val="18"/>
        </w:rPr>
        <w:t>Art</w:t>
      </w:r>
      <w:r w:rsidR="0020117D">
        <w:rPr>
          <w:color w:val="000000"/>
          <w:szCs w:val="18"/>
        </w:rPr>
        <w:t>icle</w:t>
      </w:r>
      <w:r w:rsidRPr="0016597A">
        <w:rPr>
          <w:color w:val="000000"/>
          <w:szCs w:val="18"/>
        </w:rPr>
        <w:t xml:space="preserve"> 208 </w:t>
      </w:r>
      <w:r w:rsidRPr="0031428E">
        <w:t xml:space="preserve">de la </w:t>
      </w:r>
      <w:r w:rsidR="0020117D">
        <w:t>l</w:t>
      </w:r>
      <w:r w:rsidRPr="0031428E">
        <w:t xml:space="preserve">oi </w:t>
      </w:r>
      <w:r w:rsidR="0020117D" w:rsidRPr="0016597A">
        <w:rPr>
          <w:lang w:val="fr-MC"/>
        </w:rPr>
        <w:t>n</w:t>
      </w:r>
      <w:r w:rsidR="0020117D" w:rsidRPr="008A395C">
        <w:rPr>
          <w:vertAlign w:val="superscript"/>
          <w:lang w:val="fr-MC"/>
        </w:rPr>
        <w:t>o</w:t>
      </w:r>
      <w:r w:rsidR="0020117D">
        <w:rPr>
          <w:lang w:val="fr-MC"/>
        </w:rPr>
        <w:t> </w:t>
      </w:r>
      <w:r w:rsidRPr="0031428E">
        <w:t>1/27 du 29 décembre 2017 portant révision du Code pénal du Burundi</w:t>
      </w:r>
      <w:r>
        <w:t>.</w:t>
      </w:r>
    </w:p>
  </w:footnote>
  <w:footnote w:id="17">
    <w:p w14:paraId="1D24D465" w14:textId="70A58809" w:rsidR="00BC23B3" w:rsidRPr="006F5B41" w:rsidRDefault="00BC23B3" w:rsidP="0016597A">
      <w:pPr>
        <w:pStyle w:val="Notedebasdepage"/>
        <w:rPr>
          <w:lang w:val="fr-FR"/>
        </w:rPr>
      </w:pPr>
      <w:r>
        <w:rPr>
          <w:color w:val="000000"/>
          <w:szCs w:val="18"/>
        </w:rPr>
        <w:tab/>
      </w:r>
      <w:r w:rsidRPr="00B345A8">
        <w:rPr>
          <w:rStyle w:val="Appelnotedebasdep"/>
        </w:rPr>
        <w:footnoteRef/>
      </w:r>
      <w:r>
        <w:rPr>
          <w:color w:val="000000"/>
          <w:szCs w:val="18"/>
        </w:rPr>
        <w:tab/>
      </w:r>
      <w:r w:rsidRPr="0016597A">
        <w:rPr>
          <w:color w:val="000000"/>
          <w:szCs w:val="18"/>
        </w:rPr>
        <w:t>Art</w:t>
      </w:r>
      <w:r w:rsidR="0020117D">
        <w:rPr>
          <w:color w:val="000000"/>
          <w:szCs w:val="18"/>
        </w:rPr>
        <w:t>icle</w:t>
      </w:r>
      <w:r w:rsidRPr="0016597A">
        <w:rPr>
          <w:color w:val="000000"/>
          <w:szCs w:val="18"/>
        </w:rPr>
        <w:t xml:space="preserve"> 209 de la même loi</w:t>
      </w:r>
      <w:r>
        <w:rPr>
          <w:color w:val="000000"/>
          <w:szCs w:val="18"/>
        </w:rPr>
        <w:t>.</w:t>
      </w:r>
    </w:p>
  </w:footnote>
  <w:footnote w:id="18">
    <w:p w14:paraId="28F4F871" w14:textId="77777777" w:rsidR="00BC23B3" w:rsidRPr="001C1F12" w:rsidRDefault="00BC23B3" w:rsidP="0016597A">
      <w:pPr>
        <w:pStyle w:val="Notedebasdepage"/>
        <w:rPr>
          <w:lang w:val="fr-FR"/>
        </w:rPr>
      </w:pPr>
      <w:r>
        <w:tab/>
      </w:r>
      <w:r w:rsidRPr="00B345A8">
        <w:rPr>
          <w:rStyle w:val="Appelnotedebasdep"/>
        </w:rPr>
        <w:footnoteRef/>
      </w:r>
      <w:r>
        <w:tab/>
      </w:r>
      <w:r w:rsidRPr="001C1F12">
        <w:t>Article 350 du CPP de 2018</w:t>
      </w:r>
      <w:r>
        <w:t>.</w:t>
      </w:r>
    </w:p>
  </w:footnote>
  <w:footnote w:id="19">
    <w:p w14:paraId="58EBC10B" w14:textId="77777777" w:rsidR="00BC23B3" w:rsidRPr="001C1F12" w:rsidRDefault="00BC23B3" w:rsidP="0016597A">
      <w:pPr>
        <w:pStyle w:val="Notedebasdepage"/>
        <w:rPr>
          <w:lang w:val="fr-FR"/>
        </w:rPr>
      </w:pPr>
      <w:r>
        <w:tab/>
      </w:r>
      <w:r w:rsidRPr="00B345A8">
        <w:rPr>
          <w:rStyle w:val="Appelnotedebasdep"/>
        </w:rPr>
        <w:footnoteRef/>
      </w:r>
      <w:r w:rsidRPr="001C1F12">
        <w:t xml:space="preserve"> </w:t>
      </w:r>
      <w:r>
        <w:tab/>
      </w:r>
      <w:r w:rsidRPr="001C1F12">
        <w:t>Article 207 du CP de 2017</w:t>
      </w:r>
      <w:r>
        <w:t>.</w:t>
      </w:r>
    </w:p>
  </w:footnote>
  <w:footnote w:id="20">
    <w:p w14:paraId="6759B376" w14:textId="77777777" w:rsidR="00BC23B3" w:rsidRPr="001C1F12" w:rsidRDefault="00BC23B3" w:rsidP="0016597A">
      <w:pPr>
        <w:pStyle w:val="Notedebasdepage"/>
        <w:rPr>
          <w:lang w:val="fr-FR"/>
        </w:rPr>
      </w:pPr>
      <w:r>
        <w:tab/>
      </w:r>
      <w:r w:rsidRPr="00B345A8">
        <w:rPr>
          <w:rStyle w:val="Appelnotedebasdep"/>
        </w:rPr>
        <w:footnoteRef/>
      </w:r>
      <w:r w:rsidRPr="001C1F12">
        <w:t xml:space="preserve"> </w:t>
      </w:r>
      <w:r>
        <w:tab/>
      </w:r>
      <w:r w:rsidRPr="001C1F12">
        <w:t>Article 208 du CP de 2017</w:t>
      </w:r>
      <w:r>
        <w:t>.</w:t>
      </w:r>
    </w:p>
  </w:footnote>
  <w:footnote w:id="21">
    <w:p w14:paraId="7746A85B" w14:textId="1960C7D9" w:rsidR="00BC23B3" w:rsidRPr="0045426B" w:rsidRDefault="00BC23B3" w:rsidP="0016597A">
      <w:pPr>
        <w:pStyle w:val="Notedebasdepage"/>
        <w:rPr>
          <w:lang w:val="fr-FR"/>
        </w:rPr>
      </w:pPr>
      <w:r>
        <w:tab/>
      </w:r>
      <w:r w:rsidRPr="00B345A8">
        <w:rPr>
          <w:rStyle w:val="Appelnotedebasdep"/>
        </w:rPr>
        <w:footnoteRef/>
      </w:r>
      <w:r>
        <w:tab/>
      </w:r>
      <w:r w:rsidRPr="0045426B">
        <w:t xml:space="preserve">Article 209 du même </w:t>
      </w:r>
      <w:r w:rsidR="002622B2">
        <w:t>c</w:t>
      </w:r>
      <w:r>
        <w:t>o</w:t>
      </w:r>
      <w:r w:rsidRPr="0045426B">
        <w:t>de</w:t>
      </w:r>
      <w:r>
        <w:t>.</w:t>
      </w:r>
    </w:p>
  </w:footnote>
  <w:footnote w:id="22">
    <w:p w14:paraId="6CB599E0" w14:textId="08C04AC1" w:rsidR="00BC23B3" w:rsidRPr="007A5645" w:rsidRDefault="00BC23B3" w:rsidP="0016597A">
      <w:pPr>
        <w:pStyle w:val="Notedebasdepage"/>
        <w:rPr>
          <w:lang w:val="fr-FR"/>
        </w:rPr>
      </w:pPr>
      <w:r>
        <w:rPr>
          <w:lang w:val="fr-FR"/>
        </w:rPr>
        <w:tab/>
      </w:r>
      <w:r w:rsidRPr="00B345A8">
        <w:rPr>
          <w:rStyle w:val="Appelnotedebasdep"/>
        </w:rPr>
        <w:footnoteRef/>
      </w:r>
      <w:r>
        <w:rPr>
          <w:lang w:val="fr-FR"/>
        </w:rPr>
        <w:tab/>
        <w:t>Art</w:t>
      </w:r>
      <w:r w:rsidR="002309FA">
        <w:rPr>
          <w:lang w:val="fr-FR"/>
        </w:rPr>
        <w:t>icle</w:t>
      </w:r>
      <w:r w:rsidRPr="007A5645">
        <w:rPr>
          <w:lang w:val="fr-FR"/>
        </w:rPr>
        <w:t xml:space="preserve"> 210 al</w:t>
      </w:r>
      <w:r w:rsidR="0004563F">
        <w:rPr>
          <w:lang w:val="fr-FR"/>
        </w:rPr>
        <w:t>inéa</w:t>
      </w:r>
      <w:r w:rsidRPr="007A5645">
        <w:rPr>
          <w:lang w:val="fr-FR"/>
        </w:rPr>
        <w:t xml:space="preserve"> 1du même </w:t>
      </w:r>
      <w:r w:rsidR="00DE4B5B">
        <w:rPr>
          <w:lang w:val="fr-FR"/>
        </w:rPr>
        <w:t>c</w:t>
      </w:r>
      <w:r w:rsidRPr="007A5645">
        <w:rPr>
          <w:lang w:val="fr-FR"/>
        </w:rPr>
        <w:t>ode</w:t>
      </w:r>
      <w:r>
        <w:rPr>
          <w:lang w:val="fr-FR"/>
        </w:rPr>
        <w:t>.</w:t>
      </w:r>
    </w:p>
  </w:footnote>
  <w:footnote w:id="23">
    <w:p w14:paraId="0DDD1918" w14:textId="26B942B9" w:rsidR="00BC23B3" w:rsidRPr="007A5645" w:rsidRDefault="00BC23B3" w:rsidP="0016597A">
      <w:pPr>
        <w:pStyle w:val="Notedebasdepage"/>
        <w:rPr>
          <w:lang w:val="fr-FR"/>
        </w:rPr>
      </w:pPr>
      <w:r>
        <w:rPr>
          <w:lang w:val="fr-FR"/>
        </w:rPr>
        <w:tab/>
      </w:r>
      <w:r w:rsidRPr="00B345A8">
        <w:rPr>
          <w:rStyle w:val="Appelnotedebasdep"/>
        </w:rPr>
        <w:footnoteRef/>
      </w:r>
      <w:r>
        <w:rPr>
          <w:lang w:val="fr-FR"/>
        </w:rPr>
        <w:tab/>
        <w:t>Art</w:t>
      </w:r>
      <w:r w:rsidR="002309FA">
        <w:rPr>
          <w:lang w:val="fr-FR"/>
        </w:rPr>
        <w:t>icle</w:t>
      </w:r>
      <w:r w:rsidRPr="007A5645">
        <w:rPr>
          <w:lang w:val="fr-FR"/>
        </w:rPr>
        <w:t xml:space="preserve"> 210 al</w:t>
      </w:r>
      <w:r w:rsidR="0004563F">
        <w:rPr>
          <w:lang w:val="fr-FR"/>
        </w:rPr>
        <w:t>inéa</w:t>
      </w:r>
      <w:r w:rsidRPr="007A5645">
        <w:rPr>
          <w:lang w:val="fr-FR"/>
        </w:rPr>
        <w:t xml:space="preserve"> 2 du même </w:t>
      </w:r>
      <w:r w:rsidR="00DE4B5B">
        <w:rPr>
          <w:lang w:val="fr-FR"/>
        </w:rPr>
        <w:t>c</w:t>
      </w:r>
      <w:r w:rsidRPr="007A5645">
        <w:rPr>
          <w:lang w:val="fr-FR"/>
        </w:rPr>
        <w:t>ode</w:t>
      </w:r>
      <w:r>
        <w:rPr>
          <w:lang w:val="fr-FR"/>
        </w:rPr>
        <w:t>.</w:t>
      </w:r>
    </w:p>
  </w:footnote>
  <w:footnote w:id="24">
    <w:p w14:paraId="761864CA" w14:textId="693FFD5E" w:rsidR="00BC23B3" w:rsidRPr="007A5645" w:rsidRDefault="00BC23B3" w:rsidP="0016597A">
      <w:pPr>
        <w:pStyle w:val="Notedebasdepage"/>
        <w:rPr>
          <w:lang w:val="fr-FR"/>
        </w:rPr>
      </w:pPr>
      <w:r>
        <w:tab/>
      </w:r>
      <w:r w:rsidRPr="00B345A8">
        <w:rPr>
          <w:rStyle w:val="Appelnotedebasdep"/>
        </w:rPr>
        <w:footnoteRef/>
      </w:r>
      <w:r>
        <w:t xml:space="preserve"> </w:t>
      </w:r>
      <w:r>
        <w:tab/>
        <w:t>Art</w:t>
      </w:r>
      <w:r w:rsidR="002309FA">
        <w:t>icle</w:t>
      </w:r>
      <w:r w:rsidRPr="007A5645">
        <w:t xml:space="preserve"> 211 du même </w:t>
      </w:r>
      <w:r w:rsidR="00DE4B5B">
        <w:t>c</w:t>
      </w:r>
      <w:r w:rsidRPr="007A5645">
        <w:t>ode</w:t>
      </w:r>
      <w:r>
        <w:t>.</w:t>
      </w:r>
    </w:p>
  </w:footnote>
  <w:footnote w:id="25">
    <w:p w14:paraId="20DF86A1" w14:textId="18EF02E7" w:rsidR="00BC23B3" w:rsidRPr="007A5645" w:rsidRDefault="00BC23B3" w:rsidP="0016597A">
      <w:pPr>
        <w:pStyle w:val="Notedebasdepage"/>
        <w:rPr>
          <w:lang w:val="fr-FR"/>
        </w:rPr>
      </w:pPr>
      <w:r>
        <w:tab/>
      </w:r>
      <w:r w:rsidRPr="00B345A8">
        <w:rPr>
          <w:rStyle w:val="Appelnotedebasdep"/>
        </w:rPr>
        <w:footnoteRef/>
      </w:r>
      <w:r w:rsidRPr="007A5645">
        <w:t xml:space="preserve"> </w:t>
      </w:r>
      <w:r>
        <w:tab/>
      </w:r>
      <w:r w:rsidRPr="007A5645">
        <w:t>Art</w:t>
      </w:r>
      <w:r w:rsidR="002309FA">
        <w:t>icle</w:t>
      </w:r>
      <w:r w:rsidRPr="007A5645">
        <w:t xml:space="preserve"> 212-226 du même </w:t>
      </w:r>
      <w:r w:rsidR="00DE4B5B">
        <w:t>c</w:t>
      </w:r>
      <w:r w:rsidRPr="007A5645">
        <w:t>ode</w:t>
      </w:r>
      <w:r>
        <w:t>.</w:t>
      </w:r>
    </w:p>
  </w:footnote>
  <w:footnote w:id="26">
    <w:p w14:paraId="3A3CA209" w14:textId="08358AB4" w:rsidR="00BC23B3" w:rsidRPr="007A5645" w:rsidRDefault="00BC23B3" w:rsidP="0016597A">
      <w:pPr>
        <w:pStyle w:val="Notedebasdepage"/>
        <w:rPr>
          <w:lang w:val="fr-FR"/>
        </w:rPr>
      </w:pPr>
      <w:r>
        <w:tab/>
      </w:r>
      <w:r w:rsidRPr="00B345A8">
        <w:rPr>
          <w:rStyle w:val="Appelnotedebasdep"/>
        </w:rPr>
        <w:footnoteRef/>
      </w:r>
      <w:r w:rsidRPr="007A5645">
        <w:t xml:space="preserve"> </w:t>
      </w:r>
      <w:r>
        <w:tab/>
      </w:r>
      <w:r w:rsidRPr="007A5645">
        <w:t>Art</w:t>
      </w:r>
      <w:r w:rsidR="002309FA">
        <w:t>icle</w:t>
      </w:r>
      <w:r w:rsidRPr="007A5645">
        <w:t xml:space="preserve"> 221-225 du même </w:t>
      </w:r>
      <w:r w:rsidR="00DE4B5B">
        <w:t>c</w:t>
      </w:r>
      <w:r w:rsidRPr="007A5645">
        <w:t>ode</w:t>
      </w:r>
      <w:r>
        <w:t>.</w:t>
      </w:r>
    </w:p>
  </w:footnote>
  <w:footnote w:id="27">
    <w:p w14:paraId="4320FB0D" w14:textId="49D75A28" w:rsidR="00BC23B3" w:rsidRPr="007A5645" w:rsidRDefault="00BC23B3" w:rsidP="0016597A">
      <w:pPr>
        <w:pStyle w:val="Notedebasdepage"/>
        <w:rPr>
          <w:lang w:val="fr-FR"/>
        </w:rPr>
      </w:pPr>
      <w:r>
        <w:tab/>
      </w:r>
      <w:r w:rsidRPr="00B345A8">
        <w:rPr>
          <w:rStyle w:val="Appelnotedebasdep"/>
        </w:rPr>
        <w:footnoteRef/>
      </w:r>
      <w:r w:rsidRPr="007A5645">
        <w:t xml:space="preserve"> </w:t>
      </w:r>
      <w:r>
        <w:tab/>
      </w:r>
      <w:r w:rsidRPr="007A5645">
        <w:t>Art</w:t>
      </w:r>
      <w:r w:rsidR="002309FA">
        <w:t>icle</w:t>
      </w:r>
      <w:r w:rsidRPr="007A5645">
        <w:t xml:space="preserve"> 226 du même </w:t>
      </w:r>
      <w:r w:rsidR="00DE4B5B">
        <w:t>c</w:t>
      </w:r>
      <w:r w:rsidRPr="007A5645">
        <w:t>ode</w:t>
      </w:r>
      <w:r>
        <w:t>.</w:t>
      </w:r>
    </w:p>
  </w:footnote>
  <w:footnote w:id="28">
    <w:p w14:paraId="634BFC02" w14:textId="5D51303D" w:rsidR="00BC23B3" w:rsidRPr="007A5645" w:rsidRDefault="00BC23B3" w:rsidP="0016597A">
      <w:pPr>
        <w:pStyle w:val="Notedebasdepage"/>
        <w:rPr>
          <w:lang w:val="fr-FR"/>
        </w:rPr>
      </w:pPr>
      <w:r>
        <w:tab/>
      </w:r>
      <w:r w:rsidRPr="00B345A8">
        <w:rPr>
          <w:rStyle w:val="Appelnotedebasdep"/>
        </w:rPr>
        <w:footnoteRef/>
      </w:r>
      <w:r w:rsidRPr="007A5645">
        <w:t xml:space="preserve"> </w:t>
      </w:r>
      <w:r>
        <w:tab/>
      </w:r>
      <w:r w:rsidRPr="007A5645">
        <w:t>Art</w:t>
      </w:r>
      <w:r w:rsidR="002309FA">
        <w:t>icle</w:t>
      </w:r>
      <w:r w:rsidRPr="007A5645">
        <w:t xml:space="preserve"> 257-258 du même </w:t>
      </w:r>
      <w:r w:rsidR="00DE4B5B">
        <w:t>c</w:t>
      </w:r>
      <w:r w:rsidRPr="007A5645">
        <w:t>ode</w:t>
      </w:r>
      <w:r>
        <w:t>.</w:t>
      </w:r>
    </w:p>
  </w:footnote>
  <w:footnote w:id="29">
    <w:p w14:paraId="750FD435" w14:textId="3D8A898A" w:rsidR="00BC23B3" w:rsidRPr="007A5645" w:rsidRDefault="00BC23B3" w:rsidP="0016597A">
      <w:pPr>
        <w:pStyle w:val="Notedebasdepage"/>
        <w:rPr>
          <w:lang w:val="fr-FR"/>
        </w:rPr>
      </w:pPr>
      <w:r>
        <w:tab/>
      </w:r>
      <w:r w:rsidRPr="00B345A8">
        <w:rPr>
          <w:rStyle w:val="Appelnotedebasdep"/>
        </w:rPr>
        <w:footnoteRef/>
      </w:r>
      <w:r w:rsidRPr="007A5645">
        <w:t xml:space="preserve"> </w:t>
      </w:r>
      <w:r>
        <w:tab/>
        <w:t>A</w:t>
      </w:r>
      <w:r w:rsidRPr="007A5645">
        <w:t>rt</w:t>
      </w:r>
      <w:r w:rsidR="002309FA">
        <w:t>icle</w:t>
      </w:r>
      <w:r w:rsidR="00607AA9">
        <w:t xml:space="preserve"> </w:t>
      </w:r>
      <w:r w:rsidRPr="007A5645">
        <w:t xml:space="preserve">577-585 du même </w:t>
      </w:r>
      <w:r w:rsidR="00DE4B5B">
        <w:t>c</w:t>
      </w:r>
      <w:r w:rsidRPr="007A5645">
        <w:t>ode</w:t>
      </w:r>
      <w:r>
        <w:t>.</w:t>
      </w:r>
    </w:p>
  </w:footnote>
  <w:footnote w:id="30">
    <w:p w14:paraId="7B4CDC47" w14:textId="024821AE" w:rsidR="00BC23B3" w:rsidRPr="007A5645" w:rsidRDefault="00BC23B3" w:rsidP="0016597A">
      <w:pPr>
        <w:pStyle w:val="Notedebasdepage"/>
        <w:rPr>
          <w:lang w:val="fr-FR"/>
        </w:rPr>
      </w:pPr>
      <w:r>
        <w:tab/>
      </w:r>
      <w:r w:rsidRPr="00B345A8">
        <w:rPr>
          <w:rStyle w:val="Appelnotedebasdep"/>
        </w:rPr>
        <w:footnoteRef/>
      </w:r>
      <w:r>
        <w:tab/>
        <w:t>A</w:t>
      </w:r>
      <w:r w:rsidRPr="007A5645">
        <w:t>rt</w:t>
      </w:r>
      <w:r w:rsidR="002309FA">
        <w:t>icle</w:t>
      </w:r>
      <w:r w:rsidR="00607AA9">
        <w:t xml:space="preserve"> </w:t>
      </w:r>
      <w:r w:rsidRPr="007A5645">
        <w:t xml:space="preserve">528-534 du même </w:t>
      </w:r>
      <w:r w:rsidR="00DE4B5B">
        <w:t>c</w:t>
      </w:r>
      <w:r w:rsidRPr="007A5645">
        <w:t>ode</w:t>
      </w:r>
      <w:r>
        <w:t>.</w:t>
      </w:r>
    </w:p>
  </w:footnote>
  <w:footnote w:id="31">
    <w:p w14:paraId="4EAB86B4" w14:textId="60B4AA3C" w:rsidR="00BC23B3" w:rsidRPr="007A5645" w:rsidRDefault="00BC23B3" w:rsidP="0016597A">
      <w:pPr>
        <w:pStyle w:val="Notedebasdepage"/>
        <w:rPr>
          <w:lang w:val="fr-FR"/>
        </w:rPr>
      </w:pPr>
      <w:r>
        <w:tab/>
      </w:r>
      <w:r w:rsidRPr="00B345A8">
        <w:rPr>
          <w:rStyle w:val="Appelnotedebasdep"/>
        </w:rPr>
        <w:footnoteRef/>
      </w:r>
      <w:r>
        <w:t xml:space="preserve"> </w:t>
      </w:r>
      <w:r>
        <w:tab/>
        <w:t>Art</w:t>
      </w:r>
      <w:r w:rsidR="002309FA">
        <w:t>icle</w:t>
      </w:r>
      <w:r w:rsidR="00607AA9">
        <w:t xml:space="preserve"> </w:t>
      </w:r>
      <w:r>
        <w:t xml:space="preserve">535-548 du même </w:t>
      </w:r>
      <w:r w:rsidR="00DE4B5B">
        <w:t>c</w:t>
      </w:r>
      <w:r>
        <w:t>ode.</w:t>
      </w:r>
    </w:p>
  </w:footnote>
  <w:footnote w:id="32">
    <w:p w14:paraId="255B8B6C" w14:textId="5853919D" w:rsidR="00BC23B3" w:rsidRPr="007A5645" w:rsidRDefault="00BC23B3" w:rsidP="0016597A">
      <w:pPr>
        <w:pStyle w:val="Notedebasdepage"/>
        <w:rPr>
          <w:lang w:val="fr-FR"/>
        </w:rPr>
      </w:pPr>
      <w:r>
        <w:tab/>
      </w:r>
      <w:r w:rsidRPr="00B345A8">
        <w:rPr>
          <w:rStyle w:val="Appelnotedebasdep"/>
        </w:rPr>
        <w:footnoteRef/>
      </w:r>
      <w:r w:rsidRPr="007A5645">
        <w:t xml:space="preserve"> </w:t>
      </w:r>
      <w:r>
        <w:tab/>
        <w:t>A</w:t>
      </w:r>
      <w:r w:rsidRPr="007A5645">
        <w:t>rt</w:t>
      </w:r>
      <w:r w:rsidR="002309FA">
        <w:t>icle</w:t>
      </w:r>
      <w:r w:rsidR="00607AA9">
        <w:t xml:space="preserve"> </w:t>
      </w:r>
      <w:r w:rsidRPr="007A5645">
        <w:t xml:space="preserve">536 du même </w:t>
      </w:r>
      <w:r w:rsidR="00DE4B5B">
        <w:t>c</w:t>
      </w:r>
      <w:r w:rsidRPr="007A5645">
        <w:t>ode</w:t>
      </w:r>
      <w:r>
        <w:t>.</w:t>
      </w:r>
    </w:p>
  </w:footnote>
  <w:footnote w:id="33">
    <w:p w14:paraId="44007484" w14:textId="1B4E9985" w:rsidR="00BC23B3" w:rsidRPr="007A5645" w:rsidRDefault="00BC23B3" w:rsidP="0016597A">
      <w:pPr>
        <w:pStyle w:val="Notedebasdepage"/>
        <w:rPr>
          <w:lang w:val="fr-FR"/>
        </w:rPr>
      </w:pPr>
      <w:r>
        <w:tab/>
      </w:r>
      <w:r w:rsidRPr="00B345A8">
        <w:rPr>
          <w:rStyle w:val="Appelnotedebasdep"/>
        </w:rPr>
        <w:footnoteRef/>
      </w:r>
      <w:r w:rsidRPr="007A5645">
        <w:t xml:space="preserve"> </w:t>
      </w:r>
      <w:r>
        <w:tab/>
        <w:t>A</w:t>
      </w:r>
      <w:r w:rsidRPr="007A5645">
        <w:t>rt</w:t>
      </w:r>
      <w:r w:rsidR="002309FA">
        <w:t xml:space="preserve">icle </w:t>
      </w:r>
      <w:r w:rsidRPr="007A5645">
        <w:t xml:space="preserve">537 du même </w:t>
      </w:r>
      <w:r w:rsidR="00DE4B5B">
        <w:t>c</w:t>
      </w:r>
      <w:r w:rsidRPr="007A5645">
        <w:t>ode</w:t>
      </w:r>
      <w:r>
        <w:t>.</w:t>
      </w:r>
    </w:p>
  </w:footnote>
  <w:footnote w:id="34">
    <w:p w14:paraId="6082D454" w14:textId="6E5A271C" w:rsidR="00BC23B3" w:rsidRPr="007A5645" w:rsidRDefault="00BC23B3" w:rsidP="0016597A">
      <w:pPr>
        <w:pStyle w:val="Notedebasdepage"/>
        <w:rPr>
          <w:lang w:val="fr-FR"/>
        </w:rPr>
      </w:pPr>
      <w:r>
        <w:tab/>
      </w:r>
      <w:r w:rsidRPr="00B345A8">
        <w:rPr>
          <w:rStyle w:val="Appelnotedebasdep"/>
        </w:rPr>
        <w:footnoteRef/>
      </w:r>
      <w:r w:rsidRPr="007A5645">
        <w:t xml:space="preserve"> </w:t>
      </w:r>
      <w:r>
        <w:tab/>
        <w:t>A</w:t>
      </w:r>
      <w:r w:rsidRPr="007A5645">
        <w:t>rt</w:t>
      </w:r>
      <w:r w:rsidR="002309FA">
        <w:t xml:space="preserve">icle </w:t>
      </w:r>
      <w:r w:rsidRPr="007A5645">
        <w:t xml:space="preserve">539 du même </w:t>
      </w:r>
      <w:r w:rsidR="00DE4B5B">
        <w:t>c</w:t>
      </w:r>
      <w:r w:rsidRPr="007A5645">
        <w:t>ode</w:t>
      </w:r>
      <w:r>
        <w:t>.</w:t>
      </w:r>
    </w:p>
  </w:footnote>
  <w:footnote w:id="35">
    <w:p w14:paraId="16187555" w14:textId="4B0F158C" w:rsidR="00BC23B3" w:rsidRPr="007A5645" w:rsidRDefault="00BC23B3" w:rsidP="0016597A">
      <w:pPr>
        <w:pStyle w:val="Notedebasdepage"/>
        <w:rPr>
          <w:lang w:val="fr-FR"/>
        </w:rPr>
      </w:pPr>
      <w:r>
        <w:tab/>
      </w:r>
      <w:r w:rsidRPr="00B345A8">
        <w:rPr>
          <w:rStyle w:val="Appelnotedebasdep"/>
        </w:rPr>
        <w:footnoteRef/>
      </w:r>
      <w:r>
        <w:t xml:space="preserve"> </w:t>
      </w:r>
      <w:r>
        <w:tab/>
        <w:t>A</w:t>
      </w:r>
      <w:r w:rsidRPr="007A5645">
        <w:t>rt</w:t>
      </w:r>
      <w:r w:rsidR="002309FA">
        <w:t>icle</w:t>
      </w:r>
      <w:r w:rsidR="00607AA9">
        <w:t xml:space="preserve"> </w:t>
      </w:r>
      <w:r w:rsidRPr="007A5645">
        <w:t xml:space="preserve">541 du même </w:t>
      </w:r>
      <w:r w:rsidR="00DE4B5B">
        <w:t>c</w:t>
      </w:r>
      <w:r w:rsidRPr="007A5645">
        <w:t>ode</w:t>
      </w:r>
      <w:r>
        <w:t>.</w:t>
      </w:r>
    </w:p>
  </w:footnote>
  <w:footnote w:id="36">
    <w:p w14:paraId="4359F70D" w14:textId="3B9D9F08" w:rsidR="00BC23B3" w:rsidRPr="009334AB" w:rsidRDefault="00BC23B3" w:rsidP="0016597A">
      <w:pPr>
        <w:pStyle w:val="Notedebasdepage"/>
        <w:jc w:val="both"/>
        <w:rPr>
          <w:lang w:val="fr-FR"/>
        </w:rPr>
      </w:pPr>
      <w:r>
        <w:tab/>
      </w:r>
      <w:r w:rsidRPr="00B345A8">
        <w:rPr>
          <w:rStyle w:val="Appelnotedebasdep"/>
        </w:rPr>
        <w:footnoteRef/>
      </w:r>
      <w:r>
        <w:tab/>
        <w:t>A</w:t>
      </w:r>
      <w:r w:rsidRPr="009334AB">
        <w:t>rt</w:t>
      </w:r>
      <w:r w:rsidR="002309FA">
        <w:t xml:space="preserve">icle </w:t>
      </w:r>
      <w:r w:rsidRPr="009334AB">
        <w:t xml:space="preserve">542 du même </w:t>
      </w:r>
      <w:r w:rsidR="00DE4B5B">
        <w:t>c</w:t>
      </w:r>
      <w:r w:rsidRPr="009334AB">
        <w:t>ode</w:t>
      </w:r>
      <w:r>
        <w:t>.</w:t>
      </w:r>
    </w:p>
  </w:footnote>
  <w:footnote w:id="37">
    <w:p w14:paraId="6D6777E6" w14:textId="52700CB9" w:rsidR="00BC23B3" w:rsidRPr="009334AB" w:rsidRDefault="00BC23B3" w:rsidP="0016597A">
      <w:pPr>
        <w:pStyle w:val="Notedebasdepage"/>
        <w:jc w:val="both"/>
        <w:rPr>
          <w:lang w:val="fr-FR"/>
        </w:rPr>
      </w:pPr>
      <w:r>
        <w:tab/>
      </w:r>
      <w:r w:rsidRPr="00B345A8">
        <w:rPr>
          <w:rStyle w:val="Appelnotedebasdep"/>
        </w:rPr>
        <w:footnoteRef/>
      </w:r>
      <w:r>
        <w:tab/>
      </w:r>
      <w:r w:rsidRPr="009334AB">
        <w:t>Art</w:t>
      </w:r>
      <w:r w:rsidR="002309FA">
        <w:t xml:space="preserve">icle </w:t>
      </w:r>
      <w:r w:rsidRPr="009334AB">
        <w:t xml:space="preserve">543 du même </w:t>
      </w:r>
      <w:r w:rsidR="002309FA">
        <w:t>c</w:t>
      </w:r>
      <w:r w:rsidRPr="009334AB">
        <w:t>ode</w:t>
      </w:r>
      <w:r>
        <w:t>.</w:t>
      </w:r>
    </w:p>
  </w:footnote>
  <w:footnote w:id="38">
    <w:p w14:paraId="356FAC04" w14:textId="668484BE" w:rsidR="00BC23B3" w:rsidRPr="009334AB" w:rsidRDefault="00BC23B3" w:rsidP="0016597A">
      <w:pPr>
        <w:pStyle w:val="Notedebasdepage"/>
        <w:jc w:val="both"/>
        <w:rPr>
          <w:lang w:val="fr-FR"/>
        </w:rPr>
      </w:pPr>
      <w:r>
        <w:tab/>
      </w:r>
      <w:r w:rsidRPr="00B345A8">
        <w:rPr>
          <w:rStyle w:val="Appelnotedebasdep"/>
        </w:rPr>
        <w:footnoteRef/>
      </w:r>
      <w:r>
        <w:tab/>
        <w:t>A</w:t>
      </w:r>
      <w:r w:rsidRPr="009334AB">
        <w:t>rt</w:t>
      </w:r>
      <w:r w:rsidR="002309FA">
        <w:t>icle</w:t>
      </w:r>
      <w:r w:rsidR="00607AA9">
        <w:t xml:space="preserve"> </w:t>
      </w:r>
      <w:r w:rsidRPr="009334AB">
        <w:t xml:space="preserve">544 du même </w:t>
      </w:r>
      <w:r w:rsidR="002309FA">
        <w:t>c</w:t>
      </w:r>
      <w:r w:rsidRPr="009334AB">
        <w:t>ode</w:t>
      </w:r>
      <w:r>
        <w:t>.</w:t>
      </w:r>
    </w:p>
  </w:footnote>
  <w:footnote w:id="39">
    <w:p w14:paraId="1826D9DE" w14:textId="6F5D0A18" w:rsidR="00BC23B3" w:rsidRPr="009334AB" w:rsidRDefault="00BC23B3" w:rsidP="0016597A">
      <w:pPr>
        <w:pStyle w:val="Notedebasdepage"/>
        <w:jc w:val="both"/>
        <w:rPr>
          <w:lang w:val="fr-FR"/>
        </w:rPr>
      </w:pPr>
      <w:r>
        <w:tab/>
      </w:r>
      <w:r w:rsidRPr="00B345A8">
        <w:rPr>
          <w:rStyle w:val="Appelnotedebasdep"/>
        </w:rPr>
        <w:footnoteRef/>
      </w:r>
      <w:r>
        <w:t xml:space="preserve"> </w:t>
      </w:r>
      <w:r>
        <w:tab/>
      </w:r>
      <w:r w:rsidRPr="009334AB">
        <w:t>Art</w:t>
      </w:r>
      <w:r w:rsidR="002309FA">
        <w:t xml:space="preserve">icle </w:t>
      </w:r>
      <w:r w:rsidRPr="009334AB">
        <w:t xml:space="preserve">528-534 du Code </w:t>
      </w:r>
      <w:r w:rsidR="00607AA9">
        <w:t>p</w:t>
      </w:r>
      <w:r w:rsidRPr="009334AB">
        <w:t>énal</w:t>
      </w:r>
      <w:r>
        <w:t>.</w:t>
      </w:r>
    </w:p>
  </w:footnote>
  <w:footnote w:id="40">
    <w:p w14:paraId="2580C6E8" w14:textId="77777777" w:rsidR="00BC23B3" w:rsidRPr="006937C9" w:rsidRDefault="00BC23B3" w:rsidP="0016597A">
      <w:pPr>
        <w:pStyle w:val="Notedebasdepage"/>
        <w:rPr>
          <w:lang w:val="fr-FR"/>
        </w:rPr>
      </w:pPr>
      <w:r>
        <w:tab/>
      </w:r>
      <w:r w:rsidRPr="00B345A8">
        <w:rPr>
          <w:rStyle w:val="Appelnotedebasdep"/>
        </w:rPr>
        <w:footnoteRef/>
      </w:r>
      <w:r>
        <w:tab/>
      </w:r>
      <w:r w:rsidRPr="006937C9">
        <w:t>Article 10</w:t>
      </w:r>
      <w:r>
        <w:t xml:space="preserve"> du CPP de 2018.</w:t>
      </w:r>
    </w:p>
  </w:footnote>
  <w:footnote w:id="41">
    <w:p w14:paraId="585B8108" w14:textId="77777777" w:rsidR="00BC23B3" w:rsidRPr="00985640" w:rsidRDefault="00BC23B3" w:rsidP="0016597A">
      <w:pPr>
        <w:pStyle w:val="Notedebasdepage"/>
        <w:rPr>
          <w:lang w:val="fr-FR"/>
        </w:rPr>
      </w:pPr>
      <w:r>
        <w:rPr>
          <w:lang w:val="fr-FR"/>
        </w:rPr>
        <w:tab/>
      </w:r>
      <w:r w:rsidRPr="00B345A8">
        <w:rPr>
          <w:rStyle w:val="Appelnotedebasdep"/>
        </w:rPr>
        <w:footnoteRef/>
      </w:r>
      <w:r>
        <w:rPr>
          <w:lang w:val="fr-FR"/>
        </w:rPr>
        <w:tab/>
        <w:t>Article 119 du CPP de 2018.</w:t>
      </w:r>
    </w:p>
  </w:footnote>
  <w:footnote w:id="42">
    <w:p w14:paraId="4971E613" w14:textId="5F59378C" w:rsidR="00BC23B3" w:rsidRPr="00F6049E" w:rsidRDefault="00BC23B3" w:rsidP="0016597A">
      <w:pPr>
        <w:pStyle w:val="Notedebasdepage"/>
        <w:rPr>
          <w:lang w:val="fr-FR"/>
        </w:rPr>
      </w:pPr>
      <w:r>
        <w:tab/>
      </w:r>
      <w:r w:rsidRPr="00B345A8">
        <w:rPr>
          <w:rStyle w:val="Appelnotedebasdep"/>
        </w:rPr>
        <w:footnoteRef/>
      </w:r>
      <w:r>
        <w:tab/>
        <w:t>A</w:t>
      </w:r>
      <w:r w:rsidRPr="00BA0F2A">
        <w:t>rticle</w:t>
      </w:r>
      <w:r w:rsidR="0040606F">
        <w:t>s</w:t>
      </w:r>
      <w:r w:rsidRPr="00BA0F2A">
        <w:t xml:space="preserve"> 9 et 10 de la loi</w:t>
      </w:r>
      <w:r>
        <w:t xml:space="preserve"> </w:t>
      </w:r>
      <w:r w:rsidR="00C74407" w:rsidRPr="0016597A">
        <w:rPr>
          <w:lang w:val="fr-MC"/>
        </w:rPr>
        <w:t>n</w:t>
      </w:r>
      <w:r w:rsidR="00C74407" w:rsidRPr="008A395C">
        <w:rPr>
          <w:vertAlign w:val="superscript"/>
          <w:lang w:val="fr-MC"/>
        </w:rPr>
        <w:t>o</w:t>
      </w:r>
      <w:r w:rsidR="00C74407">
        <w:rPr>
          <w:lang w:val="fr-MC"/>
        </w:rPr>
        <w:t> </w:t>
      </w:r>
      <w:r>
        <w:t xml:space="preserve">1/04 du 27/06/2016 portant </w:t>
      </w:r>
      <w:r w:rsidRPr="00BA0F2A">
        <w:t>protection des</w:t>
      </w:r>
      <w:r>
        <w:t xml:space="preserve"> victimes, des</w:t>
      </w:r>
      <w:r w:rsidRPr="00BA0F2A">
        <w:t xml:space="preserve"> témoins</w:t>
      </w:r>
      <w:r>
        <w:t xml:space="preserve"> et d’autres personnes en situation des risques.</w:t>
      </w:r>
    </w:p>
  </w:footnote>
  <w:footnote w:id="43">
    <w:p w14:paraId="31943C66" w14:textId="7CB4E75F" w:rsidR="00BC23B3" w:rsidRPr="001C118D" w:rsidRDefault="00BC23B3" w:rsidP="0016597A">
      <w:pPr>
        <w:pStyle w:val="Notedebasdepage"/>
        <w:rPr>
          <w:lang w:val="fr-FR"/>
        </w:rPr>
      </w:pPr>
      <w:r>
        <w:tab/>
      </w:r>
      <w:r w:rsidRPr="00B345A8">
        <w:rPr>
          <w:rStyle w:val="Appelnotedebasdep"/>
        </w:rPr>
        <w:footnoteRef/>
      </w:r>
      <w:r w:rsidRPr="001C118D">
        <w:t xml:space="preserve"> </w:t>
      </w:r>
      <w:r>
        <w:tab/>
      </w:r>
      <w:r w:rsidRPr="001C118D">
        <w:t xml:space="preserve">Article 23, </w:t>
      </w:r>
      <w:r w:rsidR="00416573">
        <w:t xml:space="preserve">alinéa </w:t>
      </w:r>
      <w:r w:rsidRPr="001C118D">
        <w:t xml:space="preserve">2 </w:t>
      </w:r>
      <w:r w:rsidR="00416573">
        <w:t xml:space="preserve">de la </w:t>
      </w:r>
      <w:r w:rsidRPr="001C118D">
        <w:t>Constitution de la République de 2018</w:t>
      </w:r>
      <w:r>
        <w:t>.</w:t>
      </w:r>
    </w:p>
  </w:footnote>
  <w:footnote w:id="44">
    <w:p w14:paraId="1EDDD233" w14:textId="70A5F890" w:rsidR="00BC23B3" w:rsidRPr="001C118D" w:rsidRDefault="00BC23B3" w:rsidP="0016597A">
      <w:pPr>
        <w:pStyle w:val="Notedebasdepage"/>
        <w:rPr>
          <w:lang w:val="fr-FR"/>
        </w:rPr>
      </w:pPr>
      <w:r>
        <w:tab/>
      </w:r>
      <w:r w:rsidRPr="00B345A8">
        <w:rPr>
          <w:rStyle w:val="Appelnotedebasdep"/>
        </w:rPr>
        <w:footnoteRef/>
      </w:r>
      <w:r w:rsidRPr="001C118D">
        <w:t xml:space="preserve"> </w:t>
      </w:r>
      <w:r>
        <w:tab/>
      </w:r>
      <w:r w:rsidRPr="001C118D">
        <w:t xml:space="preserve">Article 349 du </w:t>
      </w:r>
      <w:r w:rsidR="00C74407" w:rsidRPr="001C118D">
        <w:t xml:space="preserve">Code </w:t>
      </w:r>
      <w:r w:rsidRPr="001C118D">
        <w:t>de procédure pénale de 2018</w:t>
      </w:r>
      <w:r>
        <w:t>.</w:t>
      </w:r>
    </w:p>
  </w:footnote>
  <w:footnote w:id="45">
    <w:p w14:paraId="3ED5AA65" w14:textId="431D2ED5" w:rsidR="00BC23B3" w:rsidRPr="001C118D" w:rsidRDefault="00BC23B3" w:rsidP="0016597A">
      <w:pPr>
        <w:pStyle w:val="Notedebasdepage"/>
        <w:rPr>
          <w:lang w:val="fr-FR"/>
        </w:rPr>
      </w:pPr>
      <w:r>
        <w:tab/>
      </w:r>
      <w:r w:rsidRPr="00B345A8">
        <w:rPr>
          <w:rStyle w:val="Appelnotedebasdep"/>
        </w:rPr>
        <w:footnoteRef/>
      </w:r>
      <w:r w:rsidRPr="001C118D">
        <w:t xml:space="preserve"> </w:t>
      </w:r>
      <w:r>
        <w:tab/>
      </w:r>
      <w:r w:rsidRPr="001C118D">
        <w:t xml:space="preserve">Article 350 du même </w:t>
      </w:r>
      <w:r w:rsidR="00FE0BF6">
        <w:t>c</w:t>
      </w:r>
      <w:r w:rsidRPr="001C118D">
        <w:t>ode</w:t>
      </w:r>
      <w:r>
        <w:t>.</w:t>
      </w:r>
    </w:p>
  </w:footnote>
  <w:footnote w:id="46">
    <w:p w14:paraId="25F6C38D" w14:textId="519A7D04" w:rsidR="00BC23B3" w:rsidRPr="001C118D" w:rsidRDefault="00BC23B3" w:rsidP="0016597A">
      <w:pPr>
        <w:pStyle w:val="Notedebasdepage"/>
        <w:rPr>
          <w:lang w:val="fr-FR"/>
        </w:rPr>
      </w:pPr>
      <w:r>
        <w:rPr>
          <w:lang w:val="fr-FR"/>
        </w:rPr>
        <w:tab/>
      </w:r>
      <w:r w:rsidRPr="00B345A8">
        <w:rPr>
          <w:rStyle w:val="Appelnotedebasdep"/>
        </w:rPr>
        <w:footnoteRef/>
      </w:r>
      <w:r>
        <w:rPr>
          <w:lang w:val="fr-FR"/>
        </w:rPr>
        <w:tab/>
      </w:r>
      <w:r w:rsidRPr="001C118D">
        <w:rPr>
          <w:lang w:val="fr-FR"/>
        </w:rPr>
        <w:t xml:space="preserve">Article 8 de la loi </w:t>
      </w:r>
      <w:r w:rsidR="00C74407" w:rsidRPr="0016597A">
        <w:rPr>
          <w:lang w:val="fr-MC"/>
        </w:rPr>
        <w:t>n</w:t>
      </w:r>
      <w:r w:rsidR="00C74407" w:rsidRPr="008A395C">
        <w:rPr>
          <w:vertAlign w:val="superscript"/>
          <w:lang w:val="fr-MC"/>
        </w:rPr>
        <w:t>o</w:t>
      </w:r>
      <w:r w:rsidR="00C74407">
        <w:rPr>
          <w:lang w:val="fr-MC"/>
        </w:rPr>
        <w:t> </w:t>
      </w:r>
      <w:r w:rsidRPr="001C118D">
        <w:rPr>
          <w:lang w:val="fr-FR"/>
        </w:rPr>
        <w:t>1/22 du 25/07/2014 portant règlement de l’action récursoire et directe de l’Etat et des communes contre leurs mandataires et leurs préposés</w:t>
      </w:r>
      <w:r>
        <w:rPr>
          <w:lang w:val="fr-FR"/>
        </w:rPr>
        <w:t>.</w:t>
      </w:r>
    </w:p>
  </w:footnote>
  <w:footnote w:id="47">
    <w:p w14:paraId="06B8D06B" w14:textId="2EBAE1EA" w:rsidR="00BC23B3" w:rsidRPr="003D6949" w:rsidRDefault="00BC23B3" w:rsidP="009647C1">
      <w:pPr>
        <w:pStyle w:val="Notedebasdepage"/>
        <w:rPr>
          <w:sz w:val="28"/>
          <w:szCs w:val="28"/>
        </w:rPr>
      </w:pPr>
      <w:r>
        <w:tab/>
      </w:r>
      <w:r w:rsidRPr="00B345A8">
        <w:rPr>
          <w:rStyle w:val="Appelnotedebasdep"/>
        </w:rPr>
        <w:footnoteRef/>
      </w:r>
      <w:r>
        <w:tab/>
      </w:r>
      <w:r w:rsidRPr="0016597A">
        <w:t>Art</w:t>
      </w:r>
      <w:r w:rsidR="00A2570C">
        <w:t xml:space="preserve">icle </w:t>
      </w:r>
      <w:r w:rsidRPr="0016597A">
        <w:t xml:space="preserve">207 du </w:t>
      </w:r>
      <w:r w:rsidR="00FE2712" w:rsidRPr="0016597A">
        <w:t xml:space="preserve">Code </w:t>
      </w:r>
      <w:r w:rsidRPr="0016597A">
        <w:t>pénal de 2017</w:t>
      </w:r>
      <w:r>
        <w:t>.</w:t>
      </w:r>
    </w:p>
  </w:footnote>
  <w:footnote w:id="48">
    <w:p w14:paraId="7B204454" w14:textId="52799138" w:rsidR="00BC23B3" w:rsidRPr="009647C1" w:rsidRDefault="00BC23B3" w:rsidP="0016597A">
      <w:pPr>
        <w:pStyle w:val="Notedebasdepage"/>
        <w:rPr>
          <w:sz w:val="28"/>
          <w:szCs w:val="28"/>
        </w:rPr>
      </w:pPr>
      <w:r>
        <w:tab/>
      </w:r>
      <w:r w:rsidRPr="00B345A8">
        <w:rPr>
          <w:rStyle w:val="Appelnotedebasdep"/>
        </w:rPr>
        <w:footnoteRef/>
      </w:r>
      <w:r>
        <w:tab/>
      </w:r>
      <w:r w:rsidRPr="0016597A">
        <w:t>Art</w:t>
      </w:r>
      <w:r w:rsidR="00A2570C">
        <w:t>icle</w:t>
      </w:r>
      <w:r w:rsidRPr="0016597A">
        <w:t xml:space="preserve"> 209 du même </w:t>
      </w:r>
      <w:r w:rsidR="00FE2712">
        <w:t>c</w:t>
      </w:r>
      <w:r w:rsidRPr="0016597A">
        <w:t>ode</w:t>
      </w:r>
      <w:r>
        <w:t>.</w:t>
      </w:r>
      <w:r w:rsidRPr="0016597A">
        <w:t xml:space="preserve"> </w:t>
      </w:r>
    </w:p>
  </w:footnote>
  <w:footnote w:id="49">
    <w:p w14:paraId="1FEA31D8" w14:textId="1CC4E890" w:rsidR="00BC23B3" w:rsidRPr="007048CA" w:rsidRDefault="00BC23B3" w:rsidP="009647C1">
      <w:pPr>
        <w:pStyle w:val="Notedebasdepage"/>
        <w:rPr>
          <w:lang w:val="fr-FR"/>
        </w:rPr>
      </w:pPr>
      <w:r>
        <w:tab/>
      </w:r>
      <w:r w:rsidRPr="00B345A8">
        <w:rPr>
          <w:rStyle w:val="Appelnotedebasdep"/>
        </w:rPr>
        <w:footnoteRef/>
      </w:r>
      <w:r>
        <w:tab/>
      </w:r>
      <w:r w:rsidRPr="007048CA">
        <w:t>A</w:t>
      </w:r>
      <w:r>
        <w:t>rt</w:t>
      </w:r>
      <w:r w:rsidR="002309FA">
        <w:t>icle</w:t>
      </w:r>
      <w:r w:rsidRPr="007048CA">
        <w:t xml:space="preserve"> 222 du CPP de 2018</w:t>
      </w:r>
      <w:r>
        <w:t>.</w:t>
      </w:r>
    </w:p>
  </w:footnote>
  <w:footnote w:id="50">
    <w:p w14:paraId="7686F186" w14:textId="77777777" w:rsidR="00BC23B3" w:rsidRPr="001031ED" w:rsidRDefault="00BC23B3" w:rsidP="0016597A">
      <w:pPr>
        <w:pStyle w:val="Notedebasdepage"/>
        <w:rPr>
          <w:lang w:val="fr-FR"/>
        </w:rPr>
      </w:pPr>
      <w:r>
        <w:rPr>
          <w:lang w:val="fr-FR"/>
        </w:rPr>
        <w:tab/>
      </w:r>
      <w:r w:rsidRPr="00B345A8">
        <w:rPr>
          <w:rStyle w:val="Appelnotedebasdep"/>
        </w:rPr>
        <w:footnoteRef/>
      </w:r>
      <w:r>
        <w:rPr>
          <w:lang w:val="fr-FR"/>
        </w:rPr>
        <w:tab/>
        <w:t>Article 214 de la Constitution de la République du Burundi de 2018.</w:t>
      </w:r>
    </w:p>
  </w:footnote>
  <w:footnote w:id="51">
    <w:p w14:paraId="31EC9B84" w14:textId="491AA046" w:rsidR="00BC23B3" w:rsidRPr="00584700" w:rsidRDefault="00BC23B3" w:rsidP="0016597A">
      <w:pPr>
        <w:pStyle w:val="Notedebasdepage"/>
        <w:rPr>
          <w:lang w:val="fr-FR"/>
        </w:rPr>
      </w:pPr>
      <w:r>
        <w:tab/>
      </w:r>
      <w:r w:rsidRPr="00B345A8">
        <w:rPr>
          <w:rStyle w:val="Appelnotedebasdep"/>
        </w:rPr>
        <w:footnoteRef/>
      </w:r>
      <w:r>
        <w:tab/>
        <w:t>Art</w:t>
      </w:r>
      <w:r w:rsidR="002309FA">
        <w:t>icle</w:t>
      </w:r>
      <w:r w:rsidRPr="00584700">
        <w:t xml:space="preserve"> 349 du CPP de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A6A0" w14:textId="77777777" w:rsidR="00BC23B3" w:rsidRDefault="00BC23B3">
    <w:pPr>
      <w:pStyle w:val="En-tte"/>
    </w:pPr>
    <w:r>
      <w:t>CAT/C/BDI/3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DCB2" w14:textId="77777777" w:rsidR="00BC23B3" w:rsidRDefault="00BC23B3">
    <w:pPr>
      <w:pStyle w:val="En-tte"/>
      <w:jc w:val="right"/>
    </w:pPr>
    <w:r>
      <w:t>CAT/C/BDI/3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F5E"/>
    <w:multiLevelType w:val="hybridMultilevel"/>
    <w:tmpl w:val="6A7A60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541C19"/>
    <w:multiLevelType w:val="hybridMultilevel"/>
    <w:tmpl w:val="C90A2D20"/>
    <w:lvl w:ilvl="0" w:tplc="6A303392">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10894"/>
    <w:multiLevelType w:val="hybridMultilevel"/>
    <w:tmpl w:val="D7A096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954887"/>
    <w:multiLevelType w:val="hybridMultilevel"/>
    <w:tmpl w:val="12F6C24C"/>
    <w:lvl w:ilvl="0" w:tplc="761A4AF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412E928" w:tentative="1">
      <w:start w:val="1"/>
      <w:numFmt w:val="lowerLetter"/>
      <w:lvlText w:val="%2."/>
      <w:lvlJc w:val="left"/>
      <w:pPr>
        <w:tabs>
          <w:tab w:val="num" w:pos="1440"/>
        </w:tabs>
        <w:ind w:left="1440" w:hanging="360"/>
      </w:pPr>
    </w:lvl>
    <w:lvl w:ilvl="2" w:tplc="287801E8" w:tentative="1">
      <w:start w:val="1"/>
      <w:numFmt w:val="lowerRoman"/>
      <w:lvlText w:val="%3."/>
      <w:lvlJc w:val="right"/>
      <w:pPr>
        <w:tabs>
          <w:tab w:val="num" w:pos="2160"/>
        </w:tabs>
        <w:ind w:left="2160" w:hanging="180"/>
      </w:pPr>
    </w:lvl>
    <w:lvl w:ilvl="3" w:tplc="5EB00E6A" w:tentative="1">
      <w:start w:val="1"/>
      <w:numFmt w:val="decimal"/>
      <w:lvlText w:val="%4."/>
      <w:lvlJc w:val="left"/>
      <w:pPr>
        <w:tabs>
          <w:tab w:val="num" w:pos="2880"/>
        </w:tabs>
        <w:ind w:left="2880" w:hanging="360"/>
      </w:pPr>
    </w:lvl>
    <w:lvl w:ilvl="4" w:tplc="5B0AEC22" w:tentative="1">
      <w:start w:val="1"/>
      <w:numFmt w:val="lowerLetter"/>
      <w:lvlText w:val="%5."/>
      <w:lvlJc w:val="left"/>
      <w:pPr>
        <w:tabs>
          <w:tab w:val="num" w:pos="3600"/>
        </w:tabs>
        <w:ind w:left="3600" w:hanging="360"/>
      </w:pPr>
    </w:lvl>
    <w:lvl w:ilvl="5" w:tplc="8B3AB956" w:tentative="1">
      <w:start w:val="1"/>
      <w:numFmt w:val="lowerRoman"/>
      <w:lvlText w:val="%6."/>
      <w:lvlJc w:val="right"/>
      <w:pPr>
        <w:tabs>
          <w:tab w:val="num" w:pos="4320"/>
        </w:tabs>
        <w:ind w:left="4320" w:hanging="180"/>
      </w:pPr>
    </w:lvl>
    <w:lvl w:ilvl="6" w:tplc="A2A4DCEE" w:tentative="1">
      <w:start w:val="1"/>
      <w:numFmt w:val="decimal"/>
      <w:lvlText w:val="%7."/>
      <w:lvlJc w:val="left"/>
      <w:pPr>
        <w:tabs>
          <w:tab w:val="num" w:pos="5040"/>
        </w:tabs>
        <w:ind w:left="5040" w:hanging="360"/>
      </w:pPr>
    </w:lvl>
    <w:lvl w:ilvl="7" w:tplc="4FC80D48" w:tentative="1">
      <w:start w:val="1"/>
      <w:numFmt w:val="lowerLetter"/>
      <w:lvlText w:val="%8."/>
      <w:lvlJc w:val="left"/>
      <w:pPr>
        <w:tabs>
          <w:tab w:val="num" w:pos="5760"/>
        </w:tabs>
        <w:ind w:left="5760" w:hanging="360"/>
      </w:pPr>
    </w:lvl>
    <w:lvl w:ilvl="8" w:tplc="DB28500C" w:tentative="1">
      <w:start w:val="1"/>
      <w:numFmt w:val="lowerRoman"/>
      <w:lvlText w:val="%9."/>
      <w:lvlJc w:val="right"/>
      <w:pPr>
        <w:tabs>
          <w:tab w:val="num" w:pos="6480"/>
        </w:tabs>
        <w:ind w:left="6480" w:hanging="180"/>
      </w:pPr>
    </w:lvl>
  </w:abstractNum>
  <w:abstractNum w:abstractNumId="4" w15:restartNumberingAfterBreak="0">
    <w:nsid w:val="10640BAC"/>
    <w:multiLevelType w:val="hybridMultilevel"/>
    <w:tmpl w:val="FFE8257A"/>
    <w:lvl w:ilvl="0" w:tplc="01CE7A76">
      <w:start w:val="2"/>
      <w:numFmt w:val="lowerLetter"/>
      <w:lvlText w:val="%1."/>
      <w:lvlJc w:val="left"/>
      <w:pPr>
        <w:ind w:left="1080" w:hanging="360"/>
      </w:pPr>
      <w:rPr>
        <w:rFonts w:hint="default"/>
        <w:strike w:val="0"/>
      </w:rPr>
    </w:lvl>
    <w:lvl w:ilvl="1" w:tplc="180C0019" w:tentative="1">
      <w:start w:val="1"/>
      <w:numFmt w:val="lowerLetter"/>
      <w:lvlText w:val="%2."/>
      <w:lvlJc w:val="left"/>
      <w:pPr>
        <w:ind w:left="1800" w:hanging="360"/>
      </w:pPr>
    </w:lvl>
    <w:lvl w:ilvl="2" w:tplc="180C001B" w:tentative="1">
      <w:start w:val="1"/>
      <w:numFmt w:val="lowerRoman"/>
      <w:lvlText w:val="%3."/>
      <w:lvlJc w:val="right"/>
      <w:pPr>
        <w:ind w:left="2520" w:hanging="180"/>
      </w:pPr>
    </w:lvl>
    <w:lvl w:ilvl="3" w:tplc="180C000F" w:tentative="1">
      <w:start w:val="1"/>
      <w:numFmt w:val="decimal"/>
      <w:lvlText w:val="%4."/>
      <w:lvlJc w:val="left"/>
      <w:pPr>
        <w:ind w:left="3240" w:hanging="360"/>
      </w:pPr>
    </w:lvl>
    <w:lvl w:ilvl="4" w:tplc="180C0019" w:tentative="1">
      <w:start w:val="1"/>
      <w:numFmt w:val="lowerLetter"/>
      <w:lvlText w:val="%5."/>
      <w:lvlJc w:val="left"/>
      <w:pPr>
        <w:ind w:left="3960" w:hanging="360"/>
      </w:pPr>
    </w:lvl>
    <w:lvl w:ilvl="5" w:tplc="180C001B" w:tentative="1">
      <w:start w:val="1"/>
      <w:numFmt w:val="lowerRoman"/>
      <w:lvlText w:val="%6."/>
      <w:lvlJc w:val="right"/>
      <w:pPr>
        <w:ind w:left="4680" w:hanging="180"/>
      </w:pPr>
    </w:lvl>
    <w:lvl w:ilvl="6" w:tplc="180C000F" w:tentative="1">
      <w:start w:val="1"/>
      <w:numFmt w:val="decimal"/>
      <w:lvlText w:val="%7."/>
      <w:lvlJc w:val="left"/>
      <w:pPr>
        <w:ind w:left="5400" w:hanging="360"/>
      </w:pPr>
    </w:lvl>
    <w:lvl w:ilvl="7" w:tplc="180C0019" w:tentative="1">
      <w:start w:val="1"/>
      <w:numFmt w:val="lowerLetter"/>
      <w:lvlText w:val="%8."/>
      <w:lvlJc w:val="left"/>
      <w:pPr>
        <w:ind w:left="6120" w:hanging="360"/>
      </w:pPr>
    </w:lvl>
    <w:lvl w:ilvl="8" w:tplc="180C001B" w:tentative="1">
      <w:start w:val="1"/>
      <w:numFmt w:val="lowerRoman"/>
      <w:lvlText w:val="%9."/>
      <w:lvlJc w:val="right"/>
      <w:pPr>
        <w:ind w:left="6840" w:hanging="180"/>
      </w:pPr>
    </w:lvl>
  </w:abstractNum>
  <w:abstractNum w:abstractNumId="5" w15:restartNumberingAfterBreak="0">
    <w:nsid w:val="147B5501"/>
    <w:multiLevelType w:val="hybridMultilevel"/>
    <w:tmpl w:val="AB80EB3A"/>
    <w:lvl w:ilvl="0" w:tplc="1009000D">
      <w:start w:val="1"/>
      <w:numFmt w:val="bullet"/>
      <w:lvlText w:val=""/>
      <w:lvlJc w:val="left"/>
      <w:pPr>
        <w:ind w:left="1364" w:hanging="360"/>
      </w:pPr>
      <w:rPr>
        <w:rFonts w:ascii="Wingdings" w:hAnsi="Wingdings"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6" w15:restartNumberingAfterBreak="0">
    <w:nsid w:val="14856256"/>
    <w:multiLevelType w:val="hybridMultilevel"/>
    <w:tmpl w:val="B978A8D2"/>
    <w:lvl w:ilvl="0" w:tplc="500E90F6">
      <w:start w:val="188"/>
      <w:numFmt w:val="decimal"/>
      <w:lvlText w:val="%1"/>
      <w:lvlJc w:val="left"/>
      <w:pPr>
        <w:ind w:left="360"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7" w15:restartNumberingAfterBreak="0">
    <w:nsid w:val="18CD2A67"/>
    <w:multiLevelType w:val="hybridMultilevel"/>
    <w:tmpl w:val="5E1E0A14"/>
    <w:lvl w:ilvl="0" w:tplc="8116C3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C55B5A"/>
    <w:multiLevelType w:val="hybridMultilevel"/>
    <w:tmpl w:val="3B06CA3E"/>
    <w:lvl w:ilvl="0" w:tplc="A5063FE2">
      <w:start w:val="31"/>
      <w:numFmt w:val="bullet"/>
      <w:lvlText w:val="-"/>
      <w:lvlJc w:val="left"/>
      <w:pPr>
        <w:ind w:left="3" w:hanging="360"/>
      </w:pPr>
      <w:rPr>
        <w:rFonts w:ascii="Arial" w:eastAsia="Calibri" w:hAnsi="Arial" w:cs="Arial" w:hint="default"/>
      </w:rPr>
    </w:lvl>
    <w:lvl w:ilvl="1" w:tplc="040C0003" w:tentative="1">
      <w:start w:val="1"/>
      <w:numFmt w:val="bullet"/>
      <w:lvlText w:val="o"/>
      <w:lvlJc w:val="left"/>
      <w:pPr>
        <w:ind w:left="723" w:hanging="360"/>
      </w:pPr>
      <w:rPr>
        <w:rFonts w:ascii="Courier New" w:hAnsi="Courier New" w:cs="Courier New" w:hint="default"/>
      </w:rPr>
    </w:lvl>
    <w:lvl w:ilvl="2" w:tplc="040C0005" w:tentative="1">
      <w:start w:val="1"/>
      <w:numFmt w:val="bullet"/>
      <w:lvlText w:val=""/>
      <w:lvlJc w:val="left"/>
      <w:pPr>
        <w:ind w:left="1443" w:hanging="360"/>
      </w:pPr>
      <w:rPr>
        <w:rFonts w:ascii="Wingdings" w:hAnsi="Wingdings" w:hint="default"/>
      </w:rPr>
    </w:lvl>
    <w:lvl w:ilvl="3" w:tplc="040C0001" w:tentative="1">
      <w:start w:val="1"/>
      <w:numFmt w:val="bullet"/>
      <w:lvlText w:val=""/>
      <w:lvlJc w:val="left"/>
      <w:pPr>
        <w:ind w:left="2163" w:hanging="360"/>
      </w:pPr>
      <w:rPr>
        <w:rFonts w:ascii="Symbol" w:hAnsi="Symbol" w:hint="default"/>
      </w:rPr>
    </w:lvl>
    <w:lvl w:ilvl="4" w:tplc="040C0003" w:tentative="1">
      <w:start w:val="1"/>
      <w:numFmt w:val="bullet"/>
      <w:lvlText w:val="o"/>
      <w:lvlJc w:val="left"/>
      <w:pPr>
        <w:ind w:left="2883" w:hanging="360"/>
      </w:pPr>
      <w:rPr>
        <w:rFonts w:ascii="Courier New" w:hAnsi="Courier New" w:cs="Courier New" w:hint="default"/>
      </w:rPr>
    </w:lvl>
    <w:lvl w:ilvl="5" w:tplc="040C0005" w:tentative="1">
      <w:start w:val="1"/>
      <w:numFmt w:val="bullet"/>
      <w:lvlText w:val=""/>
      <w:lvlJc w:val="left"/>
      <w:pPr>
        <w:ind w:left="3603" w:hanging="360"/>
      </w:pPr>
      <w:rPr>
        <w:rFonts w:ascii="Wingdings" w:hAnsi="Wingdings" w:hint="default"/>
      </w:rPr>
    </w:lvl>
    <w:lvl w:ilvl="6" w:tplc="040C0001" w:tentative="1">
      <w:start w:val="1"/>
      <w:numFmt w:val="bullet"/>
      <w:lvlText w:val=""/>
      <w:lvlJc w:val="left"/>
      <w:pPr>
        <w:ind w:left="4323" w:hanging="360"/>
      </w:pPr>
      <w:rPr>
        <w:rFonts w:ascii="Symbol" w:hAnsi="Symbol" w:hint="default"/>
      </w:rPr>
    </w:lvl>
    <w:lvl w:ilvl="7" w:tplc="040C0003" w:tentative="1">
      <w:start w:val="1"/>
      <w:numFmt w:val="bullet"/>
      <w:lvlText w:val="o"/>
      <w:lvlJc w:val="left"/>
      <w:pPr>
        <w:ind w:left="5043" w:hanging="360"/>
      </w:pPr>
      <w:rPr>
        <w:rFonts w:ascii="Courier New" w:hAnsi="Courier New" w:cs="Courier New" w:hint="default"/>
      </w:rPr>
    </w:lvl>
    <w:lvl w:ilvl="8" w:tplc="040C0005" w:tentative="1">
      <w:start w:val="1"/>
      <w:numFmt w:val="bullet"/>
      <w:lvlText w:val=""/>
      <w:lvlJc w:val="left"/>
      <w:pPr>
        <w:ind w:left="5763" w:hanging="360"/>
      </w:pPr>
      <w:rPr>
        <w:rFonts w:ascii="Wingdings" w:hAnsi="Wingdings" w:hint="default"/>
      </w:rPr>
    </w:lvl>
  </w:abstractNum>
  <w:abstractNum w:abstractNumId="9" w15:restartNumberingAfterBreak="0">
    <w:nsid w:val="20E24798"/>
    <w:multiLevelType w:val="hybridMultilevel"/>
    <w:tmpl w:val="8D44E208"/>
    <w:lvl w:ilvl="0" w:tplc="0409000D">
      <w:start w:val="1"/>
      <w:numFmt w:val="bullet"/>
      <w:lvlText w:val=""/>
      <w:lvlJc w:val="left"/>
      <w:pPr>
        <w:ind w:left="720" w:hanging="360"/>
      </w:pPr>
      <w:rPr>
        <w:rFonts w:ascii="Wingdings" w:hAnsi="Wingdings"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0" w15:restartNumberingAfterBreak="0">
    <w:nsid w:val="216B3159"/>
    <w:multiLevelType w:val="hybridMultilevel"/>
    <w:tmpl w:val="AC826538"/>
    <w:lvl w:ilvl="0" w:tplc="1009000D">
      <w:start w:val="1"/>
      <w:numFmt w:val="bullet"/>
      <w:lvlText w:val=""/>
      <w:lvlJc w:val="left"/>
      <w:pPr>
        <w:ind w:left="1364" w:hanging="360"/>
      </w:pPr>
      <w:rPr>
        <w:rFonts w:ascii="Wingdings" w:hAnsi="Wingdings"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1" w15:restartNumberingAfterBreak="0">
    <w:nsid w:val="2A0656BC"/>
    <w:multiLevelType w:val="hybridMultilevel"/>
    <w:tmpl w:val="5C30176E"/>
    <w:lvl w:ilvl="0" w:tplc="A5063FE2">
      <w:start w:val="3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553623"/>
    <w:multiLevelType w:val="hybridMultilevel"/>
    <w:tmpl w:val="9412EBBE"/>
    <w:lvl w:ilvl="0" w:tplc="3CE237C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BC0F6A"/>
    <w:multiLevelType w:val="hybridMultilevel"/>
    <w:tmpl w:val="80C0A590"/>
    <w:lvl w:ilvl="0" w:tplc="B9AC7BCA">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641395"/>
    <w:multiLevelType w:val="hybridMultilevel"/>
    <w:tmpl w:val="50FEADBA"/>
    <w:lvl w:ilvl="0" w:tplc="11C660EA">
      <w:start w:val="204"/>
      <w:numFmt w:val="decimal"/>
      <w:lvlText w:val="%1."/>
      <w:lvlJc w:val="left"/>
      <w:pPr>
        <w:ind w:left="780" w:hanging="420"/>
      </w:pPr>
      <w:rPr>
        <w:rFonts w:hint="default"/>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15" w15:restartNumberingAfterBreak="0">
    <w:nsid w:val="373E71DD"/>
    <w:multiLevelType w:val="hybridMultilevel"/>
    <w:tmpl w:val="CA269772"/>
    <w:lvl w:ilvl="0" w:tplc="AB207CB6">
      <w:numFmt w:val="decimal"/>
      <w:lvlText w:val="%1"/>
      <w:lvlJc w:val="left"/>
      <w:pPr>
        <w:ind w:left="3" w:hanging="360"/>
      </w:pPr>
      <w:rPr>
        <w:rFonts w:hint="default"/>
      </w:rPr>
    </w:lvl>
    <w:lvl w:ilvl="1" w:tplc="040C0019" w:tentative="1">
      <w:start w:val="1"/>
      <w:numFmt w:val="lowerLetter"/>
      <w:lvlText w:val="%2."/>
      <w:lvlJc w:val="left"/>
      <w:pPr>
        <w:ind w:left="723" w:hanging="360"/>
      </w:pPr>
    </w:lvl>
    <w:lvl w:ilvl="2" w:tplc="040C001B" w:tentative="1">
      <w:start w:val="1"/>
      <w:numFmt w:val="lowerRoman"/>
      <w:lvlText w:val="%3."/>
      <w:lvlJc w:val="right"/>
      <w:pPr>
        <w:ind w:left="1443" w:hanging="180"/>
      </w:pPr>
    </w:lvl>
    <w:lvl w:ilvl="3" w:tplc="040C000F" w:tentative="1">
      <w:start w:val="1"/>
      <w:numFmt w:val="decimal"/>
      <w:lvlText w:val="%4."/>
      <w:lvlJc w:val="left"/>
      <w:pPr>
        <w:ind w:left="2163" w:hanging="360"/>
      </w:pPr>
    </w:lvl>
    <w:lvl w:ilvl="4" w:tplc="040C0019" w:tentative="1">
      <w:start w:val="1"/>
      <w:numFmt w:val="lowerLetter"/>
      <w:lvlText w:val="%5."/>
      <w:lvlJc w:val="left"/>
      <w:pPr>
        <w:ind w:left="2883" w:hanging="360"/>
      </w:pPr>
    </w:lvl>
    <w:lvl w:ilvl="5" w:tplc="040C001B" w:tentative="1">
      <w:start w:val="1"/>
      <w:numFmt w:val="lowerRoman"/>
      <w:lvlText w:val="%6."/>
      <w:lvlJc w:val="right"/>
      <w:pPr>
        <w:ind w:left="3603" w:hanging="180"/>
      </w:pPr>
    </w:lvl>
    <w:lvl w:ilvl="6" w:tplc="040C000F" w:tentative="1">
      <w:start w:val="1"/>
      <w:numFmt w:val="decimal"/>
      <w:lvlText w:val="%7."/>
      <w:lvlJc w:val="left"/>
      <w:pPr>
        <w:ind w:left="4323" w:hanging="360"/>
      </w:pPr>
    </w:lvl>
    <w:lvl w:ilvl="7" w:tplc="040C0019" w:tentative="1">
      <w:start w:val="1"/>
      <w:numFmt w:val="lowerLetter"/>
      <w:lvlText w:val="%8."/>
      <w:lvlJc w:val="left"/>
      <w:pPr>
        <w:ind w:left="5043" w:hanging="360"/>
      </w:pPr>
    </w:lvl>
    <w:lvl w:ilvl="8" w:tplc="040C001B" w:tentative="1">
      <w:start w:val="1"/>
      <w:numFmt w:val="lowerRoman"/>
      <w:lvlText w:val="%9."/>
      <w:lvlJc w:val="right"/>
      <w:pPr>
        <w:ind w:left="5763" w:hanging="180"/>
      </w:pPr>
    </w:lvl>
  </w:abstractNum>
  <w:abstractNum w:abstractNumId="16" w15:restartNumberingAfterBreak="0">
    <w:nsid w:val="3ACF4EB2"/>
    <w:multiLevelType w:val="hybridMultilevel"/>
    <w:tmpl w:val="3662999A"/>
    <w:lvl w:ilvl="0" w:tplc="8A8C991E">
      <w:start w:val="1"/>
      <w:numFmt w:val="bullet"/>
      <w:pStyle w:val="Bullet2G"/>
      <w:lvlText w:val="•"/>
      <w:lvlJc w:val="left"/>
      <w:pPr>
        <w:tabs>
          <w:tab w:val="num" w:pos="2268"/>
        </w:tabs>
        <w:ind w:left="2268" w:hanging="170"/>
      </w:pPr>
      <w:rPr>
        <w:rFonts w:ascii="Times New Roman" w:hAnsi="Times New Roman" w:cs="Times New Roman" w:hint="default"/>
      </w:rPr>
    </w:lvl>
    <w:lvl w:ilvl="1" w:tplc="C3229E44" w:tentative="1">
      <w:start w:val="1"/>
      <w:numFmt w:val="bullet"/>
      <w:lvlText w:val="o"/>
      <w:lvlJc w:val="left"/>
      <w:pPr>
        <w:tabs>
          <w:tab w:val="num" w:pos="3708"/>
        </w:tabs>
        <w:ind w:left="3708" w:hanging="360"/>
      </w:pPr>
      <w:rPr>
        <w:rFonts w:ascii="Courier New" w:hAnsi="Courier New" w:hint="default"/>
      </w:rPr>
    </w:lvl>
    <w:lvl w:ilvl="2" w:tplc="469A016A" w:tentative="1">
      <w:start w:val="1"/>
      <w:numFmt w:val="bullet"/>
      <w:lvlText w:val=""/>
      <w:lvlJc w:val="left"/>
      <w:pPr>
        <w:tabs>
          <w:tab w:val="num" w:pos="4428"/>
        </w:tabs>
        <w:ind w:left="4428" w:hanging="360"/>
      </w:pPr>
      <w:rPr>
        <w:rFonts w:ascii="Wingdings" w:hAnsi="Wingdings" w:hint="default"/>
      </w:rPr>
    </w:lvl>
    <w:lvl w:ilvl="3" w:tplc="AAF4E602" w:tentative="1">
      <w:start w:val="1"/>
      <w:numFmt w:val="bullet"/>
      <w:lvlText w:val=""/>
      <w:lvlJc w:val="left"/>
      <w:pPr>
        <w:tabs>
          <w:tab w:val="num" w:pos="5148"/>
        </w:tabs>
        <w:ind w:left="5148" w:hanging="360"/>
      </w:pPr>
      <w:rPr>
        <w:rFonts w:ascii="Symbol" w:hAnsi="Symbol" w:hint="default"/>
      </w:rPr>
    </w:lvl>
    <w:lvl w:ilvl="4" w:tplc="6A7CA046" w:tentative="1">
      <w:start w:val="1"/>
      <w:numFmt w:val="bullet"/>
      <w:lvlText w:val="o"/>
      <w:lvlJc w:val="left"/>
      <w:pPr>
        <w:tabs>
          <w:tab w:val="num" w:pos="5868"/>
        </w:tabs>
        <w:ind w:left="5868" w:hanging="360"/>
      </w:pPr>
      <w:rPr>
        <w:rFonts w:ascii="Courier New" w:hAnsi="Courier New" w:hint="default"/>
      </w:rPr>
    </w:lvl>
    <w:lvl w:ilvl="5" w:tplc="4DF0614A" w:tentative="1">
      <w:start w:val="1"/>
      <w:numFmt w:val="bullet"/>
      <w:lvlText w:val=""/>
      <w:lvlJc w:val="left"/>
      <w:pPr>
        <w:tabs>
          <w:tab w:val="num" w:pos="6588"/>
        </w:tabs>
        <w:ind w:left="6588" w:hanging="360"/>
      </w:pPr>
      <w:rPr>
        <w:rFonts w:ascii="Wingdings" w:hAnsi="Wingdings" w:hint="default"/>
      </w:rPr>
    </w:lvl>
    <w:lvl w:ilvl="6" w:tplc="B19077C0" w:tentative="1">
      <w:start w:val="1"/>
      <w:numFmt w:val="bullet"/>
      <w:lvlText w:val=""/>
      <w:lvlJc w:val="left"/>
      <w:pPr>
        <w:tabs>
          <w:tab w:val="num" w:pos="7308"/>
        </w:tabs>
        <w:ind w:left="7308" w:hanging="360"/>
      </w:pPr>
      <w:rPr>
        <w:rFonts w:ascii="Symbol" w:hAnsi="Symbol" w:hint="default"/>
      </w:rPr>
    </w:lvl>
    <w:lvl w:ilvl="7" w:tplc="A46E8B12" w:tentative="1">
      <w:start w:val="1"/>
      <w:numFmt w:val="bullet"/>
      <w:lvlText w:val="o"/>
      <w:lvlJc w:val="left"/>
      <w:pPr>
        <w:tabs>
          <w:tab w:val="num" w:pos="8028"/>
        </w:tabs>
        <w:ind w:left="8028" w:hanging="360"/>
      </w:pPr>
      <w:rPr>
        <w:rFonts w:ascii="Courier New" w:hAnsi="Courier New" w:hint="default"/>
      </w:rPr>
    </w:lvl>
    <w:lvl w:ilvl="8" w:tplc="AAC6FB2C"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E517CB1"/>
    <w:multiLevelType w:val="hybridMultilevel"/>
    <w:tmpl w:val="93CA582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6B0A8A"/>
    <w:multiLevelType w:val="hybridMultilevel"/>
    <w:tmpl w:val="05BA2A9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78B5ECF"/>
    <w:multiLevelType w:val="hybridMultilevel"/>
    <w:tmpl w:val="CFA0E4BC"/>
    <w:lvl w:ilvl="0" w:tplc="1009000B">
      <w:start w:val="1"/>
      <w:numFmt w:val="bullet"/>
      <w:lvlText w:val=""/>
      <w:lvlJc w:val="left"/>
      <w:pPr>
        <w:ind w:left="1364" w:hanging="360"/>
      </w:pPr>
      <w:rPr>
        <w:rFonts w:ascii="Wingdings" w:hAnsi="Wingdings"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0" w15:restartNumberingAfterBreak="0">
    <w:nsid w:val="565F517C"/>
    <w:multiLevelType w:val="hybridMultilevel"/>
    <w:tmpl w:val="9C1C7240"/>
    <w:lvl w:ilvl="0" w:tplc="86BC3CD8">
      <w:start w:val="1"/>
      <w:numFmt w:val="decimal"/>
      <w:lvlText w:val="%1."/>
      <w:lvlJc w:val="left"/>
      <w:pPr>
        <w:ind w:left="1854" w:hanging="360"/>
      </w:pPr>
      <w:rPr>
        <w:b w:val="0"/>
        <w:strike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69D1479"/>
    <w:multiLevelType w:val="hybridMultilevel"/>
    <w:tmpl w:val="47E8F2D2"/>
    <w:lvl w:ilvl="0" w:tplc="DA16260C">
      <w:start w:val="94"/>
      <w:numFmt w:val="bullet"/>
      <w:lvlText w:val="-"/>
      <w:lvlJc w:val="left"/>
      <w:pPr>
        <w:ind w:left="720" w:hanging="360"/>
      </w:pPr>
      <w:rPr>
        <w:rFonts w:ascii="Rockwell" w:eastAsia="Calibri" w:hAnsi="Rockwel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7871072"/>
    <w:multiLevelType w:val="hybridMultilevel"/>
    <w:tmpl w:val="7CECFDF0"/>
    <w:lvl w:ilvl="0" w:tplc="A6CA3DCE">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2D0A68"/>
    <w:multiLevelType w:val="hybridMultilevel"/>
    <w:tmpl w:val="2B4C8068"/>
    <w:lvl w:ilvl="0" w:tplc="B2B679E2">
      <w:start w:val="1"/>
      <w:numFmt w:val="upperRoman"/>
      <w:lvlText w:val="%1."/>
      <w:lvlJc w:val="left"/>
      <w:pPr>
        <w:ind w:left="720" w:hanging="720"/>
      </w:pPr>
      <w:rPr>
        <w:rFonts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8AD07B2"/>
    <w:multiLevelType w:val="hybridMultilevel"/>
    <w:tmpl w:val="5D1450C0"/>
    <w:lvl w:ilvl="0" w:tplc="20B29C96">
      <w:start w:val="1"/>
      <w:numFmt w:val="bullet"/>
      <w:pStyle w:val="Bullet1G"/>
      <w:lvlText w:val="•"/>
      <w:lvlJc w:val="left"/>
      <w:pPr>
        <w:tabs>
          <w:tab w:val="num" w:pos="1701"/>
        </w:tabs>
        <w:ind w:left="1701" w:hanging="170"/>
      </w:pPr>
      <w:rPr>
        <w:rFonts w:ascii="Times New Roman" w:hAnsi="Times New Roman" w:cs="Times New Roman" w:hint="default"/>
      </w:rPr>
    </w:lvl>
    <w:lvl w:ilvl="1" w:tplc="979EEE1A" w:tentative="1">
      <w:start w:val="1"/>
      <w:numFmt w:val="bullet"/>
      <w:lvlText w:val="o"/>
      <w:lvlJc w:val="left"/>
      <w:pPr>
        <w:tabs>
          <w:tab w:val="num" w:pos="3141"/>
        </w:tabs>
        <w:ind w:left="3141" w:hanging="360"/>
      </w:pPr>
      <w:rPr>
        <w:rFonts w:ascii="Courier New" w:hAnsi="Courier New" w:hint="default"/>
      </w:rPr>
    </w:lvl>
    <w:lvl w:ilvl="2" w:tplc="DFF8F1D2" w:tentative="1">
      <w:start w:val="1"/>
      <w:numFmt w:val="bullet"/>
      <w:lvlText w:val=""/>
      <w:lvlJc w:val="left"/>
      <w:pPr>
        <w:tabs>
          <w:tab w:val="num" w:pos="3861"/>
        </w:tabs>
        <w:ind w:left="3861" w:hanging="360"/>
      </w:pPr>
      <w:rPr>
        <w:rFonts w:ascii="Wingdings" w:hAnsi="Wingdings" w:hint="default"/>
      </w:rPr>
    </w:lvl>
    <w:lvl w:ilvl="3" w:tplc="87427C38" w:tentative="1">
      <w:start w:val="1"/>
      <w:numFmt w:val="bullet"/>
      <w:lvlText w:val=""/>
      <w:lvlJc w:val="left"/>
      <w:pPr>
        <w:tabs>
          <w:tab w:val="num" w:pos="4581"/>
        </w:tabs>
        <w:ind w:left="4581" w:hanging="360"/>
      </w:pPr>
      <w:rPr>
        <w:rFonts w:ascii="Symbol" w:hAnsi="Symbol" w:hint="default"/>
      </w:rPr>
    </w:lvl>
    <w:lvl w:ilvl="4" w:tplc="F41A1504" w:tentative="1">
      <w:start w:val="1"/>
      <w:numFmt w:val="bullet"/>
      <w:lvlText w:val="o"/>
      <w:lvlJc w:val="left"/>
      <w:pPr>
        <w:tabs>
          <w:tab w:val="num" w:pos="5301"/>
        </w:tabs>
        <w:ind w:left="5301" w:hanging="360"/>
      </w:pPr>
      <w:rPr>
        <w:rFonts w:ascii="Courier New" w:hAnsi="Courier New" w:hint="default"/>
      </w:rPr>
    </w:lvl>
    <w:lvl w:ilvl="5" w:tplc="B742FF3C" w:tentative="1">
      <w:start w:val="1"/>
      <w:numFmt w:val="bullet"/>
      <w:lvlText w:val=""/>
      <w:lvlJc w:val="left"/>
      <w:pPr>
        <w:tabs>
          <w:tab w:val="num" w:pos="6021"/>
        </w:tabs>
        <w:ind w:left="6021" w:hanging="360"/>
      </w:pPr>
      <w:rPr>
        <w:rFonts w:ascii="Wingdings" w:hAnsi="Wingdings" w:hint="default"/>
      </w:rPr>
    </w:lvl>
    <w:lvl w:ilvl="6" w:tplc="3446C2B6" w:tentative="1">
      <w:start w:val="1"/>
      <w:numFmt w:val="bullet"/>
      <w:lvlText w:val=""/>
      <w:lvlJc w:val="left"/>
      <w:pPr>
        <w:tabs>
          <w:tab w:val="num" w:pos="6741"/>
        </w:tabs>
        <w:ind w:left="6741" w:hanging="360"/>
      </w:pPr>
      <w:rPr>
        <w:rFonts w:ascii="Symbol" w:hAnsi="Symbol" w:hint="default"/>
      </w:rPr>
    </w:lvl>
    <w:lvl w:ilvl="7" w:tplc="6CCC46E4" w:tentative="1">
      <w:start w:val="1"/>
      <w:numFmt w:val="bullet"/>
      <w:lvlText w:val="o"/>
      <w:lvlJc w:val="left"/>
      <w:pPr>
        <w:tabs>
          <w:tab w:val="num" w:pos="7461"/>
        </w:tabs>
        <w:ind w:left="7461" w:hanging="360"/>
      </w:pPr>
      <w:rPr>
        <w:rFonts w:ascii="Courier New" w:hAnsi="Courier New" w:hint="default"/>
      </w:rPr>
    </w:lvl>
    <w:lvl w:ilvl="8" w:tplc="21DA0E6E"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16B5CA9"/>
    <w:multiLevelType w:val="hybridMultilevel"/>
    <w:tmpl w:val="D57A4B34"/>
    <w:lvl w:ilvl="0" w:tplc="99FA8598">
      <w:numFmt w:val="decimal"/>
      <w:lvlText w:val="%1."/>
      <w:lvlJc w:val="left"/>
      <w:pPr>
        <w:ind w:left="360" w:hanging="360"/>
      </w:pPr>
      <w:rPr>
        <w:rFonts w:hint="default"/>
        <w:b/>
        <w:strike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F8A21BC"/>
    <w:multiLevelType w:val="hybridMultilevel"/>
    <w:tmpl w:val="B3A8D1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
  </w:num>
  <w:num w:numId="4">
    <w:abstractNumId w:val="26"/>
  </w:num>
  <w:num w:numId="5">
    <w:abstractNumId w:val="9"/>
  </w:num>
  <w:num w:numId="6">
    <w:abstractNumId w:val="25"/>
  </w:num>
  <w:num w:numId="7">
    <w:abstractNumId w:val="7"/>
  </w:num>
  <w:num w:numId="8">
    <w:abstractNumId w:val="23"/>
  </w:num>
  <w:num w:numId="9">
    <w:abstractNumId w:val="17"/>
  </w:num>
  <w:num w:numId="10">
    <w:abstractNumId w:val="2"/>
  </w:num>
  <w:num w:numId="11">
    <w:abstractNumId w:val="8"/>
  </w:num>
  <w:num w:numId="12">
    <w:abstractNumId w:val="11"/>
  </w:num>
  <w:num w:numId="13">
    <w:abstractNumId w:val="15"/>
  </w:num>
  <w:num w:numId="14">
    <w:abstractNumId w:val="4"/>
  </w:num>
  <w:num w:numId="15">
    <w:abstractNumId w:val="5"/>
  </w:num>
  <w:num w:numId="16">
    <w:abstractNumId w:val="19"/>
  </w:num>
  <w:num w:numId="17">
    <w:abstractNumId w:val="10"/>
  </w:num>
  <w:num w:numId="18">
    <w:abstractNumId w:val="21"/>
  </w:num>
  <w:num w:numId="19">
    <w:abstractNumId w:val="6"/>
  </w:num>
  <w:num w:numId="20">
    <w:abstractNumId w:val="14"/>
  </w:num>
  <w:num w:numId="21">
    <w:abstractNumId w:val="0"/>
  </w:num>
  <w:num w:numId="22">
    <w:abstractNumId w:val="1"/>
  </w:num>
  <w:num w:numId="23">
    <w:abstractNumId w:val="22"/>
  </w:num>
  <w:num w:numId="24">
    <w:abstractNumId w:val="12"/>
  </w:num>
  <w:num w:numId="25">
    <w:abstractNumId w:val="13"/>
  </w:num>
  <w:num w:numId="26">
    <w:abstractNumId w:val="18"/>
  </w:num>
  <w:num w:numId="2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H" w:vendorID="64" w:dllVersion="6" w:nlCheck="1" w:checkStyle="0"/>
  <w:activeWritingStyle w:appName="MSWord" w:lang="fr-MC" w:vendorID="64" w:dllVersion="6" w:nlCheck="1" w:checkStyle="0"/>
  <w:activeWritingStyle w:appName="MSWord" w:lang="fr-FR" w:vendorID="64" w:dllVersion="6" w:nlCheck="1" w:checkStyle="0"/>
  <w:activeWritingStyle w:appName="MSWord" w:lang="fr-CH" w:vendorID="64" w:dllVersion="0" w:nlCheck="1" w:checkStyle="0"/>
  <w:activeWritingStyle w:appName="MSWord" w:lang="fr-MC" w:vendorID="64" w:dllVersion="0" w:nlCheck="1" w:checkStyle="0"/>
  <w:activeWritingStyle w:appName="MSWord" w:lang="fr-FR" w:vendorID="64" w:dllVersion="0" w:nlCheck="1" w:checkStyle="0"/>
  <w:activeWritingStyle w:appName="MSWord" w:lang="fr-BE" w:vendorID="64" w:dllVersion="0" w:nlCheck="1" w:checkStyle="0"/>
  <w:proofState w:spelling="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14"/>
    <w:rsid w:val="000029F6"/>
    <w:rsid w:val="000253EF"/>
    <w:rsid w:val="0004248B"/>
    <w:rsid w:val="0004563F"/>
    <w:rsid w:val="000472BD"/>
    <w:rsid w:val="000B5555"/>
    <w:rsid w:val="000B68E7"/>
    <w:rsid w:val="000F1006"/>
    <w:rsid w:val="000F1836"/>
    <w:rsid w:val="00145C25"/>
    <w:rsid w:val="0016597A"/>
    <w:rsid w:val="001874D6"/>
    <w:rsid w:val="001E66BD"/>
    <w:rsid w:val="001F2F96"/>
    <w:rsid w:val="001F5DAB"/>
    <w:rsid w:val="0020117D"/>
    <w:rsid w:val="00203C77"/>
    <w:rsid w:val="002309FA"/>
    <w:rsid w:val="00232823"/>
    <w:rsid w:val="002622B2"/>
    <w:rsid w:val="002A44C6"/>
    <w:rsid w:val="00313166"/>
    <w:rsid w:val="00344B13"/>
    <w:rsid w:val="00353735"/>
    <w:rsid w:val="00385034"/>
    <w:rsid w:val="003C0BF6"/>
    <w:rsid w:val="003C3DE6"/>
    <w:rsid w:val="003D07B3"/>
    <w:rsid w:val="003E0A49"/>
    <w:rsid w:val="0040606F"/>
    <w:rsid w:val="00416573"/>
    <w:rsid w:val="00424FF5"/>
    <w:rsid w:val="0047249D"/>
    <w:rsid w:val="004932A2"/>
    <w:rsid w:val="004A2A61"/>
    <w:rsid w:val="00607AA9"/>
    <w:rsid w:val="00620700"/>
    <w:rsid w:val="0067595B"/>
    <w:rsid w:val="00681296"/>
    <w:rsid w:val="00781797"/>
    <w:rsid w:val="007C0E27"/>
    <w:rsid w:val="007C3D27"/>
    <w:rsid w:val="007D3DCC"/>
    <w:rsid w:val="008021D3"/>
    <w:rsid w:val="00803DC8"/>
    <w:rsid w:val="0082304E"/>
    <w:rsid w:val="00861273"/>
    <w:rsid w:val="008631B6"/>
    <w:rsid w:val="00863A65"/>
    <w:rsid w:val="008A5B30"/>
    <w:rsid w:val="008C3AEE"/>
    <w:rsid w:val="008D1639"/>
    <w:rsid w:val="008D712E"/>
    <w:rsid w:val="00923F3A"/>
    <w:rsid w:val="00951257"/>
    <w:rsid w:val="009647C1"/>
    <w:rsid w:val="009851A6"/>
    <w:rsid w:val="009B173B"/>
    <w:rsid w:val="009C1184"/>
    <w:rsid w:val="009F6492"/>
    <w:rsid w:val="00A116A0"/>
    <w:rsid w:val="00A14131"/>
    <w:rsid w:val="00A1609B"/>
    <w:rsid w:val="00A24D76"/>
    <w:rsid w:val="00A2570C"/>
    <w:rsid w:val="00A6762E"/>
    <w:rsid w:val="00A80003"/>
    <w:rsid w:val="00A80FD9"/>
    <w:rsid w:val="00B345A8"/>
    <w:rsid w:val="00B65306"/>
    <w:rsid w:val="00B96926"/>
    <w:rsid w:val="00BC23B3"/>
    <w:rsid w:val="00BD1593"/>
    <w:rsid w:val="00BD6FE6"/>
    <w:rsid w:val="00BE3C14"/>
    <w:rsid w:val="00BF2F03"/>
    <w:rsid w:val="00C65C2A"/>
    <w:rsid w:val="00C74407"/>
    <w:rsid w:val="00C76A03"/>
    <w:rsid w:val="00CC0721"/>
    <w:rsid w:val="00CC66AC"/>
    <w:rsid w:val="00CD05D3"/>
    <w:rsid w:val="00D05EE5"/>
    <w:rsid w:val="00D5675E"/>
    <w:rsid w:val="00DE09A7"/>
    <w:rsid w:val="00DE4B5B"/>
    <w:rsid w:val="00E370CE"/>
    <w:rsid w:val="00EB19F1"/>
    <w:rsid w:val="00EF7F93"/>
    <w:rsid w:val="00F34885"/>
    <w:rsid w:val="00F428E3"/>
    <w:rsid w:val="00F60976"/>
    <w:rsid w:val="00F709B2"/>
    <w:rsid w:val="00FC2DDF"/>
    <w:rsid w:val="00FE0BF6"/>
    <w:rsid w:val="00FE0DFF"/>
    <w:rsid w:val="00FE271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C1278F"/>
  <w15:docId w15:val="{33A15405-6717-4C07-94B6-3B6D9D6B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semiHidden/>
    <w:qFormat/>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semiHidden/>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pPr>
      <w:spacing w:line="240" w:lineRule="auto"/>
    </w:pPr>
    <w:rPr>
      <w:sz w:val="16"/>
    </w:rPr>
  </w:style>
  <w:style w:type="character" w:customStyle="1" w:styleId="PieddepageCar">
    <w:name w:val="Pied de page Car"/>
    <w:aliases w:val="3_G Car"/>
    <w:basedOn w:val="Policepardfaut"/>
    <w:link w:val="Pieddepage"/>
    <w:uiPriority w:val="99"/>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pPr>
      <w:tabs>
        <w:tab w:val="left" w:pos="1701"/>
        <w:tab w:val="left" w:pos="2268"/>
        <w:tab w:val="left" w:pos="2835"/>
      </w:tabs>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customStyle="1" w:styleId="Bullet2G">
    <w:name w:val="_Bullet 2_G"/>
    <w:basedOn w:val="Normal"/>
    <w:qFormat/>
    <w:pPr>
      <w:numPr>
        <w:numId w:val="2"/>
      </w:numPr>
      <w:spacing w:after="120"/>
      <w:ind w:right="1134"/>
      <w:jc w:val="both"/>
    </w:pPr>
  </w:style>
  <w:style w:type="paragraph" w:customStyle="1" w:styleId="ParNoG">
    <w:name w:val="_ParNo_G"/>
    <w:basedOn w:val="Normal"/>
    <w:qFormat/>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B345A8"/>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qFormat/>
    <w:rsid w:val="00B345A8"/>
    <w:pPr>
      <w:tabs>
        <w:tab w:val="right" w:pos="1021"/>
      </w:tabs>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B345A8"/>
    <w:rPr>
      <w:rFonts w:ascii="Times New Roman" w:eastAsiaTheme="minorEastAsia" w:hAnsi="Times New Roman" w:cs="Times New Roman"/>
      <w:sz w:val="18"/>
      <w:szCs w:val="20"/>
      <w:lang w:eastAsia="zh-CN"/>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uiPriority w:val="9"/>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uiPriority w:val="9"/>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numbering" w:customStyle="1" w:styleId="NoList1">
    <w:name w:val="No List1"/>
    <w:next w:val="Aucuneliste"/>
    <w:uiPriority w:val="99"/>
    <w:semiHidden/>
    <w:unhideWhenUsed/>
    <w:rsid w:val="0016597A"/>
  </w:style>
  <w:style w:type="paragraph" w:styleId="Paragraphedeliste">
    <w:name w:val="List Paragraph"/>
    <w:aliases w:val="References"/>
    <w:basedOn w:val="Normal"/>
    <w:link w:val="ParagraphedelisteCar"/>
    <w:uiPriority w:val="34"/>
    <w:qFormat/>
    <w:rsid w:val="0016597A"/>
    <w:pPr>
      <w:suppressAutoHyphens w:val="0"/>
      <w:kinsoku/>
      <w:overflowPunct/>
      <w:autoSpaceDE/>
      <w:autoSpaceDN/>
      <w:adjustRightInd/>
      <w:snapToGrid/>
      <w:spacing w:after="200" w:line="276" w:lineRule="auto"/>
      <w:ind w:left="720"/>
      <w:contextualSpacing/>
    </w:pPr>
    <w:rPr>
      <w:rFonts w:ascii="Calibri" w:hAnsi="Calibri"/>
      <w:sz w:val="22"/>
      <w:szCs w:val="22"/>
      <w:lang w:val="fr-MC"/>
    </w:rPr>
  </w:style>
  <w:style w:type="paragraph" w:customStyle="1" w:styleId="Default">
    <w:name w:val="Default"/>
    <w:rsid w:val="0016597A"/>
    <w:pPr>
      <w:autoSpaceDE w:val="0"/>
      <w:autoSpaceDN w:val="0"/>
      <w:adjustRightInd w:val="0"/>
      <w:spacing w:after="0" w:line="240" w:lineRule="auto"/>
    </w:pPr>
    <w:rPr>
      <w:rFonts w:ascii="Arial" w:hAnsi="Arial" w:cs="Arial"/>
      <w:color w:val="000000"/>
      <w:sz w:val="24"/>
      <w:szCs w:val="24"/>
      <w:lang w:val="fr-MC"/>
    </w:rPr>
  </w:style>
  <w:style w:type="table" w:customStyle="1" w:styleId="TableGrid1">
    <w:name w:val="Table Grid1"/>
    <w:basedOn w:val="TableauNormal"/>
    <w:next w:val="Grilledutableau"/>
    <w:uiPriority w:val="59"/>
    <w:rsid w:val="0016597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uiPriority w:val="29"/>
    <w:qFormat/>
    <w:rsid w:val="0016597A"/>
    <w:pPr>
      <w:suppressAutoHyphens w:val="0"/>
      <w:kinsoku/>
      <w:overflowPunct/>
      <w:autoSpaceDE/>
      <w:autoSpaceDN/>
      <w:adjustRightInd/>
      <w:snapToGrid/>
      <w:spacing w:after="200" w:line="276" w:lineRule="auto"/>
    </w:pPr>
    <w:rPr>
      <w:rFonts w:ascii="Calibri" w:hAnsi="Calibri"/>
      <w:i/>
      <w:iCs/>
      <w:color w:val="000000"/>
      <w:sz w:val="22"/>
      <w:szCs w:val="22"/>
      <w:lang w:val="fr-FR"/>
    </w:rPr>
  </w:style>
  <w:style w:type="character" w:customStyle="1" w:styleId="CitationCar">
    <w:name w:val="Citation Car"/>
    <w:basedOn w:val="Policepardfaut"/>
    <w:link w:val="Citation"/>
    <w:uiPriority w:val="29"/>
    <w:rsid w:val="0016597A"/>
    <w:rPr>
      <w:i/>
      <w:iCs/>
      <w:color w:val="000000"/>
      <w:lang w:val="fr-FR"/>
    </w:rPr>
  </w:style>
  <w:style w:type="character" w:styleId="lev">
    <w:name w:val="Strong"/>
    <w:basedOn w:val="Policepardfaut"/>
    <w:uiPriority w:val="22"/>
    <w:qFormat/>
    <w:rsid w:val="0016597A"/>
    <w:rPr>
      <w:b/>
      <w:bCs/>
    </w:rPr>
  </w:style>
  <w:style w:type="character" w:styleId="Accentuation">
    <w:name w:val="Emphasis"/>
    <w:basedOn w:val="Policepardfaut"/>
    <w:uiPriority w:val="20"/>
    <w:qFormat/>
    <w:rsid w:val="0016597A"/>
    <w:rPr>
      <w:i/>
      <w:iCs/>
    </w:rPr>
  </w:style>
  <w:style w:type="character" w:customStyle="1" w:styleId="SingleTxtGChar">
    <w:name w:val="_ Single Txt_G Char"/>
    <w:basedOn w:val="Policepardfaut"/>
    <w:link w:val="SingleTxtG"/>
    <w:rsid w:val="0016597A"/>
    <w:rPr>
      <w:rFonts w:ascii="Times New Roman" w:hAnsi="Times New Roman" w:cs="Times New Roman"/>
      <w:sz w:val="20"/>
      <w:szCs w:val="20"/>
    </w:rPr>
  </w:style>
  <w:style w:type="paragraph" w:styleId="NormalWeb">
    <w:name w:val="Normal (Web)"/>
    <w:basedOn w:val="Normal"/>
    <w:uiPriority w:val="99"/>
    <w:unhideWhenUsed/>
    <w:rsid w:val="0016597A"/>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MC" w:eastAsia="fr-MC"/>
    </w:rPr>
  </w:style>
  <w:style w:type="paragraph" w:styleId="Sansinterligne">
    <w:name w:val="No Spacing"/>
    <w:link w:val="SansinterligneCar"/>
    <w:uiPriority w:val="1"/>
    <w:qFormat/>
    <w:rsid w:val="0016597A"/>
    <w:pPr>
      <w:spacing w:after="0" w:line="240" w:lineRule="auto"/>
      <w:ind w:left="675" w:hanging="357"/>
      <w:jc w:val="both"/>
    </w:pPr>
    <w:rPr>
      <w:rFonts w:ascii="Calibri" w:eastAsia="Calibri" w:hAnsi="Calibri" w:cs="Times New Roman"/>
      <w:lang w:val="fr-FR"/>
    </w:rPr>
  </w:style>
  <w:style w:type="character" w:customStyle="1" w:styleId="SansinterligneCar">
    <w:name w:val="Sans interligne Car"/>
    <w:link w:val="Sansinterligne"/>
    <w:uiPriority w:val="1"/>
    <w:rsid w:val="0016597A"/>
    <w:rPr>
      <w:rFonts w:ascii="Calibri" w:eastAsia="Calibri" w:hAnsi="Calibri" w:cs="Times New Roman"/>
      <w:lang w:val="fr-FR"/>
    </w:rPr>
  </w:style>
  <w:style w:type="character" w:customStyle="1" w:styleId="ParagraphedelisteCar">
    <w:name w:val="Paragraphe de liste Car"/>
    <w:aliases w:val="References Car"/>
    <w:link w:val="Paragraphedeliste"/>
    <w:uiPriority w:val="34"/>
    <w:locked/>
    <w:rsid w:val="0016597A"/>
    <w:rPr>
      <w:rFonts w:ascii="Calibri" w:hAnsi="Calibri" w:cs="Times New Roman"/>
      <w:lang w:val="fr-MC"/>
    </w:rPr>
  </w:style>
  <w:style w:type="paragraph" w:styleId="En-ttedetabledesmatires">
    <w:name w:val="TOC Heading"/>
    <w:basedOn w:val="Titre1"/>
    <w:next w:val="Normal"/>
    <w:uiPriority w:val="39"/>
    <w:unhideWhenUsed/>
    <w:qFormat/>
    <w:rsid w:val="0016597A"/>
    <w:pPr>
      <w:suppressAutoHyphens w:val="0"/>
      <w:kinsoku/>
      <w:overflowPunct/>
      <w:autoSpaceDE/>
      <w:autoSpaceDN/>
      <w:adjustRightInd/>
      <w:snapToGrid/>
      <w:spacing w:before="240" w:line="259" w:lineRule="auto"/>
      <w:ind w:left="0"/>
      <w:outlineLvl w:val="9"/>
    </w:pPr>
    <w:rPr>
      <w:rFonts w:ascii="Cambria" w:eastAsia="Times New Roman" w:hAnsi="Cambria"/>
      <w:color w:val="365F91"/>
      <w:sz w:val="32"/>
      <w:szCs w:val="32"/>
      <w:lang w:val="fr-FR" w:eastAsia="fr-FR"/>
    </w:rPr>
  </w:style>
  <w:style w:type="paragraph" w:customStyle="1" w:styleId="TOC21">
    <w:name w:val="TOC 21"/>
    <w:basedOn w:val="Normal"/>
    <w:next w:val="Normal"/>
    <w:autoRedefine/>
    <w:uiPriority w:val="39"/>
    <w:unhideWhenUsed/>
    <w:rsid w:val="0016597A"/>
    <w:pPr>
      <w:suppressAutoHyphens w:val="0"/>
      <w:kinsoku/>
      <w:overflowPunct/>
      <w:autoSpaceDE/>
      <w:autoSpaceDN/>
      <w:adjustRightInd/>
      <w:snapToGrid/>
      <w:spacing w:after="100" w:line="259" w:lineRule="auto"/>
      <w:ind w:left="220"/>
    </w:pPr>
    <w:rPr>
      <w:rFonts w:ascii="Calibri" w:eastAsia="Times New Roman" w:hAnsi="Calibri"/>
      <w:sz w:val="22"/>
      <w:szCs w:val="22"/>
      <w:lang w:val="fr-FR" w:eastAsia="fr-FR"/>
    </w:rPr>
  </w:style>
  <w:style w:type="paragraph" w:customStyle="1" w:styleId="TOC11">
    <w:name w:val="TOC 11"/>
    <w:basedOn w:val="Normal"/>
    <w:next w:val="Normal"/>
    <w:autoRedefine/>
    <w:uiPriority w:val="39"/>
    <w:unhideWhenUsed/>
    <w:rsid w:val="0016597A"/>
    <w:pPr>
      <w:suppressAutoHyphens w:val="0"/>
      <w:kinsoku/>
      <w:overflowPunct/>
      <w:autoSpaceDE/>
      <w:autoSpaceDN/>
      <w:adjustRightInd/>
      <w:snapToGrid/>
      <w:spacing w:after="100" w:line="259" w:lineRule="auto"/>
    </w:pPr>
    <w:rPr>
      <w:rFonts w:ascii="Calibri" w:eastAsia="Times New Roman" w:hAnsi="Calibri"/>
      <w:sz w:val="22"/>
      <w:szCs w:val="22"/>
      <w:lang w:val="fr-FR" w:eastAsia="fr-FR"/>
    </w:rPr>
  </w:style>
  <w:style w:type="paragraph" w:customStyle="1" w:styleId="TOC31">
    <w:name w:val="TOC 31"/>
    <w:basedOn w:val="Normal"/>
    <w:next w:val="Normal"/>
    <w:autoRedefine/>
    <w:uiPriority w:val="39"/>
    <w:unhideWhenUsed/>
    <w:rsid w:val="0016597A"/>
    <w:pPr>
      <w:suppressAutoHyphens w:val="0"/>
      <w:kinsoku/>
      <w:overflowPunct/>
      <w:autoSpaceDE/>
      <w:autoSpaceDN/>
      <w:adjustRightInd/>
      <w:snapToGrid/>
      <w:spacing w:after="100" w:line="259" w:lineRule="auto"/>
      <w:ind w:left="440"/>
    </w:pPr>
    <w:rPr>
      <w:rFonts w:ascii="Calibri" w:eastAsia="Times New Roman" w:hAnsi="Calibri"/>
      <w:sz w:val="22"/>
      <w:szCs w:val="22"/>
      <w:lang w:val="fr-FR" w:eastAsia="fr-FR"/>
    </w:rPr>
  </w:style>
  <w:style w:type="paragraph" w:styleId="Citation">
    <w:name w:val="Quote"/>
    <w:basedOn w:val="Normal"/>
    <w:next w:val="Normal"/>
    <w:link w:val="CitationCar"/>
    <w:uiPriority w:val="29"/>
    <w:semiHidden/>
    <w:qFormat/>
    <w:rsid w:val="0016597A"/>
    <w:pPr>
      <w:spacing w:before="200" w:after="160"/>
      <w:ind w:left="864" w:right="864"/>
      <w:jc w:val="center"/>
    </w:pPr>
    <w:rPr>
      <w:rFonts w:asciiTheme="minorHAnsi" w:hAnsiTheme="minorHAnsi" w:cstheme="minorBidi"/>
      <w:i/>
      <w:iCs/>
      <w:color w:val="000000"/>
      <w:sz w:val="22"/>
      <w:szCs w:val="22"/>
      <w:lang w:val="fr-FR"/>
    </w:rPr>
  </w:style>
  <w:style w:type="character" w:customStyle="1" w:styleId="QuoteChar1">
    <w:name w:val="Quote Char1"/>
    <w:basedOn w:val="Policepardfaut"/>
    <w:uiPriority w:val="29"/>
    <w:semiHidden/>
    <w:rsid w:val="0016597A"/>
    <w:rPr>
      <w:rFonts w:ascii="Times New Roman" w:hAnsi="Times New Roman" w:cs="Times New Roman"/>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E3B2-90D4-4310-84D5-2B2D9A4E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15300</Words>
  <Characters>78954</Characters>
  <Application>Microsoft Office Word</Application>
  <DocSecurity>0</DocSecurity>
  <Lines>1611</Lines>
  <Paragraphs>766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CAT/C/BDI/3</vt:lpstr>
      <vt:lpstr>a/hthhhh</vt:lpstr>
      <vt:lpstr>a/hthhhh</vt:lpstr>
    </vt:vector>
  </TitlesOfParts>
  <Company>DCM</Company>
  <LinksUpToDate>false</LinksUpToDate>
  <CharactersWithSpaces>93488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CAT/C/BDI/3</dc:title>
  <dc:subject/>
  <dc:creator>Gloria</dc:creator>
  <cp:keywords/>
  <cp:lastModifiedBy>Sandrine Clere</cp:lastModifiedBy>
  <cp:revision>3</cp:revision>
  <cp:lastPrinted>2022-02-14T15:25:00Z</cp:lastPrinted>
  <dcterms:created xsi:type="dcterms:W3CDTF">2022-02-14T15:25:00Z</dcterms:created>
  <dcterms:modified xsi:type="dcterms:W3CDTF">2022-02-14T15:26:00Z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CAT</vt:lpwstr>
  </property>
  <property fmtid="{D5CDD505-2E9C-101B-9397-08002B2CF9AE}" pid="7" name="count">
    <vt:lpwstr>du Burundi </vt:lpwstr>
  </property>
  <property fmtid="{D5CDD505-2E9C-101B-9397-08002B2CF9AE}" pid="8" name="countw">
    <vt:lpwstr>Burundi </vt:lpwstr>
  </property>
  <property fmtid="{D5CDD505-2E9C-101B-9397-08002B2CF9AE}" pid="9" name="countwd">
    <vt:lpwstr>le Burundi </vt:lpwstr>
  </property>
  <property fmtid="{D5CDD505-2E9C-101B-9397-08002B2CF9AE}" pid="10" name="date">
    <vt:lpwstr>25 septembre 2020</vt:lpwstr>
  </property>
  <property fmtid="{D5CDD505-2E9C-101B-9397-08002B2CF9AE}" pid="11" name="Date-Generated">
    <vt:filetime>2020-09-24T10:18:10Z</vt:filetime>
  </property>
  <property fmtid="{D5CDD505-2E9C-101B-9397-08002B2CF9AE}" pid="12" name="dist">
    <vt:lpwstr>générale</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olang">
    <vt:lpwstr>français</vt:lpwstr>
  </property>
  <property fmtid="{D5CDD505-2E9C-101B-9397-08002B2CF9AE}" pid="18" name="Org">
    <vt:lpwstr>OHCHR</vt:lpwstr>
  </property>
  <property fmtid="{D5CDD505-2E9C-101B-9397-08002B2CF9AE}" pid="19" name="prep">
    <vt:lpwstr>troisième rapport périodique du Burundi </vt:lpwstr>
  </property>
  <property fmtid="{D5CDD505-2E9C-101B-9397-08002B2CF9AE}" pid="20" name="preps">
    <vt:lpwstr>troisième rapport périodique du Burundi </vt:lpwstr>
  </property>
  <property fmtid="{D5CDD505-2E9C-101B-9397-08002B2CF9AE}" pid="21" name="prepw">
    <vt:lpwstr>troisième rapport périodique</vt:lpwstr>
  </property>
  <property fmtid="{D5CDD505-2E9C-101B-9397-08002B2CF9AE}" pid="22" name="prepwc">
    <vt:lpwstr>Troisième rapport périodique </vt:lpwstr>
  </property>
  <property fmtid="{D5CDD505-2E9C-101B-9397-08002B2CF9AE}" pid="23" name="prepws">
    <vt:lpwstr>troisième rapport périodique</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C/BDI/3</vt:lpwstr>
  </property>
  <property fmtid="{D5CDD505-2E9C-101B-9397-08002B2CF9AE}" pid="28" name="symh">
    <vt:lpwstr>CAT/C/BDI/3</vt:lpwstr>
  </property>
  <property fmtid="{D5CDD505-2E9C-101B-9397-08002B2CF9AE}" pid="29" name="tlang">
    <vt:lpwstr/>
  </property>
  <property fmtid="{D5CDD505-2E9C-101B-9397-08002B2CF9AE}" pid="30" name="virs">
    <vt:lpwstr>Anglais, espagnol et français seulement</vt:lpwstr>
  </property>
</Properties>
</file>