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3257C7"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F37DE9" w:rsidP="00F37DE9">
            <w:pPr>
              <w:jc w:val="right"/>
            </w:pPr>
            <w:r w:rsidRPr="00F37DE9">
              <w:rPr>
                <w:sz w:val="40"/>
              </w:rPr>
              <w:t>CERD</w:t>
            </w:r>
            <w:r>
              <w:t>/C/MDA/CO/8-9</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3257C7"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257C7" w:rsidRPr="000B4EF7" w:rsidRDefault="003257C7" w:rsidP="003257C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4034EC">
            <w:pPr>
              <w:spacing w:before="120" w:line="380" w:lineRule="exact"/>
            </w:pPr>
          </w:p>
        </w:tc>
        <w:tc>
          <w:tcPr>
            <w:tcW w:w="2835" w:type="dxa"/>
            <w:tcBorders>
              <w:top w:val="single" w:sz="4" w:space="0" w:color="auto"/>
              <w:bottom w:val="single" w:sz="12" w:space="0" w:color="auto"/>
            </w:tcBorders>
          </w:tcPr>
          <w:p w:rsidR="00F37DE9" w:rsidRDefault="00F37DE9" w:rsidP="00F37DE9">
            <w:pPr>
              <w:spacing w:before="240" w:line="240" w:lineRule="exact"/>
            </w:pPr>
            <w:r>
              <w:t xml:space="preserve">Distr.: </w:t>
            </w:r>
            <w:r w:rsidR="00201037">
              <w:t>General</w:t>
            </w:r>
          </w:p>
          <w:p w:rsidR="00F37DE9" w:rsidRDefault="00B656B4" w:rsidP="00B656B4">
            <w:pPr>
              <w:spacing w:line="240" w:lineRule="exact"/>
            </w:pPr>
            <w:r>
              <w:t>6</w:t>
            </w:r>
            <w:r w:rsidR="00357842">
              <w:t xml:space="preserve"> </w:t>
            </w:r>
            <w:r w:rsidR="002D738B">
              <w:t>April</w:t>
            </w:r>
            <w:r w:rsidR="00F37DE9">
              <w:t xml:space="preserve"> 2011</w:t>
            </w:r>
          </w:p>
          <w:p w:rsidR="00F37DE9" w:rsidRDefault="00F37DE9" w:rsidP="00F37DE9">
            <w:pPr>
              <w:spacing w:line="240" w:lineRule="exact"/>
            </w:pPr>
          </w:p>
          <w:p w:rsidR="00523650" w:rsidRDefault="00F37DE9" w:rsidP="00F37DE9">
            <w:pPr>
              <w:spacing w:line="240" w:lineRule="exact"/>
            </w:pPr>
            <w:r>
              <w:t>Original: English</w:t>
            </w:r>
          </w:p>
        </w:tc>
      </w:tr>
    </w:tbl>
    <w:p w:rsidR="00FE33FE" w:rsidRPr="000D07A1" w:rsidRDefault="00FE33FE" w:rsidP="00FE33FE">
      <w:pPr>
        <w:spacing w:before="120"/>
        <w:rPr>
          <w:b/>
          <w:bCs/>
          <w:sz w:val="24"/>
          <w:szCs w:val="24"/>
        </w:rPr>
      </w:pPr>
      <w:r w:rsidRPr="000D07A1">
        <w:rPr>
          <w:b/>
          <w:bCs/>
          <w:sz w:val="24"/>
          <w:szCs w:val="24"/>
        </w:rPr>
        <w:t xml:space="preserve">Committee on the Elimination of Racial Discrimination </w:t>
      </w:r>
    </w:p>
    <w:p w:rsidR="00FE33FE" w:rsidRPr="000D07A1" w:rsidRDefault="00FE33FE" w:rsidP="00FE33FE">
      <w:pPr>
        <w:pStyle w:val="Default"/>
        <w:rPr>
          <w:b/>
          <w:bCs/>
          <w:sz w:val="20"/>
          <w:szCs w:val="20"/>
        </w:rPr>
      </w:pPr>
      <w:r w:rsidRPr="000D07A1">
        <w:rPr>
          <w:b/>
          <w:bCs/>
          <w:sz w:val="20"/>
          <w:szCs w:val="20"/>
        </w:rPr>
        <w:t>Seventy-</w:t>
      </w:r>
      <w:r>
        <w:rPr>
          <w:b/>
          <w:bCs/>
          <w:sz w:val="20"/>
          <w:szCs w:val="20"/>
        </w:rPr>
        <w:t>eighth</w:t>
      </w:r>
      <w:r w:rsidRPr="000D07A1">
        <w:rPr>
          <w:b/>
          <w:bCs/>
          <w:sz w:val="20"/>
          <w:szCs w:val="20"/>
        </w:rPr>
        <w:t xml:space="preserve"> session </w:t>
      </w:r>
    </w:p>
    <w:p w:rsidR="00FE33FE" w:rsidRPr="000D07A1" w:rsidRDefault="00FE33FE" w:rsidP="00FE33FE">
      <w:pPr>
        <w:pStyle w:val="Default"/>
        <w:rPr>
          <w:sz w:val="20"/>
          <w:szCs w:val="20"/>
        </w:rPr>
      </w:pPr>
      <w:r>
        <w:rPr>
          <w:sz w:val="20"/>
          <w:szCs w:val="20"/>
        </w:rPr>
        <w:t>14 February – 11 March 2011</w:t>
      </w:r>
    </w:p>
    <w:p w:rsidR="00FE33FE" w:rsidRPr="00F37DE9" w:rsidRDefault="00FE33FE" w:rsidP="002D738B">
      <w:pPr>
        <w:pStyle w:val="HChG"/>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2D738B">
        <w:rPr>
          <w:bCs/>
          <w:lang w:val="en-US"/>
        </w:rPr>
        <w:t>C</w:t>
      </w:r>
      <w:r w:rsidR="002D738B" w:rsidRPr="00FC7CFC">
        <w:rPr>
          <w:bCs/>
          <w:lang w:val="en-US"/>
        </w:rPr>
        <w:t xml:space="preserve">onvention </w:t>
      </w:r>
    </w:p>
    <w:p w:rsidR="00FE33FE" w:rsidRPr="00F37DE9" w:rsidRDefault="00FE33FE" w:rsidP="007D7863">
      <w:pPr>
        <w:pStyle w:val="H1G"/>
      </w:pPr>
      <w:r>
        <w:tab/>
      </w:r>
      <w:r>
        <w:tab/>
        <w:t xml:space="preserve">Concluding observations of the Committee on the Elimination of Racial Discrimination </w:t>
      </w:r>
    </w:p>
    <w:p w:rsidR="002924AE" w:rsidRPr="00F37DE9" w:rsidRDefault="002924AE" w:rsidP="00F37DE9">
      <w:pPr>
        <w:pStyle w:val="HChG"/>
      </w:pPr>
      <w:r>
        <w:tab/>
      </w:r>
      <w:r>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p>
    <w:p w:rsidR="002924AE" w:rsidRPr="002D738B" w:rsidRDefault="002924AE" w:rsidP="00747A9F">
      <w:pPr>
        <w:pStyle w:val="SingleTxtG"/>
      </w:pPr>
      <w:r>
        <w:t>1.</w:t>
      </w:r>
      <w:r>
        <w:tab/>
      </w:r>
      <w:r w:rsidRPr="000334BD">
        <w:t>The Committee considered the eighth and ninth periodic report</w:t>
      </w:r>
      <w:r w:rsidR="002D738B">
        <w:t>s</w:t>
      </w:r>
      <w:r w:rsidRPr="000334BD">
        <w:t xml:space="preserve"> of the </w:t>
      </w:r>
      <w:smartTag w:uri="urn:schemas-microsoft-com:office:smarttags" w:element="place">
        <w:smartTag w:uri="urn:schemas-microsoft-com:office:smarttags" w:element="PlaceType">
          <w:r w:rsidRPr="000334BD">
            <w:t>Republic</w:t>
          </w:r>
        </w:smartTag>
        <w:r w:rsidRPr="000334BD">
          <w:t xml:space="preserve"> of </w:t>
        </w:r>
        <w:smartTag w:uri="urn:schemas-microsoft-com:office:smarttags" w:element="PlaceName">
          <w:r w:rsidRPr="000334BD">
            <w:t>Moldova</w:t>
          </w:r>
        </w:smartTag>
      </w:smartTag>
      <w:r w:rsidRPr="000334BD">
        <w:t xml:space="preserve"> (CERD/C/MDA/8-9), submitted in one document, at </w:t>
      </w:r>
      <w:r w:rsidRPr="002D738B">
        <w:t>its 2073rd</w:t>
      </w:r>
      <w:r w:rsidR="007D7863" w:rsidRPr="002D738B">
        <w:t xml:space="preserve"> </w:t>
      </w:r>
      <w:r w:rsidRPr="002D738B">
        <w:t>and 207</w:t>
      </w:r>
      <w:r w:rsidR="007D7863" w:rsidRPr="002D738B">
        <w:t>4</w:t>
      </w:r>
      <w:r w:rsidRPr="002D738B">
        <w:t>th</w:t>
      </w:r>
      <w:r w:rsidR="007D7863" w:rsidRPr="002D738B">
        <w:t xml:space="preserve"> </w:t>
      </w:r>
      <w:r w:rsidRPr="002D738B">
        <w:t xml:space="preserve">meetings (CERD/C/SR.2073 and CERD/C/SR.2074), held on 1 and 2 March 2011. At its </w:t>
      </w:r>
      <w:r w:rsidR="007D7863" w:rsidRPr="002D738B">
        <w:t xml:space="preserve">2087th </w:t>
      </w:r>
      <w:r w:rsidRPr="002D738B">
        <w:t>meeting (CERD/C/SR.</w:t>
      </w:r>
      <w:r w:rsidR="00747A9F" w:rsidRPr="002D738B">
        <w:t>2087</w:t>
      </w:r>
      <w:r w:rsidRPr="002D738B">
        <w:t xml:space="preserve">), held on </w:t>
      </w:r>
      <w:r w:rsidR="007D7863" w:rsidRPr="002D738B">
        <w:t xml:space="preserve">10 </w:t>
      </w:r>
      <w:r w:rsidRPr="002D738B">
        <w:t>March 2011, it adopted the following concluding observations.</w:t>
      </w:r>
    </w:p>
    <w:p w:rsidR="002924AE" w:rsidRPr="000334BD" w:rsidRDefault="002924AE" w:rsidP="00F37DE9">
      <w:pPr>
        <w:pStyle w:val="H1G"/>
      </w:pPr>
      <w:r w:rsidRPr="000334BD">
        <w:tab/>
        <w:t xml:space="preserve">A. </w:t>
      </w:r>
      <w:r w:rsidRPr="000334BD">
        <w:tab/>
        <w:t>Introduction</w:t>
      </w:r>
    </w:p>
    <w:p w:rsidR="002924AE" w:rsidRPr="000334BD" w:rsidRDefault="002924AE" w:rsidP="002924AE">
      <w:pPr>
        <w:pStyle w:val="SingleTxtG"/>
      </w:pPr>
      <w:r>
        <w:t>2.</w:t>
      </w:r>
      <w:r>
        <w:tab/>
      </w:r>
      <w:r w:rsidRPr="000334BD">
        <w:t xml:space="preserve">The Committee welcomes the timely submission of the combined eighth and ninth periodic reports of the State party and the opportunity thus offered to </w:t>
      </w:r>
      <w:r>
        <w:t>continue</w:t>
      </w:r>
      <w:r w:rsidRPr="000334BD">
        <w:t xml:space="preserve"> the dialogue with the State party. </w:t>
      </w:r>
      <w:r>
        <w:t>T</w:t>
      </w:r>
      <w:r w:rsidRPr="000334BD">
        <w:t xml:space="preserve">he Committee </w:t>
      </w:r>
      <w:r>
        <w:t xml:space="preserve">also </w:t>
      </w:r>
      <w:r w:rsidRPr="000334BD">
        <w:t xml:space="preserve">acknowledges </w:t>
      </w:r>
      <w:r>
        <w:t>with appreciation</w:t>
      </w:r>
      <w:r w:rsidRPr="000334BD">
        <w:t xml:space="preserve"> the State party</w:t>
      </w:r>
      <w:r>
        <w:t>’s</w:t>
      </w:r>
      <w:r w:rsidRPr="000334BD">
        <w:t xml:space="preserve"> submissions</w:t>
      </w:r>
      <w:r>
        <w:t xml:space="preserve"> (</w:t>
      </w:r>
      <w:r w:rsidRPr="00596594">
        <w:t>CERD/C/MDA/CO/7/Add.1</w:t>
      </w:r>
      <w:r>
        <w:t xml:space="preserve"> and Add.2)</w:t>
      </w:r>
      <w:r w:rsidRPr="000334BD">
        <w:t xml:space="preserve"> on follow-up measures taken with regard to the</w:t>
      </w:r>
      <w:r>
        <w:t xml:space="preserve"> Committee’s </w:t>
      </w:r>
      <w:r w:rsidRPr="000334BD">
        <w:t>previous concluding observations</w:t>
      </w:r>
      <w:r>
        <w:t>.</w:t>
      </w:r>
      <w:r w:rsidRPr="000334BD">
        <w:t xml:space="preserve"> </w:t>
      </w:r>
      <w:r>
        <w:t>T</w:t>
      </w:r>
      <w:r w:rsidRPr="000334BD">
        <w:t>he Committee also expresses ap</w:t>
      </w:r>
      <w:r w:rsidRPr="005C5A07">
        <w:t>preciation for the constru</w:t>
      </w:r>
      <w:r w:rsidRPr="000334BD">
        <w:t>ctive dialogue held with the delegation as well as the oral respo</w:t>
      </w:r>
      <w:r w:rsidRPr="000334BD">
        <w:t>nses provided to the questions posed by the Committee members.</w:t>
      </w:r>
    </w:p>
    <w:p w:rsidR="002924AE" w:rsidRPr="000334BD" w:rsidRDefault="002924AE" w:rsidP="002924AE">
      <w:pPr>
        <w:pStyle w:val="SingleTxtG"/>
      </w:pPr>
      <w:r>
        <w:t>3.</w:t>
      </w:r>
      <w:r>
        <w:tab/>
      </w:r>
      <w:r w:rsidRPr="000334BD">
        <w:t>The Committee notes that the Transnistria</w:t>
      </w:r>
      <w:r>
        <w:t xml:space="preserve"> region</w:t>
      </w:r>
      <w:r w:rsidRPr="000334BD">
        <w:t xml:space="preserve"> continues to be outside the effective control of the State party, which is therefore unable to monitor the implementation of the Convention in that part of its territory (CERD/C/MDA/8-9, paras. 8-11).</w:t>
      </w:r>
    </w:p>
    <w:p w:rsidR="002924AE" w:rsidRPr="000334BD" w:rsidRDefault="002924AE" w:rsidP="00F37DE9">
      <w:pPr>
        <w:pStyle w:val="H1G"/>
      </w:pPr>
      <w:r w:rsidRPr="000334BD">
        <w:tab/>
        <w:t>B.</w:t>
      </w:r>
      <w:r w:rsidRPr="000334BD">
        <w:tab/>
        <w:t>Positive aspects</w:t>
      </w:r>
    </w:p>
    <w:p w:rsidR="002924AE" w:rsidRPr="000334BD" w:rsidRDefault="002924AE" w:rsidP="002924AE">
      <w:pPr>
        <w:pStyle w:val="SingleTxtG"/>
      </w:pPr>
      <w:r>
        <w:t>4.</w:t>
      </w:r>
      <w:r>
        <w:tab/>
      </w:r>
      <w:r w:rsidRPr="000334BD">
        <w:t>The Committee</w:t>
      </w:r>
      <w:r>
        <w:t xml:space="preserve"> </w:t>
      </w:r>
      <w:r w:rsidRPr="000334BD">
        <w:t>welcomes the following legislative and other measures taken by the State party:</w:t>
      </w:r>
    </w:p>
    <w:p w:rsidR="002924AE" w:rsidRPr="000334BD" w:rsidRDefault="002924AE" w:rsidP="00B656B4">
      <w:pPr>
        <w:pStyle w:val="SingleTxtG"/>
        <w:ind w:firstLine="567"/>
      </w:pPr>
      <w:r w:rsidRPr="000334BD">
        <w:t xml:space="preserve">(a) </w:t>
      </w:r>
      <w:r>
        <w:tab/>
      </w:r>
      <w:r w:rsidR="003B61C9" w:rsidRPr="000334BD">
        <w:t>The</w:t>
      </w:r>
      <w:r w:rsidRPr="000334BD">
        <w:t xml:space="preserve"> </w:t>
      </w:r>
      <w:r w:rsidR="00B656B4">
        <w:t>A</w:t>
      </w:r>
      <w:r w:rsidRPr="000334BD">
        <w:t>sylum</w:t>
      </w:r>
      <w:r>
        <w:t xml:space="preserve"> </w:t>
      </w:r>
      <w:r w:rsidR="00B656B4">
        <w:t xml:space="preserve">Act </w:t>
      </w:r>
      <w:r w:rsidRPr="000334BD">
        <w:t>of 18 December 2008;</w:t>
      </w:r>
    </w:p>
    <w:p w:rsidR="002924AE" w:rsidRPr="000334BD" w:rsidRDefault="002924AE" w:rsidP="002924AE">
      <w:pPr>
        <w:pStyle w:val="SingleTxtG"/>
        <w:ind w:firstLine="567"/>
      </w:pPr>
      <w:r w:rsidRPr="00B656B4">
        <w:t xml:space="preserve">(b) </w:t>
      </w:r>
      <w:r w:rsidRPr="00B656B4">
        <w:tab/>
      </w:r>
      <w:r w:rsidR="003B61C9" w:rsidRPr="00B656B4">
        <w:t>The</w:t>
      </w:r>
      <w:r w:rsidRPr="00B656B4">
        <w:t xml:space="preserve"> Law on Foreigners of 24 December 2010;</w:t>
      </w:r>
    </w:p>
    <w:p w:rsidR="002924AE" w:rsidRPr="000334BD" w:rsidRDefault="002924AE" w:rsidP="000B66E6">
      <w:pPr>
        <w:pStyle w:val="SingleTxtG"/>
        <w:ind w:firstLine="567"/>
      </w:pPr>
      <w:r>
        <w:t>(c)</w:t>
      </w:r>
      <w:r>
        <w:tab/>
      </w:r>
      <w:r w:rsidR="003B61C9" w:rsidRPr="000334BD">
        <w:t>The</w:t>
      </w:r>
      <w:r w:rsidRPr="000334BD">
        <w:t xml:space="preserve"> 2008-2012 National Programme for the development of an integrated social-services system on the situation of marginalized groups;</w:t>
      </w:r>
    </w:p>
    <w:p w:rsidR="002924AE" w:rsidRPr="00140876" w:rsidRDefault="002924AE" w:rsidP="0012315A">
      <w:pPr>
        <w:pStyle w:val="SingleTxtG"/>
        <w:ind w:firstLine="567"/>
      </w:pPr>
      <w:r w:rsidRPr="00140876">
        <w:t xml:space="preserve">(d) </w:t>
      </w:r>
      <w:r>
        <w:tab/>
      </w:r>
      <w:r w:rsidR="003B61C9">
        <w:t>T</w:t>
      </w:r>
      <w:r w:rsidR="003B61C9" w:rsidRPr="00140876">
        <w:t xml:space="preserve">he </w:t>
      </w:r>
      <w:r w:rsidRPr="00140876">
        <w:t>Government decision No. 1512 of 31 December 2008 on the approval of the 2008-2012 national programme for the creation of a comprehensive social services system;</w:t>
      </w:r>
      <w:r w:rsidRPr="00490E07">
        <w:t xml:space="preserve"> </w:t>
      </w:r>
    </w:p>
    <w:p w:rsidR="002924AE" w:rsidRPr="000334BD" w:rsidRDefault="002924AE" w:rsidP="002924AE">
      <w:pPr>
        <w:pStyle w:val="SingleTxtG"/>
        <w:ind w:firstLine="567"/>
      </w:pPr>
      <w:r w:rsidRPr="000334BD">
        <w:rPr>
          <w:rFonts w:eastAsia="SimSun"/>
          <w:lang w:val="en-US" w:eastAsia="zh-CN"/>
        </w:rPr>
        <w:t xml:space="preserve">(e) </w:t>
      </w:r>
      <w:r>
        <w:rPr>
          <w:rFonts w:eastAsia="SimSun"/>
          <w:lang w:val="en-US" w:eastAsia="zh-CN"/>
        </w:rPr>
        <w:tab/>
      </w:r>
      <w:r w:rsidR="003B61C9" w:rsidRPr="000334BD">
        <w:rPr>
          <w:rFonts w:eastAsia="SimSun"/>
          <w:lang w:val="en-US" w:eastAsia="zh-CN"/>
        </w:rPr>
        <w:t>The</w:t>
      </w:r>
      <w:r w:rsidRPr="000334BD">
        <w:rPr>
          <w:rFonts w:eastAsia="SimSun"/>
          <w:lang w:val="en-US" w:eastAsia="zh-CN"/>
        </w:rPr>
        <w:t xml:space="preserve"> 2008-2010 Plan of Action for the implementation of the Committee’s conclusions and recommendations, </w:t>
      </w:r>
      <w:r>
        <w:rPr>
          <w:rFonts w:eastAsia="SimSun"/>
          <w:lang w:val="en-US" w:eastAsia="zh-CN"/>
        </w:rPr>
        <w:t xml:space="preserve">of </w:t>
      </w:r>
      <w:r w:rsidRPr="000334BD">
        <w:rPr>
          <w:rFonts w:eastAsia="SimSun"/>
          <w:lang w:val="en-US" w:eastAsia="zh-CN"/>
        </w:rPr>
        <w:t>17 November 2008</w:t>
      </w:r>
      <w:r>
        <w:rPr>
          <w:rFonts w:eastAsia="SimSun"/>
          <w:lang w:val="en-US" w:eastAsia="zh-CN"/>
        </w:rPr>
        <w:t>.</w:t>
      </w:r>
      <w:r>
        <w:t xml:space="preserve"> </w:t>
      </w:r>
    </w:p>
    <w:p w:rsidR="002924AE" w:rsidRPr="000334BD" w:rsidRDefault="002924AE" w:rsidP="00747A9F">
      <w:pPr>
        <w:pStyle w:val="SingleTxtG"/>
      </w:pPr>
      <w:r>
        <w:t>5.</w:t>
      </w:r>
      <w:r>
        <w:tab/>
      </w:r>
      <w:r w:rsidRPr="000334BD">
        <w:t>The Committee welcome</w:t>
      </w:r>
      <w:r>
        <w:t>s</w:t>
      </w:r>
      <w:r w:rsidRPr="000334BD">
        <w:t xml:space="preserve"> the information provided by the delegation about the State party’s plan to make the optional declaration provided for in article 14 of the Convention recognizing the competence of the Committee to receive and consider individual complaints and encourage the State party to do so without delay.</w:t>
      </w:r>
    </w:p>
    <w:p w:rsidR="00FB5B64" w:rsidRDefault="002924AE" w:rsidP="00FB5B64">
      <w:pPr>
        <w:pStyle w:val="SingleTxtG"/>
      </w:pPr>
      <w:r>
        <w:t>6.</w:t>
      </w:r>
      <w:r>
        <w:tab/>
      </w:r>
      <w:r w:rsidRPr="000334BD">
        <w:t>The Committee welcomes the ratification by the State party of the Convention on the Rights of Persons with Disabilities in September 2010 and of the Rome Statute of the International Criminal Court in October 2010.</w:t>
      </w:r>
      <w:r w:rsidR="00FB5B64">
        <w:t xml:space="preserve">  </w:t>
      </w:r>
    </w:p>
    <w:p w:rsidR="000B66E6" w:rsidRDefault="007D7863" w:rsidP="00FB5B64">
      <w:pPr>
        <w:pStyle w:val="SingleTxtG"/>
      </w:pPr>
      <w:r w:rsidRPr="007D7863">
        <w:t>7</w:t>
      </w:r>
      <w:r w:rsidR="00FB5B64" w:rsidRPr="007D7863">
        <w:t>.</w:t>
      </w:r>
      <w:r w:rsidR="00FB5B64">
        <w:tab/>
      </w:r>
      <w:r w:rsidR="000B66E6" w:rsidRPr="000334BD">
        <w:t xml:space="preserve">The Committee </w:t>
      </w:r>
      <w:r w:rsidR="00FB5B64">
        <w:t xml:space="preserve">also </w:t>
      </w:r>
      <w:r w:rsidR="000B66E6" w:rsidRPr="000334BD">
        <w:t xml:space="preserve">welcomes the ratification by the State party of </w:t>
      </w:r>
      <w:r w:rsidR="000B66E6">
        <w:t xml:space="preserve">human rights instruments of the Commonwealth of Independent States and </w:t>
      </w:r>
      <w:r w:rsidR="00693855">
        <w:t xml:space="preserve">of </w:t>
      </w:r>
      <w:r w:rsidR="000B66E6">
        <w:t>the Council of Europe, which have direct relevance to the application of the Convention.</w:t>
      </w:r>
    </w:p>
    <w:p w:rsidR="002924AE" w:rsidRPr="000334BD" w:rsidRDefault="002924AE" w:rsidP="00F37DE9">
      <w:pPr>
        <w:pStyle w:val="H1G"/>
      </w:pPr>
      <w:r>
        <w:tab/>
      </w:r>
      <w:r w:rsidRPr="000334BD">
        <w:t>C.</w:t>
      </w:r>
      <w:r w:rsidRPr="000334BD">
        <w:tab/>
        <w:t>Concerns and recommendations</w:t>
      </w:r>
    </w:p>
    <w:p w:rsidR="002924AE" w:rsidRPr="000334BD" w:rsidRDefault="007D7863" w:rsidP="00491BE6">
      <w:pPr>
        <w:pStyle w:val="SingleTxtG"/>
      </w:pPr>
      <w:r>
        <w:t>8</w:t>
      </w:r>
      <w:r w:rsidR="002924AE">
        <w:t>.</w:t>
      </w:r>
      <w:r w:rsidR="002924AE">
        <w:tab/>
      </w:r>
      <w:r w:rsidR="002924AE" w:rsidRPr="000334BD">
        <w:t>The Committee takes note of the data provided</w:t>
      </w:r>
      <w:r w:rsidR="002924AE">
        <w:t xml:space="preserve"> in </w:t>
      </w:r>
      <w:r w:rsidR="002924AE" w:rsidRPr="000334BD">
        <w:t>the State party</w:t>
      </w:r>
      <w:r w:rsidR="002924AE">
        <w:t>’s report</w:t>
      </w:r>
      <w:r w:rsidR="002924AE" w:rsidRPr="000334BD">
        <w:t xml:space="preserve"> on the ethnic composition of the population, drawn from the 2004 census. However, the Committee is concerned about the lack of precise and reliable data on the actual ethnic make-up of the population in </w:t>
      </w:r>
      <w:smartTag w:uri="urn:schemas-microsoft-com:office:smarttags" w:element="place">
        <w:smartTag w:uri="urn:schemas-microsoft-com:office:smarttags" w:element="country-region">
          <w:r w:rsidR="002924AE" w:rsidRPr="000334BD">
            <w:t>Moldova</w:t>
          </w:r>
        </w:smartTag>
      </w:smartTag>
      <w:r w:rsidR="002924AE" w:rsidRPr="000334BD">
        <w:t xml:space="preserve">, in particular </w:t>
      </w:r>
      <w:r w:rsidR="002924AE">
        <w:t xml:space="preserve">with regard to </w:t>
      </w:r>
      <w:r w:rsidR="002924AE" w:rsidRPr="000334BD">
        <w:t xml:space="preserve">the Roma minority, as well as on the lack of systematic collection of data on social inclusion and discrimination-related </w:t>
      </w:r>
      <w:r w:rsidR="000B66E6">
        <w:t>issues and</w:t>
      </w:r>
      <w:r w:rsidR="000B66E6" w:rsidRPr="000334BD">
        <w:t xml:space="preserve"> </w:t>
      </w:r>
      <w:r w:rsidR="002924AE" w:rsidRPr="000334BD">
        <w:t xml:space="preserve">cases. The Committee also regrets that official public reporting of ethnic groups in </w:t>
      </w:r>
      <w:smartTag w:uri="urn:schemas-microsoft-com:office:smarttags" w:element="place">
        <w:smartTag w:uri="urn:schemas-microsoft-com:office:smarttags" w:element="country-region">
          <w:r w:rsidR="002924AE" w:rsidRPr="000334BD">
            <w:t>Moldova</w:t>
          </w:r>
        </w:smartTag>
      </w:smartTag>
      <w:r w:rsidR="002924AE" w:rsidRPr="000334BD">
        <w:t xml:space="preserve"> lists Roma within the category “Other” despite being a very sizable minority. While noting with interest the information provided about the next census scheduled in 2013, the Committee is concerned </w:t>
      </w:r>
      <w:r w:rsidR="002924AE">
        <w:t>that the current</w:t>
      </w:r>
      <w:r w:rsidR="002924AE" w:rsidRPr="000334BD">
        <w:t xml:space="preserve"> data-collection method</w:t>
      </w:r>
      <w:r w:rsidR="002924AE">
        <w:t>ology</w:t>
      </w:r>
      <w:r w:rsidR="002924AE" w:rsidRPr="000334BD">
        <w:t xml:space="preserve"> </w:t>
      </w:r>
      <w:r w:rsidR="002924AE">
        <w:t xml:space="preserve">does not give full effect to </w:t>
      </w:r>
      <w:r w:rsidR="002924AE" w:rsidRPr="000334BD">
        <w:t>the right to self-identification</w:t>
      </w:r>
      <w:r w:rsidR="000B66E6">
        <w:t xml:space="preserve">. The Committee further regrets that, for official purposes, including in the official registries, there is no possibility to self-identify as “Roma”, with only the term “Tsigan” (“Gypsy”) </w:t>
      </w:r>
      <w:r w:rsidR="00491BE6">
        <w:t xml:space="preserve">being </w:t>
      </w:r>
      <w:r w:rsidR="000B66E6">
        <w:t xml:space="preserve">used </w:t>
      </w:r>
      <w:r w:rsidR="002924AE" w:rsidRPr="000334BD">
        <w:t>(art.2).</w:t>
      </w:r>
    </w:p>
    <w:p w:rsidR="002924AE" w:rsidRPr="002924AE" w:rsidRDefault="002924AE" w:rsidP="00993BF0">
      <w:pPr>
        <w:pStyle w:val="SingleTxtG"/>
        <w:ind w:firstLine="567"/>
        <w:rPr>
          <w:b/>
          <w:bCs/>
        </w:rPr>
      </w:pPr>
      <w:r w:rsidRPr="002924AE">
        <w:rPr>
          <w:b/>
          <w:bCs/>
        </w:rPr>
        <w:t xml:space="preserve">The Committee recommends that the State party improve its data-collection system </w:t>
      </w:r>
      <w:r w:rsidR="007D7863">
        <w:rPr>
          <w:b/>
          <w:bCs/>
        </w:rPr>
        <w:t>on the groups covered by</w:t>
      </w:r>
      <w:r w:rsidRPr="002924AE">
        <w:rPr>
          <w:b/>
          <w:bCs/>
        </w:rPr>
        <w:t xml:space="preserve"> the Convention so as to</w:t>
      </w:r>
      <w:r w:rsidR="00491BE6">
        <w:rPr>
          <w:b/>
          <w:bCs/>
        </w:rPr>
        <w:t xml:space="preserve"> better</w:t>
      </w:r>
      <w:r w:rsidRPr="002924AE">
        <w:rPr>
          <w:b/>
          <w:bCs/>
        </w:rPr>
        <w:t xml:space="preserve"> evaluate the situation</w:t>
      </w:r>
      <w:r w:rsidRPr="002924AE">
        <w:rPr>
          <w:b/>
          <w:bCs/>
          <w:lang w:eastAsia="ko-KR"/>
        </w:rPr>
        <w:t xml:space="preserve"> </w:t>
      </w:r>
      <w:r w:rsidRPr="002924AE">
        <w:rPr>
          <w:b/>
          <w:bCs/>
        </w:rPr>
        <w:t>regarding the different minority groups in the State party, determine the extent of</w:t>
      </w:r>
      <w:r w:rsidRPr="002924AE">
        <w:rPr>
          <w:b/>
          <w:bCs/>
          <w:lang w:eastAsia="ko-KR"/>
        </w:rPr>
        <w:t xml:space="preserve"> </w:t>
      </w:r>
      <w:r w:rsidRPr="002924AE">
        <w:rPr>
          <w:b/>
          <w:bCs/>
        </w:rPr>
        <w:t>manifestations of racial discrimination and assess the efficacy of integration policies</w:t>
      </w:r>
      <w:r w:rsidR="00407F06">
        <w:rPr>
          <w:b/>
          <w:bCs/>
        </w:rPr>
        <w:t>,</w:t>
      </w:r>
      <w:r w:rsidR="007D7863">
        <w:rPr>
          <w:b/>
          <w:bCs/>
        </w:rPr>
        <w:t xml:space="preserve"> respecting the right to self-identification</w:t>
      </w:r>
      <w:r w:rsidRPr="002924AE">
        <w:rPr>
          <w:b/>
          <w:bCs/>
        </w:rPr>
        <w:t xml:space="preserve">. The Committee also recommends </w:t>
      </w:r>
      <w:r w:rsidR="00993BF0">
        <w:rPr>
          <w:b/>
          <w:bCs/>
        </w:rPr>
        <w:t xml:space="preserve">that </w:t>
      </w:r>
      <w:r w:rsidRPr="002924AE">
        <w:rPr>
          <w:b/>
          <w:bCs/>
        </w:rPr>
        <w:t>the State party provide, in its next report, comprehensive, precise and reliable data on the ethnic composition of the population disaggregated by gender, age, religion, ethnic group and nationality.</w:t>
      </w:r>
    </w:p>
    <w:p w:rsidR="002924AE" w:rsidRPr="000334BD" w:rsidRDefault="007D7863" w:rsidP="002924AE">
      <w:pPr>
        <w:pStyle w:val="SingleTxtG"/>
      </w:pPr>
      <w:r>
        <w:t>9</w:t>
      </w:r>
      <w:r w:rsidR="002924AE">
        <w:t>.</w:t>
      </w:r>
      <w:r w:rsidR="002924AE">
        <w:tab/>
        <w:t xml:space="preserve">The Committee notes with interest the recent development with regard to </w:t>
      </w:r>
      <w:r w:rsidR="002924AE" w:rsidRPr="000334BD">
        <w:t>the draft Law on Preventing and Combating Discrimination</w:t>
      </w:r>
      <w:r w:rsidR="002924AE">
        <w:t xml:space="preserve">, which has been transmitted to the Parliament for adoption </w:t>
      </w:r>
      <w:r w:rsidR="002924AE" w:rsidRPr="000334BD">
        <w:t>(arts. 2 and 6).</w:t>
      </w:r>
    </w:p>
    <w:p w:rsidR="002924AE" w:rsidRPr="002924AE" w:rsidRDefault="002924AE" w:rsidP="00493BE4">
      <w:pPr>
        <w:pStyle w:val="SingleTxtG"/>
        <w:ind w:firstLine="567"/>
        <w:rPr>
          <w:b/>
          <w:bCs/>
        </w:rPr>
      </w:pPr>
      <w:r w:rsidRPr="002924AE">
        <w:rPr>
          <w:b/>
          <w:bCs/>
        </w:rPr>
        <w:t>The Committee recommends that the State party adopt as a matter of priority the Law on Preventing and Combating Discrimination and bring its provisions into conformity with relevant international standards, including the Convention, by guaranteeing the protection of both citizens and non-citizens, ensuring the efficiency and the independence of the enforcement body, and containing provisions on adequate sanctions</w:t>
      </w:r>
      <w:r w:rsidR="00491BE6">
        <w:rPr>
          <w:b/>
          <w:bCs/>
        </w:rPr>
        <w:t xml:space="preserve"> and</w:t>
      </w:r>
      <w:r w:rsidRPr="002924AE">
        <w:rPr>
          <w:b/>
          <w:bCs/>
        </w:rPr>
        <w:t xml:space="preserve"> compensation </w:t>
      </w:r>
      <w:r w:rsidR="00491BE6">
        <w:rPr>
          <w:b/>
          <w:bCs/>
        </w:rPr>
        <w:t xml:space="preserve">for racial discrimination </w:t>
      </w:r>
      <w:r w:rsidRPr="002924AE">
        <w:rPr>
          <w:b/>
          <w:bCs/>
        </w:rPr>
        <w:t>and a shared burden of proof in civil proceedings.</w:t>
      </w:r>
    </w:p>
    <w:p w:rsidR="002924AE" w:rsidRDefault="007D7863" w:rsidP="003B61C9">
      <w:pPr>
        <w:pStyle w:val="SingleTxtG"/>
      </w:pPr>
      <w:r>
        <w:t>10</w:t>
      </w:r>
      <w:r w:rsidR="002924AE">
        <w:t>.</w:t>
      </w:r>
      <w:r w:rsidR="002924AE">
        <w:tab/>
      </w:r>
      <w:r w:rsidR="002924AE" w:rsidRPr="000334BD">
        <w:t xml:space="preserve">The Committee welcomes various measures taken by the State party to improve its legal framework with a view to combating </w:t>
      </w:r>
      <w:r w:rsidR="002924AE" w:rsidRPr="00236F2F">
        <w:t>racial discrimination</w:t>
      </w:r>
      <w:r w:rsidR="003B61C9" w:rsidRPr="00236F2F">
        <w:t xml:space="preserve"> (arts. 2 and 6)</w:t>
      </w:r>
      <w:r w:rsidR="002924AE" w:rsidRPr="00236F2F">
        <w:t>. The</w:t>
      </w:r>
      <w:r w:rsidR="002924AE" w:rsidRPr="000334BD">
        <w:t xml:space="preserve"> Committee is however concerned about</w:t>
      </w:r>
      <w:r w:rsidR="002924AE">
        <w:t>:</w:t>
      </w:r>
    </w:p>
    <w:p w:rsidR="002924AE" w:rsidRDefault="000B66E6" w:rsidP="000B66E6">
      <w:pPr>
        <w:pStyle w:val="SingleTxtG"/>
        <w:ind w:firstLine="567"/>
      </w:pPr>
      <w:r>
        <w:t>(a)</w:t>
      </w:r>
      <w:r>
        <w:tab/>
      </w:r>
      <w:r w:rsidR="003B61C9" w:rsidRPr="000334BD">
        <w:t>The</w:t>
      </w:r>
      <w:r w:rsidR="002924AE" w:rsidRPr="000334BD">
        <w:t xml:space="preserve"> lack of </w:t>
      </w:r>
      <w:r w:rsidR="00491BE6">
        <w:t xml:space="preserve">effective </w:t>
      </w:r>
      <w:r w:rsidR="002924AE" w:rsidRPr="000334BD">
        <w:t>implement</w:t>
      </w:r>
      <w:r w:rsidR="002924AE">
        <w:t>ation of</w:t>
      </w:r>
      <w:r w:rsidR="002924AE" w:rsidRPr="000334BD">
        <w:t xml:space="preserve"> the existing anti-discrimination provision</w:t>
      </w:r>
      <w:r w:rsidR="002924AE">
        <w:t>s</w:t>
      </w:r>
      <w:r w:rsidR="002924AE" w:rsidRPr="000334BD">
        <w:t>, including articles 176 and 346 of the Criminal Code and the Extremist Activity Law;</w:t>
      </w:r>
    </w:p>
    <w:p w:rsidR="002924AE" w:rsidRDefault="002924AE" w:rsidP="00FE7A82">
      <w:pPr>
        <w:pStyle w:val="SingleTxtG"/>
        <w:ind w:firstLine="567"/>
      </w:pPr>
      <w:r>
        <w:t>(</w:t>
      </w:r>
      <w:r w:rsidR="000B66E6">
        <w:t>b</w:t>
      </w:r>
      <w:r>
        <w:t>)</w:t>
      </w:r>
      <w:r>
        <w:tab/>
      </w:r>
      <w:r w:rsidR="003B61C9">
        <w:t>T</w:t>
      </w:r>
      <w:r w:rsidR="003B61C9" w:rsidRPr="000334BD">
        <w:t xml:space="preserve">he </w:t>
      </w:r>
      <w:r>
        <w:t>small number</w:t>
      </w:r>
      <w:r w:rsidRPr="000334BD">
        <w:t xml:space="preserve"> of complain</w:t>
      </w:r>
      <w:r w:rsidRPr="005C5A07">
        <w:t xml:space="preserve">ts of acts of racial discrimination lodged with courts and other relevant authorities in spite of persistent reports of de facto discrimination against members of certain minority groups and non-citizens including migrants and refugees; </w:t>
      </w:r>
    </w:p>
    <w:p w:rsidR="002924AE" w:rsidRPr="000334BD" w:rsidRDefault="002924AE" w:rsidP="000B66E6">
      <w:pPr>
        <w:pStyle w:val="SingleTxtG"/>
        <w:ind w:firstLine="567"/>
      </w:pPr>
      <w:r>
        <w:t>(</w:t>
      </w:r>
      <w:r w:rsidR="000B66E6">
        <w:t>c</w:t>
      </w:r>
      <w:r>
        <w:t>)</w:t>
      </w:r>
      <w:r>
        <w:tab/>
      </w:r>
      <w:r w:rsidR="003B61C9" w:rsidRPr="000334BD">
        <w:t>The</w:t>
      </w:r>
      <w:r w:rsidRPr="000334BD">
        <w:t xml:space="preserve"> ineffective</w:t>
      </w:r>
      <w:r>
        <w:t xml:space="preserve"> follow-up to </w:t>
      </w:r>
      <w:r w:rsidRPr="000334BD">
        <w:t>those complaints</w:t>
      </w:r>
      <w:r>
        <w:t xml:space="preserve"> by the authorities. </w:t>
      </w:r>
    </w:p>
    <w:p w:rsidR="002924AE" w:rsidRPr="002924AE" w:rsidRDefault="002924AE" w:rsidP="002924AE">
      <w:pPr>
        <w:pStyle w:val="SingleTxtG"/>
        <w:ind w:firstLine="567"/>
        <w:rPr>
          <w:b/>
          <w:bCs/>
        </w:rPr>
      </w:pPr>
      <w:r w:rsidRPr="002924AE">
        <w:rPr>
          <w:b/>
          <w:bCs/>
        </w:rPr>
        <w:t>Recalling its general recommendation No. 31 (2005) on the prevention of racial discrimination in the administration and functioning of the criminal justice system, the Committee recommends that the State party:</w:t>
      </w:r>
    </w:p>
    <w:p w:rsidR="002924AE" w:rsidRPr="002924AE" w:rsidRDefault="002924AE" w:rsidP="00491BE6">
      <w:pPr>
        <w:pStyle w:val="SingleTxtG"/>
        <w:ind w:firstLine="567"/>
        <w:rPr>
          <w:b/>
          <w:bCs/>
        </w:rPr>
      </w:pPr>
      <w:r w:rsidRPr="002924AE">
        <w:rPr>
          <w:b/>
          <w:bCs/>
        </w:rPr>
        <w:t>(a)</w:t>
      </w:r>
      <w:r w:rsidRPr="002924AE">
        <w:rPr>
          <w:b/>
          <w:bCs/>
        </w:rPr>
        <w:tab/>
      </w:r>
      <w:r w:rsidR="00BB36E2" w:rsidRPr="002924AE">
        <w:rPr>
          <w:b/>
          <w:bCs/>
        </w:rPr>
        <w:t>Ensure</w:t>
      </w:r>
      <w:r w:rsidRPr="002924AE">
        <w:rPr>
          <w:b/>
          <w:bCs/>
        </w:rPr>
        <w:t xml:space="preserve"> the proper implementation of the existing anti-discrimination provisions and the effective investigation and persecution of racially motivated offen</w:t>
      </w:r>
      <w:r w:rsidR="00491BE6">
        <w:rPr>
          <w:b/>
          <w:bCs/>
        </w:rPr>
        <w:t>c</w:t>
      </w:r>
      <w:r w:rsidRPr="002924AE">
        <w:rPr>
          <w:b/>
          <w:bCs/>
        </w:rPr>
        <w:t>es;</w:t>
      </w:r>
    </w:p>
    <w:p w:rsidR="002924AE" w:rsidRPr="002924AE" w:rsidRDefault="002924AE" w:rsidP="002924AE">
      <w:pPr>
        <w:pStyle w:val="SingleTxtG"/>
        <w:ind w:firstLine="567"/>
        <w:rPr>
          <w:b/>
          <w:bCs/>
        </w:rPr>
      </w:pPr>
      <w:r>
        <w:rPr>
          <w:b/>
          <w:bCs/>
        </w:rPr>
        <w:t>(b</w:t>
      </w:r>
      <w:r w:rsidRPr="002924AE">
        <w:rPr>
          <w:b/>
          <w:bCs/>
        </w:rPr>
        <w:t>)</w:t>
      </w:r>
      <w:r w:rsidRPr="002924AE">
        <w:rPr>
          <w:b/>
          <w:bCs/>
        </w:rPr>
        <w:tab/>
      </w:r>
      <w:r w:rsidR="00BB36E2" w:rsidRPr="002924AE">
        <w:rPr>
          <w:b/>
          <w:bCs/>
        </w:rPr>
        <w:t>Actively</w:t>
      </w:r>
      <w:r w:rsidRPr="002924AE">
        <w:rPr>
          <w:b/>
          <w:bCs/>
        </w:rPr>
        <w:t xml:space="preserve"> assist victims of racial discrimination seeking remedies and inform the public about legal remedies in the field of racial discrimination; </w:t>
      </w:r>
    </w:p>
    <w:p w:rsidR="002924AE" w:rsidRPr="002924AE" w:rsidRDefault="002924AE" w:rsidP="00BB36E2">
      <w:pPr>
        <w:pStyle w:val="SingleTxtG"/>
        <w:ind w:firstLine="567"/>
        <w:rPr>
          <w:b/>
          <w:bCs/>
        </w:rPr>
      </w:pPr>
      <w:r>
        <w:rPr>
          <w:b/>
          <w:bCs/>
        </w:rPr>
        <w:t>(c</w:t>
      </w:r>
      <w:r w:rsidRPr="002924AE">
        <w:rPr>
          <w:b/>
          <w:bCs/>
        </w:rPr>
        <w:t>)</w:t>
      </w:r>
      <w:r w:rsidRPr="002924AE">
        <w:rPr>
          <w:b/>
          <w:bCs/>
        </w:rPr>
        <w:tab/>
      </w:r>
      <w:r w:rsidR="00BB36E2">
        <w:rPr>
          <w:b/>
          <w:bCs/>
        </w:rPr>
        <w:t>A</w:t>
      </w:r>
      <w:r w:rsidR="00BB36E2" w:rsidRPr="002924AE">
        <w:rPr>
          <w:b/>
          <w:bCs/>
        </w:rPr>
        <w:t xml:space="preserve">ssess </w:t>
      </w:r>
      <w:r w:rsidRPr="002924AE">
        <w:rPr>
          <w:b/>
          <w:bCs/>
        </w:rPr>
        <w:t xml:space="preserve">reasons for the very low number of complaints relating to racial discrimination, including whether it may be due to victims’ lack of awareness of their rights, fear of reprisals, limited access to available mechanisms, lack of confidence in the police and the judiciary, or the authorities’ lack of attention or sensitivity to cases of racial discrimination; </w:t>
      </w:r>
    </w:p>
    <w:p w:rsidR="002924AE" w:rsidRPr="002924AE" w:rsidRDefault="002924AE" w:rsidP="000B66E6">
      <w:pPr>
        <w:pStyle w:val="SingleTxtG"/>
        <w:ind w:firstLine="567"/>
        <w:rPr>
          <w:b/>
          <w:bCs/>
        </w:rPr>
      </w:pPr>
      <w:r>
        <w:rPr>
          <w:b/>
          <w:bCs/>
        </w:rPr>
        <w:t>(d</w:t>
      </w:r>
      <w:r w:rsidRPr="002924AE">
        <w:rPr>
          <w:b/>
          <w:bCs/>
        </w:rPr>
        <w:t>)</w:t>
      </w:r>
      <w:r w:rsidRPr="002924AE">
        <w:rPr>
          <w:b/>
          <w:bCs/>
        </w:rPr>
        <w:tab/>
      </w:r>
      <w:r w:rsidR="00BB36E2" w:rsidRPr="002924AE">
        <w:rPr>
          <w:b/>
          <w:bCs/>
        </w:rPr>
        <w:t>Provide</w:t>
      </w:r>
      <w:r w:rsidRPr="002924AE">
        <w:rPr>
          <w:b/>
          <w:bCs/>
        </w:rPr>
        <w:t xml:space="preserve"> in </w:t>
      </w:r>
      <w:r w:rsidR="00993BF0">
        <w:rPr>
          <w:b/>
          <w:bCs/>
        </w:rPr>
        <w:t xml:space="preserve">the </w:t>
      </w:r>
      <w:r w:rsidRPr="002924AE">
        <w:rPr>
          <w:b/>
          <w:bCs/>
        </w:rPr>
        <w:t xml:space="preserve">next </w:t>
      </w:r>
      <w:r w:rsidR="00D64E75">
        <w:rPr>
          <w:b/>
          <w:bCs/>
        </w:rPr>
        <w:t xml:space="preserve">periodic </w:t>
      </w:r>
      <w:r w:rsidRPr="002924AE">
        <w:rPr>
          <w:b/>
          <w:bCs/>
        </w:rPr>
        <w:t xml:space="preserve">report updated information on complaints about acts of racial discrimination and on relevant decisions in penal, civil or administrative court proceedings and by State human rights institutions, including on any </w:t>
      </w:r>
      <w:r w:rsidR="000B66E6">
        <w:rPr>
          <w:b/>
          <w:bCs/>
        </w:rPr>
        <w:t>reparations</w:t>
      </w:r>
      <w:r w:rsidRPr="002924AE">
        <w:rPr>
          <w:b/>
          <w:bCs/>
        </w:rPr>
        <w:t xml:space="preserve"> provided to victims of such acts.</w:t>
      </w:r>
    </w:p>
    <w:p w:rsidR="002924AE" w:rsidRPr="000334BD" w:rsidRDefault="002924AE" w:rsidP="00BB36E2">
      <w:pPr>
        <w:pStyle w:val="SingleTxtG"/>
      </w:pPr>
      <w:r>
        <w:t>1</w:t>
      </w:r>
      <w:r w:rsidR="007D7863">
        <w:t>1</w:t>
      </w:r>
      <w:r>
        <w:t>.</w:t>
      </w:r>
      <w:r>
        <w:tab/>
      </w:r>
      <w:r w:rsidRPr="000334BD">
        <w:t>The Committee, while noting various</w:t>
      </w:r>
      <w:r w:rsidR="00491BE6">
        <w:t xml:space="preserve"> human rights</w:t>
      </w:r>
      <w:r w:rsidRPr="000334BD">
        <w:t xml:space="preserve"> training programmes </w:t>
      </w:r>
      <w:r w:rsidR="00BB36E2" w:rsidRPr="000334BD">
        <w:t>organi</w:t>
      </w:r>
      <w:r w:rsidR="00BB36E2">
        <w:t>z</w:t>
      </w:r>
      <w:r w:rsidR="00BB36E2" w:rsidRPr="000334BD">
        <w:t xml:space="preserve">ed </w:t>
      </w:r>
      <w:r w:rsidRPr="000334BD">
        <w:t>by the State party for its official</w:t>
      </w:r>
      <w:r w:rsidR="000B66E6">
        <w:t>s</w:t>
      </w:r>
      <w:r w:rsidRPr="000334BD">
        <w:t xml:space="preserve"> such as the session in Chişinău in December 2008, regrets the </w:t>
      </w:r>
      <w:r>
        <w:t>limit</w:t>
      </w:r>
      <w:r w:rsidRPr="005C5A07">
        <w:t>ed provision for human rights tra</w:t>
      </w:r>
      <w:r w:rsidRPr="000334BD">
        <w:t>ining for the police, prosecutors</w:t>
      </w:r>
      <w:r w:rsidR="00491BE6">
        <w:t xml:space="preserve"> and</w:t>
      </w:r>
      <w:r w:rsidRPr="000334BD">
        <w:t xml:space="preserve"> judges (art 7).</w:t>
      </w:r>
    </w:p>
    <w:p w:rsidR="002924AE" w:rsidRPr="002924AE" w:rsidRDefault="002924AE" w:rsidP="00BB36E2">
      <w:pPr>
        <w:pStyle w:val="SingleTxtG"/>
        <w:ind w:firstLine="567"/>
        <w:rPr>
          <w:b/>
          <w:bCs/>
        </w:rPr>
      </w:pPr>
      <w:r w:rsidRPr="002924AE">
        <w:rPr>
          <w:b/>
          <w:bCs/>
        </w:rPr>
        <w:t xml:space="preserve">The Committee recommends </w:t>
      </w:r>
      <w:r w:rsidR="00BB36E2">
        <w:rPr>
          <w:b/>
          <w:bCs/>
        </w:rPr>
        <w:t xml:space="preserve">that </w:t>
      </w:r>
      <w:r w:rsidRPr="002924AE">
        <w:rPr>
          <w:b/>
          <w:bCs/>
        </w:rPr>
        <w:t>the State party introduce mandatory training for the police, prosecutors</w:t>
      </w:r>
      <w:r w:rsidR="00491BE6">
        <w:rPr>
          <w:b/>
          <w:bCs/>
        </w:rPr>
        <w:t xml:space="preserve"> and</w:t>
      </w:r>
      <w:r w:rsidRPr="002924AE">
        <w:rPr>
          <w:b/>
          <w:bCs/>
        </w:rPr>
        <w:t xml:space="preserve"> judges on the application of anti-discrimination legislation and the Convention.</w:t>
      </w:r>
    </w:p>
    <w:p w:rsidR="002924AE" w:rsidRPr="000334BD" w:rsidRDefault="002924AE" w:rsidP="00002866">
      <w:pPr>
        <w:pStyle w:val="SingleTxtG"/>
      </w:pPr>
      <w:r>
        <w:t>1</w:t>
      </w:r>
      <w:r w:rsidR="007D7863">
        <w:t>2</w:t>
      </w:r>
      <w:r>
        <w:t>.</w:t>
      </w:r>
      <w:r>
        <w:tab/>
      </w:r>
      <w:r w:rsidRPr="000334BD">
        <w:t>While noting with interest the measures recently taken by the State party to strengthen the Parliamentary Advocates/Center for Human Rights of Moldova, the Committee regrets th</w:t>
      </w:r>
      <w:r>
        <w:t>e absence of</w:t>
      </w:r>
      <w:r w:rsidRPr="000334BD">
        <w:t xml:space="preserve"> </w:t>
      </w:r>
      <w:r>
        <w:t xml:space="preserve">a </w:t>
      </w:r>
      <w:r w:rsidRPr="000334BD">
        <w:t xml:space="preserve">national human rights institution fully compliant with the Paris Principles (General Assembly </w:t>
      </w:r>
      <w:r w:rsidR="00BB36E2">
        <w:t>r</w:t>
      </w:r>
      <w:r w:rsidR="00BB36E2" w:rsidRPr="000334BD">
        <w:t xml:space="preserve">esolution </w:t>
      </w:r>
      <w:r w:rsidRPr="000334BD">
        <w:t xml:space="preserve">48/134) </w:t>
      </w:r>
      <w:r>
        <w:t xml:space="preserve">in </w:t>
      </w:r>
      <w:smartTag w:uri="urn:schemas-microsoft-com:office:smarttags" w:element="place">
        <w:smartTag w:uri="urn:schemas-microsoft-com:office:smarttags" w:element="country-region">
          <w:r>
            <w:t>Moldova</w:t>
          </w:r>
        </w:smartTag>
      </w:smartTag>
      <w:r w:rsidRPr="000334BD">
        <w:t xml:space="preserve">. The Committee also expresses its concern that the Parliamentary Advocates </w:t>
      </w:r>
      <w:r>
        <w:t xml:space="preserve">office </w:t>
      </w:r>
      <w:r w:rsidRPr="000334BD">
        <w:t>has never used the powers under Act No. 1349-XIII of 17 October 1997</w:t>
      </w:r>
      <w:r w:rsidRPr="00BB36E2">
        <w:t xml:space="preserve">, </w:t>
      </w:r>
      <w:r w:rsidR="00002866">
        <w:t>including that of petitioning</w:t>
      </w:r>
      <w:r w:rsidRPr="000334BD">
        <w:t xml:space="preserve"> a court for protection of the interests of alleged victim</w:t>
      </w:r>
      <w:r>
        <w:t>s</w:t>
      </w:r>
      <w:r w:rsidRPr="000334BD">
        <w:t xml:space="preserve"> of discrimination (art. 2).</w:t>
      </w:r>
    </w:p>
    <w:p w:rsidR="002924AE" w:rsidRPr="00F37DE9" w:rsidRDefault="002924AE" w:rsidP="002924AE">
      <w:pPr>
        <w:pStyle w:val="SingleTxtG"/>
        <w:rPr>
          <w:b/>
          <w:bCs/>
          <w:color w:val="333399"/>
          <w:u w:val="single"/>
        </w:rPr>
      </w:pPr>
      <w:r w:rsidRPr="000334BD">
        <w:tab/>
      </w:r>
      <w:r w:rsidRPr="00F37DE9">
        <w:rPr>
          <w:b/>
          <w:bCs/>
        </w:rPr>
        <w:t xml:space="preserve">The Committee recommends that the State party consider, in consultation with civil society, the option of establishing an independent national human rights institution fully compliant with the Paris Principles, including by transforming and empowering the existing mechanism so as to conform with the </w:t>
      </w:r>
      <w:smartTag w:uri="urn:schemas-microsoft-com:office:smarttags" w:element="City">
        <w:smartTag w:uri="urn:schemas-microsoft-com:office:smarttags" w:element="place">
          <w:r w:rsidRPr="00F37DE9">
            <w:rPr>
              <w:b/>
              <w:bCs/>
            </w:rPr>
            <w:t>Paris</w:t>
          </w:r>
        </w:smartTag>
      </w:smartTag>
      <w:r w:rsidRPr="00F37DE9">
        <w:rPr>
          <w:b/>
          <w:bCs/>
        </w:rPr>
        <w:t xml:space="preserve"> principles.  To that end, the Committee recommends that the State party guarantee the independence of the Pa</w:t>
      </w:r>
      <w:r w:rsidRPr="00DB1F57">
        <w:rPr>
          <w:b/>
          <w:bCs/>
        </w:rPr>
        <w:t xml:space="preserve">rliamentary Advocates </w:t>
      </w:r>
      <w:r w:rsidR="007E5357" w:rsidRPr="00DB1F57">
        <w:rPr>
          <w:b/>
          <w:bCs/>
        </w:rPr>
        <w:t xml:space="preserve">office </w:t>
      </w:r>
      <w:r w:rsidRPr="00DB1F57">
        <w:rPr>
          <w:b/>
          <w:bCs/>
        </w:rPr>
        <w:t>and strengthen its role in th</w:t>
      </w:r>
      <w:r w:rsidRPr="00F37DE9">
        <w:rPr>
          <w:b/>
          <w:bCs/>
        </w:rPr>
        <w:t>e elimination of racial discrimination by effectively using its legal power.</w:t>
      </w:r>
      <w:r w:rsidRPr="00F37DE9">
        <w:rPr>
          <w:rFonts w:eastAsia="SimSun"/>
          <w:b/>
          <w:bCs/>
          <w:lang w:val="en-US" w:eastAsia="zh-CN"/>
        </w:rPr>
        <w:t xml:space="preserve"> </w:t>
      </w:r>
      <w:r w:rsidRPr="00F37DE9">
        <w:rPr>
          <w:b/>
          <w:bCs/>
          <w:color w:val="333399"/>
          <w:u w:val="single"/>
        </w:rPr>
        <w:t xml:space="preserve"> </w:t>
      </w:r>
    </w:p>
    <w:p w:rsidR="002924AE" w:rsidRPr="000334BD" w:rsidRDefault="00F37DE9" w:rsidP="007D7863">
      <w:pPr>
        <w:pStyle w:val="SingleTxtG"/>
      </w:pPr>
      <w:r>
        <w:t>1</w:t>
      </w:r>
      <w:r w:rsidR="007D7863">
        <w:t>3</w:t>
      </w:r>
      <w:r>
        <w:t>.</w:t>
      </w:r>
      <w:r>
        <w:tab/>
      </w:r>
      <w:r w:rsidR="002924AE" w:rsidRPr="000334BD">
        <w:t xml:space="preserve">The Committee notes with appreciation the ratification by the State party of all fundamental ILO Conventions as well as the improvements in the regulatory framework on non-citizens including the draft law amending the Labour Code which adds “skin colour” and “HIV/AIDS infection” into the list of </w:t>
      </w:r>
      <w:r w:rsidR="002924AE">
        <w:t xml:space="preserve">prohibited </w:t>
      </w:r>
      <w:r w:rsidR="002924AE" w:rsidRPr="000334BD">
        <w:t>grounds of discrimination. However, the Committee remains concerned, in light of the 2008 direct request made by the ILO Committee of Experts on the Application of Conventions and Recommendations (Migration for Employment Convention, No. 97), that migrant workers from Africa and Asia face serious discrimination</w:t>
      </w:r>
      <w:r w:rsidR="002924AE">
        <w:t xml:space="preserve"> </w:t>
      </w:r>
      <w:r w:rsidR="002924AE" w:rsidRPr="000334BD">
        <w:t xml:space="preserve">and are extremely reluctant to bring their cases before national courts. The Committee furthermore expresses its deep concern that non-citizens </w:t>
      </w:r>
      <w:r w:rsidR="00491BE6">
        <w:t>are subjected to</w:t>
      </w:r>
      <w:r w:rsidR="00491BE6" w:rsidRPr="000334BD">
        <w:t xml:space="preserve"> </w:t>
      </w:r>
      <w:r w:rsidR="002924AE" w:rsidRPr="000334BD">
        <w:t>mandatory HIV/AIDS test</w:t>
      </w:r>
      <w:r w:rsidR="00491BE6">
        <w:t>ing</w:t>
      </w:r>
      <w:r w:rsidR="002924AE" w:rsidRPr="000334BD">
        <w:t xml:space="preserve"> and</w:t>
      </w:r>
      <w:r w:rsidR="002924AE">
        <w:t xml:space="preserve"> that</w:t>
      </w:r>
      <w:r w:rsidR="002924AE" w:rsidRPr="000334BD">
        <w:t xml:space="preserve"> residence</w:t>
      </w:r>
      <w:r w:rsidR="002924AE">
        <w:t xml:space="preserve"> in </w:t>
      </w:r>
      <w:smartTag w:uri="urn:schemas-microsoft-com:office:smarttags" w:element="place">
        <w:smartTag w:uri="urn:schemas-microsoft-com:office:smarttags" w:element="country-region">
          <w:r w:rsidR="002924AE">
            <w:t>Moldova</w:t>
          </w:r>
        </w:smartTag>
      </w:smartTag>
      <w:r w:rsidR="002924AE" w:rsidRPr="000334BD">
        <w:t xml:space="preserve"> is banned in the case of a positive HIV test (arts. 2 and 5). </w:t>
      </w:r>
    </w:p>
    <w:p w:rsidR="002924AE" w:rsidRPr="00F37DE9" w:rsidRDefault="002924AE" w:rsidP="00BB36E2">
      <w:pPr>
        <w:pStyle w:val="SingleTxtG"/>
        <w:ind w:firstLine="567"/>
        <w:rPr>
          <w:b/>
          <w:bCs/>
        </w:rPr>
      </w:pPr>
      <w:r w:rsidRPr="00F37DE9">
        <w:rPr>
          <w:b/>
          <w:bCs/>
        </w:rPr>
        <w:t xml:space="preserve">Taking into consideration the Committee’s general </w:t>
      </w:r>
      <w:r w:rsidR="007D7863">
        <w:rPr>
          <w:b/>
          <w:bCs/>
        </w:rPr>
        <w:t>recommendation</w:t>
      </w:r>
      <w:r w:rsidRPr="00F37DE9">
        <w:rPr>
          <w:b/>
          <w:bCs/>
        </w:rPr>
        <w:t xml:space="preserve"> No. 30 (2005) on discrimination against non-citizens  and the International Guidelines on HIV/AIDS and Human Rights, adopted at </w:t>
      </w:r>
      <w:r w:rsidR="00491BE6">
        <w:rPr>
          <w:b/>
          <w:bCs/>
        </w:rPr>
        <w:t xml:space="preserve">the </w:t>
      </w:r>
      <w:r w:rsidRPr="00F37DE9">
        <w:rPr>
          <w:b/>
          <w:bCs/>
        </w:rPr>
        <w:t xml:space="preserve">Second International Consultation on HIV/AIDS and Human Rights in 1996, the Committee recommends </w:t>
      </w:r>
      <w:r w:rsidR="00BB36E2">
        <w:rPr>
          <w:b/>
          <w:bCs/>
        </w:rPr>
        <w:t xml:space="preserve">that </w:t>
      </w:r>
      <w:r w:rsidRPr="00F37DE9">
        <w:rPr>
          <w:b/>
          <w:bCs/>
        </w:rPr>
        <w:t>the State party:</w:t>
      </w:r>
    </w:p>
    <w:p w:rsidR="002924AE" w:rsidRPr="00F37DE9" w:rsidRDefault="00F37DE9" w:rsidP="00F37DE9">
      <w:pPr>
        <w:pStyle w:val="SingleTxtG"/>
        <w:ind w:firstLine="567"/>
        <w:rPr>
          <w:b/>
          <w:bCs/>
        </w:rPr>
      </w:pPr>
      <w:r>
        <w:rPr>
          <w:b/>
          <w:bCs/>
        </w:rPr>
        <w:t>(a)</w:t>
      </w:r>
      <w:r>
        <w:rPr>
          <w:b/>
          <w:bCs/>
        </w:rPr>
        <w:tab/>
      </w:r>
      <w:r w:rsidR="00BB36E2" w:rsidRPr="00F37DE9">
        <w:rPr>
          <w:b/>
          <w:bCs/>
        </w:rPr>
        <w:t>Ensure</w:t>
      </w:r>
      <w:r w:rsidR="002924AE" w:rsidRPr="00F37DE9">
        <w:rPr>
          <w:b/>
          <w:bCs/>
        </w:rPr>
        <w:t xml:space="preserve"> that legislative guarantees against racial discrimination apply to non-citizens regardless of their immigration status, and that the implementation of legislation does not have a discriminatory effect on non-citizens;</w:t>
      </w:r>
    </w:p>
    <w:p w:rsidR="002924AE" w:rsidRPr="00F37DE9" w:rsidRDefault="00F37DE9" w:rsidP="00BB36E2">
      <w:pPr>
        <w:pStyle w:val="SingleTxtG"/>
        <w:ind w:firstLine="567"/>
        <w:rPr>
          <w:b/>
          <w:bCs/>
        </w:rPr>
      </w:pPr>
      <w:r>
        <w:rPr>
          <w:b/>
          <w:bCs/>
        </w:rPr>
        <w:t>(b)</w:t>
      </w:r>
      <w:r>
        <w:rPr>
          <w:b/>
          <w:bCs/>
        </w:rPr>
        <w:tab/>
      </w:r>
      <w:r w:rsidR="00BB36E2" w:rsidRPr="00F37DE9">
        <w:rPr>
          <w:b/>
          <w:bCs/>
        </w:rPr>
        <w:t>Ensure</w:t>
      </w:r>
      <w:r w:rsidR="002924AE" w:rsidRPr="00F37DE9">
        <w:rPr>
          <w:b/>
          <w:bCs/>
        </w:rPr>
        <w:t xml:space="preserve"> that when HIV testing is carried out, it does not infringe the principle of non-discrimination; </w:t>
      </w:r>
    </w:p>
    <w:p w:rsidR="002924AE" w:rsidRPr="00F37DE9" w:rsidRDefault="00F37DE9" w:rsidP="00F37DE9">
      <w:pPr>
        <w:pStyle w:val="SingleTxtG"/>
        <w:ind w:firstLine="567"/>
        <w:rPr>
          <w:b/>
          <w:bCs/>
        </w:rPr>
      </w:pPr>
      <w:r>
        <w:rPr>
          <w:b/>
          <w:bCs/>
        </w:rPr>
        <w:t>(c)</w:t>
      </w:r>
      <w:r>
        <w:rPr>
          <w:b/>
          <w:bCs/>
        </w:rPr>
        <w:tab/>
      </w:r>
      <w:r w:rsidR="00BB36E2" w:rsidRPr="00F37DE9">
        <w:rPr>
          <w:b/>
          <w:bCs/>
        </w:rPr>
        <w:t>Take</w:t>
      </w:r>
      <w:r w:rsidR="002924AE" w:rsidRPr="00F37DE9">
        <w:rPr>
          <w:b/>
          <w:bCs/>
        </w:rPr>
        <w:t xml:space="preserve"> measures to remove restrictions on the entry or repatriation of migrant workers when workers’ illness or infection does not impair their ability to perform the work in question</w:t>
      </w:r>
      <w:r w:rsidR="002924AE" w:rsidRPr="00F37DE9">
        <w:rPr>
          <w:rFonts w:hint="eastAsia"/>
          <w:b/>
          <w:bCs/>
          <w:lang w:eastAsia="ko-KR"/>
        </w:rPr>
        <w:t>.</w:t>
      </w:r>
      <w:r w:rsidR="002924AE" w:rsidRPr="00F37DE9">
        <w:rPr>
          <w:b/>
          <w:bCs/>
        </w:rPr>
        <w:t xml:space="preserve">  </w:t>
      </w:r>
    </w:p>
    <w:p w:rsidR="002924AE" w:rsidRPr="000334BD" w:rsidRDefault="00F37DE9" w:rsidP="003F6466">
      <w:pPr>
        <w:pStyle w:val="SingleTxtG"/>
      </w:pPr>
      <w:r>
        <w:t>1</w:t>
      </w:r>
      <w:r w:rsidR="007D7863">
        <w:t>4</w:t>
      </w:r>
      <w:r>
        <w:t>.</w:t>
      </w:r>
      <w:r>
        <w:tab/>
      </w:r>
      <w:r w:rsidR="002924AE" w:rsidRPr="000334BD">
        <w:t>The Committee notes with deep concern that the right to freedom of religion</w:t>
      </w:r>
      <w:r w:rsidR="00FB5B64">
        <w:t xml:space="preserve">, especially of persons belonging to </w:t>
      </w:r>
      <w:r w:rsidR="007D7863">
        <w:t xml:space="preserve">ethnic </w:t>
      </w:r>
      <w:r w:rsidR="00411ED6">
        <w:t>minorities</w:t>
      </w:r>
      <w:r w:rsidR="00FB5B64">
        <w:t>,</w:t>
      </w:r>
      <w:r w:rsidR="002924AE" w:rsidRPr="000334BD">
        <w:t xml:space="preserve"> continues to be restricted in Moldova in spite of various actions taken by international and regional human rights organs (the Human Rights Committee </w:t>
      </w:r>
      <w:r w:rsidR="003F6466">
        <w:t>(</w:t>
      </w:r>
      <w:r w:rsidR="002924AE" w:rsidRPr="000334BD">
        <w:t>CCPR/C/MDA/CO/2</w:t>
      </w:r>
      <w:r w:rsidR="003F6466">
        <w:t>)</w:t>
      </w:r>
      <w:r w:rsidR="002924AE" w:rsidRPr="000334BD">
        <w:t xml:space="preserve">, para. 25; the Special Rapporteur on freedom of religion or belief </w:t>
      </w:r>
      <w:r w:rsidR="003F6466">
        <w:t>(</w:t>
      </w:r>
      <w:r w:rsidR="002924AE" w:rsidRPr="000334BD">
        <w:t>A/HRC/16/53/Add.1</w:t>
      </w:r>
      <w:r w:rsidR="003F6466">
        <w:t>)</w:t>
      </w:r>
      <w:r w:rsidR="002924AE" w:rsidRPr="000334BD">
        <w:t xml:space="preserve">, paras.336-361; the European Court of Human Rights, </w:t>
      </w:r>
      <w:r w:rsidR="002924AE" w:rsidRPr="00E5757E">
        <w:rPr>
          <w:i/>
          <w:iCs/>
        </w:rPr>
        <w:t>Masaev</w:t>
      </w:r>
      <w:r w:rsidR="002924AE" w:rsidRPr="003F6466">
        <w:t xml:space="preserve"> v.</w:t>
      </w:r>
      <w:r w:rsidR="002924AE" w:rsidRPr="00E5757E">
        <w:rPr>
          <w:i/>
          <w:iCs/>
        </w:rPr>
        <w:t xml:space="preserve"> Moldova</w:t>
      </w:r>
      <w:r w:rsidR="002924AE" w:rsidRPr="000334BD">
        <w:t xml:space="preserve">, Application </w:t>
      </w:r>
      <w:r w:rsidR="003F6466">
        <w:t>N</w:t>
      </w:r>
      <w:r w:rsidR="003F6466" w:rsidRPr="000334BD">
        <w:t>o</w:t>
      </w:r>
      <w:r w:rsidR="002924AE" w:rsidRPr="000334BD">
        <w:t>. 6303/05).</w:t>
      </w:r>
      <w:r w:rsidR="002924AE" w:rsidRPr="00B70751">
        <w:t xml:space="preserve"> Taking into account the intersectionality between ethnicity </w:t>
      </w:r>
      <w:r w:rsidR="002924AE" w:rsidRPr="00236F2F">
        <w:t>and religion</w:t>
      </w:r>
      <w:r w:rsidR="003F6466" w:rsidRPr="00236F2F">
        <w:t xml:space="preserve"> (arts. 2 and 5(d))</w:t>
      </w:r>
      <w:r w:rsidR="002924AE" w:rsidRPr="00236F2F">
        <w:t>, the Committee is</w:t>
      </w:r>
      <w:r w:rsidR="002924AE" w:rsidRPr="000334BD">
        <w:t xml:space="preserve"> concerned at:</w:t>
      </w:r>
    </w:p>
    <w:p w:rsidR="002924AE" w:rsidRPr="000334BD" w:rsidRDefault="00F37DE9" w:rsidP="00F37DE9">
      <w:pPr>
        <w:pStyle w:val="SingleTxtG"/>
        <w:ind w:firstLine="567"/>
      </w:pPr>
      <w:r>
        <w:t>(a)</w:t>
      </w:r>
      <w:r>
        <w:tab/>
      </w:r>
      <w:r w:rsidR="003F6466" w:rsidRPr="000334BD">
        <w:t>The</w:t>
      </w:r>
      <w:r w:rsidR="002924AE" w:rsidRPr="000334BD">
        <w:t xml:space="preserve"> reported cases of discrimination and intimidation against religious minority groups and non-citizens;</w:t>
      </w:r>
    </w:p>
    <w:p w:rsidR="002924AE" w:rsidRPr="000334BD" w:rsidRDefault="00F37DE9" w:rsidP="00491BE6">
      <w:pPr>
        <w:pStyle w:val="SingleTxtG"/>
        <w:ind w:firstLine="567"/>
      </w:pPr>
      <w:r>
        <w:t>(b)</w:t>
      </w:r>
      <w:r>
        <w:tab/>
      </w:r>
      <w:r w:rsidR="003F6466" w:rsidRPr="000334BD">
        <w:t>Restrictions</w:t>
      </w:r>
      <w:r w:rsidR="002924AE" w:rsidRPr="000334BD">
        <w:t xml:space="preserve"> on the right of freedom of religion as a result of the persistent registration difficulties faced by some religious groups, in particular Muslim</w:t>
      </w:r>
      <w:r w:rsidR="002924AE">
        <w:t xml:space="preserve"> groups</w:t>
      </w:r>
      <w:r w:rsidR="002924AE" w:rsidRPr="000334BD">
        <w:t xml:space="preserve">, and the </w:t>
      </w:r>
      <w:r w:rsidR="002924AE">
        <w:t>possible misapplication of</w:t>
      </w:r>
      <w:r w:rsidR="002924AE" w:rsidRPr="000334BD">
        <w:t xml:space="preserve"> technical requirements for registration;</w:t>
      </w:r>
    </w:p>
    <w:p w:rsidR="002924AE" w:rsidRPr="000334BD" w:rsidRDefault="00F37DE9" w:rsidP="003F6466">
      <w:pPr>
        <w:pStyle w:val="SingleTxtG"/>
        <w:ind w:firstLine="567"/>
      </w:pPr>
      <w:r>
        <w:t>(c)</w:t>
      </w:r>
      <w:r>
        <w:tab/>
      </w:r>
      <w:r w:rsidR="003F6466" w:rsidRPr="000334BD">
        <w:t>Administrative</w:t>
      </w:r>
      <w:r w:rsidR="002924AE" w:rsidRPr="000334BD">
        <w:t xml:space="preserve"> sanctions applied to individuals belonging to unregistered religious </w:t>
      </w:r>
      <w:r w:rsidR="003F6466" w:rsidRPr="000334BD">
        <w:t>organi</w:t>
      </w:r>
      <w:r w:rsidR="003F6466">
        <w:t>z</w:t>
      </w:r>
      <w:r w:rsidR="003F6466" w:rsidRPr="000334BD">
        <w:t>ation</w:t>
      </w:r>
      <w:r w:rsidR="003F6466">
        <w:t>s</w:t>
      </w:r>
      <w:r w:rsidR="002924AE">
        <w:t>;</w:t>
      </w:r>
    </w:p>
    <w:p w:rsidR="002924AE" w:rsidRPr="000334BD" w:rsidRDefault="00F37DE9" w:rsidP="00F37DE9">
      <w:pPr>
        <w:pStyle w:val="SingleTxtG"/>
        <w:ind w:firstLine="567"/>
      </w:pPr>
      <w:r>
        <w:t>(d)</w:t>
      </w:r>
      <w:r>
        <w:tab/>
      </w:r>
      <w:r w:rsidR="003F6466" w:rsidRPr="000334BD">
        <w:t>Administrative</w:t>
      </w:r>
      <w:r w:rsidR="002924AE" w:rsidRPr="000334BD">
        <w:t xml:space="preserve"> sanctions applied to non-citizens carrying out religious activities in public place</w:t>
      </w:r>
      <w:r w:rsidR="00491BE6">
        <w:t>s</w:t>
      </w:r>
      <w:r w:rsidR="002924AE">
        <w:t xml:space="preserve"> for not providing advance notification to municipalities,</w:t>
      </w:r>
      <w:r w:rsidR="002924AE" w:rsidRPr="000334BD">
        <w:t xml:space="preserve"> under article 54(4) of the Contravention Code;</w:t>
      </w:r>
    </w:p>
    <w:p w:rsidR="002924AE" w:rsidRPr="000334BD" w:rsidRDefault="00F37DE9" w:rsidP="005C5A07">
      <w:pPr>
        <w:pStyle w:val="SingleTxtG"/>
        <w:ind w:firstLine="567"/>
      </w:pPr>
      <w:r>
        <w:t>(e)</w:t>
      </w:r>
      <w:r>
        <w:tab/>
      </w:r>
      <w:r w:rsidR="003F6466" w:rsidRPr="000334BD">
        <w:t>Identity</w:t>
      </w:r>
      <w:r w:rsidR="002924AE" w:rsidRPr="000334BD">
        <w:t xml:space="preserve"> </w:t>
      </w:r>
      <w:r w:rsidR="002924AE" w:rsidRPr="005C5A07">
        <w:t xml:space="preserve">checks </w:t>
      </w:r>
      <w:r w:rsidR="005C5A07" w:rsidRPr="005C5A07">
        <w:t xml:space="preserve">of </w:t>
      </w:r>
      <w:r w:rsidR="002924AE" w:rsidRPr="005C5A07">
        <w:t>Muslims outside</w:t>
      </w:r>
      <w:r w:rsidR="002924AE" w:rsidRPr="000334BD">
        <w:t xml:space="preserve"> places of worship and reported cases of harassment</w:t>
      </w:r>
      <w:r w:rsidR="002924AE">
        <w:t xml:space="preserve"> of</w:t>
      </w:r>
      <w:r w:rsidR="002924AE" w:rsidRPr="000334BD">
        <w:t xml:space="preserve"> Muslim</w:t>
      </w:r>
      <w:r w:rsidR="002924AE">
        <w:t>s by the police</w:t>
      </w:r>
      <w:r w:rsidR="002924AE" w:rsidRPr="000334BD">
        <w:t xml:space="preserve">; </w:t>
      </w:r>
    </w:p>
    <w:p w:rsidR="002924AE" w:rsidRPr="000334BD" w:rsidRDefault="00F37DE9" w:rsidP="00F37DE9">
      <w:pPr>
        <w:pStyle w:val="SingleTxtG"/>
        <w:ind w:firstLine="567"/>
      </w:pPr>
      <w:r>
        <w:t>(f)</w:t>
      </w:r>
      <w:r>
        <w:tab/>
      </w:r>
      <w:r w:rsidR="003F6466" w:rsidRPr="000334BD">
        <w:t>The</w:t>
      </w:r>
      <w:r w:rsidR="002924AE" w:rsidRPr="000334BD">
        <w:t xml:space="preserve"> inadequate responses by the authorities to recent anti-Semitic events, anti-Semitic hate speech and vandalism of religious sites (A/HRC/16/53/Add.1, paras. 336-345; A/HRC/15/53, para. 66).</w:t>
      </w:r>
    </w:p>
    <w:p w:rsidR="002924AE" w:rsidRPr="00F37DE9" w:rsidRDefault="002924AE" w:rsidP="00493BE4">
      <w:pPr>
        <w:pStyle w:val="SingleTxtG"/>
        <w:ind w:firstLine="567"/>
        <w:rPr>
          <w:b/>
          <w:bCs/>
        </w:rPr>
      </w:pPr>
      <w:r w:rsidRPr="00F37DE9">
        <w:rPr>
          <w:b/>
          <w:bCs/>
        </w:rPr>
        <w:t>Recalling the State party’s obligation to ensure that all persons enjoy their right to freedom of religion, without any discrimination based on national or ethnic origin, in accordance with article 5 of the Convention, the Committee urges the State party to:</w:t>
      </w:r>
    </w:p>
    <w:p w:rsidR="002924AE" w:rsidRPr="00F37DE9" w:rsidRDefault="00F37DE9" w:rsidP="00D424D4">
      <w:pPr>
        <w:pStyle w:val="SingleTxtG"/>
        <w:ind w:firstLine="567"/>
        <w:rPr>
          <w:b/>
          <w:bCs/>
        </w:rPr>
      </w:pPr>
      <w:r>
        <w:rPr>
          <w:b/>
          <w:bCs/>
        </w:rPr>
        <w:t>(a)</w:t>
      </w:r>
      <w:r>
        <w:rPr>
          <w:b/>
          <w:bCs/>
        </w:rPr>
        <w:tab/>
      </w:r>
      <w:r w:rsidR="00D424D4">
        <w:rPr>
          <w:b/>
          <w:bCs/>
        </w:rPr>
        <w:t>T</w:t>
      </w:r>
      <w:r w:rsidR="00D424D4" w:rsidRPr="00F37DE9">
        <w:rPr>
          <w:b/>
          <w:bCs/>
        </w:rPr>
        <w:t xml:space="preserve">ake </w:t>
      </w:r>
      <w:r w:rsidR="002924AE" w:rsidRPr="00F37DE9">
        <w:rPr>
          <w:b/>
          <w:bCs/>
        </w:rPr>
        <w:t>measures to prevent acts directed against persons or religious sites belonging to minorities, and in cases where such acts do occur, effectively investigate them and bring perpetrators to justice;</w:t>
      </w:r>
    </w:p>
    <w:p w:rsidR="002924AE" w:rsidRPr="00F37DE9" w:rsidRDefault="00F37DE9" w:rsidP="00D424D4">
      <w:pPr>
        <w:pStyle w:val="SingleTxtG"/>
        <w:ind w:firstLine="567"/>
        <w:rPr>
          <w:b/>
          <w:bCs/>
        </w:rPr>
      </w:pPr>
      <w:r>
        <w:rPr>
          <w:b/>
          <w:bCs/>
        </w:rPr>
        <w:t>(b)</w:t>
      </w:r>
      <w:r>
        <w:rPr>
          <w:b/>
          <w:bCs/>
        </w:rPr>
        <w:tab/>
      </w:r>
      <w:r w:rsidR="00D424D4">
        <w:rPr>
          <w:b/>
          <w:bCs/>
        </w:rPr>
        <w:t>R</w:t>
      </w:r>
      <w:r w:rsidR="00D424D4" w:rsidRPr="00F37DE9">
        <w:rPr>
          <w:b/>
          <w:bCs/>
        </w:rPr>
        <w:t xml:space="preserve">espect </w:t>
      </w:r>
      <w:r w:rsidR="002924AE" w:rsidRPr="00F37DE9">
        <w:rPr>
          <w:b/>
          <w:bCs/>
        </w:rPr>
        <w:t>the right of members of registered and unregistered religions to freely exercise their freedom of religion, review existing registration regulations and practices in order to ensure the right of all persons to manifest their religion or belief, alone or in community with others and in public or in private regardless of registration status;</w:t>
      </w:r>
    </w:p>
    <w:p w:rsidR="002924AE" w:rsidRPr="00F37DE9" w:rsidRDefault="00F37DE9" w:rsidP="00D424D4">
      <w:pPr>
        <w:pStyle w:val="SingleTxtG"/>
        <w:ind w:firstLine="567"/>
        <w:rPr>
          <w:b/>
          <w:bCs/>
        </w:rPr>
      </w:pPr>
      <w:r>
        <w:rPr>
          <w:b/>
          <w:bCs/>
        </w:rPr>
        <w:t>(c)</w:t>
      </w:r>
      <w:r>
        <w:rPr>
          <w:b/>
          <w:bCs/>
        </w:rPr>
        <w:tab/>
      </w:r>
      <w:r w:rsidR="00D424D4">
        <w:rPr>
          <w:b/>
          <w:bCs/>
        </w:rPr>
        <w:t>R</w:t>
      </w:r>
      <w:r w:rsidR="00D424D4" w:rsidRPr="00F37DE9">
        <w:rPr>
          <w:b/>
          <w:bCs/>
        </w:rPr>
        <w:t xml:space="preserve">egister </w:t>
      </w:r>
      <w:r w:rsidR="002924AE" w:rsidRPr="00F37DE9">
        <w:rPr>
          <w:b/>
          <w:bCs/>
        </w:rPr>
        <w:t xml:space="preserve">religious groups who wish to be registered, taking into consideration the </w:t>
      </w:r>
      <w:r w:rsidR="00D424D4">
        <w:rPr>
          <w:b/>
          <w:bCs/>
        </w:rPr>
        <w:t>United Nations</w:t>
      </w:r>
      <w:r w:rsidR="00D424D4" w:rsidRPr="00F37DE9">
        <w:rPr>
          <w:b/>
          <w:bCs/>
        </w:rPr>
        <w:t xml:space="preserve"> </w:t>
      </w:r>
      <w:r w:rsidR="002924AE" w:rsidRPr="00F37DE9">
        <w:rPr>
          <w:b/>
          <w:bCs/>
        </w:rPr>
        <w:t>Commission on Human Rights resolution 2005/40 and the practice</w:t>
      </w:r>
      <w:r w:rsidR="00491BE6">
        <w:rPr>
          <w:b/>
          <w:bCs/>
        </w:rPr>
        <w:t xml:space="preserve"> of</w:t>
      </w:r>
      <w:r w:rsidR="002924AE" w:rsidRPr="00F37DE9">
        <w:rPr>
          <w:b/>
          <w:bCs/>
        </w:rPr>
        <w:t xml:space="preserve"> the </w:t>
      </w:r>
      <w:r w:rsidR="00D424D4" w:rsidRPr="00F37DE9">
        <w:rPr>
          <w:b/>
          <w:bCs/>
        </w:rPr>
        <w:t xml:space="preserve"> </w:t>
      </w:r>
      <w:r w:rsidR="002924AE" w:rsidRPr="00F37DE9">
        <w:rPr>
          <w:b/>
          <w:bCs/>
        </w:rPr>
        <w:t>Special Rapporteur on freedom of religion or belief;</w:t>
      </w:r>
    </w:p>
    <w:p w:rsidR="002924AE" w:rsidRPr="00F37DE9" w:rsidRDefault="00F37DE9" w:rsidP="00F37DE9">
      <w:pPr>
        <w:pStyle w:val="SingleTxtG"/>
        <w:ind w:firstLine="567"/>
        <w:rPr>
          <w:b/>
          <w:bCs/>
        </w:rPr>
      </w:pPr>
      <w:r>
        <w:rPr>
          <w:b/>
          <w:bCs/>
        </w:rPr>
        <w:t>(d)</w:t>
      </w:r>
      <w:r>
        <w:rPr>
          <w:b/>
          <w:bCs/>
        </w:rPr>
        <w:tab/>
      </w:r>
      <w:r w:rsidR="00D424D4" w:rsidRPr="00F37DE9">
        <w:rPr>
          <w:b/>
          <w:bCs/>
        </w:rPr>
        <w:t>Take</w:t>
      </w:r>
      <w:r w:rsidR="002924AE" w:rsidRPr="00F37DE9">
        <w:rPr>
          <w:b/>
          <w:bCs/>
        </w:rPr>
        <w:t xml:space="preserve"> immediate steps to stop practice of arbitrary identity checks by law enforcement authorities;</w:t>
      </w:r>
    </w:p>
    <w:p w:rsidR="002924AE" w:rsidRPr="00F37DE9" w:rsidRDefault="00F37DE9" w:rsidP="00D424D4">
      <w:pPr>
        <w:pStyle w:val="SingleTxtG"/>
        <w:ind w:firstLine="567"/>
        <w:rPr>
          <w:b/>
          <w:bCs/>
        </w:rPr>
      </w:pPr>
      <w:r>
        <w:rPr>
          <w:b/>
          <w:bCs/>
        </w:rPr>
        <w:t>(e)</w:t>
      </w:r>
      <w:r>
        <w:rPr>
          <w:b/>
          <w:bCs/>
        </w:rPr>
        <w:tab/>
      </w:r>
      <w:r w:rsidR="00D424D4" w:rsidRPr="00F37DE9">
        <w:rPr>
          <w:b/>
          <w:bCs/>
        </w:rPr>
        <w:t>Sensitize</w:t>
      </w:r>
      <w:r w:rsidR="002924AE" w:rsidRPr="00F37DE9">
        <w:rPr>
          <w:b/>
          <w:bCs/>
        </w:rPr>
        <w:t xml:space="preserve"> the public to the problems relating to anti-Semitism and reinforce its efforts to prevent and punish anti-Semitic acts;</w:t>
      </w:r>
    </w:p>
    <w:p w:rsidR="002924AE" w:rsidRPr="00F37DE9" w:rsidRDefault="00F37DE9" w:rsidP="00F37DE9">
      <w:pPr>
        <w:pStyle w:val="SingleTxtG"/>
        <w:ind w:firstLine="567"/>
        <w:rPr>
          <w:b/>
          <w:bCs/>
        </w:rPr>
      </w:pPr>
      <w:r>
        <w:rPr>
          <w:b/>
          <w:bCs/>
        </w:rPr>
        <w:t>(f)</w:t>
      </w:r>
      <w:r>
        <w:rPr>
          <w:b/>
          <w:bCs/>
        </w:rPr>
        <w:tab/>
      </w:r>
      <w:r w:rsidR="00D424D4" w:rsidRPr="00F37DE9">
        <w:rPr>
          <w:b/>
          <w:bCs/>
        </w:rPr>
        <w:t>Provide</w:t>
      </w:r>
      <w:r w:rsidR="002924AE" w:rsidRPr="00F37DE9">
        <w:rPr>
          <w:b/>
          <w:bCs/>
        </w:rPr>
        <w:t>, in its next periodic report, information on measures taken in this regard and their impact on de facto exercises of freedom of religion by minority groups.</w:t>
      </w:r>
    </w:p>
    <w:p w:rsidR="002924AE" w:rsidRPr="000334BD" w:rsidRDefault="00F37DE9" w:rsidP="00D424D4">
      <w:pPr>
        <w:pStyle w:val="SingleTxtG"/>
      </w:pPr>
      <w:r>
        <w:t>1</w:t>
      </w:r>
      <w:r w:rsidR="007D7863">
        <w:t>5</w:t>
      </w:r>
      <w:r>
        <w:t>.</w:t>
      </w:r>
      <w:r>
        <w:tab/>
      </w:r>
      <w:r w:rsidR="002924AE" w:rsidRPr="000334BD">
        <w:t>The Committee, while noting the various measures and initiatives taken by the State party in favour of Roma including the 2007-2010 Action Plan in support of the Roma population, remains concerned about the continued marginalization and precarious socio–economic situation of members of this minority, and the discrimination with which they are faced, including in the fields of education, housing, health</w:t>
      </w:r>
      <w:r w:rsidR="00491BE6">
        <w:t xml:space="preserve"> and</w:t>
      </w:r>
      <w:r w:rsidR="002924AE" w:rsidRPr="000334BD">
        <w:t xml:space="preserve"> employment. The Committee also regrets the lack of resources to effectively implement the 2007-2010 Action Plan (arts. 2 and 5).</w:t>
      </w:r>
    </w:p>
    <w:p w:rsidR="002924AE" w:rsidRPr="00F37DE9" w:rsidRDefault="002924AE" w:rsidP="00613AB9">
      <w:pPr>
        <w:pStyle w:val="SingleTxtG"/>
        <w:ind w:firstLine="567"/>
        <w:rPr>
          <w:b/>
          <w:bCs/>
          <w:lang w:val="en-US"/>
        </w:rPr>
      </w:pPr>
      <w:r w:rsidRPr="00F37DE9">
        <w:rPr>
          <w:b/>
          <w:bCs/>
          <w:lang w:val="en-US"/>
        </w:rPr>
        <w:t>The Committee urges the State party to enhance its efforts aimed at combating discrimination against Roma. In light of its general recommendations No</w:t>
      </w:r>
      <w:r w:rsidR="00613AB9">
        <w:rPr>
          <w:b/>
          <w:bCs/>
          <w:lang w:val="en-US"/>
        </w:rPr>
        <w:t>s</w:t>
      </w:r>
      <w:r w:rsidRPr="00F37DE9">
        <w:rPr>
          <w:b/>
          <w:bCs/>
          <w:lang w:val="en-US"/>
        </w:rPr>
        <w:t xml:space="preserve">. 27 (2000) on discrimination against Roma and </w:t>
      </w:r>
      <w:hyperlink r:id="rId8" w:tgtFrame="_blank" w:history="1"/>
      <w:r w:rsidRPr="00F37DE9">
        <w:rPr>
          <w:b/>
          <w:bCs/>
        </w:rPr>
        <w:t>32 (2009) on t</w:t>
      </w:r>
      <w:r w:rsidRPr="00F37DE9">
        <w:rPr>
          <w:b/>
          <w:bCs/>
          <w:lang w:val="en-US"/>
        </w:rPr>
        <w:t>he meaning and scope of special measures in the</w:t>
      </w:r>
      <w:r w:rsidRPr="00F37DE9">
        <w:rPr>
          <w:b/>
          <w:bCs/>
        </w:rPr>
        <w:t xml:space="preserve"> International Convention on the Elimination of </w:t>
      </w:r>
      <w:r w:rsidR="003162C8">
        <w:rPr>
          <w:b/>
          <w:bCs/>
        </w:rPr>
        <w:t xml:space="preserve">All Forms of </w:t>
      </w:r>
      <w:r w:rsidRPr="00F37DE9">
        <w:rPr>
          <w:b/>
          <w:bCs/>
        </w:rPr>
        <w:t>Racial Discrimination</w:t>
      </w:r>
      <w:r w:rsidRPr="00F37DE9">
        <w:rPr>
          <w:b/>
          <w:bCs/>
          <w:lang w:val="en-US"/>
        </w:rPr>
        <w:t>,</w:t>
      </w:r>
      <w:r w:rsidRPr="00F37DE9">
        <w:rPr>
          <w:b/>
          <w:bCs/>
        </w:rPr>
        <w:t xml:space="preserve"> the Committee </w:t>
      </w:r>
      <w:r w:rsidRPr="00F37DE9">
        <w:rPr>
          <w:b/>
          <w:bCs/>
          <w:lang w:val="en-US"/>
        </w:rPr>
        <w:t xml:space="preserve">recommends </w:t>
      </w:r>
      <w:r w:rsidR="00D424D4">
        <w:rPr>
          <w:b/>
          <w:bCs/>
          <w:lang w:val="en-US"/>
        </w:rPr>
        <w:t xml:space="preserve">that </w:t>
      </w:r>
      <w:r w:rsidRPr="00F37DE9">
        <w:rPr>
          <w:b/>
          <w:bCs/>
          <w:lang w:val="en-US"/>
        </w:rPr>
        <w:t>the State party ensure that special measures and programmes in favour of Roma,</w:t>
      </w:r>
      <w:r w:rsidRPr="00D424D4">
        <w:rPr>
          <w:b/>
          <w:bCs/>
          <w:lang w:val="en-US"/>
        </w:rPr>
        <w:t xml:space="preserve"> inter alia th</w:t>
      </w:r>
      <w:r w:rsidRPr="00F37DE9">
        <w:rPr>
          <w:b/>
          <w:bCs/>
          <w:lang w:val="en-US"/>
        </w:rPr>
        <w:t xml:space="preserve">e new Action Plan for 2011-2014, are designed and implemented on the basis of need, that sufficient resources are allocated and implementation monitored. </w:t>
      </w:r>
    </w:p>
    <w:p w:rsidR="002924AE" w:rsidRPr="000334BD" w:rsidRDefault="00F37DE9" w:rsidP="00D424D4">
      <w:pPr>
        <w:pStyle w:val="SingleTxtG"/>
      </w:pPr>
      <w:r>
        <w:t>1</w:t>
      </w:r>
      <w:r w:rsidR="007D7863">
        <w:t>6</w:t>
      </w:r>
      <w:r>
        <w:t>.</w:t>
      </w:r>
      <w:r>
        <w:tab/>
      </w:r>
      <w:r w:rsidR="002924AE" w:rsidRPr="000334BD">
        <w:t xml:space="preserve">The Committee, noting the importance of linguistic integration in </w:t>
      </w:r>
      <w:smartTag w:uri="urn:schemas-microsoft-com:office:smarttags" w:element="place">
        <w:smartTag w:uri="urn:schemas-microsoft-com:office:smarttags" w:element="country-region">
          <w:r w:rsidR="002924AE" w:rsidRPr="000334BD">
            <w:t>Moldova</w:t>
          </w:r>
        </w:smartTag>
      </w:smartTag>
      <w:r w:rsidR="002924AE" w:rsidRPr="000334BD">
        <w:t xml:space="preserve"> and the requirements for the knowledge of the State language and Russian to work in public service</w:t>
      </w:r>
      <w:r w:rsidR="00D424D4" w:rsidRPr="000334BD">
        <w:t xml:space="preserve"> </w:t>
      </w:r>
      <w:r w:rsidR="00D424D4" w:rsidRPr="00236F2F">
        <w:t>(art.5)</w:t>
      </w:r>
      <w:r w:rsidR="002924AE" w:rsidRPr="00236F2F">
        <w:t>, expresses its c</w:t>
      </w:r>
      <w:r w:rsidR="002924AE" w:rsidRPr="000334BD">
        <w:t>oncern at:</w:t>
      </w:r>
    </w:p>
    <w:p w:rsidR="007D7863" w:rsidRDefault="00F37DE9" w:rsidP="007D7863">
      <w:pPr>
        <w:pStyle w:val="SingleTxtG"/>
        <w:ind w:firstLine="567"/>
      </w:pPr>
      <w:r>
        <w:t>(a)</w:t>
      </w:r>
      <w:r>
        <w:tab/>
      </w:r>
      <w:r w:rsidR="00D424D4" w:rsidRPr="000334BD">
        <w:t>The</w:t>
      </w:r>
      <w:r w:rsidR="002924AE" w:rsidRPr="000334BD">
        <w:t xml:space="preserve"> persistent difficulties faced in the labour market and in their participation in public administration by persons belonging to minority groups; </w:t>
      </w:r>
    </w:p>
    <w:p w:rsidR="002924AE" w:rsidRDefault="00F37DE9" w:rsidP="00D424D4">
      <w:pPr>
        <w:pStyle w:val="SingleTxtG"/>
        <w:ind w:firstLine="567"/>
      </w:pPr>
      <w:r>
        <w:t>(b)</w:t>
      </w:r>
      <w:r>
        <w:tab/>
      </w:r>
      <w:r w:rsidR="00D424D4" w:rsidRPr="000334BD">
        <w:t>The</w:t>
      </w:r>
      <w:r w:rsidR="002924AE" w:rsidRPr="000334BD">
        <w:t xml:space="preserve"> very low level of participation in political life and the limited representation in Parliament</w:t>
      </w:r>
      <w:r w:rsidR="002924AE">
        <w:t xml:space="preserve"> </w:t>
      </w:r>
      <w:r w:rsidR="002924AE" w:rsidRPr="000334BD">
        <w:t>of certain minorities</w:t>
      </w:r>
      <w:r w:rsidR="002924AE">
        <w:t>,</w:t>
      </w:r>
      <w:r w:rsidR="002924AE" w:rsidRPr="000334BD">
        <w:t xml:space="preserve"> in particular Roma</w:t>
      </w:r>
      <w:r w:rsidR="002924AE">
        <w:t>;</w:t>
      </w:r>
      <w:r w:rsidR="002924AE" w:rsidRPr="000334BD">
        <w:t xml:space="preserve"> </w:t>
      </w:r>
    </w:p>
    <w:p w:rsidR="002924AE" w:rsidRDefault="00F37DE9" w:rsidP="00D424D4">
      <w:pPr>
        <w:pStyle w:val="SingleTxtG"/>
        <w:ind w:firstLine="567"/>
      </w:pPr>
      <w:r>
        <w:t>(c)</w:t>
      </w:r>
      <w:r>
        <w:tab/>
      </w:r>
      <w:r w:rsidR="00D424D4">
        <w:t>T</w:t>
      </w:r>
      <w:r w:rsidR="00D424D4" w:rsidRPr="000334BD">
        <w:t xml:space="preserve">he </w:t>
      </w:r>
      <w:r w:rsidR="002924AE" w:rsidRPr="000334BD">
        <w:t xml:space="preserve">absence of </w:t>
      </w:r>
      <w:r w:rsidR="002924AE">
        <w:t xml:space="preserve">a </w:t>
      </w:r>
      <w:r w:rsidR="002924AE" w:rsidRPr="000334BD">
        <w:t>mec</w:t>
      </w:r>
      <w:r w:rsidR="002924AE" w:rsidRPr="001D2204">
        <w:t>hanism for the implementation of article</w:t>
      </w:r>
      <w:r w:rsidR="00FE7A82">
        <w:t xml:space="preserve"> </w:t>
      </w:r>
      <w:r w:rsidR="002924AE" w:rsidRPr="001D2204">
        <w:t>24 of Act No. 382-XV of 19 July 2001 on the rights of members of ethnic minorities and the legal status of their organizations, under which ethnic minorities are entitled to approximately proportional representation at all levels of the executive and the judiciary</w:t>
      </w:r>
      <w:r w:rsidR="002924AE">
        <w:t xml:space="preserve"> </w:t>
      </w:r>
      <w:r w:rsidR="002924AE" w:rsidRPr="00B65EAB">
        <w:rPr>
          <w:bCs/>
        </w:rPr>
        <w:t>(CERD/C/MDA/8-9, para. 102)</w:t>
      </w:r>
      <w:r w:rsidR="002924AE" w:rsidRPr="001D2204">
        <w:t>.</w:t>
      </w:r>
    </w:p>
    <w:p w:rsidR="002924AE" w:rsidRPr="00F37DE9" w:rsidRDefault="002924AE" w:rsidP="00D424D4">
      <w:pPr>
        <w:pStyle w:val="SingleTxtG"/>
        <w:ind w:firstLine="567"/>
        <w:rPr>
          <w:b/>
          <w:bCs/>
        </w:rPr>
      </w:pPr>
      <w:r w:rsidRPr="00F37DE9">
        <w:rPr>
          <w:b/>
          <w:bCs/>
        </w:rPr>
        <w:t xml:space="preserve">The Committee recommends </w:t>
      </w:r>
      <w:r w:rsidR="00D424D4">
        <w:rPr>
          <w:b/>
          <w:bCs/>
        </w:rPr>
        <w:t xml:space="preserve">that </w:t>
      </w:r>
      <w:r w:rsidRPr="00F37DE9">
        <w:rPr>
          <w:b/>
          <w:bCs/>
        </w:rPr>
        <w:t>the State party:</w:t>
      </w:r>
    </w:p>
    <w:p w:rsidR="002924AE" w:rsidRPr="00F37DE9" w:rsidRDefault="00F37DE9" w:rsidP="00D424D4">
      <w:pPr>
        <w:pStyle w:val="SingleTxtG"/>
        <w:ind w:firstLine="567"/>
        <w:rPr>
          <w:b/>
          <w:bCs/>
        </w:rPr>
      </w:pPr>
      <w:r>
        <w:rPr>
          <w:b/>
          <w:bCs/>
        </w:rPr>
        <w:t>(a)</w:t>
      </w:r>
      <w:r>
        <w:rPr>
          <w:b/>
          <w:bCs/>
        </w:rPr>
        <w:tab/>
      </w:r>
      <w:r w:rsidR="00D424D4">
        <w:rPr>
          <w:b/>
          <w:bCs/>
        </w:rPr>
        <w:t>E</w:t>
      </w:r>
      <w:r w:rsidR="00D424D4" w:rsidRPr="00F37DE9">
        <w:rPr>
          <w:b/>
          <w:bCs/>
        </w:rPr>
        <w:t xml:space="preserve">xtend </w:t>
      </w:r>
      <w:r w:rsidR="002924AE" w:rsidRPr="00F37DE9">
        <w:rPr>
          <w:b/>
          <w:bCs/>
        </w:rPr>
        <w:t>free training programmes of the State language</w:t>
      </w:r>
      <w:r w:rsidR="007D7863">
        <w:rPr>
          <w:b/>
          <w:bCs/>
        </w:rPr>
        <w:t xml:space="preserve"> and official languages, especially the Gagauz language, </w:t>
      </w:r>
      <w:r w:rsidR="002924AE" w:rsidRPr="00F37DE9">
        <w:rPr>
          <w:b/>
          <w:bCs/>
        </w:rPr>
        <w:t xml:space="preserve">to those who are willing to learn and ensure the effective implementation of the relevant positive measures including the project “training for linguistic minorities in Moldova”; </w:t>
      </w:r>
    </w:p>
    <w:p w:rsidR="002924AE" w:rsidRPr="005C5A07" w:rsidRDefault="00F37DE9" w:rsidP="008F5F3E">
      <w:pPr>
        <w:pStyle w:val="SingleTxtG"/>
        <w:ind w:firstLine="567"/>
        <w:rPr>
          <w:b/>
          <w:bCs/>
        </w:rPr>
      </w:pPr>
      <w:r>
        <w:rPr>
          <w:b/>
          <w:bCs/>
        </w:rPr>
        <w:t>(b)</w:t>
      </w:r>
      <w:r>
        <w:rPr>
          <w:b/>
          <w:bCs/>
        </w:rPr>
        <w:tab/>
      </w:r>
      <w:r w:rsidR="00D424D4" w:rsidRPr="00F37DE9">
        <w:rPr>
          <w:b/>
          <w:bCs/>
        </w:rPr>
        <w:t>Ensure</w:t>
      </w:r>
      <w:r w:rsidR="002924AE" w:rsidRPr="00F37DE9">
        <w:rPr>
          <w:b/>
          <w:bCs/>
        </w:rPr>
        <w:t xml:space="preserve"> greater participation in public life, including in public administration and Parliament, by members of minorities, in part</w:t>
      </w:r>
      <w:r w:rsidR="002924AE" w:rsidRPr="005C5A07">
        <w:rPr>
          <w:b/>
          <w:bCs/>
        </w:rPr>
        <w:t xml:space="preserve">icular Roma; </w:t>
      </w:r>
    </w:p>
    <w:p w:rsidR="002924AE" w:rsidRPr="00F37DE9" w:rsidRDefault="00F37DE9" w:rsidP="00D424D4">
      <w:pPr>
        <w:pStyle w:val="SingleTxtG"/>
        <w:ind w:firstLine="567"/>
        <w:rPr>
          <w:b/>
          <w:bCs/>
        </w:rPr>
      </w:pPr>
      <w:r w:rsidRPr="005C5A07">
        <w:rPr>
          <w:b/>
          <w:bCs/>
        </w:rPr>
        <w:t>(c)</w:t>
      </w:r>
      <w:r w:rsidRPr="005C5A07">
        <w:rPr>
          <w:b/>
          <w:bCs/>
        </w:rPr>
        <w:tab/>
      </w:r>
      <w:r w:rsidR="00D424D4" w:rsidRPr="005C5A07">
        <w:rPr>
          <w:b/>
          <w:bCs/>
        </w:rPr>
        <w:t xml:space="preserve">Consider </w:t>
      </w:r>
      <w:r w:rsidR="002924AE" w:rsidRPr="005C5A07">
        <w:rPr>
          <w:b/>
          <w:bCs/>
        </w:rPr>
        <w:t>establishing a mechanism of the implementation of article 24 of Act No. 382-XV of 19 July 2001 with a view to ensur</w:t>
      </w:r>
      <w:r w:rsidR="00D424D4" w:rsidRPr="005C5A07">
        <w:rPr>
          <w:b/>
          <w:bCs/>
        </w:rPr>
        <w:t>ing</w:t>
      </w:r>
      <w:r w:rsidR="002924AE" w:rsidRPr="005C5A07">
        <w:rPr>
          <w:b/>
          <w:bCs/>
        </w:rPr>
        <w:t xml:space="preserve"> without d</w:t>
      </w:r>
      <w:r w:rsidR="002924AE" w:rsidRPr="00F37DE9">
        <w:rPr>
          <w:b/>
          <w:bCs/>
        </w:rPr>
        <w:t>elay proportional representation of ethnic minorities in all levels of the executive and the judiciary.</w:t>
      </w:r>
    </w:p>
    <w:p w:rsidR="002924AE" w:rsidRPr="000334BD" w:rsidRDefault="00F37DE9" w:rsidP="007D7863">
      <w:pPr>
        <w:pStyle w:val="SingleTxtG"/>
      </w:pPr>
      <w:r>
        <w:t>1</w:t>
      </w:r>
      <w:r w:rsidR="007D7863">
        <w:t>7</w:t>
      </w:r>
      <w:r>
        <w:t>.</w:t>
      </w:r>
      <w:r>
        <w:tab/>
      </w:r>
      <w:r w:rsidR="002924AE" w:rsidRPr="000334BD">
        <w:t xml:space="preserve">The Committee is concerned about the lack of </w:t>
      </w:r>
      <w:r w:rsidR="002924AE">
        <w:t>acknowledgement</w:t>
      </w:r>
      <w:r w:rsidR="002924AE" w:rsidRPr="000334BD">
        <w:t xml:space="preserve"> of</w:t>
      </w:r>
      <w:r w:rsidR="002924AE">
        <w:t xml:space="preserve"> the existence of</w:t>
      </w:r>
      <w:r w:rsidR="002924AE" w:rsidRPr="000334BD">
        <w:t xml:space="preserve"> racial discrimination among some media, politicians and members of religious groups. The Committee regrets the persistence of negative societal attitudes and stereotypes against Roma and other persons of minority ethnic origin (art. 7).</w:t>
      </w:r>
    </w:p>
    <w:p w:rsidR="002924AE" w:rsidRPr="00F37DE9" w:rsidRDefault="002924AE" w:rsidP="00993BF0">
      <w:pPr>
        <w:pStyle w:val="SingleTxtG"/>
        <w:ind w:firstLine="567"/>
        <w:rPr>
          <w:b/>
          <w:bCs/>
        </w:rPr>
      </w:pPr>
      <w:r w:rsidRPr="00F37DE9">
        <w:rPr>
          <w:b/>
          <w:bCs/>
        </w:rPr>
        <w:t xml:space="preserve">The Committee recommends that the State party increase its efforts, in the fields of teaching, education, culture and information, to combat prejudices, including among public servants, against ethnic minorities such as Roma. </w:t>
      </w:r>
      <w:r w:rsidR="000B66E6" w:rsidRPr="000B66E6">
        <w:rPr>
          <w:b/>
          <w:bCs/>
        </w:rPr>
        <w:t xml:space="preserve">The Committee emphasizes the particular role of the education system and the media – and above </w:t>
      </w:r>
      <w:r w:rsidR="00491BE6">
        <w:rPr>
          <w:b/>
          <w:bCs/>
        </w:rPr>
        <w:t xml:space="preserve">all </w:t>
      </w:r>
      <w:r w:rsidR="000B66E6" w:rsidRPr="000B66E6">
        <w:rPr>
          <w:b/>
          <w:bCs/>
        </w:rPr>
        <w:t>the state media – in ending stereotypes and promoting respect for diversity. The Committee urges the political leadership to emphasize publicly the values of equality</w:t>
      </w:r>
      <w:r w:rsidR="00491BE6">
        <w:rPr>
          <w:b/>
          <w:bCs/>
        </w:rPr>
        <w:t xml:space="preserve"> and</w:t>
      </w:r>
      <w:r w:rsidR="000B66E6" w:rsidRPr="000B66E6">
        <w:rPr>
          <w:b/>
          <w:bCs/>
        </w:rPr>
        <w:t xml:space="preserve"> non-discrimination. </w:t>
      </w:r>
      <w:r w:rsidRPr="00F37DE9">
        <w:rPr>
          <w:b/>
          <w:bCs/>
        </w:rPr>
        <w:t>The Committee further recommends that the State party allocate adequate</w:t>
      </w:r>
      <w:r w:rsidRPr="00F37DE9">
        <w:rPr>
          <w:b/>
          <w:bCs/>
          <w:lang w:val="en-US" w:eastAsia="zh-CN"/>
        </w:rPr>
        <w:t xml:space="preserve"> financial and human resources to the Bureau for Interethnic Relations with a view to promoting </w:t>
      </w:r>
      <w:r w:rsidRPr="00F37DE9">
        <w:rPr>
          <w:b/>
          <w:bCs/>
        </w:rPr>
        <w:t>tolerance and respect for their cultures and history and to fostering inter-cultural dialogue among the different ethnic groups in Moldova.</w:t>
      </w:r>
    </w:p>
    <w:p w:rsidR="002924AE" w:rsidRPr="006F1006" w:rsidRDefault="00F37DE9" w:rsidP="00974A6B">
      <w:pPr>
        <w:pStyle w:val="SingleTxtG"/>
      </w:pPr>
      <w:r>
        <w:t>1</w:t>
      </w:r>
      <w:r w:rsidR="007D7863">
        <w:t>8</w:t>
      </w:r>
      <w:r>
        <w:t>.</w:t>
      </w:r>
      <w:r>
        <w:tab/>
      </w:r>
      <w:r w:rsidR="002924AE" w:rsidRPr="000334BD">
        <w:t>Bearing in mind the indivisibility of all human rights, the Committee encourages the State party to consider ratifying those international human rights treaties which it has not yet ratified</w:t>
      </w:r>
      <w:r w:rsidR="002924AE">
        <w:rPr>
          <w:rFonts w:hint="eastAsia"/>
        </w:rPr>
        <w:t>,</w:t>
      </w:r>
      <w:r w:rsidR="002924AE">
        <w:rPr>
          <w:rFonts w:hint="eastAsia"/>
          <w:lang w:eastAsia="ko-KR"/>
        </w:rPr>
        <w:t xml:space="preserve"> in </w:t>
      </w:r>
      <w:r w:rsidR="000B66E6">
        <w:rPr>
          <w:lang w:eastAsia="ko-KR"/>
        </w:rPr>
        <w:t>particular</w:t>
      </w:r>
      <w:r w:rsidR="002924AE" w:rsidRPr="006F1006">
        <w:t xml:space="preserve"> the </w:t>
      </w:r>
      <w:r w:rsidR="00FE7A82">
        <w:t xml:space="preserve">1990 </w:t>
      </w:r>
      <w:r w:rsidR="002924AE" w:rsidRPr="006F1006">
        <w:t>International Convention on the Protection of the Rights of All Migrant Workers and Members of Their Families.</w:t>
      </w:r>
    </w:p>
    <w:p w:rsidR="002924AE" w:rsidRPr="000334BD" w:rsidRDefault="00F37DE9" w:rsidP="007D7863">
      <w:pPr>
        <w:pStyle w:val="SingleTxtG"/>
      </w:pPr>
      <w:r>
        <w:t>1</w:t>
      </w:r>
      <w:r w:rsidR="007D7863">
        <w:t>9</w:t>
      </w:r>
      <w:r>
        <w:t>.</w:t>
      </w:r>
      <w:r>
        <w:tab/>
      </w:r>
      <w:r w:rsidR="002924AE" w:rsidRPr="000334BD">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2924AE" w:rsidRPr="000334BD" w:rsidRDefault="007D7863" w:rsidP="003F6466">
      <w:pPr>
        <w:pStyle w:val="SingleTxtG"/>
      </w:pPr>
      <w:r>
        <w:t>20</w:t>
      </w:r>
      <w:r w:rsidR="00F37DE9">
        <w:t>.</w:t>
      </w:r>
      <w:r w:rsidR="00F37DE9">
        <w:tab/>
      </w:r>
      <w:r w:rsidR="002924AE" w:rsidRPr="000334BD">
        <w:t xml:space="preserve">The Committee recommends that the State party undertake and publicize adequately an appropriate programme of activities to commemorate 2011 as the International Year for People of African Descent, as proclaimed by the General Assembly </w:t>
      </w:r>
      <w:r w:rsidR="003F6466">
        <w:t xml:space="preserve">in its resolution 64/169 </w:t>
      </w:r>
      <w:r w:rsidR="002924AE" w:rsidRPr="000334BD">
        <w:t>of 18 December 2009.</w:t>
      </w:r>
    </w:p>
    <w:p w:rsidR="002924AE" w:rsidRPr="000334BD" w:rsidRDefault="00F37DE9" w:rsidP="007D7863">
      <w:pPr>
        <w:pStyle w:val="SingleTxtG"/>
      </w:pPr>
      <w:r>
        <w:t>2</w:t>
      </w:r>
      <w:r w:rsidR="007D7863">
        <w:t>1</w:t>
      </w:r>
      <w:r>
        <w:t>.</w:t>
      </w:r>
      <w:r>
        <w:tab/>
      </w:r>
      <w:r w:rsidR="002924AE" w:rsidRPr="000334BD">
        <w:t>The Committee recommends that the State party expand its dialogue with organizations of civil society working in the area of human rights protection, in particular in combating racial discrimination, in connection with the preparation of the next periodic report.</w:t>
      </w:r>
    </w:p>
    <w:p w:rsidR="002924AE" w:rsidRPr="000334BD" w:rsidRDefault="00F37DE9" w:rsidP="003F6466">
      <w:pPr>
        <w:pStyle w:val="SingleTxtG"/>
      </w:pPr>
      <w:r>
        <w:t>2</w:t>
      </w:r>
      <w:r w:rsidR="007D7863">
        <w:t>2</w:t>
      </w:r>
      <w:r>
        <w:t>.</w:t>
      </w:r>
      <w:r>
        <w:tab/>
      </w:r>
      <w:r w:rsidR="002924AE" w:rsidRPr="000334BD">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w:t>
      </w:r>
      <w:r w:rsidR="003F6466">
        <w:t>s</w:t>
      </w:r>
      <w:r w:rsidR="002924AE" w:rsidRPr="000334BD">
        <w:t xml:space="preserve"> 61/148 and 63/243, in which the General </w:t>
      </w:r>
      <w:r w:rsidR="003F6466" w:rsidRPr="000334BD">
        <w:t xml:space="preserve">Assembly </w:t>
      </w:r>
      <w:r w:rsidR="002924AE" w:rsidRPr="000334BD">
        <w:t xml:space="preserve">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2924AE" w:rsidRPr="000334BD" w:rsidRDefault="00F37DE9" w:rsidP="007D7863">
      <w:pPr>
        <w:pStyle w:val="SingleTxtG"/>
      </w:pPr>
      <w:r>
        <w:t>2</w:t>
      </w:r>
      <w:r w:rsidR="007D7863">
        <w:t>3</w:t>
      </w:r>
      <w:r>
        <w:t>.</w:t>
      </w:r>
      <w:r>
        <w:tab/>
      </w:r>
      <w:r w:rsidR="002924AE" w:rsidRPr="000334BD">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2924AE" w:rsidRPr="000334BD" w:rsidRDefault="00F37DE9" w:rsidP="003F6466">
      <w:pPr>
        <w:pStyle w:val="SingleTxtG"/>
      </w:pPr>
      <w:r>
        <w:t>2</w:t>
      </w:r>
      <w:r w:rsidR="007D7863">
        <w:t>4</w:t>
      </w:r>
      <w:r>
        <w:t>.</w:t>
      </w:r>
      <w:r>
        <w:tab/>
      </w:r>
      <w:r w:rsidR="002924AE" w:rsidRPr="000334BD">
        <w:t xml:space="preserve">Noting that the State </w:t>
      </w:r>
      <w:r w:rsidR="003F6466">
        <w:t>p</w:t>
      </w:r>
      <w:r w:rsidR="003F6466" w:rsidRPr="000334BD">
        <w:t xml:space="preserve">arty </w:t>
      </w:r>
      <w:r w:rsidR="002924AE" w:rsidRPr="000334BD">
        <w:t xml:space="preserve">submitted its </w:t>
      </w:r>
      <w:r w:rsidR="003F6466">
        <w:t>c</w:t>
      </w:r>
      <w:r w:rsidR="003F6466" w:rsidRPr="000334BD">
        <w:t xml:space="preserve">ore </w:t>
      </w:r>
      <w:r w:rsidR="003F6466">
        <w:t>d</w:t>
      </w:r>
      <w:r w:rsidR="003F6466" w:rsidRPr="000334BD">
        <w:t xml:space="preserve">ocument </w:t>
      </w:r>
      <w:r w:rsidR="002924AE" w:rsidRPr="000334BD">
        <w:t xml:space="preserve">in 2001, the Committee encourages the State </w:t>
      </w:r>
      <w:r w:rsidR="003F6466">
        <w:t>p</w:t>
      </w:r>
      <w:r w:rsidR="003F6466" w:rsidRPr="000334BD">
        <w:t xml:space="preserve">arty </w:t>
      </w:r>
      <w:r w:rsidR="002924AE" w:rsidRPr="000334BD">
        <w:t xml:space="preserve">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 </w:t>
      </w:r>
    </w:p>
    <w:p w:rsidR="002924AE" w:rsidRPr="000334BD" w:rsidRDefault="00F37DE9" w:rsidP="007D7863">
      <w:pPr>
        <w:pStyle w:val="SingleTxtG"/>
      </w:pPr>
      <w:r>
        <w:t>2</w:t>
      </w:r>
      <w:r w:rsidR="007D7863">
        <w:t>5</w:t>
      </w:r>
      <w:r>
        <w:t>.</w:t>
      </w:r>
      <w:r>
        <w:tab/>
      </w:r>
      <w:r w:rsidR="002924AE" w:rsidRPr="000334BD">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w:t>
      </w:r>
      <w:r w:rsidR="000B66E6">
        <w:t xml:space="preserve"> </w:t>
      </w:r>
      <w:r w:rsidR="007D7863">
        <w:t>9</w:t>
      </w:r>
      <w:r w:rsidR="000B66E6">
        <w:t>, 1</w:t>
      </w:r>
      <w:r w:rsidR="007D7863">
        <w:t>1</w:t>
      </w:r>
      <w:r w:rsidR="000B66E6">
        <w:t>, 1</w:t>
      </w:r>
      <w:r w:rsidR="007D7863">
        <w:t>2</w:t>
      </w:r>
      <w:r w:rsidR="000B66E6">
        <w:t xml:space="preserve"> and 1</w:t>
      </w:r>
      <w:r w:rsidR="007D7863">
        <w:t>4</w:t>
      </w:r>
      <w:r w:rsidR="002924AE" w:rsidRPr="000334BD">
        <w:t xml:space="preserve"> above.</w:t>
      </w:r>
    </w:p>
    <w:p w:rsidR="002924AE" w:rsidRPr="000334BD" w:rsidRDefault="00F37DE9" w:rsidP="007D7863">
      <w:pPr>
        <w:pStyle w:val="SingleTxtG"/>
      </w:pPr>
      <w:r>
        <w:t>2</w:t>
      </w:r>
      <w:r w:rsidR="007D7863">
        <w:t>6</w:t>
      </w:r>
      <w:r>
        <w:t>.</w:t>
      </w:r>
      <w:r>
        <w:tab/>
      </w:r>
      <w:r w:rsidR="002924AE" w:rsidRPr="000334BD">
        <w:t xml:space="preserve">The Committee also wishes to draw the attention of the State party to the particular importance of recommendations </w:t>
      </w:r>
      <w:r w:rsidR="000B66E6">
        <w:t>1</w:t>
      </w:r>
      <w:r w:rsidR="007D7863">
        <w:t>3</w:t>
      </w:r>
      <w:r w:rsidR="000B66E6">
        <w:t xml:space="preserve"> and 1</w:t>
      </w:r>
      <w:r w:rsidR="007D7863">
        <w:t>5</w:t>
      </w:r>
      <w:r w:rsidR="002924AE">
        <w:t xml:space="preserve"> </w:t>
      </w:r>
      <w:r w:rsidR="002924AE" w:rsidRPr="000334BD">
        <w:t>and request</w:t>
      </w:r>
      <w:r w:rsidR="000553C1">
        <w:t>s</w:t>
      </w:r>
      <w:r w:rsidR="002924AE" w:rsidRPr="000334BD">
        <w:t xml:space="preserve"> the State party to provide detailed information in its next periodic report on concrete measures taken to implement these recommendations. </w:t>
      </w:r>
    </w:p>
    <w:p w:rsidR="002924AE" w:rsidRDefault="00F37DE9" w:rsidP="003F6466">
      <w:pPr>
        <w:pStyle w:val="SingleTxtG"/>
      </w:pPr>
      <w:r>
        <w:t>2</w:t>
      </w:r>
      <w:r w:rsidR="007D7863">
        <w:t>7</w:t>
      </w:r>
      <w:r>
        <w:t>.</w:t>
      </w:r>
      <w:r>
        <w:tab/>
      </w:r>
      <w:r w:rsidR="002924AE" w:rsidRPr="000334BD">
        <w:t>The Committee recommends that the State party submit its</w:t>
      </w:r>
      <w:r w:rsidR="000B66E6">
        <w:t xml:space="preserve"> </w:t>
      </w:r>
      <w:r w:rsidR="003F6466">
        <w:t xml:space="preserve">tenth </w:t>
      </w:r>
      <w:r w:rsidR="000B66E6">
        <w:t xml:space="preserve">and </w:t>
      </w:r>
      <w:r w:rsidR="003F6466">
        <w:t xml:space="preserve">eleventh </w:t>
      </w:r>
      <w:r w:rsidR="002924AE" w:rsidRPr="000334BD">
        <w:t xml:space="preserve">periodic reports in a single document, due on </w:t>
      </w:r>
      <w:r w:rsidR="0077761B">
        <w:t>2</w:t>
      </w:r>
      <w:r w:rsidR="000B66E6">
        <w:t>5 February 2014</w:t>
      </w:r>
      <w:r w:rsidR="000B66E6" w:rsidRPr="000334BD">
        <w:t>,</w:t>
      </w:r>
      <w:r w:rsidR="000B66E6">
        <w:t xml:space="preserve"> </w:t>
      </w:r>
      <w:r w:rsidR="002924AE" w:rsidRPr="000334BD">
        <w:t>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 19).</w:t>
      </w:r>
    </w:p>
    <w:p w:rsidR="00F37DE9" w:rsidRDefault="00F37DE9" w:rsidP="002924AE">
      <w:pPr>
        <w:pStyle w:val="SingleTxtG"/>
      </w:pPr>
    </w:p>
    <w:p w:rsidR="00F37DE9" w:rsidRPr="000334BD" w:rsidRDefault="00F37DE9" w:rsidP="00F37DE9">
      <w:pPr>
        <w:pStyle w:val="SingleTxtG"/>
        <w:jc w:val="center"/>
      </w:pPr>
      <w:r>
        <w:t>___________________</w:t>
      </w:r>
    </w:p>
    <w:p w:rsidR="002924AE" w:rsidRPr="000334BD" w:rsidRDefault="002924AE" w:rsidP="002924AE">
      <w:pPr>
        <w:pStyle w:val="References"/>
        <w:spacing w:before="240" w:line="240" w:lineRule="atLeast"/>
        <w:ind w:left="1134" w:right="1134"/>
        <w:jc w:val="center"/>
        <w:rPr>
          <w:color w:val="auto"/>
          <w:szCs w:val="20"/>
          <w:lang w:val="en-GB"/>
        </w:rPr>
      </w:pPr>
    </w:p>
    <w:p w:rsidR="002924AE" w:rsidRPr="002924AE" w:rsidRDefault="002924AE" w:rsidP="002924AE"/>
    <w:p w:rsidR="00961987" w:rsidRPr="00F37DE9" w:rsidRDefault="00961987" w:rsidP="001D26DF"/>
    <w:sectPr w:rsidR="00961987" w:rsidRPr="00F37DE9" w:rsidSect="00F37DE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AC" w:rsidRDefault="00C54DAC"/>
  </w:endnote>
  <w:endnote w:type="continuationSeparator" w:id="0">
    <w:p w:rsidR="00C54DAC" w:rsidRDefault="00C54DAC"/>
  </w:endnote>
  <w:endnote w:type="continuationNotice" w:id="1">
    <w:p w:rsidR="00C54DAC" w:rsidRDefault="00C54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4" w:rsidRPr="00F37DE9" w:rsidRDefault="00E26404" w:rsidP="00F37DE9">
    <w:pPr>
      <w:pStyle w:val="Footer"/>
      <w:tabs>
        <w:tab w:val="right" w:pos="9638"/>
      </w:tabs>
    </w:pPr>
    <w:r w:rsidRPr="00F37DE9">
      <w:rPr>
        <w:b/>
        <w:sz w:val="18"/>
      </w:rPr>
      <w:fldChar w:fldCharType="begin"/>
    </w:r>
    <w:r w:rsidRPr="00F37DE9">
      <w:rPr>
        <w:b/>
        <w:sz w:val="18"/>
      </w:rPr>
      <w:instrText xml:space="preserve"> PAGE  \* MERGEFORMAT </w:instrText>
    </w:r>
    <w:r w:rsidRPr="00F37DE9">
      <w:rPr>
        <w:b/>
        <w:sz w:val="18"/>
      </w:rPr>
      <w:fldChar w:fldCharType="separate"/>
    </w:r>
    <w:r w:rsidR="005211C6">
      <w:rPr>
        <w:b/>
        <w:noProof/>
        <w:sz w:val="18"/>
      </w:rPr>
      <w:t>2</w:t>
    </w:r>
    <w:r w:rsidRPr="00F37DE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4" w:rsidRPr="00F37DE9" w:rsidRDefault="00E26404" w:rsidP="00F37DE9">
    <w:pPr>
      <w:pStyle w:val="Footer"/>
      <w:tabs>
        <w:tab w:val="right" w:pos="9638"/>
      </w:tabs>
      <w:rPr>
        <w:b/>
        <w:sz w:val="18"/>
      </w:rPr>
    </w:pPr>
    <w:r>
      <w:rPr>
        <w:sz w:val="20"/>
      </w:rPr>
      <w:tab/>
    </w:r>
    <w:r w:rsidRPr="00F37DE9">
      <w:rPr>
        <w:b/>
        <w:sz w:val="18"/>
      </w:rPr>
      <w:fldChar w:fldCharType="begin"/>
    </w:r>
    <w:r w:rsidRPr="00F37DE9">
      <w:rPr>
        <w:b/>
        <w:sz w:val="18"/>
      </w:rPr>
      <w:instrText xml:space="preserve"> PAGE  \* MERGEFORMAT </w:instrText>
    </w:r>
    <w:r w:rsidRPr="00F37DE9">
      <w:rPr>
        <w:b/>
        <w:sz w:val="18"/>
      </w:rPr>
      <w:fldChar w:fldCharType="separate"/>
    </w:r>
    <w:r w:rsidR="005211C6">
      <w:rPr>
        <w:b/>
        <w:noProof/>
        <w:sz w:val="18"/>
      </w:rPr>
      <w:t>7</w:t>
    </w:r>
    <w:r w:rsidRPr="00F37D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4" w:rsidRDefault="00E26404">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t>GE.11-</w:t>
    </w:r>
    <w:r w:rsidR="005211C6">
      <w:t>41894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AC" w:rsidRPr="000B175B" w:rsidRDefault="00C54DAC" w:rsidP="000B175B">
      <w:pPr>
        <w:tabs>
          <w:tab w:val="right" w:pos="2155"/>
        </w:tabs>
        <w:spacing w:after="80"/>
        <w:ind w:left="680"/>
        <w:rPr>
          <w:u w:val="single"/>
        </w:rPr>
      </w:pPr>
      <w:r>
        <w:rPr>
          <w:u w:val="single"/>
        </w:rPr>
        <w:tab/>
      </w:r>
    </w:p>
  </w:footnote>
  <w:footnote w:type="continuationSeparator" w:id="0">
    <w:p w:rsidR="00C54DAC" w:rsidRPr="00FC68B7" w:rsidRDefault="00C54DAC" w:rsidP="00FC68B7">
      <w:pPr>
        <w:tabs>
          <w:tab w:val="left" w:pos="2155"/>
        </w:tabs>
        <w:spacing w:after="80"/>
        <w:ind w:left="680"/>
        <w:rPr>
          <w:u w:val="single"/>
        </w:rPr>
      </w:pPr>
      <w:r>
        <w:rPr>
          <w:u w:val="single"/>
        </w:rPr>
        <w:tab/>
      </w:r>
    </w:p>
  </w:footnote>
  <w:footnote w:type="continuationNotice" w:id="1">
    <w:p w:rsidR="00C54DAC" w:rsidRDefault="00C54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4" w:rsidRPr="00F37DE9" w:rsidRDefault="00E26404">
    <w:pPr>
      <w:pStyle w:val="Header"/>
    </w:pPr>
    <w:r>
      <w:t>CERD/C/MDA/CO/8-9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04" w:rsidRPr="00F37DE9" w:rsidRDefault="00E26404" w:rsidP="00201037">
    <w:pPr>
      <w:pStyle w:val="Header"/>
      <w:jc w:val="right"/>
    </w:pPr>
    <w:r>
      <w:t>CERD/C/MDA/CO/8-9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C6" w:rsidRDefault="0052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7CA"/>
    <w:multiLevelType w:val="hybridMultilevel"/>
    <w:tmpl w:val="DAA80FCC"/>
    <w:lvl w:ilvl="0" w:tplc="F4C601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E583AF3"/>
    <w:multiLevelType w:val="hybridMultilevel"/>
    <w:tmpl w:val="745EBDF0"/>
    <w:lvl w:ilvl="0" w:tplc="F4C601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4456B1"/>
    <w:multiLevelType w:val="hybridMultilevel"/>
    <w:tmpl w:val="020E344E"/>
    <w:lvl w:ilvl="0" w:tplc="F4C601F8">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59C3C2F"/>
    <w:multiLevelType w:val="hybridMultilevel"/>
    <w:tmpl w:val="C9D69BFE"/>
    <w:lvl w:ilvl="0" w:tplc="0B7CF5A6">
      <w:start w:val="1"/>
      <w:numFmt w:val="decimal"/>
      <w:pStyle w:val="CERDCOBspara"/>
      <w:lvlText w:val="%1."/>
      <w:lvlJc w:val="left"/>
      <w:pPr>
        <w:tabs>
          <w:tab w:val="num" w:pos="1701"/>
        </w:tabs>
        <w:ind w:left="1701" w:hanging="567"/>
      </w:pPr>
      <w:rPr>
        <w:rFonts w:ascii="Times New Roman" w:hAnsi="Times New Roman" w:hint="default"/>
        <w:b w:val="0"/>
        <w:bCs/>
        <w:i w:val="0"/>
        <w:strike w:val="0"/>
        <w:dstrike w:val="0"/>
        <w:sz w:val="20"/>
        <w:szCs w:val="20"/>
        <w:vertAlign w:val="baseline"/>
      </w:rPr>
    </w:lvl>
    <w:lvl w:ilvl="1" w:tplc="F4C601F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02866"/>
    <w:rsid w:val="00014B8E"/>
    <w:rsid w:val="00032FF2"/>
    <w:rsid w:val="00050F6B"/>
    <w:rsid w:val="000551DC"/>
    <w:rsid w:val="000553C1"/>
    <w:rsid w:val="00072C8C"/>
    <w:rsid w:val="000733B5"/>
    <w:rsid w:val="00077485"/>
    <w:rsid w:val="000931C0"/>
    <w:rsid w:val="000A5D3B"/>
    <w:rsid w:val="000B175B"/>
    <w:rsid w:val="000B3A0F"/>
    <w:rsid w:val="000B4EF7"/>
    <w:rsid w:val="000B66E6"/>
    <w:rsid w:val="000C1462"/>
    <w:rsid w:val="000C2D2E"/>
    <w:rsid w:val="000D5C87"/>
    <w:rsid w:val="000E0415"/>
    <w:rsid w:val="001103AA"/>
    <w:rsid w:val="0012315A"/>
    <w:rsid w:val="00130D0E"/>
    <w:rsid w:val="001358B3"/>
    <w:rsid w:val="00155467"/>
    <w:rsid w:val="00180D95"/>
    <w:rsid w:val="0018711F"/>
    <w:rsid w:val="001B4B04"/>
    <w:rsid w:val="001C6663"/>
    <w:rsid w:val="001C7895"/>
    <w:rsid w:val="001D26DF"/>
    <w:rsid w:val="001D4AA7"/>
    <w:rsid w:val="001E5AA0"/>
    <w:rsid w:val="00201037"/>
    <w:rsid w:val="00202DA8"/>
    <w:rsid w:val="00211E0B"/>
    <w:rsid w:val="002128E2"/>
    <w:rsid w:val="00220FEA"/>
    <w:rsid w:val="0023274F"/>
    <w:rsid w:val="00236F2F"/>
    <w:rsid w:val="00283BA6"/>
    <w:rsid w:val="002924AE"/>
    <w:rsid w:val="002B0464"/>
    <w:rsid w:val="002C58DC"/>
    <w:rsid w:val="002C5A3C"/>
    <w:rsid w:val="002D738B"/>
    <w:rsid w:val="002F175C"/>
    <w:rsid w:val="002F178F"/>
    <w:rsid w:val="003162C8"/>
    <w:rsid w:val="003229D8"/>
    <w:rsid w:val="003257C7"/>
    <w:rsid w:val="003305AB"/>
    <w:rsid w:val="00352709"/>
    <w:rsid w:val="00357842"/>
    <w:rsid w:val="00371178"/>
    <w:rsid w:val="003A4810"/>
    <w:rsid w:val="003A6810"/>
    <w:rsid w:val="003B4E47"/>
    <w:rsid w:val="003B61C9"/>
    <w:rsid w:val="003C2CC4"/>
    <w:rsid w:val="003D4B23"/>
    <w:rsid w:val="003F6466"/>
    <w:rsid w:val="004034EC"/>
    <w:rsid w:val="00403BBD"/>
    <w:rsid w:val="00405DDC"/>
    <w:rsid w:val="00407F06"/>
    <w:rsid w:val="00410C89"/>
    <w:rsid w:val="00411ED6"/>
    <w:rsid w:val="00423D96"/>
    <w:rsid w:val="004325CB"/>
    <w:rsid w:val="0045495B"/>
    <w:rsid w:val="00481564"/>
    <w:rsid w:val="00491BE6"/>
    <w:rsid w:val="00493BE4"/>
    <w:rsid w:val="004D25E4"/>
    <w:rsid w:val="00517B36"/>
    <w:rsid w:val="005211C6"/>
    <w:rsid w:val="00523650"/>
    <w:rsid w:val="005420F2"/>
    <w:rsid w:val="00590A92"/>
    <w:rsid w:val="005B3DB3"/>
    <w:rsid w:val="005B697F"/>
    <w:rsid w:val="005C5A07"/>
    <w:rsid w:val="005C6A79"/>
    <w:rsid w:val="006001EE"/>
    <w:rsid w:val="00600248"/>
    <w:rsid w:val="00611FC4"/>
    <w:rsid w:val="00613AB9"/>
    <w:rsid w:val="006176FB"/>
    <w:rsid w:val="00640B26"/>
    <w:rsid w:val="00685A4F"/>
    <w:rsid w:val="00693855"/>
    <w:rsid w:val="006D4743"/>
    <w:rsid w:val="006E564B"/>
    <w:rsid w:val="0072632A"/>
    <w:rsid w:val="00747362"/>
    <w:rsid w:val="00747A9F"/>
    <w:rsid w:val="00754373"/>
    <w:rsid w:val="0077761B"/>
    <w:rsid w:val="007A504B"/>
    <w:rsid w:val="007B6BA5"/>
    <w:rsid w:val="007C3390"/>
    <w:rsid w:val="007C4F4B"/>
    <w:rsid w:val="007D69EB"/>
    <w:rsid w:val="007D7863"/>
    <w:rsid w:val="007E5357"/>
    <w:rsid w:val="007F35DD"/>
    <w:rsid w:val="007F6611"/>
    <w:rsid w:val="00810503"/>
    <w:rsid w:val="008242D7"/>
    <w:rsid w:val="00832D01"/>
    <w:rsid w:val="008356D1"/>
    <w:rsid w:val="00852361"/>
    <w:rsid w:val="00882B38"/>
    <w:rsid w:val="008979B1"/>
    <w:rsid w:val="008A6B25"/>
    <w:rsid w:val="008A6C4F"/>
    <w:rsid w:val="008B2335"/>
    <w:rsid w:val="008C46F0"/>
    <w:rsid w:val="008F5F3E"/>
    <w:rsid w:val="009223CA"/>
    <w:rsid w:val="00922E29"/>
    <w:rsid w:val="00926B8E"/>
    <w:rsid w:val="0092719D"/>
    <w:rsid w:val="009369F6"/>
    <w:rsid w:val="00940F93"/>
    <w:rsid w:val="009603EF"/>
    <w:rsid w:val="00961987"/>
    <w:rsid w:val="00974A6B"/>
    <w:rsid w:val="00993BF0"/>
    <w:rsid w:val="009B4A1B"/>
    <w:rsid w:val="009C0EE8"/>
    <w:rsid w:val="009C14AA"/>
    <w:rsid w:val="009C37AA"/>
    <w:rsid w:val="009E0DA5"/>
    <w:rsid w:val="00A01489"/>
    <w:rsid w:val="00A61CCD"/>
    <w:rsid w:val="00A72F22"/>
    <w:rsid w:val="00A748A6"/>
    <w:rsid w:val="00A776B4"/>
    <w:rsid w:val="00A94361"/>
    <w:rsid w:val="00AC1552"/>
    <w:rsid w:val="00AD4562"/>
    <w:rsid w:val="00AD6D20"/>
    <w:rsid w:val="00B06775"/>
    <w:rsid w:val="00B30179"/>
    <w:rsid w:val="00B308FE"/>
    <w:rsid w:val="00B56E9C"/>
    <w:rsid w:val="00B64B1F"/>
    <w:rsid w:val="00B6553F"/>
    <w:rsid w:val="00B656B4"/>
    <w:rsid w:val="00B81E12"/>
    <w:rsid w:val="00BB36E2"/>
    <w:rsid w:val="00BC74E9"/>
    <w:rsid w:val="00BF42E6"/>
    <w:rsid w:val="00BF68A8"/>
    <w:rsid w:val="00C02B1B"/>
    <w:rsid w:val="00C3206E"/>
    <w:rsid w:val="00C463DD"/>
    <w:rsid w:val="00C4724C"/>
    <w:rsid w:val="00C475AB"/>
    <w:rsid w:val="00C53A77"/>
    <w:rsid w:val="00C54DAC"/>
    <w:rsid w:val="00C629A0"/>
    <w:rsid w:val="00C745C3"/>
    <w:rsid w:val="00C75FB9"/>
    <w:rsid w:val="00C8414B"/>
    <w:rsid w:val="00CC00AC"/>
    <w:rsid w:val="00CC24D2"/>
    <w:rsid w:val="00CE4A8F"/>
    <w:rsid w:val="00CE4C31"/>
    <w:rsid w:val="00D2031B"/>
    <w:rsid w:val="00D218CB"/>
    <w:rsid w:val="00D2330C"/>
    <w:rsid w:val="00D25FE2"/>
    <w:rsid w:val="00D332F1"/>
    <w:rsid w:val="00D424D4"/>
    <w:rsid w:val="00D43252"/>
    <w:rsid w:val="00D51E7F"/>
    <w:rsid w:val="00D64E75"/>
    <w:rsid w:val="00D7767E"/>
    <w:rsid w:val="00D978C6"/>
    <w:rsid w:val="00DA3C1C"/>
    <w:rsid w:val="00DB1F57"/>
    <w:rsid w:val="00DF2A4C"/>
    <w:rsid w:val="00E109FB"/>
    <w:rsid w:val="00E10DE3"/>
    <w:rsid w:val="00E26404"/>
    <w:rsid w:val="00E63389"/>
    <w:rsid w:val="00E71BC8"/>
    <w:rsid w:val="00E7260F"/>
    <w:rsid w:val="00E96630"/>
    <w:rsid w:val="00EA1061"/>
    <w:rsid w:val="00ED32A3"/>
    <w:rsid w:val="00ED616A"/>
    <w:rsid w:val="00ED7A2A"/>
    <w:rsid w:val="00EE32F8"/>
    <w:rsid w:val="00EE7A98"/>
    <w:rsid w:val="00EF1D7F"/>
    <w:rsid w:val="00F34583"/>
    <w:rsid w:val="00F37DE9"/>
    <w:rsid w:val="00F431F5"/>
    <w:rsid w:val="00F504DF"/>
    <w:rsid w:val="00F95BE7"/>
    <w:rsid w:val="00FA271C"/>
    <w:rsid w:val="00FA5FA1"/>
    <w:rsid w:val="00FB5B64"/>
    <w:rsid w:val="00FC68B7"/>
    <w:rsid w:val="00FD2B1D"/>
    <w:rsid w:val="00FD489E"/>
    <w:rsid w:val="00FD5B73"/>
    <w:rsid w:val="00FE33FE"/>
    <w:rsid w:val="00FE7A82"/>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paragraph" w:customStyle="1" w:styleId="References">
    <w:name w:val="References"/>
    <w:rsid w:val="002924AE"/>
    <w:pPr>
      <w:autoSpaceDE w:val="0"/>
      <w:autoSpaceDN w:val="0"/>
      <w:adjustRightInd w:val="0"/>
    </w:pPr>
    <w:rPr>
      <w:rFonts w:eastAsia="SimSun"/>
      <w:color w:val="000000"/>
      <w:szCs w:val="24"/>
      <w:lang w:val="en-US" w:eastAsia="zh-CN"/>
    </w:rPr>
  </w:style>
  <w:style w:type="paragraph" w:customStyle="1" w:styleId="CERDCOBspara">
    <w:name w:val="CERD COBs_para."/>
    <w:basedOn w:val="H1G"/>
    <w:link w:val="CERDCOBsparaChar"/>
    <w:rsid w:val="002924AE"/>
    <w:pPr>
      <w:keepNext w:val="0"/>
      <w:keepLines w:val="0"/>
      <w:numPr>
        <w:numId w:val="3"/>
      </w:numPr>
      <w:suppressAutoHyphens w:val="0"/>
      <w:adjustRightInd w:val="0"/>
      <w:snapToGrid w:val="0"/>
      <w:spacing w:before="120" w:after="120" w:line="240" w:lineRule="exact"/>
      <w:jc w:val="both"/>
    </w:pPr>
    <w:rPr>
      <w:rFonts w:eastAsia="Batang"/>
      <w:b w:val="0"/>
      <w:bCs/>
      <w:sz w:val="20"/>
      <w:szCs w:val="22"/>
    </w:rPr>
  </w:style>
  <w:style w:type="paragraph" w:customStyle="1" w:styleId="CERDCOBsRecomm">
    <w:name w:val="CERD COBs_Recomm."/>
    <w:basedOn w:val="Normal"/>
    <w:link w:val="CERDCOBsRecommChar"/>
    <w:rsid w:val="002924AE"/>
    <w:pPr>
      <w:keepNext/>
      <w:keepLines/>
      <w:tabs>
        <w:tab w:val="right" w:pos="851"/>
      </w:tabs>
      <w:adjustRightInd w:val="0"/>
      <w:snapToGrid w:val="0"/>
      <w:spacing w:before="240" w:after="240" w:line="240" w:lineRule="exact"/>
      <w:ind w:left="1100" w:right="1134"/>
      <w:jc w:val="both"/>
    </w:pPr>
    <w:rPr>
      <w:rFonts w:eastAsia="Batang"/>
      <w:b/>
      <w:szCs w:val="22"/>
    </w:rPr>
  </w:style>
  <w:style w:type="paragraph" w:customStyle="1" w:styleId="StyleCERDCOBsRecomm10pt">
    <w:name w:val="Style CERD COBs_Recomm. + 10 pt"/>
    <w:basedOn w:val="CERDCOBsRecomm"/>
    <w:rsid w:val="002924AE"/>
    <w:rPr>
      <w:szCs w:val="20"/>
    </w:rPr>
  </w:style>
  <w:style w:type="character" w:customStyle="1" w:styleId="CERDCOBsparaChar">
    <w:name w:val="CERD COBs_para. Char"/>
    <w:link w:val="CERDCOBspara"/>
    <w:rsid w:val="002924AE"/>
    <w:rPr>
      <w:rFonts w:eastAsia="Batang"/>
      <w:bCs/>
      <w:szCs w:val="22"/>
      <w:lang w:val="en-GB" w:eastAsia="en-US" w:bidi="ar-SA"/>
    </w:rPr>
  </w:style>
  <w:style w:type="character" w:customStyle="1" w:styleId="CERDCOBsRecommChar">
    <w:name w:val="CERD COBs_Recomm. Char"/>
    <w:link w:val="CERDCOBsRecomm"/>
    <w:rsid w:val="002924AE"/>
    <w:rPr>
      <w:rFonts w:eastAsia="Batang"/>
      <w:b/>
      <w:szCs w:val="22"/>
      <w:lang w:val="en-GB" w:eastAsia="en-US" w:bidi="ar-SA"/>
    </w:rPr>
  </w:style>
  <w:style w:type="paragraph" w:customStyle="1" w:styleId="StyleCERDCOBsparaComplex10pt1">
    <w:name w:val="Style CERD COBs_para. + (Complex) 10 pt1"/>
    <w:basedOn w:val="CERDCOBspara"/>
    <w:link w:val="StyleCERDCOBsparaComplex10pt1Char"/>
    <w:rsid w:val="002924AE"/>
    <w:rPr>
      <w:szCs w:val="20"/>
    </w:rPr>
  </w:style>
  <w:style w:type="character" w:customStyle="1" w:styleId="StyleCERDCOBsparaComplex10pt1Char">
    <w:name w:val="Style CERD COBs_para. + (Complex) 10 pt1 Char"/>
    <w:basedOn w:val="CERDCOBsparaChar"/>
    <w:link w:val="StyleCERDCOBsparaComplex10pt1"/>
    <w:rsid w:val="002924AE"/>
    <w:rPr>
      <w:rFonts w:eastAsia="Batang"/>
      <w:bCs/>
      <w:szCs w:val="22"/>
      <w:lang w:val="en-GB" w:eastAsia="en-US" w:bidi="ar-SA"/>
    </w:rPr>
  </w:style>
  <w:style w:type="paragraph" w:styleId="BalloonText">
    <w:name w:val="Balloon Text"/>
    <w:basedOn w:val="Normal"/>
    <w:semiHidden/>
    <w:rsid w:val="000B6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rd/docs/GC32.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3295</Words>
  <Characters>18784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CERD/C/MDA/CO/8-9/CRP</vt:lpstr>
    </vt:vector>
  </TitlesOfParts>
  <Company>CSD</Company>
  <LinksUpToDate>false</LinksUpToDate>
  <CharactersWithSpaces>22035</CharactersWithSpaces>
  <SharedDoc>false</SharedDoc>
  <HLinks>
    <vt:vector size="6" baseType="variant">
      <vt:variant>
        <vt:i4>6946921</vt:i4>
      </vt:variant>
      <vt:variant>
        <vt:i4>0</vt:i4>
      </vt:variant>
      <vt:variant>
        <vt:i4>0</vt:i4>
      </vt:variant>
      <vt:variant>
        <vt:i4>5</vt:i4>
      </vt:variant>
      <vt:variant>
        <vt:lpwstr>http://www2.ohchr.org/english/bodies/cerd/docs/GC32.doc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CERD/C/MDA/CO/8-9/CRP</dc:title>
  <dc:subject/>
  <dc:creator>OHCHR</dc:creator>
  <cp:keywords/>
  <dc:description/>
  <cp:lastModifiedBy>DCM</cp:lastModifiedBy>
  <cp:revision>2</cp:revision>
  <cp:lastPrinted>2011-04-06T07:10:00Z</cp:lastPrinted>
  <dcterms:created xsi:type="dcterms:W3CDTF">2011-04-07T07:58:00Z</dcterms:created>
  <dcterms:modified xsi:type="dcterms:W3CDTF">2011-04-07T07:58:00Z</dcterms:modified>
</cp:coreProperties>
</file>